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46724E" w:rsidRDefault="00AC510E" w:rsidP="005533D1">
      <w:pPr>
        <w:pStyle w:val="Title"/>
        <w:spacing w:before="120" w:after="160"/>
        <w:ind w:left="720" w:hanging="720"/>
        <w:rPr>
          <w:rFonts w:asciiTheme="minorHAnsi" w:hAnsiTheme="minorHAnsi"/>
          <w:sz w:val="36"/>
          <w:szCs w:val="36"/>
        </w:rPr>
      </w:pPr>
      <w:r w:rsidRPr="0046724E">
        <w:rPr>
          <w:rFonts w:asciiTheme="minorHAnsi" w:hAnsiTheme="minorHAnsi"/>
          <w:sz w:val="36"/>
          <w:szCs w:val="36"/>
        </w:rPr>
        <w:t>7</w:t>
      </w:r>
      <w:r w:rsidR="004324B3" w:rsidRPr="0046724E">
        <w:rPr>
          <w:rFonts w:asciiTheme="minorHAnsi" w:hAnsiTheme="minorHAnsi"/>
          <w:sz w:val="36"/>
          <w:szCs w:val="36"/>
        </w:rPr>
        <w:t>.</w:t>
      </w:r>
      <w:r w:rsidRPr="0046724E">
        <w:rPr>
          <w:rFonts w:asciiTheme="minorHAnsi" w:hAnsiTheme="minorHAnsi"/>
          <w:sz w:val="36"/>
          <w:szCs w:val="36"/>
        </w:rPr>
        <w:t>07</w:t>
      </w:r>
      <w:r w:rsidR="006D6493" w:rsidRPr="0046724E">
        <w:rPr>
          <w:rFonts w:asciiTheme="minorHAnsi" w:hAnsiTheme="minorHAnsi"/>
          <w:sz w:val="36"/>
          <w:szCs w:val="36"/>
        </w:rPr>
        <w:tab/>
      </w:r>
      <w:r w:rsidR="001D16E0" w:rsidRPr="0046724E">
        <w:rPr>
          <w:rFonts w:asciiTheme="minorHAnsi" w:hAnsiTheme="minorHAnsi"/>
          <w:sz w:val="36"/>
          <w:szCs w:val="36"/>
        </w:rPr>
        <w:t>DENOSUMAB</w:t>
      </w:r>
      <w:r w:rsidR="006D6493" w:rsidRPr="0046724E">
        <w:rPr>
          <w:rFonts w:asciiTheme="minorHAnsi" w:hAnsiTheme="minorHAnsi"/>
          <w:sz w:val="36"/>
          <w:szCs w:val="36"/>
        </w:rPr>
        <w:br/>
      </w:r>
      <w:r w:rsidR="001D16E0" w:rsidRPr="0046724E">
        <w:rPr>
          <w:rFonts w:asciiTheme="minorHAnsi" w:hAnsiTheme="minorHAnsi"/>
          <w:sz w:val="36"/>
          <w:szCs w:val="36"/>
        </w:rPr>
        <w:t>Injection 120 mg in 1.7 mL</w:t>
      </w:r>
      <w:proofErr w:type="gramStart"/>
      <w:r w:rsidR="004324B3" w:rsidRPr="0046724E">
        <w:rPr>
          <w:rFonts w:asciiTheme="minorHAnsi" w:hAnsiTheme="minorHAnsi"/>
          <w:sz w:val="36"/>
          <w:szCs w:val="36"/>
        </w:rPr>
        <w:t>,</w:t>
      </w:r>
      <w:proofErr w:type="gramEnd"/>
      <w:r w:rsidR="006D6493" w:rsidRPr="0046724E">
        <w:rPr>
          <w:rFonts w:asciiTheme="minorHAnsi" w:hAnsiTheme="minorHAnsi"/>
          <w:sz w:val="36"/>
          <w:szCs w:val="36"/>
        </w:rPr>
        <w:br/>
      </w:r>
      <w:proofErr w:type="spellStart"/>
      <w:r w:rsidR="001D16E0" w:rsidRPr="0046724E">
        <w:rPr>
          <w:rFonts w:asciiTheme="minorHAnsi" w:hAnsiTheme="minorHAnsi"/>
          <w:sz w:val="36"/>
          <w:szCs w:val="36"/>
        </w:rPr>
        <w:t>Xgeva</w:t>
      </w:r>
      <w:proofErr w:type="spellEnd"/>
      <w:r w:rsidR="001D16E0" w:rsidRPr="0046724E">
        <w:rPr>
          <w:rFonts w:asciiTheme="minorHAnsi" w:hAnsiTheme="minorHAnsi"/>
          <w:sz w:val="36"/>
          <w:szCs w:val="36"/>
        </w:rPr>
        <w:t>®</w:t>
      </w:r>
      <w:r w:rsidR="006D6493" w:rsidRPr="0046724E">
        <w:rPr>
          <w:rFonts w:asciiTheme="minorHAnsi" w:hAnsiTheme="minorHAnsi"/>
          <w:sz w:val="36"/>
          <w:szCs w:val="36"/>
        </w:rPr>
        <w:t xml:space="preserve">, </w:t>
      </w:r>
      <w:r w:rsidR="001D16E0" w:rsidRPr="0046724E">
        <w:rPr>
          <w:rFonts w:asciiTheme="minorHAnsi" w:hAnsiTheme="minorHAnsi"/>
          <w:sz w:val="36"/>
          <w:szCs w:val="36"/>
        </w:rPr>
        <w:t>Amgen Australia Pty Limited</w:t>
      </w:r>
    </w:p>
    <w:p w:rsidR="008A50F1" w:rsidRPr="0046724E" w:rsidRDefault="00CE10C4" w:rsidP="00E70616">
      <w:pPr>
        <w:pStyle w:val="PBACHeading1"/>
      </w:pPr>
      <w:r w:rsidRPr="0046724E">
        <w:t xml:space="preserve">Purpose of </w:t>
      </w:r>
      <w:r w:rsidR="0004240E" w:rsidRPr="0046724E">
        <w:t>Application</w:t>
      </w:r>
    </w:p>
    <w:p w:rsidR="00FE2FA7" w:rsidRPr="0046724E" w:rsidRDefault="00A21E7C" w:rsidP="005533D1">
      <w:pPr>
        <w:pStyle w:val="ListParagraph"/>
        <w:widowControl/>
        <w:numPr>
          <w:ilvl w:val="1"/>
          <w:numId w:val="5"/>
        </w:numPr>
        <w:spacing w:after="120"/>
        <w:contextualSpacing w:val="0"/>
        <w:rPr>
          <w:rFonts w:asciiTheme="minorHAnsi" w:hAnsiTheme="minorHAnsi"/>
          <w:sz w:val="24"/>
          <w:szCs w:val="24"/>
        </w:rPr>
      </w:pPr>
      <w:r w:rsidRPr="0046724E">
        <w:rPr>
          <w:rFonts w:asciiTheme="minorHAnsi" w:eastAsiaTheme="minorHAnsi" w:hAnsiTheme="minorHAnsi" w:cstheme="minorBidi"/>
          <w:snapToGrid/>
          <w:sz w:val="24"/>
          <w:szCs w:val="22"/>
        </w:rPr>
        <w:t xml:space="preserve">The minor resubmission </w:t>
      </w:r>
      <w:r w:rsidRPr="0046724E">
        <w:rPr>
          <w:rFonts w:asciiTheme="minorHAnsi" w:hAnsiTheme="minorHAnsi"/>
          <w:sz w:val="24"/>
        </w:rPr>
        <w:t xml:space="preserve">proposed a revised price for </w:t>
      </w:r>
      <w:proofErr w:type="spellStart"/>
      <w:r w:rsidRPr="0046724E">
        <w:rPr>
          <w:rFonts w:asciiTheme="minorHAnsi" w:hAnsiTheme="minorHAnsi"/>
          <w:sz w:val="24"/>
        </w:rPr>
        <w:t>denosumab</w:t>
      </w:r>
      <w:proofErr w:type="spellEnd"/>
      <w:r w:rsidRPr="0046724E">
        <w:rPr>
          <w:rFonts w:asciiTheme="minorHAnsi" w:hAnsiTheme="minorHAnsi"/>
          <w:sz w:val="24"/>
        </w:rPr>
        <w:t xml:space="preserve"> for </w:t>
      </w:r>
      <w:r w:rsidRPr="0046724E">
        <w:rPr>
          <w:rFonts w:asciiTheme="minorHAnsi" w:eastAsiaTheme="minorHAnsi" w:hAnsiTheme="minorHAnsi" w:cstheme="minorBidi"/>
          <w:snapToGrid/>
          <w:sz w:val="24"/>
          <w:szCs w:val="22"/>
        </w:rPr>
        <w:t>an Authority Required (STREAMLINED) listing for the treatment of multiple myeloma.</w:t>
      </w:r>
    </w:p>
    <w:p w:rsidR="006A12A5" w:rsidRPr="0046724E" w:rsidRDefault="006A12A5" w:rsidP="00E70616">
      <w:pPr>
        <w:pStyle w:val="PBACHeading1"/>
      </w:pPr>
      <w:r w:rsidRPr="0046724E">
        <w:t>Requested listing</w:t>
      </w:r>
    </w:p>
    <w:p w:rsidR="00826F6D" w:rsidRPr="0046724E" w:rsidRDefault="0014113E" w:rsidP="005533D1">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24E">
        <w:rPr>
          <w:rFonts w:asciiTheme="minorHAnsi" w:hAnsiTheme="minorHAnsi"/>
          <w:sz w:val="24"/>
          <w:szCs w:val="24"/>
        </w:rPr>
        <w:t>The proposed PBS listing is the same as requested in t</w:t>
      </w:r>
      <w:r w:rsidR="00D7437A">
        <w:rPr>
          <w:rFonts w:asciiTheme="minorHAnsi" w:hAnsiTheme="minorHAnsi"/>
          <w:sz w:val="24"/>
          <w:szCs w:val="24"/>
        </w:rPr>
        <w:t>he July 2018 major submission.</w:t>
      </w:r>
    </w:p>
    <w:tbl>
      <w:tblPr>
        <w:tblW w:w="9245" w:type="dxa"/>
        <w:tblBorders>
          <w:top w:val="single" w:sz="4" w:space="0" w:color="auto"/>
          <w:bottom w:val="single" w:sz="4" w:space="0" w:color="auto"/>
          <w:insideH w:val="single" w:sz="4" w:space="0" w:color="auto"/>
        </w:tblBorders>
        <w:tblLook w:val="04A0" w:firstRow="1" w:lastRow="0" w:firstColumn="1" w:lastColumn="0" w:noHBand="0" w:noVBand="1"/>
      </w:tblPr>
      <w:tblGrid>
        <w:gridCol w:w="2195"/>
        <w:gridCol w:w="609"/>
        <w:gridCol w:w="666"/>
        <w:gridCol w:w="1298"/>
        <w:gridCol w:w="800"/>
        <w:gridCol w:w="1912"/>
        <w:gridCol w:w="1765"/>
      </w:tblGrid>
      <w:tr w:rsidR="0014113E" w:rsidRPr="0046724E" w:rsidTr="004C707A">
        <w:tc>
          <w:tcPr>
            <w:tcW w:w="2195" w:type="dxa"/>
          </w:tcPr>
          <w:p w:rsidR="0014113E" w:rsidRPr="0046724E" w:rsidRDefault="0014113E" w:rsidP="005533D1">
            <w:pPr>
              <w:pStyle w:val="Tabletext"/>
              <w:rPr>
                <w:rFonts w:ascii="Arial Narrow" w:hAnsi="Arial Narrow"/>
                <w:b/>
                <w:bCs/>
              </w:rPr>
            </w:pPr>
            <w:r w:rsidRPr="0046724E">
              <w:rPr>
                <w:rFonts w:ascii="Arial Narrow" w:hAnsi="Arial Narrow"/>
                <w:b/>
              </w:rPr>
              <w:t>Name, restriction, manner of administration, form</w:t>
            </w:r>
          </w:p>
        </w:tc>
        <w:tc>
          <w:tcPr>
            <w:tcW w:w="1275" w:type="dxa"/>
            <w:gridSpan w:val="2"/>
          </w:tcPr>
          <w:p w:rsidR="0014113E" w:rsidRPr="0046724E" w:rsidRDefault="0014113E" w:rsidP="005533D1">
            <w:pPr>
              <w:pStyle w:val="Tabletext"/>
              <w:jc w:val="center"/>
              <w:rPr>
                <w:rFonts w:ascii="Arial Narrow" w:hAnsi="Arial Narrow"/>
                <w:b/>
                <w:bCs/>
              </w:rPr>
            </w:pPr>
            <w:r w:rsidRPr="0046724E">
              <w:rPr>
                <w:rFonts w:ascii="Arial Narrow" w:hAnsi="Arial Narrow"/>
                <w:b/>
              </w:rPr>
              <w:t>Maximum quantity (packs)</w:t>
            </w:r>
          </w:p>
        </w:tc>
        <w:tc>
          <w:tcPr>
            <w:tcW w:w="1298" w:type="dxa"/>
          </w:tcPr>
          <w:p w:rsidR="0014113E" w:rsidRPr="0046724E" w:rsidRDefault="0014113E" w:rsidP="005533D1">
            <w:pPr>
              <w:pStyle w:val="Tabletext"/>
              <w:jc w:val="center"/>
              <w:rPr>
                <w:rFonts w:ascii="Arial Narrow" w:hAnsi="Arial Narrow"/>
                <w:b/>
                <w:bCs/>
              </w:rPr>
            </w:pPr>
            <w:r w:rsidRPr="0046724E">
              <w:rPr>
                <w:rFonts w:ascii="Arial Narrow" w:hAnsi="Arial Narrow"/>
                <w:b/>
              </w:rPr>
              <w:t>Maximum quantity (units)</w:t>
            </w:r>
          </w:p>
        </w:tc>
        <w:tc>
          <w:tcPr>
            <w:tcW w:w="800" w:type="dxa"/>
          </w:tcPr>
          <w:p w:rsidR="0014113E" w:rsidRPr="0046724E" w:rsidRDefault="0014113E" w:rsidP="005533D1">
            <w:pPr>
              <w:pStyle w:val="Tabletext"/>
              <w:rPr>
                <w:rFonts w:ascii="Arial Narrow" w:hAnsi="Arial Narrow"/>
                <w:b/>
                <w:bCs/>
              </w:rPr>
            </w:pPr>
            <w:r w:rsidRPr="0046724E">
              <w:rPr>
                <w:rFonts w:ascii="Arial Narrow" w:hAnsi="Arial Narrow"/>
                <w:b/>
              </w:rPr>
              <w:t>No. of repeats</w:t>
            </w:r>
          </w:p>
        </w:tc>
        <w:tc>
          <w:tcPr>
            <w:tcW w:w="1912" w:type="dxa"/>
          </w:tcPr>
          <w:p w:rsidR="0014113E" w:rsidRPr="0046724E" w:rsidRDefault="0014113E" w:rsidP="005533D1">
            <w:pPr>
              <w:pStyle w:val="Tabletext"/>
              <w:rPr>
                <w:rFonts w:ascii="Arial Narrow" w:hAnsi="Arial Narrow"/>
                <w:b/>
                <w:bCs/>
              </w:rPr>
            </w:pPr>
            <w:r w:rsidRPr="0046724E">
              <w:rPr>
                <w:rFonts w:ascii="Arial Narrow" w:hAnsi="Arial Narrow"/>
                <w:b/>
              </w:rPr>
              <w:t>Dispensed price for maximum quantity</w:t>
            </w:r>
          </w:p>
        </w:tc>
        <w:tc>
          <w:tcPr>
            <w:tcW w:w="1765" w:type="dxa"/>
          </w:tcPr>
          <w:p w:rsidR="0014113E" w:rsidRPr="0046724E" w:rsidRDefault="0014113E" w:rsidP="005533D1">
            <w:pPr>
              <w:pStyle w:val="Tabletext"/>
              <w:rPr>
                <w:rFonts w:ascii="Arial Narrow" w:hAnsi="Arial Narrow"/>
                <w:b/>
                <w:bCs/>
              </w:rPr>
            </w:pPr>
            <w:r w:rsidRPr="0046724E">
              <w:rPr>
                <w:rFonts w:ascii="Arial Narrow" w:hAnsi="Arial Narrow"/>
                <w:b/>
              </w:rPr>
              <w:t>Proprietary name and manufacturer</w:t>
            </w:r>
          </w:p>
        </w:tc>
      </w:tr>
      <w:tr w:rsidR="0014113E" w:rsidRPr="0046724E" w:rsidTr="004C707A">
        <w:tc>
          <w:tcPr>
            <w:tcW w:w="2195" w:type="dxa"/>
          </w:tcPr>
          <w:p w:rsidR="0014113E" w:rsidRPr="0046724E" w:rsidRDefault="0014113E" w:rsidP="005533D1">
            <w:pPr>
              <w:pStyle w:val="Tabletext"/>
              <w:rPr>
                <w:rFonts w:ascii="Arial Narrow" w:hAnsi="Arial Narrow"/>
              </w:rPr>
            </w:pPr>
            <w:proofErr w:type="spellStart"/>
            <w:r w:rsidRPr="0046724E">
              <w:rPr>
                <w:rFonts w:ascii="Arial Narrow" w:hAnsi="Arial Narrow"/>
                <w:smallCaps/>
              </w:rPr>
              <w:t>Denosumab</w:t>
            </w:r>
            <w:proofErr w:type="spellEnd"/>
          </w:p>
          <w:p w:rsidR="0014113E" w:rsidRPr="0046724E" w:rsidRDefault="0014113E" w:rsidP="005533D1">
            <w:pPr>
              <w:pStyle w:val="Tabletext"/>
              <w:rPr>
                <w:rFonts w:ascii="Arial Narrow" w:hAnsi="Arial Narrow"/>
                <w:b/>
                <w:bCs/>
              </w:rPr>
            </w:pPr>
            <w:r w:rsidRPr="0046724E">
              <w:rPr>
                <w:rFonts w:ascii="Arial Narrow" w:hAnsi="Arial Narrow"/>
              </w:rPr>
              <w:t xml:space="preserve">120 mg/1.7 mL injection, 1.7 mL vial </w:t>
            </w:r>
          </w:p>
        </w:tc>
        <w:tc>
          <w:tcPr>
            <w:tcW w:w="1275" w:type="dxa"/>
            <w:gridSpan w:val="2"/>
          </w:tcPr>
          <w:p w:rsidR="0014113E" w:rsidRPr="0046724E" w:rsidRDefault="0014113E" w:rsidP="005533D1">
            <w:pPr>
              <w:pStyle w:val="Tabletext"/>
              <w:jc w:val="center"/>
              <w:rPr>
                <w:rFonts w:ascii="Arial Narrow" w:hAnsi="Arial Narrow"/>
              </w:rPr>
            </w:pPr>
            <w:r w:rsidRPr="0046724E">
              <w:rPr>
                <w:rFonts w:ascii="Arial Narrow" w:hAnsi="Arial Narrow"/>
              </w:rPr>
              <w:t>1</w:t>
            </w:r>
          </w:p>
        </w:tc>
        <w:tc>
          <w:tcPr>
            <w:tcW w:w="1298" w:type="dxa"/>
          </w:tcPr>
          <w:p w:rsidR="0014113E" w:rsidRPr="0046724E" w:rsidRDefault="0014113E" w:rsidP="005533D1">
            <w:pPr>
              <w:pStyle w:val="Tabletext"/>
              <w:jc w:val="center"/>
              <w:rPr>
                <w:rFonts w:ascii="Arial Narrow" w:hAnsi="Arial Narrow"/>
              </w:rPr>
            </w:pPr>
            <w:r w:rsidRPr="0046724E">
              <w:rPr>
                <w:rFonts w:ascii="Arial Narrow" w:hAnsi="Arial Narrow"/>
              </w:rPr>
              <w:t>1</w:t>
            </w:r>
          </w:p>
        </w:tc>
        <w:tc>
          <w:tcPr>
            <w:tcW w:w="800" w:type="dxa"/>
          </w:tcPr>
          <w:p w:rsidR="0014113E" w:rsidRPr="0046724E" w:rsidRDefault="0014113E" w:rsidP="005533D1">
            <w:pPr>
              <w:pStyle w:val="Tabletext"/>
              <w:jc w:val="center"/>
              <w:rPr>
                <w:rFonts w:ascii="Arial Narrow" w:hAnsi="Arial Narrow"/>
              </w:rPr>
            </w:pPr>
            <w:r w:rsidRPr="0046724E">
              <w:rPr>
                <w:rFonts w:ascii="Arial Narrow" w:hAnsi="Arial Narrow"/>
              </w:rPr>
              <w:t>5</w:t>
            </w:r>
          </w:p>
        </w:tc>
        <w:tc>
          <w:tcPr>
            <w:tcW w:w="1912" w:type="dxa"/>
          </w:tcPr>
          <w:p w:rsidR="005149A9" w:rsidRPr="0046724E" w:rsidRDefault="005149A9" w:rsidP="005533D1">
            <w:pPr>
              <w:spacing w:after="120"/>
              <w:rPr>
                <w:rFonts w:ascii="Arial Narrow" w:eastAsiaTheme="minorHAnsi" w:hAnsi="Arial Narrow" w:cstheme="minorBidi"/>
                <w:sz w:val="20"/>
                <w:szCs w:val="20"/>
              </w:rPr>
            </w:pPr>
            <w:r w:rsidRPr="0046724E">
              <w:rPr>
                <w:rFonts w:ascii="Arial Narrow" w:eastAsiaTheme="minorHAnsi" w:hAnsi="Arial Narrow" w:cstheme="minorBidi"/>
                <w:sz w:val="20"/>
                <w:szCs w:val="20"/>
              </w:rPr>
              <w:t>TBC*</w:t>
            </w:r>
          </w:p>
          <w:p w:rsidR="0014113E" w:rsidRPr="0046724E" w:rsidRDefault="0014113E" w:rsidP="005533D1">
            <w:pPr>
              <w:pStyle w:val="Tabletext"/>
              <w:rPr>
                <w:rFonts w:ascii="Arial Narrow" w:hAnsi="Arial Narrow"/>
              </w:rPr>
            </w:pPr>
          </w:p>
          <w:p w:rsidR="0014113E" w:rsidRPr="0046724E" w:rsidRDefault="0014113E" w:rsidP="005533D1">
            <w:pPr>
              <w:pStyle w:val="Tabletext"/>
              <w:rPr>
                <w:rFonts w:ascii="Arial Narrow" w:hAnsi="Arial Narrow"/>
              </w:rPr>
            </w:pPr>
          </w:p>
        </w:tc>
        <w:tc>
          <w:tcPr>
            <w:tcW w:w="1765" w:type="dxa"/>
          </w:tcPr>
          <w:p w:rsidR="0014113E" w:rsidRPr="0046724E" w:rsidRDefault="0014113E" w:rsidP="005533D1">
            <w:pPr>
              <w:pStyle w:val="Tabletext"/>
              <w:rPr>
                <w:rFonts w:ascii="Arial Narrow" w:hAnsi="Arial Narrow"/>
              </w:rPr>
            </w:pPr>
            <w:proofErr w:type="spellStart"/>
            <w:r w:rsidRPr="0046724E">
              <w:rPr>
                <w:rFonts w:ascii="Arial Narrow" w:hAnsi="Arial Narrow"/>
              </w:rPr>
              <w:t>Xgeva</w:t>
            </w:r>
            <w:proofErr w:type="spellEnd"/>
            <w:r w:rsidRPr="0046724E">
              <w:rPr>
                <w:rFonts w:ascii="Arial Narrow" w:hAnsi="Arial Narrow"/>
                <w:vertAlign w:val="superscript"/>
              </w:rPr>
              <w:t>®</w:t>
            </w:r>
          </w:p>
          <w:p w:rsidR="0014113E" w:rsidRPr="0046724E" w:rsidRDefault="0014113E" w:rsidP="005533D1">
            <w:pPr>
              <w:pStyle w:val="Tabletext"/>
              <w:rPr>
                <w:rFonts w:ascii="Arial Narrow" w:hAnsi="Arial Narrow"/>
              </w:rPr>
            </w:pPr>
            <w:r w:rsidRPr="0046724E">
              <w:rPr>
                <w:rFonts w:ascii="Arial Narrow" w:hAnsi="Arial Narrow"/>
              </w:rPr>
              <w:t>Amgen</w:t>
            </w:r>
          </w:p>
        </w:tc>
      </w:tr>
      <w:tr w:rsidR="0014113E" w:rsidRPr="0046724E" w:rsidTr="004C707A">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43"/>
        </w:trPr>
        <w:tc>
          <w:tcPr>
            <w:tcW w:w="2804" w:type="dxa"/>
            <w:gridSpan w:val="2"/>
            <w:tcBorders>
              <w:top w:val="single" w:sz="4" w:space="0" w:color="auto"/>
              <w:left w:val="single" w:sz="4" w:space="0" w:color="auto"/>
              <w:bottom w:val="single" w:sz="4" w:space="0" w:color="auto"/>
              <w:right w:val="single" w:sz="4" w:space="0" w:color="auto"/>
            </w:tcBorders>
          </w:tcPr>
          <w:p w:rsidR="0014113E" w:rsidRPr="0046724E" w:rsidRDefault="0014113E" w:rsidP="005533D1">
            <w:pPr>
              <w:rPr>
                <w:rFonts w:ascii="Arial Narrow" w:hAnsi="Arial Narrow"/>
                <w:b/>
                <w:sz w:val="20"/>
                <w:szCs w:val="20"/>
              </w:rPr>
            </w:pPr>
            <w:r w:rsidRPr="0046724E">
              <w:rPr>
                <w:rFonts w:ascii="Arial Narrow" w:hAnsi="Arial Narrow"/>
                <w:b/>
                <w:sz w:val="20"/>
                <w:szCs w:val="20"/>
              </w:rPr>
              <w:t>Category / Program</w:t>
            </w:r>
          </w:p>
        </w:tc>
        <w:tc>
          <w:tcPr>
            <w:tcW w:w="6441" w:type="dxa"/>
            <w:gridSpan w:val="5"/>
            <w:tcBorders>
              <w:top w:val="single" w:sz="4" w:space="0" w:color="auto"/>
              <w:left w:val="single" w:sz="4" w:space="0" w:color="auto"/>
              <w:bottom w:val="single" w:sz="4" w:space="0" w:color="auto"/>
              <w:right w:val="single" w:sz="4" w:space="0" w:color="auto"/>
            </w:tcBorders>
          </w:tcPr>
          <w:p w:rsidR="0014113E" w:rsidRPr="0046724E" w:rsidRDefault="0014113E" w:rsidP="005533D1">
            <w:pPr>
              <w:rPr>
                <w:rFonts w:ascii="Arial Narrow" w:hAnsi="Arial Narrow"/>
                <w:sz w:val="20"/>
                <w:szCs w:val="20"/>
              </w:rPr>
            </w:pPr>
            <w:r w:rsidRPr="0046724E">
              <w:rPr>
                <w:rFonts w:ascii="Arial Narrow" w:hAnsi="Arial Narrow"/>
                <w:sz w:val="20"/>
                <w:szCs w:val="20"/>
              </w:rPr>
              <w:t>GENERAL – General Schedule (Code GE)</w:t>
            </w:r>
          </w:p>
        </w:tc>
      </w:tr>
      <w:tr w:rsidR="0014113E" w:rsidRPr="0046724E" w:rsidTr="004C707A">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2804" w:type="dxa"/>
            <w:gridSpan w:val="2"/>
            <w:tcBorders>
              <w:top w:val="single" w:sz="4" w:space="0" w:color="auto"/>
              <w:left w:val="single" w:sz="4" w:space="0" w:color="auto"/>
              <w:bottom w:val="single" w:sz="4" w:space="0" w:color="auto"/>
              <w:right w:val="single" w:sz="4" w:space="0" w:color="auto"/>
            </w:tcBorders>
          </w:tcPr>
          <w:p w:rsidR="0014113E" w:rsidRPr="0046724E" w:rsidRDefault="0014113E" w:rsidP="005533D1">
            <w:pPr>
              <w:rPr>
                <w:rFonts w:ascii="Arial Narrow" w:hAnsi="Arial Narrow"/>
                <w:b/>
                <w:sz w:val="20"/>
                <w:szCs w:val="20"/>
              </w:rPr>
            </w:pPr>
            <w:r w:rsidRPr="0046724E">
              <w:rPr>
                <w:rFonts w:ascii="Arial Narrow" w:hAnsi="Arial Narrow"/>
                <w:b/>
                <w:sz w:val="20"/>
                <w:szCs w:val="20"/>
              </w:rPr>
              <w:t>Prescriber type:</w:t>
            </w:r>
          </w:p>
        </w:tc>
        <w:tc>
          <w:tcPr>
            <w:tcW w:w="6441" w:type="dxa"/>
            <w:gridSpan w:val="5"/>
            <w:tcBorders>
              <w:top w:val="single" w:sz="4" w:space="0" w:color="auto"/>
              <w:left w:val="single" w:sz="4" w:space="0" w:color="auto"/>
              <w:bottom w:val="single" w:sz="4" w:space="0" w:color="auto"/>
              <w:right w:val="single" w:sz="4" w:space="0" w:color="auto"/>
            </w:tcBorders>
          </w:tcPr>
          <w:p w:rsidR="0014113E" w:rsidRPr="0046724E" w:rsidRDefault="0014113E" w:rsidP="005533D1">
            <w:pPr>
              <w:rPr>
                <w:rFonts w:ascii="Arial Narrow" w:hAnsi="Arial Narrow"/>
                <w:sz w:val="20"/>
                <w:szCs w:val="20"/>
              </w:rPr>
            </w:pPr>
            <w:r w:rsidRPr="0046724E">
              <w:rPr>
                <w:rFonts w:ascii="Arial Narrow" w:hAnsi="Arial Narrow"/>
                <w:sz w:val="20"/>
                <w:szCs w:val="20"/>
              </w:rPr>
              <w:fldChar w:fldCharType="begin">
                <w:ffData>
                  <w:name w:val="Check1"/>
                  <w:enabled/>
                  <w:calcOnExit w:val="0"/>
                  <w:checkBox>
                    <w:sizeAuto/>
                    <w:default w:val="0"/>
                  </w:checkBox>
                </w:ffData>
              </w:fldChar>
            </w:r>
            <w:r w:rsidRPr="0046724E">
              <w:rPr>
                <w:rFonts w:ascii="Arial Narrow" w:hAnsi="Arial Narrow"/>
                <w:sz w:val="20"/>
                <w:szCs w:val="20"/>
              </w:rPr>
              <w:instrText xml:space="preserve"> FORMCHECKBOX </w:instrText>
            </w:r>
            <w:r w:rsidR="004C707A">
              <w:rPr>
                <w:rFonts w:ascii="Arial Narrow" w:hAnsi="Arial Narrow"/>
                <w:sz w:val="20"/>
                <w:szCs w:val="20"/>
              </w:rPr>
            </w:r>
            <w:r w:rsidR="004C707A">
              <w:rPr>
                <w:rFonts w:ascii="Arial Narrow" w:hAnsi="Arial Narrow"/>
                <w:sz w:val="20"/>
                <w:szCs w:val="20"/>
              </w:rPr>
              <w:fldChar w:fldCharType="separate"/>
            </w:r>
            <w:r w:rsidRPr="0046724E">
              <w:rPr>
                <w:rFonts w:ascii="Arial Narrow" w:hAnsi="Arial Narrow"/>
                <w:sz w:val="20"/>
                <w:szCs w:val="20"/>
              </w:rPr>
              <w:fldChar w:fldCharType="end"/>
            </w:r>
            <w:r w:rsidRPr="0046724E">
              <w:rPr>
                <w:rFonts w:ascii="Arial Narrow" w:hAnsi="Arial Narrow"/>
                <w:sz w:val="20"/>
                <w:szCs w:val="20"/>
              </w:rPr>
              <w:t xml:space="preserve">Dental  </w:t>
            </w:r>
            <w:r w:rsidRPr="0046724E">
              <w:rPr>
                <w:rFonts w:ascii="Arial Narrow" w:hAnsi="Arial Narrow"/>
                <w:sz w:val="20"/>
                <w:szCs w:val="20"/>
              </w:rPr>
              <w:fldChar w:fldCharType="begin">
                <w:ffData>
                  <w:name w:val=""/>
                  <w:enabled/>
                  <w:calcOnExit w:val="0"/>
                  <w:checkBox>
                    <w:sizeAuto/>
                    <w:default w:val="1"/>
                  </w:checkBox>
                </w:ffData>
              </w:fldChar>
            </w:r>
            <w:r w:rsidRPr="0046724E">
              <w:rPr>
                <w:rFonts w:ascii="Arial Narrow" w:hAnsi="Arial Narrow"/>
                <w:sz w:val="20"/>
                <w:szCs w:val="20"/>
              </w:rPr>
              <w:instrText xml:space="preserve"> FORMCHECKBOX </w:instrText>
            </w:r>
            <w:r w:rsidR="004C707A">
              <w:rPr>
                <w:rFonts w:ascii="Arial Narrow" w:hAnsi="Arial Narrow"/>
                <w:sz w:val="20"/>
                <w:szCs w:val="20"/>
              </w:rPr>
            </w:r>
            <w:r w:rsidR="004C707A">
              <w:rPr>
                <w:rFonts w:ascii="Arial Narrow" w:hAnsi="Arial Narrow"/>
                <w:sz w:val="20"/>
                <w:szCs w:val="20"/>
              </w:rPr>
              <w:fldChar w:fldCharType="separate"/>
            </w:r>
            <w:r w:rsidRPr="0046724E">
              <w:rPr>
                <w:rFonts w:ascii="Arial Narrow" w:hAnsi="Arial Narrow"/>
                <w:sz w:val="20"/>
                <w:szCs w:val="20"/>
              </w:rPr>
              <w:fldChar w:fldCharType="end"/>
            </w:r>
            <w:r w:rsidRPr="0046724E">
              <w:rPr>
                <w:rFonts w:ascii="Arial Narrow" w:hAnsi="Arial Narrow"/>
                <w:sz w:val="20"/>
                <w:szCs w:val="20"/>
              </w:rPr>
              <w:t xml:space="preserve">Medical Practitioners  </w:t>
            </w:r>
            <w:r w:rsidRPr="0046724E">
              <w:rPr>
                <w:rFonts w:ascii="Arial Narrow" w:hAnsi="Arial Narrow"/>
                <w:sz w:val="20"/>
                <w:szCs w:val="20"/>
              </w:rPr>
              <w:fldChar w:fldCharType="begin">
                <w:ffData>
                  <w:name w:val=""/>
                  <w:enabled/>
                  <w:calcOnExit w:val="0"/>
                  <w:checkBox>
                    <w:sizeAuto/>
                    <w:default w:val="1"/>
                  </w:checkBox>
                </w:ffData>
              </w:fldChar>
            </w:r>
            <w:r w:rsidRPr="0046724E">
              <w:rPr>
                <w:rFonts w:ascii="Arial Narrow" w:hAnsi="Arial Narrow"/>
                <w:sz w:val="20"/>
                <w:szCs w:val="20"/>
              </w:rPr>
              <w:instrText xml:space="preserve"> FORMCHECKBOX </w:instrText>
            </w:r>
            <w:r w:rsidR="004C707A">
              <w:rPr>
                <w:rFonts w:ascii="Arial Narrow" w:hAnsi="Arial Narrow"/>
                <w:sz w:val="20"/>
                <w:szCs w:val="20"/>
              </w:rPr>
            </w:r>
            <w:r w:rsidR="004C707A">
              <w:rPr>
                <w:rFonts w:ascii="Arial Narrow" w:hAnsi="Arial Narrow"/>
                <w:sz w:val="20"/>
                <w:szCs w:val="20"/>
              </w:rPr>
              <w:fldChar w:fldCharType="separate"/>
            </w:r>
            <w:r w:rsidRPr="0046724E">
              <w:rPr>
                <w:rFonts w:ascii="Arial Narrow" w:hAnsi="Arial Narrow"/>
                <w:sz w:val="20"/>
                <w:szCs w:val="20"/>
              </w:rPr>
              <w:fldChar w:fldCharType="end"/>
            </w:r>
            <w:r w:rsidRPr="0046724E">
              <w:rPr>
                <w:rFonts w:ascii="Arial Narrow" w:hAnsi="Arial Narrow"/>
                <w:sz w:val="20"/>
                <w:szCs w:val="20"/>
              </w:rPr>
              <w:t xml:space="preserve">Nurse practitioners  </w:t>
            </w:r>
            <w:r w:rsidRPr="0046724E">
              <w:rPr>
                <w:rFonts w:ascii="Arial Narrow" w:hAnsi="Arial Narrow"/>
                <w:sz w:val="20"/>
                <w:szCs w:val="20"/>
              </w:rPr>
              <w:fldChar w:fldCharType="begin">
                <w:ffData>
                  <w:name w:val=""/>
                  <w:enabled/>
                  <w:calcOnExit w:val="0"/>
                  <w:checkBox>
                    <w:sizeAuto/>
                    <w:default w:val="0"/>
                  </w:checkBox>
                </w:ffData>
              </w:fldChar>
            </w:r>
            <w:r w:rsidRPr="0046724E">
              <w:rPr>
                <w:rFonts w:ascii="Arial Narrow" w:hAnsi="Arial Narrow"/>
                <w:sz w:val="20"/>
                <w:szCs w:val="20"/>
              </w:rPr>
              <w:instrText xml:space="preserve"> FORMCHECKBOX </w:instrText>
            </w:r>
            <w:r w:rsidR="004C707A">
              <w:rPr>
                <w:rFonts w:ascii="Arial Narrow" w:hAnsi="Arial Narrow"/>
                <w:sz w:val="20"/>
                <w:szCs w:val="20"/>
              </w:rPr>
            </w:r>
            <w:r w:rsidR="004C707A">
              <w:rPr>
                <w:rFonts w:ascii="Arial Narrow" w:hAnsi="Arial Narrow"/>
                <w:sz w:val="20"/>
                <w:szCs w:val="20"/>
              </w:rPr>
              <w:fldChar w:fldCharType="separate"/>
            </w:r>
            <w:r w:rsidRPr="0046724E">
              <w:rPr>
                <w:rFonts w:ascii="Arial Narrow" w:hAnsi="Arial Narrow"/>
                <w:sz w:val="20"/>
                <w:szCs w:val="20"/>
              </w:rPr>
              <w:fldChar w:fldCharType="end"/>
            </w:r>
            <w:r w:rsidRPr="0046724E">
              <w:rPr>
                <w:rFonts w:ascii="Arial Narrow" w:hAnsi="Arial Narrow"/>
                <w:sz w:val="20"/>
                <w:szCs w:val="20"/>
              </w:rPr>
              <w:t>Optometrists</w:t>
            </w:r>
          </w:p>
          <w:p w:rsidR="0014113E" w:rsidRPr="0046724E" w:rsidRDefault="0014113E" w:rsidP="005533D1">
            <w:pPr>
              <w:rPr>
                <w:rFonts w:ascii="Arial Narrow" w:hAnsi="Arial Narrow"/>
                <w:sz w:val="20"/>
                <w:szCs w:val="20"/>
              </w:rPr>
            </w:pPr>
            <w:r w:rsidRPr="0046724E">
              <w:rPr>
                <w:rFonts w:ascii="Arial Narrow" w:hAnsi="Arial Narrow"/>
                <w:sz w:val="20"/>
                <w:szCs w:val="20"/>
              </w:rPr>
              <w:fldChar w:fldCharType="begin">
                <w:ffData>
                  <w:name w:val="Check5"/>
                  <w:enabled/>
                  <w:calcOnExit w:val="0"/>
                  <w:checkBox>
                    <w:sizeAuto/>
                    <w:default w:val="0"/>
                  </w:checkBox>
                </w:ffData>
              </w:fldChar>
            </w:r>
            <w:r w:rsidRPr="0046724E">
              <w:rPr>
                <w:rFonts w:ascii="Arial Narrow" w:hAnsi="Arial Narrow"/>
                <w:sz w:val="20"/>
                <w:szCs w:val="20"/>
              </w:rPr>
              <w:instrText xml:space="preserve"> FORMCHECKBOX </w:instrText>
            </w:r>
            <w:r w:rsidR="004C707A">
              <w:rPr>
                <w:rFonts w:ascii="Arial Narrow" w:hAnsi="Arial Narrow"/>
                <w:sz w:val="20"/>
                <w:szCs w:val="20"/>
              </w:rPr>
            </w:r>
            <w:r w:rsidR="004C707A">
              <w:rPr>
                <w:rFonts w:ascii="Arial Narrow" w:hAnsi="Arial Narrow"/>
                <w:sz w:val="20"/>
                <w:szCs w:val="20"/>
              </w:rPr>
              <w:fldChar w:fldCharType="separate"/>
            </w:r>
            <w:r w:rsidRPr="0046724E">
              <w:rPr>
                <w:rFonts w:ascii="Arial Narrow" w:hAnsi="Arial Narrow"/>
                <w:sz w:val="20"/>
                <w:szCs w:val="20"/>
              </w:rPr>
              <w:fldChar w:fldCharType="end"/>
            </w:r>
            <w:r w:rsidRPr="0046724E">
              <w:rPr>
                <w:rFonts w:ascii="Arial Narrow" w:hAnsi="Arial Narrow"/>
                <w:sz w:val="20"/>
                <w:szCs w:val="20"/>
              </w:rPr>
              <w:t>Midwives</w:t>
            </w:r>
          </w:p>
        </w:tc>
      </w:tr>
      <w:tr w:rsidR="0014113E" w:rsidRPr="0046724E" w:rsidTr="004C707A">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59"/>
        </w:trPr>
        <w:tc>
          <w:tcPr>
            <w:tcW w:w="2804" w:type="dxa"/>
            <w:gridSpan w:val="2"/>
            <w:tcBorders>
              <w:top w:val="single" w:sz="4" w:space="0" w:color="auto"/>
              <w:left w:val="single" w:sz="4" w:space="0" w:color="auto"/>
              <w:bottom w:val="single" w:sz="4" w:space="0" w:color="auto"/>
              <w:right w:val="single" w:sz="4" w:space="0" w:color="auto"/>
            </w:tcBorders>
          </w:tcPr>
          <w:p w:rsidR="0014113E" w:rsidRPr="0046724E" w:rsidRDefault="0014113E" w:rsidP="005533D1">
            <w:pPr>
              <w:rPr>
                <w:rFonts w:ascii="Arial Narrow" w:hAnsi="Arial Narrow"/>
                <w:b/>
                <w:sz w:val="20"/>
                <w:szCs w:val="20"/>
              </w:rPr>
            </w:pPr>
            <w:r w:rsidRPr="0046724E">
              <w:rPr>
                <w:rFonts w:ascii="Arial Narrow" w:hAnsi="Arial Narrow"/>
                <w:b/>
                <w:sz w:val="20"/>
                <w:szCs w:val="20"/>
              </w:rPr>
              <w:t>Condition:</w:t>
            </w:r>
          </w:p>
        </w:tc>
        <w:tc>
          <w:tcPr>
            <w:tcW w:w="6441" w:type="dxa"/>
            <w:gridSpan w:val="5"/>
            <w:tcBorders>
              <w:top w:val="single" w:sz="4" w:space="0" w:color="auto"/>
              <w:left w:val="single" w:sz="4" w:space="0" w:color="auto"/>
              <w:bottom w:val="single" w:sz="4" w:space="0" w:color="auto"/>
              <w:right w:val="single" w:sz="4" w:space="0" w:color="auto"/>
            </w:tcBorders>
          </w:tcPr>
          <w:p w:rsidR="0014113E" w:rsidRPr="0046724E" w:rsidRDefault="0014113E" w:rsidP="005533D1">
            <w:pPr>
              <w:rPr>
                <w:rFonts w:ascii="Arial Narrow" w:hAnsi="Arial Narrow"/>
                <w:sz w:val="20"/>
                <w:szCs w:val="20"/>
              </w:rPr>
            </w:pPr>
            <w:r w:rsidRPr="0046724E">
              <w:rPr>
                <w:rFonts w:ascii="Arial Narrow" w:hAnsi="Arial Narrow"/>
                <w:sz w:val="20"/>
                <w:szCs w:val="20"/>
              </w:rPr>
              <w:t>Multiple Myeloma</w:t>
            </w:r>
          </w:p>
        </w:tc>
      </w:tr>
      <w:tr w:rsidR="0014113E" w:rsidRPr="0046724E" w:rsidTr="004C707A">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2804" w:type="dxa"/>
            <w:gridSpan w:val="2"/>
            <w:tcBorders>
              <w:top w:val="single" w:sz="4" w:space="0" w:color="auto"/>
              <w:left w:val="single" w:sz="4" w:space="0" w:color="auto"/>
              <w:bottom w:val="single" w:sz="4" w:space="0" w:color="auto"/>
              <w:right w:val="single" w:sz="4" w:space="0" w:color="auto"/>
            </w:tcBorders>
          </w:tcPr>
          <w:p w:rsidR="0014113E" w:rsidRPr="0046724E" w:rsidRDefault="0014113E" w:rsidP="005533D1">
            <w:pPr>
              <w:rPr>
                <w:rFonts w:ascii="Arial Narrow" w:hAnsi="Arial Narrow"/>
                <w:b/>
                <w:sz w:val="20"/>
                <w:szCs w:val="20"/>
              </w:rPr>
            </w:pPr>
            <w:r w:rsidRPr="0046724E">
              <w:rPr>
                <w:rFonts w:ascii="Arial Narrow" w:hAnsi="Arial Narrow"/>
                <w:b/>
                <w:sz w:val="20"/>
                <w:szCs w:val="20"/>
              </w:rPr>
              <w:t>Restriction Level / Method:</w:t>
            </w:r>
          </w:p>
          <w:p w:rsidR="0014113E" w:rsidRPr="0046724E" w:rsidRDefault="0014113E" w:rsidP="005533D1">
            <w:pPr>
              <w:rPr>
                <w:rFonts w:ascii="Arial Narrow" w:hAnsi="Arial Narrow"/>
                <w:sz w:val="20"/>
                <w:szCs w:val="20"/>
              </w:rPr>
            </w:pPr>
          </w:p>
        </w:tc>
        <w:tc>
          <w:tcPr>
            <w:tcW w:w="6441" w:type="dxa"/>
            <w:gridSpan w:val="5"/>
            <w:tcBorders>
              <w:top w:val="single" w:sz="4" w:space="0" w:color="auto"/>
              <w:left w:val="single" w:sz="4" w:space="0" w:color="auto"/>
              <w:bottom w:val="single" w:sz="4" w:space="0" w:color="auto"/>
              <w:right w:val="single" w:sz="4" w:space="0" w:color="auto"/>
            </w:tcBorders>
          </w:tcPr>
          <w:p w:rsidR="0014113E" w:rsidRPr="0046724E" w:rsidRDefault="0014113E" w:rsidP="005533D1">
            <w:pPr>
              <w:rPr>
                <w:rFonts w:ascii="Arial Narrow" w:hAnsi="Arial Narrow"/>
                <w:sz w:val="20"/>
                <w:szCs w:val="20"/>
              </w:rPr>
            </w:pPr>
            <w:r w:rsidRPr="0046724E">
              <w:rPr>
                <w:rFonts w:ascii="Arial Narrow" w:hAnsi="Arial Narrow"/>
                <w:sz w:val="20"/>
                <w:szCs w:val="20"/>
              </w:rPr>
              <w:fldChar w:fldCharType="begin">
                <w:ffData>
                  <w:name w:val="Check1"/>
                  <w:enabled/>
                  <w:calcOnExit w:val="0"/>
                  <w:checkBox>
                    <w:sizeAuto/>
                    <w:default w:val="0"/>
                  </w:checkBox>
                </w:ffData>
              </w:fldChar>
            </w:r>
            <w:r w:rsidRPr="0046724E">
              <w:rPr>
                <w:rFonts w:ascii="Arial Narrow" w:hAnsi="Arial Narrow"/>
                <w:sz w:val="20"/>
                <w:szCs w:val="20"/>
              </w:rPr>
              <w:instrText xml:space="preserve"> FORMCHECKBOX </w:instrText>
            </w:r>
            <w:r w:rsidR="004C707A">
              <w:rPr>
                <w:rFonts w:ascii="Arial Narrow" w:hAnsi="Arial Narrow"/>
                <w:sz w:val="20"/>
                <w:szCs w:val="20"/>
              </w:rPr>
            </w:r>
            <w:r w:rsidR="004C707A">
              <w:rPr>
                <w:rFonts w:ascii="Arial Narrow" w:hAnsi="Arial Narrow"/>
                <w:sz w:val="20"/>
                <w:szCs w:val="20"/>
              </w:rPr>
              <w:fldChar w:fldCharType="separate"/>
            </w:r>
            <w:r w:rsidRPr="0046724E">
              <w:rPr>
                <w:rFonts w:ascii="Arial Narrow" w:hAnsi="Arial Narrow"/>
                <w:sz w:val="20"/>
                <w:szCs w:val="20"/>
              </w:rPr>
              <w:fldChar w:fldCharType="end"/>
            </w:r>
            <w:r w:rsidRPr="0046724E">
              <w:rPr>
                <w:rFonts w:ascii="Arial Narrow" w:hAnsi="Arial Narrow"/>
                <w:sz w:val="20"/>
                <w:szCs w:val="20"/>
              </w:rPr>
              <w:t>Restricted benefit</w:t>
            </w:r>
          </w:p>
          <w:p w:rsidR="0014113E" w:rsidRPr="0046724E" w:rsidRDefault="0014113E" w:rsidP="005533D1">
            <w:pPr>
              <w:rPr>
                <w:rFonts w:ascii="Arial Narrow" w:hAnsi="Arial Narrow"/>
                <w:sz w:val="20"/>
                <w:szCs w:val="20"/>
              </w:rPr>
            </w:pPr>
            <w:r w:rsidRPr="0046724E">
              <w:rPr>
                <w:rFonts w:ascii="Arial Narrow" w:hAnsi="Arial Narrow"/>
                <w:sz w:val="20"/>
                <w:szCs w:val="20"/>
              </w:rPr>
              <w:fldChar w:fldCharType="begin">
                <w:ffData>
                  <w:name w:val=""/>
                  <w:enabled/>
                  <w:calcOnExit w:val="0"/>
                  <w:checkBox>
                    <w:sizeAuto/>
                    <w:default w:val="0"/>
                  </w:checkBox>
                </w:ffData>
              </w:fldChar>
            </w:r>
            <w:r w:rsidRPr="0046724E">
              <w:rPr>
                <w:rFonts w:ascii="Arial Narrow" w:hAnsi="Arial Narrow"/>
                <w:sz w:val="20"/>
                <w:szCs w:val="20"/>
              </w:rPr>
              <w:instrText xml:space="preserve"> FORMCHECKBOX </w:instrText>
            </w:r>
            <w:r w:rsidR="004C707A">
              <w:rPr>
                <w:rFonts w:ascii="Arial Narrow" w:hAnsi="Arial Narrow"/>
                <w:sz w:val="20"/>
                <w:szCs w:val="20"/>
              </w:rPr>
            </w:r>
            <w:r w:rsidR="004C707A">
              <w:rPr>
                <w:rFonts w:ascii="Arial Narrow" w:hAnsi="Arial Narrow"/>
                <w:sz w:val="20"/>
                <w:szCs w:val="20"/>
              </w:rPr>
              <w:fldChar w:fldCharType="separate"/>
            </w:r>
            <w:r w:rsidRPr="0046724E">
              <w:rPr>
                <w:rFonts w:ascii="Arial Narrow" w:hAnsi="Arial Narrow"/>
                <w:sz w:val="20"/>
                <w:szCs w:val="20"/>
              </w:rPr>
              <w:fldChar w:fldCharType="end"/>
            </w:r>
            <w:r w:rsidRPr="0046724E">
              <w:rPr>
                <w:rFonts w:ascii="Arial Narrow" w:hAnsi="Arial Narrow"/>
                <w:sz w:val="20"/>
                <w:szCs w:val="20"/>
              </w:rPr>
              <w:t>Authority Required - In Writing</w:t>
            </w:r>
          </w:p>
          <w:p w:rsidR="0014113E" w:rsidRPr="0046724E" w:rsidRDefault="0014113E" w:rsidP="005533D1">
            <w:pPr>
              <w:rPr>
                <w:rFonts w:ascii="Arial Narrow" w:hAnsi="Arial Narrow"/>
                <w:sz w:val="20"/>
                <w:szCs w:val="20"/>
              </w:rPr>
            </w:pPr>
            <w:r w:rsidRPr="0046724E">
              <w:rPr>
                <w:rFonts w:ascii="Arial Narrow" w:hAnsi="Arial Narrow"/>
                <w:sz w:val="20"/>
                <w:szCs w:val="20"/>
              </w:rPr>
              <w:fldChar w:fldCharType="begin">
                <w:ffData>
                  <w:name w:val="Check3"/>
                  <w:enabled/>
                  <w:calcOnExit w:val="0"/>
                  <w:checkBox>
                    <w:sizeAuto/>
                    <w:default w:val="0"/>
                  </w:checkBox>
                </w:ffData>
              </w:fldChar>
            </w:r>
            <w:r w:rsidRPr="0046724E">
              <w:rPr>
                <w:rFonts w:ascii="Arial Narrow" w:hAnsi="Arial Narrow"/>
                <w:sz w:val="20"/>
                <w:szCs w:val="20"/>
              </w:rPr>
              <w:instrText xml:space="preserve"> FORMCHECKBOX </w:instrText>
            </w:r>
            <w:r w:rsidR="004C707A">
              <w:rPr>
                <w:rFonts w:ascii="Arial Narrow" w:hAnsi="Arial Narrow"/>
                <w:sz w:val="20"/>
                <w:szCs w:val="20"/>
              </w:rPr>
            </w:r>
            <w:r w:rsidR="004C707A">
              <w:rPr>
                <w:rFonts w:ascii="Arial Narrow" w:hAnsi="Arial Narrow"/>
                <w:sz w:val="20"/>
                <w:szCs w:val="20"/>
              </w:rPr>
              <w:fldChar w:fldCharType="separate"/>
            </w:r>
            <w:r w:rsidRPr="0046724E">
              <w:rPr>
                <w:rFonts w:ascii="Arial Narrow" w:hAnsi="Arial Narrow"/>
                <w:sz w:val="20"/>
                <w:szCs w:val="20"/>
              </w:rPr>
              <w:fldChar w:fldCharType="end"/>
            </w:r>
            <w:r w:rsidRPr="0046724E">
              <w:rPr>
                <w:rFonts w:ascii="Arial Narrow" w:hAnsi="Arial Narrow"/>
                <w:sz w:val="20"/>
                <w:szCs w:val="20"/>
              </w:rPr>
              <w:t>Authority Required - Telephone</w:t>
            </w:r>
          </w:p>
          <w:p w:rsidR="0014113E" w:rsidRPr="0046724E" w:rsidRDefault="0014113E" w:rsidP="005533D1">
            <w:pPr>
              <w:rPr>
                <w:rFonts w:ascii="Arial Narrow" w:hAnsi="Arial Narrow"/>
                <w:sz w:val="20"/>
                <w:szCs w:val="20"/>
              </w:rPr>
            </w:pPr>
            <w:r w:rsidRPr="0046724E">
              <w:rPr>
                <w:rFonts w:ascii="Arial Narrow" w:hAnsi="Arial Narrow"/>
                <w:sz w:val="20"/>
                <w:szCs w:val="20"/>
              </w:rPr>
              <w:fldChar w:fldCharType="begin">
                <w:ffData>
                  <w:name w:val=""/>
                  <w:enabled/>
                  <w:calcOnExit w:val="0"/>
                  <w:checkBox>
                    <w:sizeAuto/>
                    <w:default w:val="0"/>
                  </w:checkBox>
                </w:ffData>
              </w:fldChar>
            </w:r>
            <w:r w:rsidRPr="0046724E">
              <w:rPr>
                <w:rFonts w:ascii="Arial Narrow" w:hAnsi="Arial Narrow"/>
                <w:sz w:val="20"/>
                <w:szCs w:val="20"/>
              </w:rPr>
              <w:instrText xml:space="preserve"> FORMCHECKBOX </w:instrText>
            </w:r>
            <w:r w:rsidR="004C707A">
              <w:rPr>
                <w:rFonts w:ascii="Arial Narrow" w:hAnsi="Arial Narrow"/>
                <w:sz w:val="20"/>
                <w:szCs w:val="20"/>
              </w:rPr>
            </w:r>
            <w:r w:rsidR="004C707A">
              <w:rPr>
                <w:rFonts w:ascii="Arial Narrow" w:hAnsi="Arial Narrow"/>
                <w:sz w:val="20"/>
                <w:szCs w:val="20"/>
              </w:rPr>
              <w:fldChar w:fldCharType="separate"/>
            </w:r>
            <w:r w:rsidRPr="0046724E">
              <w:rPr>
                <w:rFonts w:ascii="Arial Narrow" w:hAnsi="Arial Narrow"/>
                <w:sz w:val="20"/>
                <w:szCs w:val="20"/>
              </w:rPr>
              <w:fldChar w:fldCharType="end"/>
            </w:r>
            <w:r w:rsidRPr="0046724E">
              <w:rPr>
                <w:rFonts w:ascii="Arial Narrow" w:hAnsi="Arial Narrow"/>
                <w:sz w:val="20"/>
                <w:szCs w:val="20"/>
              </w:rPr>
              <w:t>Authority Required – Emergency</w:t>
            </w:r>
          </w:p>
          <w:p w:rsidR="0014113E" w:rsidRPr="0046724E" w:rsidRDefault="0014113E" w:rsidP="005533D1">
            <w:pPr>
              <w:rPr>
                <w:rFonts w:ascii="Arial Narrow" w:hAnsi="Arial Narrow"/>
                <w:sz w:val="20"/>
                <w:szCs w:val="20"/>
              </w:rPr>
            </w:pPr>
            <w:r w:rsidRPr="0046724E">
              <w:rPr>
                <w:rFonts w:ascii="Arial Narrow" w:hAnsi="Arial Narrow"/>
                <w:sz w:val="20"/>
                <w:szCs w:val="20"/>
              </w:rPr>
              <w:fldChar w:fldCharType="begin">
                <w:ffData>
                  <w:name w:val="Check5"/>
                  <w:enabled/>
                  <w:calcOnExit w:val="0"/>
                  <w:checkBox>
                    <w:sizeAuto/>
                    <w:default w:val="0"/>
                  </w:checkBox>
                </w:ffData>
              </w:fldChar>
            </w:r>
            <w:r w:rsidRPr="0046724E">
              <w:rPr>
                <w:rFonts w:ascii="Arial Narrow" w:hAnsi="Arial Narrow"/>
                <w:sz w:val="20"/>
                <w:szCs w:val="20"/>
              </w:rPr>
              <w:instrText xml:space="preserve"> FORMCHECKBOX </w:instrText>
            </w:r>
            <w:r w:rsidR="004C707A">
              <w:rPr>
                <w:rFonts w:ascii="Arial Narrow" w:hAnsi="Arial Narrow"/>
                <w:sz w:val="20"/>
                <w:szCs w:val="20"/>
              </w:rPr>
            </w:r>
            <w:r w:rsidR="004C707A">
              <w:rPr>
                <w:rFonts w:ascii="Arial Narrow" w:hAnsi="Arial Narrow"/>
                <w:sz w:val="20"/>
                <w:szCs w:val="20"/>
              </w:rPr>
              <w:fldChar w:fldCharType="separate"/>
            </w:r>
            <w:r w:rsidRPr="0046724E">
              <w:rPr>
                <w:rFonts w:ascii="Arial Narrow" w:hAnsi="Arial Narrow"/>
                <w:sz w:val="20"/>
                <w:szCs w:val="20"/>
              </w:rPr>
              <w:fldChar w:fldCharType="end"/>
            </w:r>
            <w:r w:rsidRPr="0046724E">
              <w:rPr>
                <w:rFonts w:ascii="Arial Narrow" w:hAnsi="Arial Narrow"/>
                <w:sz w:val="20"/>
                <w:szCs w:val="20"/>
              </w:rPr>
              <w:t>Authority Required - Electronic</w:t>
            </w:r>
          </w:p>
          <w:p w:rsidR="0014113E" w:rsidRPr="0046724E" w:rsidRDefault="0014113E" w:rsidP="005533D1">
            <w:pPr>
              <w:rPr>
                <w:rFonts w:ascii="Arial Narrow" w:hAnsi="Arial Narrow"/>
                <w:sz w:val="20"/>
                <w:szCs w:val="20"/>
              </w:rPr>
            </w:pPr>
            <w:r w:rsidRPr="0046724E">
              <w:rPr>
                <w:rFonts w:ascii="Arial Narrow" w:hAnsi="Arial Narrow"/>
                <w:sz w:val="20"/>
                <w:szCs w:val="20"/>
              </w:rPr>
              <w:fldChar w:fldCharType="begin">
                <w:ffData>
                  <w:name w:val=""/>
                  <w:enabled/>
                  <w:calcOnExit w:val="0"/>
                  <w:checkBox>
                    <w:sizeAuto/>
                    <w:default w:val="1"/>
                  </w:checkBox>
                </w:ffData>
              </w:fldChar>
            </w:r>
            <w:r w:rsidRPr="0046724E">
              <w:rPr>
                <w:rFonts w:ascii="Arial Narrow" w:hAnsi="Arial Narrow"/>
                <w:sz w:val="20"/>
                <w:szCs w:val="20"/>
              </w:rPr>
              <w:instrText xml:space="preserve"> FORMCHECKBOX </w:instrText>
            </w:r>
            <w:r w:rsidR="004C707A">
              <w:rPr>
                <w:rFonts w:ascii="Arial Narrow" w:hAnsi="Arial Narrow"/>
                <w:sz w:val="20"/>
                <w:szCs w:val="20"/>
              </w:rPr>
            </w:r>
            <w:r w:rsidR="004C707A">
              <w:rPr>
                <w:rFonts w:ascii="Arial Narrow" w:hAnsi="Arial Narrow"/>
                <w:sz w:val="20"/>
                <w:szCs w:val="20"/>
              </w:rPr>
              <w:fldChar w:fldCharType="separate"/>
            </w:r>
            <w:r w:rsidRPr="0046724E">
              <w:rPr>
                <w:rFonts w:ascii="Arial Narrow" w:hAnsi="Arial Narrow"/>
                <w:sz w:val="20"/>
                <w:szCs w:val="20"/>
              </w:rPr>
              <w:fldChar w:fldCharType="end"/>
            </w:r>
            <w:r w:rsidRPr="0046724E">
              <w:rPr>
                <w:rFonts w:ascii="Arial Narrow" w:hAnsi="Arial Narrow"/>
                <w:sz w:val="20"/>
                <w:szCs w:val="20"/>
              </w:rPr>
              <w:t>Streamlined</w:t>
            </w:r>
          </w:p>
        </w:tc>
      </w:tr>
      <w:tr w:rsidR="0014113E" w:rsidRPr="0046724E" w:rsidTr="004C707A">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2804" w:type="dxa"/>
            <w:gridSpan w:val="2"/>
            <w:tcBorders>
              <w:top w:val="single" w:sz="4" w:space="0" w:color="auto"/>
              <w:left w:val="single" w:sz="4" w:space="0" w:color="auto"/>
              <w:bottom w:val="single" w:sz="4" w:space="0" w:color="auto"/>
              <w:right w:val="single" w:sz="4" w:space="0" w:color="auto"/>
            </w:tcBorders>
          </w:tcPr>
          <w:p w:rsidR="0014113E" w:rsidRPr="0046724E" w:rsidRDefault="0014113E" w:rsidP="005533D1">
            <w:pPr>
              <w:rPr>
                <w:rFonts w:ascii="Arial Narrow" w:hAnsi="Arial Narrow"/>
                <w:b/>
                <w:sz w:val="20"/>
                <w:szCs w:val="20"/>
              </w:rPr>
            </w:pPr>
            <w:r w:rsidRPr="0046724E">
              <w:rPr>
                <w:rFonts w:ascii="Arial Narrow" w:hAnsi="Arial Narrow"/>
                <w:b/>
                <w:sz w:val="20"/>
                <w:szCs w:val="20"/>
              </w:rPr>
              <w:t>Administrative Advice</w:t>
            </w:r>
          </w:p>
          <w:p w:rsidR="0014113E" w:rsidRPr="0046724E" w:rsidRDefault="0014113E" w:rsidP="005533D1">
            <w:pPr>
              <w:rPr>
                <w:rFonts w:ascii="Arial Narrow" w:hAnsi="Arial Narrow"/>
                <w:sz w:val="20"/>
                <w:szCs w:val="20"/>
              </w:rPr>
            </w:pPr>
          </w:p>
        </w:tc>
        <w:tc>
          <w:tcPr>
            <w:tcW w:w="6441" w:type="dxa"/>
            <w:gridSpan w:val="5"/>
            <w:tcBorders>
              <w:top w:val="single" w:sz="4" w:space="0" w:color="auto"/>
              <w:left w:val="single" w:sz="4" w:space="0" w:color="auto"/>
              <w:bottom w:val="single" w:sz="4" w:space="0" w:color="auto"/>
              <w:right w:val="single" w:sz="4" w:space="0" w:color="auto"/>
            </w:tcBorders>
          </w:tcPr>
          <w:p w:rsidR="0014113E" w:rsidRPr="0046724E" w:rsidRDefault="0014113E" w:rsidP="005533D1">
            <w:pPr>
              <w:tabs>
                <w:tab w:val="num" w:pos="720"/>
              </w:tabs>
              <w:rPr>
                <w:rFonts w:ascii="Arial Narrow" w:hAnsi="Arial Narrow"/>
                <w:b/>
                <w:sz w:val="20"/>
                <w:szCs w:val="20"/>
              </w:rPr>
            </w:pPr>
            <w:r w:rsidRPr="0046724E">
              <w:rPr>
                <w:rFonts w:ascii="Arial Narrow" w:hAnsi="Arial Narrow"/>
                <w:b/>
                <w:sz w:val="20"/>
                <w:szCs w:val="20"/>
              </w:rPr>
              <w:t xml:space="preserve">Continuing therapy only </w:t>
            </w:r>
          </w:p>
          <w:p w:rsidR="0014113E" w:rsidRPr="0046724E" w:rsidRDefault="0014113E" w:rsidP="005533D1">
            <w:pPr>
              <w:rPr>
                <w:rFonts w:ascii="Arial Narrow" w:hAnsi="Arial Narrow"/>
                <w:sz w:val="20"/>
                <w:szCs w:val="20"/>
              </w:rPr>
            </w:pPr>
            <w:r w:rsidRPr="0046724E">
              <w:rPr>
                <w:rFonts w:ascii="Arial Narrow" w:hAnsi="Arial Narrow"/>
                <w:sz w:val="20"/>
                <w:szCs w:val="20"/>
              </w:rPr>
              <w:t xml:space="preserve">For prescribing by nurse practitioners as continuing therapy only, where the treatment of, and prescribing of medicine for, a patient has been initiated by a medical practitioner.  Further information </w:t>
            </w:r>
            <w:proofErr w:type="gramStart"/>
            <w:r w:rsidRPr="0046724E">
              <w:rPr>
                <w:rFonts w:ascii="Arial Narrow" w:hAnsi="Arial Narrow"/>
                <w:sz w:val="20"/>
                <w:szCs w:val="20"/>
              </w:rPr>
              <w:t>can be found</w:t>
            </w:r>
            <w:proofErr w:type="gramEnd"/>
            <w:r w:rsidRPr="0046724E">
              <w:rPr>
                <w:rFonts w:ascii="Arial Narrow" w:hAnsi="Arial Narrow"/>
                <w:sz w:val="20"/>
                <w:szCs w:val="20"/>
              </w:rPr>
              <w:t xml:space="preserve"> in the Explanatory Notes for Nurse Practitioners.</w:t>
            </w:r>
          </w:p>
        </w:tc>
      </w:tr>
    </w:tbl>
    <w:p w:rsidR="0067747D" w:rsidRPr="0046724E" w:rsidRDefault="0014113E" w:rsidP="005533D1">
      <w:pPr>
        <w:spacing w:after="120"/>
        <w:rPr>
          <w:rFonts w:ascii="Arial Narrow" w:eastAsiaTheme="minorHAnsi" w:hAnsi="Arial Narrow" w:cstheme="minorBidi"/>
          <w:sz w:val="20"/>
          <w:szCs w:val="20"/>
        </w:rPr>
      </w:pPr>
      <w:r w:rsidRPr="0046724E">
        <w:rPr>
          <w:rFonts w:ascii="Arial Narrow" w:eastAsiaTheme="minorHAnsi" w:hAnsi="Arial Narrow" w:cstheme="minorBidi"/>
          <w:sz w:val="20"/>
          <w:szCs w:val="20"/>
        </w:rPr>
        <w:t>*see economic analysis section</w:t>
      </w:r>
    </w:p>
    <w:p w:rsidR="00816B58" w:rsidRPr="0046724E" w:rsidRDefault="00816B58" w:rsidP="00816B58">
      <w:pPr>
        <w:rPr>
          <w:rFonts w:asciiTheme="minorHAnsi" w:hAnsiTheme="minorHAnsi"/>
          <w:i/>
        </w:rPr>
      </w:pPr>
      <w:bookmarkStart w:id="0" w:name="_Hlk528696770"/>
      <w:r w:rsidRPr="0046724E">
        <w:rPr>
          <w:rFonts w:asciiTheme="minorHAnsi" w:hAnsiTheme="minorHAnsi"/>
          <w:i/>
        </w:rPr>
        <w:t>For more detail on PBAC’s view, see section 7 PBAC outcome.</w:t>
      </w:r>
    </w:p>
    <w:bookmarkEnd w:id="0"/>
    <w:p w:rsidR="00C603D4" w:rsidRPr="0046724E" w:rsidRDefault="000D796A" w:rsidP="00E70616">
      <w:pPr>
        <w:pStyle w:val="PBACHeading1"/>
      </w:pPr>
      <w:r w:rsidRPr="0046724E">
        <w:t>B</w:t>
      </w:r>
      <w:r w:rsidR="00CE10C4" w:rsidRPr="0046724E">
        <w:t>ackground</w:t>
      </w:r>
    </w:p>
    <w:p w:rsidR="000414D2" w:rsidRPr="00E70616" w:rsidRDefault="000414D2" w:rsidP="00E70616">
      <w:pPr>
        <w:pStyle w:val="Heading2"/>
      </w:pPr>
      <w:r w:rsidRPr="00E70616">
        <w:t>Registration status</w:t>
      </w:r>
    </w:p>
    <w:p w:rsidR="000414D2" w:rsidRPr="0046724E" w:rsidRDefault="000414D2" w:rsidP="00970BF5">
      <w:pPr>
        <w:pStyle w:val="ListParagraph"/>
        <w:widowControl/>
        <w:numPr>
          <w:ilvl w:val="1"/>
          <w:numId w:val="14"/>
        </w:numPr>
        <w:spacing w:before="120" w:after="160"/>
        <w:rPr>
          <w:rFonts w:asciiTheme="minorHAnsi" w:hAnsiTheme="minorHAnsi"/>
          <w:sz w:val="24"/>
          <w:szCs w:val="24"/>
        </w:rPr>
      </w:pPr>
      <w:proofErr w:type="spellStart"/>
      <w:r w:rsidRPr="0046724E">
        <w:rPr>
          <w:rFonts w:asciiTheme="minorHAnsi" w:hAnsiTheme="minorHAnsi"/>
          <w:sz w:val="24"/>
          <w:szCs w:val="24"/>
        </w:rPr>
        <w:t>Denosumab</w:t>
      </w:r>
      <w:proofErr w:type="spellEnd"/>
      <w:r w:rsidRPr="0046724E">
        <w:rPr>
          <w:rFonts w:asciiTheme="minorHAnsi" w:hAnsiTheme="minorHAnsi"/>
          <w:sz w:val="24"/>
          <w:szCs w:val="24"/>
        </w:rPr>
        <w:t xml:space="preserve"> </w:t>
      </w:r>
      <w:r w:rsidR="00225259" w:rsidRPr="0046724E">
        <w:rPr>
          <w:rFonts w:asciiTheme="minorHAnsi" w:hAnsiTheme="minorHAnsi"/>
          <w:sz w:val="24"/>
          <w:szCs w:val="24"/>
        </w:rPr>
        <w:t xml:space="preserve">120 mg </w:t>
      </w:r>
      <w:proofErr w:type="gramStart"/>
      <w:r w:rsidRPr="0046724E">
        <w:rPr>
          <w:rFonts w:asciiTheme="minorHAnsi" w:hAnsiTheme="minorHAnsi"/>
          <w:sz w:val="24"/>
          <w:szCs w:val="24"/>
        </w:rPr>
        <w:t>was registered</w:t>
      </w:r>
      <w:proofErr w:type="gramEnd"/>
      <w:r w:rsidRPr="0046724E">
        <w:rPr>
          <w:rFonts w:asciiTheme="minorHAnsi" w:hAnsiTheme="minorHAnsi"/>
          <w:sz w:val="24"/>
          <w:szCs w:val="24"/>
        </w:rPr>
        <w:t xml:space="preserve"> for use in </w:t>
      </w:r>
      <w:r w:rsidR="00970BF5" w:rsidRPr="0046724E">
        <w:rPr>
          <w:rFonts w:asciiTheme="minorHAnsi" w:hAnsiTheme="minorHAnsi"/>
          <w:sz w:val="24"/>
          <w:szCs w:val="24"/>
        </w:rPr>
        <w:t>multiple myeloma</w:t>
      </w:r>
      <w:r w:rsidRPr="0046724E">
        <w:rPr>
          <w:rFonts w:asciiTheme="minorHAnsi" w:hAnsiTheme="minorHAnsi"/>
          <w:sz w:val="24"/>
          <w:szCs w:val="24"/>
        </w:rPr>
        <w:t xml:space="preserve"> on 20 July 2018</w:t>
      </w:r>
      <w:r w:rsidR="00D7437A">
        <w:rPr>
          <w:rFonts w:asciiTheme="minorHAnsi" w:hAnsiTheme="minorHAnsi"/>
          <w:sz w:val="24"/>
          <w:szCs w:val="24"/>
        </w:rPr>
        <w:t>. The registered indication is:</w:t>
      </w:r>
    </w:p>
    <w:p w:rsidR="000414D2" w:rsidRPr="00981A70" w:rsidRDefault="000414D2" w:rsidP="005533D1">
      <w:pPr>
        <w:pStyle w:val="ListParagraph"/>
        <w:widowControl/>
        <w:numPr>
          <w:ilvl w:val="0"/>
          <w:numId w:val="17"/>
        </w:numPr>
        <w:spacing w:before="120" w:after="160"/>
        <w:rPr>
          <w:rFonts w:asciiTheme="minorHAnsi" w:hAnsiTheme="minorHAnsi"/>
          <w:sz w:val="24"/>
          <w:szCs w:val="24"/>
        </w:rPr>
      </w:pPr>
      <w:r w:rsidRPr="0046724E">
        <w:rPr>
          <w:rFonts w:asciiTheme="minorHAnsi" w:hAnsiTheme="minorHAnsi"/>
          <w:sz w:val="24"/>
          <w:szCs w:val="24"/>
        </w:rPr>
        <w:t xml:space="preserve">Prevention of skeletal related events in patients with multiple myeloma and in patients with bone </w:t>
      </w:r>
      <w:r w:rsidR="00D7437A">
        <w:rPr>
          <w:rFonts w:asciiTheme="minorHAnsi" w:hAnsiTheme="minorHAnsi"/>
          <w:sz w:val="24"/>
          <w:szCs w:val="24"/>
        </w:rPr>
        <w:t>metastases from solid tumours.</w:t>
      </w:r>
    </w:p>
    <w:p w:rsidR="000E0D7A" w:rsidRPr="0046724E" w:rsidRDefault="000414D2" w:rsidP="00E70616">
      <w:pPr>
        <w:pStyle w:val="Heading2"/>
      </w:pPr>
      <w:r w:rsidRPr="0046724E">
        <w:lastRenderedPageBreak/>
        <w:t>Previous PBAC consideration</w:t>
      </w:r>
    </w:p>
    <w:p w:rsidR="009F612B" w:rsidRPr="0046724E" w:rsidRDefault="009F612B" w:rsidP="002F111C">
      <w:pPr>
        <w:pStyle w:val="ListParagraph"/>
        <w:widowControl/>
        <w:numPr>
          <w:ilvl w:val="1"/>
          <w:numId w:val="14"/>
        </w:numPr>
        <w:spacing w:before="120" w:after="120"/>
        <w:contextualSpacing w:val="0"/>
        <w:rPr>
          <w:rFonts w:asciiTheme="minorHAnsi" w:hAnsiTheme="minorHAnsi"/>
          <w:sz w:val="24"/>
          <w:szCs w:val="24"/>
        </w:rPr>
      </w:pPr>
      <w:proofErr w:type="spellStart"/>
      <w:r w:rsidRPr="00EB51C1">
        <w:rPr>
          <w:rFonts w:asciiTheme="minorHAnsi" w:hAnsiTheme="minorHAnsi"/>
          <w:sz w:val="24"/>
          <w:szCs w:val="24"/>
        </w:rPr>
        <w:t>Denosumab</w:t>
      </w:r>
      <w:proofErr w:type="spellEnd"/>
      <w:r w:rsidRPr="00EB51C1">
        <w:rPr>
          <w:rFonts w:asciiTheme="minorHAnsi" w:hAnsiTheme="minorHAnsi"/>
          <w:sz w:val="24"/>
          <w:szCs w:val="24"/>
        </w:rPr>
        <w:t xml:space="preserve"> </w:t>
      </w:r>
      <w:r w:rsidR="00225259" w:rsidRPr="0046724E">
        <w:rPr>
          <w:rFonts w:asciiTheme="minorHAnsi" w:hAnsiTheme="minorHAnsi"/>
          <w:sz w:val="24"/>
          <w:szCs w:val="24"/>
        </w:rPr>
        <w:t xml:space="preserve">120 mg </w:t>
      </w:r>
      <w:proofErr w:type="gramStart"/>
      <w:r w:rsidRPr="0046724E">
        <w:rPr>
          <w:rFonts w:asciiTheme="minorHAnsi" w:hAnsiTheme="minorHAnsi"/>
          <w:sz w:val="24"/>
          <w:szCs w:val="24"/>
        </w:rPr>
        <w:t>is currently listed</w:t>
      </w:r>
      <w:proofErr w:type="gramEnd"/>
      <w:r w:rsidRPr="0046724E">
        <w:rPr>
          <w:rFonts w:asciiTheme="minorHAnsi" w:hAnsiTheme="minorHAnsi"/>
          <w:sz w:val="24"/>
          <w:szCs w:val="24"/>
        </w:rPr>
        <w:t xml:space="preserve"> on the PBS for treatment of giant cell tumour of bone and bone metastases from breast </w:t>
      </w:r>
      <w:r w:rsidR="00970BF5" w:rsidRPr="0046724E">
        <w:rPr>
          <w:rFonts w:asciiTheme="minorHAnsi" w:hAnsiTheme="minorHAnsi"/>
          <w:sz w:val="24"/>
          <w:szCs w:val="24"/>
        </w:rPr>
        <w:t xml:space="preserve">or </w:t>
      </w:r>
      <w:r w:rsidRPr="0046724E">
        <w:rPr>
          <w:rFonts w:asciiTheme="minorHAnsi" w:hAnsiTheme="minorHAnsi"/>
          <w:sz w:val="24"/>
          <w:szCs w:val="24"/>
        </w:rPr>
        <w:t>cast</w:t>
      </w:r>
      <w:r w:rsidR="00D7437A">
        <w:rPr>
          <w:rFonts w:asciiTheme="minorHAnsi" w:hAnsiTheme="minorHAnsi"/>
          <w:sz w:val="24"/>
          <w:szCs w:val="24"/>
        </w:rPr>
        <w:t>rate-resistant prostate cancer.</w:t>
      </w:r>
    </w:p>
    <w:p w:rsidR="000414D2" w:rsidRPr="0046724E" w:rsidRDefault="009F612B" w:rsidP="005533D1">
      <w:pPr>
        <w:pStyle w:val="ListParagraph"/>
        <w:widowControl/>
        <w:numPr>
          <w:ilvl w:val="1"/>
          <w:numId w:val="14"/>
        </w:numPr>
        <w:spacing w:before="120" w:after="160"/>
        <w:rPr>
          <w:rFonts w:asciiTheme="minorHAnsi" w:hAnsiTheme="minorHAnsi"/>
          <w:sz w:val="24"/>
          <w:szCs w:val="24"/>
        </w:rPr>
      </w:pPr>
      <w:r w:rsidRPr="0046724E">
        <w:rPr>
          <w:rFonts w:asciiTheme="minorHAnsi" w:hAnsiTheme="minorHAnsi"/>
          <w:sz w:val="24"/>
          <w:szCs w:val="24"/>
        </w:rPr>
        <w:t>In July 2018, the PBAC considered a</w:t>
      </w:r>
      <w:r w:rsidR="000414D2" w:rsidRPr="0046724E">
        <w:rPr>
          <w:rFonts w:asciiTheme="minorHAnsi" w:hAnsiTheme="minorHAnsi"/>
          <w:sz w:val="24"/>
          <w:szCs w:val="24"/>
        </w:rPr>
        <w:t xml:space="preserve"> major submission </w:t>
      </w:r>
      <w:r w:rsidR="00A20615" w:rsidRPr="0046724E">
        <w:rPr>
          <w:rFonts w:asciiTheme="minorHAnsi" w:hAnsiTheme="minorHAnsi"/>
          <w:sz w:val="24"/>
          <w:szCs w:val="24"/>
        </w:rPr>
        <w:t>seeking</w:t>
      </w:r>
      <w:r w:rsidR="000414D2" w:rsidRPr="0046724E">
        <w:rPr>
          <w:rFonts w:asciiTheme="minorHAnsi" w:hAnsiTheme="minorHAnsi"/>
          <w:sz w:val="24"/>
          <w:szCs w:val="24"/>
        </w:rPr>
        <w:t xml:space="preserve"> </w:t>
      </w:r>
      <w:r w:rsidRPr="0046724E">
        <w:rPr>
          <w:rFonts w:asciiTheme="minorHAnsi" w:hAnsiTheme="minorHAnsi"/>
          <w:sz w:val="24"/>
          <w:szCs w:val="24"/>
        </w:rPr>
        <w:t xml:space="preserve">an extension of the current Section 85 Streamlined Authority Required listing for </w:t>
      </w:r>
      <w:proofErr w:type="spellStart"/>
      <w:r w:rsidRPr="0046724E">
        <w:rPr>
          <w:rFonts w:asciiTheme="minorHAnsi" w:hAnsiTheme="minorHAnsi"/>
          <w:sz w:val="24"/>
          <w:szCs w:val="24"/>
        </w:rPr>
        <w:t>denosumab</w:t>
      </w:r>
      <w:proofErr w:type="spellEnd"/>
      <w:r w:rsidRPr="0046724E">
        <w:rPr>
          <w:rFonts w:asciiTheme="minorHAnsi" w:hAnsiTheme="minorHAnsi"/>
          <w:sz w:val="24"/>
          <w:szCs w:val="24"/>
        </w:rPr>
        <w:t xml:space="preserve"> to include treatment of patients with multiple myeloma. The PBAC decided not to recommend extending the listing as there was an inadequate basis for accepting the claim of superior effectiveness compared to </w:t>
      </w:r>
      <w:proofErr w:type="spellStart"/>
      <w:r w:rsidRPr="0046724E">
        <w:rPr>
          <w:rFonts w:asciiTheme="minorHAnsi" w:hAnsiTheme="minorHAnsi"/>
          <w:sz w:val="24"/>
          <w:szCs w:val="24"/>
        </w:rPr>
        <w:t>zoledronic</w:t>
      </w:r>
      <w:proofErr w:type="spellEnd"/>
      <w:r w:rsidRPr="0046724E">
        <w:rPr>
          <w:rFonts w:asciiTheme="minorHAnsi" w:hAnsiTheme="minorHAnsi"/>
          <w:sz w:val="24"/>
          <w:szCs w:val="24"/>
        </w:rPr>
        <w:t xml:space="preserve"> acid and the incremental cost-effectiveness based on superior progression-free survival</w:t>
      </w:r>
      <w:r w:rsidR="0075771C" w:rsidRPr="0046724E">
        <w:rPr>
          <w:rFonts w:asciiTheme="minorHAnsi" w:hAnsiTheme="minorHAnsi"/>
          <w:sz w:val="24"/>
          <w:szCs w:val="24"/>
        </w:rPr>
        <w:t xml:space="preserve"> (PFS)</w:t>
      </w:r>
      <w:r w:rsidRPr="0046724E">
        <w:rPr>
          <w:rFonts w:asciiTheme="minorHAnsi" w:hAnsiTheme="minorHAnsi"/>
          <w:sz w:val="24"/>
          <w:szCs w:val="24"/>
        </w:rPr>
        <w:t xml:space="preserve"> was implausible. The clinical evidence indicated non-inferiority to </w:t>
      </w:r>
      <w:proofErr w:type="spellStart"/>
      <w:r w:rsidRPr="0046724E">
        <w:rPr>
          <w:rFonts w:asciiTheme="minorHAnsi" w:hAnsiTheme="minorHAnsi"/>
          <w:sz w:val="24"/>
          <w:szCs w:val="24"/>
        </w:rPr>
        <w:t>zoledronic</w:t>
      </w:r>
      <w:proofErr w:type="spellEnd"/>
      <w:r w:rsidRPr="0046724E">
        <w:rPr>
          <w:rFonts w:asciiTheme="minorHAnsi" w:hAnsiTheme="minorHAnsi"/>
          <w:sz w:val="24"/>
          <w:szCs w:val="24"/>
        </w:rPr>
        <w:t xml:space="preserve"> acid for the outcome of skeletal-related events (SREs)</w:t>
      </w:r>
      <w:r w:rsidR="00225259" w:rsidRPr="0046724E">
        <w:rPr>
          <w:rFonts w:asciiTheme="minorHAnsi" w:hAnsiTheme="minorHAnsi"/>
          <w:sz w:val="24"/>
          <w:szCs w:val="24"/>
        </w:rPr>
        <w:t xml:space="preserve"> (PBAC </w:t>
      </w:r>
      <w:r w:rsidR="00056083">
        <w:rPr>
          <w:rFonts w:asciiTheme="minorHAnsi" w:hAnsiTheme="minorHAnsi"/>
          <w:sz w:val="24"/>
          <w:szCs w:val="24"/>
        </w:rPr>
        <w:t>Public Summary Document (PSD)</w:t>
      </w:r>
      <w:r w:rsidR="00056083" w:rsidRPr="0046724E">
        <w:rPr>
          <w:rFonts w:asciiTheme="minorHAnsi" w:hAnsiTheme="minorHAnsi"/>
          <w:sz w:val="24"/>
          <w:szCs w:val="24"/>
        </w:rPr>
        <w:t xml:space="preserve"> </w:t>
      </w:r>
      <w:r w:rsidR="00225259" w:rsidRPr="0046724E">
        <w:rPr>
          <w:rFonts w:asciiTheme="minorHAnsi" w:hAnsiTheme="minorHAnsi"/>
          <w:sz w:val="24"/>
          <w:szCs w:val="24"/>
        </w:rPr>
        <w:t>July 2018, paragraph 7.1)</w:t>
      </w:r>
      <w:r w:rsidRPr="0046724E">
        <w:rPr>
          <w:rFonts w:asciiTheme="minorHAnsi" w:hAnsiTheme="minorHAnsi"/>
          <w:sz w:val="24"/>
          <w:szCs w:val="24"/>
        </w:rPr>
        <w:t>.</w:t>
      </w:r>
    </w:p>
    <w:p w:rsidR="00816B58" w:rsidRPr="0046724E" w:rsidRDefault="00816B58" w:rsidP="00816B58">
      <w:pPr>
        <w:rPr>
          <w:rFonts w:asciiTheme="minorHAnsi" w:hAnsiTheme="minorHAnsi"/>
          <w:i/>
        </w:rPr>
      </w:pPr>
      <w:r w:rsidRPr="0046724E">
        <w:rPr>
          <w:rFonts w:asciiTheme="minorHAnsi" w:hAnsiTheme="minorHAnsi"/>
          <w:i/>
        </w:rPr>
        <w:t>For more detail on PBAC’s view, see section 7 PBAC outcome.</w:t>
      </w:r>
    </w:p>
    <w:p w:rsidR="005F7252" w:rsidRPr="00E70616" w:rsidRDefault="005F7252" w:rsidP="00E70616">
      <w:pPr>
        <w:pStyle w:val="PBACHeading1"/>
      </w:pPr>
      <w:r w:rsidRPr="00E70616">
        <w:t>Clinical place for the proposed therapy</w:t>
      </w:r>
    </w:p>
    <w:p w:rsidR="005F7252" w:rsidRPr="0046724E" w:rsidRDefault="005F7252" w:rsidP="005F7252">
      <w:pPr>
        <w:pStyle w:val="ListParagraph"/>
        <w:widowControl/>
        <w:numPr>
          <w:ilvl w:val="1"/>
          <w:numId w:val="14"/>
        </w:numPr>
        <w:spacing w:before="120" w:after="160"/>
        <w:rPr>
          <w:rFonts w:asciiTheme="minorHAnsi" w:hAnsiTheme="minorHAnsi"/>
          <w:b/>
          <w:sz w:val="32"/>
          <w:szCs w:val="32"/>
        </w:rPr>
      </w:pPr>
      <w:r w:rsidRPr="0046724E">
        <w:rPr>
          <w:rFonts w:asciiTheme="minorHAnsi" w:hAnsiTheme="minorHAnsi" w:cs="Times New Roman"/>
          <w:snapToGrid/>
          <w:sz w:val="24"/>
          <w:szCs w:val="24"/>
          <w:lang w:eastAsia="en-AU"/>
        </w:rPr>
        <w:t xml:space="preserve">The proposed clinical place remains unchanged from the July 2018 major submission, which positioned </w:t>
      </w:r>
      <w:proofErr w:type="spellStart"/>
      <w:r w:rsidRPr="0046724E">
        <w:rPr>
          <w:rFonts w:asciiTheme="minorHAnsi" w:hAnsiTheme="minorHAnsi" w:cs="Times New Roman"/>
          <w:snapToGrid/>
          <w:sz w:val="24"/>
          <w:szCs w:val="24"/>
          <w:lang w:eastAsia="en-AU"/>
        </w:rPr>
        <w:t>denosumab</w:t>
      </w:r>
      <w:proofErr w:type="spellEnd"/>
      <w:r w:rsidRPr="0046724E">
        <w:rPr>
          <w:rFonts w:asciiTheme="minorHAnsi" w:hAnsiTheme="minorHAnsi" w:cs="Times New Roman"/>
          <w:snapToGrid/>
          <w:sz w:val="24"/>
          <w:szCs w:val="24"/>
          <w:lang w:eastAsia="en-AU"/>
        </w:rPr>
        <w:t xml:space="preserve"> as an alternative to IV bisphosphonates for patients with multiple myeloma.</w:t>
      </w:r>
    </w:p>
    <w:p w:rsidR="005A3173" w:rsidRPr="0046724E" w:rsidRDefault="005A3173" w:rsidP="00E70616">
      <w:pPr>
        <w:pStyle w:val="PBACHeading1"/>
      </w:pPr>
      <w:r w:rsidRPr="0046724E">
        <w:t>Comparator</w:t>
      </w:r>
    </w:p>
    <w:p w:rsidR="007F3092" w:rsidRPr="0046724E" w:rsidRDefault="00043D04" w:rsidP="005533D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6724E">
        <w:rPr>
          <w:rFonts w:asciiTheme="minorHAnsi" w:eastAsiaTheme="minorHAnsi" w:hAnsiTheme="minorHAnsi" w:cstheme="minorBidi"/>
          <w:snapToGrid/>
          <w:sz w:val="24"/>
          <w:szCs w:val="22"/>
        </w:rPr>
        <w:t xml:space="preserve">In July 2018, the PBAC agreed that </w:t>
      </w:r>
      <w:proofErr w:type="spellStart"/>
      <w:r w:rsidRPr="0046724E">
        <w:rPr>
          <w:rFonts w:asciiTheme="minorHAnsi" w:eastAsiaTheme="minorHAnsi" w:hAnsiTheme="minorHAnsi" w:cstheme="minorBidi"/>
          <w:snapToGrid/>
          <w:sz w:val="24"/>
          <w:szCs w:val="22"/>
        </w:rPr>
        <w:t>zoledronic</w:t>
      </w:r>
      <w:proofErr w:type="spellEnd"/>
      <w:r w:rsidRPr="0046724E">
        <w:rPr>
          <w:rFonts w:asciiTheme="minorHAnsi" w:eastAsiaTheme="minorHAnsi" w:hAnsiTheme="minorHAnsi" w:cstheme="minorBidi"/>
          <w:snapToGrid/>
          <w:sz w:val="24"/>
          <w:szCs w:val="22"/>
        </w:rPr>
        <w:t xml:space="preserve"> acid was a relevant comparator, being the most commonly used bisphosphonate in multiple myeloma patients. However, the population in which the clinical need for </w:t>
      </w:r>
      <w:proofErr w:type="spellStart"/>
      <w:r w:rsidRPr="0046724E">
        <w:rPr>
          <w:rFonts w:asciiTheme="minorHAnsi" w:eastAsiaTheme="minorHAnsi" w:hAnsiTheme="minorHAnsi" w:cstheme="minorBidi"/>
          <w:snapToGrid/>
          <w:sz w:val="24"/>
          <w:szCs w:val="22"/>
        </w:rPr>
        <w:t>denosumab</w:t>
      </w:r>
      <w:proofErr w:type="spellEnd"/>
      <w:r w:rsidRPr="0046724E">
        <w:rPr>
          <w:rFonts w:asciiTheme="minorHAnsi" w:eastAsiaTheme="minorHAnsi" w:hAnsiTheme="minorHAnsi" w:cstheme="minorBidi"/>
          <w:snapToGrid/>
          <w:sz w:val="24"/>
          <w:szCs w:val="22"/>
        </w:rPr>
        <w:t xml:space="preserve"> may be greatest is for patients with severe renal impairment (</w:t>
      </w:r>
      <w:proofErr w:type="spellStart"/>
      <w:r w:rsidRPr="0046724E">
        <w:rPr>
          <w:rFonts w:asciiTheme="minorHAnsi" w:eastAsiaTheme="minorHAnsi" w:hAnsiTheme="minorHAnsi" w:cstheme="minorBidi"/>
          <w:snapToGrid/>
          <w:sz w:val="24"/>
          <w:szCs w:val="22"/>
        </w:rPr>
        <w:t>eGFR</w:t>
      </w:r>
      <w:proofErr w:type="spellEnd"/>
      <w:r w:rsidRPr="0046724E">
        <w:rPr>
          <w:rFonts w:asciiTheme="minorHAnsi" w:eastAsiaTheme="minorHAnsi" w:hAnsiTheme="minorHAnsi" w:cstheme="minorBidi"/>
          <w:snapToGrid/>
          <w:sz w:val="24"/>
          <w:szCs w:val="22"/>
        </w:rPr>
        <w:t xml:space="preserve"> &lt;30 ml/min), where currently </w:t>
      </w:r>
      <w:proofErr w:type="spellStart"/>
      <w:r w:rsidRPr="0046724E">
        <w:rPr>
          <w:rFonts w:asciiTheme="minorHAnsi" w:eastAsiaTheme="minorHAnsi" w:hAnsiTheme="minorHAnsi" w:cstheme="minorBidi"/>
          <w:snapToGrid/>
          <w:sz w:val="24"/>
          <w:szCs w:val="22"/>
        </w:rPr>
        <w:t>pamidronate</w:t>
      </w:r>
      <w:proofErr w:type="spellEnd"/>
      <w:r w:rsidRPr="0046724E">
        <w:rPr>
          <w:rFonts w:asciiTheme="minorHAnsi" w:eastAsiaTheme="minorHAnsi" w:hAnsiTheme="minorHAnsi" w:cstheme="minorBidi"/>
          <w:snapToGrid/>
          <w:sz w:val="24"/>
          <w:szCs w:val="22"/>
        </w:rPr>
        <w:t xml:space="preserve"> and </w:t>
      </w:r>
      <w:proofErr w:type="spellStart"/>
      <w:r w:rsidRPr="0046724E">
        <w:rPr>
          <w:rFonts w:asciiTheme="minorHAnsi" w:eastAsiaTheme="minorHAnsi" w:hAnsiTheme="minorHAnsi" w:cstheme="minorBidi"/>
          <w:snapToGrid/>
          <w:sz w:val="24"/>
          <w:szCs w:val="22"/>
        </w:rPr>
        <w:t>clodronate</w:t>
      </w:r>
      <w:proofErr w:type="spellEnd"/>
      <w:r w:rsidRPr="0046724E">
        <w:rPr>
          <w:rFonts w:asciiTheme="minorHAnsi" w:eastAsiaTheme="minorHAnsi" w:hAnsiTheme="minorHAnsi" w:cstheme="minorBidi"/>
          <w:snapToGrid/>
          <w:sz w:val="24"/>
          <w:szCs w:val="22"/>
        </w:rPr>
        <w:t xml:space="preserve"> may be used; a recent review from Myeloma and Related Disease Registry (MRDR) suggested these patients accounted for 12% of newly diagnosed patients</w:t>
      </w:r>
      <w:r w:rsidRPr="0046724E">
        <w:rPr>
          <w:rFonts w:asciiTheme="minorHAnsi" w:eastAsiaTheme="minorHAnsi" w:hAnsiTheme="minorHAnsi" w:cstheme="minorBidi"/>
          <w:snapToGrid/>
          <w:sz w:val="24"/>
          <w:szCs w:val="22"/>
          <w:vertAlign w:val="superscript"/>
        </w:rPr>
        <w:footnoteReference w:id="1"/>
      </w:r>
      <w:r w:rsidRPr="0046724E">
        <w:rPr>
          <w:rFonts w:asciiTheme="minorHAnsi" w:eastAsiaTheme="minorHAnsi" w:hAnsiTheme="minorHAnsi" w:cstheme="minorBidi"/>
          <w:snapToGrid/>
          <w:sz w:val="24"/>
          <w:szCs w:val="22"/>
        </w:rPr>
        <w:t xml:space="preserve"> (PBAC </w:t>
      </w:r>
      <w:r w:rsidR="007140E2">
        <w:rPr>
          <w:rFonts w:asciiTheme="minorHAnsi" w:eastAsiaTheme="minorHAnsi" w:hAnsiTheme="minorHAnsi" w:cstheme="minorBidi"/>
          <w:snapToGrid/>
          <w:sz w:val="24"/>
          <w:szCs w:val="22"/>
        </w:rPr>
        <w:t>PSD</w:t>
      </w:r>
      <w:r w:rsidR="007140E2" w:rsidRPr="0046724E">
        <w:rPr>
          <w:rFonts w:asciiTheme="minorHAnsi" w:eastAsiaTheme="minorHAnsi" w:hAnsiTheme="minorHAnsi" w:cstheme="minorBidi"/>
          <w:snapToGrid/>
          <w:sz w:val="24"/>
          <w:szCs w:val="22"/>
        </w:rPr>
        <w:t xml:space="preserve"> </w:t>
      </w:r>
      <w:r w:rsidRPr="0046724E">
        <w:rPr>
          <w:rFonts w:asciiTheme="minorHAnsi" w:eastAsiaTheme="minorHAnsi" w:hAnsiTheme="minorHAnsi" w:cstheme="minorBidi"/>
          <w:snapToGrid/>
          <w:sz w:val="24"/>
          <w:szCs w:val="22"/>
        </w:rPr>
        <w:t>July 2018, paragraph 7.4).</w:t>
      </w:r>
    </w:p>
    <w:p w:rsidR="00043D04" w:rsidRPr="0046724E" w:rsidRDefault="00043D04" w:rsidP="00970BF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B51C1">
        <w:rPr>
          <w:rFonts w:asciiTheme="minorHAnsi" w:eastAsiaTheme="minorHAnsi" w:hAnsiTheme="minorHAnsi" w:cstheme="minorBidi"/>
          <w:snapToGrid/>
          <w:sz w:val="24"/>
          <w:szCs w:val="22"/>
        </w:rPr>
        <w:t xml:space="preserve">As listing of </w:t>
      </w:r>
      <w:proofErr w:type="spellStart"/>
      <w:r w:rsidRPr="00EB51C1">
        <w:rPr>
          <w:rFonts w:asciiTheme="minorHAnsi" w:eastAsiaTheme="minorHAnsi" w:hAnsiTheme="minorHAnsi" w:cstheme="minorBidi"/>
          <w:snapToGrid/>
          <w:sz w:val="24"/>
          <w:szCs w:val="22"/>
        </w:rPr>
        <w:t>denosumab</w:t>
      </w:r>
      <w:proofErr w:type="spellEnd"/>
      <w:r w:rsidRPr="00EB51C1">
        <w:rPr>
          <w:rFonts w:asciiTheme="minorHAnsi" w:eastAsiaTheme="minorHAnsi" w:hAnsiTheme="minorHAnsi" w:cstheme="minorBidi"/>
          <w:snapToGrid/>
          <w:sz w:val="24"/>
          <w:szCs w:val="22"/>
        </w:rPr>
        <w:t xml:space="preserve"> is sought for the </w:t>
      </w:r>
      <w:proofErr w:type="gramStart"/>
      <w:r w:rsidRPr="00EB51C1">
        <w:rPr>
          <w:rFonts w:asciiTheme="minorHAnsi" w:eastAsiaTheme="minorHAnsi" w:hAnsiTheme="minorHAnsi" w:cstheme="minorBidi"/>
          <w:snapToGrid/>
          <w:sz w:val="24"/>
          <w:szCs w:val="22"/>
        </w:rPr>
        <w:t>overall</w:t>
      </w:r>
      <w:proofErr w:type="gramEnd"/>
      <w:r w:rsidRPr="00EB51C1">
        <w:rPr>
          <w:rFonts w:asciiTheme="minorHAnsi" w:eastAsiaTheme="minorHAnsi" w:hAnsiTheme="minorHAnsi" w:cstheme="minorBidi"/>
          <w:snapToGrid/>
          <w:sz w:val="24"/>
          <w:szCs w:val="22"/>
        </w:rPr>
        <w:t xml:space="preserve"> </w:t>
      </w:r>
      <w:r w:rsidR="00970BF5" w:rsidRPr="00EB51C1">
        <w:rPr>
          <w:rFonts w:asciiTheme="minorHAnsi" w:eastAsiaTheme="minorHAnsi" w:hAnsiTheme="minorHAnsi" w:cstheme="minorBidi"/>
          <w:snapToGrid/>
          <w:sz w:val="24"/>
          <w:szCs w:val="22"/>
        </w:rPr>
        <w:t>multiple myeloma</w:t>
      </w:r>
      <w:r w:rsidRPr="0046724E">
        <w:rPr>
          <w:rFonts w:asciiTheme="minorHAnsi" w:eastAsiaTheme="minorHAnsi" w:hAnsiTheme="minorHAnsi" w:cstheme="minorBidi"/>
          <w:snapToGrid/>
          <w:sz w:val="24"/>
          <w:szCs w:val="22"/>
        </w:rPr>
        <w:t xml:space="preserve"> population</w:t>
      </w:r>
      <w:r w:rsidR="00970BF5" w:rsidRPr="0046724E">
        <w:rPr>
          <w:rFonts w:asciiTheme="minorHAnsi" w:eastAsiaTheme="minorHAnsi" w:hAnsiTheme="minorHAnsi" w:cstheme="minorBidi"/>
          <w:snapToGrid/>
          <w:sz w:val="24"/>
          <w:szCs w:val="22"/>
        </w:rPr>
        <w:t xml:space="preserve"> and</w:t>
      </w:r>
      <w:r w:rsidRPr="0046724E">
        <w:rPr>
          <w:rFonts w:asciiTheme="minorHAnsi" w:eastAsiaTheme="minorHAnsi" w:hAnsiTheme="minorHAnsi" w:cstheme="minorBidi"/>
          <w:snapToGrid/>
          <w:sz w:val="24"/>
          <w:szCs w:val="22"/>
        </w:rPr>
        <w:t xml:space="preserve"> </w:t>
      </w:r>
      <w:proofErr w:type="spellStart"/>
      <w:r w:rsidRPr="0046724E">
        <w:rPr>
          <w:rFonts w:asciiTheme="minorHAnsi" w:eastAsiaTheme="minorHAnsi" w:hAnsiTheme="minorHAnsi" w:cstheme="minorBidi"/>
          <w:snapToGrid/>
          <w:sz w:val="24"/>
          <w:szCs w:val="22"/>
        </w:rPr>
        <w:t>zoledronic</w:t>
      </w:r>
      <w:proofErr w:type="spellEnd"/>
      <w:r w:rsidRPr="0046724E">
        <w:rPr>
          <w:rFonts w:asciiTheme="minorHAnsi" w:eastAsiaTheme="minorHAnsi" w:hAnsiTheme="minorHAnsi" w:cstheme="minorBidi"/>
          <w:snapToGrid/>
          <w:sz w:val="24"/>
          <w:szCs w:val="22"/>
        </w:rPr>
        <w:t xml:space="preserve"> acid remained the nominated comparator for this minor resubmission. The resubmission</w:t>
      </w:r>
      <w:r w:rsidR="00A7668E" w:rsidRPr="0046724E">
        <w:rPr>
          <w:rFonts w:asciiTheme="minorHAnsi" w:eastAsiaTheme="minorHAnsi" w:hAnsiTheme="minorHAnsi" w:cstheme="minorBidi"/>
          <w:snapToGrid/>
          <w:sz w:val="24"/>
          <w:szCs w:val="22"/>
        </w:rPr>
        <w:t xml:space="preserve"> noted the limited use of </w:t>
      </w:r>
      <w:proofErr w:type="spellStart"/>
      <w:r w:rsidR="00A7668E" w:rsidRPr="0046724E">
        <w:rPr>
          <w:rFonts w:asciiTheme="minorHAnsi" w:eastAsiaTheme="minorHAnsi" w:hAnsiTheme="minorHAnsi" w:cstheme="minorBidi"/>
          <w:snapToGrid/>
          <w:sz w:val="24"/>
          <w:szCs w:val="22"/>
        </w:rPr>
        <w:t>clodro</w:t>
      </w:r>
      <w:r w:rsidRPr="0046724E">
        <w:rPr>
          <w:rFonts w:asciiTheme="minorHAnsi" w:eastAsiaTheme="minorHAnsi" w:hAnsiTheme="minorHAnsi" w:cstheme="minorBidi"/>
          <w:snapToGrid/>
          <w:sz w:val="24"/>
          <w:szCs w:val="22"/>
        </w:rPr>
        <w:t>nate</w:t>
      </w:r>
      <w:proofErr w:type="spellEnd"/>
      <w:r w:rsidRPr="0046724E">
        <w:rPr>
          <w:rFonts w:asciiTheme="minorHAnsi" w:eastAsiaTheme="minorHAnsi" w:hAnsiTheme="minorHAnsi" w:cstheme="minorBidi"/>
          <w:snapToGrid/>
          <w:sz w:val="24"/>
          <w:szCs w:val="22"/>
        </w:rPr>
        <w:t xml:space="preserve"> reported in the </w:t>
      </w:r>
      <w:bookmarkStart w:id="1" w:name="_Hlk522167134"/>
      <w:r w:rsidR="003B672E" w:rsidRPr="0046724E">
        <w:rPr>
          <w:rFonts w:asciiTheme="minorHAnsi" w:hAnsiTheme="minorHAnsi"/>
          <w:sz w:val="24"/>
        </w:rPr>
        <w:t>Myeloma and Related Diseases Registry</w:t>
      </w:r>
      <w:bookmarkEnd w:id="1"/>
      <w:r w:rsidR="003B672E" w:rsidRPr="0046724E">
        <w:rPr>
          <w:rStyle w:val="FootnoteReference"/>
          <w:rFonts w:asciiTheme="minorHAnsi" w:hAnsiTheme="minorHAnsi"/>
          <w:sz w:val="24"/>
        </w:rPr>
        <w:footnoteReference w:id="2"/>
      </w:r>
      <w:r w:rsidR="003B672E" w:rsidRPr="0046724E">
        <w:rPr>
          <w:rFonts w:asciiTheme="minorHAnsi" w:hAnsiTheme="minorHAnsi"/>
          <w:sz w:val="24"/>
        </w:rPr>
        <w:t xml:space="preserve"> (2% of patients) with </w:t>
      </w:r>
      <w:proofErr w:type="spellStart"/>
      <w:r w:rsidR="003B672E" w:rsidRPr="0046724E">
        <w:rPr>
          <w:rFonts w:asciiTheme="minorHAnsi" w:hAnsiTheme="minorHAnsi"/>
          <w:sz w:val="24"/>
        </w:rPr>
        <w:t>zoledronic</w:t>
      </w:r>
      <w:proofErr w:type="spellEnd"/>
      <w:r w:rsidR="003B672E" w:rsidRPr="0046724E">
        <w:rPr>
          <w:rFonts w:asciiTheme="minorHAnsi" w:hAnsiTheme="minorHAnsi"/>
          <w:sz w:val="24"/>
        </w:rPr>
        <w:t xml:space="preserve"> acid the most commonly used treatment (68% of patients), and </w:t>
      </w:r>
      <w:proofErr w:type="spellStart"/>
      <w:r w:rsidR="003B672E" w:rsidRPr="0046724E">
        <w:rPr>
          <w:rFonts w:asciiTheme="minorHAnsi" w:hAnsiTheme="minorHAnsi"/>
          <w:sz w:val="24"/>
        </w:rPr>
        <w:t>pamidronate</w:t>
      </w:r>
      <w:proofErr w:type="spellEnd"/>
      <w:r w:rsidR="003B672E" w:rsidRPr="0046724E">
        <w:rPr>
          <w:rFonts w:asciiTheme="minorHAnsi" w:hAnsiTheme="minorHAnsi"/>
          <w:sz w:val="24"/>
        </w:rPr>
        <w:t xml:space="preserve"> the next most commonly use</w:t>
      </w:r>
      <w:r w:rsidR="00D7437A">
        <w:rPr>
          <w:rFonts w:asciiTheme="minorHAnsi" w:hAnsiTheme="minorHAnsi"/>
          <w:sz w:val="24"/>
        </w:rPr>
        <w:t>d treatment (27% of patients).</w:t>
      </w:r>
    </w:p>
    <w:p w:rsidR="00535AFE" w:rsidRPr="0046724E" w:rsidRDefault="00535AFE" w:rsidP="005533D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81A70">
        <w:rPr>
          <w:rFonts w:asciiTheme="minorHAnsi" w:eastAsiaTheme="minorHAnsi" w:hAnsiTheme="minorHAnsi" w:cstheme="minorBidi"/>
          <w:iCs/>
          <w:snapToGrid/>
          <w:sz w:val="24"/>
          <w:szCs w:val="22"/>
        </w:rPr>
        <w:t xml:space="preserve">Although generally reserved for </w:t>
      </w:r>
      <w:r w:rsidRPr="0046724E">
        <w:rPr>
          <w:rFonts w:asciiTheme="minorHAnsi" w:eastAsiaTheme="minorHAnsi" w:hAnsiTheme="minorHAnsi" w:cstheme="minorBidi"/>
          <w:iCs/>
          <w:snapToGrid/>
          <w:sz w:val="24"/>
          <w:szCs w:val="22"/>
        </w:rPr>
        <w:t xml:space="preserve">patients with renal impairment, </w:t>
      </w:r>
      <w:proofErr w:type="spellStart"/>
      <w:r w:rsidRPr="00981A70">
        <w:rPr>
          <w:rFonts w:asciiTheme="minorHAnsi" w:eastAsiaTheme="minorHAnsi" w:hAnsiTheme="minorHAnsi" w:cstheme="minorBidi"/>
          <w:iCs/>
          <w:snapToGrid/>
          <w:sz w:val="24"/>
          <w:szCs w:val="22"/>
        </w:rPr>
        <w:t>pamidronate</w:t>
      </w:r>
      <w:proofErr w:type="spellEnd"/>
      <w:r w:rsidRPr="00981A70">
        <w:rPr>
          <w:rFonts w:asciiTheme="minorHAnsi" w:eastAsiaTheme="minorHAnsi" w:hAnsiTheme="minorHAnsi" w:cstheme="minorBidi"/>
          <w:iCs/>
          <w:snapToGrid/>
          <w:sz w:val="24"/>
          <w:szCs w:val="22"/>
        </w:rPr>
        <w:t xml:space="preserve"> and </w:t>
      </w:r>
      <w:proofErr w:type="spellStart"/>
      <w:r w:rsidRPr="00981A70">
        <w:rPr>
          <w:rFonts w:asciiTheme="minorHAnsi" w:eastAsiaTheme="minorHAnsi" w:hAnsiTheme="minorHAnsi" w:cstheme="minorBidi"/>
          <w:iCs/>
          <w:snapToGrid/>
          <w:sz w:val="24"/>
          <w:szCs w:val="22"/>
        </w:rPr>
        <w:t>clodr</w:t>
      </w:r>
      <w:r w:rsidR="00002937" w:rsidRPr="00981A70">
        <w:rPr>
          <w:rFonts w:asciiTheme="minorHAnsi" w:eastAsiaTheme="minorHAnsi" w:hAnsiTheme="minorHAnsi" w:cstheme="minorBidi"/>
          <w:iCs/>
          <w:snapToGrid/>
          <w:sz w:val="24"/>
          <w:szCs w:val="22"/>
        </w:rPr>
        <w:t>o</w:t>
      </w:r>
      <w:r w:rsidRPr="00981A70">
        <w:rPr>
          <w:rFonts w:asciiTheme="minorHAnsi" w:eastAsiaTheme="minorHAnsi" w:hAnsiTheme="minorHAnsi" w:cstheme="minorBidi"/>
          <w:iCs/>
          <w:snapToGrid/>
          <w:sz w:val="24"/>
          <w:szCs w:val="22"/>
        </w:rPr>
        <w:t>nate</w:t>
      </w:r>
      <w:proofErr w:type="spellEnd"/>
      <w:r w:rsidRPr="00981A70">
        <w:rPr>
          <w:rFonts w:asciiTheme="minorHAnsi" w:eastAsiaTheme="minorHAnsi" w:hAnsiTheme="minorHAnsi" w:cstheme="minorBidi"/>
          <w:iCs/>
          <w:snapToGrid/>
          <w:sz w:val="24"/>
          <w:szCs w:val="22"/>
        </w:rPr>
        <w:t xml:space="preserve"> may be relevant comparators given the eligible populations as defined by </w:t>
      </w:r>
      <w:r w:rsidRPr="00981A70">
        <w:rPr>
          <w:rFonts w:asciiTheme="minorHAnsi" w:eastAsiaTheme="minorHAnsi" w:hAnsiTheme="minorHAnsi" w:cstheme="minorBidi"/>
          <w:iCs/>
          <w:snapToGrid/>
          <w:sz w:val="24"/>
          <w:szCs w:val="22"/>
        </w:rPr>
        <w:lastRenderedPageBreak/>
        <w:t xml:space="preserve">the </w:t>
      </w:r>
      <w:r w:rsidRPr="00981A70">
        <w:rPr>
          <w:rFonts w:asciiTheme="minorHAnsi" w:eastAsiaTheme="minorHAnsi" w:hAnsiTheme="minorHAnsi" w:cstheme="minorBidi"/>
          <w:snapToGrid/>
          <w:sz w:val="24"/>
          <w:szCs w:val="22"/>
        </w:rPr>
        <w:t>listings overlap with the requested listing</w:t>
      </w:r>
      <w:r w:rsidRPr="00981A70">
        <w:rPr>
          <w:rFonts w:asciiTheme="minorHAnsi" w:eastAsiaTheme="minorHAnsi" w:hAnsiTheme="minorHAnsi" w:cstheme="minorBidi"/>
          <w:iCs/>
          <w:snapToGrid/>
          <w:sz w:val="24"/>
          <w:szCs w:val="22"/>
        </w:rPr>
        <w:t xml:space="preserve"> for </w:t>
      </w:r>
      <w:proofErr w:type="spellStart"/>
      <w:r w:rsidRPr="00981A70">
        <w:rPr>
          <w:rFonts w:asciiTheme="minorHAnsi" w:eastAsiaTheme="minorHAnsi" w:hAnsiTheme="minorHAnsi" w:cstheme="minorBidi"/>
          <w:iCs/>
          <w:snapToGrid/>
          <w:sz w:val="24"/>
          <w:szCs w:val="22"/>
        </w:rPr>
        <w:t>denosumab</w:t>
      </w:r>
      <w:proofErr w:type="spellEnd"/>
      <w:r w:rsidRPr="00981A70">
        <w:rPr>
          <w:rFonts w:asciiTheme="minorHAnsi" w:eastAsiaTheme="minorHAnsi" w:hAnsiTheme="minorHAnsi" w:cstheme="minorBidi"/>
          <w:iCs/>
          <w:snapToGrid/>
          <w:sz w:val="24"/>
          <w:szCs w:val="22"/>
        </w:rPr>
        <w:t xml:space="preserve">. </w:t>
      </w:r>
      <w:proofErr w:type="gramStart"/>
      <w:r w:rsidRPr="00981A70">
        <w:rPr>
          <w:rFonts w:asciiTheme="minorHAnsi" w:eastAsiaTheme="minorHAnsi" w:hAnsiTheme="minorHAnsi" w:cstheme="minorBidi"/>
          <w:iCs/>
          <w:snapToGrid/>
          <w:sz w:val="24"/>
          <w:szCs w:val="22"/>
        </w:rPr>
        <w:t xml:space="preserve">Therefore, in the context of the cost-minimisation approach taken by the submission, </w:t>
      </w:r>
      <w:r w:rsidRPr="0046724E">
        <w:rPr>
          <w:rFonts w:asciiTheme="minorHAnsi" w:eastAsiaTheme="minorHAnsi" w:hAnsiTheme="minorHAnsi" w:cstheme="minorBidi"/>
          <w:iCs/>
          <w:snapToGrid/>
          <w:sz w:val="24"/>
          <w:szCs w:val="22"/>
        </w:rPr>
        <w:t xml:space="preserve">a further consideration for PBAC is that, under Section 101(3B) of the </w:t>
      </w:r>
      <w:r w:rsidRPr="0010721A">
        <w:rPr>
          <w:rFonts w:asciiTheme="minorHAnsi" w:eastAsiaTheme="minorHAnsi" w:hAnsiTheme="minorHAnsi" w:cstheme="minorBidi"/>
          <w:i/>
          <w:iCs/>
          <w:snapToGrid/>
          <w:sz w:val="24"/>
          <w:szCs w:val="22"/>
        </w:rPr>
        <w:t>National Health Act 1953</w:t>
      </w:r>
      <w:r w:rsidRPr="0046724E">
        <w:rPr>
          <w:rFonts w:asciiTheme="minorHAnsi" w:eastAsiaTheme="minorHAnsi" w:hAnsiTheme="minorHAnsi" w:cstheme="minorBidi"/>
          <w:iCs/>
          <w:snapToGrid/>
          <w:sz w:val="24"/>
          <w:szCs w:val="22"/>
        </w:rPr>
        <w:t>, when the proposed medicine is substantially more costly than an alternative therapy, the committee cannot make a positive recommendation unless it is satisfied that, for some patients, the prop</w:t>
      </w:r>
      <w:r w:rsidRPr="00EB51C1">
        <w:rPr>
          <w:rFonts w:asciiTheme="minorHAnsi" w:eastAsiaTheme="minorHAnsi" w:hAnsiTheme="minorHAnsi" w:cstheme="minorBidi"/>
          <w:iCs/>
          <w:snapToGrid/>
          <w:sz w:val="24"/>
          <w:szCs w:val="22"/>
        </w:rPr>
        <w:t>osed medicine provides a significant improvement in efficacy and/or reduction of toxicity over the alternative therapy.</w:t>
      </w:r>
      <w:proofErr w:type="gramEnd"/>
      <w:r w:rsidRPr="00EB51C1">
        <w:rPr>
          <w:rFonts w:asciiTheme="minorHAnsi" w:eastAsiaTheme="minorHAnsi" w:hAnsiTheme="minorHAnsi" w:cstheme="minorBidi"/>
          <w:iCs/>
          <w:snapToGrid/>
          <w:sz w:val="24"/>
          <w:szCs w:val="22"/>
        </w:rPr>
        <w:t xml:space="preserve"> If the committee is so satisfied, it must make a statement to this effect.</w:t>
      </w:r>
      <w:r w:rsidRPr="00EB51C1">
        <w:rPr>
          <w:rFonts w:asciiTheme="minorHAnsi" w:eastAsiaTheme="minorHAnsi" w:hAnsiTheme="minorHAnsi" w:cstheme="minorBidi"/>
          <w:snapToGrid/>
          <w:sz w:val="24"/>
          <w:szCs w:val="22"/>
        </w:rPr>
        <w:t xml:space="preserve"> </w:t>
      </w:r>
      <w:r w:rsidR="0037773E" w:rsidRPr="0046724E">
        <w:rPr>
          <w:rFonts w:asciiTheme="minorHAnsi" w:eastAsiaTheme="minorHAnsi" w:hAnsiTheme="minorHAnsi" w:cstheme="minorBidi"/>
          <w:snapToGrid/>
          <w:sz w:val="24"/>
          <w:szCs w:val="22"/>
        </w:rPr>
        <w:t xml:space="preserve">The minor resubmission sought to achieve </w:t>
      </w:r>
      <w:r w:rsidR="00A07488" w:rsidRPr="0046724E">
        <w:rPr>
          <w:rFonts w:asciiTheme="minorHAnsi" w:eastAsiaTheme="minorHAnsi" w:hAnsiTheme="minorHAnsi" w:cstheme="minorBidi"/>
          <w:snapToGrid/>
          <w:sz w:val="24"/>
          <w:szCs w:val="22"/>
        </w:rPr>
        <w:t>pricing parity by increasing the expected cost of infusion for the cheaper drug therapy</w:t>
      </w:r>
      <w:r w:rsidR="0037773E" w:rsidRPr="0046724E">
        <w:rPr>
          <w:rFonts w:asciiTheme="minorHAnsi" w:eastAsiaTheme="minorHAnsi" w:hAnsiTheme="minorHAnsi" w:cstheme="minorBidi"/>
          <w:snapToGrid/>
          <w:sz w:val="24"/>
          <w:szCs w:val="22"/>
        </w:rPr>
        <w:t xml:space="preserve"> (see Economic analysis section)</w:t>
      </w:r>
      <w:r w:rsidR="00A07488" w:rsidRPr="0046724E">
        <w:rPr>
          <w:rFonts w:asciiTheme="minorHAnsi" w:eastAsiaTheme="minorHAnsi" w:hAnsiTheme="minorHAnsi" w:cstheme="minorBidi"/>
          <w:snapToGrid/>
          <w:sz w:val="24"/>
          <w:szCs w:val="22"/>
        </w:rPr>
        <w:t>.</w:t>
      </w:r>
    </w:p>
    <w:p w:rsidR="00816B58" w:rsidRPr="0046724E" w:rsidRDefault="00816B58" w:rsidP="00816B58">
      <w:pPr>
        <w:rPr>
          <w:rFonts w:asciiTheme="minorHAnsi" w:hAnsiTheme="minorHAnsi"/>
          <w:i/>
        </w:rPr>
      </w:pPr>
      <w:r w:rsidRPr="0046724E">
        <w:rPr>
          <w:rFonts w:asciiTheme="minorHAnsi" w:hAnsiTheme="minorHAnsi"/>
          <w:i/>
        </w:rPr>
        <w:t>For more detail on PBAC’s view, see section 7 PBAC outcome.</w:t>
      </w:r>
    </w:p>
    <w:p w:rsidR="000B558D" w:rsidRPr="0046724E" w:rsidRDefault="008D7A41" w:rsidP="005533D1">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46724E">
        <w:rPr>
          <w:rFonts w:asciiTheme="minorHAnsi" w:hAnsiTheme="minorHAnsi"/>
          <w:sz w:val="32"/>
          <w:szCs w:val="32"/>
        </w:rPr>
        <w:t>C</w:t>
      </w:r>
      <w:r w:rsidR="00D84934" w:rsidRPr="0046724E">
        <w:rPr>
          <w:rFonts w:asciiTheme="minorHAnsi" w:hAnsiTheme="minorHAnsi"/>
          <w:sz w:val="32"/>
          <w:szCs w:val="32"/>
        </w:rPr>
        <w:t>onsideration of the evidence</w:t>
      </w:r>
    </w:p>
    <w:p w:rsidR="000A06EA" w:rsidRPr="00E70616" w:rsidRDefault="000A06EA" w:rsidP="00E70616">
      <w:pPr>
        <w:pStyle w:val="Heading2"/>
      </w:pPr>
      <w:r w:rsidRPr="00E70616">
        <w:t>Sponsor hearing</w:t>
      </w:r>
    </w:p>
    <w:p w:rsidR="00DE6F8E" w:rsidRPr="0046724E" w:rsidRDefault="00DE6F8E" w:rsidP="00DE6F8E">
      <w:pPr>
        <w:widowControl w:val="0"/>
        <w:numPr>
          <w:ilvl w:val="1"/>
          <w:numId w:val="14"/>
        </w:numPr>
        <w:spacing w:after="120"/>
        <w:jc w:val="both"/>
        <w:rPr>
          <w:rFonts w:asciiTheme="minorHAnsi" w:hAnsiTheme="minorHAnsi" w:cs="Arial"/>
          <w:bCs/>
          <w:snapToGrid w:val="0"/>
        </w:rPr>
      </w:pPr>
      <w:r w:rsidRPr="0046724E">
        <w:rPr>
          <w:rFonts w:asciiTheme="minorHAnsi" w:hAnsiTheme="minorHAnsi" w:cs="Arial"/>
          <w:bCs/>
          <w:snapToGrid w:val="0"/>
        </w:rPr>
        <w:t>There was no hearing for this item as it was a minor submission.</w:t>
      </w:r>
    </w:p>
    <w:p w:rsidR="000A06EA" w:rsidRPr="0046724E" w:rsidRDefault="000A06EA" w:rsidP="00E70616">
      <w:pPr>
        <w:pStyle w:val="Heading2"/>
      </w:pPr>
      <w:r w:rsidRPr="0046724E">
        <w:t>Consumer comments</w:t>
      </w:r>
    </w:p>
    <w:p w:rsidR="00DE6F8E" w:rsidRPr="0046724E" w:rsidRDefault="00DE6F8E" w:rsidP="00DE6F8E">
      <w:pPr>
        <w:widowControl w:val="0"/>
        <w:numPr>
          <w:ilvl w:val="1"/>
          <w:numId w:val="14"/>
        </w:numPr>
        <w:spacing w:after="120"/>
        <w:jc w:val="both"/>
        <w:rPr>
          <w:rFonts w:asciiTheme="minorHAnsi" w:hAnsiTheme="minorHAnsi" w:cs="Arial"/>
          <w:bCs/>
          <w:snapToGrid w:val="0"/>
        </w:rPr>
      </w:pPr>
      <w:r w:rsidRPr="0046724E">
        <w:rPr>
          <w:rFonts w:asciiTheme="minorHAnsi" w:hAnsiTheme="minorHAnsi" w:cs="Arial"/>
          <w:bCs/>
          <w:snapToGrid w:val="0"/>
        </w:rPr>
        <w:t xml:space="preserve">The PBAC noted that no consumer comments </w:t>
      </w:r>
      <w:proofErr w:type="gramStart"/>
      <w:r w:rsidRPr="0046724E">
        <w:rPr>
          <w:rFonts w:asciiTheme="minorHAnsi" w:hAnsiTheme="minorHAnsi" w:cs="Arial"/>
          <w:bCs/>
          <w:snapToGrid w:val="0"/>
        </w:rPr>
        <w:t>were received</w:t>
      </w:r>
      <w:proofErr w:type="gramEnd"/>
      <w:r w:rsidRPr="0046724E">
        <w:rPr>
          <w:rFonts w:asciiTheme="minorHAnsi" w:hAnsiTheme="minorHAnsi" w:cs="Arial"/>
          <w:bCs/>
          <w:snapToGrid w:val="0"/>
        </w:rPr>
        <w:t xml:space="preserve"> for this item.</w:t>
      </w:r>
    </w:p>
    <w:p w:rsidR="00D84934" w:rsidRPr="0046724E" w:rsidRDefault="00D84934" w:rsidP="00E70616">
      <w:pPr>
        <w:pStyle w:val="Heading2"/>
      </w:pPr>
      <w:r w:rsidRPr="0046724E">
        <w:t xml:space="preserve">Clinical </w:t>
      </w:r>
      <w:r w:rsidR="002005CE" w:rsidRPr="0046724E">
        <w:t>claim</w:t>
      </w:r>
    </w:p>
    <w:p w:rsidR="00E52D25" w:rsidRPr="0046724E" w:rsidRDefault="00E52D25" w:rsidP="004964C0">
      <w:pPr>
        <w:pStyle w:val="ListParagraph"/>
        <w:widowControl/>
        <w:numPr>
          <w:ilvl w:val="1"/>
          <w:numId w:val="14"/>
        </w:numPr>
        <w:spacing w:before="120" w:after="160"/>
        <w:rPr>
          <w:rFonts w:asciiTheme="minorHAnsi" w:eastAsiaTheme="minorHAnsi" w:hAnsiTheme="minorHAnsi" w:cstheme="minorBidi"/>
          <w:sz w:val="24"/>
          <w:szCs w:val="24"/>
        </w:rPr>
      </w:pPr>
      <w:r w:rsidRPr="0046724E">
        <w:rPr>
          <w:rFonts w:asciiTheme="minorHAnsi" w:eastAsiaTheme="minorHAnsi" w:hAnsiTheme="minorHAnsi" w:cstheme="minorBidi"/>
          <w:snapToGrid/>
          <w:sz w:val="24"/>
          <w:szCs w:val="24"/>
        </w:rPr>
        <w:t xml:space="preserve">No new clinical evidence </w:t>
      </w:r>
      <w:proofErr w:type="gramStart"/>
      <w:r w:rsidRPr="0046724E">
        <w:rPr>
          <w:rFonts w:asciiTheme="minorHAnsi" w:eastAsiaTheme="minorHAnsi" w:hAnsiTheme="minorHAnsi" w:cstheme="minorBidi"/>
          <w:snapToGrid/>
          <w:sz w:val="24"/>
          <w:szCs w:val="24"/>
        </w:rPr>
        <w:t>was presented</w:t>
      </w:r>
      <w:proofErr w:type="gramEnd"/>
      <w:r w:rsidRPr="0046724E">
        <w:rPr>
          <w:rFonts w:asciiTheme="minorHAnsi" w:eastAsiaTheme="minorHAnsi" w:hAnsiTheme="minorHAnsi" w:cstheme="minorBidi"/>
          <w:snapToGrid/>
          <w:sz w:val="24"/>
          <w:szCs w:val="24"/>
        </w:rPr>
        <w:t xml:space="preserve"> in the resubmission. </w:t>
      </w:r>
      <w:r w:rsidRPr="0046724E">
        <w:rPr>
          <w:rFonts w:asciiTheme="minorHAnsi" w:eastAsiaTheme="minorHAnsi" w:hAnsiTheme="minorHAnsi" w:cstheme="minorBidi"/>
          <w:sz w:val="24"/>
          <w:szCs w:val="24"/>
        </w:rPr>
        <w:t xml:space="preserve">The relative efficacy and safety of </w:t>
      </w:r>
      <w:proofErr w:type="spellStart"/>
      <w:r w:rsidRPr="0046724E">
        <w:rPr>
          <w:rFonts w:asciiTheme="minorHAnsi" w:eastAsiaTheme="minorHAnsi" w:hAnsiTheme="minorHAnsi" w:cstheme="minorBidi"/>
          <w:sz w:val="24"/>
          <w:szCs w:val="24"/>
        </w:rPr>
        <w:t>denosumab</w:t>
      </w:r>
      <w:proofErr w:type="spellEnd"/>
      <w:r w:rsidRPr="0046724E">
        <w:rPr>
          <w:rFonts w:asciiTheme="minorHAnsi" w:eastAsiaTheme="minorHAnsi" w:hAnsiTheme="minorHAnsi" w:cstheme="minorBidi"/>
          <w:sz w:val="24"/>
          <w:szCs w:val="24"/>
        </w:rPr>
        <w:t xml:space="preserve"> compared with </w:t>
      </w:r>
      <w:proofErr w:type="spellStart"/>
      <w:r w:rsidRPr="0046724E">
        <w:rPr>
          <w:rFonts w:asciiTheme="minorHAnsi" w:eastAsiaTheme="minorHAnsi" w:hAnsiTheme="minorHAnsi" w:cstheme="minorBidi"/>
          <w:sz w:val="24"/>
          <w:szCs w:val="24"/>
        </w:rPr>
        <w:t>zoledronic</w:t>
      </w:r>
      <w:proofErr w:type="spellEnd"/>
      <w:r w:rsidRPr="0046724E">
        <w:rPr>
          <w:rFonts w:asciiTheme="minorHAnsi" w:eastAsiaTheme="minorHAnsi" w:hAnsiTheme="minorHAnsi" w:cstheme="minorBidi"/>
          <w:sz w:val="24"/>
          <w:szCs w:val="24"/>
        </w:rPr>
        <w:t xml:space="preserve"> acid in the July 2018 major submission </w:t>
      </w:r>
      <w:proofErr w:type="gramStart"/>
      <w:r w:rsidRPr="0046724E">
        <w:rPr>
          <w:rFonts w:asciiTheme="minorHAnsi" w:eastAsiaTheme="minorHAnsi" w:hAnsiTheme="minorHAnsi" w:cstheme="minorBidi"/>
          <w:sz w:val="24"/>
          <w:szCs w:val="24"/>
        </w:rPr>
        <w:t>was based</w:t>
      </w:r>
      <w:proofErr w:type="gramEnd"/>
      <w:r w:rsidRPr="0046724E">
        <w:rPr>
          <w:rFonts w:asciiTheme="minorHAnsi" w:eastAsiaTheme="minorHAnsi" w:hAnsiTheme="minorHAnsi" w:cstheme="minorBidi"/>
          <w:sz w:val="24"/>
          <w:szCs w:val="24"/>
        </w:rPr>
        <w:t xml:space="preserve"> on one direct trial, Study 482.  In th</w:t>
      </w:r>
      <w:r w:rsidR="005F7252" w:rsidRPr="0046724E">
        <w:rPr>
          <w:rFonts w:asciiTheme="minorHAnsi" w:eastAsiaTheme="minorHAnsi" w:hAnsiTheme="minorHAnsi" w:cstheme="minorBidi"/>
          <w:sz w:val="24"/>
          <w:szCs w:val="24"/>
        </w:rPr>
        <w:t>is</w:t>
      </w:r>
      <w:r w:rsidRPr="0046724E">
        <w:rPr>
          <w:rFonts w:asciiTheme="minorHAnsi" w:eastAsiaTheme="minorHAnsi" w:hAnsiTheme="minorHAnsi" w:cstheme="minorBidi"/>
          <w:sz w:val="24"/>
          <w:szCs w:val="24"/>
        </w:rPr>
        <w:t xml:space="preserve"> minor resubmission the clinical claim based on this trial </w:t>
      </w:r>
      <w:r w:rsidR="004964C0" w:rsidRPr="0046724E">
        <w:rPr>
          <w:rFonts w:asciiTheme="minorHAnsi" w:eastAsiaTheme="minorHAnsi" w:hAnsiTheme="minorHAnsi" w:cstheme="minorBidi"/>
          <w:sz w:val="24"/>
          <w:szCs w:val="24"/>
        </w:rPr>
        <w:t>was</w:t>
      </w:r>
      <w:r w:rsidR="00D7437A">
        <w:rPr>
          <w:rFonts w:asciiTheme="minorHAnsi" w:eastAsiaTheme="minorHAnsi" w:hAnsiTheme="minorHAnsi" w:cstheme="minorBidi"/>
          <w:sz w:val="24"/>
          <w:szCs w:val="24"/>
        </w:rPr>
        <w:t>:</w:t>
      </w:r>
    </w:p>
    <w:p w:rsidR="00E52D25" w:rsidRPr="0046724E" w:rsidRDefault="00E52D25" w:rsidP="005533D1">
      <w:pPr>
        <w:pStyle w:val="ListParagraph"/>
        <w:widowControl/>
        <w:numPr>
          <w:ilvl w:val="0"/>
          <w:numId w:val="17"/>
        </w:numPr>
        <w:spacing w:before="120" w:after="160"/>
        <w:rPr>
          <w:rFonts w:asciiTheme="minorHAnsi" w:eastAsiaTheme="minorHAnsi" w:hAnsiTheme="minorHAnsi" w:cstheme="minorBidi"/>
          <w:sz w:val="24"/>
          <w:szCs w:val="24"/>
        </w:rPr>
      </w:pPr>
      <w:proofErr w:type="spellStart"/>
      <w:r w:rsidRPr="0046724E">
        <w:rPr>
          <w:rFonts w:asciiTheme="minorHAnsi" w:eastAsiaTheme="minorHAnsi" w:hAnsiTheme="minorHAnsi" w:cstheme="minorBidi"/>
          <w:sz w:val="24"/>
          <w:szCs w:val="24"/>
        </w:rPr>
        <w:t>Denosumab</w:t>
      </w:r>
      <w:proofErr w:type="spellEnd"/>
      <w:r w:rsidRPr="0046724E">
        <w:rPr>
          <w:rFonts w:asciiTheme="minorHAnsi" w:eastAsiaTheme="minorHAnsi" w:hAnsiTheme="minorHAnsi" w:cstheme="minorBidi"/>
          <w:sz w:val="24"/>
          <w:szCs w:val="24"/>
        </w:rPr>
        <w:t xml:space="preserve"> is non-inferior to </w:t>
      </w:r>
      <w:proofErr w:type="spellStart"/>
      <w:r w:rsidRPr="0046724E">
        <w:rPr>
          <w:rFonts w:asciiTheme="minorHAnsi" w:eastAsiaTheme="minorHAnsi" w:hAnsiTheme="minorHAnsi" w:cstheme="minorBidi"/>
          <w:sz w:val="24"/>
          <w:szCs w:val="24"/>
        </w:rPr>
        <w:t>zoledronic</w:t>
      </w:r>
      <w:proofErr w:type="spellEnd"/>
      <w:r w:rsidRPr="0046724E">
        <w:rPr>
          <w:rFonts w:asciiTheme="minorHAnsi" w:eastAsiaTheme="minorHAnsi" w:hAnsiTheme="minorHAnsi" w:cstheme="minorBidi"/>
          <w:sz w:val="24"/>
          <w:szCs w:val="24"/>
        </w:rPr>
        <w:t xml:space="preserve"> acid on SRE endpoints and is associated with improved PFS.</w:t>
      </w:r>
    </w:p>
    <w:p w:rsidR="00E52D25" w:rsidRPr="0046724E" w:rsidRDefault="00E52D25" w:rsidP="002F111C">
      <w:pPr>
        <w:pStyle w:val="ListParagraph"/>
        <w:widowControl/>
        <w:numPr>
          <w:ilvl w:val="0"/>
          <w:numId w:val="17"/>
        </w:numPr>
        <w:spacing w:before="120" w:after="120"/>
        <w:ind w:left="1434" w:hanging="357"/>
        <w:contextualSpacing w:val="0"/>
        <w:rPr>
          <w:rFonts w:asciiTheme="minorHAnsi" w:eastAsiaTheme="minorHAnsi" w:hAnsiTheme="minorHAnsi" w:cstheme="minorBidi"/>
          <w:sz w:val="24"/>
          <w:szCs w:val="24"/>
        </w:rPr>
      </w:pPr>
      <w:proofErr w:type="spellStart"/>
      <w:r w:rsidRPr="0046724E">
        <w:rPr>
          <w:rFonts w:asciiTheme="minorHAnsi" w:eastAsiaTheme="minorHAnsi" w:hAnsiTheme="minorHAnsi" w:cstheme="minorBidi"/>
          <w:sz w:val="24"/>
          <w:szCs w:val="24"/>
        </w:rPr>
        <w:t>Denosumab</w:t>
      </w:r>
      <w:proofErr w:type="spellEnd"/>
      <w:r w:rsidRPr="0046724E">
        <w:rPr>
          <w:rFonts w:asciiTheme="minorHAnsi" w:eastAsiaTheme="minorHAnsi" w:hAnsiTheme="minorHAnsi" w:cstheme="minorBidi"/>
          <w:sz w:val="24"/>
          <w:szCs w:val="24"/>
        </w:rPr>
        <w:t xml:space="preserve"> is similar to </w:t>
      </w:r>
      <w:proofErr w:type="spellStart"/>
      <w:r w:rsidRPr="0046724E">
        <w:rPr>
          <w:rFonts w:asciiTheme="minorHAnsi" w:eastAsiaTheme="minorHAnsi" w:hAnsiTheme="minorHAnsi" w:cstheme="minorBidi"/>
          <w:sz w:val="24"/>
          <w:szCs w:val="24"/>
        </w:rPr>
        <w:t>zoledronic</w:t>
      </w:r>
      <w:proofErr w:type="spellEnd"/>
      <w:r w:rsidRPr="0046724E">
        <w:rPr>
          <w:rFonts w:asciiTheme="minorHAnsi" w:eastAsiaTheme="minorHAnsi" w:hAnsiTheme="minorHAnsi" w:cstheme="minorBidi"/>
          <w:sz w:val="24"/>
          <w:szCs w:val="24"/>
        </w:rPr>
        <w:t xml:space="preserve"> acid in terms of comparative overall safety but associated with a lower incidence of renal </w:t>
      </w:r>
      <w:r w:rsidR="0075771C" w:rsidRPr="0046724E">
        <w:rPr>
          <w:rFonts w:asciiTheme="minorHAnsi" w:eastAsiaTheme="minorHAnsi" w:hAnsiTheme="minorHAnsi" w:cstheme="minorBidi"/>
          <w:sz w:val="24"/>
          <w:szCs w:val="24"/>
        </w:rPr>
        <w:t>adverse event</w:t>
      </w:r>
      <w:r w:rsidRPr="0046724E">
        <w:rPr>
          <w:rFonts w:asciiTheme="minorHAnsi" w:eastAsiaTheme="minorHAnsi" w:hAnsiTheme="minorHAnsi" w:cstheme="minorBidi"/>
          <w:sz w:val="24"/>
          <w:szCs w:val="24"/>
        </w:rPr>
        <w:t>s.</w:t>
      </w:r>
    </w:p>
    <w:p w:rsidR="00E52D25" w:rsidRPr="0046724E" w:rsidRDefault="00E52D25" w:rsidP="002F111C">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46724E">
        <w:rPr>
          <w:rFonts w:asciiTheme="minorHAnsi" w:eastAsiaTheme="minorHAnsi" w:hAnsiTheme="minorHAnsi" w:cstheme="minorBidi"/>
          <w:snapToGrid/>
          <w:sz w:val="24"/>
          <w:szCs w:val="22"/>
        </w:rPr>
        <w:t xml:space="preserve">In July </w:t>
      </w:r>
      <w:proofErr w:type="gramStart"/>
      <w:r w:rsidRPr="0046724E">
        <w:rPr>
          <w:rFonts w:asciiTheme="minorHAnsi" w:eastAsiaTheme="minorHAnsi" w:hAnsiTheme="minorHAnsi" w:cstheme="minorBidi"/>
          <w:snapToGrid/>
          <w:sz w:val="24"/>
          <w:szCs w:val="22"/>
        </w:rPr>
        <w:t>2018</w:t>
      </w:r>
      <w:proofErr w:type="gramEnd"/>
      <w:r w:rsidRPr="0046724E">
        <w:rPr>
          <w:rFonts w:asciiTheme="minorHAnsi" w:eastAsiaTheme="minorHAnsi" w:hAnsiTheme="minorHAnsi" w:cstheme="minorBidi"/>
          <w:snapToGrid/>
          <w:sz w:val="24"/>
          <w:szCs w:val="22"/>
        </w:rPr>
        <w:t xml:space="preserve"> the PBAC considered that the claim of superior comparative effectiveness based on PFS was not adequately supported by the data. The PBAC considered that the claim of non-inferior effectiveness based on SREs </w:t>
      </w:r>
      <w:proofErr w:type="gramStart"/>
      <w:r w:rsidRPr="0046724E">
        <w:rPr>
          <w:rFonts w:asciiTheme="minorHAnsi" w:eastAsiaTheme="minorHAnsi" w:hAnsiTheme="minorHAnsi" w:cstheme="minorBidi"/>
          <w:snapToGrid/>
          <w:sz w:val="24"/>
          <w:szCs w:val="22"/>
        </w:rPr>
        <w:t>was adequately supported</w:t>
      </w:r>
      <w:proofErr w:type="gramEnd"/>
      <w:r w:rsidRPr="0046724E">
        <w:rPr>
          <w:rFonts w:asciiTheme="minorHAnsi" w:eastAsiaTheme="minorHAnsi" w:hAnsiTheme="minorHAnsi" w:cstheme="minorBidi"/>
          <w:snapToGrid/>
          <w:sz w:val="24"/>
          <w:szCs w:val="22"/>
        </w:rPr>
        <w:t xml:space="preserve"> by the data. The PBAC also considered that the claim of similar comparative safety was reasonable (July 2018 PBAC </w:t>
      </w:r>
      <w:r w:rsidR="0010721A">
        <w:rPr>
          <w:rFonts w:asciiTheme="minorHAnsi" w:eastAsiaTheme="minorHAnsi" w:hAnsiTheme="minorHAnsi" w:cstheme="minorBidi"/>
          <w:snapToGrid/>
          <w:sz w:val="24"/>
          <w:szCs w:val="22"/>
        </w:rPr>
        <w:t>PSD</w:t>
      </w:r>
      <w:r w:rsidRPr="0046724E">
        <w:rPr>
          <w:rFonts w:asciiTheme="minorHAnsi" w:eastAsiaTheme="minorHAnsi" w:hAnsiTheme="minorHAnsi" w:cstheme="minorBidi"/>
          <w:snapToGrid/>
          <w:sz w:val="24"/>
          <w:szCs w:val="22"/>
        </w:rPr>
        <w:t>, paragraphs 6.24-6.25).</w:t>
      </w:r>
    </w:p>
    <w:p w:rsidR="0013767F" w:rsidRPr="0046724E" w:rsidRDefault="0013767F" w:rsidP="002F111C">
      <w:pPr>
        <w:pStyle w:val="ListParagraph"/>
        <w:widowControl/>
        <w:numPr>
          <w:ilvl w:val="1"/>
          <w:numId w:val="14"/>
        </w:numPr>
        <w:spacing w:before="120" w:after="120"/>
        <w:contextualSpacing w:val="0"/>
        <w:rPr>
          <w:rFonts w:asciiTheme="minorHAnsi" w:hAnsiTheme="minorHAnsi"/>
          <w:sz w:val="24"/>
        </w:rPr>
      </w:pPr>
      <w:proofErr w:type="gramStart"/>
      <w:r w:rsidRPr="0046724E">
        <w:rPr>
          <w:rFonts w:asciiTheme="minorHAnsi" w:eastAsiaTheme="minorHAnsi" w:hAnsiTheme="minorHAnsi" w:cstheme="minorBidi"/>
          <w:snapToGrid/>
          <w:sz w:val="24"/>
          <w:szCs w:val="22"/>
        </w:rPr>
        <w:t xml:space="preserve">The resubmission acknowledged the uncertainty in the superiority claim and </w:t>
      </w:r>
      <w:r w:rsidR="00E06BC8" w:rsidRPr="0046724E">
        <w:rPr>
          <w:rFonts w:asciiTheme="minorHAnsi" w:eastAsiaTheme="minorHAnsi" w:hAnsiTheme="minorHAnsi" w:cstheme="minorBidi"/>
          <w:snapToGrid/>
          <w:sz w:val="24"/>
          <w:szCs w:val="22"/>
        </w:rPr>
        <w:t xml:space="preserve">has </w:t>
      </w:r>
      <w:r w:rsidRPr="0046724E">
        <w:rPr>
          <w:rFonts w:asciiTheme="minorHAnsi" w:eastAsiaTheme="minorHAnsi" w:hAnsiTheme="minorHAnsi" w:cstheme="minorBidi"/>
          <w:snapToGrid/>
          <w:sz w:val="24"/>
          <w:szCs w:val="22"/>
        </w:rPr>
        <w:t xml:space="preserve">provided a mechanism for PBAC to </w:t>
      </w:r>
      <w:r w:rsidR="00E06BC8" w:rsidRPr="0046724E">
        <w:rPr>
          <w:rFonts w:asciiTheme="minorHAnsi" w:eastAsiaTheme="minorHAnsi" w:hAnsiTheme="minorHAnsi" w:cstheme="minorBidi"/>
          <w:snapToGrid/>
          <w:sz w:val="24"/>
          <w:szCs w:val="22"/>
        </w:rPr>
        <w:t>re</w:t>
      </w:r>
      <w:r w:rsidRPr="0046724E">
        <w:rPr>
          <w:rFonts w:asciiTheme="minorHAnsi" w:eastAsiaTheme="minorHAnsi" w:hAnsiTheme="minorHAnsi" w:cstheme="minorBidi"/>
          <w:snapToGrid/>
          <w:sz w:val="24"/>
          <w:szCs w:val="22"/>
        </w:rPr>
        <w:t xml:space="preserve">consider a recommendation for </w:t>
      </w:r>
      <w:proofErr w:type="spellStart"/>
      <w:r w:rsidRPr="0046724E">
        <w:rPr>
          <w:rFonts w:asciiTheme="minorHAnsi" w:eastAsiaTheme="minorHAnsi" w:hAnsiTheme="minorHAnsi" w:cstheme="minorBidi"/>
          <w:snapToGrid/>
          <w:sz w:val="24"/>
          <w:szCs w:val="22"/>
        </w:rPr>
        <w:t>denosumab</w:t>
      </w:r>
      <w:proofErr w:type="spellEnd"/>
      <w:r w:rsidRPr="0046724E">
        <w:rPr>
          <w:rFonts w:asciiTheme="minorHAnsi" w:eastAsiaTheme="minorHAnsi" w:hAnsiTheme="minorHAnsi" w:cstheme="minorBidi"/>
          <w:snapToGrid/>
          <w:sz w:val="24"/>
          <w:szCs w:val="22"/>
        </w:rPr>
        <w:t xml:space="preserve"> based on cost minimisation with </w:t>
      </w:r>
      <w:proofErr w:type="spellStart"/>
      <w:r w:rsidRPr="0046724E">
        <w:rPr>
          <w:rFonts w:asciiTheme="minorHAnsi" w:eastAsiaTheme="minorHAnsi" w:hAnsiTheme="minorHAnsi" w:cstheme="minorBidi"/>
          <w:snapToGrid/>
          <w:sz w:val="24"/>
          <w:szCs w:val="22"/>
        </w:rPr>
        <w:t>zoledronic</w:t>
      </w:r>
      <w:proofErr w:type="spellEnd"/>
      <w:r w:rsidRPr="0046724E">
        <w:rPr>
          <w:rFonts w:asciiTheme="minorHAnsi" w:eastAsiaTheme="minorHAnsi" w:hAnsiTheme="minorHAnsi" w:cstheme="minorBidi"/>
          <w:snapToGrid/>
          <w:sz w:val="24"/>
          <w:szCs w:val="22"/>
        </w:rPr>
        <w:t xml:space="preserve"> acid (or </w:t>
      </w:r>
      <w:proofErr w:type="spellStart"/>
      <w:r w:rsidRPr="0046724E">
        <w:rPr>
          <w:rFonts w:asciiTheme="minorHAnsi" w:eastAsiaTheme="minorHAnsi" w:hAnsiTheme="minorHAnsi" w:cstheme="minorBidi"/>
          <w:snapToGrid/>
          <w:sz w:val="24"/>
          <w:szCs w:val="22"/>
        </w:rPr>
        <w:t>pamidronate</w:t>
      </w:r>
      <w:proofErr w:type="spellEnd"/>
      <w:r w:rsidRPr="0046724E">
        <w:rPr>
          <w:rFonts w:asciiTheme="minorHAnsi" w:hAnsiTheme="minorHAnsi"/>
          <w:sz w:val="24"/>
        </w:rPr>
        <w:t xml:space="preserve">) at a price </w:t>
      </w:r>
      <w:r w:rsidRPr="0046724E">
        <w:rPr>
          <w:rFonts w:asciiTheme="minorHAnsi" w:hAnsiTheme="minorHAnsi"/>
        </w:rPr>
        <w:t xml:space="preserve">the </w:t>
      </w:r>
      <w:r w:rsidRPr="0046724E">
        <w:rPr>
          <w:rFonts w:asciiTheme="minorHAnsi" w:hAnsiTheme="minorHAnsi"/>
          <w:sz w:val="24"/>
        </w:rPr>
        <w:t xml:space="preserve">sponsor </w:t>
      </w:r>
      <w:r w:rsidR="00D7437A">
        <w:rPr>
          <w:rFonts w:asciiTheme="minorHAnsi" w:hAnsiTheme="minorHAnsi"/>
          <w:sz w:val="24"/>
        </w:rPr>
        <w:t>is able to accept.</w:t>
      </w:r>
      <w:proofErr w:type="gramEnd"/>
    </w:p>
    <w:p w:rsidR="00E06BC8" w:rsidRPr="0046724E" w:rsidRDefault="00E06BC8" w:rsidP="002F111C">
      <w:pPr>
        <w:pStyle w:val="ListParagraph"/>
        <w:widowControl/>
        <w:numPr>
          <w:ilvl w:val="1"/>
          <w:numId w:val="14"/>
        </w:numPr>
        <w:spacing w:before="120" w:after="120"/>
        <w:contextualSpacing w:val="0"/>
        <w:rPr>
          <w:rFonts w:asciiTheme="minorHAnsi" w:hAnsiTheme="minorHAnsi"/>
          <w:sz w:val="24"/>
          <w:szCs w:val="24"/>
        </w:rPr>
      </w:pPr>
      <w:r w:rsidRPr="0046724E">
        <w:rPr>
          <w:rFonts w:asciiTheme="minorHAnsi" w:hAnsiTheme="minorHAnsi"/>
          <w:sz w:val="24"/>
        </w:rPr>
        <w:t xml:space="preserve">The minor resubmission maintained that it is reasonable to conclude that </w:t>
      </w:r>
      <w:proofErr w:type="spellStart"/>
      <w:r w:rsidRPr="0046724E">
        <w:rPr>
          <w:rFonts w:asciiTheme="minorHAnsi" w:hAnsiTheme="minorHAnsi"/>
          <w:sz w:val="24"/>
          <w:szCs w:val="24"/>
        </w:rPr>
        <w:t>denosumab</w:t>
      </w:r>
      <w:proofErr w:type="spellEnd"/>
      <w:r w:rsidRPr="0046724E">
        <w:rPr>
          <w:rFonts w:asciiTheme="minorHAnsi" w:hAnsiTheme="minorHAnsi"/>
          <w:sz w:val="24"/>
          <w:szCs w:val="24"/>
        </w:rPr>
        <w:t xml:space="preserve"> offers a benefit over </w:t>
      </w:r>
      <w:proofErr w:type="spellStart"/>
      <w:r w:rsidRPr="0046724E">
        <w:rPr>
          <w:rFonts w:asciiTheme="minorHAnsi" w:hAnsiTheme="minorHAnsi"/>
          <w:sz w:val="24"/>
          <w:szCs w:val="24"/>
        </w:rPr>
        <w:t>zoledronic</w:t>
      </w:r>
      <w:proofErr w:type="spellEnd"/>
      <w:r w:rsidRPr="0046724E">
        <w:rPr>
          <w:rFonts w:asciiTheme="minorHAnsi" w:hAnsiTheme="minorHAnsi"/>
          <w:sz w:val="24"/>
          <w:szCs w:val="24"/>
        </w:rPr>
        <w:t xml:space="preserve"> acid in te</w:t>
      </w:r>
      <w:r w:rsidR="00D7437A">
        <w:rPr>
          <w:rFonts w:asciiTheme="minorHAnsi" w:hAnsiTheme="minorHAnsi"/>
          <w:sz w:val="24"/>
          <w:szCs w:val="24"/>
        </w:rPr>
        <w:t>rms of reduced renal toxicity.</w:t>
      </w:r>
    </w:p>
    <w:p w:rsidR="001C1D9C" w:rsidRPr="0046724E" w:rsidRDefault="001C1D9C" w:rsidP="002F111C">
      <w:pPr>
        <w:pStyle w:val="ListParagraph"/>
        <w:widowControl/>
        <w:numPr>
          <w:ilvl w:val="1"/>
          <w:numId w:val="14"/>
        </w:numPr>
        <w:spacing w:after="120"/>
        <w:contextualSpacing w:val="0"/>
        <w:rPr>
          <w:rFonts w:asciiTheme="minorHAnsi" w:hAnsiTheme="minorHAnsi"/>
          <w:sz w:val="24"/>
          <w:szCs w:val="24"/>
        </w:rPr>
      </w:pPr>
      <w:r w:rsidRPr="0046724E">
        <w:rPr>
          <w:rFonts w:asciiTheme="minorHAnsi" w:hAnsiTheme="minorHAnsi"/>
          <w:sz w:val="24"/>
          <w:szCs w:val="24"/>
        </w:rPr>
        <w:lastRenderedPageBreak/>
        <w:t>The PBAC reiterated its consideration from July 2018 (</w:t>
      </w:r>
      <w:r w:rsidRPr="0046724E">
        <w:rPr>
          <w:rFonts w:asciiTheme="minorHAnsi" w:eastAsiaTheme="minorHAnsi" w:hAnsiTheme="minorHAnsi" w:cstheme="minorBidi"/>
          <w:snapToGrid/>
          <w:sz w:val="24"/>
          <w:szCs w:val="22"/>
        </w:rPr>
        <w:t xml:space="preserve">July 2018 PBAC </w:t>
      </w:r>
      <w:r w:rsidR="00D53AD3">
        <w:rPr>
          <w:rFonts w:asciiTheme="minorHAnsi" w:eastAsiaTheme="minorHAnsi" w:hAnsiTheme="minorHAnsi" w:cstheme="minorBidi"/>
          <w:snapToGrid/>
          <w:sz w:val="24"/>
          <w:szCs w:val="22"/>
        </w:rPr>
        <w:t>PSD</w:t>
      </w:r>
      <w:r w:rsidRPr="0046724E">
        <w:rPr>
          <w:rFonts w:asciiTheme="minorHAnsi" w:eastAsiaTheme="minorHAnsi" w:hAnsiTheme="minorHAnsi" w:cstheme="minorBidi"/>
          <w:snapToGrid/>
          <w:sz w:val="24"/>
          <w:szCs w:val="22"/>
        </w:rPr>
        <w:t>, paragraphs 6.24-6.25)</w:t>
      </w:r>
      <w:r w:rsidRPr="0046724E">
        <w:rPr>
          <w:rFonts w:asciiTheme="minorHAnsi" w:hAnsiTheme="minorHAnsi"/>
          <w:sz w:val="24"/>
          <w:szCs w:val="24"/>
        </w:rPr>
        <w:t xml:space="preserve"> that the claim of non-inferior comparative effectiveness </w:t>
      </w:r>
      <w:r w:rsidR="00B13108" w:rsidRPr="0046724E">
        <w:rPr>
          <w:rFonts w:asciiTheme="minorHAnsi" w:hAnsiTheme="minorHAnsi"/>
          <w:sz w:val="24"/>
          <w:szCs w:val="24"/>
        </w:rPr>
        <w:t xml:space="preserve">based on SREs </w:t>
      </w:r>
      <w:r w:rsidRPr="0046724E">
        <w:rPr>
          <w:rFonts w:asciiTheme="minorHAnsi" w:hAnsiTheme="minorHAnsi"/>
          <w:sz w:val="24"/>
          <w:szCs w:val="24"/>
        </w:rPr>
        <w:t xml:space="preserve">and similar comparative safety to </w:t>
      </w:r>
      <w:proofErr w:type="spellStart"/>
      <w:r w:rsidRPr="0046724E">
        <w:rPr>
          <w:rFonts w:asciiTheme="minorHAnsi" w:hAnsiTheme="minorHAnsi"/>
          <w:sz w:val="24"/>
          <w:szCs w:val="24"/>
        </w:rPr>
        <w:t>zoledronic</w:t>
      </w:r>
      <w:proofErr w:type="spellEnd"/>
      <w:r w:rsidRPr="0046724E">
        <w:rPr>
          <w:rFonts w:asciiTheme="minorHAnsi" w:hAnsiTheme="minorHAnsi"/>
          <w:sz w:val="24"/>
          <w:szCs w:val="24"/>
        </w:rPr>
        <w:t xml:space="preserve"> acid was reasonably supported by the data.</w:t>
      </w:r>
    </w:p>
    <w:p w:rsidR="005A3173" w:rsidRPr="0046724E" w:rsidRDefault="005A3173" w:rsidP="00E70616">
      <w:pPr>
        <w:pStyle w:val="Heading2"/>
      </w:pPr>
      <w:r w:rsidRPr="0046724E">
        <w:t>Economic analysis</w:t>
      </w:r>
    </w:p>
    <w:p w:rsidR="0006056C" w:rsidRPr="0046724E" w:rsidRDefault="0006056C" w:rsidP="005533D1">
      <w:pPr>
        <w:pStyle w:val="ListParagraph"/>
        <w:widowControl/>
        <w:spacing w:after="120"/>
        <w:contextualSpacing w:val="0"/>
        <w:rPr>
          <w:rFonts w:asciiTheme="minorHAnsi" w:hAnsiTheme="minorHAnsi"/>
          <w:b/>
          <w:color w:val="222222"/>
          <w:sz w:val="24"/>
          <w:szCs w:val="24"/>
          <w:u w:val="single"/>
        </w:rPr>
      </w:pPr>
      <w:r w:rsidRPr="0046724E">
        <w:rPr>
          <w:rFonts w:asciiTheme="minorHAnsi" w:hAnsiTheme="minorHAnsi"/>
          <w:b/>
          <w:color w:val="222222"/>
          <w:sz w:val="24"/>
          <w:szCs w:val="24"/>
          <w:u w:val="single"/>
        </w:rPr>
        <w:t>Price proposal</w:t>
      </w:r>
    </w:p>
    <w:p w:rsidR="002005CE" w:rsidRPr="0046724E" w:rsidRDefault="002005CE" w:rsidP="004964C0">
      <w:pPr>
        <w:pStyle w:val="ListParagraph"/>
        <w:widowControl/>
        <w:numPr>
          <w:ilvl w:val="1"/>
          <w:numId w:val="14"/>
        </w:numPr>
        <w:spacing w:before="120"/>
        <w:rPr>
          <w:rFonts w:asciiTheme="minorHAnsi" w:hAnsiTheme="minorHAnsi"/>
          <w:color w:val="222222"/>
          <w:sz w:val="24"/>
          <w:szCs w:val="24"/>
        </w:rPr>
      </w:pPr>
      <w:r w:rsidRPr="0046724E">
        <w:rPr>
          <w:rFonts w:asciiTheme="minorHAnsi" w:hAnsiTheme="minorHAnsi"/>
          <w:color w:val="222222"/>
          <w:sz w:val="24"/>
          <w:szCs w:val="24"/>
        </w:rPr>
        <w:t xml:space="preserve">The minor resubmission proposed a staged price reduction across all </w:t>
      </w:r>
      <w:proofErr w:type="spellStart"/>
      <w:r w:rsidRPr="0046724E">
        <w:rPr>
          <w:rFonts w:asciiTheme="minorHAnsi" w:hAnsiTheme="minorHAnsi"/>
          <w:color w:val="222222"/>
          <w:sz w:val="24"/>
          <w:szCs w:val="24"/>
        </w:rPr>
        <w:t>denosumab</w:t>
      </w:r>
      <w:proofErr w:type="spellEnd"/>
      <w:r w:rsidRPr="0046724E">
        <w:rPr>
          <w:rFonts w:asciiTheme="minorHAnsi" w:hAnsiTheme="minorHAnsi"/>
          <w:color w:val="222222"/>
          <w:sz w:val="24"/>
          <w:szCs w:val="24"/>
        </w:rPr>
        <w:t xml:space="preserve"> 120</w:t>
      </w:r>
      <w:r w:rsidR="003B4D6F">
        <w:rPr>
          <w:rFonts w:asciiTheme="minorHAnsi" w:hAnsiTheme="minorHAnsi"/>
          <w:color w:val="222222"/>
          <w:sz w:val="24"/>
          <w:szCs w:val="24"/>
        </w:rPr>
        <w:t xml:space="preserve"> </w:t>
      </w:r>
      <w:r w:rsidRPr="0046724E">
        <w:rPr>
          <w:rFonts w:asciiTheme="minorHAnsi" w:hAnsiTheme="minorHAnsi"/>
          <w:color w:val="222222"/>
          <w:sz w:val="24"/>
          <w:szCs w:val="24"/>
        </w:rPr>
        <w:t xml:space="preserve">mg indications that, from the second year of the </w:t>
      </w:r>
      <w:r w:rsidR="004964C0" w:rsidRPr="0046724E">
        <w:rPr>
          <w:rFonts w:asciiTheme="minorHAnsi" w:hAnsiTheme="minorHAnsi"/>
          <w:color w:val="222222"/>
          <w:sz w:val="24"/>
          <w:szCs w:val="24"/>
        </w:rPr>
        <w:t>multiple myeloma</w:t>
      </w:r>
      <w:r w:rsidRPr="0046724E">
        <w:rPr>
          <w:rFonts w:asciiTheme="minorHAnsi" w:hAnsiTheme="minorHAnsi"/>
          <w:color w:val="222222"/>
          <w:sz w:val="24"/>
          <w:szCs w:val="24"/>
        </w:rPr>
        <w:t xml:space="preserve"> listing, would represent a reduction of </w:t>
      </w:r>
      <w:r w:rsidR="00742356">
        <w:rPr>
          <w:rFonts w:asciiTheme="minorHAnsi" w:hAnsiTheme="minorHAnsi"/>
          <w:noProof/>
          <w:color w:val="000000"/>
          <w:sz w:val="24"/>
          <w:szCs w:val="24"/>
          <w:highlight w:val="black"/>
        </w:rPr>
        <w:t>'''</w:t>
      </w:r>
      <w:r w:rsidRPr="0046724E">
        <w:rPr>
          <w:rFonts w:asciiTheme="minorHAnsi" w:hAnsiTheme="minorHAnsi"/>
          <w:color w:val="222222"/>
          <w:sz w:val="24"/>
          <w:szCs w:val="24"/>
        </w:rPr>
        <w:t>% from the current price. The ex-manufacturer price per 120</w:t>
      </w:r>
      <w:r w:rsidR="003B4D6F">
        <w:rPr>
          <w:rFonts w:asciiTheme="minorHAnsi" w:hAnsiTheme="minorHAnsi"/>
          <w:color w:val="222222"/>
          <w:sz w:val="24"/>
          <w:szCs w:val="24"/>
        </w:rPr>
        <w:t xml:space="preserve"> </w:t>
      </w:r>
      <w:r w:rsidRPr="0046724E">
        <w:rPr>
          <w:rFonts w:asciiTheme="minorHAnsi" w:hAnsiTheme="minorHAnsi"/>
          <w:color w:val="222222"/>
          <w:sz w:val="24"/>
          <w:szCs w:val="24"/>
        </w:rPr>
        <w:t xml:space="preserve">mg vial </w:t>
      </w:r>
      <w:r w:rsidR="0037773E" w:rsidRPr="0046724E">
        <w:rPr>
          <w:rFonts w:asciiTheme="minorHAnsi" w:hAnsiTheme="minorHAnsi"/>
          <w:color w:val="222222"/>
          <w:sz w:val="24"/>
          <w:szCs w:val="24"/>
        </w:rPr>
        <w:t xml:space="preserve">as at 1 October 2018 </w:t>
      </w:r>
      <w:r w:rsidR="0075771C" w:rsidRPr="0046724E">
        <w:rPr>
          <w:rFonts w:asciiTheme="minorHAnsi" w:hAnsiTheme="minorHAnsi"/>
          <w:color w:val="222222"/>
          <w:sz w:val="24"/>
          <w:szCs w:val="24"/>
        </w:rPr>
        <w:t>wa</w:t>
      </w:r>
      <w:r w:rsidRPr="0046724E">
        <w:rPr>
          <w:rFonts w:asciiTheme="minorHAnsi" w:hAnsiTheme="minorHAnsi"/>
          <w:color w:val="222222"/>
          <w:sz w:val="24"/>
          <w:szCs w:val="24"/>
        </w:rPr>
        <w:t>s $446.50. The proposed ex-manufacturer pri</w:t>
      </w:r>
      <w:r w:rsidR="0075771C" w:rsidRPr="0046724E">
        <w:rPr>
          <w:rFonts w:asciiTheme="minorHAnsi" w:hAnsiTheme="minorHAnsi"/>
          <w:color w:val="222222"/>
          <w:sz w:val="24"/>
          <w:szCs w:val="24"/>
        </w:rPr>
        <w:t>ces under the stage</w:t>
      </w:r>
      <w:r w:rsidR="0037773E" w:rsidRPr="0046724E">
        <w:rPr>
          <w:rFonts w:asciiTheme="minorHAnsi" w:hAnsiTheme="minorHAnsi"/>
          <w:color w:val="222222"/>
          <w:sz w:val="24"/>
          <w:szCs w:val="24"/>
        </w:rPr>
        <w:t>d</w:t>
      </w:r>
      <w:r w:rsidR="0075771C" w:rsidRPr="0046724E">
        <w:rPr>
          <w:rFonts w:asciiTheme="minorHAnsi" w:hAnsiTheme="minorHAnsi"/>
          <w:color w:val="222222"/>
          <w:sz w:val="24"/>
          <w:szCs w:val="24"/>
        </w:rPr>
        <w:t xml:space="preserve"> reductions we</w:t>
      </w:r>
      <w:r w:rsidRPr="0046724E">
        <w:rPr>
          <w:rFonts w:asciiTheme="minorHAnsi" w:hAnsiTheme="minorHAnsi"/>
          <w:color w:val="222222"/>
          <w:sz w:val="24"/>
          <w:szCs w:val="24"/>
        </w:rPr>
        <w:t>re:</w:t>
      </w:r>
    </w:p>
    <w:p w:rsidR="002005CE" w:rsidRPr="0046724E" w:rsidRDefault="002005CE" w:rsidP="004964C0">
      <w:pPr>
        <w:pStyle w:val="ListParagraph"/>
        <w:widowControl/>
        <w:numPr>
          <w:ilvl w:val="0"/>
          <w:numId w:val="19"/>
        </w:numPr>
        <w:spacing w:line="276" w:lineRule="auto"/>
        <w:rPr>
          <w:rFonts w:asciiTheme="minorHAnsi" w:hAnsiTheme="minorHAnsi"/>
          <w:color w:val="222222"/>
          <w:sz w:val="24"/>
          <w:szCs w:val="24"/>
        </w:rPr>
      </w:pPr>
      <w:r w:rsidRPr="0046724E">
        <w:rPr>
          <w:rFonts w:asciiTheme="minorHAnsi" w:hAnsiTheme="minorHAnsi"/>
          <w:color w:val="222222"/>
          <w:sz w:val="24"/>
          <w:szCs w:val="24"/>
        </w:rPr>
        <w:t>$</w:t>
      </w:r>
      <w:r w:rsidR="00742356">
        <w:rPr>
          <w:rFonts w:asciiTheme="minorHAnsi" w:hAnsiTheme="minorHAnsi"/>
          <w:noProof/>
          <w:color w:val="000000"/>
          <w:sz w:val="24"/>
          <w:szCs w:val="24"/>
          <w:highlight w:val="black"/>
        </w:rPr>
        <w:t>''''''''''''</w:t>
      </w:r>
      <w:r w:rsidRPr="0046724E">
        <w:rPr>
          <w:rFonts w:asciiTheme="minorHAnsi" w:hAnsiTheme="minorHAnsi"/>
          <w:color w:val="222222"/>
          <w:sz w:val="24"/>
          <w:szCs w:val="24"/>
        </w:rPr>
        <w:t xml:space="preserve"> for the first year of the </w:t>
      </w:r>
      <w:r w:rsidR="004964C0" w:rsidRPr="0046724E">
        <w:rPr>
          <w:rFonts w:asciiTheme="minorHAnsi" w:hAnsiTheme="minorHAnsi"/>
          <w:color w:val="222222"/>
          <w:sz w:val="24"/>
          <w:szCs w:val="24"/>
        </w:rPr>
        <w:t>multiple myeloma</w:t>
      </w:r>
      <w:r w:rsidRPr="0046724E">
        <w:rPr>
          <w:rFonts w:asciiTheme="minorHAnsi" w:hAnsiTheme="minorHAnsi"/>
          <w:color w:val="222222"/>
          <w:sz w:val="24"/>
          <w:szCs w:val="24"/>
        </w:rPr>
        <w:t xml:space="preserve"> listing.</w:t>
      </w:r>
    </w:p>
    <w:p w:rsidR="002005CE" w:rsidRPr="0046724E" w:rsidRDefault="002005CE" w:rsidP="004964C0">
      <w:pPr>
        <w:pStyle w:val="ListParagraph"/>
        <w:widowControl/>
        <w:numPr>
          <w:ilvl w:val="0"/>
          <w:numId w:val="19"/>
        </w:numPr>
        <w:spacing w:line="276" w:lineRule="auto"/>
        <w:rPr>
          <w:rFonts w:asciiTheme="minorHAnsi" w:hAnsiTheme="minorHAnsi"/>
          <w:color w:val="222222"/>
          <w:sz w:val="24"/>
          <w:szCs w:val="24"/>
        </w:rPr>
      </w:pPr>
      <w:r w:rsidRPr="0046724E">
        <w:rPr>
          <w:rFonts w:asciiTheme="minorHAnsi" w:hAnsiTheme="minorHAnsi"/>
          <w:color w:val="222222"/>
          <w:sz w:val="24"/>
          <w:szCs w:val="24"/>
        </w:rPr>
        <w:t>$</w:t>
      </w:r>
      <w:r w:rsidR="00742356">
        <w:rPr>
          <w:rFonts w:asciiTheme="minorHAnsi" w:hAnsiTheme="minorHAnsi"/>
          <w:noProof/>
          <w:color w:val="000000"/>
          <w:sz w:val="24"/>
          <w:szCs w:val="24"/>
          <w:highlight w:val="black"/>
        </w:rPr>
        <w:t>''''''''''''''</w:t>
      </w:r>
      <w:r w:rsidRPr="0046724E">
        <w:rPr>
          <w:rFonts w:asciiTheme="minorHAnsi" w:hAnsiTheme="minorHAnsi"/>
          <w:color w:val="222222"/>
          <w:sz w:val="24"/>
          <w:szCs w:val="24"/>
        </w:rPr>
        <w:t xml:space="preserve"> from the start of the second year of the </w:t>
      </w:r>
      <w:r w:rsidR="004964C0" w:rsidRPr="0046724E">
        <w:rPr>
          <w:rFonts w:asciiTheme="minorHAnsi" w:hAnsiTheme="minorHAnsi"/>
          <w:color w:val="222222"/>
          <w:sz w:val="24"/>
          <w:szCs w:val="24"/>
        </w:rPr>
        <w:t>multiple myeloma</w:t>
      </w:r>
      <w:r w:rsidR="00D7437A">
        <w:rPr>
          <w:rFonts w:asciiTheme="minorHAnsi" w:hAnsiTheme="minorHAnsi"/>
          <w:color w:val="222222"/>
          <w:sz w:val="24"/>
          <w:szCs w:val="24"/>
        </w:rPr>
        <w:t xml:space="preserve"> listing.</w:t>
      </w:r>
    </w:p>
    <w:p w:rsidR="002005CE" w:rsidRPr="0046724E" w:rsidRDefault="002005CE" w:rsidP="005533D1">
      <w:pPr>
        <w:spacing w:line="276" w:lineRule="auto"/>
        <w:ind w:left="709"/>
        <w:jc w:val="both"/>
        <w:rPr>
          <w:rFonts w:asciiTheme="minorHAnsi" w:hAnsiTheme="minorHAnsi" w:cs="Arial"/>
          <w:color w:val="222222"/>
        </w:rPr>
      </w:pPr>
      <w:r w:rsidRPr="0046724E">
        <w:rPr>
          <w:rFonts w:asciiTheme="minorHAnsi" w:hAnsiTheme="minorHAnsi" w:cs="Arial"/>
          <w:color w:val="222222"/>
        </w:rPr>
        <w:t xml:space="preserve">Following the above reductions, </w:t>
      </w:r>
      <w:proofErr w:type="spellStart"/>
      <w:r w:rsidRPr="0046724E">
        <w:rPr>
          <w:rFonts w:asciiTheme="minorHAnsi" w:hAnsiTheme="minorHAnsi" w:cs="Arial"/>
          <w:color w:val="222222"/>
        </w:rPr>
        <w:t>denosumab</w:t>
      </w:r>
      <w:proofErr w:type="spellEnd"/>
      <w:r w:rsidRPr="0046724E">
        <w:rPr>
          <w:rFonts w:asciiTheme="minorHAnsi" w:hAnsiTheme="minorHAnsi" w:cs="Arial"/>
          <w:color w:val="222222"/>
        </w:rPr>
        <w:t xml:space="preserve"> </w:t>
      </w:r>
      <w:proofErr w:type="gramStart"/>
      <w:r w:rsidRPr="0046724E">
        <w:rPr>
          <w:rFonts w:asciiTheme="minorHAnsi" w:hAnsiTheme="minorHAnsi" w:cs="Arial"/>
          <w:color w:val="222222"/>
        </w:rPr>
        <w:t>is scheduled</w:t>
      </w:r>
      <w:proofErr w:type="gramEnd"/>
      <w:r w:rsidRPr="0046724E">
        <w:rPr>
          <w:rFonts w:asciiTheme="minorHAnsi" w:hAnsiTheme="minorHAnsi" w:cs="Arial"/>
          <w:color w:val="222222"/>
        </w:rPr>
        <w:t xml:space="preserve"> for a 10% statutory price reduction in April 2021.</w:t>
      </w:r>
    </w:p>
    <w:p w:rsidR="0006056C" w:rsidRPr="0046724E" w:rsidRDefault="0006056C" w:rsidP="00B13108">
      <w:pPr>
        <w:pStyle w:val="ListParagraph"/>
        <w:widowControl/>
        <w:spacing w:before="120" w:after="120"/>
        <w:contextualSpacing w:val="0"/>
        <w:rPr>
          <w:rFonts w:asciiTheme="minorHAnsi" w:hAnsiTheme="minorHAnsi"/>
          <w:b/>
          <w:color w:val="222222"/>
          <w:sz w:val="24"/>
          <w:szCs w:val="24"/>
          <w:u w:val="single"/>
        </w:rPr>
      </w:pPr>
      <w:r w:rsidRPr="0046724E">
        <w:rPr>
          <w:rFonts w:asciiTheme="minorHAnsi" w:hAnsiTheme="minorHAnsi"/>
          <w:b/>
          <w:color w:val="222222"/>
          <w:sz w:val="24"/>
          <w:szCs w:val="24"/>
          <w:u w:val="single"/>
        </w:rPr>
        <w:t>Multiple myeloma price</w:t>
      </w:r>
    </w:p>
    <w:p w:rsidR="002005CE" w:rsidRPr="0046724E" w:rsidRDefault="004964C0" w:rsidP="004964C0">
      <w:pPr>
        <w:pStyle w:val="ListParagraph"/>
        <w:widowControl/>
        <w:numPr>
          <w:ilvl w:val="1"/>
          <w:numId w:val="14"/>
        </w:numPr>
        <w:rPr>
          <w:rFonts w:asciiTheme="minorHAnsi" w:hAnsiTheme="minorHAnsi"/>
          <w:color w:val="222222"/>
          <w:sz w:val="24"/>
          <w:szCs w:val="24"/>
        </w:rPr>
      </w:pPr>
      <w:r w:rsidRPr="0046724E">
        <w:rPr>
          <w:rFonts w:asciiTheme="minorHAnsi" w:hAnsiTheme="minorHAnsi"/>
          <w:color w:val="222222"/>
          <w:sz w:val="24"/>
          <w:szCs w:val="24"/>
        </w:rPr>
        <w:t>Multiple myeloma</w:t>
      </w:r>
      <w:r w:rsidR="002005CE" w:rsidRPr="0046724E">
        <w:rPr>
          <w:rFonts w:asciiTheme="minorHAnsi" w:hAnsiTheme="minorHAnsi"/>
          <w:color w:val="222222"/>
          <w:sz w:val="24"/>
          <w:szCs w:val="24"/>
        </w:rPr>
        <w:t xml:space="preserve"> patients </w:t>
      </w:r>
      <w:r w:rsidR="00411612" w:rsidRPr="0046724E">
        <w:rPr>
          <w:rFonts w:asciiTheme="minorHAnsi" w:hAnsiTheme="minorHAnsi"/>
          <w:color w:val="222222"/>
          <w:sz w:val="24"/>
          <w:szCs w:val="24"/>
        </w:rPr>
        <w:t xml:space="preserve">were assumed to </w:t>
      </w:r>
      <w:r w:rsidR="002005CE" w:rsidRPr="0046724E">
        <w:rPr>
          <w:rFonts w:asciiTheme="minorHAnsi" w:hAnsiTheme="minorHAnsi"/>
          <w:color w:val="222222"/>
          <w:sz w:val="24"/>
          <w:szCs w:val="24"/>
        </w:rPr>
        <w:t xml:space="preserve">represent </w:t>
      </w:r>
      <w:r w:rsidR="00742356">
        <w:rPr>
          <w:rFonts w:asciiTheme="minorHAnsi" w:hAnsiTheme="minorHAnsi"/>
          <w:noProof/>
          <w:color w:val="000000"/>
          <w:sz w:val="24"/>
          <w:szCs w:val="24"/>
          <w:highlight w:val="black"/>
        </w:rPr>
        <w:t>'''''</w:t>
      </w:r>
      <w:r w:rsidR="002005CE" w:rsidRPr="0046724E">
        <w:rPr>
          <w:rFonts w:asciiTheme="minorHAnsi" w:hAnsiTheme="minorHAnsi"/>
          <w:color w:val="222222"/>
          <w:sz w:val="24"/>
          <w:szCs w:val="24"/>
        </w:rPr>
        <w:t xml:space="preserve">% of the patients </w:t>
      </w:r>
      <w:r w:rsidR="00411612" w:rsidRPr="0046724E">
        <w:rPr>
          <w:rFonts w:asciiTheme="minorHAnsi" w:hAnsiTheme="minorHAnsi"/>
          <w:color w:val="222222"/>
          <w:sz w:val="24"/>
          <w:szCs w:val="24"/>
        </w:rPr>
        <w:t xml:space="preserve">using </w:t>
      </w:r>
      <w:r w:rsidR="002005CE" w:rsidRPr="0046724E">
        <w:rPr>
          <w:rFonts w:asciiTheme="minorHAnsi" w:hAnsiTheme="minorHAnsi"/>
          <w:color w:val="222222"/>
          <w:sz w:val="24"/>
          <w:szCs w:val="24"/>
        </w:rPr>
        <w:t xml:space="preserve">bone agents for </w:t>
      </w:r>
      <w:r w:rsidR="00411612" w:rsidRPr="0046724E">
        <w:rPr>
          <w:rFonts w:asciiTheme="minorHAnsi" w:hAnsiTheme="minorHAnsi"/>
          <w:color w:val="222222"/>
          <w:sz w:val="24"/>
          <w:szCs w:val="24"/>
        </w:rPr>
        <w:t>either breast</w:t>
      </w:r>
      <w:r w:rsidR="002005CE" w:rsidRPr="0046724E">
        <w:rPr>
          <w:rFonts w:asciiTheme="minorHAnsi" w:hAnsiTheme="minorHAnsi"/>
          <w:color w:val="222222"/>
          <w:sz w:val="24"/>
          <w:szCs w:val="24"/>
        </w:rPr>
        <w:t xml:space="preserve"> cancer, prostate cancer or myeloma </w:t>
      </w:r>
      <w:r w:rsidR="00411612" w:rsidRPr="0046724E">
        <w:rPr>
          <w:rFonts w:asciiTheme="minorHAnsi" w:hAnsiTheme="minorHAnsi"/>
          <w:color w:val="222222"/>
          <w:sz w:val="24"/>
          <w:szCs w:val="24"/>
        </w:rPr>
        <w:t>—</w:t>
      </w:r>
      <w:r w:rsidR="002005CE" w:rsidRPr="0046724E">
        <w:rPr>
          <w:rFonts w:asciiTheme="minorHAnsi" w:hAnsiTheme="minorHAnsi"/>
          <w:color w:val="222222"/>
          <w:sz w:val="24"/>
          <w:szCs w:val="24"/>
        </w:rPr>
        <w:t xml:space="preserve"> </w:t>
      </w:r>
      <w:r w:rsidR="00411612" w:rsidRPr="0046724E">
        <w:rPr>
          <w:rFonts w:asciiTheme="minorHAnsi" w:hAnsiTheme="minorHAnsi"/>
          <w:color w:val="222222"/>
          <w:sz w:val="24"/>
          <w:szCs w:val="24"/>
        </w:rPr>
        <w:t>this was derived from the 10% Medicare Australia sample for twelve months to March 2015 used in the July 2018 major submission. The minor resubmission has thus assumed that a</w:t>
      </w:r>
      <w:r w:rsidR="002005CE" w:rsidRPr="0046724E">
        <w:rPr>
          <w:rFonts w:asciiTheme="minorHAnsi" w:hAnsiTheme="minorHAnsi"/>
          <w:color w:val="222222"/>
          <w:sz w:val="24"/>
          <w:szCs w:val="24"/>
        </w:rPr>
        <w:t xml:space="preserve">n overall </w:t>
      </w:r>
      <w:r w:rsidR="00411612" w:rsidRPr="0046724E">
        <w:rPr>
          <w:rFonts w:asciiTheme="minorHAnsi" w:hAnsiTheme="minorHAnsi"/>
          <w:color w:val="222222"/>
          <w:sz w:val="24"/>
          <w:szCs w:val="24"/>
        </w:rPr>
        <w:t xml:space="preserve">ex-manufacturer </w:t>
      </w:r>
      <w:r w:rsidR="002005CE" w:rsidRPr="0046724E">
        <w:rPr>
          <w:rFonts w:asciiTheme="minorHAnsi" w:hAnsiTheme="minorHAnsi"/>
          <w:color w:val="222222"/>
          <w:sz w:val="24"/>
          <w:szCs w:val="24"/>
        </w:rPr>
        <w:t>price of $</w:t>
      </w:r>
      <w:r w:rsidR="00742356">
        <w:rPr>
          <w:rFonts w:asciiTheme="minorHAnsi" w:hAnsiTheme="minorHAnsi"/>
          <w:noProof/>
          <w:color w:val="000000"/>
          <w:sz w:val="24"/>
          <w:szCs w:val="24"/>
          <w:highlight w:val="black"/>
        </w:rPr>
        <w:t>'''''''''''''</w:t>
      </w:r>
      <w:r w:rsidR="002005CE" w:rsidRPr="0046724E">
        <w:rPr>
          <w:rFonts w:asciiTheme="minorHAnsi" w:hAnsiTheme="minorHAnsi"/>
          <w:color w:val="222222"/>
          <w:sz w:val="24"/>
          <w:szCs w:val="24"/>
        </w:rPr>
        <w:t xml:space="preserve"> </w:t>
      </w:r>
      <w:r w:rsidR="00411612" w:rsidRPr="0046724E">
        <w:rPr>
          <w:rFonts w:asciiTheme="minorHAnsi" w:hAnsiTheme="minorHAnsi"/>
          <w:color w:val="222222"/>
          <w:sz w:val="24"/>
          <w:szCs w:val="24"/>
        </w:rPr>
        <w:t xml:space="preserve">for </w:t>
      </w:r>
      <w:proofErr w:type="spellStart"/>
      <w:r w:rsidR="0046724E" w:rsidRPr="0046724E">
        <w:rPr>
          <w:rFonts w:asciiTheme="minorHAnsi" w:hAnsiTheme="minorHAnsi"/>
          <w:color w:val="222222"/>
          <w:sz w:val="24"/>
          <w:szCs w:val="24"/>
        </w:rPr>
        <w:t>denosumab</w:t>
      </w:r>
      <w:proofErr w:type="spellEnd"/>
      <w:r w:rsidR="00411612" w:rsidRPr="0046724E">
        <w:rPr>
          <w:rFonts w:asciiTheme="minorHAnsi" w:hAnsiTheme="minorHAnsi"/>
          <w:color w:val="222222"/>
          <w:sz w:val="24"/>
          <w:szCs w:val="24"/>
        </w:rPr>
        <w:t xml:space="preserve"> </w:t>
      </w:r>
      <w:r w:rsidR="002005CE" w:rsidRPr="0046724E">
        <w:rPr>
          <w:rFonts w:asciiTheme="minorHAnsi" w:hAnsiTheme="minorHAnsi"/>
          <w:color w:val="222222"/>
          <w:sz w:val="24"/>
          <w:szCs w:val="24"/>
        </w:rPr>
        <w:t xml:space="preserve">would represent an ex-manufacturer price for use in </w:t>
      </w:r>
      <w:r w:rsidRPr="0046724E">
        <w:rPr>
          <w:rFonts w:asciiTheme="minorHAnsi" w:hAnsiTheme="minorHAnsi"/>
          <w:color w:val="222222"/>
          <w:sz w:val="24"/>
          <w:szCs w:val="24"/>
        </w:rPr>
        <w:t>multiple myeloma</w:t>
      </w:r>
      <w:r w:rsidR="002005CE" w:rsidRPr="0046724E">
        <w:rPr>
          <w:rFonts w:asciiTheme="minorHAnsi" w:hAnsiTheme="minorHAnsi"/>
          <w:color w:val="222222"/>
          <w:sz w:val="24"/>
          <w:szCs w:val="24"/>
        </w:rPr>
        <w:t xml:space="preserve"> of $</w:t>
      </w:r>
      <w:r w:rsidR="00742356">
        <w:rPr>
          <w:rFonts w:asciiTheme="minorHAnsi" w:hAnsiTheme="minorHAnsi"/>
          <w:noProof/>
          <w:color w:val="000000"/>
          <w:sz w:val="24"/>
          <w:szCs w:val="24"/>
          <w:highlight w:val="black"/>
        </w:rPr>
        <w:t>''''''''''''</w:t>
      </w:r>
      <w:r w:rsidR="002005CE" w:rsidRPr="0046724E">
        <w:rPr>
          <w:rFonts w:asciiTheme="minorHAnsi" w:hAnsiTheme="minorHAnsi"/>
          <w:color w:val="222222"/>
          <w:sz w:val="24"/>
          <w:szCs w:val="24"/>
        </w:rPr>
        <w:t xml:space="preserve">, based on </w:t>
      </w:r>
      <w:r w:rsidR="00411612" w:rsidRPr="0046724E">
        <w:rPr>
          <w:rFonts w:asciiTheme="minorHAnsi" w:hAnsiTheme="minorHAnsi"/>
          <w:color w:val="222222"/>
          <w:sz w:val="24"/>
          <w:szCs w:val="24"/>
        </w:rPr>
        <w:t>this weighting across indications</w:t>
      </w:r>
      <w:r w:rsidR="002005CE" w:rsidRPr="0046724E">
        <w:rPr>
          <w:rFonts w:asciiTheme="minorHAnsi" w:hAnsiTheme="minorHAnsi"/>
          <w:color w:val="222222"/>
          <w:sz w:val="24"/>
          <w:szCs w:val="24"/>
        </w:rPr>
        <w:t>:</w:t>
      </w:r>
    </w:p>
    <w:p w:rsidR="002005CE" w:rsidRPr="0046724E" w:rsidRDefault="002005CE" w:rsidP="005533D1">
      <w:pPr>
        <w:spacing w:line="276" w:lineRule="auto"/>
        <w:jc w:val="both"/>
        <w:rPr>
          <w:rFonts w:asciiTheme="minorHAnsi" w:hAnsiTheme="minorHAnsi" w:cs="Arial"/>
          <w:color w:val="222222"/>
        </w:rPr>
      </w:pPr>
    </w:p>
    <w:p w:rsidR="002005CE" w:rsidRPr="0046724E" w:rsidRDefault="002005CE" w:rsidP="005533D1">
      <w:pPr>
        <w:spacing w:line="360" w:lineRule="auto"/>
        <w:ind w:left="709"/>
        <w:rPr>
          <w:rFonts w:ascii="Arial Narrow" w:hAnsi="Arial Narrow" w:cs="Arial"/>
          <w:sz w:val="20"/>
          <w:szCs w:val="20"/>
        </w:rPr>
      </w:pPr>
      <w:r w:rsidRPr="0046724E">
        <w:rPr>
          <w:rFonts w:ascii="Arial Narrow" w:hAnsi="Arial Narrow" w:cs="Arial"/>
          <w:sz w:val="20"/>
          <w:szCs w:val="20"/>
        </w:rPr>
        <w:t>Current price x proportion of use in current indications + MM price x proportion of use in MM = $</w:t>
      </w:r>
      <w:r w:rsidR="00742356">
        <w:rPr>
          <w:rFonts w:ascii="Arial Narrow" w:hAnsi="Arial Narrow" w:cs="Arial"/>
          <w:noProof/>
          <w:color w:val="000000"/>
          <w:sz w:val="20"/>
          <w:szCs w:val="20"/>
          <w:highlight w:val="black"/>
        </w:rPr>
        <w:t>''''''''''''''''''</w:t>
      </w:r>
    </w:p>
    <w:p w:rsidR="002005CE" w:rsidRPr="0046724E" w:rsidRDefault="002005CE" w:rsidP="005533D1">
      <w:pPr>
        <w:spacing w:line="360" w:lineRule="auto"/>
        <w:ind w:firstLine="720"/>
        <w:rPr>
          <w:rFonts w:ascii="Arial Narrow" w:hAnsi="Arial Narrow" w:cs="Arial"/>
          <w:sz w:val="20"/>
          <w:szCs w:val="20"/>
        </w:rPr>
      </w:pPr>
      <w:r w:rsidRPr="0046724E">
        <w:rPr>
          <w:rFonts w:ascii="Arial Narrow" w:hAnsi="Arial Narrow" w:cs="Arial"/>
          <w:sz w:val="20"/>
          <w:szCs w:val="20"/>
        </w:rPr>
        <w:t>$</w:t>
      </w:r>
      <w:r w:rsidR="00742356">
        <w:rPr>
          <w:rFonts w:ascii="Arial Narrow" w:hAnsi="Arial Narrow" w:cs="Arial"/>
          <w:noProof/>
          <w:color w:val="000000"/>
          <w:sz w:val="20"/>
          <w:szCs w:val="20"/>
          <w:highlight w:val="black"/>
        </w:rPr>
        <w:t>'''''''''''''''</w:t>
      </w:r>
      <w:r w:rsidRPr="0046724E">
        <w:rPr>
          <w:rFonts w:ascii="Arial Narrow" w:hAnsi="Arial Narrow" w:cs="Arial"/>
          <w:sz w:val="20"/>
          <w:szCs w:val="20"/>
        </w:rPr>
        <w:t xml:space="preserve"> x 0.</w:t>
      </w:r>
      <w:r w:rsidR="00742356">
        <w:rPr>
          <w:rFonts w:ascii="Arial Narrow" w:hAnsi="Arial Narrow" w:cs="Arial"/>
          <w:noProof/>
          <w:color w:val="000000"/>
          <w:sz w:val="20"/>
          <w:szCs w:val="20"/>
          <w:highlight w:val="black"/>
        </w:rPr>
        <w:t>'''''</w:t>
      </w:r>
      <w:r w:rsidRPr="0046724E">
        <w:rPr>
          <w:rFonts w:ascii="Arial Narrow" w:hAnsi="Arial Narrow" w:cs="Arial"/>
          <w:sz w:val="20"/>
          <w:szCs w:val="20"/>
        </w:rPr>
        <w:t xml:space="preserve"> + MM price x </w:t>
      </w:r>
      <w:proofErr w:type="gramStart"/>
      <w:r w:rsidRPr="0046724E">
        <w:rPr>
          <w:rFonts w:ascii="Arial Narrow" w:hAnsi="Arial Narrow" w:cs="Arial"/>
          <w:sz w:val="20"/>
          <w:szCs w:val="20"/>
        </w:rPr>
        <w:t>0</w:t>
      </w:r>
      <w:proofErr w:type="gramEnd"/>
      <w:r w:rsidRPr="0046724E">
        <w:rPr>
          <w:rFonts w:ascii="Arial Narrow" w:hAnsi="Arial Narrow" w:cs="Arial"/>
          <w:sz w:val="20"/>
          <w:szCs w:val="20"/>
        </w:rPr>
        <w:t>.</w:t>
      </w:r>
      <w:r w:rsidR="00742356">
        <w:rPr>
          <w:rFonts w:ascii="Arial Narrow" w:hAnsi="Arial Narrow" w:cs="Arial"/>
          <w:noProof/>
          <w:color w:val="000000"/>
          <w:sz w:val="20"/>
          <w:szCs w:val="20"/>
          <w:highlight w:val="black"/>
        </w:rPr>
        <w:t>''''''</w:t>
      </w:r>
      <w:r w:rsidRPr="0046724E">
        <w:rPr>
          <w:rFonts w:ascii="Arial Narrow" w:hAnsi="Arial Narrow" w:cs="Arial"/>
          <w:sz w:val="20"/>
          <w:szCs w:val="20"/>
        </w:rPr>
        <w:t>^= $</w:t>
      </w:r>
      <w:r w:rsidR="00742356">
        <w:rPr>
          <w:rFonts w:ascii="Arial Narrow" w:hAnsi="Arial Narrow" w:cs="Arial"/>
          <w:noProof/>
          <w:color w:val="000000"/>
          <w:sz w:val="20"/>
          <w:szCs w:val="20"/>
          <w:highlight w:val="black"/>
        </w:rPr>
        <w:t>'''''''''''''''''</w:t>
      </w:r>
    </w:p>
    <w:p w:rsidR="002005CE" w:rsidRPr="0046724E" w:rsidRDefault="002005CE" w:rsidP="005533D1">
      <w:pPr>
        <w:rPr>
          <w:rFonts w:ascii="Arial Narrow" w:hAnsi="Arial Narrow" w:cs="Arial"/>
          <w:sz w:val="20"/>
          <w:szCs w:val="20"/>
        </w:rPr>
      </w:pPr>
    </w:p>
    <w:p w:rsidR="002005CE" w:rsidRPr="0046724E" w:rsidRDefault="00276679" w:rsidP="005533D1">
      <w:pPr>
        <w:spacing w:line="360" w:lineRule="auto"/>
        <w:ind w:left="720" w:firstLine="720"/>
        <w:rPr>
          <w:rFonts w:ascii="Arial Narrow" w:hAnsi="Arial Narrow" w:cs="Arial"/>
          <w:sz w:val="20"/>
          <w:szCs w:val="20"/>
        </w:rPr>
      </w:pPr>
      <w:r>
        <w:rPr>
          <w:rFonts w:ascii="Arial Narrow" w:hAnsi="Arial Narrow" w:cs="Arial"/>
          <w:sz w:val="20"/>
          <w:szCs w:val="20"/>
        </w:rPr>
        <w:t xml:space="preserve">MM price </w:t>
      </w:r>
      <w:r>
        <w:rPr>
          <w:rFonts w:ascii="Arial Narrow" w:hAnsi="Arial Narrow" w:cs="Arial"/>
          <w:sz w:val="20"/>
          <w:szCs w:val="20"/>
        </w:rPr>
        <w:tab/>
      </w:r>
      <w:r w:rsidR="002005CE" w:rsidRPr="0046724E">
        <w:rPr>
          <w:rFonts w:ascii="Arial Narrow" w:hAnsi="Arial Narrow" w:cs="Arial"/>
          <w:sz w:val="20"/>
          <w:szCs w:val="20"/>
        </w:rPr>
        <w:t>= ($</w:t>
      </w:r>
      <w:r w:rsidR="00742356">
        <w:rPr>
          <w:rFonts w:ascii="Arial Narrow" w:hAnsi="Arial Narrow" w:cs="Arial"/>
          <w:noProof/>
          <w:color w:val="000000"/>
          <w:sz w:val="20"/>
          <w:szCs w:val="20"/>
          <w:highlight w:val="black"/>
        </w:rPr>
        <w:t>''''''''''''''''''</w:t>
      </w:r>
      <w:r w:rsidR="002005CE" w:rsidRPr="0046724E">
        <w:rPr>
          <w:rFonts w:ascii="Arial Narrow" w:hAnsi="Arial Narrow" w:cs="Arial"/>
          <w:sz w:val="20"/>
          <w:szCs w:val="20"/>
        </w:rPr>
        <w:t xml:space="preserve"> – $</w:t>
      </w:r>
      <w:r w:rsidR="00742356">
        <w:rPr>
          <w:rFonts w:ascii="Arial Narrow" w:hAnsi="Arial Narrow" w:cs="Arial"/>
          <w:noProof/>
          <w:color w:val="000000"/>
          <w:sz w:val="20"/>
          <w:szCs w:val="20"/>
          <w:highlight w:val="black"/>
        </w:rPr>
        <w:t>''''''''''''''''</w:t>
      </w:r>
      <w:r w:rsidR="002005CE" w:rsidRPr="0046724E">
        <w:rPr>
          <w:rFonts w:ascii="Arial Narrow" w:hAnsi="Arial Narrow" w:cs="Arial"/>
          <w:sz w:val="20"/>
          <w:szCs w:val="20"/>
        </w:rPr>
        <w:t xml:space="preserve"> x 0.</w:t>
      </w:r>
      <w:r w:rsidR="00742356">
        <w:rPr>
          <w:rFonts w:ascii="Arial Narrow" w:hAnsi="Arial Narrow" w:cs="Arial"/>
          <w:noProof/>
          <w:color w:val="000000"/>
          <w:sz w:val="20"/>
          <w:szCs w:val="20"/>
          <w:highlight w:val="black"/>
        </w:rPr>
        <w:t>'''''</w:t>
      </w:r>
      <w:r w:rsidR="002005CE" w:rsidRPr="0046724E">
        <w:rPr>
          <w:rFonts w:ascii="Arial Narrow" w:hAnsi="Arial Narrow" w:cs="Arial"/>
          <w:sz w:val="20"/>
          <w:szCs w:val="20"/>
        </w:rPr>
        <w:t xml:space="preserve">) / </w:t>
      </w:r>
      <w:proofErr w:type="gramStart"/>
      <w:r w:rsidR="002005CE" w:rsidRPr="0046724E">
        <w:rPr>
          <w:rFonts w:ascii="Arial Narrow" w:hAnsi="Arial Narrow" w:cs="Arial"/>
          <w:sz w:val="20"/>
          <w:szCs w:val="20"/>
        </w:rPr>
        <w:t>0</w:t>
      </w:r>
      <w:proofErr w:type="gramEnd"/>
      <w:r w:rsidR="002005CE" w:rsidRPr="0046724E">
        <w:rPr>
          <w:rFonts w:ascii="Arial Narrow" w:hAnsi="Arial Narrow" w:cs="Arial"/>
          <w:sz w:val="20"/>
          <w:szCs w:val="20"/>
        </w:rPr>
        <w:t>.</w:t>
      </w:r>
      <w:r w:rsidR="00742356">
        <w:rPr>
          <w:rFonts w:ascii="Arial Narrow" w:hAnsi="Arial Narrow" w:cs="Arial"/>
          <w:noProof/>
          <w:color w:val="000000"/>
          <w:sz w:val="20"/>
          <w:szCs w:val="20"/>
          <w:highlight w:val="black"/>
        </w:rPr>
        <w:t>''''''</w:t>
      </w:r>
    </w:p>
    <w:p w:rsidR="002005CE" w:rsidRPr="0046724E" w:rsidRDefault="002005CE" w:rsidP="005533D1">
      <w:pPr>
        <w:spacing w:line="360" w:lineRule="auto"/>
        <w:ind w:left="720" w:firstLine="720"/>
        <w:rPr>
          <w:rFonts w:ascii="Arial Narrow" w:hAnsi="Arial Narrow" w:cs="Arial"/>
          <w:sz w:val="20"/>
          <w:szCs w:val="20"/>
        </w:rPr>
      </w:pPr>
      <w:r w:rsidRPr="0046724E">
        <w:rPr>
          <w:rFonts w:ascii="Arial Narrow" w:hAnsi="Arial Narrow" w:cs="Arial"/>
          <w:sz w:val="20"/>
          <w:szCs w:val="20"/>
        </w:rPr>
        <w:t xml:space="preserve">MM price (ex-manufacturer) </w:t>
      </w:r>
      <w:r w:rsidRPr="0046724E">
        <w:rPr>
          <w:rFonts w:ascii="Arial Narrow" w:hAnsi="Arial Narrow" w:cs="Arial"/>
          <w:sz w:val="20"/>
          <w:szCs w:val="20"/>
        </w:rPr>
        <w:tab/>
        <w:t>= $</w:t>
      </w:r>
      <w:r w:rsidR="00742356">
        <w:rPr>
          <w:rFonts w:ascii="Arial Narrow" w:hAnsi="Arial Narrow" w:cs="Arial"/>
          <w:noProof/>
          <w:color w:val="000000"/>
          <w:sz w:val="20"/>
          <w:szCs w:val="20"/>
          <w:highlight w:val="black"/>
        </w:rPr>
        <w:t>''''''''''''''''</w:t>
      </w:r>
    </w:p>
    <w:p w:rsidR="002005CE" w:rsidRPr="0046724E" w:rsidRDefault="00276679" w:rsidP="005533D1">
      <w:pPr>
        <w:spacing w:line="360" w:lineRule="auto"/>
        <w:ind w:left="720" w:firstLine="720"/>
        <w:rPr>
          <w:rFonts w:ascii="Arial Narrow" w:hAnsi="Arial Narrow" w:cs="Arial"/>
          <w:sz w:val="20"/>
          <w:szCs w:val="20"/>
        </w:rPr>
      </w:pPr>
      <w:r>
        <w:rPr>
          <w:rFonts w:ascii="Arial Narrow" w:hAnsi="Arial Narrow" w:cs="Arial"/>
          <w:sz w:val="20"/>
          <w:szCs w:val="20"/>
        </w:rPr>
        <w:t xml:space="preserve">MM price (DPMQ) </w:t>
      </w:r>
      <w:r w:rsidR="002005CE" w:rsidRPr="0046724E">
        <w:rPr>
          <w:rFonts w:ascii="Arial Narrow" w:hAnsi="Arial Narrow" w:cs="Arial"/>
          <w:sz w:val="20"/>
          <w:szCs w:val="20"/>
        </w:rPr>
        <w:t>= $</w:t>
      </w:r>
      <w:r w:rsidR="00742356">
        <w:rPr>
          <w:rFonts w:ascii="Arial Narrow" w:hAnsi="Arial Narrow" w:cs="Arial"/>
          <w:noProof/>
          <w:color w:val="000000"/>
          <w:sz w:val="20"/>
          <w:szCs w:val="20"/>
          <w:highlight w:val="black"/>
        </w:rPr>
        <w:t>'''''''''''''''</w:t>
      </w:r>
    </w:p>
    <w:p w:rsidR="002005CE" w:rsidRPr="0046724E" w:rsidRDefault="002005CE" w:rsidP="005533D1">
      <w:pPr>
        <w:spacing w:line="276" w:lineRule="auto"/>
        <w:rPr>
          <w:rFonts w:asciiTheme="minorHAnsi" w:hAnsiTheme="minorHAnsi" w:cs="Arial"/>
          <w:color w:val="222222"/>
          <w:sz w:val="16"/>
        </w:rPr>
      </w:pPr>
    </w:p>
    <w:p w:rsidR="00196307" w:rsidRPr="0046724E" w:rsidRDefault="002005CE" w:rsidP="005533D1">
      <w:pPr>
        <w:pStyle w:val="ListParagraph"/>
        <w:widowControl/>
        <w:rPr>
          <w:rFonts w:ascii="Arial Narrow" w:hAnsi="Arial Narrow"/>
          <w:sz w:val="20"/>
          <w:lang w:eastAsia="en-AU"/>
        </w:rPr>
      </w:pPr>
      <w:r w:rsidRPr="0046724E">
        <w:rPr>
          <w:rFonts w:ascii="Arial Narrow" w:hAnsi="Arial Narrow"/>
          <w:sz w:val="20"/>
          <w:lang w:eastAsia="en-AU"/>
        </w:rPr>
        <w:t xml:space="preserve">^ MM </w:t>
      </w:r>
      <w:r w:rsidR="004964C0" w:rsidRPr="0046724E">
        <w:rPr>
          <w:rFonts w:ascii="Arial Narrow" w:hAnsi="Arial Narrow"/>
          <w:sz w:val="20"/>
          <w:lang w:eastAsia="en-AU"/>
        </w:rPr>
        <w:t xml:space="preserve">(multiple myeloma) </w:t>
      </w:r>
      <w:r w:rsidRPr="0046724E">
        <w:rPr>
          <w:rFonts w:ascii="Arial Narrow" w:hAnsi="Arial Narrow"/>
          <w:sz w:val="20"/>
          <w:lang w:eastAsia="en-AU"/>
        </w:rPr>
        <w:t xml:space="preserve">patients represent </w:t>
      </w:r>
      <w:r w:rsidR="00742356">
        <w:rPr>
          <w:rFonts w:ascii="Arial Narrow" w:hAnsi="Arial Narrow"/>
          <w:noProof/>
          <w:color w:val="000000"/>
          <w:sz w:val="20"/>
          <w:highlight w:val="black"/>
          <w:lang w:eastAsia="en-AU"/>
        </w:rPr>
        <w:t>'''''''</w:t>
      </w:r>
      <w:r w:rsidRPr="0046724E">
        <w:rPr>
          <w:rFonts w:ascii="Arial Narrow" w:hAnsi="Arial Narrow"/>
          <w:sz w:val="20"/>
          <w:lang w:eastAsia="en-AU"/>
        </w:rPr>
        <w:t xml:space="preserve">% of </w:t>
      </w:r>
      <w:r w:rsidR="001B472E" w:rsidRPr="0046724E">
        <w:rPr>
          <w:rFonts w:ascii="Arial Narrow" w:hAnsi="Arial Narrow"/>
          <w:sz w:val="20"/>
          <w:lang w:eastAsia="en-AU"/>
        </w:rPr>
        <w:t>patients receiving bone agents</w:t>
      </w:r>
      <w:r w:rsidRPr="0046724E">
        <w:rPr>
          <w:rFonts w:ascii="Arial Narrow" w:hAnsi="Arial Narrow"/>
          <w:sz w:val="20"/>
          <w:lang w:eastAsia="en-AU"/>
        </w:rPr>
        <w:t xml:space="preserve"> (July 2018 PBAC </w:t>
      </w:r>
      <w:r w:rsidR="001B472E" w:rsidRPr="0046724E">
        <w:rPr>
          <w:rFonts w:ascii="Arial Narrow" w:hAnsi="Arial Narrow"/>
          <w:sz w:val="20"/>
          <w:lang w:eastAsia="en-AU"/>
        </w:rPr>
        <w:t xml:space="preserve">Commentary, Table 4.1 </w:t>
      </w:r>
      <w:r w:rsidRPr="0046724E">
        <w:rPr>
          <w:rFonts w:ascii="Arial Narrow" w:hAnsi="Arial Narrow"/>
          <w:sz w:val="20"/>
          <w:lang w:eastAsia="en-AU"/>
        </w:rPr>
        <w:t xml:space="preserve">and </w:t>
      </w:r>
      <w:r w:rsidR="001B472E" w:rsidRPr="0046724E">
        <w:rPr>
          <w:rFonts w:ascii="Arial Narrow" w:hAnsi="Arial Narrow"/>
          <w:sz w:val="20"/>
          <w:lang w:eastAsia="en-AU"/>
        </w:rPr>
        <w:t xml:space="preserve">July 2018 </w:t>
      </w:r>
      <w:r w:rsidRPr="0046724E">
        <w:rPr>
          <w:rFonts w:ascii="Arial Narrow" w:hAnsi="Arial Narrow"/>
          <w:sz w:val="20"/>
          <w:lang w:eastAsia="en-AU"/>
        </w:rPr>
        <w:t>pre-PBAC response).</w:t>
      </w:r>
    </w:p>
    <w:p w:rsidR="004E2134" w:rsidRPr="0046724E" w:rsidRDefault="004E2134" w:rsidP="005533D1">
      <w:pPr>
        <w:pStyle w:val="ListParagraph"/>
        <w:widowControl/>
        <w:rPr>
          <w:rFonts w:ascii="Arial Narrow" w:hAnsi="Arial Narrow"/>
          <w:sz w:val="20"/>
          <w:lang w:eastAsia="en-AU"/>
        </w:rPr>
      </w:pPr>
    </w:p>
    <w:p w:rsidR="0006056C" w:rsidRPr="0046724E" w:rsidRDefault="0006056C" w:rsidP="005533D1">
      <w:pPr>
        <w:pStyle w:val="ListParagraph"/>
        <w:keepNext/>
        <w:widowControl/>
        <w:spacing w:after="120"/>
        <w:contextualSpacing w:val="0"/>
        <w:rPr>
          <w:rFonts w:asciiTheme="minorHAnsi" w:eastAsiaTheme="minorHAnsi" w:hAnsiTheme="minorHAnsi" w:cstheme="minorBidi"/>
          <w:b/>
          <w:snapToGrid/>
          <w:sz w:val="24"/>
          <w:szCs w:val="24"/>
          <w:u w:val="single"/>
        </w:rPr>
      </w:pPr>
      <w:r w:rsidRPr="0046724E">
        <w:rPr>
          <w:rFonts w:asciiTheme="minorHAnsi" w:eastAsiaTheme="minorHAnsi" w:hAnsiTheme="minorHAnsi" w:cstheme="minorBidi"/>
          <w:b/>
          <w:snapToGrid/>
          <w:sz w:val="24"/>
          <w:szCs w:val="24"/>
          <w:u w:val="single"/>
        </w:rPr>
        <w:t>Cost-minimisation analysis</w:t>
      </w:r>
    </w:p>
    <w:p w:rsidR="00FB67E2" w:rsidRPr="0046724E" w:rsidRDefault="00FB67E2" w:rsidP="00AC73BF">
      <w:pPr>
        <w:pStyle w:val="ListParagraph"/>
        <w:widowControl/>
        <w:numPr>
          <w:ilvl w:val="1"/>
          <w:numId w:val="14"/>
        </w:numPr>
        <w:spacing w:after="120"/>
        <w:contextualSpacing w:val="0"/>
        <w:rPr>
          <w:rFonts w:asciiTheme="minorHAnsi" w:hAnsiTheme="minorHAnsi"/>
          <w:iCs/>
          <w:color w:val="222222"/>
          <w:sz w:val="24"/>
          <w:szCs w:val="24"/>
        </w:rPr>
      </w:pPr>
      <w:r w:rsidRPr="0046724E">
        <w:rPr>
          <w:rFonts w:asciiTheme="minorHAnsi" w:hAnsiTheme="minorHAnsi"/>
          <w:iCs/>
          <w:color w:val="222222"/>
          <w:sz w:val="24"/>
          <w:szCs w:val="24"/>
        </w:rPr>
        <w:t xml:space="preserve">To equate the </w:t>
      </w:r>
      <w:proofErr w:type="spellStart"/>
      <w:r w:rsidRPr="0046724E">
        <w:rPr>
          <w:rFonts w:asciiTheme="minorHAnsi" w:hAnsiTheme="minorHAnsi"/>
          <w:iCs/>
          <w:color w:val="222222"/>
          <w:sz w:val="24"/>
          <w:szCs w:val="24"/>
        </w:rPr>
        <w:t>denosumab</w:t>
      </w:r>
      <w:proofErr w:type="spellEnd"/>
      <w:r w:rsidRPr="0046724E">
        <w:rPr>
          <w:rFonts w:asciiTheme="minorHAnsi" w:hAnsiTheme="minorHAnsi"/>
          <w:iCs/>
          <w:color w:val="222222"/>
          <w:sz w:val="24"/>
          <w:szCs w:val="24"/>
        </w:rPr>
        <w:t xml:space="preserve"> price in </w:t>
      </w:r>
      <w:r w:rsidR="004C0D88" w:rsidRPr="0046724E">
        <w:rPr>
          <w:rFonts w:asciiTheme="minorHAnsi" w:hAnsiTheme="minorHAnsi"/>
          <w:iCs/>
          <w:color w:val="222222"/>
          <w:sz w:val="24"/>
          <w:szCs w:val="24"/>
        </w:rPr>
        <w:t>multiple myeloma</w:t>
      </w:r>
      <w:r w:rsidRPr="0046724E">
        <w:rPr>
          <w:rFonts w:asciiTheme="minorHAnsi" w:hAnsiTheme="minorHAnsi"/>
          <w:iCs/>
          <w:color w:val="222222"/>
          <w:sz w:val="24"/>
          <w:szCs w:val="24"/>
        </w:rPr>
        <w:t xml:space="preserve"> to the current prices of </w:t>
      </w:r>
      <w:proofErr w:type="spellStart"/>
      <w:r w:rsidRPr="0046724E">
        <w:rPr>
          <w:rFonts w:asciiTheme="minorHAnsi" w:hAnsiTheme="minorHAnsi"/>
          <w:iCs/>
          <w:color w:val="222222"/>
          <w:sz w:val="24"/>
          <w:szCs w:val="24"/>
        </w:rPr>
        <w:t>zoledronic</w:t>
      </w:r>
      <w:proofErr w:type="spellEnd"/>
      <w:r w:rsidRPr="0046724E">
        <w:rPr>
          <w:rFonts w:asciiTheme="minorHAnsi" w:hAnsiTheme="minorHAnsi"/>
          <w:iCs/>
          <w:color w:val="222222"/>
          <w:sz w:val="24"/>
          <w:szCs w:val="24"/>
        </w:rPr>
        <w:t xml:space="preserve"> acid or </w:t>
      </w:r>
      <w:proofErr w:type="spellStart"/>
      <w:r w:rsidRPr="0046724E">
        <w:rPr>
          <w:rFonts w:asciiTheme="minorHAnsi" w:hAnsiTheme="minorHAnsi"/>
          <w:iCs/>
          <w:color w:val="222222"/>
          <w:sz w:val="24"/>
          <w:szCs w:val="24"/>
        </w:rPr>
        <w:t>pamidronate</w:t>
      </w:r>
      <w:proofErr w:type="spellEnd"/>
      <w:r w:rsidRPr="0046724E">
        <w:rPr>
          <w:rFonts w:asciiTheme="minorHAnsi" w:hAnsiTheme="minorHAnsi"/>
          <w:iCs/>
          <w:color w:val="222222"/>
          <w:sz w:val="24"/>
          <w:szCs w:val="24"/>
        </w:rPr>
        <w:t xml:space="preserve">, the minor resubmission has </w:t>
      </w:r>
      <w:r w:rsidR="004671DB" w:rsidRPr="0046724E">
        <w:rPr>
          <w:rFonts w:asciiTheme="minorHAnsi" w:hAnsiTheme="minorHAnsi"/>
          <w:iCs/>
          <w:color w:val="222222"/>
          <w:sz w:val="24"/>
          <w:szCs w:val="24"/>
        </w:rPr>
        <w:t xml:space="preserve">attributed </w:t>
      </w:r>
      <w:r w:rsidRPr="0046724E">
        <w:rPr>
          <w:rFonts w:asciiTheme="minorHAnsi" w:hAnsiTheme="minorHAnsi"/>
          <w:iCs/>
          <w:color w:val="222222"/>
          <w:sz w:val="24"/>
          <w:szCs w:val="24"/>
        </w:rPr>
        <w:t xml:space="preserve">greater infusion costs for both comparator drugs than used to establish </w:t>
      </w:r>
      <w:r w:rsidR="00B13108" w:rsidRPr="0046724E">
        <w:rPr>
          <w:rFonts w:asciiTheme="minorHAnsi" w:hAnsiTheme="minorHAnsi"/>
          <w:iCs/>
          <w:color w:val="222222"/>
          <w:sz w:val="24"/>
          <w:szCs w:val="24"/>
        </w:rPr>
        <w:t xml:space="preserve">their </w:t>
      </w:r>
      <w:r w:rsidR="00D7437A">
        <w:rPr>
          <w:rFonts w:asciiTheme="minorHAnsi" w:hAnsiTheme="minorHAnsi"/>
          <w:iCs/>
          <w:color w:val="222222"/>
          <w:sz w:val="24"/>
          <w:szCs w:val="24"/>
        </w:rPr>
        <w:t>prices for PBS listing.</w:t>
      </w:r>
    </w:p>
    <w:p w:rsidR="00513CF2" w:rsidRPr="0046724E" w:rsidRDefault="00513CF2" w:rsidP="00AC73BF">
      <w:pPr>
        <w:pStyle w:val="ListParagraph"/>
        <w:widowControl/>
        <w:numPr>
          <w:ilvl w:val="1"/>
          <w:numId w:val="14"/>
        </w:numPr>
        <w:spacing w:after="120"/>
        <w:contextualSpacing w:val="0"/>
        <w:rPr>
          <w:rFonts w:asciiTheme="minorHAnsi" w:hAnsiTheme="minorHAnsi"/>
          <w:color w:val="222222"/>
          <w:sz w:val="24"/>
          <w:szCs w:val="24"/>
        </w:rPr>
      </w:pPr>
      <w:r w:rsidRPr="0046724E">
        <w:rPr>
          <w:rFonts w:asciiTheme="minorHAnsi" w:hAnsiTheme="minorHAnsi"/>
          <w:color w:val="222222"/>
          <w:sz w:val="24"/>
          <w:szCs w:val="24"/>
        </w:rPr>
        <w:lastRenderedPageBreak/>
        <w:t>Current dispensed drug costs per dose are $183.58 (</w:t>
      </w:r>
      <w:proofErr w:type="spellStart"/>
      <w:r w:rsidRPr="0046724E">
        <w:rPr>
          <w:rFonts w:asciiTheme="minorHAnsi" w:hAnsiTheme="minorHAnsi"/>
          <w:color w:val="222222"/>
          <w:sz w:val="24"/>
          <w:szCs w:val="24"/>
        </w:rPr>
        <w:t>zoledronic</w:t>
      </w:r>
      <w:proofErr w:type="spellEnd"/>
      <w:r w:rsidRPr="0046724E">
        <w:rPr>
          <w:rFonts w:asciiTheme="minorHAnsi" w:hAnsiTheme="minorHAnsi"/>
          <w:color w:val="222222"/>
          <w:sz w:val="24"/>
          <w:szCs w:val="24"/>
        </w:rPr>
        <w:t xml:space="preserve"> acid) and $90.57 (</w:t>
      </w:r>
      <w:proofErr w:type="spellStart"/>
      <w:r w:rsidRPr="0046724E">
        <w:rPr>
          <w:rFonts w:asciiTheme="minorHAnsi" w:hAnsiTheme="minorHAnsi"/>
          <w:color w:val="222222"/>
          <w:sz w:val="24"/>
          <w:szCs w:val="24"/>
        </w:rPr>
        <w:t>pamidronate</w:t>
      </w:r>
      <w:proofErr w:type="spellEnd"/>
      <w:r w:rsidRPr="0046724E">
        <w:rPr>
          <w:rFonts w:asciiTheme="minorHAnsi" w:hAnsiTheme="minorHAnsi"/>
          <w:color w:val="222222"/>
          <w:sz w:val="24"/>
          <w:szCs w:val="24"/>
        </w:rPr>
        <w:t>).</w:t>
      </w:r>
      <w:r w:rsidRPr="0046724E">
        <w:rPr>
          <w:rStyle w:val="FootnoteReference"/>
          <w:rFonts w:asciiTheme="minorHAnsi" w:hAnsiTheme="minorHAnsi"/>
          <w:color w:val="222222"/>
          <w:sz w:val="24"/>
          <w:szCs w:val="24"/>
        </w:rPr>
        <w:footnoteReference w:id="3"/>
      </w:r>
      <w:r w:rsidRPr="0046724E">
        <w:rPr>
          <w:rFonts w:asciiTheme="minorHAnsi" w:hAnsiTheme="minorHAnsi"/>
          <w:color w:val="222222"/>
          <w:sz w:val="24"/>
          <w:szCs w:val="24"/>
        </w:rPr>
        <w:t xml:space="preserve"> With an infusion cost assumption of $</w:t>
      </w:r>
      <w:r w:rsidR="00742356">
        <w:rPr>
          <w:rFonts w:asciiTheme="minorHAnsi" w:hAnsiTheme="minorHAnsi"/>
          <w:noProof/>
          <w:color w:val="000000"/>
          <w:sz w:val="24"/>
          <w:szCs w:val="24"/>
          <w:highlight w:val="black"/>
        </w:rPr>
        <w:t>''''''''''''''</w:t>
      </w:r>
      <w:r w:rsidRPr="0046724E">
        <w:rPr>
          <w:rFonts w:asciiTheme="minorHAnsi" w:hAnsiTheme="minorHAnsi"/>
          <w:color w:val="222222"/>
          <w:sz w:val="24"/>
          <w:szCs w:val="24"/>
        </w:rPr>
        <w:t xml:space="preserve"> (for </w:t>
      </w:r>
      <w:proofErr w:type="spellStart"/>
      <w:r w:rsidRPr="0046724E">
        <w:rPr>
          <w:rFonts w:asciiTheme="minorHAnsi" w:hAnsiTheme="minorHAnsi"/>
          <w:color w:val="222222"/>
          <w:sz w:val="24"/>
          <w:szCs w:val="24"/>
        </w:rPr>
        <w:t>zoledronic</w:t>
      </w:r>
      <w:proofErr w:type="spellEnd"/>
      <w:r w:rsidRPr="0046724E">
        <w:rPr>
          <w:rFonts w:asciiTheme="minorHAnsi" w:hAnsiTheme="minorHAnsi"/>
          <w:color w:val="222222"/>
          <w:sz w:val="24"/>
          <w:szCs w:val="24"/>
        </w:rPr>
        <w:t xml:space="preserve"> acid) or $</w:t>
      </w:r>
      <w:r w:rsidR="00742356">
        <w:rPr>
          <w:rFonts w:asciiTheme="minorHAnsi" w:hAnsiTheme="minorHAnsi"/>
          <w:noProof/>
          <w:color w:val="000000"/>
          <w:sz w:val="24"/>
          <w:szCs w:val="24"/>
          <w:highlight w:val="black"/>
        </w:rPr>
        <w:t>''''''''''''</w:t>
      </w:r>
      <w:r w:rsidRPr="0046724E">
        <w:rPr>
          <w:rFonts w:asciiTheme="minorHAnsi" w:hAnsiTheme="minorHAnsi"/>
          <w:color w:val="222222"/>
          <w:sz w:val="24"/>
          <w:szCs w:val="24"/>
        </w:rPr>
        <w:t xml:space="preserve"> (for </w:t>
      </w:r>
      <w:proofErr w:type="spellStart"/>
      <w:r w:rsidRPr="0046724E">
        <w:rPr>
          <w:rFonts w:asciiTheme="minorHAnsi" w:hAnsiTheme="minorHAnsi"/>
          <w:color w:val="222222"/>
          <w:sz w:val="24"/>
          <w:szCs w:val="24"/>
        </w:rPr>
        <w:t>pamidronate</w:t>
      </w:r>
      <w:proofErr w:type="spellEnd"/>
      <w:r w:rsidRPr="0046724E">
        <w:rPr>
          <w:rFonts w:asciiTheme="minorHAnsi" w:hAnsiTheme="minorHAnsi"/>
          <w:color w:val="222222"/>
          <w:sz w:val="24"/>
          <w:szCs w:val="24"/>
        </w:rPr>
        <w:t xml:space="preserve">), the total cost per dose of an IV </w:t>
      </w:r>
      <w:r w:rsidR="00FB67E2" w:rsidRPr="00EB51C1">
        <w:rPr>
          <w:rFonts w:asciiTheme="minorHAnsi" w:hAnsiTheme="minorHAnsi"/>
          <w:color w:val="222222"/>
          <w:sz w:val="24"/>
          <w:szCs w:val="24"/>
        </w:rPr>
        <w:t>bisphosph</w:t>
      </w:r>
      <w:r w:rsidR="004964C0" w:rsidRPr="0046724E">
        <w:rPr>
          <w:rFonts w:asciiTheme="minorHAnsi" w:hAnsiTheme="minorHAnsi"/>
          <w:color w:val="222222"/>
          <w:sz w:val="24"/>
          <w:szCs w:val="24"/>
        </w:rPr>
        <w:t>o</w:t>
      </w:r>
      <w:r w:rsidR="00FB67E2" w:rsidRPr="0046724E">
        <w:rPr>
          <w:rFonts w:asciiTheme="minorHAnsi" w:hAnsiTheme="minorHAnsi"/>
          <w:color w:val="222222"/>
          <w:sz w:val="24"/>
          <w:szCs w:val="24"/>
        </w:rPr>
        <w:t>nate</w:t>
      </w:r>
      <w:r w:rsidRPr="0046724E">
        <w:rPr>
          <w:rFonts w:asciiTheme="minorHAnsi" w:hAnsiTheme="minorHAnsi"/>
          <w:color w:val="222222"/>
          <w:sz w:val="24"/>
          <w:szCs w:val="24"/>
        </w:rPr>
        <w:t xml:space="preserve"> would be the same as the above c</w:t>
      </w:r>
      <w:r w:rsidR="0075771C" w:rsidRPr="0046724E">
        <w:rPr>
          <w:rFonts w:asciiTheme="minorHAnsi" w:hAnsiTheme="minorHAnsi"/>
          <w:color w:val="222222"/>
          <w:sz w:val="24"/>
          <w:szCs w:val="24"/>
        </w:rPr>
        <w:t xml:space="preserve">ost per </w:t>
      </w:r>
      <w:proofErr w:type="spellStart"/>
      <w:r w:rsidR="0075771C" w:rsidRPr="0046724E">
        <w:rPr>
          <w:rFonts w:asciiTheme="minorHAnsi" w:hAnsiTheme="minorHAnsi"/>
          <w:color w:val="222222"/>
          <w:sz w:val="24"/>
          <w:szCs w:val="24"/>
        </w:rPr>
        <w:t>denosumab</w:t>
      </w:r>
      <w:proofErr w:type="spellEnd"/>
      <w:r w:rsidR="0075771C" w:rsidRPr="0046724E">
        <w:rPr>
          <w:rFonts w:asciiTheme="minorHAnsi" w:hAnsiTheme="minorHAnsi"/>
          <w:color w:val="222222"/>
          <w:sz w:val="24"/>
          <w:szCs w:val="24"/>
        </w:rPr>
        <w:t xml:space="preserve"> dose in </w:t>
      </w:r>
      <w:r w:rsidR="009E067D" w:rsidRPr="0046724E">
        <w:rPr>
          <w:rFonts w:asciiTheme="minorHAnsi" w:hAnsiTheme="minorHAnsi"/>
          <w:color w:val="222222"/>
          <w:sz w:val="24"/>
          <w:szCs w:val="24"/>
        </w:rPr>
        <w:t>multiple myeloma</w:t>
      </w:r>
      <w:r w:rsidR="0075771C" w:rsidRPr="0046724E">
        <w:rPr>
          <w:rFonts w:asciiTheme="minorHAnsi" w:hAnsiTheme="minorHAnsi"/>
          <w:color w:val="222222"/>
          <w:sz w:val="24"/>
          <w:szCs w:val="24"/>
        </w:rPr>
        <w:t xml:space="preserve">, </w:t>
      </w:r>
      <w:r w:rsidR="00D7791C" w:rsidRPr="0046724E">
        <w:rPr>
          <w:rFonts w:asciiTheme="minorHAnsi" w:hAnsiTheme="minorHAnsi"/>
          <w:color w:val="222222"/>
          <w:sz w:val="24"/>
          <w:szCs w:val="24"/>
        </w:rPr>
        <w:t>i.e.</w:t>
      </w:r>
      <w:r w:rsidR="0075771C" w:rsidRPr="0046724E">
        <w:rPr>
          <w:rFonts w:asciiTheme="minorHAnsi" w:hAnsiTheme="minorHAnsi"/>
          <w:color w:val="222222"/>
          <w:sz w:val="24"/>
          <w:szCs w:val="24"/>
        </w:rPr>
        <w:t>:</w:t>
      </w:r>
    </w:p>
    <w:p w:rsidR="00513CF2" w:rsidRPr="0046724E" w:rsidRDefault="00513CF2" w:rsidP="00AC73BF">
      <w:pPr>
        <w:pStyle w:val="ListParagraph"/>
        <w:widowControl/>
        <w:numPr>
          <w:ilvl w:val="0"/>
          <w:numId w:val="21"/>
        </w:numPr>
        <w:spacing w:after="120" w:line="276" w:lineRule="auto"/>
        <w:contextualSpacing w:val="0"/>
        <w:rPr>
          <w:rFonts w:asciiTheme="minorHAnsi" w:hAnsiTheme="minorHAnsi"/>
          <w:color w:val="222222"/>
          <w:sz w:val="24"/>
          <w:szCs w:val="24"/>
        </w:rPr>
      </w:pPr>
      <w:proofErr w:type="spellStart"/>
      <w:r w:rsidRPr="0046724E">
        <w:rPr>
          <w:rFonts w:asciiTheme="minorHAnsi" w:hAnsiTheme="minorHAnsi"/>
          <w:color w:val="222222"/>
          <w:sz w:val="24"/>
          <w:szCs w:val="24"/>
        </w:rPr>
        <w:t>Zoledronic</w:t>
      </w:r>
      <w:proofErr w:type="spellEnd"/>
      <w:r w:rsidRPr="0046724E">
        <w:rPr>
          <w:rFonts w:asciiTheme="minorHAnsi" w:hAnsiTheme="minorHAnsi"/>
          <w:color w:val="222222"/>
          <w:sz w:val="24"/>
          <w:szCs w:val="24"/>
        </w:rPr>
        <w:t xml:space="preserve"> acid drug cost of $183.58 + infusion cost of $</w:t>
      </w:r>
      <w:r w:rsidR="00742356">
        <w:rPr>
          <w:rFonts w:asciiTheme="minorHAnsi" w:hAnsiTheme="minorHAnsi"/>
          <w:noProof/>
          <w:color w:val="000000"/>
          <w:sz w:val="24"/>
          <w:szCs w:val="24"/>
          <w:highlight w:val="black"/>
        </w:rPr>
        <w:t>'''''''''''''</w:t>
      </w:r>
      <w:r w:rsidRPr="0046724E">
        <w:rPr>
          <w:rFonts w:asciiTheme="minorHAnsi" w:hAnsiTheme="minorHAnsi"/>
          <w:color w:val="222222"/>
          <w:sz w:val="24"/>
          <w:szCs w:val="24"/>
        </w:rPr>
        <w:t xml:space="preserve"> = $</w:t>
      </w:r>
      <w:r w:rsidR="00742356">
        <w:rPr>
          <w:rFonts w:asciiTheme="minorHAnsi" w:hAnsiTheme="minorHAnsi"/>
          <w:noProof/>
          <w:color w:val="000000"/>
          <w:sz w:val="24"/>
          <w:szCs w:val="24"/>
          <w:highlight w:val="black"/>
        </w:rPr>
        <w:t>''''''''''''</w:t>
      </w:r>
    </w:p>
    <w:p w:rsidR="00513CF2" w:rsidRPr="0046724E" w:rsidRDefault="00513CF2" w:rsidP="00AC73BF">
      <w:pPr>
        <w:pStyle w:val="ListParagraph"/>
        <w:widowControl/>
        <w:numPr>
          <w:ilvl w:val="0"/>
          <w:numId w:val="21"/>
        </w:numPr>
        <w:spacing w:after="120" w:line="276" w:lineRule="auto"/>
        <w:contextualSpacing w:val="0"/>
        <w:rPr>
          <w:rFonts w:asciiTheme="minorHAnsi" w:hAnsiTheme="minorHAnsi"/>
          <w:color w:val="222222"/>
          <w:sz w:val="24"/>
          <w:szCs w:val="24"/>
        </w:rPr>
      </w:pPr>
      <w:proofErr w:type="spellStart"/>
      <w:r w:rsidRPr="0046724E">
        <w:rPr>
          <w:rFonts w:asciiTheme="minorHAnsi" w:hAnsiTheme="minorHAnsi"/>
          <w:color w:val="222222"/>
          <w:sz w:val="24"/>
          <w:szCs w:val="24"/>
        </w:rPr>
        <w:t>Pamidronate</w:t>
      </w:r>
      <w:proofErr w:type="spellEnd"/>
      <w:r w:rsidRPr="0046724E">
        <w:rPr>
          <w:rFonts w:asciiTheme="minorHAnsi" w:hAnsiTheme="minorHAnsi"/>
          <w:color w:val="222222"/>
          <w:sz w:val="24"/>
          <w:szCs w:val="24"/>
        </w:rPr>
        <w:t xml:space="preserve"> drug cost of $90.57 + infusion cost of $</w:t>
      </w:r>
      <w:r w:rsidR="00742356">
        <w:rPr>
          <w:rFonts w:asciiTheme="minorHAnsi" w:hAnsiTheme="minorHAnsi"/>
          <w:noProof/>
          <w:color w:val="000000"/>
          <w:sz w:val="24"/>
          <w:szCs w:val="24"/>
          <w:highlight w:val="black"/>
        </w:rPr>
        <w:t>'''''''''''''</w:t>
      </w:r>
      <w:r w:rsidRPr="0046724E">
        <w:rPr>
          <w:rFonts w:asciiTheme="minorHAnsi" w:hAnsiTheme="minorHAnsi"/>
          <w:color w:val="222222"/>
          <w:sz w:val="24"/>
          <w:szCs w:val="24"/>
        </w:rPr>
        <w:t xml:space="preserve"> = $</w:t>
      </w:r>
      <w:r w:rsidR="00742356">
        <w:rPr>
          <w:rFonts w:asciiTheme="minorHAnsi" w:hAnsiTheme="minorHAnsi"/>
          <w:noProof/>
          <w:color w:val="000000"/>
          <w:sz w:val="24"/>
          <w:szCs w:val="24"/>
          <w:highlight w:val="black"/>
        </w:rPr>
        <w:t>''''''''''''</w:t>
      </w:r>
      <w:r w:rsidR="00D7437A">
        <w:rPr>
          <w:rFonts w:asciiTheme="minorHAnsi" w:hAnsiTheme="minorHAnsi"/>
          <w:color w:val="222222"/>
          <w:sz w:val="24"/>
          <w:szCs w:val="24"/>
        </w:rPr>
        <w:t>.</w:t>
      </w:r>
    </w:p>
    <w:p w:rsidR="00513CF2" w:rsidRPr="0046724E" w:rsidRDefault="00513CF2" w:rsidP="00AC73BF">
      <w:pPr>
        <w:pStyle w:val="ListParagraph"/>
        <w:widowControl/>
        <w:numPr>
          <w:ilvl w:val="1"/>
          <w:numId w:val="14"/>
        </w:numPr>
        <w:spacing w:after="120"/>
        <w:contextualSpacing w:val="0"/>
        <w:rPr>
          <w:rFonts w:asciiTheme="minorHAnsi" w:hAnsiTheme="minorHAnsi"/>
          <w:color w:val="222222"/>
          <w:sz w:val="24"/>
          <w:szCs w:val="24"/>
        </w:rPr>
      </w:pPr>
      <w:r w:rsidRPr="0046724E">
        <w:rPr>
          <w:rFonts w:asciiTheme="minorHAnsi" w:hAnsiTheme="minorHAnsi"/>
          <w:color w:val="222222"/>
          <w:sz w:val="24"/>
          <w:szCs w:val="24"/>
        </w:rPr>
        <w:t>The</w:t>
      </w:r>
      <w:r w:rsidRPr="0046724E">
        <w:rPr>
          <w:rFonts w:asciiTheme="minorHAnsi" w:hAnsiTheme="minorHAnsi"/>
          <w:sz w:val="24"/>
        </w:rPr>
        <w:t xml:space="preserve"> minor resubmission noted that bisphosphonate</w:t>
      </w:r>
      <w:r w:rsidRPr="0046724E">
        <w:rPr>
          <w:rFonts w:asciiTheme="minorHAnsi" w:hAnsiTheme="minorHAnsi"/>
          <w:color w:val="222222"/>
          <w:sz w:val="24"/>
          <w:szCs w:val="24"/>
        </w:rPr>
        <w:t xml:space="preserve"> infusions take longer and are more complex in the </w:t>
      </w:r>
      <w:r w:rsidR="009E067D" w:rsidRPr="0046724E">
        <w:rPr>
          <w:rFonts w:asciiTheme="minorHAnsi" w:hAnsiTheme="minorHAnsi"/>
          <w:color w:val="222222"/>
          <w:sz w:val="24"/>
          <w:szCs w:val="24"/>
        </w:rPr>
        <w:t>multiple myeloma</w:t>
      </w:r>
      <w:r w:rsidRPr="0046724E">
        <w:rPr>
          <w:rFonts w:asciiTheme="minorHAnsi" w:hAnsiTheme="minorHAnsi"/>
          <w:color w:val="222222"/>
          <w:sz w:val="24"/>
          <w:szCs w:val="24"/>
        </w:rPr>
        <w:t xml:space="preserve"> setting where a majority of patients ha</w:t>
      </w:r>
      <w:r w:rsidR="0075771C" w:rsidRPr="0046724E">
        <w:rPr>
          <w:rFonts w:asciiTheme="minorHAnsi" w:hAnsiTheme="minorHAnsi"/>
          <w:color w:val="222222"/>
          <w:sz w:val="24"/>
          <w:szCs w:val="24"/>
        </w:rPr>
        <w:t>ve</w:t>
      </w:r>
      <w:r w:rsidRPr="0046724E">
        <w:rPr>
          <w:rFonts w:asciiTheme="minorHAnsi" w:hAnsiTheme="minorHAnsi"/>
          <w:color w:val="222222"/>
          <w:sz w:val="24"/>
          <w:szCs w:val="24"/>
        </w:rPr>
        <w:t xml:space="preserve"> some level of renal impairment. The time to deliver </w:t>
      </w:r>
      <w:proofErr w:type="spellStart"/>
      <w:r w:rsidRPr="0046724E">
        <w:rPr>
          <w:rFonts w:asciiTheme="minorHAnsi" w:hAnsiTheme="minorHAnsi"/>
          <w:color w:val="222222"/>
          <w:sz w:val="24"/>
          <w:szCs w:val="24"/>
        </w:rPr>
        <w:t>pamidronate</w:t>
      </w:r>
      <w:proofErr w:type="spellEnd"/>
      <w:r w:rsidRPr="0046724E">
        <w:rPr>
          <w:rFonts w:asciiTheme="minorHAnsi" w:hAnsiTheme="minorHAnsi"/>
          <w:color w:val="222222"/>
          <w:sz w:val="24"/>
          <w:szCs w:val="24"/>
        </w:rPr>
        <w:t xml:space="preserve"> </w:t>
      </w:r>
      <w:r w:rsidRPr="0046724E">
        <w:rPr>
          <w:rFonts w:asciiTheme="minorHAnsi" w:hAnsiTheme="minorHAnsi"/>
          <w:iCs/>
          <w:color w:val="222222"/>
          <w:sz w:val="24"/>
          <w:szCs w:val="24"/>
        </w:rPr>
        <w:t>(administered over 4 hours)</w:t>
      </w:r>
      <w:r w:rsidRPr="0046724E">
        <w:rPr>
          <w:rFonts w:asciiTheme="minorHAnsi" w:hAnsiTheme="minorHAnsi"/>
          <w:color w:val="222222"/>
          <w:sz w:val="24"/>
          <w:szCs w:val="24"/>
        </w:rPr>
        <w:t xml:space="preserve"> is much longer than for </w:t>
      </w:r>
      <w:proofErr w:type="spellStart"/>
      <w:r w:rsidRPr="0046724E">
        <w:rPr>
          <w:rFonts w:asciiTheme="minorHAnsi" w:hAnsiTheme="minorHAnsi"/>
          <w:color w:val="222222"/>
          <w:sz w:val="24"/>
          <w:szCs w:val="24"/>
        </w:rPr>
        <w:t>zoledronic</w:t>
      </w:r>
      <w:proofErr w:type="spellEnd"/>
      <w:r w:rsidRPr="0046724E">
        <w:rPr>
          <w:rFonts w:asciiTheme="minorHAnsi" w:hAnsiTheme="minorHAnsi"/>
          <w:color w:val="222222"/>
          <w:sz w:val="24"/>
          <w:szCs w:val="24"/>
        </w:rPr>
        <w:t xml:space="preserve"> acid (</w:t>
      </w:r>
      <w:r w:rsidRPr="0046724E">
        <w:rPr>
          <w:rFonts w:asciiTheme="minorHAnsi" w:eastAsiaTheme="minorHAnsi" w:hAnsiTheme="minorHAnsi" w:cstheme="minorBidi"/>
          <w:snapToGrid/>
          <w:sz w:val="24"/>
          <w:szCs w:val="24"/>
        </w:rPr>
        <w:t>no less than 15 minutes)</w:t>
      </w:r>
      <w:r w:rsidR="00D7437A">
        <w:rPr>
          <w:rFonts w:asciiTheme="minorHAnsi" w:hAnsiTheme="minorHAnsi"/>
          <w:color w:val="222222"/>
          <w:sz w:val="24"/>
          <w:szCs w:val="24"/>
        </w:rPr>
        <w:t>.</w:t>
      </w:r>
    </w:p>
    <w:p w:rsidR="002148CC" w:rsidRPr="0046724E" w:rsidRDefault="00513CF2" w:rsidP="00AC73BF">
      <w:pPr>
        <w:pStyle w:val="ListParagraph"/>
        <w:widowControl/>
        <w:numPr>
          <w:ilvl w:val="1"/>
          <w:numId w:val="14"/>
        </w:numPr>
        <w:spacing w:after="120"/>
        <w:contextualSpacing w:val="0"/>
        <w:rPr>
          <w:rFonts w:asciiTheme="minorHAnsi" w:hAnsiTheme="minorHAnsi"/>
          <w:color w:val="222222"/>
          <w:sz w:val="24"/>
          <w:szCs w:val="24"/>
        </w:rPr>
      </w:pPr>
      <w:r w:rsidRPr="0046724E">
        <w:rPr>
          <w:rFonts w:asciiTheme="minorHAnsi" w:hAnsiTheme="minorHAnsi"/>
          <w:color w:val="222222"/>
          <w:sz w:val="24"/>
          <w:szCs w:val="24"/>
        </w:rPr>
        <w:t xml:space="preserve">The minor resubmission argued that the original </w:t>
      </w:r>
      <w:proofErr w:type="spellStart"/>
      <w:r w:rsidRPr="0046724E">
        <w:rPr>
          <w:rFonts w:asciiTheme="minorHAnsi" w:hAnsiTheme="minorHAnsi"/>
          <w:color w:val="222222"/>
          <w:sz w:val="24"/>
          <w:szCs w:val="24"/>
        </w:rPr>
        <w:t>denosumab</w:t>
      </w:r>
      <w:proofErr w:type="spellEnd"/>
      <w:r w:rsidRPr="0046724E">
        <w:rPr>
          <w:rFonts w:asciiTheme="minorHAnsi" w:hAnsiTheme="minorHAnsi"/>
          <w:color w:val="222222"/>
          <w:sz w:val="24"/>
          <w:szCs w:val="24"/>
        </w:rPr>
        <w:t xml:space="preserve"> submission (for bone metastases due to breast cancer), using methodology recommended in the </w:t>
      </w:r>
      <w:r w:rsidR="00773047" w:rsidRPr="0046724E">
        <w:rPr>
          <w:rFonts w:asciiTheme="minorHAnsi" w:hAnsiTheme="minorHAnsi"/>
          <w:color w:val="222222"/>
          <w:sz w:val="24"/>
          <w:szCs w:val="24"/>
        </w:rPr>
        <w:t xml:space="preserve">2008 </w:t>
      </w:r>
      <w:r w:rsidRPr="0046724E">
        <w:rPr>
          <w:rFonts w:asciiTheme="minorHAnsi" w:hAnsiTheme="minorHAnsi"/>
          <w:color w:val="222222"/>
          <w:sz w:val="24"/>
          <w:szCs w:val="24"/>
        </w:rPr>
        <w:t>PBAC guidelines, determined the cost of administration of an IV infusion to be $</w:t>
      </w:r>
      <w:r w:rsidR="00742356">
        <w:rPr>
          <w:rFonts w:asciiTheme="minorHAnsi" w:hAnsiTheme="minorHAnsi"/>
          <w:noProof/>
          <w:color w:val="000000"/>
          <w:sz w:val="24"/>
          <w:szCs w:val="24"/>
          <w:highlight w:val="black"/>
        </w:rPr>
        <w:t>'''''''''''''</w:t>
      </w:r>
      <w:r w:rsidRPr="0046724E">
        <w:rPr>
          <w:rFonts w:asciiTheme="minorHAnsi" w:hAnsiTheme="minorHAnsi"/>
          <w:color w:val="222222"/>
          <w:sz w:val="24"/>
          <w:szCs w:val="24"/>
        </w:rPr>
        <w:t xml:space="preserve"> at 2011 prices (Sectio</w:t>
      </w:r>
      <w:r w:rsidR="00773047" w:rsidRPr="0046724E">
        <w:rPr>
          <w:rFonts w:asciiTheme="minorHAnsi" w:hAnsiTheme="minorHAnsi"/>
          <w:color w:val="222222"/>
          <w:sz w:val="24"/>
          <w:szCs w:val="24"/>
        </w:rPr>
        <w:t>n C of July 2011 PBAC submission</w:t>
      </w:r>
      <w:r w:rsidRPr="0046724E">
        <w:rPr>
          <w:rFonts w:asciiTheme="minorHAnsi" w:hAnsiTheme="minorHAnsi"/>
          <w:color w:val="222222"/>
          <w:sz w:val="24"/>
          <w:szCs w:val="24"/>
        </w:rPr>
        <w:t xml:space="preserve">).  This cost reflected that the majority (70%) of bisphosphonate infusions </w:t>
      </w:r>
      <w:proofErr w:type="gramStart"/>
      <w:r w:rsidRPr="0046724E">
        <w:rPr>
          <w:rFonts w:asciiTheme="minorHAnsi" w:hAnsiTheme="minorHAnsi"/>
          <w:color w:val="222222"/>
          <w:sz w:val="24"/>
          <w:szCs w:val="24"/>
        </w:rPr>
        <w:t>are given</w:t>
      </w:r>
      <w:proofErr w:type="gramEnd"/>
      <w:r w:rsidRPr="0046724E">
        <w:rPr>
          <w:rFonts w:asciiTheme="minorHAnsi" w:hAnsiTheme="minorHAnsi"/>
          <w:color w:val="222222"/>
          <w:sz w:val="24"/>
          <w:szCs w:val="24"/>
        </w:rPr>
        <w:t xml:space="preserve"> in the inpatient setting and the cost components of funding actually claimed by hospitals</w:t>
      </w:r>
      <w:r w:rsidR="00A41BB8" w:rsidRPr="0046724E">
        <w:rPr>
          <w:rFonts w:asciiTheme="minorHAnsi" w:hAnsiTheme="minorHAnsi"/>
          <w:color w:val="222222"/>
          <w:sz w:val="24"/>
          <w:szCs w:val="24"/>
        </w:rPr>
        <w:t>.</w:t>
      </w:r>
    </w:p>
    <w:p w:rsidR="00513CF2" w:rsidRPr="0046724E" w:rsidRDefault="00513CF2" w:rsidP="00AC73BF">
      <w:pPr>
        <w:pStyle w:val="ListParagraph"/>
        <w:widowControl/>
        <w:numPr>
          <w:ilvl w:val="1"/>
          <w:numId w:val="14"/>
        </w:numPr>
        <w:spacing w:after="120"/>
        <w:contextualSpacing w:val="0"/>
        <w:rPr>
          <w:rFonts w:asciiTheme="minorHAnsi" w:hAnsiTheme="minorHAnsi"/>
          <w:color w:val="222222"/>
          <w:sz w:val="24"/>
          <w:szCs w:val="24"/>
        </w:rPr>
      </w:pPr>
      <w:r w:rsidRPr="0046724E">
        <w:rPr>
          <w:rFonts w:asciiTheme="minorHAnsi" w:hAnsiTheme="minorHAnsi"/>
          <w:color w:val="222222"/>
          <w:sz w:val="24"/>
          <w:szCs w:val="24"/>
        </w:rPr>
        <w:t xml:space="preserve">In July 2011, the PBAC recommended </w:t>
      </w:r>
      <w:proofErr w:type="spellStart"/>
      <w:r w:rsidR="0046724E" w:rsidRPr="0046724E">
        <w:rPr>
          <w:rFonts w:asciiTheme="minorHAnsi" w:hAnsiTheme="minorHAnsi"/>
          <w:color w:val="222222"/>
          <w:sz w:val="24"/>
          <w:szCs w:val="24"/>
        </w:rPr>
        <w:t>denosumab</w:t>
      </w:r>
      <w:proofErr w:type="spellEnd"/>
      <w:r w:rsidRPr="0046724E">
        <w:rPr>
          <w:rFonts w:asciiTheme="minorHAnsi" w:hAnsiTheme="minorHAnsi"/>
          <w:color w:val="222222"/>
          <w:sz w:val="24"/>
          <w:szCs w:val="24"/>
        </w:rPr>
        <w:t xml:space="preserve"> for PBS listing </w:t>
      </w:r>
      <w:proofErr w:type="gramStart"/>
      <w:r w:rsidRPr="0046724E">
        <w:rPr>
          <w:rFonts w:asciiTheme="minorHAnsi" w:hAnsiTheme="minorHAnsi"/>
          <w:color w:val="222222"/>
          <w:sz w:val="24"/>
          <w:szCs w:val="24"/>
        </w:rPr>
        <w:t>on the basis of</w:t>
      </w:r>
      <w:proofErr w:type="gramEnd"/>
      <w:r w:rsidRPr="0046724E">
        <w:rPr>
          <w:rFonts w:asciiTheme="minorHAnsi" w:eastAsiaTheme="minorHAnsi" w:hAnsiTheme="minorHAnsi" w:cstheme="minorBidi"/>
          <w:sz w:val="24"/>
          <w:szCs w:val="24"/>
        </w:rPr>
        <w:t xml:space="preserve"> acceptable cost-effectiveness over </w:t>
      </w:r>
      <w:proofErr w:type="spellStart"/>
      <w:r w:rsidRPr="0046724E">
        <w:rPr>
          <w:rFonts w:asciiTheme="minorHAnsi" w:eastAsiaTheme="minorHAnsi" w:hAnsiTheme="minorHAnsi" w:cstheme="minorBidi"/>
          <w:sz w:val="24"/>
          <w:szCs w:val="24"/>
        </w:rPr>
        <w:t>zoledronic</w:t>
      </w:r>
      <w:proofErr w:type="spellEnd"/>
      <w:r w:rsidRPr="0046724E">
        <w:rPr>
          <w:rFonts w:asciiTheme="minorHAnsi" w:eastAsiaTheme="minorHAnsi" w:hAnsiTheme="minorHAnsi" w:cstheme="minorBidi"/>
          <w:sz w:val="24"/>
          <w:szCs w:val="24"/>
        </w:rPr>
        <w:t xml:space="preserve"> acid. However it was noted that:</w:t>
      </w:r>
    </w:p>
    <w:p w:rsidR="00513CF2" w:rsidRPr="0046724E" w:rsidRDefault="00513CF2" w:rsidP="005533D1">
      <w:pPr>
        <w:pStyle w:val="ListParagraph"/>
        <w:widowControl/>
        <w:rPr>
          <w:rFonts w:asciiTheme="minorHAnsi" w:eastAsiaTheme="minorHAnsi" w:hAnsiTheme="minorHAnsi" w:cstheme="minorBidi"/>
          <w:i/>
          <w:sz w:val="24"/>
          <w:szCs w:val="24"/>
        </w:rPr>
      </w:pPr>
    </w:p>
    <w:p w:rsidR="0006056C" w:rsidRPr="0046724E" w:rsidRDefault="00513CF2" w:rsidP="005533D1">
      <w:pPr>
        <w:pStyle w:val="ListParagraph"/>
        <w:widowControl/>
        <w:ind w:left="1276"/>
        <w:rPr>
          <w:rFonts w:eastAsiaTheme="minorHAnsi"/>
          <w:sz w:val="20"/>
        </w:rPr>
      </w:pPr>
      <w:r w:rsidRPr="0046724E">
        <w:rPr>
          <w:rFonts w:eastAsiaTheme="minorHAnsi"/>
          <w:i/>
          <w:sz w:val="20"/>
        </w:rPr>
        <w:t>“</w:t>
      </w:r>
      <w:r w:rsidR="0006056C" w:rsidRPr="0046724E">
        <w:rPr>
          <w:rFonts w:eastAsiaTheme="minorHAnsi"/>
          <w:i/>
          <w:sz w:val="20"/>
        </w:rPr>
        <w:t xml:space="preserve">Even with the uncertainty surrounding the drug administration cost of </w:t>
      </w:r>
      <w:proofErr w:type="spellStart"/>
      <w:r w:rsidR="0006056C" w:rsidRPr="0046724E">
        <w:rPr>
          <w:rFonts w:eastAsiaTheme="minorHAnsi"/>
          <w:i/>
          <w:sz w:val="20"/>
        </w:rPr>
        <w:t>zoledronic</w:t>
      </w:r>
      <w:proofErr w:type="spellEnd"/>
      <w:r w:rsidR="0006056C" w:rsidRPr="0046724E">
        <w:rPr>
          <w:rFonts w:eastAsiaTheme="minorHAnsi"/>
          <w:i/>
          <w:sz w:val="20"/>
        </w:rPr>
        <w:t xml:space="preserve"> acid infusions, the PBAC considered that the revised base case ICERs, presented in the Pre-PBAC Response calculated with the revised price offer and with various scenarios of infusion costs between $</w:t>
      </w:r>
      <w:r w:rsidR="00742356">
        <w:rPr>
          <w:rFonts w:eastAsiaTheme="minorHAnsi"/>
          <w:i/>
          <w:noProof/>
          <w:color w:val="000000"/>
          <w:sz w:val="20"/>
          <w:highlight w:val="black"/>
        </w:rPr>
        <w:t xml:space="preserve">'''''''''''''' </w:t>
      </w:r>
      <w:r w:rsidR="0006056C" w:rsidRPr="0046724E">
        <w:rPr>
          <w:rFonts w:eastAsiaTheme="minorHAnsi"/>
          <w:i/>
          <w:sz w:val="20"/>
        </w:rPr>
        <w:t>and $</w:t>
      </w:r>
      <w:r w:rsidR="00742356">
        <w:rPr>
          <w:rFonts w:eastAsiaTheme="minorHAnsi"/>
          <w:i/>
          <w:noProof/>
          <w:color w:val="000000"/>
          <w:sz w:val="20"/>
          <w:highlight w:val="black"/>
        </w:rPr>
        <w:t>'''''''''''''''</w:t>
      </w:r>
      <w:r w:rsidR="0006056C" w:rsidRPr="0046724E">
        <w:rPr>
          <w:rFonts w:eastAsiaTheme="minorHAnsi"/>
          <w:i/>
          <w:sz w:val="20"/>
        </w:rPr>
        <w:t xml:space="preserve"> for </w:t>
      </w:r>
      <w:proofErr w:type="spellStart"/>
      <w:r w:rsidR="0006056C" w:rsidRPr="0046724E">
        <w:rPr>
          <w:rFonts w:eastAsiaTheme="minorHAnsi"/>
          <w:i/>
          <w:sz w:val="20"/>
        </w:rPr>
        <w:t>zoledronic</w:t>
      </w:r>
      <w:proofErr w:type="spellEnd"/>
      <w:r w:rsidR="0006056C" w:rsidRPr="0046724E">
        <w:rPr>
          <w:rFonts w:eastAsiaTheme="minorHAnsi"/>
          <w:i/>
          <w:sz w:val="20"/>
        </w:rPr>
        <w:t xml:space="preserve"> acid were acceptable.</w:t>
      </w:r>
    </w:p>
    <w:p w:rsidR="0006056C" w:rsidRPr="0046724E" w:rsidRDefault="0006056C" w:rsidP="005533D1">
      <w:pPr>
        <w:pStyle w:val="ListParagraph"/>
        <w:widowControl/>
        <w:ind w:left="1276"/>
        <w:rPr>
          <w:rFonts w:eastAsiaTheme="minorHAnsi"/>
          <w:sz w:val="20"/>
        </w:rPr>
      </w:pPr>
    </w:p>
    <w:p w:rsidR="0006056C" w:rsidRPr="0046724E" w:rsidRDefault="0006056C" w:rsidP="005533D1">
      <w:pPr>
        <w:pStyle w:val="ListParagraph"/>
        <w:widowControl/>
        <w:ind w:left="1276"/>
        <w:rPr>
          <w:rFonts w:eastAsiaTheme="minorHAnsi"/>
          <w:i/>
          <w:sz w:val="20"/>
        </w:rPr>
      </w:pPr>
      <w:r w:rsidRPr="0046724E">
        <w:rPr>
          <w:rFonts w:eastAsiaTheme="minorHAnsi"/>
          <w:i/>
          <w:sz w:val="20"/>
        </w:rPr>
        <w:t xml:space="preserve">However, the PBAC considered that the issue of determining an appropriate infusion cost for </w:t>
      </w:r>
      <w:proofErr w:type="spellStart"/>
      <w:r w:rsidRPr="0046724E">
        <w:rPr>
          <w:rFonts w:eastAsiaTheme="minorHAnsi"/>
          <w:i/>
          <w:sz w:val="20"/>
        </w:rPr>
        <w:t>zoledronic</w:t>
      </w:r>
      <w:proofErr w:type="spellEnd"/>
      <w:r w:rsidRPr="0046724E">
        <w:rPr>
          <w:rFonts w:eastAsiaTheme="minorHAnsi"/>
          <w:i/>
          <w:sz w:val="20"/>
        </w:rPr>
        <w:t xml:space="preserve"> acid should be investigated and the listing for </w:t>
      </w:r>
      <w:proofErr w:type="spellStart"/>
      <w:r w:rsidRPr="0046724E">
        <w:rPr>
          <w:rFonts w:eastAsiaTheme="minorHAnsi"/>
          <w:i/>
          <w:sz w:val="20"/>
        </w:rPr>
        <w:t>denosumab</w:t>
      </w:r>
      <w:proofErr w:type="spellEnd"/>
      <w:r w:rsidRPr="0046724E">
        <w:rPr>
          <w:rFonts w:eastAsiaTheme="minorHAnsi"/>
          <w:i/>
          <w:sz w:val="20"/>
        </w:rPr>
        <w:t xml:space="preserve"> be reviewed, should the cost of infusion be below $</w:t>
      </w:r>
      <w:r w:rsidR="00742356">
        <w:rPr>
          <w:rFonts w:eastAsiaTheme="minorHAnsi"/>
          <w:i/>
          <w:noProof/>
          <w:color w:val="000000"/>
          <w:sz w:val="20"/>
          <w:highlight w:val="black"/>
        </w:rPr>
        <w:t>'''''''''''''</w:t>
      </w:r>
      <w:r w:rsidRPr="0046724E">
        <w:rPr>
          <w:rFonts w:eastAsiaTheme="minorHAnsi"/>
          <w:i/>
          <w:sz w:val="20"/>
        </w:rPr>
        <w:t>, when this information becomes available.</w:t>
      </w:r>
      <w:r w:rsidR="00513CF2" w:rsidRPr="0046724E">
        <w:rPr>
          <w:rFonts w:eastAsiaTheme="minorHAnsi"/>
          <w:i/>
          <w:sz w:val="20"/>
        </w:rPr>
        <w:t xml:space="preserve">” </w:t>
      </w:r>
      <w:r w:rsidR="00F20F07" w:rsidRPr="0046724E">
        <w:rPr>
          <w:rFonts w:eastAsiaTheme="minorHAnsi"/>
          <w:i/>
          <w:sz w:val="20"/>
        </w:rPr>
        <w:t>(</w:t>
      </w:r>
      <w:proofErr w:type="gramStart"/>
      <w:r w:rsidR="00F20F07" w:rsidRPr="0046724E">
        <w:rPr>
          <w:rFonts w:eastAsiaTheme="minorHAnsi"/>
          <w:i/>
          <w:sz w:val="20"/>
        </w:rPr>
        <w:t>paragraphs</w:t>
      </w:r>
      <w:proofErr w:type="gramEnd"/>
      <w:r w:rsidR="00F20F07" w:rsidRPr="0046724E">
        <w:rPr>
          <w:rFonts w:eastAsiaTheme="minorHAnsi"/>
          <w:i/>
          <w:sz w:val="20"/>
        </w:rPr>
        <w:t xml:space="preserve"> 5.6.30 &amp; 5.6.31, </w:t>
      </w:r>
      <w:proofErr w:type="spellStart"/>
      <w:r w:rsidR="0046724E" w:rsidRPr="0046724E">
        <w:rPr>
          <w:rFonts w:eastAsiaTheme="minorHAnsi"/>
          <w:i/>
          <w:sz w:val="20"/>
        </w:rPr>
        <w:t>denosumab</w:t>
      </w:r>
      <w:proofErr w:type="spellEnd"/>
      <w:r w:rsidR="00F20F07" w:rsidRPr="0046724E">
        <w:rPr>
          <w:rFonts w:eastAsiaTheme="minorHAnsi"/>
          <w:i/>
          <w:sz w:val="20"/>
        </w:rPr>
        <w:t xml:space="preserve"> </w:t>
      </w:r>
      <w:r w:rsidR="00513CF2" w:rsidRPr="0046724E">
        <w:rPr>
          <w:rFonts w:eastAsiaTheme="minorHAnsi"/>
          <w:i/>
          <w:sz w:val="20"/>
        </w:rPr>
        <w:t>PBAC minutes, July</w:t>
      </w:r>
      <w:r w:rsidR="00B407F5" w:rsidRPr="0046724E">
        <w:rPr>
          <w:rFonts w:eastAsiaTheme="minorHAnsi"/>
          <w:i/>
          <w:sz w:val="20"/>
        </w:rPr>
        <w:t xml:space="preserve"> </w:t>
      </w:r>
      <w:r w:rsidR="00513CF2" w:rsidRPr="0046724E">
        <w:rPr>
          <w:rFonts w:eastAsiaTheme="minorHAnsi"/>
          <w:i/>
          <w:sz w:val="20"/>
        </w:rPr>
        <w:t>2011</w:t>
      </w:r>
      <w:r w:rsidR="002148CC" w:rsidRPr="0046724E">
        <w:rPr>
          <w:rFonts w:eastAsiaTheme="minorHAnsi"/>
          <w:i/>
          <w:sz w:val="20"/>
        </w:rPr>
        <w:t xml:space="preserve">, </w:t>
      </w:r>
      <w:r w:rsidR="00F20F07" w:rsidRPr="0046724E">
        <w:rPr>
          <w:rFonts w:eastAsiaTheme="minorHAnsi"/>
          <w:i/>
          <w:sz w:val="20"/>
        </w:rPr>
        <w:t>a</w:t>
      </w:r>
      <w:r w:rsidR="002148CC" w:rsidRPr="0046724E">
        <w:rPr>
          <w:rFonts w:eastAsiaTheme="minorHAnsi"/>
          <w:i/>
          <w:sz w:val="20"/>
        </w:rPr>
        <w:t>genda item 5.6).</w:t>
      </w:r>
    </w:p>
    <w:p w:rsidR="002148CC" w:rsidRPr="0046724E" w:rsidRDefault="002148CC" w:rsidP="005533D1">
      <w:pPr>
        <w:pStyle w:val="ListParagraph"/>
        <w:widowControl/>
        <w:rPr>
          <w:rFonts w:asciiTheme="minorHAnsi" w:eastAsiaTheme="minorHAnsi" w:hAnsiTheme="minorHAnsi" w:cstheme="minorBidi"/>
          <w:snapToGrid/>
          <w:sz w:val="24"/>
          <w:szCs w:val="24"/>
        </w:rPr>
      </w:pPr>
    </w:p>
    <w:p w:rsidR="00E64E3A" w:rsidRPr="0046724E" w:rsidRDefault="002148CC" w:rsidP="005533D1">
      <w:pPr>
        <w:pStyle w:val="ListParagraph"/>
        <w:widowControl/>
        <w:numPr>
          <w:ilvl w:val="1"/>
          <w:numId w:val="14"/>
        </w:numPr>
        <w:rPr>
          <w:rFonts w:asciiTheme="minorHAnsi" w:eastAsiaTheme="minorHAnsi" w:hAnsiTheme="minorHAnsi" w:cstheme="minorBidi"/>
          <w:i/>
          <w:snapToGrid/>
          <w:sz w:val="24"/>
          <w:szCs w:val="24"/>
        </w:rPr>
      </w:pPr>
      <w:r w:rsidRPr="0046724E">
        <w:rPr>
          <w:rFonts w:asciiTheme="minorHAnsi" w:eastAsiaTheme="minorHAnsi" w:hAnsiTheme="minorHAnsi" w:cstheme="minorBidi"/>
          <w:snapToGrid/>
          <w:sz w:val="24"/>
          <w:szCs w:val="24"/>
        </w:rPr>
        <w:t xml:space="preserve">This minor resubmission also </w:t>
      </w:r>
      <w:r w:rsidRPr="0046724E">
        <w:rPr>
          <w:rFonts w:asciiTheme="minorHAnsi" w:hAnsiTheme="minorHAnsi"/>
          <w:color w:val="222222"/>
          <w:sz w:val="24"/>
          <w:szCs w:val="24"/>
        </w:rPr>
        <w:t>identified a precedent from 2006 for the PBAC accepting $300-380 (estimated range</w:t>
      </w:r>
      <w:r w:rsidRPr="0046724E">
        <w:rPr>
          <w:rFonts w:asciiTheme="minorHAnsi" w:hAnsiTheme="minorHAnsi"/>
          <w:color w:val="222222"/>
          <w:sz w:val="24"/>
          <w:szCs w:val="24"/>
          <w:vertAlign w:val="superscript"/>
        </w:rPr>
        <w:footnoteReference w:id="4"/>
      </w:r>
      <w:r w:rsidRPr="0046724E">
        <w:rPr>
          <w:rFonts w:asciiTheme="minorHAnsi" w:hAnsiTheme="minorHAnsi"/>
          <w:color w:val="222222"/>
          <w:sz w:val="24"/>
          <w:szCs w:val="24"/>
        </w:rPr>
        <w:t xml:space="preserve">) as the cost for IV </w:t>
      </w:r>
      <w:proofErr w:type="spellStart"/>
      <w:r w:rsidRPr="0046724E">
        <w:rPr>
          <w:rFonts w:asciiTheme="minorHAnsi" w:hAnsiTheme="minorHAnsi"/>
          <w:color w:val="222222"/>
          <w:sz w:val="24"/>
          <w:szCs w:val="24"/>
        </w:rPr>
        <w:t>vinorelbine</w:t>
      </w:r>
      <w:proofErr w:type="spellEnd"/>
      <w:r w:rsidRPr="0046724E">
        <w:rPr>
          <w:rFonts w:asciiTheme="minorHAnsi" w:hAnsiTheme="minorHAnsi"/>
          <w:color w:val="222222"/>
          <w:sz w:val="24"/>
          <w:szCs w:val="24"/>
        </w:rPr>
        <w:t xml:space="preserve"> administration, the infusion of which is short (6-10 minute bolus or 20-30 minute infusion) and relatively straightforward.</w:t>
      </w:r>
      <w:r w:rsidR="00E64E3A" w:rsidRPr="0046724E">
        <w:rPr>
          <w:rFonts w:asciiTheme="minorHAnsi" w:hAnsiTheme="minorHAnsi"/>
          <w:color w:val="222222"/>
          <w:sz w:val="24"/>
          <w:szCs w:val="24"/>
        </w:rPr>
        <w:t xml:space="preserve"> </w:t>
      </w:r>
      <w:r w:rsidR="00E64E3A" w:rsidRPr="0046724E">
        <w:rPr>
          <w:rFonts w:asciiTheme="minorHAnsi" w:hAnsiTheme="minorHAnsi"/>
          <w:iCs/>
          <w:color w:val="222222"/>
          <w:sz w:val="24"/>
          <w:szCs w:val="24"/>
        </w:rPr>
        <w:t>The Therapeutic Relativity sheets state:</w:t>
      </w:r>
    </w:p>
    <w:p w:rsidR="00B407F5" w:rsidRPr="00EB51C1" w:rsidRDefault="00B407F5" w:rsidP="005533D1">
      <w:pPr>
        <w:pStyle w:val="ListParagraph"/>
        <w:widowControl/>
        <w:ind w:left="1276"/>
        <w:rPr>
          <w:rFonts w:eastAsiaTheme="minorHAnsi"/>
          <w:i/>
          <w:sz w:val="20"/>
        </w:rPr>
      </w:pPr>
    </w:p>
    <w:p w:rsidR="0006056C" w:rsidRPr="0046724E" w:rsidRDefault="00E64E3A" w:rsidP="005533D1">
      <w:pPr>
        <w:pStyle w:val="ListParagraph"/>
        <w:widowControl/>
        <w:ind w:left="1276"/>
        <w:rPr>
          <w:rFonts w:eastAsiaTheme="minorHAnsi"/>
          <w:i/>
          <w:sz w:val="20"/>
        </w:rPr>
      </w:pPr>
      <w:r w:rsidRPr="0046724E">
        <w:rPr>
          <w:rFonts w:eastAsiaTheme="minorHAnsi"/>
          <w:i/>
          <w:sz w:val="20"/>
        </w:rPr>
        <w:t>“</w:t>
      </w:r>
      <w:proofErr w:type="spellStart"/>
      <w:r w:rsidRPr="0046724E">
        <w:rPr>
          <w:rFonts w:eastAsiaTheme="minorHAnsi"/>
          <w:i/>
          <w:sz w:val="20"/>
        </w:rPr>
        <w:t>Vinorelbine</w:t>
      </w:r>
      <w:proofErr w:type="spellEnd"/>
      <w:r w:rsidRPr="0046724E">
        <w:rPr>
          <w:rFonts w:eastAsiaTheme="minorHAnsi"/>
          <w:i/>
          <w:sz w:val="20"/>
        </w:rPr>
        <w:t xml:space="preserve"> tartrate capsules were recommended for listing on a cost minimisation basis versus intravenously administered </w:t>
      </w:r>
      <w:proofErr w:type="spellStart"/>
      <w:r w:rsidRPr="0046724E">
        <w:rPr>
          <w:rFonts w:eastAsiaTheme="minorHAnsi"/>
          <w:i/>
          <w:sz w:val="20"/>
        </w:rPr>
        <w:t>vinorelbine</w:t>
      </w:r>
      <w:proofErr w:type="spellEnd"/>
      <w:r w:rsidRPr="0046724E">
        <w:rPr>
          <w:rFonts w:eastAsiaTheme="minorHAnsi"/>
          <w:i/>
          <w:sz w:val="20"/>
        </w:rPr>
        <w:t xml:space="preserve">.  The </w:t>
      </w:r>
      <w:proofErr w:type="spellStart"/>
      <w:r w:rsidRPr="0046724E">
        <w:rPr>
          <w:rFonts w:eastAsiaTheme="minorHAnsi"/>
          <w:i/>
          <w:sz w:val="20"/>
        </w:rPr>
        <w:t>equi</w:t>
      </w:r>
      <w:proofErr w:type="spellEnd"/>
      <w:r w:rsidRPr="0046724E">
        <w:rPr>
          <w:rFonts w:eastAsiaTheme="minorHAnsi"/>
          <w:i/>
          <w:sz w:val="20"/>
        </w:rPr>
        <w:t>-effective doses are one 3-week cycle at 60mg/m</w:t>
      </w:r>
      <w:r w:rsidRPr="0046724E">
        <w:rPr>
          <w:rFonts w:eastAsiaTheme="minorHAnsi"/>
          <w:i/>
          <w:sz w:val="20"/>
          <w:vertAlign w:val="superscript"/>
        </w:rPr>
        <w:t>2</w:t>
      </w:r>
      <w:r w:rsidRPr="0046724E">
        <w:rPr>
          <w:rFonts w:eastAsiaTheme="minorHAnsi"/>
          <w:i/>
          <w:sz w:val="20"/>
        </w:rPr>
        <w:t xml:space="preserve"> and two 3-week cycles at 80mg/m</w:t>
      </w:r>
      <w:r w:rsidRPr="0046724E">
        <w:rPr>
          <w:rFonts w:eastAsiaTheme="minorHAnsi"/>
          <w:i/>
          <w:sz w:val="20"/>
          <w:vertAlign w:val="superscript"/>
        </w:rPr>
        <w:t>2</w:t>
      </w:r>
      <w:r w:rsidRPr="0046724E">
        <w:rPr>
          <w:rFonts w:eastAsiaTheme="minorHAnsi"/>
          <w:i/>
          <w:sz w:val="20"/>
        </w:rPr>
        <w:t xml:space="preserve"> for oral </w:t>
      </w:r>
      <w:proofErr w:type="spellStart"/>
      <w:r w:rsidRPr="0046724E">
        <w:rPr>
          <w:rFonts w:eastAsiaTheme="minorHAnsi"/>
          <w:i/>
          <w:sz w:val="20"/>
        </w:rPr>
        <w:t>vinorelbine</w:t>
      </w:r>
      <w:proofErr w:type="spellEnd"/>
      <w:r w:rsidRPr="0046724E">
        <w:rPr>
          <w:rFonts w:eastAsiaTheme="minorHAnsi"/>
          <w:i/>
          <w:sz w:val="20"/>
        </w:rPr>
        <w:t xml:space="preserve"> and three 3-week cycles at 30mg/m</w:t>
      </w:r>
      <w:r w:rsidRPr="0046724E">
        <w:rPr>
          <w:rFonts w:eastAsiaTheme="minorHAnsi"/>
          <w:i/>
          <w:sz w:val="20"/>
          <w:vertAlign w:val="superscript"/>
        </w:rPr>
        <w:t>2</w:t>
      </w:r>
      <w:r w:rsidRPr="0046724E">
        <w:rPr>
          <w:rFonts w:eastAsiaTheme="minorHAnsi"/>
          <w:i/>
          <w:sz w:val="20"/>
        </w:rPr>
        <w:t xml:space="preserve"> for intravenous </w:t>
      </w:r>
      <w:proofErr w:type="spellStart"/>
      <w:r w:rsidRPr="0046724E">
        <w:rPr>
          <w:rFonts w:eastAsiaTheme="minorHAnsi"/>
          <w:i/>
          <w:sz w:val="20"/>
        </w:rPr>
        <w:t>vinorelbine</w:t>
      </w:r>
      <w:proofErr w:type="spellEnd"/>
      <w:r w:rsidRPr="0046724E">
        <w:rPr>
          <w:rFonts w:eastAsiaTheme="minorHAnsi"/>
          <w:i/>
          <w:sz w:val="20"/>
        </w:rPr>
        <w:t>.”</w:t>
      </w:r>
    </w:p>
    <w:p w:rsidR="00B91F2C" w:rsidRPr="0046724E" w:rsidRDefault="00B91F2C" w:rsidP="005533D1">
      <w:pPr>
        <w:pStyle w:val="ListParagraph"/>
        <w:widowControl/>
        <w:ind w:left="1276"/>
        <w:rPr>
          <w:rFonts w:eastAsiaTheme="minorHAnsi"/>
          <w:i/>
          <w:sz w:val="20"/>
        </w:rPr>
      </w:pPr>
    </w:p>
    <w:p w:rsidR="00B91F2C" w:rsidRPr="0046724E" w:rsidRDefault="00B91F2C" w:rsidP="005533D1">
      <w:pPr>
        <w:pStyle w:val="ListParagraph"/>
        <w:widowControl/>
        <w:rPr>
          <w:rFonts w:asciiTheme="minorHAnsi" w:hAnsiTheme="minorHAnsi"/>
          <w:color w:val="222222"/>
          <w:sz w:val="24"/>
          <w:szCs w:val="24"/>
        </w:rPr>
      </w:pPr>
      <w:r w:rsidRPr="0046724E">
        <w:rPr>
          <w:rFonts w:asciiTheme="minorHAnsi" w:hAnsiTheme="minorHAnsi"/>
          <w:color w:val="222222"/>
          <w:sz w:val="24"/>
          <w:szCs w:val="24"/>
        </w:rPr>
        <w:lastRenderedPageBreak/>
        <w:t xml:space="preserve">The March 2006 PBAC minutes for </w:t>
      </w:r>
      <w:proofErr w:type="spellStart"/>
      <w:r w:rsidRPr="0046724E">
        <w:rPr>
          <w:rFonts w:asciiTheme="minorHAnsi" w:hAnsiTheme="minorHAnsi"/>
          <w:color w:val="222222"/>
          <w:sz w:val="24"/>
          <w:szCs w:val="24"/>
        </w:rPr>
        <w:t>vinorelbine</w:t>
      </w:r>
      <w:proofErr w:type="spellEnd"/>
      <w:r w:rsidRPr="0046724E">
        <w:rPr>
          <w:rFonts w:asciiTheme="minorHAnsi" w:hAnsiTheme="minorHAnsi"/>
          <w:color w:val="222222"/>
          <w:sz w:val="24"/>
          <w:szCs w:val="24"/>
        </w:rPr>
        <w:t xml:space="preserve"> </w:t>
      </w:r>
      <w:r w:rsidR="004B2284" w:rsidRPr="0046724E">
        <w:rPr>
          <w:rFonts w:asciiTheme="minorHAnsi" w:hAnsiTheme="minorHAnsi"/>
          <w:color w:val="222222"/>
          <w:sz w:val="24"/>
          <w:szCs w:val="24"/>
        </w:rPr>
        <w:t xml:space="preserve">for locally advanced or metastatic non-small cell lung cancer </w:t>
      </w:r>
      <w:r w:rsidRPr="0046724E">
        <w:rPr>
          <w:rFonts w:asciiTheme="minorHAnsi" w:hAnsiTheme="minorHAnsi"/>
          <w:color w:val="222222"/>
          <w:sz w:val="24"/>
          <w:szCs w:val="24"/>
        </w:rPr>
        <w:t>stated:</w:t>
      </w:r>
    </w:p>
    <w:p w:rsidR="00B407F5" w:rsidRPr="00EB51C1" w:rsidRDefault="00B407F5" w:rsidP="005533D1">
      <w:pPr>
        <w:pStyle w:val="ListParagraph"/>
        <w:widowControl/>
        <w:ind w:left="1276"/>
        <w:rPr>
          <w:rFonts w:eastAsiaTheme="minorHAnsi"/>
          <w:i/>
          <w:sz w:val="20"/>
        </w:rPr>
      </w:pPr>
    </w:p>
    <w:p w:rsidR="00B91F2C" w:rsidRPr="0046724E" w:rsidRDefault="00B91F2C" w:rsidP="005533D1">
      <w:pPr>
        <w:pStyle w:val="ListParagraph"/>
        <w:widowControl/>
        <w:ind w:left="1276"/>
        <w:rPr>
          <w:i/>
          <w:color w:val="222222"/>
          <w:sz w:val="20"/>
          <w:shd w:val="clear" w:color="auto" w:fill="FFFFFF"/>
        </w:rPr>
      </w:pPr>
      <w:r w:rsidRPr="0046724E">
        <w:rPr>
          <w:rFonts w:eastAsiaTheme="minorHAnsi"/>
          <w:i/>
          <w:sz w:val="20"/>
        </w:rPr>
        <w:t xml:space="preserve"> “</w:t>
      </w:r>
      <w:r w:rsidRPr="0046724E">
        <w:rPr>
          <w:i/>
          <w:color w:val="222222"/>
          <w:sz w:val="20"/>
          <w:shd w:val="clear" w:color="auto" w:fill="FFFFFF"/>
        </w:rPr>
        <w:t xml:space="preserve">The PBAC did not agree that all patients receiving IV </w:t>
      </w:r>
      <w:proofErr w:type="spellStart"/>
      <w:r w:rsidRPr="0046724E">
        <w:rPr>
          <w:i/>
          <w:color w:val="222222"/>
          <w:sz w:val="20"/>
          <w:shd w:val="clear" w:color="auto" w:fill="FFFFFF"/>
        </w:rPr>
        <w:t>vinorelbine</w:t>
      </w:r>
      <w:proofErr w:type="spellEnd"/>
      <w:r w:rsidRPr="0046724E">
        <w:rPr>
          <w:i/>
          <w:color w:val="222222"/>
          <w:sz w:val="20"/>
          <w:shd w:val="clear" w:color="auto" w:fill="FFFFFF"/>
        </w:rPr>
        <w:t xml:space="preserve"> would be admitted as inpatients and therefore the cost offsets claimed for oral </w:t>
      </w:r>
      <w:proofErr w:type="spellStart"/>
      <w:r w:rsidRPr="0046724E">
        <w:rPr>
          <w:i/>
          <w:color w:val="222222"/>
          <w:sz w:val="20"/>
          <w:shd w:val="clear" w:color="auto" w:fill="FFFFFF"/>
        </w:rPr>
        <w:t>vinorelbine</w:t>
      </w:r>
      <w:proofErr w:type="spellEnd"/>
      <w:r w:rsidRPr="0046724E">
        <w:rPr>
          <w:i/>
          <w:color w:val="222222"/>
          <w:sz w:val="20"/>
          <w:shd w:val="clear" w:color="auto" w:fill="FFFFFF"/>
        </w:rPr>
        <w:t xml:space="preserve"> that were associated with administration of the IV formulation had been over-estimated. The price should be adjusted to take into account the proportion of patients receiving IV </w:t>
      </w:r>
      <w:proofErr w:type="spellStart"/>
      <w:r w:rsidRPr="0046724E">
        <w:rPr>
          <w:i/>
          <w:color w:val="222222"/>
          <w:sz w:val="20"/>
          <w:shd w:val="clear" w:color="auto" w:fill="FFFFFF"/>
        </w:rPr>
        <w:t>vinorelbine</w:t>
      </w:r>
      <w:proofErr w:type="spellEnd"/>
      <w:r w:rsidRPr="0046724E">
        <w:rPr>
          <w:i/>
          <w:color w:val="222222"/>
          <w:sz w:val="20"/>
          <w:shd w:val="clear" w:color="auto" w:fill="FFFFFF"/>
        </w:rPr>
        <w:t xml:space="preserve"> in the outpatient setting in calculating the administration cost-offsets.” (</w:t>
      </w:r>
      <w:proofErr w:type="gramStart"/>
      <w:r w:rsidR="00B407F5" w:rsidRPr="0046724E">
        <w:rPr>
          <w:i/>
          <w:color w:val="222222"/>
          <w:sz w:val="20"/>
          <w:shd w:val="clear" w:color="auto" w:fill="FFFFFF"/>
        </w:rPr>
        <w:t>section</w:t>
      </w:r>
      <w:proofErr w:type="gramEnd"/>
      <w:r w:rsidR="00B407F5" w:rsidRPr="0046724E">
        <w:rPr>
          <w:i/>
          <w:color w:val="222222"/>
          <w:sz w:val="20"/>
          <w:shd w:val="clear" w:color="auto" w:fill="FFFFFF"/>
        </w:rPr>
        <w:t xml:space="preserve"> 12, </w:t>
      </w:r>
      <w:proofErr w:type="spellStart"/>
      <w:r w:rsidRPr="0046724E">
        <w:rPr>
          <w:i/>
          <w:color w:val="222222"/>
          <w:sz w:val="20"/>
          <w:shd w:val="clear" w:color="auto" w:fill="FFFFFF"/>
        </w:rPr>
        <w:t>vinorelbine</w:t>
      </w:r>
      <w:proofErr w:type="spellEnd"/>
      <w:r w:rsidRPr="0046724E">
        <w:rPr>
          <w:i/>
          <w:color w:val="222222"/>
          <w:sz w:val="20"/>
          <w:shd w:val="clear" w:color="auto" w:fill="FFFFFF"/>
        </w:rPr>
        <w:t xml:space="preserve">, </w:t>
      </w:r>
      <w:r w:rsidR="00B407F5" w:rsidRPr="0046724E">
        <w:rPr>
          <w:i/>
          <w:color w:val="222222"/>
          <w:sz w:val="20"/>
          <w:shd w:val="clear" w:color="auto" w:fill="FFFFFF"/>
        </w:rPr>
        <w:t xml:space="preserve">Public Summary Document, </w:t>
      </w:r>
      <w:r w:rsidRPr="0046724E">
        <w:rPr>
          <w:i/>
          <w:color w:val="222222"/>
          <w:sz w:val="20"/>
          <w:shd w:val="clear" w:color="auto" w:fill="FFFFFF"/>
        </w:rPr>
        <w:t>March 2006).</w:t>
      </w:r>
    </w:p>
    <w:p w:rsidR="002148CC" w:rsidRPr="0046724E" w:rsidRDefault="002148CC" w:rsidP="005533D1">
      <w:pPr>
        <w:pStyle w:val="ListParagraph"/>
        <w:widowControl/>
        <w:rPr>
          <w:rFonts w:asciiTheme="minorHAnsi" w:eastAsiaTheme="minorHAnsi" w:hAnsiTheme="minorHAnsi" w:cstheme="minorBidi"/>
          <w:snapToGrid/>
          <w:sz w:val="24"/>
          <w:szCs w:val="24"/>
        </w:rPr>
      </w:pPr>
    </w:p>
    <w:p w:rsidR="00B13108" w:rsidRPr="0046724E" w:rsidRDefault="00B13108" w:rsidP="00B13108">
      <w:pPr>
        <w:pStyle w:val="ListParagraph"/>
        <w:widowControl/>
        <w:jc w:val="center"/>
        <w:rPr>
          <w:rFonts w:asciiTheme="minorHAnsi" w:eastAsiaTheme="minorHAnsi" w:hAnsiTheme="minorHAnsi" w:cstheme="minorBidi"/>
          <w:b/>
          <w:snapToGrid/>
          <w:sz w:val="24"/>
          <w:szCs w:val="24"/>
          <w:u w:val="single"/>
        </w:rPr>
      </w:pPr>
      <w:r w:rsidRPr="0046724E">
        <w:rPr>
          <w:rFonts w:asciiTheme="minorHAnsi" w:eastAsiaTheme="minorHAnsi" w:hAnsiTheme="minorHAnsi" w:cstheme="minorBidi"/>
          <w:b/>
          <w:snapToGrid/>
          <w:sz w:val="24"/>
          <w:szCs w:val="24"/>
          <w:u w:val="single"/>
        </w:rPr>
        <w:t>Committee-in-confidence information</w:t>
      </w:r>
    </w:p>
    <w:p w:rsidR="00B13108" w:rsidRPr="00804AA3" w:rsidRDefault="00804AA3" w:rsidP="00804AA3">
      <w:pPr>
        <w:ind w:left="720" w:hanging="720"/>
        <w:rPr>
          <w:rFonts w:asciiTheme="minorHAnsi" w:eastAsiaTheme="minorHAnsi" w:hAnsiTheme="minorHAnsi" w:cstheme="minorBidi"/>
          <w:highlight w:val="black"/>
        </w:rPr>
      </w:pPr>
      <w:r>
        <w:rPr>
          <w:rFonts w:asciiTheme="minorHAnsi" w:eastAsiaTheme="minorHAnsi" w:hAnsiTheme="minorHAnsi" w:cstheme="minorBidi"/>
          <w:noProof/>
          <w:color w:val="000000"/>
          <w:highlight w:val="black"/>
          <w:lang w:eastAsia="en-US"/>
        </w:rPr>
        <w:t xml:space="preserve">'''''''''''' '''''''''''''''''''' '''''''''' ''''''' '''''''''' '''''''' ''''''''''' '''' ''''''''''''''''''' '''''' '''''''''''''' '''''''' ''''' ''''''''''''''''' ''''''''' ''''' '''''' ''''''''''''''''' '''''' ''''''''''' ''''''''''''''''''' '''''' '''''' '''' '''''''' '''''''''''''''' ''''''''''''''''''''''''''' ''''''''' '''''''''''''''' '''''''' ''''''' '''''''''''''''''''''''' ''''' ''''''''''''''''' ''''''' '''''''' '''' ''''''''''''''''''''''''''' ''''' ''''''''''''''''' '''''''' '''''''''''''''' ''''''' '''''''''' '''''''''''' ''''''''''' ''''''''' '''''''''' ''''''''''''''''''' '''''''''''' '''''''''' ''' ''''''''''''''''''''''''' ''''''''' ''''''''''''''''''' ''''''''''''' '' ''''''' ''''''''' ''''''''' '''''''''''''''''''''' '''''''''''''''''''' ''''''''''' ''''' ''''''''' '''''''''''' '''''' ''''''''''''''' ''''''''' '''''''''''''''''''''' '''''''''''''''''''''''' '''''''''''' ''''''' '''''''''''' ''''''''''''''''''''' '''''''' '''''''''' ''''''''''''''' ''''''''''''''''''' '''''''''' ''''''''''''''' ''''''''' '''''''''' '''''''' '''''''''''''''''' ''''''''' ''''' '''''''''' ''''''''''' '''' '''' '''''''''''''''''' '''''''''' '''''''''' ''''''''''''''' '''''''''''' '''''''' ''''''''''''' </w:t>
      </w:r>
      <w:r w:rsidR="00276679">
        <w:rPr>
          <w:rFonts w:asciiTheme="minorHAnsi" w:eastAsiaTheme="minorHAnsi" w:hAnsiTheme="minorHAnsi" w:cstheme="minorBidi"/>
          <w:noProof/>
          <w:color w:val="000000"/>
          <w:highlight w:val="black"/>
          <w:lang w:eastAsia="en-US"/>
        </w:rPr>
        <w:t>''''''''''''''''''''''''</w:t>
      </w:r>
    </w:p>
    <w:p w:rsidR="00B13108" w:rsidRPr="0046724E" w:rsidRDefault="00B13108" w:rsidP="00B13108">
      <w:pPr>
        <w:pStyle w:val="ListParagraph"/>
        <w:widowControl/>
        <w:jc w:val="center"/>
        <w:rPr>
          <w:rFonts w:asciiTheme="minorHAnsi" w:eastAsiaTheme="minorHAnsi" w:hAnsiTheme="minorHAnsi" w:cstheme="minorBidi"/>
          <w:b/>
          <w:snapToGrid/>
          <w:sz w:val="24"/>
          <w:szCs w:val="24"/>
          <w:u w:val="single"/>
        </w:rPr>
      </w:pPr>
      <w:r w:rsidRPr="0046724E">
        <w:rPr>
          <w:rFonts w:asciiTheme="minorHAnsi" w:eastAsiaTheme="minorHAnsi" w:hAnsiTheme="minorHAnsi" w:cstheme="minorBidi"/>
          <w:b/>
          <w:snapToGrid/>
          <w:sz w:val="24"/>
          <w:szCs w:val="24"/>
          <w:u w:val="single"/>
        </w:rPr>
        <w:t>End Committee-in-confidence information</w:t>
      </w:r>
    </w:p>
    <w:p w:rsidR="00A41BB8" w:rsidRPr="0046724E" w:rsidRDefault="00A41BB8" w:rsidP="005533D1">
      <w:pPr>
        <w:pStyle w:val="ListParagraph"/>
        <w:widowControl/>
        <w:rPr>
          <w:rFonts w:asciiTheme="minorHAnsi" w:eastAsiaTheme="minorHAnsi" w:hAnsiTheme="minorHAnsi" w:cstheme="minorBidi"/>
          <w:snapToGrid/>
          <w:sz w:val="24"/>
          <w:szCs w:val="24"/>
        </w:rPr>
      </w:pPr>
    </w:p>
    <w:p w:rsidR="00B91F2C" w:rsidRPr="0046724E" w:rsidRDefault="00B91F2C" w:rsidP="00AC73BF">
      <w:pPr>
        <w:pStyle w:val="ListParagraph"/>
        <w:widowControl/>
        <w:numPr>
          <w:ilvl w:val="1"/>
          <w:numId w:val="14"/>
        </w:numPr>
        <w:spacing w:after="120"/>
        <w:contextualSpacing w:val="0"/>
        <w:rPr>
          <w:rFonts w:asciiTheme="minorHAnsi" w:eastAsiaTheme="minorHAnsi" w:hAnsiTheme="minorHAnsi" w:cstheme="minorBidi"/>
          <w:snapToGrid/>
          <w:sz w:val="24"/>
          <w:szCs w:val="24"/>
        </w:rPr>
      </w:pPr>
      <w:r w:rsidRPr="0046724E">
        <w:rPr>
          <w:rFonts w:asciiTheme="minorHAnsi" w:eastAsiaTheme="minorHAnsi" w:hAnsiTheme="minorHAnsi" w:cstheme="minorBidi"/>
          <w:snapToGrid/>
          <w:sz w:val="24"/>
          <w:szCs w:val="24"/>
        </w:rPr>
        <w:t xml:space="preserve">Advice from the Medical Benefits Division for this minor resubmission for </w:t>
      </w:r>
      <w:proofErr w:type="spellStart"/>
      <w:r w:rsidR="00EB51C1" w:rsidRPr="0046724E">
        <w:rPr>
          <w:rFonts w:asciiTheme="minorHAnsi" w:eastAsiaTheme="minorHAnsi" w:hAnsiTheme="minorHAnsi" w:cstheme="minorBidi"/>
          <w:snapToGrid/>
          <w:sz w:val="24"/>
          <w:szCs w:val="24"/>
        </w:rPr>
        <w:t>denosumab</w:t>
      </w:r>
      <w:proofErr w:type="spellEnd"/>
      <w:r w:rsidRPr="0046724E">
        <w:rPr>
          <w:rFonts w:asciiTheme="minorHAnsi" w:eastAsiaTheme="minorHAnsi" w:hAnsiTheme="minorHAnsi" w:cstheme="minorBidi"/>
          <w:snapToGrid/>
          <w:sz w:val="24"/>
          <w:szCs w:val="24"/>
        </w:rPr>
        <w:t xml:space="preserve"> was that administration of parenteral bisphosphonates </w:t>
      </w:r>
      <w:proofErr w:type="gramStart"/>
      <w:r w:rsidRPr="0046724E">
        <w:rPr>
          <w:rFonts w:asciiTheme="minorHAnsi" w:eastAsiaTheme="minorHAnsi" w:hAnsiTheme="minorHAnsi" w:cstheme="minorBidi"/>
          <w:snapToGrid/>
          <w:sz w:val="24"/>
          <w:szCs w:val="24"/>
        </w:rPr>
        <w:t>is reimbursed</w:t>
      </w:r>
      <w:proofErr w:type="gramEnd"/>
      <w:r w:rsidRPr="0046724E">
        <w:rPr>
          <w:rFonts w:asciiTheme="minorHAnsi" w:eastAsiaTheme="minorHAnsi" w:hAnsiTheme="minorHAnsi" w:cstheme="minorBidi"/>
          <w:snapToGrid/>
          <w:sz w:val="24"/>
          <w:szCs w:val="24"/>
        </w:rPr>
        <w:t xml:space="preserve"> on a consultation basis. Specialists would commonly bill either item 116 or 119 for a consultation of this nature; the Schedule Fees for these items as of September 2018 were </w:t>
      </w:r>
      <w:r w:rsidR="004B2284" w:rsidRPr="0046724E">
        <w:rPr>
          <w:rFonts w:asciiTheme="minorHAnsi" w:eastAsiaTheme="minorHAnsi" w:hAnsiTheme="minorHAnsi" w:cstheme="minorBidi"/>
          <w:snapToGrid/>
          <w:sz w:val="24"/>
          <w:szCs w:val="24"/>
        </w:rPr>
        <w:t>$76.65 and $43.65, respectively.</w:t>
      </w:r>
    </w:p>
    <w:p w:rsidR="002148CC" w:rsidRPr="0046724E" w:rsidRDefault="00A41BB8" w:rsidP="00AC73BF">
      <w:pPr>
        <w:pStyle w:val="ListParagraph"/>
        <w:widowControl/>
        <w:numPr>
          <w:ilvl w:val="1"/>
          <w:numId w:val="14"/>
        </w:numPr>
        <w:spacing w:after="120"/>
        <w:contextualSpacing w:val="0"/>
        <w:rPr>
          <w:rFonts w:asciiTheme="minorHAnsi" w:eastAsiaTheme="minorHAnsi" w:hAnsiTheme="minorHAnsi" w:cstheme="minorBidi"/>
          <w:snapToGrid/>
          <w:sz w:val="24"/>
          <w:szCs w:val="24"/>
        </w:rPr>
      </w:pPr>
      <w:r w:rsidRPr="0046724E">
        <w:rPr>
          <w:rFonts w:asciiTheme="minorHAnsi" w:eastAsiaTheme="minorHAnsi" w:hAnsiTheme="minorHAnsi" w:cstheme="minorBidi"/>
          <w:snapToGrid/>
          <w:sz w:val="24"/>
          <w:szCs w:val="24"/>
        </w:rPr>
        <w:t>The minor resubmission did not factor c</w:t>
      </w:r>
      <w:r w:rsidR="002148CC" w:rsidRPr="0046724E">
        <w:rPr>
          <w:rFonts w:asciiTheme="minorHAnsi" w:eastAsiaTheme="minorHAnsi" w:hAnsiTheme="minorHAnsi" w:cstheme="minorBidi"/>
          <w:snapToGrid/>
          <w:sz w:val="24"/>
          <w:szCs w:val="24"/>
        </w:rPr>
        <w:t>ost-saving</w:t>
      </w:r>
      <w:r w:rsidRPr="0046724E">
        <w:rPr>
          <w:rFonts w:asciiTheme="minorHAnsi" w:eastAsiaTheme="minorHAnsi" w:hAnsiTheme="minorHAnsi" w:cstheme="minorBidi"/>
          <w:snapToGrid/>
          <w:sz w:val="24"/>
          <w:szCs w:val="24"/>
        </w:rPr>
        <w:t>s</w:t>
      </w:r>
      <w:r w:rsidR="002148CC" w:rsidRPr="0046724E">
        <w:rPr>
          <w:rFonts w:asciiTheme="minorHAnsi" w:eastAsiaTheme="minorHAnsi" w:hAnsiTheme="minorHAnsi" w:cstheme="minorBidi"/>
          <w:snapToGrid/>
          <w:sz w:val="24"/>
          <w:szCs w:val="24"/>
        </w:rPr>
        <w:t xml:space="preserve"> from reduced infusion administration into the financial estimates (see below).</w:t>
      </w:r>
    </w:p>
    <w:p w:rsidR="003C2FB5" w:rsidRPr="0046724E" w:rsidRDefault="009249DD" w:rsidP="00E70616">
      <w:pPr>
        <w:pStyle w:val="Heading2"/>
      </w:pPr>
      <w:r w:rsidRPr="0046724E">
        <w:t>Drug cost/patient/</w:t>
      </w:r>
      <w:r w:rsidR="000E0D7A" w:rsidRPr="0046724E">
        <w:t>year</w:t>
      </w:r>
      <w:r w:rsidRPr="0046724E">
        <w:t>:</w:t>
      </w:r>
      <w:r w:rsidR="002E534B" w:rsidRPr="0046724E">
        <w:t xml:space="preserve"> </w:t>
      </w:r>
      <w:r w:rsidR="00FC433B" w:rsidRPr="0046724E">
        <w:t>$</w:t>
      </w:r>
      <w:r w:rsidR="00742356">
        <w:rPr>
          <w:noProof/>
          <w:color w:val="000000"/>
          <w:highlight w:val="black"/>
        </w:rPr>
        <w:t>'''''''''''</w:t>
      </w:r>
    </w:p>
    <w:p w:rsidR="00A55FEE" w:rsidRPr="0046724E" w:rsidRDefault="002E534B" w:rsidP="009E06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6724E">
        <w:rPr>
          <w:rFonts w:asciiTheme="minorHAnsi" w:eastAsiaTheme="minorHAnsi" w:hAnsiTheme="minorHAnsi" w:cstheme="minorBidi"/>
          <w:snapToGrid/>
          <w:sz w:val="24"/>
          <w:szCs w:val="22"/>
        </w:rPr>
        <w:t xml:space="preserve">The estimated drug cost for </w:t>
      </w:r>
      <w:proofErr w:type="spellStart"/>
      <w:r w:rsidRPr="0046724E">
        <w:rPr>
          <w:rFonts w:asciiTheme="minorHAnsi" w:eastAsiaTheme="minorHAnsi" w:hAnsiTheme="minorHAnsi" w:cstheme="minorBidi"/>
          <w:snapToGrid/>
          <w:sz w:val="24"/>
          <w:szCs w:val="22"/>
        </w:rPr>
        <w:t>denosumab</w:t>
      </w:r>
      <w:proofErr w:type="spellEnd"/>
      <w:r w:rsidRPr="0046724E">
        <w:rPr>
          <w:rFonts w:asciiTheme="minorHAnsi" w:eastAsiaTheme="minorHAnsi" w:hAnsiTheme="minorHAnsi" w:cstheme="minorBidi"/>
          <w:snapToGrid/>
          <w:sz w:val="24"/>
          <w:szCs w:val="22"/>
        </w:rPr>
        <w:t xml:space="preserve"> 120 mg per patient per year was $</w:t>
      </w:r>
      <w:r w:rsidR="00742356">
        <w:rPr>
          <w:rFonts w:asciiTheme="minorHAnsi" w:eastAsiaTheme="minorHAnsi" w:hAnsiTheme="minorHAnsi" w:cstheme="minorBidi"/>
          <w:noProof/>
          <w:snapToGrid/>
          <w:color w:val="000000"/>
          <w:sz w:val="24"/>
          <w:szCs w:val="22"/>
          <w:highlight w:val="black"/>
        </w:rPr>
        <w:t>'''''''''''</w:t>
      </w:r>
      <w:r w:rsidRPr="0046724E">
        <w:rPr>
          <w:rFonts w:asciiTheme="minorHAnsi" w:eastAsiaTheme="minorHAnsi" w:hAnsiTheme="minorHAnsi" w:cstheme="minorBidi"/>
          <w:snapToGrid/>
          <w:sz w:val="24"/>
          <w:szCs w:val="22"/>
        </w:rPr>
        <w:t xml:space="preserve"> based on 9.5 scripts using the proposed DPMQ </w:t>
      </w:r>
      <w:r w:rsidR="0075771C" w:rsidRPr="0046724E">
        <w:rPr>
          <w:rFonts w:asciiTheme="minorHAnsi" w:eastAsiaTheme="minorHAnsi" w:hAnsiTheme="minorHAnsi" w:cstheme="minorBidi"/>
          <w:snapToGrid/>
          <w:sz w:val="24"/>
          <w:szCs w:val="22"/>
        </w:rPr>
        <w:t xml:space="preserve">for </w:t>
      </w:r>
      <w:r w:rsidR="009E067D" w:rsidRPr="0046724E">
        <w:rPr>
          <w:rFonts w:asciiTheme="minorHAnsi" w:eastAsiaTheme="minorHAnsi" w:hAnsiTheme="minorHAnsi" w:cstheme="minorBidi"/>
          <w:snapToGrid/>
          <w:sz w:val="24"/>
          <w:szCs w:val="22"/>
        </w:rPr>
        <w:t>multiple myeloma</w:t>
      </w:r>
      <w:r w:rsidR="0075771C" w:rsidRPr="0046724E">
        <w:rPr>
          <w:rFonts w:asciiTheme="minorHAnsi" w:eastAsiaTheme="minorHAnsi" w:hAnsiTheme="minorHAnsi" w:cstheme="minorBidi"/>
          <w:snapToGrid/>
          <w:sz w:val="24"/>
          <w:szCs w:val="22"/>
        </w:rPr>
        <w:t xml:space="preserve"> of </w:t>
      </w:r>
      <w:r w:rsidR="00FC433B" w:rsidRPr="0046724E">
        <w:rPr>
          <w:rFonts w:asciiTheme="minorHAnsi" w:hAnsiTheme="minorHAnsi"/>
          <w:color w:val="222222"/>
          <w:sz w:val="24"/>
          <w:szCs w:val="24"/>
        </w:rPr>
        <w:t>$</w:t>
      </w:r>
      <w:r w:rsidR="00742356">
        <w:rPr>
          <w:rFonts w:asciiTheme="minorHAnsi" w:hAnsiTheme="minorHAnsi"/>
          <w:noProof/>
          <w:color w:val="000000"/>
          <w:sz w:val="24"/>
          <w:szCs w:val="24"/>
          <w:highlight w:val="black"/>
        </w:rPr>
        <w:t>''''''''''''</w:t>
      </w:r>
      <w:r w:rsidRPr="0046724E">
        <w:rPr>
          <w:rFonts w:asciiTheme="minorHAnsi" w:hAnsiTheme="minorHAnsi"/>
          <w:color w:val="222222"/>
          <w:sz w:val="24"/>
          <w:szCs w:val="24"/>
        </w:rPr>
        <w:t>.</w:t>
      </w:r>
    </w:p>
    <w:p w:rsidR="005A3173" w:rsidRPr="0046724E" w:rsidRDefault="005A3173" w:rsidP="00E70616">
      <w:pPr>
        <w:pStyle w:val="Heading2"/>
      </w:pPr>
      <w:r w:rsidRPr="0046724E">
        <w:t>Estimated PBS usage &amp; financial implications</w:t>
      </w:r>
    </w:p>
    <w:p w:rsidR="003F7262" w:rsidRPr="0046724E" w:rsidRDefault="00427071" w:rsidP="00AC73BF">
      <w:pPr>
        <w:pStyle w:val="ListParagraph"/>
        <w:widowControl/>
        <w:numPr>
          <w:ilvl w:val="1"/>
          <w:numId w:val="14"/>
        </w:numPr>
        <w:spacing w:after="120"/>
        <w:contextualSpacing w:val="0"/>
        <w:rPr>
          <w:rFonts w:asciiTheme="minorHAnsi" w:eastAsia="Batang" w:hAnsiTheme="minorHAnsi"/>
          <w:sz w:val="24"/>
          <w:szCs w:val="24"/>
        </w:rPr>
      </w:pPr>
      <w:r w:rsidRPr="0046724E">
        <w:rPr>
          <w:rFonts w:asciiTheme="minorHAnsi" w:eastAsia="Batang" w:hAnsiTheme="minorHAnsi"/>
          <w:sz w:val="24"/>
          <w:szCs w:val="24"/>
        </w:rPr>
        <w:t xml:space="preserve">Table 1 presents the estimated total use and costs of </w:t>
      </w:r>
      <w:proofErr w:type="spellStart"/>
      <w:r w:rsidRPr="0046724E">
        <w:rPr>
          <w:rFonts w:asciiTheme="minorHAnsi" w:eastAsia="Batang" w:hAnsiTheme="minorHAnsi"/>
          <w:sz w:val="24"/>
          <w:szCs w:val="24"/>
        </w:rPr>
        <w:t>denosumab</w:t>
      </w:r>
      <w:proofErr w:type="spellEnd"/>
      <w:r w:rsidRPr="0046724E">
        <w:rPr>
          <w:rFonts w:asciiTheme="minorHAnsi" w:eastAsia="Batang" w:hAnsiTheme="minorHAnsi"/>
          <w:sz w:val="24"/>
          <w:szCs w:val="24"/>
        </w:rPr>
        <w:t xml:space="preserve"> in the first 6 years of listing. The c</w:t>
      </w:r>
      <w:r w:rsidR="003F7262" w:rsidRPr="0046724E">
        <w:rPr>
          <w:rFonts w:asciiTheme="minorHAnsi" w:eastAsia="Batang" w:hAnsiTheme="minorHAnsi"/>
          <w:sz w:val="24"/>
          <w:szCs w:val="24"/>
        </w:rPr>
        <w:t xml:space="preserve">hanges to </w:t>
      </w:r>
      <w:r w:rsidR="00292E2C" w:rsidRPr="0046724E">
        <w:rPr>
          <w:rFonts w:asciiTheme="minorHAnsi" w:eastAsia="Batang" w:hAnsiTheme="minorHAnsi"/>
          <w:sz w:val="24"/>
          <w:szCs w:val="24"/>
        </w:rPr>
        <w:t xml:space="preserve">financial estimates from the </w:t>
      </w:r>
      <w:r w:rsidR="003F7262" w:rsidRPr="0046724E">
        <w:rPr>
          <w:rFonts w:asciiTheme="minorHAnsi" w:eastAsia="Batang" w:hAnsiTheme="minorHAnsi"/>
          <w:sz w:val="24"/>
          <w:szCs w:val="24"/>
        </w:rPr>
        <w:t xml:space="preserve">July 2018 major </w:t>
      </w:r>
      <w:r w:rsidR="00292E2C" w:rsidRPr="0046724E">
        <w:rPr>
          <w:rFonts w:asciiTheme="minorHAnsi" w:eastAsia="Batang" w:hAnsiTheme="minorHAnsi"/>
          <w:sz w:val="24"/>
          <w:szCs w:val="24"/>
        </w:rPr>
        <w:t>submission we</w:t>
      </w:r>
      <w:r w:rsidR="003F7262" w:rsidRPr="0046724E">
        <w:rPr>
          <w:rFonts w:asciiTheme="minorHAnsi" w:eastAsia="Batang" w:hAnsiTheme="minorHAnsi"/>
          <w:sz w:val="24"/>
          <w:szCs w:val="24"/>
        </w:rPr>
        <w:t>re:</w:t>
      </w:r>
    </w:p>
    <w:p w:rsidR="003F7262" w:rsidRPr="0046724E" w:rsidRDefault="00B55A73" w:rsidP="00AC73BF">
      <w:pPr>
        <w:pStyle w:val="ListParagraph"/>
        <w:widowControl/>
        <w:numPr>
          <w:ilvl w:val="0"/>
          <w:numId w:val="22"/>
        </w:numPr>
        <w:spacing w:after="120" w:line="276" w:lineRule="auto"/>
        <w:contextualSpacing w:val="0"/>
        <w:rPr>
          <w:rFonts w:asciiTheme="minorHAnsi" w:eastAsia="Batang" w:hAnsiTheme="minorHAnsi"/>
          <w:sz w:val="24"/>
          <w:szCs w:val="24"/>
        </w:rPr>
      </w:pPr>
      <w:r w:rsidRPr="0046724E">
        <w:rPr>
          <w:rFonts w:asciiTheme="minorHAnsi" w:hAnsiTheme="minorHAnsi"/>
          <w:color w:val="222222"/>
          <w:sz w:val="24"/>
          <w:szCs w:val="24"/>
        </w:rPr>
        <w:t>The assumption that a</w:t>
      </w:r>
      <w:r w:rsidR="003F7262" w:rsidRPr="0046724E">
        <w:rPr>
          <w:rFonts w:asciiTheme="minorHAnsi" w:hAnsiTheme="minorHAnsi"/>
          <w:color w:val="222222"/>
          <w:sz w:val="24"/>
          <w:szCs w:val="24"/>
        </w:rPr>
        <w:t xml:space="preserve">ll potentially eligible </w:t>
      </w:r>
      <w:r w:rsidR="009E067D" w:rsidRPr="0046724E">
        <w:rPr>
          <w:rFonts w:asciiTheme="minorHAnsi" w:hAnsiTheme="minorHAnsi"/>
          <w:color w:val="222222"/>
          <w:sz w:val="24"/>
          <w:szCs w:val="24"/>
        </w:rPr>
        <w:t>multiple myeloma</w:t>
      </w:r>
      <w:r w:rsidR="003F7262" w:rsidRPr="0046724E">
        <w:rPr>
          <w:rFonts w:asciiTheme="minorHAnsi" w:hAnsiTheme="minorHAnsi"/>
          <w:color w:val="222222"/>
          <w:sz w:val="24"/>
          <w:szCs w:val="24"/>
        </w:rPr>
        <w:t xml:space="preserve"> patients are receiving bisphosphonates currently. This assumes that </w:t>
      </w:r>
      <w:proofErr w:type="spellStart"/>
      <w:r w:rsidR="003F7262" w:rsidRPr="0046724E">
        <w:rPr>
          <w:rFonts w:asciiTheme="minorHAnsi" w:hAnsiTheme="minorHAnsi"/>
          <w:color w:val="222222"/>
          <w:sz w:val="24"/>
          <w:szCs w:val="24"/>
        </w:rPr>
        <w:t>pamidronate</w:t>
      </w:r>
      <w:proofErr w:type="spellEnd"/>
      <w:r w:rsidR="003F7262" w:rsidRPr="0046724E">
        <w:rPr>
          <w:rFonts w:asciiTheme="minorHAnsi" w:hAnsiTheme="minorHAnsi"/>
          <w:color w:val="222222"/>
          <w:sz w:val="24"/>
          <w:szCs w:val="24"/>
        </w:rPr>
        <w:t xml:space="preserve"> and </w:t>
      </w:r>
      <w:proofErr w:type="spellStart"/>
      <w:r w:rsidR="003F7262" w:rsidRPr="0046724E">
        <w:rPr>
          <w:rFonts w:asciiTheme="minorHAnsi" w:hAnsiTheme="minorHAnsi"/>
          <w:color w:val="222222"/>
          <w:sz w:val="24"/>
          <w:szCs w:val="24"/>
        </w:rPr>
        <w:t>clodronate</w:t>
      </w:r>
      <w:proofErr w:type="spellEnd"/>
      <w:r w:rsidR="003F7262" w:rsidRPr="0046724E">
        <w:rPr>
          <w:rFonts w:asciiTheme="minorHAnsi" w:hAnsiTheme="minorHAnsi"/>
          <w:color w:val="222222"/>
          <w:sz w:val="24"/>
          <w:szCs w:val="24"/>
        </w:rPr>
        <w:t xml:space="preserve"> </w:t>
      </w:r>
      <w:proofErr w:type="gramStart"/>
      <w:r w:rsidR="003F7262" w:rsidRPr="0046724E">
        <w:rPr>
          <w:rFonts w:asciiTheme="minorHAnsi" w:hAnsiTheme="minorHAnsi"/>
          <w:color w:val="222222"/>
          <w:sz w:val="24"/>
          <w:szCs w:val="24"/>
        </w:rPr>
        <w:t xml:space="preserve">may </w:t>
      </w:r>
      <w:r w:rsidR="0075771C" w:rsidRPr="0046724E">
        <w:rPr>
          <w:rFonts w:asciiTheme="minorHAnsi" w:hAnsiTheme="minorHAnsi"/>
          <w:color w:val="222222"/>
          <w:sz w:val="24"/>
          <w:szCs w:val="24"/>
        </w:rPr>
        <w:t>be used</w:t>
      </w:r>
      <w:proofErr w:type="gramEnd"/>
      <w:r w:rsidR="0075771C" w:rsidRPr="0046724E">
        <w:rPr>
          <w:rFonts w:asciiTheme="minorHAnsi" w:hAnsiTheme="minorHAnsi"/>
          <w:color w:val="222222"/>
          <w:sz w:val="24"/>
          <w:szCs w:val="24"/>
        </w:rPr>
        <w:t xml:space="preserve"> for</w:t>
      </w:r>
      <w:r w:rsidR="003F7262" w:rsidRPr="0046724E">
        <w:rPr>
          <w:rFonts w:asciiTheme="minorHAnsi" w:hAnsiTheme="minorHAnsi"/>
          <w:color w:val="222222"/>
          <w:sz w:val="24"/>
          <w:szCs w:val="24"/>
        </w:rPr>
        <w:t xml:space="preserve"> patients with </w:t>
      </w:r>
      <w:proofErr w:type="spellStart"/>
      <w:r w:rsidR="003F7262" w:rsidRPr="0046724E">
        <w:rPr>
          <w:rFonts w:asciiTheme="minorHAnsi" w:hAnsiTheme="minorHAnsi"/>
          <w:color w:val="222222"/>
          <w:sz w:val="24"/>
          <w:szCs w:val="24"/>
        </w:rPr>
        <w:t>CrCl</w:t>
      </w:r>
      <w:proofErr w:type="spellEnd"/>
      <w:r w:rsidR="003F7262" w:rsidRPr="0046724E">
        <w:rPr>
          <w:rFonts w:asciiTheme="minorHAnsi" w:hAnsiTheme="minorHAnsi"/>
          <w:color w:val="222222"/>
          <w:sz w:val="24"/>
          <w:szCs w:val="24"/>
        </w:rPr>
        <w:t xml:space="preserve"> &lt; 30mL/min. </w:t>
      </w:r>
      <w:r w:rsidR="003F7262" w:rsidRPr="0046724E">
        <w:rPr>
          <w:rFonts w:asciiTheme="minorHAnsi" w:hAnsiTheme="minorHAnsi"/>
          <w:iCs/>
          <w:color w:val="222222"/>
          <w:sz w:val="24"/>
          <w:szCs w:val="24"/>
        </w:rPr>
        <w:t xml:space="preserve"> </w:t>
      </w:r>
      <w:r w:rsidR="0075771C" w:rsidRPr="0046724E">
        <w:rPr>
          <w:rFonts w:asciiTheme="minorHAnsi" w:hAnsiTheme="minorHAnsi"/>
          <w:iCs/>
          <w:color w:val="222222"/>
          <w:sz w:val="24"/>
          <w:szCs w:val="24"/>
        </w:rPr>
        <w:t xml:space="preserve">In </w:t>
      </w:r>
      <w:r w:rsidR="009E067D" w:rsidRPr="0046724E">
        <w:rPr>
          <w:rFonts w:asciiTheme="minorHAnsi" w:hAnsiTheme="minorHAnsi"/>
          <w:iCs/>
          <w:color w:val="222222"/>
          <w:sz w:val="24"/>
          <w:szCs w:val="24"/>
        </w:rPr>
        <w:t xml:space="preserve">the </w:t>
      </w:r>
      <w:r w:rsidR="0075771C" w:rsidRPr="0046724E">
        <w:rPr>
          <w:rFonts w:asciiTheme="minorHAnsi" w:hAnsiTheme="minorHAnsi"/>
          <w:iCs/>
          <w:color w:val="222222"/>
          <w:sz w:val="24"/>
          <w:szCs w:val="24"/>
        </w:rPr>
        <w:t>July 2018</w:t>
      </w:r>
      <w:r w:rsidR="009E067D" w:rsidRPr="0046724E">
        <w:rPr>
          <w:rFonts w:asciiTheme="minorHAnsi" w:hAnsiTheme="minorHAnsi"/>
          <w:iCs/>
          <w:color w:val="222222"/>
          <w:sz w:val="24"/>
          <w:szCs w:val="24"/>
        </w:rPr>
        <w:t xml:space="preserve"> submission,</w:t>
      </w:r>
      <w:r w:rsidR="0075771C" w:rsidRPr="0046724E">
        <w:rPr>
          <w:rFonts w:asciiTheme="minorHAnsi" w:hAnsiTheme="minorHAnsi"/>
          <w:iCs/>
          <w:color w:val="222222"/>
          <w:sz w:val="24"/>
          <w:szCs w:val="24"/>
        </w:rPr>
        <w:t xml:space="preserve"> an additional </w:t>
      </w:r>
      <w:r w:rsidR="00ED3002">
        <w:rPr>
          <w:rFonts w:asciiTheme="minorHAnsi" w:hAnsiTheme="minorHAnsi"/>
          <w:iCs/>
          <w:color w:val="222222"/>
          <w:sz w:val="24"/>
          <w:szCs w:val="24"/>
        </w:rPr>
        <w:t>less than 10,000</w:t>
      </w:r>
      <w:r w:rsidR="00ED3002" w:rsidRPr="0046724E">
        <w:rPr>
          <w:rFonts w:asciiTheme="minorHAnsi" w:hAnsiTheme="minorHAnsi"/>
          <w:iCs/>
          <w:color w:val="222222"/>
          <w:sz w:val="24"/>
          <w:szCs w:val="24"/>
        </w:rPr>
        <w:t xml:space="preserve"> </w:t>
      </w:r>
      <w:r w:rsidR="0075771C" w:rsidRPr="0046724E">
        <w:rPr>
          <w:rFonts w:asciiTheme="minorHAnsi" w:hAnsiTheme="minorHAnsi"/>
          <w:iCs/>
          <w:color w:val="222222"/>
          <w:sz w:val="24"/>
          <w:szCs w:val="24"/>
        </w:rPr>
        <w:t xml:space="preserve">patients </w:t>
      </w:r>
      <w:proofErr w:type="gramStart"/>
      <w:r w:rsidR="0075771C" w:rsidRPr="0046724E">
        <w:rPr>
          <w:rFonts w:asciiTheme="minorHAnsi" w:hAnsiTheme="minorHAnsi"/>
          <w:iCs/>
          <w:color w:val="222222"/>
          <w:sz w:val="24"/>
          <w:szCs w:val="24"/>
        </w:rPr>
        <w:t>were considered</w:t>
      </w:r>
      <w:proofErr w:type="gramEnd"/>
      <w:r w:rsidR="0075771C" w:rsidRPr="0046724E">
        <w:rPr>
          <w:rFonts w:asciiTheme="minorHAnsi" w:hAnsiTheme="minorHAnsi"/>
          <w:iCs/>
          <w:color w:val="222222"/>
          <w:sz w:val="24"/>
          <w:szCs w:val="24"/>
        </w:rPr>
        <w:t xml:space="preserve"> unsuitable for bisphosphonates in year 1 and 100% uptake with </w:t>
      </w:r>
      <w:proofErr w:type="spellStart"/>
      <w:r w:rsidR="0075771C" w:rsidRPr="0046724E">
        <w:rPr>
          <w:rFonts w:asciiTheme="minorHAnsi" w:hAnsiTheme="minorHAnsi"/>
          <w:iCs/>
          <w:color w:val="222222"/>
          <w:sz w:val="24"/>
          <w:szCs w:val="24"/>
        </w:rPr>
        <w:t>denosumab</w:t>
      </w:r>
      <w:proofErr w:type="spellEnd"/>
      <w:r w:rsidR="0075771C" w:rsidRPr="0046724E">
        <w:rPr>
          <w:rFonts w:asciiTheme="minorHAnsi" w:hAnsiTheme="minorHAnsi"/>
          <w:iCs/>
          <w:color w:val="222222"/>
          <w:sz w:val="24"/>
          <w:szCs w:val="24"/>
        </w:rPr>
        <w:t xml:space="preserve"> was assumed.</w:t>
      </w:r>
    </w:p>
    <w:p w:rsidR="003F7262" w:rsidRPr="0046724E" w:rsidRDefault="003F7262" w:rsidP="00AC73BF">
      <w:pPr>
        <w:pStyle w:val="ListParagraph"/>
        <w:widowControl/>
        <w:numPr>
          <w:ilvl w:val="0"/>
          <w:numId w:val="22"/>
        </w:numPr>
        <w:spacing w:after="120" w:line="276" w:lineRule="auto"/>
        <w:contextualSpacing w:val="0"/>
        <w:rPr>
          <w:rFonts w:asciiTheme="minorHAnsi" w:eastAsia="Batang" w:hAnsiTheme="minorHAnsi"/>
          <w:sz w:val="24"/>
          <w:szCs w:val="24"/>
        </w:rPr>
      </w:pPr>
      <w:r w:rsidRPr="0046724E">
        <w:rPr>
          <w:rFonts w:asciiTheme="minorHAnsi" w:hAnsiTheme="minorHAnsi"/>
          <w:color w:val="222222"/>
          <w:sz w:val="24"/>
          <w:szCs w:val="24"/>
        </w:rPr>
        <w:lastRenderedPageBreak/>
        <w:t xml:space="preserve">An increase in the average script number for </w:t>
      </w:r>
      <w:proofErr w:type="spellStart"/>
      <w:r w:rsidRPr="0046724E">
        <w:rPr>
          <w:rFonts w:asciiTheme="minorHAnsi" w:hAnsiTheme="minorHAnsi"/>
          <w:color w:val="222222"/>
          <w:sz w:val="24"/>
          <w:szCs w:val="24"/>
        </w:rPr>
        <w:t>denosumab</w:t>
      </w:r>
      <w:proofErr w:type="spellEnd"/>
      <w:r w:rsidRPr="0046724E">
        <w:rPr>
          <w:rFonts w:asciiTheme="minorHAnsi" w:hAnsiTheme="minorHAnsi"/>
          <w:color w:val="222222"/>
          <w:sz w:val="24"/>
          <w:szCs w:val="24"/>
        </w:rPr>
        <w:t xml:space="preserve"> from </w:t>
      </w:r>
      <w:r w:rsidRPr="00926CF8">
        <w:rPr>
          <w:rFonts w:asciiTheme="minorHAnsi" w:hAnsiTheme="minorHAnsi"/>
          <w:color w:val="222222"/>
          <w:sz w:val="24"/>
          <w:szCs w:val="24"/>
        </w:rPr>
        <w:t>7.5</w:t>
      </w:r>
      <w:r w:rsidRPr="0046724E">
        <w:rPr>
          <w:rFonts w:asciiTheme="minorHAnsi" w:hAnsiTheme="minorHAnsi"/>
          <w:color w:val="222222"/>
          <w:sz w:val="24"/>
          <w:szCs w:val="24"/>
        </w:rPr>
        <w:t xml:space="preserve"> to 9.5 to reflect the </w:t>
      </w:r>
      <w:r w:rsidRPr="0046724E">
        <w:rPr>
          <w:rFonts w:asciiTheme="minorHAnsi" w:eastAsia="Batang" w:hAnsiTheme="minorHAnsi"/>
          <w:sz w:val="24"/>
          <w:szCs w:val="24"/>
        </w:rPr>
        <w:t>view</w:t>
      </w:r>
      <w:r w:rsidRPr="0046724E">
        <w:rPr>
          <w:rFonts w:asciiTheme="minorHAnsi" w:hAnsiTheme="minorHAnsi"/>
          <w:color w:val="222222"/>
          <w:sz w:val="24"/>
          <w:szCs w:val="24"/>
        </w:rPr>
        <w:t xml:space="preserve"> that compliance will be higher in the </w:t>
      </w:r>
      <w:r w:rsidR="009E067D" w:rsidRPr="0046724E">
        <w:rPr>
          <w:rFonts w:asciiTheme="minorHAnsi" w:hAnsiTheme="minorHAnsi"/>
          <w:color w:val="222222"/>
          <w:sz w:val="24"/>
          <w:szCs w:val="24"/>
        </w:rPr>
        <w:t>multiple myeloma</w:t>
      </w:r>
      <w:r w:rsidRPr="0046724E">
        <w:rPr>
          <w:rFonts w:asciiTheme="minorHAnsi" w:hAnsiTheme="minorHAnsi"/>
          <w:color w:val="222222"/>
          <w:sz w:val="24"/>
          <w:szCs w:val="24"/>
        </w:rPr>
        <w:t xml:space="preserve"> population. In the July 2018 PBAC minutes it was suggested that compliance would not be as low as </w:t>
      </w:r>
      <w:proofErr w:type="gramStart"/>
      <w:r w:rsidR="00742356">
        <w:rPr>
          <w:rFonts w:asciiTheme="minorHAnsi" w:hAnsiTheme="minorHAnsi"/>
          <w:noProof/>
          <w:color w:val="000000"/>
          <w:sz w:val="24"/>
          <w:szCs w:val="24"/>
          <w:highlight w:val="black"/>
        </w:rPr>
        <w:t>'''''''''</w:t>
      </w:r>
      <w:r w:rsidRPr="0046724E">
        <w:rPr>
          <w:rFonts w:asciiTheme="minorHAnsi" w:hAnsiTheme="minorHAnsi"/>
          <w:color w:val="222222"/>
          <w:sz w:val="24"/>
          <w:szCs w:val="24"/>
        </w:rPr>
        <w:t>%</w:t>
      </w:r>
      <w:proofErr w:type="gramEnd"/>
      <w:r w:rsidRPr="0046724E">
        <w:rPr>
          <w:rFonts w:asciiTheme="minorHAnsi" w:hAnsiTheme="minorHAnsi"/>
          <w:color w:val="222222"/>
          <w:sz w:val="24"/>
          <w:szCs w:val="24"/>
        </w:rPr>
        <w:t xml:space="preserve"> </w:t>
      </w:r>
      <w:r w:rsidR="00292E2C" w:rsidRPr="0046724E">
        <w:rPr>
          <w:rFonts w:asciiTheme="minorHAnsi" w:hAnsiTheme="minorHAnsi"/>
          <w:color w:val="222222"/>
          <w:sz w:val="24"/>
          <w:szCs w:val="24"/>
        </w:rPr>
        <w:t xml:space="preserve">(which was based on the 10% Medicare sample) because </w:t>
      </w:r>
      <w:r w:rsidRPr="0046724E">
        <w:rPr>
          <w:rFonts w:asciiTheme="minorHAnsi" w:hAnsiTheme="minorHAnsi"/>
          <w:color w:val="222222"/>
          <w:sz w:val="24"/>
          <w:szCs w:val="24"/>
        </w:rPr>
        <w:t>in this indication therapy for skeletal-related events is given concomitantly with anti-myeloma therapy or timed with a review for patients on oral therapy</w:t>
      </w:r>
      <w:r w:rsidR="00292E2C" w:rsidRPr="0046724E">
        <w:rPr>
          <w:rFonts w:asciiTheme="minorHAnsi" w:hAnsiTheme="minorHAnsi"/>
          <w:color w:val="222222"/>
          <w:sz w:val="24"/>
          <w:szCs w:val="24"/>
        </w:rPr>
        <w:t xml:space="preserve"> (paragraph 6.42)</w:t>
      </w:r>
      <w:r w:rsidRPr="0046724E">
        <w:rPr>
          <w:rFonts w:asciiTheme="minorHAnsi" w:hAnsiTheme="minorHAnsi"/>
          <w:color w:val="222222"/>
          <w:sz w:val="24"/>
          <w:szCs w:val="24"/>
        </w:rPr>
        <w:t>.</w:t>
      </w:r>
    </w:p>
    <w:p w:rsidR="0075771C" w:rsidRPr="0046724E" w:rsidRDefault="001216A7" w:rsidP="00AC73BF">
      <w:pPr>
        <w:pStyle w:val="ListParagraph"/>
        <w:widowControl/>
        <w:numPr>
          <w:ilvl w:val="0"/>
          <w:numId w:val="22"/>
        </w:numPr>
        <w:spacing w:after="120" w:line="276" w:lineRule="auto"/>
        <w:contextualSpacing w:val="0"/>
        <w:rPr>
          <w:rFonts w:asciiTheme="minorHAnsi" w:eastAsia="Batang" w:hAnsiTheme="minorHAnsi"/>
          <w:sz w:val="24"/>
          <w:szCs w:val="24"/>
        </w:rPr>
      </w:pPr>
      <w:r w:rsidRPr="0046724E">
        <w:rPr>
          <w:rFonts w:asciiTheme="minorHAnsi" w:hAnsiTheme="minorHAnsi"/>
          <w:color w:val="222222"/>
          <w:sz w:val="24"/>
          <w:szCs w:val="24"/>
        </w:rPr>
        <w:t xml:space="preserve">Uptake of </w:t>
      </w:r>
      <w:proofErr w:type="spellStart"/>
      <w:r w:rsidRPr="0046724E">
        <w:rPr>
          <w:rFonts w:asciiTheme="minorHAnsi" w:hAnsiTheme="minorHAnsi"/>
          <w:color w:val="222222"/>
          <w:sz w:val="24"/>
          <w:szCs w:val="24"/>
        </w:rPr>
        <w:t>den</w:t>
      </w:r>
      <w:r w:rsidR="0075771C" w:rsidRPr="0046724E">
        <w:rPr>
          <w:rFonts w:asciiTheme="minorHAnsi" w:hAnsiTheme="minorHAnsi"/>
          <w:color w:val="222222"/>
          <w:sz w:val="24"/>
          <w:szCs w:val="24"/>
        </w:rPr>
        <w:t>o</w:t>
      </w:r>
      <w:r w:rsidRPr="0046724E">
        <w:rPr>
          <w:rFonts w:asciiTheme="minorHAnsi" w:hAnsiTheme="minorHAnsi"/>
          <w:color w:val="222222"/>
          <w:sz w:val="24"/>
          <w:szCs w:val="24"/>
        </w:rPr>
        <w:t>s</w:t>
      </w:r>
      <w:r w:rsidR="0075771C" w:rsidRPr="0046724E">
        <w:rPr>
          <w:rFonts w:asciiTheme="minorHAnsi" w:hAnsiTheme="minorHAnsi"/>
          <w:color w:val="222222"/>
          <w:sz w:val="24"/>
          <w:szCs w:val="24"/>
        </w:rPr>
        <w:t>umab</w:t>
      </w:r>
      <w:proofErr w:type="spellEnd"/>
      <w:r w:rsidR="0075771C" w:rsidRPr="0046724E">
        <w:rPr>
          <w:rFonts w:asciiTheme="minorHAnsi" w:hAnsiTheme="minorHAnsi"/>
          <w:color w:val="222222"/>
          <w:sz w:val="24"/>
          <w:szCs w:val="24"/>
        </w:rPr>
        <w:t xml:space="preserve"> in year 1 has increased from </w:t>
      </w:r>
      <w:r w:rsidR="00742356">
        <w:rPr>
          <w:rFonts w:asciiTheme="minorHAnsi" w:hAnsiTheme="minorHAnsi"/>
          <w:noProof/>
          <w:color w:val="000000"/>
          <w:sz w:val="24"/>
          <w:szCs w:val="24"/>
          <w:highlight w:val="black"/>
        </w:rPr>
        <w:t>''''''</w:t>
      </w:r>
      <w:r w:rsidR="0075771C" w:rsidRPr="0046724E">
        <w:rPr>
          <w:rFonts w:asciiTheme="minorHAnsi" w:hAnsiTheme="minorHAnsi"/>
          <w:color w:val="222222"/>
          <w:sz w:val="24"/>
          <w:szCs w:val="24"/>
        </w:rPr>
        <w:t xml:space="preserve">% to </w:t>
      </w:r>
      <w:r w:rsidR="00742356">
        <w:rPr>
          <w:rFonts w:asciiTheme="minorHAnsi" w:hAnsiTheme="minorHAnsi"/>
          <w:noProof/>
          <w:color w:val="000000"/>
          <w:sz w:val="24"/>
          <w:szCs w:val="24"/>
          <w:highlight w:val="black"/>
        </w:rPr>
        <w:t>'''''</w:t>
      </w:r>
      <w:r w:rsidR="0075771C" w:rsidRPr="0046724E">
        <w:rPr>
          <w:rFonts w:asciiTheme="minorHAnsi" w:hAnsiTheme="minorHAnsi"/>
          <w:color w:val="222222"/>
          <w:sz w:val="24"/>
          <w:szCs w:val="24"/>
        </w:rPr>
        <w:t xml:space="preserve">%. The uptake in the years 2–6 remain the same as in July 2018, from </w:t>
      </w:r>
      <w:r w:rsidR="00742356">
        <w:rPr>
          <w:rFonts w:asciiTheme="minorHAnsi" w:hAnsiTheme="minorHAnsi"/>
          <w:noProof/>
          <w:color w:val="000000"/>
          <w:sz w:val="24"/>
          <w:szCs w:val="24"/>
          <w:highlight w:val="black"/>
        </w:rPr>
        <w:t>'''''</w:t>
      </w:r>
      <w:r w:rsidR="0075771C" w:rsidRPr="0046724E">
        <w:rPr>
          <w:rFonts w:asciiTheme="minorHAnsi" w:hAnsiTheme="minorHAnsi"/>
          <w:color w:val="222222"/>
          <w:sz w:val="24"/>
          <w:szCs w:val="24"/>
        </w:rPr>
        <w:t>%–</w:t>
      </w:r>
      <w:proofErr w:type="gramStart"/>
      <w:r w:rsidR="00742356">
        <w:rPr>
          <w:rFonts w:asciiTheme="minorHAnsi" w:hAnsiTheme="minorHAnsi"/>
          <w:noProof/>
          <w:color w:val="000000"/>
          <w:sz w:val="24"/>
          <w:szCs w:val="24"/>
          <w:highlight w:val="black"/>
        </w:rPr>
        <w:t>''''''</w:t>
      </w:r>
      <w:r w:rsidR="0075771C" w:rsidRPr="0046724E">
        <w:rPr>
          <w:rFonts w:asciiTheme="minorHAnsi" w:hAnsiTheme="minorHAnsi"/>
          <w:color w:val="222222"/>
          <w:sz w:val="24"/>
          <w:szCs w:val="24"/>
        </w:rPr>
        <w:t>%</w:t>
      </w:r>
      <w:proofErr w:type="gramEnd"/>
      <w:r w:rsidR="0075771C" w:rsidRPr="0046724E">
        <w:rPr>
          <w:rFonts w:asciiTheme="minorHAnsi" w:hAnsiTheme="minorHAnsi"/>
          <w:color w:val="222222"/>
          <w:sz w:val="24"/>
          <w:szCs w:val="24"/>
        </w:rPr>
        <w:t>.</w:t>
      </w:r>
    </w:p>
    <w:p w:rsidR="00292E2C" w:rsidRPr="0046724E" w:rsidRDefault="003F7262" w:rsidP="00AC73BF">
      <w:pPr>
        <w:pStyle w:val="ListParagraph"/>
        <w:widowControl/>
        <w:numPr>
          <w:ilvl w:val="0"/>
          <w:numId w:val="22"/>
        </w:numPr>
        <w:spacing w:after="120" w:line="276" w:lineRule="auto"/>
        <w:contextualSpacing w:val="0"/>
        <w:rPr>
          <w:rFonts w:asciiTheme="minorHAnsi" w:eastAsia="Batang" w:hAnsiTheme="minorHAnsi"/>
          <w:sz w:val="24"/>
          <w:szCs w:val="24"/>
        </w:rPr>
      </w:pPr>
      <w:r w:rsidRPr="0046724E">
        <w:rPr>
          <w:rFonts w:asciiTheme="minorHAnsi" w:eastAsia="Batang" w:hAnsiTheme="minorHAnsi"/>
          <w:sz w:val="24"/>
          <w:szCs w:val="24"/>
        </w:rPr>
        <w:t>A red</w:t>
      </w:r>
      <w:r w:rsidR="00D7437A">
        <w:rPr>
          <w:rFonts w:asciiTheme="minorHAnsi" w:eastAsia="Batang" w:hAnsiTheme="minorHAnsi"/>
          <w:sz w:val="24"/>
          <w:szCs w:val="24"/>
        </w:rPr>
        <w:t xml:space="preserve">uction in the </w:t>
      </w:r>
      <w:proofErr w:type="spellStart"/>
      <w:r w:rsidR="00D7437A">
        <w:rPr>
          <w:rFonts w:asciiTheme="minorHAnsi" w:eastAsia="Batang" w:hAnsiTheme="minorHAnsi"/>
          <w:sz w:val="24"/>
          <w:szCs w:val="24"/>
        </w:rPr>
        <w:t>denosumab</w:t>
      </w:r>
      <w:proofErr w:type="spellEnd"/>
      <w:r w:rsidR="00D7437A">
        <w:rPr>
          <w:rFonts w:asciiTheme="minorHAnsi" w:eastAsia="Batang" w:hAnsiTheme="minorHAnsi"/>
          <w:sz w:val="24"/>
          <w:szCs w:val="24"/>
        </w:rPr>
        <w:t xml:space="preserve"> price.</w:t>
      </w:r>
    </w:p>
    <w:p w:rsidR="003F7262" w:rsidRPr="0046724E" w:rsidRDefault="003F7262" w:rsidP="00AC73BF">
      <w:pPr>
        <w:pStyle w:val="ListParagraph"/>
        <w:widowControl/>
        <w:numPr>
          <w:ilvl w:val="0"/>
          <w:numId w:val="22"/>
        </w:numPr>
        <w:spacing w:after="120" w:line="276" w:lineRule="auto"/>
        <w:contextualSpacing w:val="0"/>
        <w:rPr>
          <w:rFonts w:asciiTheme="minorHAnsi" w:eastAsia="Batang" w:hAnsiTheme="minorHAnsi"/>
          <w:sz w:val="24"/>
          <w:szCs w:val="24"/>
        </w:rPr>
      </w:pPr>
      <w:r w:rsidRPr="0046724E">
        <w:rPr>
          <w:rFonts w:asciiTheme="minorHAnsi" w:eastAsia="Batang" w:hAnsiTheme="minorHAnsi"/>
          <w:sz w:val="24"/>
          <w:szCs w:val="24"/>
        </w:rPr>
        <w:t xml:space="preserve">Associated cost offsets from the reduction in price for existing </w:t>
      </w:r>
      <w:proofErr w:type="spellStart"/>
      <w:r w:rsidRPr="0046724E">
        <w:rPr>
          <w:rFonts w:asciiTheme="minorHAnsi" w:eastAsia="Batang" w:hAnsiTheme="minorHAnsi"/>
          <w:sz w:val="24"/>
          <w:szCs w:val="24"/>
        </w:rPr>
        <w:t>denosumab</w:t>
      </w:r>
      <w:proofErr w:type="spellEnd"/>
      <w:r w:rsidRPr="0046724E">
        <w:rPr>
          <w:rFonts w:asciiTheme="minorHAnsi" w:eastAsia="Batang" w:hAnsiTheme="minorHAnsi"/>
          <w:sz w:val="24"/>
          <w:szCs w:val="24"/>
        </w:rPr>
        <w:t xml:space="preserve"> 120</w:t>
      </w:r>
      <w:r w:rsidR="00D73874">
        <w:rPr>
          <w:rFonts w:asciiTheme="minorHAnsi" w:eastAsia="Batang" w:hAnsiTheme="minorHAnsi"/>
          <w:sz w:val="24"/>
          <w:szCs w:val="24"/>
        </w:rPr>
        <w:t xml:space="preserve"> </w:t>
      </w:r>
      <w:r w:rsidRPr="0046724E">
        <w:rPr>
          <w:rFonts w:asciiTheme="minorHAnsi" w:eastAsia="Batang" w:hAnsiTheme="minorHAnsi"/>
          <w:sz w:val="24"/>
          <w:szCs w:val="24"/>
        </w:rPr>
        <w:t xml:space="preserve">mg indications </w:t>
      </w:r>
      <w:r w:rsidR="00B55A73" w:rsidRPr="0046724E">
        <w:rPr>
          <w:rFonts w:asciiTheme="minorHAnsi" w:eastAsia="Batang" w:hAnsiTheme="minorHAnsi"/>
          <w:sz w:val="24"/>
          <w:szCs w:val="24"/>
        </w:rPr>
        <w:t>were included</w:t>
      </w:r>
      <w:r w:rsidRPr="0046724E">
        <w:rPr>
          <w:rFonts w:asciiTheme="minorHAnsi" w:eastAsia="Batang" w:hAnsiTheme="minorHAnsi"/>
          <w:sz w:val="24"/>
          <w:szCs w:val="24"/>
        </w:rPr>
        <w:t xml:space="preserve">. The 10% April 2021 statutory price reduction is not included in the base case but is included in a separate analysis (Table </w:t>
      </w:r>
      <w:r w:rsidR="00427071" w:rsidRPr="0046724E">
        <w:rPr>
          <w:rFonts w:asciiTheme="minorHAnsi" w:eastAsia="Batang" w:hAnsiTheme="minorHAnsi"/>
          <w:sz w:val="24"/>
          <w:szCs w:val="24"/>
        </w:rPr>
        <w:t>2</w:t>
      </w:r>
      <w:r w:rsidRPr="0046724E">
        <w:rPr>
          <w:rFonts w:asciiTheme="minorHAnsi" w:eastAsia="Batang" w:hAnsiTheme="minorHAnsi"/>
          <w:sz w:val="24"/>
          <w:szCs w:val="24"/>
        </w:rPr>
        <w:t>).</w:t>
      </w:r>
    </w:p>
    <w:p w:rsidR="003F7262" w:rsidRPr="0046724E" w:rsidRDefault="003F7262" w:rsidP="00AC73BF">
      <w:pPr>
        <w:pStyle w:val="ListParagraph"/>
        <w:widowControl/>
        <w:numPr>
          <w:ilvl w:val="0"/>
          <w:numId w:val="22"/>
        </w:numPr>
        <w:spacing w:after="120" w:line="276" w:lineRule="auto"/>
        <w:contextualSpacing w:val="0"/>
        <w:rPr>
          <w:rFonts w:asciiTheme="minorHAnsi" w:eastAsia="Batang" w:hAnsiTheme="minorHAnsi"/>
          <w:sz w:val="24"/>
          <w:szCs w:val="24"/>
        </w:rPr>
      </w:pPr>
      <w:r w:rsidRPr="0046724E">
        <w:rPr>
          <w:rFonts w:asciiTheme="minorHAnsi" w:eastAsia="Batang" w:hAnsiTheme="minorHAnsi"/>
          <w:sz w:val="24"/>
          <w:szCs w:val="24"/>
        </w:rPr>
        <w:t xml:space="preserve">Updated </w:t>
      </w:r>
      <w:r w:rsidR="00292E2C" w:rsidRPr="0046724E">
        <w:rPr>
          <w:rFonts w:asciiTheme="minorHAnsi" w:eastAsia="Batang" w:hAnsiTheme="minorHAnsi"/>
          <w:sz w:val="24"/>
          <w:szCs w:val="24"/>
        </w:rPr>
        <w:t>bisphosphonate</w:t>
      </w:r>
      <w:r w:rsidRPr="0046724E">
        <w:rPr>
          <w:rFonts w:asciiTheme="minorHAnsi" w:eastAsia="Batang" w:hAnsiTheme="minorHAnsi"/>
          <w:sz w:val="24"/>
          <w:szCs w:val="24"/>
        </w:rPr>
        <w:t xml:space="preserve"> substitution</w:t>
      </w:r>
      <w:r w:rsidRPr="0046724E">
        <w:rPr>
          <w:rFonts w:asciiTheme="minorHAnsi" w:hAnsiTheme="minorHAnsi"/>
          <w:color w:val="222222"/>
          <w:sz w:val="24"/>
          <w:szCs w:val="24"/>
        </w:rPr>
        <w:t xml:space="preserve"> distribution based on </w:t>
      </w:r>
      <w:r w:rsidR="00B55A73" w:rsidRPr="0046724E">
        <w:rPr>
          <w:rFonts w:asciiTheme="minorHAnsi" w:hAnsiTheme="minorHAnsi"/>
          <w:color w:val="222222"/>
          <w:sz w:val="24"/>
          <w:szCs w:val="24"/>
        </w:rPr>
        <w:t xml:space="preserve">recent </w:t>
      </w:r>
      <w:r w:rsidR="0075771C" w:rsidRPr="0046724E">
        <w:rPr>
          <w:rFonts w:asciiTheme="minorHAnsi" w:hAnsiTheme="minorHAnsi"/>
          <w:color w:val="222222"/>
          <w:sz w:val="24"/>
          <w:szCs w:val="24"/>
        </w:rPr>
        <w:t>bisphosphonate</w:t>
      </w:r>
      <w:r w:rsidR="00B55A73" w:rsidRPr="0046724E">
        <w:rPr>
          <w:rFonts w:asciiTheme="minorHAnsi" w:hAnsiTheme="minorHAnsi"/>
          <w:color w:val="222222"/>
          <w:sz w:val="24"/>
          <w:szCs w:val="24"/>
        </w:rPr>
        <w:t xml:space="preserve"> use from the Myeloma and Related Diseases Registry</w:t>
      </w:r>
      <w:r w:rsidRPr="0046724E">
        <w:rPr>
          <w:rFonts w:asciiTheme="minorHAnsi" w:hAnsiTheme="minorHAnsi"/>
          <w:color w:val="222222"/>
          <w:sz w:val="24"/>
          <w:szCs w:val="24"/>
        </w:rPr>
        <w:t>.</w:t>
      </w:r>
    </w:p>
    <w:p w:rsidR="00292E2C" w:rsidRPr="0046724E" w:rsidRDefault="003F7262" w:rsidP="00AC73BF">
      <w:pPr>
        <w:pStyle w:val="ListParagraph"/>
        <w:widowControl/>
        <w:numPr>
          <w:ilvl w:val="0"/>
          <w:numId w:val="22"/>
        </w:numPr>
        <w:spacing w:after="120" w:line="276" w:lineRule="auto"/>
        <w:contextualSpacing w:val="0"/>
        <w:rPr>
          <w:rFonts w:asciiTheme="minorHAnsi" w:eastAsia="Batang" w:hAnsiTheme="minorHAnsi"/>
          <w:sz w:val="24"/>
          <w:szCs w:val="24"/>
        </w:rPr>
      </w:pPr>
      <w:r w:rsidRPr="0046724E">
        <w:rPr>
          <w:rFonts w:asciiTheme="minorHAnsi" w:eastAsia="Batang" w:hAnsiTheme="minorHAnsi"/>
          <w:sz w:val="24"/>
          <w:szCs w:val="24"/>
        </w:rPr>
        <w:t>Updated prices</w:t>
      </w:r>
      <w:r w:rsidR="00CB1AD8" w:rsidRPr="0046724E">
        <w:rPr>
          <w:rFonts w:asciiTheme="minorHAnsi" w:eastAsia="Batang" w:hAnsiTheme="minorHAnsi"/>
          <w:sz w:val="24"/>
          <w:szCs w:val="24"/>
        </w:rPr>
        <w:t xml:space="preserve"> for </w:t>
      </w:r>
      <w:proofErr w:type="spellStart"/>
      <w:r w:rsidR="00CB1AD8" w:rsidRPr="0046724E">
        <w:rPr>
          <w:rFonts w:asciiTheme="minorHAnsi" w:eastAsia="Batang" w:hAnsiTheme="minorHAnsi"/>
          <w:sz w:val="24"/>
          <w:szCs w:val="24"/>
        </w:rPr>
        <w:t>zoledronic</w:t>
      </w:r>
      <w:proofErr w:type="spellEnd"/>
      <w:r w:rsidR="00CB1AD8" w:rsidRPr="0046724E">
        <w:rPr>
          <w:rFonts w:asciiTheme="minorHAnsi" w:eastAsia="Batang" w:hAnsiTheme="minorHAnsi"/>
          <w:sz w:val="24"/>
          <w:szCs w:val="24"/>
        </w:rPr>
        <w:t xml:space="preserve"> acid and </w:t>
      </w:r>
      <w:proofErr w:type="spellStart"/>
      <w:r w:rsidR="00CB1AD8" w:rsidRPr="0046724E">
        <w:rPr>
          <w:rFonts w:asciiTheme="minorHAnsi" w:eastAsia="Batang" w:hAnsiTheme="minorHAnsi"/>
          <w:sz w:val="24"/>
          <w:szCs w:val="24"/>
        </w:rPr>
        <w:t>pamidronate</w:t>
      </w:r>
      <w:proofErr w:type="spellEnd"/>
      <w:r w:rsidRPr="0046724E">
        <w:rPr>
          <w:rFonts w:asciiTheme="minorHAnsi" w:eastAsia="Batang" w:hAnsiTheme="minorHAnsi"/>
          <w:sz w:val="24"/>
          <w:szCs w:val="24"/>
        </w:rPr>
        <w:t>.</w:t>
      </w:r>
    </w:p>
    <w:p w:rsidR="00292E2C" w:rsidRPr="00981A70" w:rsidRDefault="00AC4AFD" w:rsidP="00AC73BF">
      <w:pPr>
        <w:pStyle w:val="ListParagraph"/>
        <w:widowControl/>
        <w:numPr>
          <w:ilvl w:val="1"/>
          <w:numId w:val="14"/>
        </w:numPr>
        <w:spacing w:after="120"/>
        <w:contextualSpacing w:val="0"/>
        <w:rPr>
          <w:rFonts w:asciiTheme="minorHAnsi" w:hAnsiTheme="minorHAnsi"/>
          <w:sz w:val="24"/>
          <w:szCs w:val="24"/>
        </w:rPr>
      </w:pPr>
      <w:r w:rsidRPr="00EB51C1">
        <w:rPr>
          <w:rFonts w:asciiTheme="minorHAnsi" w:eastAsia="Batang" w:hAnsiTheme="minorHAnsi"/>
          <w:sz w:val="24"/>
          <w:szCs w:val="24"/>
        </w:rPr>
        <w:t>The</w:t>
      </w:r>
      <w:r w:rsidRPr="00981A70">
        <w:rPr>
          <w:rFonts w:asciiTheme="minorHAnsi" w:hAnsiTheme="minorHAnsi"/>
          <w:sz w:val="24"/>
          <w:szCs w:val="24"/>
        </w:rPr>
        <w:t xml:space="preserve"> minor resubmission did not include c</w:t>
      </w:r>
      <w:r w:rsidR="00292E2C" w:rsidRPr="00981A70">
        <w:rPr>
          <w:rFonts w:asciiTheme="minorHAnsi" w:hAnsiTheme="minorHAnsi"/>
          <w:sz w:val="24"/>
          <w:szCs w:val="24"/>
        </w:rPr>
        <w:t xml:space="preserve">ost offsets </w:t>
      </w:r>
      <w:r w:rsidR="00292E2C" w:rsidRPr="00981A70">
        <w:rPr>
          <w:rFonts w:asciiTheme="minorHAnsi" w:eastAsiaTheme="minorHAnsi" w:hAnsiTheme="minorHAnsi" w:cstheme="minorBidi"/>
          <w:sz w:val="24"/>
          <w:szCs w:val="24"/>
        </w:rPr>
        <w:t>for infusion administration</w:t>
      </w:r>
      <w:r w:rsidR="00D26300" w:rsidRPr="00981A70">
        <w:rPr>
          <w:rFonts w:asciiTheme="minorHAnsi" w:eastAsiaTheme="minorHAnsi" w:hAnsiTheme="minorHAnsi" w:cstheme="minorBidi"/>
          <w:sz w:val="24"/>
          <w:szCs w:val="24"/>
        </w:rPr>
        <w:t xml:space="preserve"> in the financial estimates</w:t>
      </w:r>
      <w:r w:rsidR="00292E2C" w:rsidRPr="00981A70">
        <w:rPr>
          <w:rFonts w:asciiTheme="minorHAnsi" w:hAnsiTheme="minorHAnsi"/>
          <w:sz w:val="24"/>
          <w:szCs w:val="24"/>
        </w:rPr>
        <w:t>.</w:t>
      </w:r>
    </w:p>
    <w:p w:rsidR="00B81A8D" w:rsidRPr="0046724E" w:rsidRDefault="00427071" w:rsidP="005533D1">
      <w:pPr>
        <w:spacing w:before="120"/>
        <w:jc w:val="both"/>
        <w:rPr>
          <w:rFonts w:ascii="Arial Narrow" w:hAnsi="Arial Narrow" w:cs="Arial"/>
          <w:b/>
          <w:snapToGrid w:val="0"/>
          <w:sz w:val="20"/>
          <w:szCs w:val="16"/>
          <w:lang w:eastAsia="en-US"/>
        </w:rPr>
      </w:pPr>
      <w:bookmarkStart w:id="2" w:name="_Ref448937679"/>
      <w:r w:rsidRPr="00EB51C1">
        <w:rPr>
          <w:rStyle w:val="CommentReference"/>
          <w:rFonts w:ascii="Arial Narrow" w:hAnsi="Arial Narrow" w:cs="Arial"/>
          <w:b/>
          <w:snapToGrid w:val="0"/>
          <w:sz w:val="20"/>
          <w:lang w:eastAsia="en-US"/>
        </w:rPr>
        <w:t>Table</w:t>
      </w:r>
      <w:bookmarkEnd w:id="2"/>
      <w:r w:rsidR="00B81A8D" w:rsidRPr="0046724E">
        <w:rPr>
          <w:rStyle w:val="CommentReference"/>
          <w:rFonts w:ascii="Arial Narrow" w:hAnsi="Arial Narrow" w:cs="Arial"/>
          <w:b/>
          <w:snapToGrid w:val="0"/>
          <w:sz w:val="20"/>
          <w:lang w:eastAsia="en-US"/>
        </w:rPr>
        <w:t xml:space="preserve"> </w:t>
      </w:r>
      <w:r w:rsidR="004B1608" w:rsidRPr="0046724E">
        <w:rPr>
          <w:rStyle w:val="CommentReference"/>
          <w:rFonts w:ascii="Arial Narrow" w:hAnsi="Arial Narrow" w:cs="Arial"/>
          <w:b/>
          <w:snapToGrid w:val="0"/>
          <w:sz w:val="20"/>
          <w:lang w:eastAsia="en-US"/>
        </w:rPr>
        <w:t>1</w:t>
      </w:r>
      <w:r w:rsidR="00B81A8D" w:rsidRPr="0046724E">
        <w:rPr>
          <w:rStyle w:val="CommentReference"/>
          <w:rFonts w:ascii="Arial Narrow" w:hAnsi="Arial Narrow" w:cs="Arial"/>
          <w:b/>
          <w:snapToGrid w:val="0"/>
          <w:sz w:val="20"/>
          <w:lang w:eastAsia="en-US"/>
        </w:rPr>
        <w:t>:</w:t>
      </w:r>
      <w:r w:rsidRPr="0046724E">
        <w:rPr>
          <w:rStyle w:val="CommentReference"/>
          <w:rFonts w:ascii="Arial Narrow" w:hAnsi="Arial Narrow" w:cs="Arial"/>
          <w:b/>
          <w:snapToGrid w:val="0"/>
          <w:sz w:val="20"/>
          <w:lang w:eastAsia="en-US"/>
        </w:rPr>
        <w:tab/>
      </w:r>
      <w:r w:rsidR="00B81A8D" w:rsidRPr="0046724E">
        <w:rPr>
          <w:rFonts w:ascii="Arial Narrow" w:hAnsi="Arial Narrow" w:cs="Arial"/>
          <w:b/>
          <w:snapToGrid w:val="0"/>
          <w:sz w:val="20"/>
          <w:szCs w:val="16"/>
          <w:lang w:eastAsia="en-US"/>
        </w:rPr>
        <w:t xml:space="preserve">Estimated use and total cost of </w:t>
      </w:r>
      <w:proofErr w:type="spellStart"/>
      <w:r w:rsidR="00B81A8D" w:rsidRPr="0046724E">
        <w:rPr>
          <w:rFonts w:ascii="Arial Narrow" w:hAnsi="Arial Narrow" w:cs="Arial"/>
          <w:b/>
          <w:snapToGrid w:val="0"/>
          <w:sz w:val="20"/>
          <w:szCs w:val="16"/>
          <w:lang w:eastAsia="en-US"/>
        </w:rPr>
        <w:t>denosumab</w:t>
      </w:r>
      <w:proofErr w:type="spellEnd"/>
      <w:r w:rsidR="00B81A8D" w:rsidRPr="0046724E">
        <w:rPr>
          <w:rFonts w:ascii="Arial Narrow" w:hAnsi="Arial Narrow" w:cs="Arial"/>
          <w:b/>
          <w:snapToGrid w:val="0"/>
          <w:sz w:val="20"/>
          <w:szCs w:val="16"/>
          <w:lang w:eastAsia="en-US"/>
        </w:rPr>
        <w:t xml:space="preserve"> to the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stimated use and total cost of denosumab to the PBS/RPBS"/>
      </w:tblPr>
      <w:tblGrid>
        <w:gridCol w:w="2551"/>
        <w:gridCol w:w="1078"/>
        <w:gridCol w:w="1078"/>
        <w:gridCol w:w="1078"/>
        <w:gridCol w:w="1078"/>
        <w:gridCol w:w="1078"/>
        <w:gridCol w:w="1075"/>
      </w:tblGrid>
      <w:tr w:rsidR="00B81A8D" w:rsidRPr="0046724E" w:rsidTr="00B44C09">
        <w:trPr>
          <w:trHeight w:val="37"/>
        </w:trPr>
        <w:tc>
          <w:tcPr>
            <w:tcW w:w="1414" w:type="pct"/>
            <w:shd w:val="clear" w:color="auto" w:fill="FFFFFF" w:themeFill="background1"/>
            <w:noWrap/>
            <w:vAlign w:val="center"/>
            <w:hideMark/>
          </w:tcPr>
          <w:p w:rsidR="00B81A8D" w:rsidRPr="0046724E" w:rsidRDefault="00B81A8D" w:rsidP="005533D1">
            <w:pPr>
              <w:jc w:val="both"/>
              <w:rPr>
                <w:rFonts w:ascii="Arial Narrow" w:hAnsi="Arial Narrow"/>
                <w:sz w:val="20"/>
                <w:szCs w:val="20"/>
              </w:rPr>
            </w:pPr>
          </w:p>
        </w:tc>
        <w:tc>
          <w:tcPr>
            <w:tcW w:w="598" w:type="pct"/>
            <w:shd w:val="clear" w:color="auto" w:fill="FFFFFF" w:themeFill="background1"/>
            <w:hideMark/>
          </w:tcPr>
          <w:p w:rsidR="00B81A8D" w:rsidRPr="0046724E" w:rsidRDefault="00B81A8D" w:rsidP="005533D1">
            <w:pPr>
              <w:ind w:left="-61" w:right="-41"/>
              <w:rPr>
                <w:rFonts w:ascii="Arial Narrow" w:hAnsi="Arial Narrow"/>
                <w:b/>
                <w:sz w:val="20"/>
                <w:szCs w:val="20"/>
              </w:rPr>
            </w:pPr>
            <w:r w:rsidRPr="0046724E">
              <w:rPr>
                <w:rFonts w:ascii="Arial Narrow" w:hAnsi="Arial Narrow"/>
                <w:b/>
                <w:sz w:val="20"/>
                <w:szCs w:val="20"/>
              </w:rPr>
              <w:t>Year 1</w:t>
            </w:r>
          </w:p>
        </w:tc>
        <w:tc>
          <w:tcPr>
            <w:tcW w:w="598" w:type="pct"/>
            <w:shd w:val="clear" w:color="auto" w:fill="FFFFFF" w:themeFill="background1"/>
          </w:tcPr>
          <w:p w:rsidR="00B81A8D" w:rsidRPr="0046724E" w:rsidRDefault="00B81A8D" w:rsidP="005533D1">
            <w:pPr>
              <w:ind w:left="-61" w:right="-41"/>
              <w:rPr>
                <w:rFonts w:ascii="Arial Narrow" w:hAnsi="Arial Narrow"/>
                <w:b/>
                <w:sz w:val="20"/>
                <w:szCs w:val="20"/>
              </w:rPr>
            </w:pPr>
            <w:r w:rsidRPr="0046724E">
              <w:rPr>
                <w:rFonts w:ascii="Arial Narrow" w:hAnsi="Arial Narrow"/>
                <w:b/>
                <w:sz w:val="20"/>
                <w:szCs w:val="20"/>
              </w:rPr>
              <w:t>Year 2</w:t>
            </w:r>
          </w:p>
        </w:tc>
        <w:tc>
          <w:tcPr>
            <w:tcW w:w="598" w:type="pct"/>
            <w:shd w:val="clear" w:color="auto" w:fill="FFFFFF" w:themeFill="background1"/>
          </w:tcPr>
          <w:p w:rsidR="00B81A8D" w:rsidRPr="0046724E" w:rsidRDefault="00B81A8D" w:rsidP="005533D1">
            <w:pPr>
              <w:ind w:left="-61" w:right="-41"/>
              <w:rPr>
                <w:rFonts w:ascii="Arial Narrow" w:hAnsi="Arial Narrow"/>
                <w:b/>
                <w:sz w:val="20"/>
                <w:szCs w:val="20"/>
              </w:rPr>
            </w:pPr>
            <w:r w:rsidRPr="0046724E">
              <w:rPr>
                <w:rFonts w:ascii="Arial Narrow" w:hAnsi="Arial Narrow"/>
                <w:b/>
                <w:sz w:val="20"/>
                <w:szCs w:val="20"/>
              </w:rPr>
              <w:t>Year 3</w:t>
            </w:r>
          </w:p>
        </w:tc>
        <w:tc>
          <w:tcPr>
            <w:tcW w:w="598" w:type="pct"/>
            <w:shd w:val="clear" w:color="auto" w:fill="FFFFFF" w:themeFill="background1"/>
          </w:tcPr>
          <w:p w:rsidR="00B81A8D" w:rsidRPr="0046724E" w:rsidRDefault="00B81A8D" w:rsidP="005533D1">
            <w:pPr>
              <w:ind w:left="-61" w:right="-41"/>
              <w:rPr>
                <w:rFonts w:ascii="Arial Narrow" w:hAnsi="Arial Narrow"/>
                <w:b/>
                <w:sz w:val="20"/>
                <w:szCs w:val="20"/>
              </w:rPr>
            </w:pPr>
            <w:r w:rsidRPr="0046724E">
              <w:rPr>
                <w:rFonts w:ascii="Arial Narrow" w:hAnsi="Arial Narrow"/>
                <w:b/>
                <w:sz w:val="20"/>
                <w:szCs w:val="20"/>
              </w:rPr>
              <w:t>Year 4</w:t>
            </w:r>
          </w:p>
        </w:tc>
        <w:tc>
          <w:tcPr>
            <w:tcW w:w="598" w:type="pct"/>
            <w:shd w:val="clear" w:color="auto" w:fill="FFFFFF" w:themeFill="background1"/>
          </w:tcPr>
          <w:p w:rsidR="00B81A8D" w:rsidRPr="0046724E" w:rsidRDefault="00B81A8D" w:rsidP="005533D1">
            <w:pPr>
              <w:ind w:left="-61" w:right="-41"/>
              <w:rPr>
                <w:rFonts w:ascii="Arial Narrow" w:hAnsi="Arial Narrow"/>
                <w:b/>
                <w:sz w:val="20"/>
                <w:szCs w:val="20"/>
              </w:rPr>
            </w:pPr>
            <w:r w:rsidRPr="0046724E">
              <w:rPr>
                <w:rFonts w:ascii="Arial Narrow" w:hAnsi="Arial Narrow"/>
                <w:b/>
                <w:sz w:val="20"/>
                <w:szCs w:val="20"/>
              </w:rPr>
              <w:t>Year 5</w:t>
            </w:r>
          </w:p>
        </w:tc>
        <w:tc>
          <w:tcPr>
            <w:tcW w:w="597" w:type="pct"/>
            <w:shd w:val="clear" w:color="auto" w:fill="FFFFFF" w:themeFill="background1"/>
          </w:tcPr>
          <w:p w:rsidR="00B81A8D" w:rsidRPr="0046724E" w:rsidRDefault="00B81A8D" w:rsidP="005533D1">
            <w:pPr>
              <w:ind w:left="-61" w:right="-41"/>
              <w:rPr>
                <w:rFonts w:ascii="Arial Narrow" w:hAnsi="Arial Narrow"/>
                <w:b/>
                <w:sz w:val="20"/>
                <w:szCs w:val="20"/>
              </w:rPr>
            </w:pPr>
            <w:r w:rsidRPr="0046724E">
              <w:rPr>
                <w:rFonts w:ascii="Arial Narrow" w:hAnsi="Arial Narrow"/>
                <w:b/>
                <w:sz w:val="20"/>
                <w:szCs w:val="20"/>
              </w:rPr>
              <w:t>Year 6</w:t>
            </w:r>
          </w:p>
        </w:tc>
      </w:tr>
      <w:tr w:rsidR="00427071" w:rsidRPr="0046724E" w:rsidTr="00B44C09">
        <w:trPr>
          <w:trHeight w:val="37"/>
        </w:trPr>
        <w:tc>
          <w:tcPr>
            <w:tcW w:w="1414" w:type="pct"/>
            <w:shd w:val="clear" w:color="auto" w:fill="auto"/>
            <w:vAlign w:val="center"/>
          </w:tcPr>
          <w:p w:rsidR="00427071" w:rsidRPr="0046724E" w:rsidRDefault="00427071" w:rsidP="005533D1">
            <w:pPr>
              <w:rPr>
                <w:rFonts w:ascii="Arial Narrow" w:hAnsi="Arial Narrow"/>
                <w:sz w:val="20"/>
                <w:szCs w:val="20"/>
              </w:rPr>
            </w:pPr>
            <w:r w:rsidRPr="0046724E">
              <w:rPr>
                <w:rFonts w:ascii="Arial Narrow" w:hAnsi="Arial Narrow"/>
                <w:sz w:val="20"/>
                <w:szCs w:val="20"/>
              </w:rPr>
              <w:t xml:space="preserve">Number of </w:t>
            </w:r>
            <w:proofErr w:type="spellStart"/>
            <w:r w:rsidRPr="0046724E">
              <w:rPr>
                <w:rFonts w:ascii="Arial Narrow" w:hAnsi="Arial Narrow"/>
                <w:sz w:val="20"/>
                <w:szCs w:val="20"/>
              </w:rPr>
              <w:t>denosumab</w:t>
            </w:r>
            <w:proofErr w:type="spellEnd"/>
            <w:r w:rsidRPr="0046724E">
              <w:rPr>
                <w:rFonts w:ascii="Arial Narrow" w:hAnsi="Arial Narrow"/>
                <w:sz w:val="20"/>
                <w:szCs w:val="20"/>
              </w:rPr>
              <w:t xml:space="preserve"> </w:t>
            </w:r>
            <w:r w:rsidR="004B1608" w:rsidRPr="0046724E">
              <w:rPr>
                <w:rFonts w:ascii="Arial Narrow" w:hAnsi="Arial Narrow"/>
                <w:sz w:val="20"/>
                <w:szCs w:val="20"/>
              </w:rPr>
              <w:t xml:space="preserve">MM </w:t>
            </w:r>
            <w:r w:rsidRPr="0046724E">
              <w:rPr>
                <w:rFonts w:ascii="Arial Narrow" w:hAnsi="Arial Narrow"/>
                <w:sz w:val="20"/>
                <w:szCs w:val="20"/>
              </w:rPr>
              <w:t>patients</w:t>
            </w:r>
          </w:p>
        </w:tc>
        <w:tc>
          <w:tcPr>
            <w:tcW w:w="598" w:type="pct"/>
            <w:shd w:val="clear" w:color="auto" w:fill="auto"/>
            <w:noWrap/>
            <w:vAlign w:val="center"/>
          </w:tcPr>
          <w:p w:rsidR="00427071" w:rsidRPr="00742356" w:rsidRDefault="00742356" w:rsidP="005533D1">
            <w:pPr>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598" w:type="pct"/>
            <w:shd w:val="clear" w:color="auto" w:fill="auto"/>
            <w:noWrap/>
            <w:vAlign w:val="center"/>
          </w:tcPr>
          <w:p w:rsidR="00427071" w:rsidRPr="00742356" w:rsidRDefault="00742356" w:rsidP="005533D1">
            <w:pPr>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598" w:type="pct"/>
            <w:shd w:val="clear" w:color="auto" w:fill="auto"/>
            <w:noWrap/>
            <w:vAlign w:val="center"/>
          </w:tcPr>
          <w:p w:rsidR="00427071" w:rsidRPr="00742356" w:rsidRDefault="00742356" w:rsidP="005533D1">
            <w:pPr>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598" w:type="pct"/>
            <w:shd w:val="clear" w:color="auto" w:fill="auto"/>
            <w:noWrap/>
            <w:vAlign w:val="center"/>
          </w:tcPr>
          <w:p w:rsidR="00427071" w:rsidRPr="00742356" w:rsidRDefault="00742356" w:rsidP="005533D1">
            <w:pPr>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598" w:type="pct"/>
            <w:shd w:val="clear" w:color="auto" w:fill="auto"/>
            <w:noWrap/>
            <w:vAlign w:val="center"/>
          </w:tcPr>
          <w:p w:rsidR="00427071" w:rsidRPr="00742356" w:rsidRDefault="00742356" w:rsidP="005533D1">
            <w:pPr>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vAlign w:val="center"/>
          </w:tcPr>
          <w:p w:rsidR="00427071" w:rsidRPr="00742356" w:rsidRDefault="00742356" w:rsidP="005533D1">
            <w:pPr>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427071" w:rsidRPr="0046724E" w:rsidTr="00B44C09">
        <w:trPr>
          <w:trHeight w:val="37"/>
        </w:trPr>
        <w:tc>
          <w:tcPr>
            <w:tcW w:w="1414" w:type="pct"/>
            <w:shd w:val="clear" w:color="auto" w:fill="auto"/>
            <w:vAlign w:val="center"/>
          </w:tcPr>
          <w:p w:rsidR="00427071" w:rsidRPr="0046724E" w:rsidRDefault="00427071" w:rsidP="005533D1">
            <w:pPr>
              <w:rPr>
                <w:rFonts w:ascii="Arial Narrow" w:hAnsi="Arial Narrow"/>
                <w:sz w:val="20"/>
                <w:szCs w:val="20"/>
              </w:rPr>
            </w:pPr>
            <w:r w:rsidRPr="0046724E">
              <w:rPr>
                <w:rFonts w:ascii="Arial Narrow" w:hAnsi="Arial Narrow"/>
                <w:sz w:val="20"/>
                <w:szCs w:val="20"/>
              </w:rPr>
              <w:t xml:space="preserve">Number of </w:t>
            </w:r>
            <w:proofErr w:type="spellStart"/>
            <w:r w:rsidRPr="0046724E">
              <w:rPr>
                <w:rFonts w:ascii="Arial Narrow" w:hAnsi="Arial Narrow"/>
                <w:sz w:val="20"/>
                <w:szCs w:val="20"/>
              </w:rPr>
              <w:t>denosumab</w:t>
            </w:r>
            <w:proofErr w:type="spellEnd"/>
            <w:r w:rsidRPr="0046724E">
              <w:rPr>
                <w:rFonts w:ascii="Arial Narrow" w:hAnsi="Arial Narrow"/>
                <w:sz w:val="20"/>
                <w:szCs w:val="20"/>
              </w:rPr>
              <w:t xml:space="preserve"> </w:t>
            </w:r>
            <w:r w:rsidR="004B1608" w:rsidRPr="0046724E">
              <w:rPr>
                <w:rFonts w:ascii="Arial Narrow" w:hAnsi="Arial Narrow"/>
                <w:sz w:val="20"/>
                <w:szCs w:val="20"/>
              </w:rPr>
              <w:t xml:space="preserve">MM </w:t>
            </w:r>
            <w:r w:rsidRPr="0046724E">
              <w:rPr>
                <w:rFonts w:ascii="Arial Narrow" w:hAnsi="Arial Narrow"/>
                <w:sz w:val="20"/>
                <w:szCs w:val="20"/>
              </w:rPr>
              <w:t>services</w:t>
            </w:r>
          </w:p>
        </w:tc>
        <w:tc>
          <w:tcPr>
            <w:tcW w:w="598" w:type="pct"/>
            <w:shd w:val="clear" w:color="auto" w:fill="auto"/>
            <w:noWrap/>
            <w:vAlign w:val="center"/>
          </w:tcPr>
          <w:p w:rsidR="00427071" w:rsidRPr="00742356" w:rsidRDefault="00742356" w:rsidP="005533D1">
            <w:pPr>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598" w:type="pct"/>
            <w:shd w:val="clear" w:color="auto" w:fill="auto"/>
            <w:noWrap/>
            <w:vAlign w:val="center"/>
          </w:tcPr>
          <w:p w:rsidR="00427071" w:rsidRPr="00742356" w:rsidRDefault="00742356" w:rsidP="005533D1">
            <w:pPr>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598" w:type="pct"/>
            <w:shd w:val="clear" w:color="auto" w:fill="auto"/>
            <w:noWrap/>
            <w:vAlign w:val="center"/>
          </w:tcPr>
          <w:p w:rsidR="00427071" w:rsidRPr="00742356" w:rsidRDefault="00742356" w:rsidP="005533D1">
            <w:pPr>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598" w:type="pct"/>
            <w:shd w:val="clear" w:color="auto" w:fill="auto"/>
            <w:noWrap/>
            <w:vAlign w:val="center"/>
          </w:tcPr>
          <w:p w:rsidR="00427071" w:rsidRPr="00742356" w:rsidRDefault="00742356" w:rsidP="005533D1">
            <w:pPr>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598" w:type="pct"/>
            <w:shd w:val="clear" w:color="auto" w:fill="auto"/>
            <w:noWrap/>
            <w:vAlign w:val="center"/>
          </w:tcPr>
          <w:p w:rsidR="00427071" w:rsidRPr="00742356" w:rsidRDefault="00742356" w:rsidP="005533D1">
            <w:pPr>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vAlign w:val="center"/>
          </w:tcPr>
          <w:p w:rsidR="00427071" w:rsidRPr="00742356" w:rsidRDefault="00742356" w:rsidP="005533D1">
            <w:pPr>
              <w:ind w:left="-61" w:right="-41"/>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427071" w:rsidRPr="0046724E" w:rsidTr="00B44C09">
        <w:trPr>
          <w:trHeight w:val="148"/>
        </w:trPr>
        <w:tc>
          <w:tcPr>
            <w:tcW w:w="1414" w:type="pct"/>
            <w:shd w:val="clear" w:color="auto" w:fill="auto"/>
            <w:vAlign w:val="center"/>
            <w:hideMark/>
          </w:tcPr>
          <w:p w:rsidR="00427071" w:rsidRPr="0046724E" w:rsidRDefault="00427071" w:rsidP="005533D1">
            <w:pPr>
              <w:rPr>
                <w:rFonts w:ascii="Arial Narrow" w:hAnsi="Arial Narrow"/>
                <w:sz w:val="20"/>
                <w:szCs w:val="20"/>
              </w:rPr>
            </w:pPr>
            <w:r w:rsidRPr="0046724E">
              <w:rPr>
                <w:rFonts w:ascii="Arial Narrow" w:hAnsi="Arial Narrow"/>
                <w:sz w:val="20"/>
                <w:szCs w:val="20"/>
              </w:rPr>
              <w:t xml:space="preserve">Gross cost of </w:t>
            </w:r>
            <w:proofErr w:type="spellStart"/>
            <w:r w:rsidRPr="0046724E">
              <w:rPr>
                <w:rFonts w:ascii="Arial Narrow" w:hAnsi="Arial Narrow"/>
                <w:sz w:val="20"/>
                <w:szCs w:val="20"/>
              </w:rPr>
              <w:t>denosumab</w:t>
            </w:r>
            <w:proofErr w:type="spellEnd"/>
            <w:r w:rsidRPr="0046724E">
              <w:rPr>
                <w:rFonts w:ascii="Arial Narrow" w:hAnsi="Arial Narrow"/>
                <w:sz w:val="20"/>
                <w:szCs w:val="20"/>
              </w:rPr>
              <w:t xml:space="preserve"> </w:t>
            </w:r>
            <w:r w:rsidR="00D26300" w:rsidRPr="0046724E">
              <w:rPr>
                <w:rFonts w:ascii="Arial Narrow" w:hAnsi="Arial Narrow"/>
                <w:sz w:val="20"/>
                <w:szCs w:val="20"/>
              </w:rPr>
              <w:t xml:space="preserve">for MM </w:t>
            </w:r>
            <w:r w:rsidRPr="0046724E">
              <w:rPr>
                <w:rFonts w:ascii="Arial Narrow" w:hAnsi="Arial Narrow"/>
                <w:sz w:val="20"/>
                <w:szCs w:val="20"/>
              </w:rPr>
              <w:t>to the PBS/</w:t>
            </w:r>
            <w:proofErr w:type="spellStart"/>
            <w:r w:rsidRPr="0046724E">
              <w:rPr>
                <w:rFonts w:ascii="Arial Narrow" w:hAnsi="Arial Narrow"/>
                <w:sz w:val="20"/>
                <w:szCs w:val="20"/>
              </w:rPr>
              <w:t>RPBS</w:t>
            </w:r>
            <w:r w:rsidRPr="0046724E">
              <w:rPr>
                <w:rFonts w:ascii="Arial Narrow" w:hAnsi="Arial Narrow"/>
                <w:sz w:val="20"/>
                <w:szCs w:val="20"/>
                <w:vertAlign w:val="superscript"/>
              </w:rPr>
              <w:t>a,b</w:t>
            </w:r>
            <w:proofErr w:type="spellEnd"/>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7" w:type="pct"/>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r>
      <w:tr w:rsidR="00427071" w:rsidRPr="0046724E" w:rsidTr="00B44C09">
        <w:trPr>
          <w:trHeight w:val="148"/>
        </w:trPr>
        <w:tc>
          <w:tcPr>
            <w:tcW w:w="1414" w:type="pct"/>
            <w:shd w:val="clear" w:color="auto" w:fill="auto"/>
            <w:vAlign w:val="center"/>
          </w:tcPr>
          <w:p w:rsidR="00427071" w:rsidRPr="0046724E" w:rsidRDefault="00427071" w:rsidP="005533D1">
            <w:pPr>
              <w:rPr>
                <w:rFonts w:ascii="Arial Narrow" w:hAnsi="Arial Narrow"/>
                <w:sz w:val="20"/>
                <w:szCs w:val="20"/>
              </w:rPr>
            </w:pPr>
            <w:r w:rsidRPr="0046724E">
              <w:rPr>
                <w:rFonts w:ascii="Arial Narrow" w:hAnsi="Arial Narrow"/>
                <w:sz w:val="20"/>
                <w:szCs w:val="20"/>
              </w:rPr>
              <w:t xml:space="preserve">Cost offset from </w:t>
            </w:r>
            <w:proofErr w:type="spellStart"/>
            <w:r w:rsidRPr="0046724E">
              <w:rPr>
                <w:rFonts w:ascii="Arial Narrow" w:hAnsi="Arial Narrow"/>
                <w:sz w:val="20"/>
                <w:szCs w:val="20"/>
              </w:rPr>
              <w:t>substitution</w:t>
            </w:r>
            <w:r w:rsidRPr="0046724E">
              <w:rPr>
                <w:rFonts w:ascii="Arial Narrow" w:hAnsi="Arial Narrow"/>
                <w:sz w:val="20"/>
                <w:szCs w:val="20"/>
                <w:vertAlign w:val="superscript"/>
              </w:rPr>
              <w:t>a</w:t>
            </w:r>
            <w:proofErr w:type="spellEnd"/>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7" w:type="pct"/>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r>
      <w:tr w:rsidR="00427071" w:rsidRPr="0046724E" w:rsidTr="00B44C09">
        <w:trPr>
          <w:trHeight w:val="148"/>
        </w:trPr>
        <w:tc>
          <w:tcPr>
            <w:tcW w:w="1414" w:type="pct"/>
            <w:shd w:val="clear" w:color="auto" w:fill="auto"/>
            <w:vAlign w:val="center"/>
          </w:tcPr>
          <w:p w:rsidR="00427071" w:rsidRPr="0046724E" w:rsidRDefault="00427071" w:rsidP="005533D1">
            <w:pPr>
              <w:rPr>
                <w:rFonts w:ascii="Arial Narrow" w:hAnsi="Arial Narrow"/>
                <w:sz w:val="20"/>
                <w:szCs w:val="20"/>
              </w:rPr>
            </w:pPr>
            <w:r w:rsidRPr="0046724E">
              <w:rPr>
                <w:rFonts w:ascii="Arial Narrow" w:hAnsi="Arial Narrow"/>
                <w:sz w:val="20"/>
                <w:szCs w:val="20"/>
              </w:rPr>
              <w:t xml:space="preserve">Cost offset from existing </w:t>
            </w:r>
            <w:proofErr w:type="spellStart"/>
            <w:r w:rsidRPr="0046724E">
              <w:rPr>
                <w:rFonts w:ascii="Arial Narrow" w:hAnsi="Arial Narrow"/>
                <w:sz w:val="20"/>
                <w:szCs w:val="20"/>
              </w:rPr>
              <w:t>indications</w:t>
            </w:r>
            <w:r w:rsidRPr="0046724E">
              <w:rPr>
                <w:rFonts w:ascii="Arial Narrow" w:hAnsi="Arial Narrow"/>
                <w:sz w:val="20"/>
                <w:szCs w:val="20"/>
                <w:vertAlign w:val="superscript"/>
              </w:rPr>
              <w:t>c</w:t>
            </w:r>
            <w:proofErr w:type="spellEnd"/>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7" w:type="pct"/>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r>
      <w:tr w:rsidR="00427071" w:rsidRPr="0046724E" w:rsidTr="00B44C09">
        <w:trPr>
          <w:trHeight w:val="148"/>
        </w:trPr>
        <w:tc>
          <w:tcPr>
            <w:tcW w:w="1414" w:type="pct"/>
            <w:shd w:val="clear" w:color="auto" w:fill="auto"/>
            <w:vAlign w:val="center"/>
          </w:tcPr>
          <w:p w:rsidR="00427071" w:rsidRPr="0046724E" w:rsidRDefault="00427071" w:rsidP="005533D1">
            <w:pPr>
              <w:rPr>
                <w:rFonts w:ascii="Arial Narrow" w:hAnsi="Arial Narrow"/>
                <w:sz w:val="20"/>
                <w:szCs w:val="20"/>
              </w:rPr>
            </w:pPr>
            <w:r w:rsidRPr="0046724E">
              <w:rPr>
                <w:rFonts w:ascii="Arial Narrow" w:hAnsi="Arial Narrow"/>
                <w:sz w:val="20"/>
                <w:szCs w:val="20"/>
              </w:rPr>
              <w:t xml:space="preserve">Net cost of </w:t>
            </w:r>
            <w:proofErr w:type="spellStart"/>
            <w:r w:rsidRPr="0046724E">
              <w:rPr>
                <w:rFonts w:ascii="Arial Narrow" w:hAnsi="Arial Narrow"/>
                <w:sz w:val="20"/>
                <w:szCs w:val="20"/>
              </w:rPr>
              <w:t>denosumab</w:t>
            </w:r>
            <w:proofErr w:type="spellEnd"/>
            <w:r w:rsidR="004B1608" w:rsidRPr="0046724E">
              <w:rPr>
                <w:rFonts w:ascii="Arial Narrow" w:hAnsi="Arial Narrow"/>
                <w:sz w:val="20"/>
                <w:szCs w:val="20"/>
              </w:rPr>
              <w:t xml:space="preserve"> MM</w:t>
            </w:r>
            <w:r w:rsidRPr="0046724E">
              <w:rPr>
                <w:rFonts w:ascii="Arial Narrow" w:hAnsi="Arial Narrow"/>
                <w:sz w:val="20"/>
                <w:szCs w:val="20"/>
              </w:rPr>
              <w:t xml:space="preserve"> listing to the PBS/</w:t>
            </w:r>
            <w:proofErr w:type="spellStart"/>
            <w:r w:rsidRPr="0046724E">
              <w:rPr>
                <w:rFonts w:ascii="Arial Narrow" w:hAnsi="Arial Narrow"/>
                <w:sz w:val="20"/>
                <w:szCs w:val="20"/>
              </w:rPr>
              <w:t>RPBS</w:t>
            </w:r>
            <w:r w:rsidRPr="0046724E">
              <w:rPr>
                <w:rFonts w:ascii="Arial Narrow" w:hAnsi="Arial Narrow"/>
                <w:sz w:val="20"/>
                <w:szCs w:val="20"/>
                <w:vertAlign w:val="superscript"/>
              </w:rPr>
              <w:t>a</w:t>
            </w:r>
            <w:proofErr w:type="spellEnd"/>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8" w:type="pct"/>
            <w:shd w:val="clear" w:color="auto" w:fill="auto"/>
            <w:noWrap/>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597" w:type="pct"/>
            <w:vAlign w:val="center"/>
          </w:tcPr>
          <w:p w:rsidR="00427071" w:rsidRPr="0046724E" w:rsidRDefault="00427071" w:rsidP="005533D1">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r>
    </w:tbl>
    <w:p w:rsidR="00427071" w:rsidRPr="0046724E" w:rsidRDefault="00427071" w:rsidP="005533D1">
      <w:pPr>
        <w:jc w:val="both"/>
        <w:rPr>
          <w:rFonts w:ascii="Arial Narrow" w:hAnsi="Arial Narrow"/>
          <w:sz w:val="18"/>
          <w:szCs w:val="18"/>
        </w:rPr>
      </w:pPr>
      <w:r w:rsidRPr="0046724E">
        <w:rPr>
          <w:rFonts w:ascii="Arial Narrow" w:hAnsi="Arial Narrow"/>
          <w:sz w:val="18"/>
          <w:szCs w:val="18"/>
        </w:rPr>
        <w:t xml:space="preserve">Abbreviations: BP = bisphosphonate; </w:t>
      </w:r>
      <w:r w:rsidR="004B1608" w:rsidRPr="0046724E">
        <w:rPr>
          <w:rFonts w:ascii="Arial Narrow" w:hAnsi="Arial Narrow"/>
          <w:sz w:val="18"/>
          <w:szCs w:val="18"/>
        </w:rPr>
        <w:t xml:space="preserve">MM = multiple myeloma; </w:t>
      </w:r>
      <w:r w:rsidRPr="0046724E">
        <w:rPr>
          <w:rFonts w:ascii="Arial Narrow" w:hAnsi="Arial Narrow"/>
          <w:sz w:val="18"/>
          <w:szCs w:val="18"/>
        </w:rPr>
        <w:t>PBS = Pharmaceutical Benefits Scheme; RPBS = Repatriation Pharmaceutical Benefits Scheme.</w:t>
      </w:r>
    </w:p>
    <w:p w:rsidR="00427071" w:rsidRPr="0046724E" w:rsidRDefault="00427071" w:rsidP="005533D1">
      <w:pPr>
        <w:rPr>
          <w:rFonts w:ascii="Arial Narrow" w:hAnsi="Arial Narrow"/>
          <w:sz w:val="18"/>
          <w:szCs w:val="18"/>
        </w:rPr>
      </w:pPr>
      <w:r w:rsidRPr="0046724E">
        <w:rPr>
          <w:rFonts w:ascii="Arial Narrow" w:hAnsi="Arial Narrow"/>
          <w:sz w:val="18"/>
          <w:szCs w:val="18"/>
        </w:rPr>
        <w:t>Analysis assumes listing from 1 January 2019.</w:t>
      </w:r>
    </w:p>
    <w:p w:rsidR="00427071" w:rsidRPr="0046724E" w:rsidRDefault="00427071" w:rsidP="005533D1">
      <w:pPr>
        <w:rPr>
          <w:rFonts w:ascii="Arial Narrow" w:hAnsi="Arial Narrow"/>
          <w:sz w:val="18"/>
          <w:szCs w:val="18"/>
        </w:rPr>
      </w:pPr>
      <w:r w:rsidRPr="0046724E">
        <w:rPr>
          <w:rFonts w:ascii="Arial Narrow" w:hAnsi="Arial Narrow"/>
          <w:sz w:val="18"/>
          <w:szCs w:val="18"/>
        </w:rPr>
        <w:t xml:space="preserve">a. Costs represent DPMQ – </w:t>
      </w:r>
      <w:proofErr w:type="spellStart"/>
      <w:r w:rsidRPr="0046724E">
        <w:rPr>
          <w:rFonts w:ascii="Arial Narrow" w:hAnsi="Arial Narrow"/>
          <w:sz w:val="18"/>
          <w:szCs w:val="18"/>
        </w:rPr>
        <w:t>copayment</w:t>
      </w:r>
      <w:proofErr w:type="spellEnd"/>
      <w:r w:rsidRPr="0046724E">
        <w:rPr>
          <w:rFonts w:ascii="Arial Narrow" w:hAnsi="Arial Narrow"/>
          <w:sz w:val="18"/>
          <w:szCs w:val="18"/>
        </w:rPr>
        <w:t>.</w:t>
      </w:r>
    </w:p>
    <w:p w:rsidR="00427071" w:rsidRPr="0046724E" w:rsidRDefault="00427071" w:rsidP="005533D1">
      <w:pPr>
        <w:rPr>
          <w:rFonts w:ascii="Arial Narrow" w:hAnsi="Arial Narrow"/>
          <w:sz w:val="18"/>
          <w:szCs w:val="18"/>
        </w:rPr>
      </w:pPr>
      <w:r w:rsidRPr="0046724E">
        <w:rPr>
          <w:rFonts w:ascii="Arial Narrow" w:hAnsi="Arial Narrow"/>
          <w:sz w:val="18"/>
          <w:szCs w:val="18"/>
        </w:rPr>
        <w:t xml:space="preserve">b. Based on proposed price that would apply across all </w:t>
      </w:r>
      <w:proofErr w:type="spellStart"/>
      <w:r w:rsidRPr="0046724E">
        <w:rPr>
          <w:rFonts w:ascii="Arial Narrow" w:hAnsi="Arial Narrow"/>
          <w:sz w:val="18"/>
          <w:szCs w:val="18"/>
        </w:rPr>
        <w:t>denosumab</w:t>
      </w:r>
      <w:proofErr w:type="spellEnd"/>
      <w:r w:rsidRPr="0046724E">
        <w:rPr>
          <w:rFonts w:ascii="Arial Narrow" w:hAnsi="Arial Narrow"/>
          <w:sz w:val="18"/>
          <w:szCs w:val="18"/>
        </w:rPr>
        <w:t xml:space="preserve"> 120</w:t>
      </w:r>
      <w:r w:rsidR="00D73874">
        <w:rPr>
          <w:rFonts w:ascii="Arial Narrow" w:hAnsi="Arial Narrow"/>
          <w:sz w:val="18"/>
          <w:szCs w:val="18"/>
        </w:rPr>
        <w:t xml:space="preserve"> </w:t>
      </w:r>
      <w:r w:rsidRPr="0046724E">
        <w:rPr>
          <w:rFonts w:ascii="Arial Narrow" w:hAnsi="Arial Narrow"/>
          <w:sz w:val="18"/>
          <w:szCs w:val="18"/>
        </w:rPr>
        <w:t>mg indications.</w:t>
      </w:r>
    </w:p>
    <w:p w:rsidR="00427071" w:rsidRPr="00AC73BF" w:rsidRDefault="00427071" w:rsidP="00AC73BF">
      <w:pPr>
        <w:rPr>
          <w:rFonts w:ascii="Arial Narrow" w:hAnsi="Arial Narrow"/>
          <w:sz w:val="18"/>
          <w:szCs w:val="18"/>
        </w:rPr>
      </w:pPr>
      <w:r w:rsidRPr="0046724E">
        <w:rPr>
          <w:rFonts w:ascii="Arial Narrow" w:hAnsi="Arial Narrow"/>
          <w:sz w:val="18"/>
          <w:szCs w:val="18"/>
        </w:rPr>
        <w:t>c. Based on forecast services for existing</w:t>
      </w:r>
      <w:r w:rsidR="004B1608" w:rsidRPr="0046724E">
        <w:rPr>
          <w:rFonts w:ascii="Arial Narrow" w:hAnsi="Arial Narrow"/>
          <w:sz w:val="18"/>
          <w:szCs w:val="18"/>
        </w:rPr>
        <w:t xml:space="preserve"> </w:t>
      </w:r>
      <w:proofErr w:type="spellStart"/>
      <w:r w:rsidR="004B1608" w:rsidRPr="0046724E">
        <w:rPr>
          <w:rFonts w:ascii="Arial Narrow" w:hAnsi="Arial Narrow"/>
          <w:sz w:val="18"/>
          <w:szCs w:val="18"/>
        </w:rPr>
        <w:t>denosumab</w:t>
      </w:r>
      <w:proofErr w:type="spellEnd"/>
      <w:r w:rsidRPr="0046724E">
        <w:rPr>
          <w:rFonts w:ascii="Arial Narrow" w:hAnsi="Arial Narrow"/>
          <w:sz w:val="18"/>
          <w:szCs w:val="18"/>
        </w:rPr>
        <w:t xml:space="preserve"> indications and the difference between current and proposed reduced DPMQ.</w:t>
      </w:r>
      <w:bookmarkStart w:id="3" w:name="_Ref522171476"/>
    </w:p>
    <w:p w:rsidR="00D73874" w:rsidRPr="00CF13B5" w:rsidRDefault="00D73874" w:rsidP="00CF13B5">
      <w:pPr>
        <w:spacing w:before="120" w:after="120"/>
        <w:rPr>
          <w:rFonts w:asciiTheme="minorHAnsi" w:hAnsiTheme="minorHAnsi" w:cstheme="minorHAnsi"/>
          <w:i/>
        </w:rPr>
      </w:pPr>
      <w:r w:rsidRPr="00CF13B5">
        <w:rPr>
          <w:rFonts w:asciiTheme="minorHAnsi" w:hAnsiTheme="minorHAnsi" w:cstheme="minorHAnsi"/>
          <w:i/>
        </w:rPr>
        <w:t>The redacted table shows that at Year 6, the estimated number of patients was less than 10,000 per year</w:t>
      </w:r>
      <w:r w:rsidR="00A42044" w:rsidRPr="00CF13B5">
        <w:rPr>
          <w:rFonts w:asciiTheme="minorHAnsi" w:hAnsiTheme="minorHAnsi" w:cstheme="minorHAnsi"/>
          <w:i/>
        </w:rPr>
        <w:t>.</w:t>
      </w:r>
    </w:p>
    <w:p w:rsidR="00427071" w:rsidRPr="00981A70" w:rsidRDefault="00427071" w:rsidP="005533D1">
      <w:pPr>
        <w:keepNext/>
        <w:spacing w:before="120"/>
        <w:jc w:val="both"/>
        <w:rPr>
          <w:rStyle w:val="CommentReference"/>
          <w:rFonts w:ascii="Arial Narrow" w:hAnsi="Arial Narrow" w:cs="Arial"/>
          <w:b/>
          <w:snapToGrid w:val="0"/>
          <w:sz w:val="20"/>
          <w:lang w:eastAsia="en-US"/>
        </w:rPr>
      </w:pPr>
      <w:r w:rsidRPr="0046724E">
        <w:rPr>
          <w:rStyle w:val="CommentReference"/>
          <w:rFonts w:ascii="Arial Narrow" w:hAnsi="Arial Narrow" w:cs="Arial"/>
          <w:b/>
          <w:snapToGrid w:val="0"/>
          <w:sz w:val="20"/>
          <w:lang w:eastAsia="en-US"/>
        </w:rPr>
        <w:lastRenderedPageBreak/>
        <w:t xml:space="preserve">Table </w:t>
      </w:r>
      <w:bookmarkEnd w:id="3"/>
      <w:r w:rsidR="004B1608" w:rsidRPr="0046724E">
        <w:rPr>
          <w:rStyle w:val="CommentReference"/>
          <w:rFonts w:ascii="Arial Narrow" w:hAnsi="Arial Narrow" w:cs="Arial"/>
          <w:b/>
          <w:snapToGrid w:val="0"/>
          <w:sz w:val="20"/>
          <w:lang w:eastAsia="en-US"/>
        </w:rPr>
        <w:t>2</w:t>
      </w:r>
      <w:r w:rsidR="00B81A8D" w:rsidRPr="0046724E">
        <w:rPr>
          <w:rStyle w:val="CommentReference"/>
          <w:rFonts w:ascii="Arial Narrow" w:hAnsi="Arial Narrow" w:cs="Arial"/>
          <w:b/>
          <w:snapToGrid w:val="0"/>
          <w:sz w:val="20"/>
          <w:lang w:eastAsia="en-US"/>
        </w:rPr>
        <w:t>:</w:t>
      </w:r>
      <w:r w:rsidRPr="0046724E">
        <w:rPr>
          <w:rStyle w:val="CommentReference"/>
          <w:rFonts w:ascii="Arial Narrow" w:hAnsi="Arial Narrow" w:cs="Arial"/>
          <w:b/>
          <w:snapToGrid w:val="0"/>
          <w:sz w:val="20"/>
          <w:lang w:eastAsia="en-US"/>
        </w:rPr>
        <w:tab/>
      </w:r>
      <w:r w:rsidR="00B81A8D" w:rsidRPr="0046724E">
        <w:rPr>
          <w:rFonts w:ascii="Arial Narrow" w:hAnsi="Arial Narrow" w:cs="Arial"/>
          <w:b/>
          <w:snapToGrid w:val="0"/>
          <w:sz w:val="20"/>
          <w:szCs w:val="16"/>
          <w:lang w:eastAsia="en-US"/>
        </w:rPr>
        <w:t xml:space="preserve">Estimated use and total cost of </w:t>
      </w:r>
      <w:proofErr w:type="spellStart"/>
      <w:r w:rsidR="00B81A8D" w:rsidRPr="0046724E">
        <w:rPr>
          <w:rFonts w:ascii="Arial Narrow" w:hAnsi="Arial Narrow" w:cs="Arial"/>
          <w:b/>
          <w:snapToGrid w:val="0"/>
          <w:sz w:val="20"/>
          <w:szCs w:val="16"/>
          <w:lang w:eastAsia="en-US"/>
        </w:rPr>
        <w:t>denosumab</w:t>
      </w:r>
      <w:proofErr w:type="spellEnd"/>
      <w:r w:rsidR="00B81A8D" w:rsidRPr="0046724E">
        <w:rPr>
          <w:rFonts w:ascii="Arial Narrow" w:hAnsi="Arial Narrow" w:cs="Arial"/>
          <w:b/>
          <w:snapToGrid w:val="0"/>
          <w:sz w:val="20"/>
          <w:szCs w:val="16"/>
          <w:lang w:eastAsia="en-US"/>
        </w:rPr>
        <w:t xml:space="preserve"> including</w:t>
      </w:r>
      <w:r w:rsidRPr="0046724E">
        <w:rPr>
          <w:rStyle w:val="CommentReference"/>
          <w:rFonts w:ascii="Arial Narrow" w:hAnsi="Arial Narrow" w:cs="Arial"/>
          <w:b/>
          <w:snapToGrid w:val="0"/>
          <w:sz w:val="20"/>
          <w:lang w:eastAsia="en-US"/>
        </w:rPr>
        <w:t xml:space="preserve"> </w:t>
      </w:r>
      <w:r w:rsidR="00B81A8D" w:rsidRPr="0046724E">
        <w:rPr>
          <w:rStyle w:val="CommentReference"/>
          <w:rFonts w:ascii="Arial Narrow" w:hAnsi="Arial Narrow" w:cs="Arial"/>
          <w:b/>
          <w:snapToGrid w:val="0"/>
          <w:sz w:val="20"/>
          <w:lang w:eastAsia="en-US"/>
        </w:rPr>
        <w:t xml:space="preserve">10% statutory price reduction on </w:t>
      </w:r>
      <w:r w:rsidRPr="0046724E">
        <w:rPr>
          <w:rStyle w:val="CommentReference"/>
          <w:rFonts w:ascii="Arial Narrow" w:hAnsi="Arial Narrow" w:cs="Arial"/>
          <w:b/>
          <w:snapToGrid w:val="0"/>
          <w:sz w:val="20"/>
          <w:lang w:eastAsia="en-US"/>
        </w:rPr>
        <w:t>April 2021</w:t>
      </w:r>
      <w:r w:rsidR="00B81A8D" w:rsidRPr="0046724E">
        <w:rPr>
          <w:rStyle w:val="CommentReference"/>
          <w:rFonts w:ascii="Arial Narrow" w:hAnsi="Arial Narrow" w:cs="Arial"/>
          <w:b/>
          <w:snapToGrid w:val="0"/>
          <w:sz w:val="20"/>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stimated use and total cost of denosumab including 10% statutory price reduction on April 2021 "/>
      </w:tblPr>
      <w:tblGrid>
        <w:gridCol w:w="2266"/>
        <w:gridCol w:w="1125"/>
        <w:gridCol w:w="1125"/>
        <w:gridCol w:w="1125"/>
        <w:gridCol w:w="1125"/>
        <w:gridCol w:w="1125"/>
        <w:gridCol w:w="1125"/>
      </w:tblGrid>
      <w:tr w:rsidR="00B81A8D" w:rsidRPr="0046724E" w:rsidTr="00342943">
        <w:trPr>
          <w:trHeight w:val="37"/>
        </w:trPr>
        <w:tc>
          <w:tcPr>
            <w:tcW w:w="1256" w:type="pct"/>
            <w:shd w:val="clear" w:color="auto" w:fill="FFFFFF" w:themeFill="background1"/>
            <w:noWrap/>
            <w:vAlign w:val="center"/>
            <w:hideMark/>
          </w:tcPr>
          <w:p w:rsidR="00B81A8D" w:rsidRPr="0046724E" w:rsidRDefault="00B81A8D" w:rsidP="005533D1">
            <w:pPr>
              <w:keepNext/>
              <w:jc w:val="both"/>
              <w:rPr>
                <w:rFonts w:ascii="Arial Narrow" w:hAnsi="Arial Narrow"/>
                <w:sz w:val="20"/>
                <w:szCs w:val="20"/>
              </w:rPr>
            </w:pPr>
          </w:p>
        </w:tc>
        <w:tc>
          <w:tcPr>
            <w:tcW w:w="624" w:type="pct"/>
            <w:shd w:val="clear" w:color="auto" w:fill="FFFFFF" w:themeFill="background1"/>
            <w:hideMark/>
          </w:tcPr>
          <w:p w:rsidR="00B81A8D" w:rsidRPr="0046724E" w:rsidRDefault="00B81A8D" w:rsidP="005533D1">
            <w:pPr>
              <w:keepNext/>
              <w:rPr>
                <w:rFonts w:ascii="Arial Narrow" w:hAnsi="Arial Narrow"/>
                <w:b/>
                <w:sz w:val="20"/>
                <w:szCs w:val="20"/>
              </w:rPr>
            </w:pPr>
            <w:r w:rsidRPr="0046724E">
              <w:rPr>
                <w:rFonts w:ascii="Arial Narrow" w:hAnsi="Arial Narrow"/>
                <w:b/>
                <w:sz w:val="20"/>
                <w:szCs w:val="20"/>
              </w:rPr>
              <w:t>Year 1</w:t>
            </w:r>
          </w:p>
        </w:tc>
        <w:tc>
          <w:tcPr>
            <w:tcW w:w="624" w:type="pct"/>
            <w:shd w:val="clear" w:color="auto" w:fill="FFFFFF" w:themeFill="background1"/>
          </w:tcPr>
          <w:p w:rsidR="00B81A8D" w:rsidRPr="0046724E" w:rsidRDefault="00B81A8D" w:rsidP="005533D1">
            <w:pPr>
              <w:keepNext/>
              <w:rPr>
                <w:rFonts w:ascii="Arial Narrow" w:hAnsi="Arial Narrow"/>
                <w:b/>
                <w:sz w:val="20"/>
                <w:szCs w:val="20"/>
              </w:rPr>
            </w:pPr>
            <w:r w:rsidRPr="0046724E">
              <w:rPr>
                <w:rFonts w:ascii="Arial Narrow" w:hAnsi="Arial Narrow"/>
                <w:b/>
                <w:sz w:val="20"/>
                <w:szCs w:val="20"/>
              </w:rPr>
              <w:t>Year 2</w:t>
            </w:r>
          </w:p>
        </w:tc>
        <w:tc>
          <w:tcPr>
            <w:tcW w:w="624" w:type="pct"/>
            <w:shd w:val="clear" w:color="auto" w:fill="FFFFFF" w:themeFill="background1"/>
          </w:tcPr>
          <w:p w:rsidR="00B81A8D" w:rsidRPr="0046724E" w:rsidRDefault="00B81A8D" w:rsidP="005533D1">
            <w:pPr>
              <w:keepNext/>
              <w:rPr>
                <w:rFonts w:ascii="Arial Narrow" w:hAnsi="Arial Narrow"/>
                <w:b/>
                <w:sz w:val="20"/>
                <w:szCs w:val="20"/>
              </w:rPr>
            </w:pPr>
            <w:r w:rsidRPr="0046724E">
              <w:rPr>
                <w:rFonts w:ascii="Arial Narrow" w:hAnsi="Arial Narrow"/>
                <w:b/>
                <w:sz w:val="20"/>
                <w:szCs w:val="20"/>
              </w:rPr>
              <w:t>Year 3</w:t>
            </w:r>
          </w:p>
        </w:tc>
        <w:tc>
          <w:tcPr>
            <w:tcW w:w="624" w:type="pct"/>
            <w:shd w:val="clear" w:color="auto" w:fill="FFFFFF" w:themeFill="background1"/>
          </w:tcPr>
          <w:p w:rsidR="00B81A8D" w:rsidRPr="0046724E" w:rsidRDefault="00B81A8D" w:rsidP="005533D1">
            <w:pPr>
              <w:keepNext/>
              <w:rPr>
                <w:rFonts w:ascii="Arial Narrow" w:hAnsi="Arial Narrow"/>
                <w:b/>
                <w:sz w:val="20"/>
                <w:szCs w:val="20"/>
              </w:rPr>
            </w:pPr>
            <w:r w:rsidRPr="0046724E">
              <w:rPr>
                <w:rFonts w:ascii="Arial Narrow" w:hAnsi="Arial Narrow"/>
                <w:b/>
                <w:sz w:val="20"/>
                <w:szCs w:val="20"/>
              </w:rPr>
              <w:t>Year 4</w:t>
            </w:r>
          </w:p>
        </w:tc>
        <w:tc>
          <w:tcPr>
            <w:tcW w:w="624" w:type="pct"/>
            <w:shd w:val="clear" w:color="auto" w:fill="FFFFFF" w:themeFill="background1"/>
          </w:tcPr>
          <w:p w:rsidR="00B81A8D" w:rsidRPr="0046724E" w:rsidRDefault="00B81A8D" w:rsidP="005533D1">
            <w:pPr>
              <w:keepNext/>
              <w:rPr>
                <w:rFonts w:ascii="Arial Narrow" w:hAnsi="Arial Narrow"/>
                <w:b/>
                <w:sz w:val="20"/>
                <w:szCs w:val="20"/>
              </w:rPr>
            </w:pPr>
            <w:r w:rsidRPr="0046724E">
              <w:rPr>
                <w:rFonts w:ascii="Arial Narrow" w:hAnsi="Arial Narrow"/>
                <w:b/>
                <w:sz w:val="20"/>
                <w:szCs w:val="20"/>
              </w:rPr>
              <w:t>Year 5</w:t>
            </w:r>
          </w:p>
        </w:tc>
        <w:tc>
          <w:tcPr>
            <w:tcW w:w="624" w:type="pct"/>
            <w:shd w:val="clear" w:color="auto" w:fill="FFFFFF" w:themeFill="background1"/>
          </w:tcPr>
          <w:p w:rsidR="00B81A8D" w:rsidRPr="0046724E" w:rsidRDefault="00B81A8D" w:rsidP="005533D1">
            <w:pPr>
              <w:keepNext/>
              <w:rPr>
                <w:rFonts w:ascii="Arial Narrow" w:hAnsi="Arial Narrow"/>
                <w:b/>
                <w:sz w:val="20"/>
                <w:szCs w:val="20"/>
              </w:rPr>
            </w:pPr>
            <w:r w:rsidRPr="0046724E">
              <w:rPr>
                <w:rFonts w:ascii="Arial Narrow" w:hAnsi="Arial Narrow"/>
                <w:b/>
                <w:sz w:val="20"/>
                <w:szCs w:val="20"/>
              </w:rPr>
              <w:t>Year 6</w:t>
            </w:r>
          </w:p>
        </w:tc>
      </w:tr>
      <w:tr w:rsidR="00427071" w:rsidRPr="0046724E" w:rsidTr="00342943">
        <w:trPr>
          <w:trHeight w:val="148"/>
        </w:trPr>
        <w:tc>
          <w:tcPr>
            <w:tcW w:w="1256" w:type="pct"/>
            <w:shd w:val="clear" w:color="auto" w:fill="auto"/>
            <w:vAlign w:val="center"/>
            <w:hideMark/>
          </w:tcPr>
          <w:p w:rsidR="00427071" w:rsidRPr="0046724E" w:rsidRDefault="00427071" w:rsidP="005533D1">
            <w:pPr>
              <w:keepNext/>
              <w:rPr>
                <w:rFonts w:ascii="Arial Narrow" w:hAnsi="Arial Narrow"/>
                <w:sz w:val="20"/>
                <w:szCs w:val="20"/>
              </w:rPr>
            </w:pPr>
            <w:r w:rsidRPr="0046724E">
              <w:rPr>
                <w:rFonts w:ascii="Arial Narrow" w:hAnsi="Arial Narrow"/>
                <w:sz w:val="20"/>
                <w:szCs w:val="20"/>
              </w:rPr>
              <w:t xml:space="preserve">Gross cost of </w:t>
            </w:r>
            <w:proofErr w:type="spellStart"/>
            <w:r w:rsidRPr="0046724E">
              <w:rPr>
                <w:rFonts w:ascii="Arial Narrow" w:hAnsi="Arial Narrow"/>
                <w:sz w:val="20"/>
                <w:szCs w:val="20"/>
              </w:rPr>
              <w:t>denosumab</w:t>
            </w:r>
            <w:proofErr w:type="spellEnd"/>
            <w:r w:rsidRPr="0046724E">
              <w:rPr>
                <w:rFonts w:ascii="Arial Narrow" w:hAnsi="Arial Narrow"/>
                <w:sz w:val="20"/>
                <w:szCs w:val="20"/>
              </w:rPr>
              <w:t xml:space="preserve"> </w:t>
            </w:r>
            <w:r w:rsidR="00D26300" w:rsidRPr="0046724E">
              <w:rPr>
                <w:rFonts w:ascii="Arial Narrow" w:hAnsi="Arial Narrow"/>
                <w:sz w:val="20"/>
                <w:szCs w:val="20"/>
              </w:rPr>
              <w:t xml:space="preserve">for MM </w:t>
            </w:r>
            <w:r w:rsidRPr="0046724E">
              <w:rPr>
                <w:rFonts w:ascii="Arial Narrow" w:hAnsi="Arial Narrow"/>
                <w:sz w:val="20"/>
                <w:szCs w:val="20"/>
              </w:rPr>
              <w:t>to the PBS/</w:t>
            </w:r>
            <w:proofErr w:type="spellStart"/>
            <w:r w:rsidRPr="0046724E">
              <w:rPr>
                <w:rFonts w:ascii="Arial Narrow" w:hAnsi="Arial Narrow"/>
                <w:sz w:val="20"/>
                <w:szCs w:val="20"/>
              </w:rPr>
              <w:t>RPBS</w:t>
            </w:r>
            <w:r w:rsidRPr="0046724E">
              <w:rPr>
                <w:rFonts w:ascii="Arial Narrow" w:hAnsi="Arial Narrow"/>
                <w:sz w:val="20"/>
                <w:szCs w:val="20"/>
                <w:vertAlign w:val="superscript"/>
              </w:rPr>
              <w:t>a</w:t>
            </w:r>
            <w:proofErr w:type="spellEnd"/>
          </w:p>
        </w:tc>
        <w:tc>
          <w:tcPr>
            <w:tcW w:w="624" w:type="pct"/>
            <w:shd w:val="clear" w:color="auto" w:fill="auto"/>
            <w:noWrap/>
            <w:vAlign w:val="bottom"/>
          </w:tcPr>
          <w:p w:rsidR="00427071" w:rsidRPr="0046724E" w:rsidRDefault="00427071" w:rsidP="00342943">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624" w:type="pct"/>
            <w:shd w:val="clear" w:color="auto" w:fill="auto"/>
            <w:noWrap/>
            <w:vAlign w:val="bottom"/>
          </w:tcPr>
          <w:p w:rsidR="00427071" w:rsidRPr="0046724E" w:rsidRDefault="00427071" w:rsidP="00342943">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624" w:type="pct"/>
            <w:shd w:val="clear" w:color="auto" w:fill="auto"/>
            <w:noWrap/>
            <w:vAlign w:val="bottom"/>
          </w:tcPr>
          <w:p w:rsidR="00427071" w:rsidRPr="0046724E" w:rsidRDefault="00427071" w:rsidP="00342943">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624" w:type="pct"/>
            <w:shd w:val="clear" w:color="auto" w:fill="auto"/>
            <w:noWrap/>
            <w:vAlign w:val="bottom"/>
          </w:tcPr>
          <w:p w:rsidR="00427071" w:rsidRPr="0046724E" w:rsidRDefault="00427071" w:rsidP="00342943">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624" w:type="pct"/>
            <w:shd w:val="clear" w:color="auto" w:fill="auto"/>
            <w:noWrap/>
            <w:vAlign w:val="bottom"/>
          </w:tcPr>
          <w:p w:rsidR="00427071" w:rsidRPr="0046724E" w:rsidRDefault="00427071" w:rsidP="00342943">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624" w:type="pct"/>
            <w:vAlign w:val="bottom"/>
          </w:tcPr>
          <w:p w:rsidR="00427071" w:rsidRPr="0046724E" w:rsidRDefault="00427071" w:rsidP="00342943">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r>
      <w:tr w:rsidR="00427071" w:rsidRPr="0046724E" w:rsidTr="00342943">
        <w:trPr>
          <w:trHeight w:val="148"/>
        </w:trPr>
        <w:tc>
          <w:tcPr>
            <w:tcW w:w="1256" w:type="pct"/>
            <w:shd w:val="clear" w:color="auto" w:fill="auto"/>
            <w:vAlign w:val="center"/>
          </w:tcPr>
          <w:p w:rsidR="00427071" w:rsidRPr="0046724E" w:rsidRDefault="00427071" w:rsidP="005533D1">
            <w:pPr>
              <w:keepNext/>
              <w:rPr>
                <w:rFonts w:ascii="Arial Narrow" w:hAnsi="Arial Narrow"/>
                <w:sz w:val="20"/>
                <w:szCs w:val="20"/>
              </w:rPr>
            </w:pPr>
            <w:r w:rsidRPr="0046724E">
              <w:rPr>
                <w:rFonts w:ascii="Arial Narrow" w:hAnsi="Arial Narrow"/>
                <w:sz w:val="20"/>
                <w:szCs w:val="20"/>
              </w:rPr>
              <w:t xml:space="preserve">Net cost of </w:t>
            </w:r>
            <w:proofErr w:type="spellStart"/>
            <w:r w:rsidRPr="0046724E">
              <w:rPr>
                <w:rFonts w:ascii="Arial Narrow" w:hAnsi="Arial Narrow"/>
                <w:sz w:val="20"/>
                <w:szCs w:val="20"/>
              </w:rPr>
              <w:t>denosumab</w:t>
            </w:r>
            <w:proofErr w:type="spellEnd"/>
            <w:r w:rsidR="00D26300" w:rsidRPr="0046724E">
              <w:rPr>
                <w:rFonts w:ascii="Arial Narrow" w:hAnsi="Arial Narrow"/>
                <w:sz w:val="20"/>
                <w:szCs w:val="20"/>
              </w:rPr>
              <w:t xml:space="preserve"> MM</w:t>
            </w:r>
            <w:r w:rsidRPr="0046724E">
              <w:rPr>
                <w:rFonts w:ascii="Arial Narrow" w:hAnsi="Arial Narrow"/>
                <w:sz w:val="20"/>
                <w:szCs w:val="20"/>
              </w:rPr>
              <w:t xml:space="preserve"> listing to the PBS/</w:t>
            </w:r>
            <w:proofErr w:type="spellStart"/>
            <w:r w:rsidRPr="0046724E">
              <w:rPr>
                <w:rFonts w:ascii="Arial Narrow" w:hAnsi="Arial Narrow"/>
                <w:sz w:val="20"/>
                <w:szCs w:val="20"/>
              </w:rPr>
              <w:t>RPBS</w:t>
            </w:r>
            <w:r w:rsidRPr="0046724E">
              <w:rPr>
                <w:rFonts w:ascii="Arial Narrow" w:hAnsi="Arial Narrow"/>
                <w:sz w:val="20"/>
                <w:szCs w:val="20"/>
                <w:vertAlign w:val="superscript"/>
              </w:rPr>
              <w:t>a</w:t>
            </w:r>
            <w:proofErr w:type="spellEnd"/>
          </w:p>
        </w:tc>
        <w:tc>
          <w:tcPr>
            <w:tcW w:w="624" w:type="pct"/>
            <w:shd w:val="clear" w:color="auto" w:fill="auto"/>
            <w:noWrap/>
            <w:vAlign w:val="bottom"/>
          </w:tcPr>
          <w:p w:rsidR="00427071" w:rsidRPr="0046724E" w:rsidRDefault="00427071" w:rsidP="00342943">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624" w:type="pct"/>
            <w:shd w:val="clear" w:color="auto" w:fill="auto"/>
            <w:noWrap/>
            <w:vAlign w:val="bottom"/>
          </w:tcPr>
          <w:p w:rsidR="00427071" w:rsidRPr="0046724E" w:rsidRDefault="00427071" w:rsidP="00342943">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624" w:type="pct"/>
            <w:shd w:val="clear" w:color="auto" w:fill="auto"/>
            <w:noWrap/>
            <w:vAlign w:val="bottom"/>
          </w:tcPr>
          <w:p w:rsidR="00427071" w:rsidRPr="0046724E" w:rsidRDefault="00427071" w:rsidP="00342943">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624" w:type="pct"/>
            <w:shd w:val="clear" w:color="auto" w:fill="auto"/>
            <w:noWrap/>
            <w:vAlign w:val="bottom"/>
          </w:tcPr>
          <w:p w:rsidR="00427071" w:rsidRPr="0046724E" w:rsidRDefault="00427071" w:rsidP="00342943">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624" w:type="pct"/>
            <w:shd w:val="clear" w:color="auto" w:fill="auto"/>
            <w:noWrap/>
            <w:vAlign w:val="bottom"/>
          </w:tcPr>
          <w:p w:rsidR="00427071" w:rsidRPr="0046724E" w:rsidRDefault="00427071" w:rsidP="00342943">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c>
          <w:tcPr>
            <w:tcW w:w="624" w:type="pct"/>
            <w:vAlign w:val="bottom"/>
          </w:tcPr>
          <w:p w:rsidR="00427071" w:rsidRPr="0046724E" w:rsidRDefault="00427071" w:rsidP="00342943">
            <w:pPr>
              <w:ind w:left="-61" w:right="-41"/>
              <w:jc w:val="right"/>
              <w:rPr>
                <w:rFonts w:ascii="Arial Narrow" w:hAnsi="Arial Narrow"/>
                <w:sz w:val="20"/>
                <w:szCs w:val="20"/>
              </w:rPr>
            </w:pPr>
            <w:r w:rsidRPr="0046724E">
              <w:rPr>
                <w:rFonts w:ascii="Arial Narrow" w:hAnsi="Arial Narrow"/>
                <w:sz w:val="20"/>
                <w:szCs w:val="20"/>
              </w:rPr>
              <w:t>$</w:t>
            </w:r>
            <w:r w:rsidR="00742356">
              <w:rPr>
                <w:rFonts w:ascii="Arial Narrow" w:hAnsi="Arial Narrow"/>
                <w:noProof/>
                <w:color w:val="000000"/>
                <w:sz w:val="20"/>
                <w:szCs w:val="20"/>
                <w:highlight w:val="black"/>
              </w:rPr>
              <w:t>'''''''''''''''''''''''</w:t>
            </w:r>
          </w:p>
        </w:tc>
      </w:tr>
    </w:tbl>
    <w:p w:rsidR="00427071" w:rsidRPr="0046724E" w:rsidRDefault="00427071" w:rsidP="005533D1">
      <w:pPr>
        <w:jc w:val="both"/>
        <w:rPr>
          <w:rFonts w:ascii="Arial Narrow" w:hAnsi="Arial Narrow"/>
          <w:sz w:val="18"/>
          <w:szCs w:val="18"/>
        </w:rPr>
      </w:pPr>
      <w:r w:rsidRPr="0046724E">
        <w:rPr>
          <w:rFonts w:ascii="Arial Narrow" w:hAnsi="Arial Narrow"/>
          <w:sz w:val="18"/>
          <w:szCs w:val="18"/>
        </w:rPr>
        <w:t xml:space="preserve">Abbreviations: BP = bisphosphonate; </w:t>
      </w:r>
      <w:r w:rsidR="00D26300" w:rsidRPr="0046724E">
        <w:rPr>
          <w:rFonts w:ascii="Arial Narrow" w:hAnsi="Arial Narrow"/>
          <w:sz w:val="18"/>
          <w:szCs w:val="18"/>
        </w:rPr>
        <w:t xml:space="preserve">MM = multiple myeloma; </w:t>
      </w:r>
      <w:r w:rsidRPr="0046724E">
        <w:rPr>
          <w:rFonts w:ascii="Arial Narrow" w:hAnsi="Arial Narrow"/>
          <w:sz w:val="18"/>
          <w:szCs w:val="18"/>
        </w:rPr>
        <w:t>PBS = Pharmaceutical Benefits Scheme; RPBS = Repatriation Pharmaceutical Benefits Scheme.</w:t>
      </w:r>
    </w:p>
    <w:p w:rsidR="00427071" w:rsidRPr="0046724E" w:rsidRDefault="00427071" w:rsidP="005533D1">
      <w:pPr>
        <w:rPr>
          <w:rFonts w:ascii="Arial Narrow" w:hAnsi="Arial Narrow"/>
          <w:sz w:val="18"/>
          <w:szCs w:val="18"/>
        </w:rPr>
      </w:pPr>
      <w:r w:rsidRPr="0046724E">
        <w:rPr>
          <w:rFonts w:ascii="Arial Narrow" w:hAnsi="Arial Narrow"/>
          <w:sz w:val="18"/>
          <w:szCs w:val="18"/>
        </w:rPr>
        <w:t>Analysis assumes listing from 1 January 2019.</w:t>
      </w:r>
    </w:p>
    <w:p w:rsidR="00A42044" w:rsidRPr="0046724E" w:rsidRDefault="00427071" w:rsidP="00AC73BF">
      <w:pPr>
        <w:spacing w:after="240"/>
        <w:rPr>
          <w:rFonts w:ascii="Arial Narrow" w:hAnsi="Arial Narrow"/>
          <w:sz w:val="18"/>
          <w:szCs w:val="18"/>
        </w:rPr>
      </w:pPr>
      <w:r w:rsidRPr="0046724E">
        <w:rPr>
          <w:rFonts w:ascii="Arial Narrow" w:hAnsi="Arial Narrow"/>
          <w:sz w:val="18"/>
          <w:szCs w:val="18"/>
        </w:rPr>
        <w:t xml:space="preserve">a. Costs represent DPMQ – </w:t>
      </w:r>
      <w:proofErr w:type="spellStart"/>
      <w:r w:rsidRPr="0046724E">
        <w:rPr>
          <w:rFonts w:ascii="Arial Narrow" w:hAnsi="Arial Narrow"/>
          <w:sz w:val="18"/>
          <w:szCs w:val="18"/>
        </w:rPr>
        <w:t>copayment</w:t>
      </w:r>
      <w:proofErr w:type="spellEnd"/>
      <w:r w:rsidRPr="0046724E">
        <w:rPr>
          <w:rFonts w:ascii="Arial Narrow" w:hAnsi="Arial Narrow"/>
          <w:sz w:val="18"/>
          <w:szCs w:val="18"/>
        </w:rPr>
        <w:t>.</w:t>
      </w:r>
    </w:p>
    <w:p w:rsidR="006B4FC6" w:rsidRDefault="00427071" w:rsidP="00AC73BF">
      <w:pPr>
        <w:numPr>
          <w:ilvl w:val="1"/>
          <w:numId w:val="5"/>
        </w:numPr>
        <w:spacing w:after="120" w:line="276" w:lineRule="auto"/>
        <w:jc w:val="both"/>
        <w:rPr>
          <w:rFonts w:asciiTheme="minorHAnsi" w:hAnsiTheme="minorHAnsi" w:cstheme="minorHAnsi"/>
        </w:rPr>
      </w:pPr>
      <w:r w:rsidRPr="0046724E">
        <w:rPr>
          <w:rFonts w:asciiTheme="minorHAnsi" w:hAnsiTheme="minorHAnsi" w:cstheme="minorHAnsi"/>
        </w:rPr>
        <w:t xml:space="preserve">The estimated net cost to the PBS/RPBS for </w:t>
      </w:r>
      <w:proofErr w:type="spellStart"/>
      <w:r w:rsidRPr="0046724E">
        <w:rPr>
          <w:rFonts w:asciiTheme="minorHAnsi" w:hAnsiTheme="minorHAnsi" w:cstheme="minorHAnsi"/>
        </w:rPr>
        <w:t>denosumab</w:t>
      </w:r>
      <w:proofErr w:type="spellEnd"/>
      <w:r w:rsidRPr="0046724E">
        <w:rPr>
          <w:rFonts w:asciiTheme="minorHAnsi" w:hAnsiTheme="minorHAnsi" w:cstheme="minorHAnsi"/>
        </w:rPr>
        <w:t xml:space="preserve"> was </w:t>
      </w:r>
      <w:r w:rsidR="00A42044">
        <w:rPr>
          <w:rFonts w:asciiTheme="minorHAnsi" w:hAnsiTheme="minorHAnsi" w:cstheme="minorHAnsi"/>
        </w:rPr>
        <w:t>less than $10 million</w:t>
      </w:r>
      <w:r w:rsidRPr="0046724E">
        <w:rPr>
          <w:rFonts w:asciiTheme="minorHAnsi" w:hAnsiTheme="minorHAnsi" w:cstheme="minorHAnsi"/>
        </w:rPr>
        <w:t xml:space="preserve"> in Year 1, increasing to </w:t>
      </w:r>
      <w:r w:rsidR="00A42044">
        <w:rPr>
          <w:rFonts w:asciiTheme="minorHAnsi" w:hAnsiTheme="minorHAnsi" w:cstheme="minorHAnsi"/>
        </w:rPr>
        <w:t>less than $10 million</w:t>
      </w:r>
      <w:r w:rsidRPr="0046724E">
        <w:rPr>
          <w:rFonts w:asciiTheme="minorHAnsi" w:hAnsiTheme="minorHAnsi" w:cstheme="minorHAnsi"/>
        </w:rPr>
        <w:t xml:space="preserve"> in Year 6,</w:t>
      </w:r>
      <w:r w:rsidR="004B1608" w:rsidRPr="0046724E">
        <w:rPr>
          <w:rFonts w:asciiTheme="minorHAnsi" w:hAnsiTheme="minorHAnsi" w:cstheme="minorHAnsi"/>
        </w:rPr>
        <w:t xml:space="preserve"> with</w:t>
      </w:r>
      <w:r w:rsidRPr="0046724E">
        <w:rPr>
          <w:rFonts w:asciiTheme="minorHAnsi" w:hAnsiTheme="minorHAnsi" w:cstheme="minorHAnsi"/>
        </w:rPr>
        <w:t xml:space="preserve"> a total cost of </w:t>
      </w:r>
      <w:r w:rsidR="00A42044">
        <w:rPr>
          <w:rFonts w:asciiTheme="minorHAnsi" w:hAnsiTheme="minorHAnsi" w:cstheme="minorHAnsi"/>
        </w:rPr>
        <w:t>$30 – $60 million</w:t>
      </w:r>
      <w:r w:rsidRPr="0046724E">
        <w:rPr>
          <w:rFonts w:asciiTheme="minorHAnsi" w:hAnsiTheme="minorHAnsi" w:cstheme="minorHAnsi"/>
        </w:rPr>
        <w:t xml:space="preserve"> in the first 6 years of listing. </w:t>
      </w:r>
      <w:r w:rsidR="00B81A8D" w:rsidRPr="0046724E">
        <w:rPr>
          <w:rFonts w:asciiTheme="minorHAnsi" w:hAnsiTheme="minorHAnsi" w:cstheme="minorHAnsi"/>
        </w:rPr>
        <w:t xml:space="preserve">This compares </w:t>
      </w:r>
      <w:r w:rsidR="0037773E" w:rsidRPr="0046724E">
        <w:rPr>
          <w:rFonts w:asciiTheme="minorHAnsi" w:hAnsiTheme="minorHAnsi" w:cstheme="minorHAnsi"/>
        </w:rPr>
        <w:t xml:space="preserve">with </w:t>
      </w:r>
      <w:r w:rsidR="00CC7DD9">
        <w:rPr>
          <w:rFonts w:asciiTheme="minorHAnsi" w:hAnsiTheme="minorHAnsi" w:cstheme="minorHAnsi"/>
        </w:rPr>
        <w:t>$60 – $100 million</w:t>
      </w:r>
      <w:r w:rsidR="00B55A73" w:rsidRPr="0046724E">
        <w:rPr>
          <w:rFonts w:asciiTheme="minorHAnsi" w:hAnsiTheme="minorHAnsi" w:cstheme="minorHAnsi"/>
        </w:rPr>
        <w:t xml:space="preserve"> in the first 6 years of listing</w:t>
      </w:r>
      <w:r w:rsidR="00B81A8D" w:rsidRPr="0046724E">
        <w:rPr>
          <w:rFonts w:asciiTheme="minorHAnsi" w:hAnsiTheme="minorHAnsi" w:cstheme="minorHAnsi"/>
        </w:rPr>
        <w:t xml:space="preserve"> in </w:t>
      </w:r>
      <w:r w:rsidR="004B1608" w:rsidRPr="0046724E">
        <w:rPr>
          <w:rFonts w:asciiTheme="minorHAnsi" w:hAnsiTheme="minorHAnsi" w:cstheme="minorHAnsi"/>
        </w:rPr>
        <w:t xml:space="preserve">the </w:t>
      </w:r>
      <w:r w:rsidR="00B81A8D" w:rsidRPr="0046724E">
        <w:rPr>
          <w:rFonts w:asciiTheme="minorHAnsi" w:hAnsiTheme="minorHAnsi" w:cstheme="minorHAnsi"/>
        </w:rPr>
        <w:t>July 2018</w:t>
      </w:r>
      <w:r w:rsidR="004B1608" w:rsidRPr="0046724E">
        <w:rPr>
          <w:rFonts w:asciiTheme="minorHAnsi" w:hAnsiTheme="minorHAnsi" w:cstheme="minorHAnsi"/>
        </w:rPr>
        <w:t xml:space="preserve"> major submission</w:t>
      </w:r>
      <w:r w:rsidR="00B81A8D" w:rsidRPr="0046724E">
        <w:rPr>
          <w:rFonts w:asciiTheme="minorHAnsi" w:hAnsiTheme="minorHAnsi" w:cstheme="minorHAnsi"/>
        </w:rPr>
        <w:t xml:space="preserve">. The estimates including the 10% statutory discount from April 2021 were </w:t>
      </w:r>
      <w:r w:rsidR="00CC7DD9">
        <w:rPr>
          <w:rFonts w:asciiTheme="minorHAnsi" w:hAnsiTheme="minorHAnsi" w:cstheme="minorHAnsi"/>
        </w:rPr>
        <w:t>less than $10 million</w:t>
      </w:r>
      <w:r w:rsidR="00B81A8D" w:rsidRPr="0046724E">
        <w:rPr>
          <w:rFonts w:asciiTheme="minorHAnsi" w:hAnsiTheme="minorHAnsi" w:cstheme="minorHAnsi"/>
        </w:rPr>
        <w:t xml:space="preserve"> in Year 1, increasing to </w:t>
      </w:r>
      <w:r w:rsidR="00CC7DD9">
        <w:rPr>
          <w:rFonts w:asciiTheme="minorHAnsi" w:hAnsiTheme="minorHAnsi" w:cstheme="minorHAnsi"/>
        </w:rPr>
        <w:t>less than $10 million</w:t>
      </w:r>
      <w:r w:rsidR="00B81A8D" w:rsidRPr="0046724E">
        <w:rPr>
          <w:rFonts w:asciiTheme="minorHAnsi" w:hAnsiTheme="minorHAnsi" w:cstheme="minorHAnsi"/>
        </w:rPr>
        <w:t xml:space="preserve"> in Year 6, </w:t>
      </w:r>
      <w:r w:rsidR="00D26300" w:rsidRPr="0046724E">
        <w:rPr>
          <w:rFonts w:asciiTheme="minorHAnsi" w:hAnsiTheme="minorHAnsi" w:cstheme="minorHAnsi"/>
        </w:rPr>
        <w:t xml:space="preserve">with </w:t>
      </w:r>
      <w:r w:rsidR="00B81A8D" w:rsidRPr="0046724E">
        <w:rPr>
          <w:rFonts w:asciiTheme="minorHAnsi" w:hAnsiTheme="minorHAnsi" w:cstheme="minorHAnsi"/>
        </w:rPr>
        <w:t xml:space="preserve">a total of </w:t>
      </w:r>
      <w:r w:rsidR="00CC7DD9">
        <w:rPr>
          <w:rFonts w:asciiTheme="minorHAnsi" w:hAnsiTheme="minorHAnsi" w:cstheme="minorHAnsi"/>
        </w:rPr>
        <w:t>$30 – $60 million</w:t>
      </w:r>
      <w:r w:rsidR="00B81A8D" w:rsidRPr="0046724E">
        <w:rPr>
          <w:rFonts w:asciiTheme="minorHAnsi" w:hAnsiTheme="minorHAnsi" w:cstheme="minorHAnsi"/>
        </w:rPr>
        <w:t xml:space="preserve"> in the first 6 years of listing).</w:t>
      </w:r>
    </w:p>
    <w:p w:rsidR="00DE6F8E" w:rsidRPr="0046724E" w:rsidRDefault="00DE6F8E" w:rsidP="00DE6F8E">
      <w:pPr>
        <w:rPr>
          <w:rFonts w:asciiTheme="minorHAnsi" w:hAnsiTheme="minorHAnsi"/>
        </w:rPr>
      </w:pPr>
      <w:r w:rsidRPr="0046724E">
        <w:rPr>
          <w:rFonts w:asciiTheme="minorHAnsi" w:hAnsiTheme="minorHAnsi"/>
          <w:i/>
        </w:rPr>
        <w:t>For more detail on PBAC’s view, see section 7 PBAC outcome.</w:t>
      </w:r>
    </w:p>
    <w:p w:rsidR="007421D2" w:rsidRPr="004007DB" w:rsidRDefault="007421D2" w:rsidP="00222A40">
      <w:pPr>
        <w:pStyle w:val="Heading1"/>
        <w:keepNext/>
        <w:keepLines/>
        <w:widowControl/>
        <w:numPr>
          <w:ilvl w:val="0"/>
          <w:numId w:val="14"/>
        </w:numPr>
        <w:spacing w:before="240" w:after="120"/>
        <w:ind w:left="709" w:hanging="709"/>
        <w:contextualSpacing w:val="0"/>
        <w:jc w:val="left"/>
        <w:rPr>
          <w:rFonts w:asciiTheme="minorHAnsi" w:hAnsiTheme="minorHAnsi"/>
          <w:b w:val="0"/>
          <w:bCs/>
          <w:sz w:val="32"/>
        </w:rPr>
      </w:pPr>
      <w:r w:rsidRPr="004007DB">
        <w:rPr>
          <w:rFonts w:asciiTheme="minorHAnsi" w:hAnsiTheme="minorHAnsi"/>
          <w:sz w:val="32"/>
          <w:szCs w:val="32"/>
        </w:rPr>
        <w:t>PBAC</w:t>
      </w:r>
      <w:r w:rsidRPr="004007DB">
        <w:rPr>
          <w:rFonts w:asciiTheme="minorHAnsi" w:hAnsiTheme="minorHAnsi"/>
          <w:bCs/>
          <w:sz w:val="32"/>
        </w:rPr>
        <w:t xml:space="preserve"> Outcome</w:t>
      </w:r>
    </w:p>
    <w:p w:rsidR="002E6C36" w:rsidRPr="00981A70" w:rsidRDefault="002E6C36" w:rsidP="00CB1AD8">
      <w:pPr>
        <w:widowControl w:val="0"/>
        <w:numPr>
          <w:ilvl w:val="1"/>
          <w:numId w:val="5"/>
        </w:numPr>
        <w:spacing w:after="120"/>
        <w:jc w:val="both"/>
        <w:rPr>
          <w:rFonts w:asciiTheme="minorHAnsi" w:hAnsiTheme="minorHAnsi" w:cs="Arial"/>
          <w:bCs/>
          <w:snapToGrid w:val="0"/>
        </w:rPr>
      </w:pPr>
      <w:r w:rsidRPr="00981A70">
        <w:rPr>
          <w:rFonts w:asciiTheme="minorHAnsi" w:hAnsiTheme="minorHAnsi" w:cs="Arial"/>
          <w:bCs/>
          <w:snapToGrid w:val="0"/>
        </w:rPr>
        <w:t xml:space="preserve">The PBAC did not recommend the PBS listing of </w:t>
      </w:r>
      <w:proofErr w:type="spellStart"/>
      <w:r w:rsidRPr="00981A70">
        <w:rPr>
          <w:rFonts w:asciiTheme="minorHAnsi" w:hAnsiTheme="minorHAnsi" w:cs="Arial"/>
          <w:bCs/>
          <w:snapToGrid w:val="0"/>
        </w:rPr>
        <w:t>denosumab</w:t>
      </w:r>
      <w:proofErr w:type="spellEnd"/>
      <w:r w:rsidRPr="00981A70">
        <w:rPr>
          <w:rFonts w:asciiTheme="minorHAnsi" w:hAnsiTheme="minorHAnsi" w:cs="Arial"/>
          <w:bCs/>
          <w:snapToGrid w:val="0"/>
        </w:rPr>
        <w:t xml:space="preserve"> for the treatment of multiple myeloma on the basis that the </w:t>
      </w:r>
      <w:r w:rsidR="00342943" w:rsidRPr="00981A70">
        <w:rPr>
          <w:rFonts w:asciiTheme="minorHAnsi" w:hAnsiTheme="minorHAnsi" w:cs="Arial"/>
          <w:bCs/>
          <w:snapToGrid w:val="0"/>
        </w:rPr>
        <w:t xml:space="preserve">price proposal did not meet the requirements of a </w:t>
      </w:r>
      <w:r w:rsidRPr="00981A70">
        <w:rPr>
          <w:rFonts w:asciiTheme="minorHAnsi" w:hAnsiTheme="minorHAnsi" w:cs="Arial"/>
          <w:bCs/>
          <w:snapToGrid w:val="0"/>
        </w:rPr>
        <w:t xml:space="preserve">cost </w:t>
      </w:r>
      <w:r w:rsidR="00342943" w:rsidRPr="00981A70">
        <w:rPr>
          <w:rFonts w:asciiTheme="minorHAnsi" w:hAnsiTheme="minorHAnsi" w:cs="Arial"/>
          <w:bCs/>
          <w:snapToGrid w:val="0"/>
        </w:rPr>
        <w:t>minimisation analysis</w:t>
      </w:r>
      <w:r w:rsidRPr="00981A70">
        <w:rPr>
          <w:rFonts w:asciiTheme="minorHAnsi" w:hAnsiTheme="minorHAnsi" w:cs="Arial"/>
          <w:bCs/>
          <w:snapToGrid w:val="0"/>
        </w:rPr>
        <w:t>.</w:t>
      </w:r>
    </w:p>
    <w:p w:rsidR="0062292B" w:rsidRPr="0046724E" w:rsidRDefault="002E6C36" w:rsidP="0062292B">
      <w:pPr>
        <w:widowControl w:val="0"/>
        <w:numPr>
          <w:ilvl w:val="1"/>
          <w:numId w:val="5"/>
        </w:numPr>
        <w:spacing w:after="120"/>
        <w:jc w:val="both"/>
        <w:rPr>
          <w:rFonts w:asciiTheme="minorHAnsi" w:eastAsiaTheme="minorHAnsi" w:hAnsiTheme="minorHAnsi" w:cstheme="minorBidi"/>
          <w:b/>
          <w:u w:val="single"/>
        </w:rPr>
      </w:pPr>
      <w:r w:rsidRPr="00981A70">
        <w:rPr>
          <w:rFonts w:asciiTheme="minorHAnsi" w:hAnsiTheme="minorHAnsi" w:cs="Arial"/>
          <w:bCs/>
          <w:snapToGrid w:val="0"/>
        </w:rPr>
        <w:t xml:space="preserve">The PBAC accepted that </w:t>
      </w:r>
      <w:proofErr w:type="spellStart"/>
      <w:r w:rsidRPr="00981A70">
        <w:rPr>
          <w:rFonts w:asciiTheme="minorHAnsi" w:hAnsiTheme="minorHAnsi" w:cs="Arial"/>
          <w:bCs/>
          <w:snapToGrid w:val="0"/>
        </w:rPr>
        <w:t>zoledronic</w:t>
      </w:r>
      <w:proofErr w:type="spellEnd"/>
      <w:r w:rsidRPr="00981A70">
        <w:rPr>
          <w:rFonts w:asciiTheme="minorHAnsi" w:hAnsiTheme="minorHAnsi" w:cs="Arial"/>
          <w:bCs/>
          <w:snapToGrid w:val="0"/>
        </w:rPr>
        <w:t xml:space="preserve"> acid </w:t>
      </w:r>
      <w:r w:rsidR="00342943" w:rsidRPr="00981A70">
        <w:rPr>
          <w:rFonts w:asciiTheme="minorHAnsi" w:hAnsiTheme="minorHAnsi" w:cs="Arial"/>
          <w:bCs/>
          <w:snapToGrid w:val="0"/>
        </w:rPr>
        <w:t xml:space="preserve">and </w:t>
      </w:r>
      <w:proofErr w:type="spellStart"/>
      <w:r w:rsidR="00342943" w:rsidRPr="00981A70">
        <w:rPr>
          <w:rFonts w:asciiTheme="minorHAnsi" w:hAnsiTheme="minorHAnsi" w:cs="Arial"/>
          <w:bCs/>
          <w:snapToGrid w:val="0"/>
        </w:rPr>
        <w:t>pamidronate</w:t>
      </w:r>
      <w:proofErr w:type="spellEnd"/>
      <w:r w:rsidR="00342943" w:rsidRPr="00981A70">
        <w:rPr>
          <w:rFonts w:asciiTheme="minorHAnsi" w:hAnsiTheme="minorHAnsi" w:cs="Arial"/>
          <w:bCs/>
          <w:snapToGrid w:val="0"/>
        </w:rPr>
        <w:t xml:space="preserve"> were</w:t>
      </w:r>
      <w:r w:rsidRPr="00981A70">
        <w:rPr>
          <w:rFonts w:asciiTheme="minorHAnsi" w:hAnsiTheme="minorHAnsi" w:cs="Arial"/>
          <w:bCs/>
          <w:snapToGrid w:val="0"/>
        </w:rPr>
        <w:t xml:space="preserve"> appropriate comparator</w:t>
      </w:r>
      <w:r w:rsidR="00342943" w:rsidRPr="00981A70">
        <w:rPr>
          <w:rFonts w:asciiTheme="minorHAnsi" w:hAnsiTheme="minorHAnsi" w:cs="Arial"/>
          <w:bCs/>
          <w:snapToGrid w:val="0"/>
        </w:rPr>
        <w:t>s</w:t>
      </w:r>
      <w:r w:rsidRPr="00981A70">
        <w:rPr>
          <w:rFonts w:asciiTheme="minorHAnsi" w:hAnsiTheme="minorHAnsi" w:cs="Arial"/>
          <w:bCs/>
          <w:snapToGrid w:val="0"/>
        </w:rPr>
        <w:t>.</w:t>
      </w:r>
    </w:p>
    <w:p w:rsidR="0062292B" w:rsidRPr="00EB51C1" w:rsidRDefault="0062292B" w:rsidP="0062292B">
      <w:pPr>
        <w:pStyle w:val="ListParagraph"/>
        <w:widowControl/>
        <w:spacing w:before="120" w:after="120"/>
        <w:jc w:val="center"/>
        <w:rPr>
          <w:rFonts w:asciiTheme="minorHAnsi" w:eastAsiaTheme="minorHAnsi" w:hAnsiTheme="minorHAnsi" w:cstheme="minorBidi"/>
          <w:b/>
          <w:sz w:val="24"/>
          <w:szCs w:val="24"/>
          <w:u w:val="single"/>
        </w:rPr>
      </w:pPr>
      <w:r w:rsidRPr="00EB51C1">
        <w:rPr>
          <w:rFonts w:asciiTheme="minorHAnsi" w:eastAsiaTheme="minorHAnsi" w:hAnsiTheme="minorHAnsi" w:cstheme="minorBidi"/>
          <w:b/>
          <w:sz w:val="24"/>
          <w:szCs w:val="24"/>
          <w:u w:val="single"/>
        </w:rPr>
        <w:t>Committee-in-confidence information</w:t>
      </w:r>
    </w:p>
    <w:p w:rsidR="0062292B" w:rsidRPr="00804AA3" w:rsidRDefault="00804AA3" w:rsidP="0062292B">
      <w:pPr>
        <w:pStyle w:val="ListParagraph"/>
        <w:widowControl/>
        <w:jc w:val="left"/>
        <w:rPr>
          <w:rFonts w:asciiTheme="minorHAnsi" w:hAnsiTheme="minorHAnsi"/>
          <w:bCs/>
          <w:sz w:val="24"/>
          <w:szCs w:val="24"/>
          <w:highlight w:val="black"/>
        </w:rPr>
      </w:pPr>
      <w:r>
        <w:rPr>
          <w:rFonts w:asciiTheme="minorHAnsi" w:hAnsiTheme="minorHAnsi"/>
          <w:bCs/>
          <w:noProof/>
          <w:color w:val="000000"/>
          <w:sz w:val="24"/>
          <w:szCs w:val="24"/>
          <w:highlight w:val="black"/>
        </w:rPr>
        <w:t>''''''' ''''''''' ''''''''''''' '''''''' '''''''''''''''''''''' '''''''' ''''' '''''''''''' ''' ''''''''''''''''' '''''''''''''''''''''''' ''''' ''' ''' '''' ''''''' ''''''''''''''' ''''' ''''''''''' ''''''''''''''''''</w:t>
      </w:r>
      <w:bookmarkStart w:id="4" w:name="_GoBack"/>
      <w:bookmarkEnd w:id="4"/>
    </w:p>
    <w:p w:rsidR="0062292B" w:rsidRPr="0046724E" w:rsidRDefault="0062292B" w:rsidP="0062292B">
      <w:pPr>
        <w:pStyle w:val="ListParagraph"/>
        <w:widowControl/>
        <w:spacing w:before="120" w:after="120"/>
        <w:jc w:val="center"/>
        <w:rPr>
          <w:rFonts w:asciiTheme="minorHAnsi" w:eastAsiaTheme="minorHAnsi" w:hAnsiTheme="minorHAnsi" w:cstheme="minorBidi"/>
          <w:b/>
          <w:sz w:val="24"/>
          <w:szCs w:val="24"/>
          <w:u w:val="single"/>
        </w:rPr>
      </w:pPr>
      <w:r w:rsidRPr="0046724E">
        <w:rPr>
          <w:rFonts w:asciiTheme="minorHAnsi" w:eastAsiaTheme="minorHAnsi" w:hAnsiTheme="minorHAnsi" w:cstheme="minorBidi"/>
          <w:b/>
          <w:sz w:val="24"/>
          <w:szCs w:val="24"/>
          <w:u w:val="single"/>
        </w:rPr>
        <w:t>End Committee-in-confidence information</w:t>
      </w:r>
    </w:p>
    <w:p w:rsidR="00AD7443" w:rsidRPr="00981A70" w:rsidRDefault="00AD7443" w:rsidP="002E6C36">
      <w:pPr>
        <w:widowControl w:val="0"/>
        <w:numPr>
          <w:ilvl w:val="1"/>
          <w:numId w:val="5"/>
        </w:numPr>
        <w:spacing w:after="120"/>
        <w:jc w:val="both"/>
        <w:rPr>
          <w:rFonts w:asciiTheme="minorHAnsi" w:hAnsiTheme="minorHAnsi" w:cs="Arial"/>
          <w:bCs/>
          <w:snapToGrid w:val="0"/>
        </w:rPr>
      </w:pPr>
      <w:r w:rsidRPr="00981A70">
        <w:rPr>
          <w:rFonts w:asciiTheme="minorHAnsi" w:hAnsiTheme="minorHAnsi" w:cs="Arial"/>
          <w:bCs/>
          <w:snapToGrid w:val="0"/>
        </w:rPr>
        <w:t>The PBAC noted the modest clinical need, given the present availability of alternative treatments.</w:t>
      </w:r>
    </w:p>
    <w:p w:rsidR="00674F0F" w:rsidRPr="00981A70" w:rsidRDefault="00EC3267" w:rsidP="002E6C36">
      <w:pPr>
        <w:widowControl w:val="0"/>
        <w:numPr>
          <w:ilvl w:val="1"/>
          <w:numId w:val="5"/>
        </w:numPr>
        <w:spacing w:after="120"/>
        <w:jc w:val="both"/>
        <w:rPr>
          <w:rFonts w:asciiTheme="minorHAnsi" w:hAnsiTheme="minorHAnsi" w:cs="Arial"/>
          <w:bCs/>
          <w:snapToGrid w:val="0"/>
        </w:rPr>
      </w:pPr>
      <w:r w:rsidRPr="00981A70">
        <w:rPr>
          <w:rFonts w:asciiTheme="minorHAnsi" w:hAnsiTheme="minorHAnsi" w:cs="Arial"/>
          <w:bCs/>
          <w:snapToGrid w:val="0"/>
        </w:rPr>
        <w:t xml:space="preserve">The PBAC considered that the claim of non-inferior comparative effectiveness and similar comparative safety to </w:t>
      </w:r>
      <w:proofErr w:type="spellStart"/>
      <w:r w:rsidRPr="00981A70">
        <w:rPr>
          <w:rFonts w:asciiTheme="minorHAnsi" w:hAnsiTheme="minorHAnsi" w:cs="Arial"/>
          <w:bCs/>
          <w:snapToGrid w:val="0"/>
        </w:rPr>
        <w:t>zoledronic</w:t>
      </w:r>
      <w:proofErr w:type="spellEnd"/>
      <w:r w:rsidRPr="00981A70">
        <w:rPr>
          <w:rFonts w:asciiTheme="minorHAnsi" w:hAnsiTheme="minorHAnsi" w:cs="Arial"/>
          <w:bCs/>
          <w:snapToGrid w:val="0"/>
        </w:rPr>
        <w:t xml:space="preserve"> acid </w:t>
      </w:r>
      <w:proofErr w:type="gramStart"/>
      <w:r w:rsidRPr="00981A70">
        <w:rPr>
          <w:rFonts w:asciiTheme="minorHAnsi" w:hAnsiTheme="minorHAnsi" w:cs="Arial"/>
          <w:bCs/>
          <w:snapToGrid w:val="0"/>
        </w:rPr>
        <w:t>was reasonably supported</w:t>
      </w:r>
      <w:proofErr w:type="gramEnd"/>
      <w:r w:rsidRPr="00981A70">
        <w:rPr>
          <w:rFonts w:asciiTheme="minorHAnsi" w:hAnsiTheme="minorHAnsi" w:cs="Arial"/>
          <w:bCs/>
          <w:snapToGrid w:val="0"/>
        </w:rPr>
        <w:t xml:space="preserve"> by the data.</w:t>
      </w:r>
    </w:p>
    <w:p w:rsidR="00674F0F" w:rsidRPr="00981A70" w:rsidRDefault="00EC3267" w:rsidP="004064E4">
      <w:pPr>
        <w:widowControl w:val="0"/>
        <w:numPr>
          <w:ilvl w:val="1"/>
          <w:numId w:val="5"/>
        </w:numPr>
        <w:spacing w:after="120"/>
        <w:jc w:val="both"/>
        <w:rPr>
          <w:rFonts w:asciiTheme="minorHAnsi" w:hAnsiTheme="minorHAnsi" w:cs="Arial"/>
          <w:bCs/>
          <w:snapToGrid w:val="0"/>
        </w:rPr>
      </w:pPr>
      <w:r w:rsidRPr="00981A70">
        <w:rPr>
          <w:rFonts w:asciiTheme="minorHAnsi" w:hAnsiTheme="minorHAnsi" w:cs="Arial"/>
          <w:bCs/>
          <w:snapToGrid w:val="0"/>
        </w:rPr>
        <w:t>The PBAC noted that t</w:t>
      </w:r>
      <w:r w:rsidR="00674F0F" w:rsidRPr="00981A70">
        <w:rPr>
          <w:rFonts w:asciiTheme="minorHAnsi" w:hAnsiTheme="minorHAnsi" w:cs="Arial"/>
          <w:bCs/>
          <w:snapToGrid w:val="0"/>
        </w:rPr>
        <w:t>he</w:t>
      </w:r>
      <w:r w:rsidR="00B34B0C" w:rsidRPr="00981A70">
        <w:rPr>
          <w:rFonts w:asciiTheme="minorHAnsi" w:hAnsiTheme="minorHAnsi" w:cs="Arial"/>
          <w:bCs/>
          <w:snapToGrid w:val="0"/>
        </w:rPr>
        <w:t xml:space="preserve"> cost-minimisation approach proposed by the sponsor included </w:t>
      </w:r>
      <w:r w:rsidR="00A0164E" w:rsidRPr="00981A70">
        <w:rPr>
          <w:rFonts w:asciiTheme="minorHAnsi" w:hAnsiTheme="minorHAnsi" w:cs="Arial"/>
          <w:bCs/>
          <w:snapToGrid w:val="0"/>
        </w:rPr>
        <w:t xml:space="preserve">substantial </w:t>
      </w:r>
      <w:r w:rsidR="00B34B0C" w:rsidRPr="00981A70">
        <w:rPr>
          <w:rFonts w:asciiTheme="minorHAnsi" w:hAnsiTheme="minorHAnsi" w:cs="Arial"/>
          <w:bCs/>
          <w:snapToGrid w:val="0"/>
        </w:rPr>
        <w:t xml:space="preserve">cost-offsets for </w:t>
      </w:r>
      <w:r w:rsidR="00CB1AD8" w:rsidRPr="00981A70">
        <w:rPr>
          <w:rFonts w:asciiTheme="minorHAnsi" w:hAnsiTheme="minorHAnsi" w:cs="Arial"/>
          <w:bCs/>
          <w:snapToGrid w:val="0"/>
        </w:rPr>
        <w:t xml:space="preserve">the </w:t>
      </w:r>
      <w:r w:rsidR="00B34B0C" w:rsidRPr="00981A70">
        <w:rPr>
          <w:rFonts w:asciiTheme="minorHAnsi" w:hAnsiTheme="minorHAnsi" w:cs="Arial"/>
          <w:bCs/>
          <w:snapToGrid w:val="0"/>
        </w:rPr>
        <w:t xml:space="preserve">IV administration of </w:t>
      </w:r>
      <w:proofErr w:type="spellStart"/>
      <w:r w:rsidR="00B34B0C" w:rsidRPr="00981A70">
        <w:rPr>
          <w:rFonts w:asciiTheme="minorHAnsi" w:hAnsiTheme="minorHAnsi" w:cs="Arial"/>
          <w:bCs/>
          <w:snapToGrid w:val="0"/>
        </w:rPr>
        <w:t>zoledronic</w:t>
      </w:r>
      <w:proofErr w:type="spellEnd"/>
      <w:r w:rsidR="00B34B0C" w:rsidRPr="00981A70">
        <w:rPr>
          <w:rFonts w:asciiTheme="minorHAnsi" w:hAnsiTheme="minorHAnsi" w:cs="Arial"/>
          <w:bCs/>
          <w:snapToGrid w:val="0"/>
        </w:rPr>
        <w:t xml:space="preserve"> acid or </w:t>
      </w:r>
      <w:proofErr w:type="spellStart"/>
      <w:r w:rsidR="00B34B0C" w:rsidRPr="00981A70">
        <w:rPr>
          <w:rFonts w:asciiTheme="minorHAnsi" w:hAnsiTheme="minorHAnsi" w:cs="Arial"/>
          <w:bCs/>
          <w:snapToGrid w:val="0"/>
        </w:rPr>
        <w:t>pamidronate</w:t>
      </w:r>
      <w:proofErr w:type="spellEnd"/>
      <w:r w:rsidR="00B34B0C" w:rsidRPr="00981A70">
        <w:rPr>
          <w:rFonts w:asciiTheme="minorHAnsi" w:hAnsiTheme="minorHAnsi" w:cs="Arial"/>
          <w:bCs/>
          <w:snapToGrid w:val="0"/>
        </w:rPr>
        <w:t xml:space="preserve">. </w:t>
      </w:r>
      <w:r w:rsidR="00A0164E" w:rsidRPr="00981A70">
        <w:rPr>
          <w:rFonts w:asciiTheme="minorHAnsi" w:hAnsiTheme="minorHAnsi" w:cs="Arial"/>
          <w:bCs/>
          <w:snapToGrid w:val="0"/>
        </w:rPr>
        <w:t xml:space="preserve">The PBAC noted the advice from the Medical Benefits Division that administration of bisphosphonates </w:t>
      </w:r>
      <w:proofErr w:type="gramStart"/>
      <w:r w:rsidR="00A0164E" w:rsidRPr="00981A70">
        <w:rPr>
          <w:rFonts w:asciiTheme="minorHAnsi" w:hAnsiTheme="minorHAnsi" w:cs="Arial"/>
          <w:bCs/>
          <w:snapToGrid w:val="0"/>
        </w:rPr>
        <w:t>is reimbursed</w:t>
      </w:r>
      <w:proofErr w:type="gramEnd"/>
      <w:r w:rsidR="00A0164E" w:rsidRPr="00981A70">
        <w:rPr>
          <w:rFonts w:asciiTheme="minorHAnsi" w:hAnsiTheme="minorHAnsi" w:cs="Arial"/>
          <w:bCs/>
          <w:snapToGrid w:val="0"/>
        </w:rPr>
        <w:t xml:space="preserve"> on a consultation basis, and would attract Schedule Fees of $76.65 or $43.65. The PBAC noted that a higher cost </w:t>
      </w:r>
      <w:r w:rsidR="0062292B" w:rsidRPr="00981A70">
        <w:rPr>
          <w:rFonts w:asciiTheme="minorHAnsi" w:hAnsiTheme="minorHAnsi" w:cs="Arial"/>
          <w:bCs/>
          <w:snapToGrid w:val="0"/>
        </w:rPr>
        <w:t>for</w:t>
      </w:r>
      <w:r w:rsidR="00A0164E" w:rsidRPr="00981A70">
        <w:rPr>
          <w:rFonts w:asciiTheme="minorHAnsi" w:hAnsiTheme="minorHAnsi" w:cs="Arial"/>
          <w:bCs/>
          <w:snapToGrid w:val="0"/>
        </w:rPr>
        <w:t xml:space="preserve"> infusions </w:t>
      </w:r>
      <w:r w:rsidR="0062292B" w:rsidRPr="00981A70">
        <w:rPr>
          <w:rFonts w:asciiTheme="minorHAnsi" w:hAnsiTheme="minorHAnsi" w:cs="Arial"/>
          <w:bCs/>
          <w:snapToGrid w:val="0"/>
        </w:rPr>
        <w:t xml:space="preserve">to include activity-based costing for hospital funding </w:t>
      </w:r>
      <w:proofErr w:type="gramStart"/>
      <w:r w:rsidR="0062292B" w:rsidRPr="00981A70">
        <w:rPr>
          <w:rFonts w:asciiTheme="minorHAnsi" w:hAnsiTheme="minorHAnsi" w:cs="Arial"/>
          <w:bCs/>
          <w:snapToGrid w:val="0"/>
        </w:rPr>
        <w:t>is not routinely considered</w:t>
      </w:r>
      <w:proofErr w:type="gramEnd"/>
      <w:r w:rsidR="00A0164E" w:rsidRPr="00981A70">
        <w:rPr>
          <w:rFonts w:asciiTheme="minorHAnsi" w:hAnsiTheme="minorHAnsi" w:cs="Arial"/>
          <w:bCs/>
          <w:snapToGrid w:val="0"/>
        </w:rPr>
        <w:t xml:space="preserve"> by PBAC</w:t>
      </w:r>
      <w:r w:rsidR="00A1674A" w:rsidRPr="00981A70">
        <w:rPr>
          <w:rFonts w:asciiTheme="minorHAnsi" w:hAnsiTheme="minorHAnsi" w:cs="Arial"/>
          <w:bCs/>
          <w:snapToGrid w:val="0"/>
        </w:rPr>
        <w:t xml:space="preserve"> for the purpose of cost-minimisation, as some costs associated with the prescribing and administration by </w:t>
      </w:r>
      <w:r w:rsidR="00BA6F21" w:rsidRPr="000964D4">
        <w:rPr>
          <w:rFonts w:asciiTheme="minorHAnsi" w:hAnsiTheme="minorHAnsi" w:cs="Arial"/>
          <w:bCs/>
          <w:snapToGrid w:val="0"/>
        </w:rPr>
        <w:t>other health professionals</w:t>
      </w:r>
      <w:r w:rsidR="00A1674A" w:rsidRPr="00981A70">
        <w:rPr>
          <w:rFonts w:asciiTheme="minorHAnsi" w:hAnsiTheme="minorHAnsi" w:cs="Arial"/>
          <w:bCs/>
          <w:snapToGrid w:val="0"/>
        </w:rPr>
        <w:t xml:space="preserve"> could apply to </w:t>
      </w:r>
      <w:r w:rsidR="00A1674A" w:rsidRPr="00981A70">
        <w:rPr>
          <w:rFonts w:asciiTheme="minorHAnsi" w:hAnsiTheme="minorHAnsi" w:cs="Arial"/>
          <w:bCs/>
          <w:snapToGrid w:val="0"/>
        </w:rPr>
        <w:lastRenderedPageBreak/>
        <w:t>all drugs on the PBS</w:t>
      </w:r>
      <w:r w:rsidR="00A0164E" w:rsidRPr="00981A70">
        <w:rPr>
          <w:rFonts w:asciiTheme="minorHAnsi" w:hAnsiTheme="minorHAnsi" w:cs="Arial"/>
          <w:bCs/>
          <w:snapToGrid w:val="0"/>
        </w:rPr>
        <w:t xml:space="preserve">. </w:t>
      </w:r>
      <w:r w:rsidR="00D5584C" w:rsidRPr="00981A70">
        <w:rPr>
          <w:rFonts w:asciiTheme="minorHAnsi" w:hAnsiTheme="minorHAnsi" w:cs="Arial"/>
          <w:bCs/>
          <w:snapToGrid w:val="0"/>
        </w:rPr>
        <w:t xml:space="preserve">The latest </w:t>
      </w:r>
      <w:r w:rsidR="00D5584C" w:rsidRPr="00CF13B5">
        <w:rPr>
          <w:rFonts w:asciiTheme="minorHAnsi" w:hAnsiTheme="minorHAnsi" w:cstheme="minorHAnsi"/>
          <w:i/>
        </w:rPr>
        <w:t>Manual of resource items and their associated costs</w:t>
      </w:r>
      <w:r w:rsidR="00D5584C" w:rsidRPr="00981A70">
        <w:rPr>
          <w:rFonts w:asciiTheme="minorHAnsi" w:hAnsiTheme="minorHAnsi" w:cs="Arial"/>
          <w:bCs/>
          <w:snapToGrid w:val="0"/>
        </w:rPr>
        <w:t xml:space="preserve"> (version 5.0) specifies a preference for using only the relevant Medicare Benefits Schedule (MBS) fee if the medicine or medicinal preparation </w:t>
      </w:r>
      <w:proofErr w:type="gramStart"/>
      <w:r w:rsidR="00D5584C" w:rsidRPr="00981A70">
        <w:rPr>
          <w:rFonts w:asciiTheme="minorHAnsi" w:hAnsiTheme="minorHAnsi" w:cs="Arial"/>
          <w:bCs/>
          <w:snapToGrid w:val="0"/>
        </w:rPr>
        <w:t>is administered</w:t>
      </w:r>
      <w:proofErr w:type="gramEnd"/>
      <w:r w:rsidR="00D5584C" w:rsidRPr="00981A70">
        <w:rPr>
          <w:rFonts w:asciiTheme="minorHAnsi" w:hAnsiTheme="minorHAnsi" w:cs="Arial"/>
          <w:bCs/>
          <w:snapToGrid w:val="0"/>
        </w:rPr>
        <w:t xml:space="preserve"> by infusion.</w:t>
      </w:r>
    </w:p>
    <w:p w:rsidR="00A0164E" w:rsidRPr="00981A70" w:rsidRDefault="00EC3267" w:rsidP="002E6C36">
      <w:pPr>
        <w:widowControl w:val="0"/>
        <w:numPr>
          <w:ilvl w:val="1"/>
          <w:numId w:val="5"/>
        </w:numPr>
        <w:spacing w:after="120"/>
        <w:jc w:val="both"/>
        <w:rPr>
          <w:rFonts w:asciiTheme="minorHAnsi" w:hAnsiTheme="minorHAnsi" w:cs="Arial"/>
          <w:bCs/>
          <w:snapToGrid w:val="0"/>
        </w:rPr>
      </w:pPr>
      <w:r w:rsidRPr="00981A70">
        <w:rPr>
          <w:rFonts w:asciiTheme="minorHAnsi" w:hAnsiTheme="minorHAnsi" w:cs="Arial"/>
          <w:bCs/>
          <w:snapToGrid w:val="0"/>
        </w:rPr>
        <w:t xml:space="preserve">The PBAC is of the view that the </w:t>
      </w:r>
      <w:r w:rsidR="00A0164E" w:rsidRPr="00981A70">
        <w:rPr>
          <w:rFonts w:asciiTheme="minorHAnsi" w:hAnsiTheme="minorHAnsi" w:cs="Arial"/>
          <w:bCs/>
          <w:snapToGrid w:val="0"/>
        </w:rPr>
        <w:t xml:space="preserve">proposed price of </w:t>
      </w:r>
      <w:proofErr w:type="spellStart"/>
      <w:r w:rsidR="00A0164E" w:rsidRPr="00981A70">
        <w:rPr>
          <w:rFonts w:asciiTheme="minorHAnsi" w:hAnsiTheme="minorHAnsi" w:cs="Arial"/>
          <w:bCs/>
          <w:snapToGrid w:val="0"/>
        </w:rPr>
        <w:t>denosumab</w:t>
      </w:r>
      <w:proofErr w:type="spellEnd"/>
      <w:r w:rsidR="00A0164E" w:rsidRPr="00981A70">
        <w:rPr>
          <w:rFonts w:asciiTheme="minorHAnsi" w:hAnsiTheme="minorHAnsi" w:cs="Arial"/>
          <w:bCs/>
          <w:snapToGrid w:val="0"/>
        </w:rPr>
        <w:t xml:space="preserve">, underpinned by </w:t>
      </w:r>
      <w:r w:rsidRPr="00981A70">
        <w:rPr>
          <w:rFonts w:asciiTheme="minorHAnsi" w:hAnsiTheme="minorHAnsi" w:cs="Arial"/>
          <w:bCs/>
          <w:snapToGrid w:val="0"/>
        </w:rPr>
        <w:t>substantial</w:t>
      </w:r>
      <w:r w:rsidR="004C180B" w:rsidRPr="00981A70">
        <w:rPr>
          <w:rFonts w:asciiTheme="minorHAnsi" w:hAnsiTheme="minorHAnsi" w:cs="Arial"/>
          <w:bCs/>
          <w:snapToGrid w:val="0"/>
        </w:rPr>
        <w:t xml:space="preserve"> and uncertain</w:t>
      </w:r>
      <w:r w:rsidRPr="00981A70">
        <w:rPr>
          <w:rFonts w:asciiTheme="minorHAnsi" w:hAnsiTheme="minorHAnsi" w:cs="Arial"/>
          <w:bCs/>
          <w:snapToGrid w:val="0"/>
        </w:rPr>
        <w:t xml:space="preserve"> infusion cost </w:t>
      </w:r>
      <w:proofErr w:type="gramStart"/>
      <w:r w:rsidRPr="00981A70">
        <w:rPr>
          <w:rFonts w:asciiTheme="minorHAnsi" w:hAnsiTheme="minorHAnsi" w:cs="Arial"/>
          <w:bCs/>
          <w:snapToGrid w:val="0"/>
        </w:rPr>
        <w:t>off-sets</w:t>
      </w:r>
      <w:proofErr w:type="gramEnd"/>
      <w:r w:rsidRPr="00981A70">
        <w:rPr>
          <w:rFonts w:asciiTheme="minorHAnsi" w:hAnsiTheme="minorHAnsi" w:cs="Arial"/>
          <w:bCs/>
          <w:snapToGrid w:val="0"/>
        </w:rPr>
        <w:t>, is not currently supported.</w:t>
      </w:r>
    </w:p>
    <w:p w:rsidR="00D468F1" w:rsidRPr="00981A70" w:rsidRDefault="00D468F1" w:rsidP="00EB47B5">
      <w:pPr>
        <w:widowControl w:val="0"/>
        <w:numPr>
          <w:ilvl w:val="1"/>
          <w:numId w:val="5"/>
        </w:numPr>
        <w:spacing w:after="120"/>
        <w:jc w:val="both"/>
        <w:rPr>
          <w:rFonts w:asciiTheme="minorHAnsi" w:hAnsiTheme="minorHAnsi" w:cs="Arial"/>
          <w:bCs/>
          <w:snapToGrid w:val="0"/>
        </w:rPr>
      </w:pPr>
      <w:r w:rsidRPr="00981A70">
        <w:rPr>
          <w:rFonts w:asciiTheme="minorHAnsi" w:hAnsiTheme="minorHAnsi" w:cs="Arial"/>
          <w:bCs/>
          <w:snapToGrid w:val="0"/>
        </w:rPr>
        <w:t xml:space="preserve">The PBAC </w:t>
      </w:r>
      <w:r w:rsidR="00EB47B5" w:rsidRPr="00981A70">
        <w:rPr>
          <w:rFonts w:asciiTheme="minorHAnsi" w:hAnsiTheme="minorHAnsi" w:cs="Arial"/>
          <w:bCs/>
          <w:snapToGrid w:val="0"/>
        </w:rPr>
        <w:t xml:space="preserve">advised that </w:t>
      </w:r>
      <w:r w:rsidR="00D22BE3" w:rsidRPr="00981A70">
        <w:rPr>
          <w:rFonts w:asciiTheme="minorHAnsi" w:hAnsiTheme="minorHAnsi" w:cs="Arial"/>
          <w:bCs/>
          <w:snapToGrid w:val="0"/>
        </w:rPr>
        <w:t xml:space="preserve">any </w:t>
      </w:r>
      <w:r w:rsidR="00EB47B5" w:rsidRPr="00981A70">
        <w:rPr>
          <w:rFonts w:asciiTheme="minorHAnsi" w:hAnsiTheme="minorHAnsi" w:cs="Arial"/>
          <w:bCs/>
          <w:snapToGrid w:val="0"/>
        </w:rPr>
        <w:t xml:space="preserve">subsequent submission should consider a cost-minimisation approach that applied previously accepted infusion costs for </w:t>
      </w:r>
      <w:proofErr w:type="spellStart"/>
      <w:r w:rsidR="00EB47B5" w:rsidRPr="00981A70">
        <w:rPr>
          <w:rFonts w:asciiTheme="minorHAnsi" w:hAnsiTheme="minorHAnsi" w:cs="Arial"/>
          <w:bCs/>
          <w:snapToGrid w:val="0"/>
        </w:rPr>
        <w:t>zoledronic</w:t>
      </w:r>
      <w:proofErr w:type="spellEnd"/>
      <w:r w:rsidR="00EB47B5" w:rsidRPr="00981A70">
        <w:rPr>
          <w:rFonts w:asciiTheme="minorHAnsi" w:hAnsiTheme="minorHAnsi" w:cs="Arial"/>
          <w:bCs/>
          <w:snapToGrid w:val="0"/>
        </w:rPr>
        <w:t xml:space="preserve"> acid and </w:t>
      </w:r>
      <w:proofErr w:type="spellStart"/>
      <w:r w:rsidR="00EB47B5" w:rsidRPr="00981A70">
        <w:rPr>
          <w:rFonts w:asciiTheme="minorHAnsi" w:hAnsiTheme="minorHAnsi" w:cs="Arial"/>
          <w:bCs/>
          <w:snapToGrid w:val="0"/>
        </w:rPr>
        <w:t>pamidronate</w:t>
      </w:r>
      <w:proofErr w:type="spellEnd"/>
      <w:r w:rsidR="00EB47B5" w:rsidRPr="00981A70">
        <w:rPr>
          <w:rFonts w:asciiTheme="minorHAnsi" w:hAnsiTheme="minorHAnsi" w:cs="Arial"/>
          <w:bCs/>
          <w:snapToGrid w:val="0"/>
        </w:rPr>
        <w:t xml:space="preserve">, or a justification based on robust evidence for cost offsets that deviate </w:t>
      </w:r>
      <w:r w:rsidR="00D7437A">
        <w:rPr>
          <w:rFonts w:asciiTheme="minorHAnsi" w:hAnsiTheme="minorHAnsi" w:cs="Arial"/>
          <w:bCs/>
          <w:snapToGrid w:val="0"/>
        </w:rPr>
        <w:t>from previously accepted costs.</w:t>
      </w:r>
    </w:p>
    <w:p w:rsidR="00E70616" w:rsidRPr="00D7437A" w:rsidRDefault="00FE489F" w:rsidP="00E70616">
      <w:pPr>
        <w:widowControl w:val="0"/>
        <w:numPr>
          <w:ilvl w:val="1"/>
          <w:numId w:val="5"/>
        </w:numPr>
        <w:spacing w:after="120"/>
        <w:jc w:val="both"/>
        <w:rPr>
          <w:rFonts w:asciiTheme="minorHAnsi" w:hAnsiTheme="minorHAnsi" w:cs="Arial"/>
          <w:bCs/>
          <w:snapToGrid w:val="0"/>
        </w:rPr>
      </w:pPr>
      <w:r w:rsidRPr="00981A70">
        <w:rPr>
          <w:rFonts w:asciiTheme="minorHAnsi" w:hAnsiTheme="minorHAnsi" w:cs="Arial"/>
          <w:bCs/>
          <w:snapToGrid w:val="0"/>
        </w:rPr>
        <w:t>The PBAC noted that this submission is eligible for an Independent Review.</w:t>
      </w:r>
    </w:p>
    <w:p w:rsidR="00D468F1" w:rsidRPr="00E70616" w:rsidRDefault="00D468F1" w:rsidP="00E70616">
      <w:pPr>
        <w:rPr>
          <w:rFonts w:asciiTheme="minorHAnsi" w:hAnsiTheme="minorHAnsi" w:cstheme="minorHAnsi"/>
          <w:b/>
          <w:i/>
        </w:rPr>
      </w:pPr>
      <w:r w:rsidRPr="00E70616">
        <w:rPr>
          <w:rFonts w:asciiTheme="minorHAnsi" w:hAnsiTheme="minorHAnsi" w:cstheme="minorHAnsi"/>
          <w:b/>
        </w:rPr>
        <w:t>Outcome:</w:t>
      </w:r>
    </w:p>
    <w:p w:rsidR="004007DB" w:rsidRDefault="00D468F1" w:rsidP="00D7791C">
      <w:pPr>
        <w:rPr>
          <w:rFonts w:asciiTheme="minorHAnsi" w:hAnsiTheme="minorHAnsi" w:cstheme="minorHAnsi"/>
        </w:rPr>
      </w:pPr>
      <w:r w:rsidRPr="00E70616">
        <w:rPr>
          <w:rFonts w:asciiTheme="minorHAnsi" w:hAnsiTheme="minorHAnsi" w:cstheme="minorHAnsi"/>
        </w:rPr>
        <w:t>Rejected</w:t>
      </w:r>
    </w:p>
    <w:p w:rsidR="00FD04AB" w:rsidRPr="00FD04AB" w:rsidRDefault="00FA3D30" w:rsidP="004007DB">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FD04AB">
        <w:rPr>
          <w:rFonts w:asciiTheme="minorHAnsi" w:hAnsiTheme="minorHAnsi"/>
          <w:sz w:val="32"/>
          <w:szCs w:val="32"/>
        </w:rPr>
        <w:t>Context for Decision</w:t>
      </w:r>
    </w:p>
    <w:p w:rsidR="004007DB" w:rsidRPr="00FD04AB" w:rsidRDefault="004007DB" w:rsidP="006A7F3F">
      <w:pPr>
        <w:spacing w:after="120"/>
        <w:ind w:left="720"/>
        <w:jc w:val="both"/>
        <w:rPr>
          <w:rFonts w:asciiTheme="minorHAnsi" w:eastAsiaTheme="minorHAnsi" w:hAnsiTheme="minorHAnsi"/>
        </w:rPr>
      </w:pPr>
      <w:r w:rsidRPr="00FD04AB">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007DB" w:rsidRPr="00FD04AB" w:rsidRDefault="004007DB" w:rsidP="006A7F3F">
      <w:pPr>
        <w:pStyle w:val="Heading1"/>
        <w:keepNext/>
        <w:keepLines/>
        <w:widowControl/>
        <w:numPr>
          <w:ilvl w:val="0"/>
          <w:numId w:val="14"/>
        </w:numPr>
        <w:spacing w:before="240" w:after="120"/>
        <w:ind w:left="709" w:hanging="709"/>
        <w:contextualSpacing w:val="0"/>
        <w:rPr>
          <w:rFonts w:asciiTheme="minorHAnsi" w:hAnsiTheme="minorHAnsi"/>
          <w:sz w:val="32"/>
          <w:szCs w:val="32"/>
        </w:rPr>
      </w:pPr>
      <w:r w:rsidRPr="00FD04AB">
        <w:rPr>
          <w:rFonts w:asciiTheme="minorHAnsi" w:hAnsiTheme="minorHAnsi"/>
          <w:sz w:val="32"/>
          <w:szCs w:val="32"/>
        </w:rPr>
        <w:t>Sponsor’s Comment</w:t>
      </w:r>
    </w:p>
    <w:p w:rsidR="004007DB" w:rsidRPr="00CF13B5" w:rsidRDefault="00F54D5A" w:rsidP="00D7437A">
      <w:pPr>
        <w:spacing w:after="120" w:line="276" w:lineRule="auto"/>
        <w:ind w:left="720"/>
        <w:jc w:val="both"/>
        <w:rPr>
          <w:rFonts w:asciiTheme="minorHAnsi" w:eastAsiaTheme="minorHAnsi" w:hAnsiTheme="minorHAnsi"/>
        </w:rPr>
      </w:pPr>
      <w:r w:rsidRPr="00CF13B5">
        <w:rPr>
          <w:rFonts w:asciiTheme="minorHAnsi" w:eastAsiaTheme="minorHAnsi" w:hAnsiTheme="minorHAnsi"/>
        </w:rPr>
        <w:t xml:space="preserve">Amgen is disappointed with the outcome but will continue to work with the PBAC to address the clinical need </w:t>
      </w:r>
      <w:proofErr w:type="gramStart"/>
      <w:r w:rsidRPr="00CF13B5">
        <w:rPr>
          <w:rFonts w:asciiTheme="minorHAnsi" w:eastAsiaTheme="minorHAnsi" w:hAnsiTheme="minorHAnsi"/>
        </w:rPr>
        <w:t>for an alternative to bisphosphonate therapy in patients</w:t>
      </w:r>
      <w:r w:rsidR="00D7437A">
        <w:rPr>
          <w:rFonts w:asciiTheme="minorHAnsi" w:eastAsiaTheme="minorHAnsi" w:hAnsiTheme="minorHAnsi"/>
        </w:rPr>
        <w:t xml:space="preserve"> with multiple myeloma</w:t>
      </w:r>
      <w:proofErr w:type="gramEnd"/>
      <w:r w:rsidR="00D7437A">
        <w:rPr>
          <w:rFonts w:asciiTheme="minorHAnsi" w:eastAsiaTheme="minorHAnsi" w:hAnsiTheme="minorHAnsi"/>
        </w:rPr>
        <w:t>.</w:t>
      </w:r>
    </w:p>
    <w:sectPr w:rsidR="004007DB" w:rsidRPr="00CF13B5" w:rsidSect="00D7791C">
      <w:headerReference w:type="default" r:id="rId8"/>
      <w:footerReference w:type="default" r:id="rId9"/>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BFEC7" w16cid:durableId="1F83481A"/>
  <w16cid:commentId w16cid:paraId="16FEBFD1" w16cid:durableId="1F834985"/>
  <w16cid:commentId w16cid:paraId="6B59C34D" w16cid:durableId="1F8347F7"/>
  <w16cid:commentId w16cid:paraId="6DA644DA" w16cid:durableId="1F834840"/>
  <w16cid:commentId w16cid:paraId="1EAC3DFB" w16cid:durableId="1F834853"/>
  <w16cid:commentId w16cid:paraId="50D2977B" w16cid:durableId="1F834867"/>
  <w16cid:commentId w16cid:paraId="3A0A2698" w16cid:durableId="1F83487A"/>
  <w16cid:commentId w16cid:paraId="3277780D" w16cid:durableId="1F83488C"/>
  <w16cid:commentId w16cid:paraId="2C45549A" w16cid:durableId="1F83489F"/>
  <w16cid:commentId w16cid:paraId="575DC092" w16cid:durableId="1F841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56" w:rsidRDefault="00742356">
      <w:r>
        <w:separator/>
      </w:r>
    </w:p>
    <w:p w:rsidR="00742356" w:rsidRDefault="00742356"/>
  </w:endnote>
  <w:endnote w:type="continuationSeparator" w:id="0">
    <w:p w:rsidR="00742356" w:rsidRDefault="00742356">
      <w:r>
        <w:continuationSeparator/>
      </w:r>
    </w:p>
    <w:p w:rsidR="00742356" w:rsidRDefault="00742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7892"/>
      <w:docPartObj>
        <w:docPartGallery w:val="Page Numbers (Bottom of Page)"/>
        <w:docPartUnique/>
      </w:docPartObj>
    </w:sdtPr>
    <w:sdtEndPr>
      <w:rPr>
        <w:rFonts w:asciiTheme="minorHAnsi" w:hAnsiTheme="minorHAnsi" w:cstheme="minorHAnsi"/>
        <w:noProof/>
      </w:rPr>
    </w:sdtEndPr>
    <w:sdtContent>
      <w:p w:rsidR="00BD7B69" w:rsidRPr="00BD7B69" w:rsidRDefault="00BD7B69">
        <w:pPr>
          <w:pStyle w:val="Footer"/>
          <w:jc w:val="center"/>
          <w:rPr>
            <w:rFonts w:asciiTheme="minorHAnsi" w:hAnsiTheme="minorHAnsi" w:cstheme="minorHAnsi"/>
          </w:rPr>
        </w:pPr>
        <w:r w:rsidRPr="00BD7B69">
          <w:rPr>
            <w:rFonts w:asciiTheme="minorHAnsi" w:hAnsiTheme="minorHAnsi" w:cstheme="minorHAnsi"/>
          </w:rPr>
          <w:fldChar w:fldCharType="begin"/>
        </w:r>
        <w:r w:rsidRPr="00BD7B69">
          <w:rPr>
            <w:rFonts w:asciiTheme="minorHAnsi" w:hAnsiTheme="minorHAnsi" w:cstheme="minorHAnsi"/>
          </w:rPr>
          <w:instrText xml:space="preserve"> PAGE   \* MERGEFORMAT </w:instrText>
        </w:r>
        <w:r w:rsidRPr="00BD7B69">
          <w:rPr>
            <w:rFonts w:asciiTheme="minorHAnsi" w:hAnsiTheme="minorHAnsi" w:cstheme="minorHAnsi"/>
          </w:rPr>
          <w:fldChar w:fldCharType="separate"/>
        </w:r>
        <w:r w:rsidR="004C707A">
          <w:rPr>
            <w:rFonts w:asciiTheme="minorHAnsi" w:hAnsiTheme="minorHAnsi" w:cstheme="minorHAnsi"/>
            <w:noProof/>
          </w:rPr>
          <w:t>8</w:t>
        </w:r>
        <w:r w:rsidRPr="00BD7B69">
          <w:rPr>
            <w:rFonts w:asciiTheme="minorHAnsi" w:hAnsiTheme="minorHAnsi" w:cstheme="minorHAnsi"/>
            <w:noProof/>
          </w:rPr>
          <w:fldChar w:fldCharType="end"/>
        </w:r>
      </w:p>
    </w:sdtContent>
  </w:sdt>
  <w:p w:rsidR="00BD7B69" w:rsidRDefault="00BD7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56" w:rsidRDefault="00742356">
      <w:r>
        <w:separator/>
      </w:r>
    </w:p>
    <w:p w:rsidR="00742356" w:rsidRDefault="00742356"/>
  </w:footnote>
  <w:footnote w:type="continuationSeparator" w:id="0">
    <w:p w:rsidR="00742356" w:rsidRDefault="00742356">
      <w:r>
        <w:continuationSeparator/>
      </w:r>
    </w:p>
    <w:p w:rsidR="00742356" w:rsidRDefault="00742356"/>
  </w:footnote>
  <w:footnote w:id="1">
    <w:p w:rsidR="00EF1C83" w:rsidRPr="00CA6288" w:rsidRDefault="00EF1C83" w:rsidP="00CA6288">
      <w:pPr>
        <w:rPr>
          <w:rFonts w:asciiTheme="minorHAnsi" w:hAnsiTheme="minorHAnsi" w:cstheme="minorHAnsi"/>
        </w:rPr>
      </w:pPr>
      <w:r w:rsidRPr="00901BDC">
        <w:rPr>
          <w:rStyle w:val="FootnoteReference"/>
          <w:rFonts w:asciiTheme="minorHAnsi" w:hAnsiTheme="minorHAnsi" w:cstheme="minorHAnsi"/>
          <w:sz w:val="20"/>
          <w:szCs w:val="20"/>
        </w:rPr>
        <w:footnoteRef/>
      </w:r>
      <w:r w:rsidRPr="00901BDC">
        <w:rPr>
          <w:rFonts w:asciiTheme="minorHAnsi" w:hAnsiTheme="minorHAnsi" w:cstheme="minorHAnsi"/>
          <w:sz w:val="20"/>
          <w:szCs w:val="20"/>
        </w:rPr>
        <w:t xml:space="preserve"> P.J. </w:t>
      </w:r>
      <w:proofErr w:type="spellStart"/>
      <w:r w:rsidRPr="00901BDC">
        <w:rPr>
          <w:rFonts w:asciiTheme="minorHAnsi" w:hAnsiTheme="minorHAnsi" w:cstheme="minorHAnsi"/>
          <w:sz w:val="20"/>
          <w:szCs w:val="20"/>
        </w:rPr>
        <w:t>Ho</w:t>
      </w:r>
      <w:proofErr w:type="spellEnd"/>
      <w:r w:rsidRPr="00901BDC">
        <w:rPr>
          <w:rFonts w:asciiTheme="minorHAnsi" w:hAnsiTheme="minorHAnsi" w:cstheme="minorHAnsi"/>
          <w:sz w:val="20"/>
          <w:szCs w:val="20"/>
        </w:rPr>
        <w:t xml:space="preserve"> et al, </w:t>
      </w:r>
      <w:proofErr w:type="spellStart"/>
      <w:r w:rsidRPr="00901BDC">
        <w:rPr>
          <w:rFonts w:asciiTheme="minorHAnsi" w:hAnsiTheme="minorHAnsi" w:cstheme="minorHAnsi"/>
          <w:sz w:val="20"/>
          <w:szCs w:val="20"/>
        </w:rPr>
        <w:t>Haematologica</w:t>
      </w:r>
      <w:proofErr w:type="spellEnd"/>
      <w:r w:rsidRPr="00901BDC">
        <w:rPr>
          <w:rFonts w:asciiTheme="minorHAnsi" w:hAnsiTheme="minorHAnsi" w:cstheme="minorHAnsi"/>
          <w:sz w:val="20"/>
          <w:szCs w:val="20"/>
        </w:rPr>
        <w:t xml:space="preserve"> 2017</w:t>
      </w:r>
      <w:proofErr w:type="gramStart"/>
      <w:r w:rsidRPr="00901BDC">
        <w:rPr>
          <w:rFonts w:asciiTheme="minorHAnsi" w:hAnsiTheme="minorHAnsi" w:cstheme="minorHAnsi"/>
          <w:sz w:val="20"/>
          <w:szCs w:val="20"/>
        </w:rPr>
        <w:t>;102</w:t>
      </w:r>
      <w:proofErr w:type="gramEnd"/>
      <w:r w:rsidRPr="00901BDC">
        <w:rPr>
          <w:rFonts w:asciiTheme="minorHAnsi" w:hAnsiTheme="minorHAnsi" w:cstheme="minorHAnsi"/>
          <w:sz w:val="20"/>
          <w:szCs w:val="20"/>
        </w:rPr>
        <w:t xml:space="preserve">(s1):268. Abstract n. P674 [Presentation at the European </w:t>
      </w:r>
      <w:proofErr w:type="spellStart"/>
      <w:r w:rsidRPr="00901BDC">
        <w:rPr>
          <w:rFonts w:asciiTheme="minorHAnsi" w:hAnsiTheme="minorHAnsi" w:cstheme="minorHAnsi"/>
          <w:sz w:val="20"/>
          <w:szCs w:val="20"/>
        </w:rPr>
        <w:t>Hematology</w:t>
      </w:r>
      <w:proofErr w:type="spellEnd"/>
      <w:r w:rsidRPr="00901BDC">
        <w:rPr>
          <w:rFonts w:asciiTheme="minorHAnsi" w:hAnsiTheme="minorHAnsi" w:cstheme="minorHAnsi"/>
          <w:sz w:val="20"/>
          <w:szCs w:val="20"/>
        </w:rPr>
        <w:t xml:space="preserve"> Association (22nd Congress), 2017]</w:t>
      </w:r>
    </w:p>
  </w:footnote>
  <w:footnote w:id="2">
    <w:p w:rsidR="00EF1C83" w:rsidRPr="00901BDC" w:rsidRDefault="00EF1C83">
      <w:pPr>
        <w:pStyle w:val="FootnoteText"/>
        <w:rPr>
          <w:rFonts w:asciiTheme="minorHAnsi" w:hAnsiTheme="minorHAnsi" w:cstheme="minorHAnsi"/>
        </w:rPr>
      </w:pPr>
      <w:r w:rsidRPr="00901BDC">
        <w:rPr>
          <w:rStyle w:val="FootnoteReference"/>
          <w:rFonts w:asciiTheme="minorHAnsi" w:hAnsiTheme="minorHAnsi" w:cstheme="minorHAnsi"/>
        </w:rPr>
        <w:footnoteRef/>
      </w:r>
      <w:r w:rsidRPr="00901BDC">
        <w:rPr>
          <w:rFonts w:asciiTheme="minorHAnsi" w:hAnsiTheme="minorHAnsi" w:cstheme="minorHAnsi"/>
        </w:rPr>
        <w:t xml:space="preserve"> Myeloma and Related Diseases Registry (MDRD) report 16 July 2018, Table 12.</w:t>
      </w:r>
    </w:p>
  </w:footnote>
  <w:footnote w:id="3">
    <w:p w:rsidR="00EF1C83" w:rsidRPr="004E5952" w:rsidRDefault="00EF1C83" w:rsidP="00513CF2">
      <w:pPr>
        <w:pStyle w:val="FootnoteText"/>
        <w:rPr>
          <w:rFonts w:asciiTheme="minorHAnsi" w:hAnsiTheme="minorHAnsi"/>
        </w:rPr>
      </w:pPr>
      <w:r>
        <w:rPr>
          <w:rStyle w:val="FootnoteReference"/>
        </w:rPr>
        <w:footnoteRef/>
      </w:r>
      <w:r>
        <w:t xml:space="preserve"> </w:t>
      </w:r>
      <w:proofErr w:type="spellStart"/>
      <w:r w:rsidRPr="004E5952">
        <w:rPr>
          <w:rFonts w:asciiTheme="minorHAnsi" w:hAnsiTheme="minorHAnsi"/>
          <w:sz w:val="16"/>
        </w:rPr>
        <w:t>Zoledronic</w:t>
      </w:r>
      <w:proofErr w:type="spellEnd"/>
      <w:r w:rsidRPr="004E5952">
        <w:rPr>
          <w:rFonts w:asciiTheme="minorHAnsi" w:hAnsiTheme="minorHAnsi"/>
          <w:sz w:val="16"/>
        </w:rPr>
        <w:t xml:space="preserve"> acid 4mg and </w:t>
      </w:r>
      <w:proofErr w:type="spellStart"/>
      <w:r w:rsidRPr="004E5952">
        <w:rPr>
          <w:rFonts w:asciiTheme="minorHAnsi" w:hAnsiTheme="minorHAnsi"/>
          <w:sz w:val="16"/>
        </w:rPr>
        <w:t>pamidronate</w:t>
      </w:r>
      <w:proofErr w:type="spellEnd"/>
      <w:r w:rsidRPr="004E5952">
        <w:rPr>
          <w:rFonts w:asciiTheme="minorHAnsi" w:hAnsiTheme="minorHAnsi"/>
          <w:sz w:val="16"/>
        </w:rPr>
        <w:t xml:space="preserve"> 90mg dispensed prices with 32% of use in public hospital.</w:t>
      </w:r>
    </w:p>
  </w:footnote>
  <w:footnote w:id="4">
    <w:p w:rsidR="00EF1C83" w:rsidRDefault="00EF1C83" w:rsidP="002148CC">
      <w:pPr>
        <w:pStyle w:val="FootnoteText"/>
      </w:pPr>
      <w:r w:rsidRPr="009458F3">
        <w:rPr>
          <w:rStyle w:val="FootnoteReference"/>
        </w:rPr>
        <w:footnoteRef/>
      </w:r>
      <w:r w:rsidRPr="009458F3">
        <w:t xml:space="preserve"> </w:t>
      </w:r>
      <w:r w:rsidRPr="0087017A">
        <w:rPr>
          <w:rFonts w:asciiTheme="minorHAnsi" w:hAnsiTheme="minorHAnsi"/>
          <w:sz w:val="16"/>
        </w:rPr>
        <w:t xml:space="preserve">Infusion cost estimated based the statement in the PBPA Therapeutic Relativity Sheets for the oral vs IV </w:t>
      </w:r>
      <w:proofErr w:type="spellStart"/>
      <w:r w:rsidRPr="0087017A">
        <w:rPr>
          <w:rFonts w:asciiTheme="minorHAnsi" w:hAnsiTheme="minorHAnsi"/>
          <w:sz w:val="16"/>
        </w:rPr>
        <w:t>vinorelbine</w:t>
      </w:r>
      <w:proofErr w:type="spellEnd"/>
      <w:r w:rsidRPr="0087017A">
        <w:rPr>
          <w:rFonts w:asciiTheme="minorHAnsi" w:hAnsiTheme="minorHAnsi"/>
          <w:sz w:val="16"/>
        </w:rPr>
        <w:t xml:space="preserve"> cost minimisation decision (March 2006 PBAC meeting) and August 2006 dispensed prices.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69" w:rsidRPr="007B43A9" w:rsidRDefault="00BD7B69" w:rsidP="00BD7B69">
    <w:pPr>
      <w:jc w:val="center"/>
      <w:rPr>
        <w:rFonts w:asciiTheme="minorHAnsi" w:hAnsiTheme="minorHAnsi" w:cstheme="minorHAnsi"/>
        <w:i/>
      </w:rPr>
    </w:pPr>
    <w:r w:rsidRPr="007B43A9">
      <w:rPr>
        <w:rFonts w:asciiTheme="minorHAnsi" w:hAnsiTheme="minorHAnsi" w:cstheme="minorHAnsi"/>
        <w:i/>
      </w:rPr>
      <w:t>Public Summary Document – November 2018 PBAC Meeting</w:t>
    </w:r>
  </w:p>
  <w:p w:rsidR="00CA6288" w:rsidRPr="00BD7B69" w:rsidRDefault="00CA6288" w:rsidP="00BD7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81A65"/>
    <w:multiLevelType w:val="hybridMultilevel"/>
    <w:tmpl w:val="B512EB2E"/>
    <w:lvl w:ilvl="0" w:tplc="D8888AD0">
      <w:start w:val="1"/>
      <w:numFmt w:val="bullet"/>
      <w:lvlText w:val="–"/>
      <w:lvlJc w:val="left"/>
      <w:pPr>
        <w:tabs>
          <w:tab w:val="num" w:pos="720"/>
        </w:tabs>
        <w:ind w:left="720" w:hanging="360"/>
      </w:pPr>
      <w:rPr>
        <w:rFonts w:ascii="Arial" w:hAnsi="Arial" w:hint="default"/>
      </w:rPr>
    </w:lvl>
    <w:lvl w:ilvl="1" w:tplc="D02CD1C4">
      <w:start w:val="1"/>
      <w:numFmt w:val="bullet"/>
      <w:lvlText w:val="–"/>
      <w:lvlJc w:val="left"/>
      <w:pPr>
        <w:tabs>
          <w:tab w:val="num" w:pos="1440"/>
        </w:tabs>
        <w:ind w:left="1440" w:hanging="360"/>
      </w:pPr>
      <w:rPr>
        <w:rFonts w:ascii="Arial" w:hAnsi="Arial" w:hint="default"/>
      </w:rPr>
    </w:lvl>
    <w:lvl w:ilvl="2" w:tplc="C29ECEEA">
      <w:start w:val="61"/>
      <w:numFmt w:val="bullet"/>
      <w:lvlText w:val="•"/>
      <w:lvlJc w:val="left"/>
      <w:pPr>
        <w:tabs>
          <w:tab w:val="num" w:pos="2160"/>
        </w:tabs>
        <w:ind w:left="2160" w:hanging="360"/>
      </w:pPr>
      <w:rPr>
        <w:rFonts w:ascii="Arial" w:hAnsi="Arial" w:hint="default"/>
      </w:rPr>
    </w:lvl>
    <w:lvl w:ilvl="3" w:tplc="638A0B86" w:tentative="1">
      <w:start w:val="1"/>
      <w:numFmt w:val="bullet"/>
      <w:lvlText w:val="–"/>
      <w:lvlJc w:val="left"/>
      <w:pPr>
        <w:tabs>
          <w:tab w:val="num" w:pos="2880"/>
        </w:tabs>
        <w:ind w:left="2880" w:hanging="360"/>
      </w:pPr>
      <w:rPr>
        <w:rFonts w:ascii="Arial" w:hAnsi="Arial" w:hint="default"/>
      </w:rPr>
    </w:lvl>
    <w:lvl w:ilvl="4" w:tplc="7DDA7F2E" w:tentative="1">
      <w:start w:val="1"/>
      <w:numFmt w:val="bullet"/>
      <w:lvlText w:val="–"/>
      <w:lvlJc w:val="left"/>
      <w:pPr>
        <w:tabs>
          <w:tab w:val="num" w:pos="3600"/>
        </w:tabs>
        <w:ind w:left="3600" w:hanging="360"/>
      </w:pPr>
      <w:rPr>
        <w:rFonts w:ascii="Arial" w:hAnsi="Arial" w:hint="default"/>
      </w:rPr>
    </w:lvl>
    <w:lvl w:ilvl="5" w:tplc="AA5057B8" w:tentative="1">
      <w:start w:val="1"/>
      <w:numFmt w:val="bullet"/>
      <w:lvlText w:val="–"/>
      <w:lvlJc w:val="left"/>
      <w:pPr>
        <w:tabs>
          <w:tab w:val="num" w:pos="4320"/>
        </w:tabs>
        <w:ind w:left="4320" w:hanging="360"/>
      </w:pPr>
      <w:rPr>
        <w:rFonts w:ascii="Arial" w:hAnsi="Arial" w:hint="default"/>
      </w:rPr>
    </w:lvl>
    <w:lvl w:ilvl="6" w:tplc="C59696C6" w:tentative="1">
      <w:start w:val="1"/>
      <w:numFmt w:val="bullet"/>
      <w:lvlText w:val="–"/>
      <w:lvlJc w:val="left"/>
      <w:pPr>
        <w:tabs>
          <w:tab w:val="num" w:pos="5040"/>
        </w:tabs>
        <w:ind w:left="5040" w:hanging="360"/>
      </w:pPr>
      <w:rPr>
        <w:rFonts w:ascii="Arial" w:hAnsi="Arial" w:hint="default"/>
      </w:rPr>
    </w:lvl>
    <w:lvl w:ilvl="7" w:tplc="CFD0039E" w:tentative="1">
      <w:start w:val="1"/>
      <w:numFmt w:val="bullet"/>
      <w:lvlText w:val="–"/>
      <w:lvlJc w:val="left"/>
      <w:pPr>
        <w:tabs>
          <w:tab w:val="num" w:pos="5760"/>
        </w:tabs>
        <w:ind w:left="5760" w:hanging="360"/>
      </w:pPr>
      <w:rPr>
        <w:rFonts w:ascii="Arial" w:hAnsi="Arial" w:hint="default"/>
      </w:rPr>
    </w:lvl>
    <w:lvl w:ilvl="8" w:tplc="26AE49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BC242E"/>
    <w:multiLevelType w:val="hybridMultilevel"/>
    <w:tmpl w:val="458C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86579C"/>
    <w:multiLevelType w:val="hybridMultilevel"/>
    <w:tmpl w:val="816A572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8575F"/>
    <w:multiLevelType w:val="hybridMultilevel"/>
    <w:tmpl w:val="658A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D21587"/>
    <w:multiLevelType w:val="hybridMultilevel"/>
    <w:tmpl w:val="990AB1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BD7071"/>
    <w:multiLevelType w:val="hybridMultilevel"/>
    <w:tmpl w:val="F45891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BD87F42"/>
    <w:multiLevelType w:val="hybridMultilevel"/>
    <w:tmpl w:val="CD140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463DBB"/>
    <w:multiLevelType w:val="hybridMultilevel"/>
    <w:tmpl w:val="C78243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84D033C"/>
    <w:multiLevelType w:val="multilevel"/>
    <w:tmpl w:val="2016634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81492D"/>
    <w:multiLevelType w:val="hybridMultilevel"/>
    <w:tmpl w:val="05D0770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D1C6E02"/>
    <w:multiLevelType w:val="hybridMultilevel"/>
    <w:tmpl w:val="441C70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6"/>
  </w:num>
  <w:num w:numId="4">
    <w:abstractNumId w:val="19"/>
  </w:num>
  <w:num w:numId="5">
    <w:abstractNumId w:val="24"/>
  </w:num>
  <w:num w:numId="6">
    <w:abstractNumId w:val="8"/>
  </w:num>
  <w:num w:numId="7">
    <w:abstractNumId w:val="16"/>
  </w:num>
  <w:num w:numId="8">
    <w:abstractNumId w:val="4"/>
  </w:num>
  <w:num w:numId="9">
    <w:abstractNumId w:val="15"/>
  </w:num>
  <w:num w:numId="10">
    <w:abstractNumId w:val="12"/>
  </w:num>
  <w:num w:numId="11">
    <w:abstractNumId w:val="11"/>
  </w:num>
  <w:num w:numId="12">
    <w:abstractNumId w:val="1"/>
  </w:num>
  <w:num w:numId="13">
    <w:abstractNumId w:val="0"/>
  </w:num>
  <w:num w:numId="14">
    <w:abstractNumId w:val="24"/>
  </w:num>
  <w:num w:numId="15">
    <w:abstractNumId w:val="25"/>
  </w:num>
  <w:num w:numId="16">
    <w:abstractNumId w:val="13"/>
  </w:num>
  <w:num w:numId="17">
    <w:abstractNumId w:val="18"/>
  </w:num>
  <w:num w:numId="18">
    <w:abstractNumId w:val="17"/>
  </w:num>
  <w:num w:numId="19">
    <w:abstractNumId w:val="26"/>
  </w:num>
  <w:num w:numId="20">
    <w:abstractNumId w:val="21"/>
  </w:num>
  <w:num w:numId="21">
    <w:abstractNumId w:val="23"/>
  </w:num>
  <w:num w:numId="22">
    <w:abstractNumId w:val="22"/>
  </w:num>
  <w:num w:numId="23">
    <w:abstractNumId w:val="14"/>
  </w:num>
  <w:num w:numId="24">
    <w:abstractNumId w:val="20"/>
  </w:num>
  <w:num w:numId="25">
    <w:abstractNumId w:val="5"/>
  </w:num>
  <w:num w:numId="26">
    <w:abstractNumId w:val="2"/>
  </w:num>
  <w:num w:numId="27">
    <w:abstractNumId w:val="10"/>
  </w:num>
  <w:num w:numId="28">
    <w:abstractNumId w:val="7"/>
  </w:num>
  <w:num w:numId="29">
    <w:abstractNumId w:val="24"/>
  </w:num>
  <w:num w:numId="3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2937"/>
    <w:rsid w:val="0000335D"/>
    <w:rsid w:val="00014EB2"/>
    <w:rsid w:val="00022E41"/>
    <w:rsid w:val="0002464A"/>
    <w:rsid w:val="0003106B"/>
    <w:rsid w:val="000414D2"/>
    <w:rsid w:val="000421A1"/>
    <w:rsid w:val="0004240E"/>
    <w:rsid w:val="00043D04"/>
    <w:rsid w:val="00045E26"/>
    <w:rsid w:val="000514B5"/>
    <w:rsid w:val="00056083"/>
    <w:rsid w:val="0006056C"/>
    <w:rsid w:val="00060E64"/>
    <w:rsid w:val="00066755"/>
    <w:rsid w:val="00071295"/>
    <w:rsid w:val="00077143"/>
    <w:rsid w:val="00082169"/>
    <w:rsid w:val="000964D4"/>
    <w:rsid w:val="000969AD"/>
    <w:rsid w:val="000A06EA"/>
    <w:rsid w:val="000B558D"/>
    <w:rsid w:val="000B753C"/>
    <w:rsid w:val="000C1AE3"/>
    <w:rsid w:val="000C6996"/>
    <w:rsid w:val="000C6C45"/>
    <w:rsid w:val="000D1082"/>
    <w:rsid w:val="000D23BA"/>
    <w:rsid w:val="000D796A"/>
    <w:rsid w:val="000E0D7A"/>
    <w:rsid w:val="000E681E"/>
    <w:rsid w:val="000F0003"/>
    <w:rsid w:val="000F4E6A"/>
    <w:rsid w:val="00104227"/>
    <w:rsid w:val="0010721A"/>
    <w:rsid w:val="001107BF"/>
    <w:rsid w:val="001216A7"/>
    <w:rsid w:val="00123FA3"/>
    <w:rsid w:val="0012417C"/>
    <w:rsid w:val="0013767F"/>
    <w:rsid w:val="0014113E"/>
    <w:rsid w:val="00142395"/>
    <w:rsid w:val="00142714"/>
    <w:rsid w:val="00144973"/>
    <w:rsid w:val="001452ED"/>
    <w:rsid w:val="00145C5D"/>
    <w:rsid w:val="00153EE1"/>
    <w:rsid w:val="00163329"/>
    <w:rsid w:val="00164623"/>
    <w:rsid w:val="00165B64"/>
    <w:rsid w:val="001768A0"/>
    <w:rsid w:val="00180713"/>
    <w:rsid w:val="001830CE"/>
    <w:rsid w:val="0018643B"/>
    <w:rsid w:val="00196307"/>
    <w:rsid w:val="001A33EA"/>
    <w:rsid w:val="001A4359"/>
    <w:rsid w:val="001B017F"/>
    <w:rsid w:val="001B2BBC"/>
    <w:rsid w:val="001B472E"/>
    <w:rsid w:val="001B5129"/>
    <w:rsid w:val="001C0EF1"/>
    <w:rsid w:val="001C1195"/>
    <w:rsid w:val="001C1D9C"/>
    <w:rsid w:val="001D16E0"/>
    <w:rsid w:val="001E0701"/>
    <w:rsid w:val="001F1850"/>
    <w:rsid w:val="002005CE"/>
    <w:rsid w:val="00203FAC"/>
    <w:rsid w:val="00213CFB"/>
    <w:rsid w:val="002148CC"/>
    <w:rsid w:val="00217BE1"/>
    <w:rsid w:val="00222A40"/>
    <w:rsid w:val="00225259"/>
    <w:rsid w:val="00247BD6"/>
    <w:rsid w:val="002528D5"/>
    <w:rsid w:val="00254819"/>
    <w:rsid w:val="0026522B"/>
    <w:rsid w:val="00271BA1"/>
    <w:rsid w:val="002762FA"/>
    <w:rsid w:val="00276679"/>
    <w:rsid w:val="00277505"/>
    <w:rsid w:val="00281870"/>
    <w:rsid w:val="00292E2C"/>
    <w:rsid w:val="002938ED"/>
    <w:rsid w:val="0029458F"/>
    <w:rsid w:val="0029797D"/>
    <w:rsid w:val="002A104C"/>
    <w:rsid w:val="002A1162"/>
    <w:rsid w:val="002A4960"/>
    <w:rsid w:val="002A75E0"/>
    <w:rsid w:val="002B1AE6"/>
    <w:rsid w:val="002B1AFA"/>
    <w:rsid w:val="002B2DE8"/>
    <w:rsid w:val="002B30F8"/>
    <w:rsid w:val="002B5596"/>
    <w:rsid w:val="002C212F"/>
    <w:rsid w:val="002D1D7B"/>
    <w:rsid w:val="002D4543"/>
    <w:rsid w:val="002D6026"/>
    <w:rsid w:val="002E3153"/>
    <w:rsid w:val="002E534B"/>
    <w:rsid w:val="002E6C36"/>
    <w:rsid w:val="002E72CA"/>
    <w:rsid w:val="002F111C"/>
    <w:rsid w:val="002F600D"/>
    <w:rsid w:val="00300AD6"/>
    <w:rsid w:val="00303C4A"/>
    <w:rsid w:val="00305983"/>
    <w:rsid w:val="00317C6C"/>
    <w:rsid w:val="00320AF7"/>
    <w:rsid w:val="00326E79"/>
    <w:rsid w:val="0033518A"/>
    <w:rsid w:val="003367EF"/>
    <w:rsid w:val="00341AE4"/>
    <w:rsid w:val="00342943"/>
    <w:rsid w:val="00367785"/>
    <w:rsid w:val="0037773E"/>
    <w:rsid w:val="00381A0B"/>
    <w:rsid w:val="003872CF"/>
    <w:rsid w:val="003960E3"/>
    <w:rsid w:val="0039782C"/>
    <w:rsid w:val="003A5B4A"/>
    <w:rsid w:val="003B23C5"/>
    <w:rsid w:val="003B2A75"/>
    <w:rsid w:val="003B4D6F"/>
    <w:rsid w:val="003B5E6E"/>
    <w:rsid w:val="003B6124"/>
    <w:rsid w:val="003B672E"/>
    <w:rsid w:val="003C2FB5"/>
    <w:rsid w:val="003D4AC4"/>
    <w:rsid w:val="003D63B7"/>
    <w:rsid w:val="003E468B"/>
    <w:rsid w:val="003F07FB"/>
    <w:rsid w:val="003F3228"/>
    <w:rsid w:val="003F3B63"/>
    <w:rsid w:val="003F5C8C"/>
    <w:rsid w:val="003F7262"/>
    <w:rsid w:val="004007DB"/>
    <w:rsid w:val="0040563A"/>
    <w:rsid w:val="00411612"/>
    <w:rsid w:val="00422BA1"/>
    <w:rsid w:val="004252EC"/>
    <w:rsid w:val="00427071"/>
    <w:rsid w:val="00427B66"/>
    <w:rsid w:val="004324B3"/>
    <w:rsid w:val="00445466"/>
    <w:rsid w:val="004465BD"/>
    <w:rsid w:val="0045792C"/>
    <w:rsid w:val="00466ADA"/>
    <w:rsid w:val="004671DB"/>
    <w:rsid w:val="0046724E"/>
    <w:rsid w:val="00476245"/>
    <w:rsid w:val="00483035"/>
    <w:rsid w:val="0048337A"/>
    <w:rsid w:val="004856E1"/>
    <w:rsid w:val="00485940"/>
    <w:rsid w:val="004964C0"/>
    <w:rsid w:val="004A2484"/>
    <w:rsid w:val="004A5A85"/>
    <w:rsid w:val="004A71D1"/>
    <w:rsid w:val="004B1608"/>
    <w:rsid w:val="004B2284"/>
    <w:rsid w:val="004B5640"/>
    <w:rsid w:val="004C0D88"/>
    <w:rsid w:val="004C180B"/>
    <w:rsid w:val="004C1BD7"/>
    <w:rsid w:val="004C31FE"/>
    <w:rsid w:val="004C691D"/>
    <w:rsid w:val="004C6C07"/>
    <w:rsid w:val="004C707A"/>
    <w:rsid w:val="004E2134"/>
    <w:rsid w:val="004E692D"/>
    <w:rsid w:val="00501554"/>
    <w:rsid w:val="00513CF2"/>
    <w:rsid w:val="005149A9"/>
    <w:rsid w:val="00514CD7"/>
    <w:rsid w:val="00531427"/>
    <w:rsid w:val="005319B2"/>
    <w:rsid w:val="00532402"/>
    <w:rsid w:val="00532C74"/>
    <w:rsid w:val="00534E2E"/>
    <w:rsid w:val="00535AFE"/>
    <w:rsid w:val="00544552"/>
    <w:rsid w:val="005533D1"/>
    <w:rsid w:val="00566515"/>
    <w:rsid w:val="00577C4D"/>
    <w:rsid w:val="00581932"/>
    <w:rsid w:val="0058265E"/>
    <w:rsid w:val="005836FA"/>
    <w:rsid w:val="00591EFE"/>
    <w:rsid w:val="005963BB"/>
    <w:rsid w:val="005A3173"/>
    <w:rsid w:val="005A3223"/>
    <w:rsid w:val="005A3DA3"/>
    <w:rsid w:val="005A52C4"/>
    <w:rsid w:val="005D03AB"/>
    <w:rsid w:val="005D5017"/>
    <w:rsid w:val="005E1333"/>
    <w:rsid w:val="005F7252"/>
    <w:rsid w:val="00601A91"/>
    <w:rsid w:val="00602BA3"/>
    <w:rsid w:val="00606EED"/>
    <w:rsid w:val="0061194C"/>
    <w:rsid w:val="006129B5"/>
    <w:rsid w:val="00612E34"/>
    <w:rsid w:val="00614159"/>
    <w:rsid w:val="00614C3A"/>
    <w:rsid w:val="00615AC7"/>
    <w:rsid w:val="00617C00"/>
    <w:rsid w:val="0062292B"/>
    <w:rsid w:val="0062491E"/>
    <w:rsid w:val="0062575F"/>
    <w:rsid w:val="006263BF"/>
    <w:rsid w:val="0062748A"/>
    <w:rsid w:val="00630A2C"/>
    <w:rsid w:val="00632035"/>
    <w:rsid w:val="00633B9F"/>
    <w:rsid w:val="0063682E"/>
    <w:rsid w:val="006436CD"/>
    <w:rsid w:val="006459E0"/>
    <w:rsid w:val="00651169"/>
    <w:rsid w:val="0065313E"/>
    <w:rsid w:val="00653D69"/>
    <w:rsid w:val="00661EC9"/>
    <w:rsid w:val="006670BE"/>
    <w:rsid w:val="00670A76"/>
    <w:rsid w:val="006711AA"/>
    <w:rsid w:val="00672B57"/>
    <w:rsid w:val="00674F0F"/>
    <w:rsid w:val="00675622"/>
    <w:rsid w:val="0067747D"/>
    <w:rsid w:val="006906DB"/>
    <w:rsid w:val="006915C6"/>
    <w:rsid w:val="00691E6C"/>
    <w:rsid w:val="00694980"/>
    <w:rsid w:val="00696129"/>
    <w:rsid w:val="00697CF2"/>
    <w:rsid w:val="006A12A5"/>
    <w:rsid w:val="006A166A"/>
    <w:rsid w:val="006A253D"/>
    <w:rsid w:val="006A7F3F"/>
    <w:rsid w:val="006B0D94"/>
    <w:rsid w:val="006B485D"/>
    <w:rsid w:val="006B4FC6"/>
    <w:rsid w:val="006C708E"/>
    <w:rsid w:val="006D14E7"/>
    <w:rsid w:val="006D6493"/>
    <w:rsid w:val="006D6EC7"/>
    <w:rsid w:val="006F5125"/>
    <w:rsid w:val="00702B6F"/>
    <w:rsid w:val="0071340B"/>
    <w:rsid w:val="007140E2"/>
    <w:rsid w:val="007174BB"/>
    <w:rsid w:val="0072025D"/>
    <w:rsid w:val="007211A9"/>
    <w:rsid w:val="00722590"/>
    <w:rsid w:val="007353D3"/>
    <w:rsid w:val="007421D2"/>
    <w:rsid w:val="00742356"/>
    <w:rsid w:val="0075771C"/>
    <w:rsid w:val="00761AE0"/>
    <w:rsid w:val="0076420C"/>
    <w:rsid w:val="00773047"/>
    <w:rsid w:val="007753C2"/>
    <w:rsid w:val="007838B8"/>
    <w:rsid w:val="00786335"/>
    <w:rsid w:val="007A4BF0"/>
    <w:rsid w:val="007C0F57"/>
    <w:rsid w:val="007C40B6"/>
    <w:rsid w:val="007C729F"/>
    <w:rsid w:val="007D4DC8"/>
    <w:rsid w:val="007E1D28"/>
    <w:rsid w:val="007F025F"/>
    <w:rsid w:val="007F2641"/>
    <w:rsid w:val="007F3092"/>
    <w:rsid w:val="007F64EF"/>
    <w:rsid w:val="007F7C36"/>
    <w:rsid w:val="00804AA3"/>
    <w:rsid w:val="00806796"/>
    <w:rsid w:val="008151D6"/>
    <w:rsid w:val="00816B58"/>
    <w:rsid w:val="00826F6D"/>
    <w:rsid w:val="008306F3"/>
    <w:rsid w:val="00831DBE"/>
    <w:rsid w:val="00841CBF"/>
    <w:rsid w:val="008430F1"/>
    <w:rsid w:val="00846579"/>
    <w:rsid w:val="008538B6"/>
    <w:rsid w:val="00856DDD"/>
    <w:rsid w:val="00863E68"/>
    <w:rsid w:val="00871A74"/>
    <w:rsid w:val="00882085"/>
    <w:rsid w:val="00883188"/>
    <w:rsid w:val="00895759"/>
    <w:rsid w:val="00897D58"/>
    <w:rsid w:val="00897F22"/>
    <w:rsid w:val="008A1956"/>
    <w:rsid w:val="008A4937"/>
    <w:rsid w:val="008A50F1"/>
    <w:rsid w:val="008B0B64"/>
    <w:rsid w:val="008D1B5C"/>
    <w:rsid w:val="008D3C82"/>
    <w:rsid w:val="008D447E"/>
    <w:rsid w:val="008D66FC"/>
    <w:rsid w:val="008D7A41"/>
    <w:rsid w:val="008E012B"/>
    <w:rsid w:val="008E1F8A"/>
    <w:rsid w:val="008E3680"/>
    <w:rsid w:val="008E5870"/>
    <w:rsid w:val="008E79BF"/>
    <w:rsid w:val="008F1434"/>
    <w:rsid w:val="008F7355"/>
    <w:rsid w:val="00901BDC"/>
    <w:rsid w:val="009067B7"/>
    <w:rsid w:val="00913AEF"/>
    <w:rsid w:val="009249DD"/>
    <w:rsid w:val="00926CF8"/>
    <w:rsid w:val="00930937"/>
    <w:rsid w:val="00933E6C"/>
    <w:rsid w:val="00934150"/>
    <w:rsid w:val="00937958"/>
    <w:rsid w:val="00942160"/>
    <w:rsid w:val="00946255"/>
    <w:rsid w:val="0095146F"/>
    <w:rsid w:val="009602C5"/>
    <w:rsid w:val="00962223"/>
    <w:rsid w:val="00966D0D"/>
    <w:rsid w:val="00970BF5"/>
    <w:rsid w:val="00974C21"/>
    <w:rsid w:val="00981A70"/>
    <w:rsid w:val="0099122F"/>
    <w:rsid w:val="009B0F67"/>
    <w:rsid w:val="009C703C"/>
    <w:rsid w:val="009D0CDF"/>
    <w:rsid w:val="009D3CAA"/>
    <w:rsid w:val="009E067D"/>
    <w:rsid w:val="009E40E1"/>
    <w:rsid w:val="009E66F1"/>
    <w:rsid w:val="009F4E46"/>
    <w:rsid w:val="009F5B65"/>
    <w:rsid w:val="009F5F2E"/>
    <w:rsid w:val="009F612B"/>
    <w:rsid w:val="00A0164E"/>
    <w:rsid w:val="00A02044"/>
    <w:rsid w:val="00A06225"/>
    <w:rsid w:val="00A07488"/>
    <w:rsid w:val="00A10982"/>
    <w:rsid w:val="00A128E6"/>
    <w:rsid w:val="00A1674A"/>
    <w:rsid w:val="00A20615"/>
    <w:rsid w:val="00A21E7C"/>
    <w:rsid w:val="00A34E6C"/>
    <w:rsid w:val="00A37C8D"/>
    <w:rsid w:val="00A41BB8"/>
    <w:rsid w:val="00A42044"/>
    <w:rsid w:val="00A5273B"/>
    <w:rsid w:val="00A53A9D"/>
    <w:rsid w:val="00A55FEE"/>
    <w:rsid w:val="00A62C1A"/>
    <w:rsid w:val="00A6426D"/>
    <w:rsid w:val="00A665C1"/>
    <w:rsid w:val="00A70622"/>
    <w:rsid w:val="00A70977"/>
    <w:rsid w:val="00A728B5"/>
    <w:rsid w:val="00A7668E"/>
    <w:rsid w:val="00A77613"/>
    <w:rsid w:val="00A77EF9"/>
    <w:rsid w:val="00A83550"/>
    <w:rsid w:val="00A8390C"/>
    <w:rsid w:val="00A8677C"/>
    <w:rsid w:val="00A928BD"/>
    <w:rsid w:val="00AA1E5B"/>
    <w:rsid w:val="00AA2FAF"/>
    <w:rsid w:val="00AA3605"/>
    <w:rsid w:val="00AA4D1C"/>
    <w:rsid w:val="00AB21B1"/>
    <w:rsid w:val="00AC193C"/>
    <w:rsid w:val="00AC4AFD"/>
    <w:rsid w:val="00AC510E"/>
    <w:rsid w:val="00AC5206"/>
    <w:rsid w:val="00AC73BF"/>
    <w:rsid w:val="00AD053A"/>
    <w:rsid w:val="00AD7443"/>
    <w:rsid w:val="00AE11A5"/>
    <w:rsid w:val="00AE13E2"/>
    <w:rsid w:val="00AE1F0A"/>
    <w:rsid w:val="00AE22D3"/>
    <w:rsid w:val="00AE3582"/>
    <w:rsid w:val="00AE5856"/>
    <w:rsid w:val="00AF62DF"/>
    <w:rsid w:val="00AF68CC"/>
    <w:rsid w:val="00B06C33"/>
    <w:rsid w:val="00B1059E"/>
    <w:rsid w:val="00B13108"/>
    <w:rsid w:val="00B176C8"/>
    <w:rsid w:val="00B205AA"/>
    <w:rsid w:val="00B22E84"/>
    <w:rsid w:val="00B25F75"/>
    <w:rsid w:val="00B26B3F"/>
    <w:rsid w:val="00B318E0"/>
    <w:rsid w:val="00B329C8"/>
    <w:rsid w:val="00B34B0C"/>
    <w:rsid w:val="00B407F5"/>
    <w:rsid w:val="00B43E90"/>
    <w:rsid w:val="00B44AF2"/>
    <w:rsid w:val="00B44C09"/>
    <w:rsid w:val="00B467DC"/>
    <w:rsid w:val="00B51E18"/>
    <w:rsid w:val="00B55A73"/>
    <w:rsid w:val="00B56118"/>
    <w:rsid w:val="00B6773F"/>
    <w:rsid w:val="00B801BA"/>
    <w:rsid w:val="00B81A8D"/>
    <w:rsid w:val="00B84D5C"/>
    <w:rsid w:val="00B876CD"/>
    <w:rsid w:val="00B91F2C"/>
    <w:rsid w:val="00BA6F21"/>
    <w:rsid w:val="00BB69F5"/>
    <w:rsid w:val="00BB7EC3"/>
    <w:rsid w:val="00BC4B9A"/>
    <w:rsid w:val="00BD2682"/>
    <w:rsid w:val="00BD784C"/>
    <w:rsid w:val="00BD7B69"/>
    <w:rsid w:val="00BE2606"/>
    <w:rsid w:val="00BE51EE"/>
    <w:rsid w:val="00BE55B7"/>
    <w:rsid w:val="00BF4CB6"/>
    <w:rsid w:val="00C00DA7"/>
    <w:rsid w:val="00C11CCD"/>
    <w:rsid w:val="00C12768"/>
    <w:rsid w:val="00C27B58"/>
    <w:rsid w:val="00C35996"/>
    <w:rsid w:val="00C4747E"/>
    <w:rsid w:val="00C5342C"/>
    <w:rsid w:val="00C603D4"/>
    <w:rsid w:val="00C6256A"/>
    <w:rsid w:val="00C661AC"/>
    <w:rsid w:val="00C77891"/>
    <w:rsid w:val="00C812A5"/>
    <w:rsid w:val="00C91449"/>
    <w:rsid w:val="00C92D10"/>
    <w:rsid w:val="00C944C0"/>
    <w:rsid w:val="00CA23D2"/>
    <w:rsid w:val="00CA6288"/>
    <w:rsid w:val="00CA7450"/>
    <w:rsid w:val="00CB1AD8"/>
    <w:rsid w:val="00CB1E7B"/>
    <w:rsid w:val="00CC7DD9"/>
    <w:rsid w:val="00CD4DD3"/>
    <w:rsid w:val="00CE10C4"/>
    <w:rsid w:val="00CE27B5"/>
    <w:rsid w:val="00CF13B5"/>
    <w:rsid w:val="00CF1A6C"/>
    <w:rsid w:val="00CF4FD8"/>
    <w:rsid w:val="00D0321E"/>
    <w:rsid w:val="00D1455A"/>
    <w:rsid w:val="00D22BE3"/>
    <w:rsid w:val="00D26300"/>
    <w:rsid w:val="00D26F72"/>
    <w:rsid w:val="00D31150"/>
    <w:rsid w:val="00D3138B"/>
    <w:rsid w:val="00D3280C"/>
    <w:rsid w:val="00D331FC"/>
    <w:rsid w:val="00D3406A"/>
    <w:rsid w:val="00D4572C"/>
    <w:rsid w:val="00D468F1"/>
    <w:rsid w:val="00D469B2"/>
    <w:rsid w:val="00D53AD3"/>
    <w:rsid w:val="00D5584C"/>
    <w:rsid w:val="00D73874"/>
    <w:rsid w:val="00D73B01"/>
    <w:rsid w:val="00D741EB"/>
    <w:rsid w:val="00D7437A"/>
    <w:rsid w:val="00D7791C"/>
    <w:rsid w:val="00D83605"/>
    <w:rsid w:val="00D84934"/>
    <w:rsid w:val="00D91271"/>
    <w:rsid w:val="00D919F5"/>
    <w:rsid w:val="00D94F03"/>
    <w:rsid w:val="00DA2CB5"/>
    <w:rsid w:val="00DA4BAC"/>
    <w:rsid w:val="00DA60D1"/>
    <w:rsid w:val="00DB7F91"/>
    <w:rsid w:val="00DC233E"/>
    <w:rsid w:val="00DC2F37"/>
    <w:rsid w:val="00DE6D27"/>
    <w:rsid w:val="00DE6F8E"/>
    <w:rsid w:val="00DF217D"/>
    <w:rsid w:val="00DF26A7"/>
    <w:rsid w:val="00E06BC8"/>
    <w:rsid w:val="00E12016"/>
    <w:rsid w:val="00E15627"/>
    <w:rsid w:val="00E164B3"/>
    <w:rsid w:val="00E16910"/>
    <w:rsid w:val="00E25384"/>
    <w:rsid w:val="00E42BDB"/>
    <w:rsid w:val="00E42D43"/>
    <w:rsid w:val="00E52D25"/>
    <w:rsid w:val="00E57EEB"/>
    <w:rsid w:val="00E62D94"/>
    <w:rsid w:val="00E64E3A"/>
    <w:rsid w:val="00E65E54"/>
    <w:rsid w:val="00E67BC9"/>
    <w:rsid w:val="00E70616"/>
    <w:rsid w:val="00E768B6"/>
    <w:rsid w:val="00E80155"/>
    <w:rsid w:val="00E817EC"/>
    <w:rsid w:val="00E81F28"/>
    <w:rsid w:val="00E848C0"/>
    <w:rsid w:val="00E91B96"/>
    <w:rsid w:val="00E941A1"/>
    <w:rsid w:val="00E95CE3"/>
    <w:rsid w:val="00EA2825"/>
    <w:rsid w:val="00EB0B63"/>
    <w:rsid w:val="00EB1936"/>
    <w:rsid w:val="00EB47B5"/>
    <w:rsid w:val="00EB5088"/>
    <w:rsid w:val="00EB51C1"/>
    <w:rsid w:val="00EC2584"/>
    <w:rsid w:val="00EC3267"/>
    <w:rsid w:val="00ED1644"/>
    <w:rsid w:val="00ED2593"/>
    <w:rsid w:val="00ED3002"/>
    <w:rsid w:val="00ED7D9C"/>
    <w:rsid w:val="00EE2EC4"/>
    <w:rsid w:val="00EF1C83"/>
    <w:rsid w:val="00EF44A0"/>
    <w:rsid w:val="00EF4FED"/>
    <w:rsid w:val="00F050BD"/>
    <w:rsid w:val="00F05657"/>
    <w:rsid w:val="00F20F07"/>
    <w:rsid w:val="00F25578"/>
    <w:rsid w:val="00F258E5"/>
    <w:rsid w:val="00F300BC"/>
    <w:rsid w:val="00F3334E"/>
    <w:rsid w:val="00F36CCB"/>
    <w:rsid w:val="00F374E5"/>
    <w:rsid w:val="00F43AF2"/>
    <w:rsid w:val="00F5007E"/>
    <w:rsid w:val="00F50EC4"/>
    <w:rsid w:val="00F54D5A"/>
    <w:rsid w:val="00F550CF"/>
    <w:rsid w:val="00F57A6D"/>
    <w:rsid w:val="00F638CC"/>
    <w:rsid w:val="00F64CC1"/>
    <w:rsid w:val="00F65393"/>
    <w:rsid w:val="00F72317"/>
    <w:rsid w:val="00F80475"/>
    <w:rsid w:val="00F8247A"/>
    <w:rsid w:val="00F96206"/>
    <w:rsid w:val="00F9629A"/>
    <w:rsid w:val="00F97EFC"/>
    <w:rsid w:val="00FA3D30"/>
    <w:rsid w:val="00FA5883"/>
    <w:rsid w:val="00FA6055"/>
    <w:rsid w:val="00FB00D4"/>
    <w:rsid w:val="00FB322F"/>
    <w:rsid w:val="00FB442F"/>
    <w:rsid w:val="00FB67E2"/>
    <w:rsid w:val="00FC1929"/>
    <w:rsid w:val="00FC433B"/>
    <w:rsid w:val="00FC5B46"/>
    <w:rsid w:val="00FD36A7"/>
    <w:rsid w:val="00FD6D8E"/>
    <w:rsid w:val="00FE0E94"/>
    <w:rsid w:val="00FE2FA7"/>
    <w:rsid w:val="00FE489F"/>
    <w:rsid w:val="00FE5471"/>
    <w:rsid w:val="00FF00BD"/>
    <w:rsid w:val="00FF1ED4"/>
    <w:rsid w:val="00FF2801"/>
    <w:rsid w:val="00FF66E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48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E70616"/>
    <w:pPr>
      <w:spacing w:before="120" w:after="120"/>
      <w:jc w:val="both"/>
      <w:outlineLvl w:val="1"/>
    </w:pPr>
    <w:rPr>
      <w:rFonts w:ascii="Calibri" w:eastAsiaTheme="majorEastAsia" w:hAnsi="Calibri" w:cs="Arial"/>
      <w:b/>
      <w:i/>
      <w:snapToGrid w:val="0"/>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70616"/>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E70616"/>
    <w:rPr>
      <w:rFonts w:ascii="Calibri" w:eastAsiaTheme="majorEastAsia" w:hAnsi="Calibri" w:cs="Arial"/>
      <w:b/>
      <w:i/>
      <w:snapToGrid w:val="0"/>
      <w:sz w:val="28"/>
      <w:szCs w:val="28"/>
      <w:lang w:eastAsia="en-US"/>
    </w:rPr>
  </w:style>
  <w:style w:type="paragraph" w:styleId="FootnoteText">
    <w:name w:val="footnote text"/>
    <w:basedOn w:val="Normal"/>
    <w:link w:val="FootnoteTextChar"/>
    <w:rsid w:val="00FD36A7"/>
    <w:rPr>
      <w:sz w:val="20"/>
      <w:szCs w:val="20"/>
    </w:rPr>
  </w:style>
  <w:style w:type="character" w:customStyle="1" w:styleId="FootnoteTextChar">
    <w:name w:val="Footnote Text Char"/>
    <w:basedOn w:val="DefaultParagraphFont"/>
    <w:link w:val="FootnoteText"/>
    <w:rsid w:val="00FD36A7"/>
  </w:style>
  <w:style w:type="character" w:styleId="FootnoteReference">
    <w:name w:val="footnote reference"/>
    <w:basedOn w:val="DefaultParagraphFont"/>
    <w:rsid w:val="00FD36A7"/>
    <w:rPr>
      <w:vertAlign w:val="superscript"/>
    </w:rPr>
  </w:style>
  <w:style w:type="paragraph" w:customStyle="1" w:styleId="TableTextleftalign">
    <w:name w:val="Table Text left align"/>
    <w:basedOn w:val="TableTitlecentred"/>
    <w:link w:val="TableTextleftalignChar"/>
    <w:qFormat/>
    <w:rsid w:val="00303C4A"/>
    <w:pPr>
      <w:jc w:val="left"/>
    </w:pPr>
    <w:rPr>
      <w:b w:val="0"/>
      <w:szCs w:val="18"/>
    </w:rPr>
  </w:style>
  <w:style w:type="paragraph" w:customStyle="1" w:styleId="TableTextcentred">
    <w:name w:val="Table Text centred"/>
    <w:basedOn w:val="Normal"/>
    <w:link w:val="TableTextcentredChar"/>
    <w:qFormat/>
    <w:rsid w:val="00303C4A"/>
    <w:pPr>
      <w:jc w:val="center"/>
    </w:pPr>
    <w:rPr>
      <w:rFonts w:ascii="Calibri" w:hAnsi="Calibri"/>
      <w:sz w:val="18"/>
      <w:szCs w:val="18"/>
      <w:lang w:eastAsia="en-US"/>
    </w:rPr>
  </w:style>
  <w:style w:type="character" w:customStyle="1" w:styleId="TableTextcentredChar">
    <w:name w:val="Table Text centred Char"/>
    <w:basedOn w:val="DefaultParagraphFont"/>
    <w:link w:val="TableTextcentred"/>
    <w:rsid w:val="00303C4A"/>
    <w:rPr>
      <w:rFonts w:ascii="Calibri" w:hAnsi="Calibri"/>
      <w:sz w:val="18"/>
      <w:szCs w:val="18"/>
      <w:lang w:eastAsia="en-US"/>
    </w:rPr>
  </w:style>
  <w:style w:type="character" w:customStyle="1" w:styleId="TableTextleftalignChar">
    <w:name w:val="Table Text left align Char"/>
    <w:basedOn w:val="DefaultParagraphFont"/>
    <w:link w:val="TableTextleftalign"/>
    <w:rsid w:val="00303C4A"/>
    <w:rPr>
      <w:rFonts w:ascii="Calibri" w:hAnsi="Calibri"/>
      <w:sz w:val="18"/>
      <w:szCs w:val="18"/>
      <w:lang w:eastAsia="en-US"/>
    </w:rPr>
  </w:style>
  <w:style w:type="paragraph" w:customStyle="1" w:styleId="TableTitlecentred">
    <w:name w:val="Table Title centred"/>
    <w:basedOn w:val="Normal"/>
    <w:rsid w:val="00303C4A"/>
    <w:pPr>
      <w:jc w:val="center"/>
    </w:pPr>
    <w:rPr>
      <w:rFonts w:ascii="Calibri" w:hAnsi="Calibri"/>
      <w:b/>
      <w:sz w:val="18"/>
      <w:szCs w:val="2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
    <w:basedOn w:val="Normal"/>
    <w:next w:val="Normal"/>
    <w:link w:val="CaptionChar1"/>
    <w:unhideWhenUsed/>
    <w:qFormat/>
    <w:rsid w:val="00303C4A"/>
    <w:pPr>
      <w:keepNext/>
    </w:pPr>
    <w:rPr>
      <w:rFonts w:ascii="Arial Narrow" w:hAnsi="Arial Narrow"/>
      <w:b/>
      <w:bCs/>
      <w:color w:val="000000" w:themeColor="text1"/>
      <w:sz w:val="20"/>
      <w:szCs w:val="20"/>
    </w:rPr>
  </w:style>
  <w:style w:type="table" w:customStyle="1" w:styleId="Submissionstandard2">
    <w:name w:val="Submission standard2"/>
    <w:basedOn w:val="TableNormal"/>
    <w:uiPriority w:val="99"/>
    <w:qFormat/>
    <w:rsid w:val="00AD053A"/>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customStyle="1" w:styleId="Submissionstandard8">
    <w:name w:val="Submission standard8"/>
    <w:basedOn w:val="TableNormal"/>
    <w:uiPriority w:val="99"/>
    <w:qFormat/>
    <w:rsid w:val="00123FA3"/>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character" w:customStyle="1" w:styleId="TabletextChar">
    <w:name w:val="Table text Char"/>
    <w:link w:val="Tabletext"/>
    <w:uiPriority w:val="2"/>
    <w:rsid w:val="0014113E"/>
    <w:rPr>
      <w:rFonts w:ascii="Arial" w:hAnsi="Arial"/>
      <w:lang w:eastAsia="en-US"/>
    </w:rPr>
  </w:style>
  <w:style w:type="paragraph" w:styleId="BodyTextIndent">
    <w:name w:val="Body Text Indent"/>
    <w:basedOn w:val="Normal"/>
    <w:link w:val="BodyTextIndentChar"/>
    <w:rsid w:val="000414D2"/>
    <w:pPr>
      <w:spacing w:after="120"/>
      <w:ind w:left="283"/>
    </w:pPr>
  </w:style>
  <w:style w:type="character" w:customStyle="1" w:styleId="BodyTextIndentChar">
    <w:name w:val="Body Text Indent Char"/>
    <w:basedOn w:val="DefaultParagraphFont"/>
    <w:link w:val="BodyTextIndent"/>
    <w:rsid w:val="000414D2"/>
    <w:rPr>
      <w:sz w:val="24"/>
      <w:szCs w:val="24"/>
    </w:rPr>
  </w:style>
  <w:style w:type="character" w:customStyle="1" w:styleId="label-">
    <w:name w:val="label-"/>
    <w:basedOn w:val="DefaultParagraphFont"/>
    <w:rsid w:val="002005CE"/>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link w:val="Caption"/>
    <w:rsid w:val="00427071"/>
    <w:rPr>
      <w:rFonts w:ascii="Arial Narrow" w:hAnsi="Arial Narrow"/>
      <w:b/>
      <w:bCs/>
      <w:color w:val="000000" w:themeColor="text1"/>
    </w:rPr>
  </w:style>
  <w:style w:type="character" w:styleId="FollowedHyperlink">
    <w:name w:val="FollowedHyperlink"/>
    <w:basedOn w:val="DefaultParagraphFont"/>
    <w:semiHidden/>
    <w:unhideWhenUsed/>
    <w:rsid w:val="00FE489F"/>
    <w:rPr>
      <w:color w:val="800080" w:themeColor="followedHyperlink"/>
      <w:u w:val="single"/>
    </w:rPr>
  </w:style>
  <w:style w:type="paragraph" w:styleId="ListBullet">
    <w:name w:val="List Bullet"/>
    <w:basedOn w:val="Normal"/>
    <w:autoRedefine/>
    <w:rsid w:val="00AE3582"/>
    <w:rPr>
      <w:rFonts w:ascii="Arial" w:hAnsi="Arial" w:cs="Arial"/>
      <w:snapToGrid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31125353">
      <w:bodyDiv w:val="1"/>
      <w:marLeft w:val="0"/>
      <w:marRight w:val="0"/>
      <w:marTop w:val="0"/>
      <w:marBottom w:val="0"/>
      <w:divBdr>
        <w:top w:val="none" w:sz="0" w:space="0" w:color="auto"/>
        <w:left w:val="none" w:sz="0" w:space="0" w:color="auto"/>
        <w:bottom w:val="none" w:sz="0" w:space="0" w:color="auto"/>
        <w:right w:val="none" w:sz="0" w:space="0" w:color="auto"/>
      </w:divBdr>
    </w:div>
    <w:div w:id="689530022">
      <w:bodyDiv w:val="1"/>
      <w:marLeft w:val="0"/>
      <w:marRight w:val="0"/>
      <w:marTop w:val="0"/>
      <w:marBottom w:val="0"/>
      <w:divBdr>
        <w:top w:val="none" w:sz="0" w:space="0" w:color="auto"/>
        <w:left w:val="none" w:sz="0" w:space="0" w:color="auto"/>
        <w:bottom w:val="none" w:sz="0" w:space="0" w:color="auto"/>
        <w:right w:val="none" w:sz="0" w:space="0" w:color="auto"/>
      </w:divBdr>
      <w:divsChild>
        <w:div w:id="758869579">
          <w:marLeft w:val="1166"/>
          <w:marRight w:val="0"/>
          <w:marTop w:val="96"/>
          <w:marBottom w:val="0"/>
          <w:divBdr>
            <w:top w:val="none" w:sz="0" w:space="0" w:color="auto"/>
            <w:left w:val="none" w:sz="0" w:space="0" w:color="auto"/>
            <w:bottom w:val="none" w:sz="0" w:space="0" w:color="auto"/>
            <w:right w:val="none" w:sz="0" w:space="0" w:color="auto"/>
          </w:divBdr>
        </w:div>
        <w:div w:id="101996829">
          <w:marLeft w:val="1800"/>
          <w:marRight w:val="0"/>
          <w:marTop w:val="82"/>
          <w:marBottom w:val="0"/>
          <w:divBdr>
            <w:top w:val="none" w:sz="0" w:space="0" w:color="auto"/>
            <w:left w:val="none" w:sz="0" w:space="0" w:color="auto"/>
            <w:bottom w:val="none" w:sz="0" w:space="0" w:color="auto"/>
            <w:right w:val="none" w:sz="0" w:space="0" w:color="auto"/>
          </w:divBdr>
        </w:div>
        <w:div w:id="1228569595">
          <w:marLeft w:val="1800"/>
          <w:marRight w:val="0"/>
          <w:marTop w:val="82"/>
          <w:marBottom w:val="0"/>
          <w:divBdr>
            <w:top w:val="none" w:sz="0" w:space="0" w:color="auto"/>
            <w:left w:val="none" w:sz="0" w:space="0" w:color="auto"/>
            <w:bottom w:val="none" w:sz="0" w:space="0" w:color="auto"/>
            <w:right w:val="none" w:sz="0" w:space="0" w:color="auto"/>
          </w:divBdr>
        </w:div>
        <w:div w:id="1287391861">
          <w:marLeft w:val="1800"/>
          <w:marRight w:val="0"/>
          <w:marTop w:val="82"/>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48065914">
      <w:bodyDiv w:val="1"/>
      <w:marLeft w:val="0"/>
      <w:marRight w:val="0"/>
      <w:marTop w:val="0"/>
      <w:marBottom w:val="0"/>
      <w:divBdr>
        <w:top w:val="none" w:sz="0" w:space="0" w:color="auto"/>
        <w:left w:val="none" w:sz="0" w:space="0" w:color="auto"/>
        <w:bottom w:val="none" w:sz="0" w:space="0" w:color="auto"/>
        <w:right w:val="none" w:sz="0" w:space="0" w:color="auto"/>
      </w:divBdr>
    </w:div>
    <w:div w:id="1190755530">
      <w:bodyDiv w:val="1"/>
      <w:marLeft w:val="0"/>
      <w:marRight w:val="0"/>
      <w:marTop w:val="0"/>
      <w:marBottom w:val="0"/>
      <w:divBdr>
        <w:top w:val="none" w:sz="0" w:space="0" w:color="auto"/>
        <w:left w:val="none" w:sz="0" w:space="0" w:color="auto"/>
        <w:bottom w:val="none" w:sz="0" w:space="0" w:color="auto"/>
        <w:right w:val="none" w:sz="0" w:space="0" w:color="auto"/>
      </w:divBdr>
    </w:div>
    <w:div w:id="135437897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C4964-F206-4327-A0A3-CF1DE875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3095</Words>
  <Characters>18846</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2019-02-22T00:43:00Z</dcterms:created>
  <dcterms:modified xsi:type="dcterms:W3CDTF">2019-02-25T02:15:00Z</dcterms:modified>
</cp:coreProperties>
</file>