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68" w:rsidRPr="003D1E0E" w:rsidRDefault="00D1428F" w:rsidP="003D1E0E">
      <w:pPr>
        <w:pStyle w:val="Title"/>
        <w:tabs>
          <w:tab w:val="left" w:pos="993"/>
        </w:tabs>
        <w:ind w:left="993" w:hanging="993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14.03</w:t>
      </w:r>
      <w:r w:rsidR="00C97068" w:rsidRPr="004F4B19">
        <w:rPr>
          <w:rFonts w:asciiTheme="minorHAnsi" w:hAnsiTheme="minorHAnsi"/>
          <w:sz w:val="36"/>
          <w:szCs w:val="36"/>
        </w:rPr>
        <w:tab/>
        <w:t>FERRIC CARBOXYMALTOSE</w:t>
      </w:r>
      <w:r w:rsidR="003D1E0E">
        <w:rPr>
          <w:rFonts w:asciiTheme="minorHAnsi" w:hAnsiTheme="minorHAnsi"/>
          <w:sz w:val="36"/>
          <w:szCs w:val="36"/>
        </w:rPr>
        <w:br/>
      </w:r>
      <w:r w:rsidR="00C97068">
        <w:rPr>
          <w:rFonts w:asciiTheme="minorHAnsi" w:hAnsiTheme="minorHAnsi"/>
          <w:sz w:val="36"/>
          <w:szCs w:val="36"/>
        </w:rPr>
        <w:t>Injection 1</w:t>
      </w:r>
      <w:r w:rsidR="0013143E">
        <w:rPr>
          <w:rFonts w:asciiTheme="minorHAnsi" w:hAnsiTheme="minorHAnsi"/>
          <w:sz w:val="36"/>
          <w:szCs w:val="36"/>
        </w:rPr>
        <w:t>,</w:t>
      </w:r>
      <w:r w:rsidR="00C97068">
        <w:rPr>
          <w:rFonts w:asciiTheme="minorHAnsi" w:hAnsiTheme="minorHAnsi"/>
          <w:sz w:val="36"/>
          <w:szCs w:val="36"/>
        </w:rPr>
        <w:t>000 mg (iron) in 20 mL</w:t>
      </w:r>
      <w:r w:rsidR="00C97068" w:rsidRPr="004F4B19">
        <w:rPr>
          <w:rFonts w:asciiTheme="minorHAnsi" w:hAnsiTheme="minorHAnsi"/>
          <w:sz w:val="36"/>
          <w:szCs w:val="36"/>
        </w:rPr>
        <w:t>,</w:t>
      </w:r>
      <w:r w:rsidR="003D1E0E">
        <w:rPr>
          <w:rFonts w:asciiTheme="minorHAnsi" w:hAnsiTheme="minorHAnsi"/>
          <w:sz w:val="36"/>
          <w:szCs w:val="36"/>
        </w:rPr>
        <w:br/>
      </w:r>
      <w:r w:rsidR="00C97068" w:rsidRPr="004F4B19">
        <w:rPr>
          <w:rFonts w:asciiTheme="minorHAnsi" w:hAnsiTheme="minorHAnsi"/>
          <w:sz w:val="36"/>
          <w:szCs w:val="36"/>
        </w:rPr>
        <w:t>Ferinject</w:t>
      </w:r>
      <w:r w:rsidR="00C97068" w:rsidRPr="004F4B19">
        <w:rPr>
          <w:rFonts w:asciiTheme="minorHAnsi" w:hAnsiTheme="minorHAnsi"/>
          <w:sz w:val="36"/>
          <w:szCs w:val="36"/>
          <w:vertAlign w:val="superscript"/>
        </w:rPr>
        <w:t>®</w:t>
      </w:r>
      <w:r w:rsidR="00C97068" w:rsidRPr="004F4B19">
        <w:rPr>
          <w:rFonts w:asciiTheme="minorHAnsi" w:hAnsiTheme="minorHAnsi"/>
          <w:sz w:val="36"/>
          <w:szCs w:val="36"/>
        </w:rPr>
        <w:t>, Vifor Pharma Pty Ltd</w:t>
      </w:r>
    </w:p>
    <w:p w:rsidR="00C97068" w:rsidRPr="00472214" w:rsidRDefault="00C97068" w:rsidP="00B54B61">
      <w:pPr>
        <w:pStyle w:val="Heading1"/>
      </w:pPr>
      <w:r w:rsidRPr="00472214">
        <w:t>Purpose of Application</w:t>
      </w:r>
    </w:p>
    <w:p w:rsidR="00C97068" w:rsidRPr="004F4B19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4F4B19">
        <w:rPr>
          <w:rFonts w:asciiTheme="minorHAnsi" w:eastAsiaTheme="minorHAnsi" w:hAnsiTheme="minorHAnsi" w:cstheme="minorBidi"/>
          <w:szCs w:val="22"/>
          <w:lang w:eastAsia="en-US"/>
        </w:rPr>
        <w:t xml:space="preserve">The minor submission </w:t>
      </w:r>
      <w:r>
        <w:rPr>
          <w:rFonts w:asciiTheme="minorHAnsi" w:eastAsiaTheme="minorHAnsi" w:hAnsiTheme="minorHAnsi" w:cstheme="minorBidi"/>
          <w:szCs w:val="22"/>
          <w:lang w:eastAsia="en-US"/>
        </w:rPr>
        <w:t>requested the listing</w:t>
      </w:r>
      <w:r w:rsidRPr="004F4B19">
        <w:rPr>
          <w:rFonts w:asciiTheme="minorHAnsi" w:eastAsiaTheme="minorHAnsi" w:hAnsiTheme="minorHAnsi" w:cstheme="minorBidi"/>
          <w:szCs w:val="22"/>
          <w:lang w:eastAsia="en-US"/>
        </w:rPr>
        <w:t xml:space="preserve"> of </w:t>
      </w:r>
      <w:r>
        <w:rPr>
          <w:rFonts w:asciiTheme="minorHAnsi" w:eastAsiaTheme="minorHAnsi" w:hAnsiTheme="minorHAnsi" w:cstheme="minorBidi"/>
          <w:szCs w:val="22"/>
          <w:lang w:eastAsia="en-US"/>
        </w:rPr>
        <w:t>ferric carboxymaltose</w:t>
      </w:r>
      <w:r w:rsidRPr="004F4B19">
        <w:rPr>
          <w:rFonts w:asciiTheme="minorHAnsi" w:eastAsiaTheme="minorHAnsi" w:hAnsiTheme="minorHAnsi" w:cstheme="minorBidi"/>
          <w:szCs w:val="22"/>
          <w:lang w:eastAsia="en-US"/>
        </w:rPr>
        <w:t xml:space="preserve"> 1,000 mg/20 mL </w:t>
      </w:r>
      <w:r>
        <w:rPr>
          <w:rFonts w:asciiTheme="minorHAnsi" w:eastAsiaTheme="minorHAnsi" w:hAnsiTheme="minorHAnsi" w:cstheme="minorBidi"/>
          <w:szCs w:val="22"/>
          <w:lang w:eastAsia="en-US"/>
        </w:rPr>
        <w:t>(</w:t>
      </w:r>
      <w:r w:rsidRPr="004C5959">
        <w:rPr>
          <w:rFonts w:asciiTheme="minorHAnsi" w:eastAsiaTheme="minorHAnsi" w:hAnsiTheme="minorHAnsi" w:cstheme="minorBidi"/>
          <w:szCs w:val="22"/>
          <w:lang w:eastAsia="en-US"/>
        </w:rPr>
        <w:t xml:space="preserve">Ferinject®), </w:t>
      </w:r>
      <w:r w:rsidRPr="00CD7996">
        <w:rPr>
          <w:rFonts w:asciiTheme="minorHAnsi" w:eastAsiaTheme="minorHAnsi" w:hAnsiTheme="minorHAnsi" w:cstheme="minorBidi"/>
          <w:szCs w:val="22"/>
          <w:lang w:eastAsia="en-US"/>
        </w:rPr>
        <w:t xml:space="preserve">in addition to the already listed 500 mg/10 mL </w:t>
      </w:r>
      <w:r w:rsidR="006E70FB" w:rsidRPr="00CD7996">
        <w:rPr>
          <w:rFonts w:asciiTheme="minorHAnsi" w:eastAsiaTheme="minorHAnsi" w:hAnsiTheme="minorHAnsi" w:cstheme="minorBidi"/>
          <w:szCs w:val="22"/>
          <w:lang w:eastAsia="en-US"/>
        </w:rPr>
        <w:t>presentation</w:t>
      </w:r>
      <w:r w:rsidRPr="004C5959">
        <w:rPr>
          <w:rFonts w:asciiTheme="minorHAnsi" w:eastAsiaTheme="minorHAnsi" w:hAnsiTheme="minorHAnsi" w:cstheme="minorBidi"/>
          <w:szCs w:val="22"/>
          <w:lang w:eastAsia="en-US"/>
        </w:rPr>
        <w:t xml:space="preserve">, on </w:t>
      </w:r>
      <w:r w:rsidRPr="004F4B19">
        <w:rPr>
          <w:rFonts w:asciiTheme="minorHAnsi" w:eastAsiaTheme="minorHAnsi" w:hAnsiTheme="minorHAnsi" w:cstheme="minorBidi"/>
          <w:szCs w:val="22"/>
          <w:lang w:eastAsia="en-US"/>
        </w:rPr>
        <w:t>the General Schedule as an unrestricted benefit for the treatment of iron deficiency anaemia (IDA).</w:t>
      </w:r>
    </w:p>
    <w:p w:rsidR="00C97068" w:rsidRPr="00B54B61" w:rsidRDefault="00C97068" w:rsidP="00B54B61">
      <w:pPr>
        <w:pStyle w:val="Heading1"/>
      </w:pPr>
      <w:r w:rsidRPr="00B54B61">
        <w:t xml:space="preserve">Requested Listing: </w:t>
      </w:r>
    </w:p>
    <w:p w:rsidR="00C97068" w:rsidRDefault="00C97068" w:rsidP="0042285B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472214">
        <w:rPr>
          <w:rFonts w:asciiTheme="minorHAnsi" w:eastAsiaTheme="minorHAnsi" w:hAnsiTheme="minorHAnsi" w:cstheme="minorBidi"/>
          <w:szCs w:val="22"/>
          <w:lang w:eastAsia="en-US"/>
        </w:rPr>
        <w:t xml:space="preserve">The requested listing is shown </w:t>
      </w:r>
      <w:r w:rsidRPr="004F4B19">
        <w:rPr>
          <w:rFonts w:asciiTheme="minorHAnsi" w:eastAsiaTheme="minorHAnsi" w:hAnsiTheme="minorHAnsi" w:cstheme="minorBidi"/>
          <w:szCs w:val="22"/>
          <w:lang w:eastAsia="en-US"/>
        </w:rPr>
        <w:t>below</w:t>
      </w:r>
      <w:r w:rsidR="003D1E0E">
        <w:rPr>
          <w:rFonts w:asciiTheme="minorHAnsi" w:eastAsiaTheme="minorHAnsi" w:hAnsiTheme="minorHAnsi" w:cstheme="minorBidi"/>
          <w:szCs w:val="22"/>
          <w:lang w:eastAsia="en-US"/>
        </w:rPr>
        <w:t>.</w:t>
      </w:r>
    </w:p>
    <w:p w:rsidR="00C97068" w:rsidRPr="005D1370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4F4B19">
        <w:rPr>
          <w:rFonts w:asciiTheme="minorHAnsi" w:eastAsiaTheme="minorHAnsi" w:hAnsiTheme="minorHAnsi" w:cstheme="minorBidi"/>
          <w:lang w:eastAsia="en-US"/>
        </w:rPr>
        <w:t>The sponsor note</w:t>
      </w:r>
      <w:r>
        <w:rPr>
          <w:rFonts w:asciiTheme="minorHAnsi" w:eastAsiaTheme="minorHAnsi" w:hAnsiTheme="minorHAnsi" w:cstheme="minorBidi"/>
          <w:lang w:eastAsia="en-US"/>
        </w:rPr>
        <w:t>d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 that the maximum quantity for </w:t>
      </w:r>
      <w:r>
        <w:rPr>
          <w:rFonts w:asciiTheme="minorHAnsi" w:eastAsiaTheme="minorHAnsi" w:hAnsiTheme="minorHAnsi" w:cstheme="minorBidi"/>
          <w:lang w:eastAsia="en-US"/>
        </w:rPr>
        <w:t xml:space="preserve">the </w:t>
      </w:r>
      <w:r w:rsidRPr="004F4B19">
        <w:rPr>
          <w:rFonts w:asciiTheme="minorHAnsi" w:eastAsiaTheme="minorHAnsi" w:hAnsiTheme="minorHAnsi" w:cstheme="minorBidi"/>
          <w:lang w:eastAsia="en-US"/>
        </w:rPr>
        <w:t>500 mg/10 mL</w:t>
      </w:r>
      <w:r>
        <w:rPr>
          <w:rFonts w:asciiTheme="minorHAnsi" w:eastAsiaTheme="minorHAnsi" w:hAnsiTheme="minorHAnsi" w:cstheme="minorBidi"/>
          <w:lang w:eastAsia="en-US"/>
        </w:rPr>
        <w:t xml:space="preserve"> presentation of ferric carboxymaltose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 is two vials, whereas for the 1,000 mg/20 mL</w:t>
      </w:r>
      <w:r>
        <w:rPr>
          <w:rFonts w:asciiTheme="minorHAnsi" w:eastAsiaTheme="minorHAnsi" w:hAnsiTheme="minorHAnsi" w:cstheme="minorBidi"/>
          <w:lang w:eastAsia="en-US"/>
        </w:rPr>
        <w:t xml:space="preserve"> vial</w:t>
      </w:r>
      <w:r w:rsidRPr="004F4B19">
        <w:rPr>
          <w:rFonts w:asciiTheme="minorHAnsi" w:eastAsiaTheme="minorHAnsi" w:hAnsiTheme="minorHAnsi" w:cstheme="minorBidi"/>
          <w:lang w:eastAsia="en-US"/>
        </w:rPr>
        <w:t>, the maximum quantity will be one vial. This allows for a 1:1 of substitution of 1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4B19">
        <w:rPr>
          <w:rFonts w:asciiTheme="minorHAnsi" w:eastAsiaTheme="minorHAnsi" w:hAnsiTheme="minorHAnsi" w:cstheme="minorBidi"/>
          <w:lang w:eastAsia="en-US"/>
        </w:rPr>
        <w:t>x 1,000 mg/20 mL for 2x 500 mg/10 mL vials.</w:t>
      </w:r>
    </w:p>
    <w:p w:rsidR="00C97068" w:rsidRPr="004F4B19" w:rsidRDefault="00C97068" w:rsidP="00C97068">
      <w:pPr>
        <w:rPr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52"/>
        <w:gridCol w:w="1267"/>
        <w:gridCol w:w="1267"/>
        <w:gridCol w:w="791"/>
        <w:gridCol w:w="1742"/>
        <w:gridCol w:w="1107"/>
      </w:tblGrid>
      <w:tr w:rsidR="00C97068" w:rsidRPr="004F4B19" w:rsidTr="00B54B61">
        <w:trPr>
          <w:cantSplit/>
          <w:trHeight w:val="493"/>
        </w:trPr>
        <w:tc>
          <w:tcPr>
            <w:tcW w:w="1580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97068" w:rsidRPr="004F4B19" w:rsidRDefault="00C97068" w:rsidP="00B767B0">
            <w:pPr>
              <w:keepNext/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C97068" w:rsidRPr="004F4B19" w:rsidTr="00B54B61">
        <w:trPr>
          <w:cantSplit/>
          <w:trHeight w:val="605"/>
        </w:trPr>
        <w:tc>
          <w:tcPr>
            <w:tcW w:w="1580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mallCaps/>
                <w:sz w:val="20"/>
                <w:szCs w:val="20"/>
              </w:rPr>
              <w:t>IRON</w:t>
            </w:r>
          </w:p>
          <w:p w:rsidR="00C97068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4F4B19">
              <w:rPr>
                <w:rFonts w:ascii="Arial Narrow" w:hAnsi="Arial Narrow" w:cs="Arial"/>
                <w:sz w:val="19"/>
                <w:szCs w:val="19"/>
              </w:rPr>
              <w:t xml:space="preserve">Iron (as ferric carboxymaltose) </w:t>
            </w:r>
          </w:p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4F4B19">
              <w:rPr>
                <w:rFonts w:ascii="Arial Narrow" w:hAnsi="Arial Narrow" w:cs="Arial"/>
                <w:sz w:val="19"/>
                <w:szCs w:val="19"/>
              </w:rPr>
              <w:t>1000 mg/20 mL injection, 1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4F4B19">
              <w:rPr>
                <w:rFonts w:ascii="Arial Narrow" w:hAnsi="Arial Narrow" w:cs="Arial"/>
                <w:sz w:val="19"/>
                <w:szCs w:val="19"/>
              </w:rPr>
              <w:t>x 20 mL vial</w:t>
            </w:r>
          </w:p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Ferinject®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Vifor Pharma</w:t>
            </w:r>
          </w:p>
        </w:tc>
      </w:tr>
      <w:tr w:rsidR="00C97068" w:rsidRPr="004F4B19" w:rsidTr="00B54B61">
        <w:trPr>
          <w:cantSplit/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C97068" w:rsidRPr="004F4B19" w:rsidRDefault="00C97068" w:rsidP="00B767B0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Max = maximum; Qty = quantity; Rpts = repeats</w:t>
            </w:r>
          </w:p>
        </w:tc>
      </w:tr>
    </w:tbl>
    <w:p w:rsidR="00C97068" w:rsidRPr="00472214" w:rsidRDefault="00C97068" w:rsidP="00B54B61">
      <w:pPr>
        <w:pStyle w:val="Heading1"/>
      </w:pPr>
      <w:r w:rsidRPr="00472214">
        <w:t>Background</w:t>
      </w:r>
    </w:p>
    <w:p w:rsidR="00C97068" w:rsidRPr="004F4B19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472214">
        <w:rPr>
          <w:rFonts w:asciiTheme="minorHAnsi" w:eastAsiaTheme="minorHAnsi" w:hAnsiTheme="minorHAnsi" w:cstheme="minorBidi"/>
          <w:lang w:eastAsia="en-US"/>
        </w:rPr>
        <w:t xml:space="preserve">At its November 2013 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meeting, the PBAC recommended listing </w:t>
      </w:r>
      <w:r>
        <w:rPr>
          <w:rFonts w:asciiTheme="minorHAnsi" w:eastAsiaTheme="minorHAnsi" w:hAnsiTheme="minorHAnsi" w:cstheme="minorBidi"/>
          <w:lang w:eastAsia="en-US"/>
        </w:rPr>
        <w:t>ferric carboxymaltose (</w:t>
      </w:r>
      <w:r w:rsidRPr="004F4B19">
        <w:rPr>
          <w:rFonts w:asciiTheme="minorHAnsi" w:eastAsiaTheme="minorHAnsi" w:hAnsiTheme="minorHAnsi" w:cstheme="minorBidi"/>
          <w:lang w:eastAsia="en-US"/>
        </w:rPr>
        <w:t>Ferinject®</w:t>
      </w:r>
      <w:r>
        <w:rPr>
          <w:rFonts w:asciiTheme="minorHAnsi" w:eastAsiaTheme="minorHAnsi" w:hAnsiTheme="minorHAnsi" w:cstheme="minorBidi"/>
          <w:lang w:eastAsia="en-US"/>
        </w:rPr>
        <w:t>)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 500 mg/10 mL for the treatment of iron deficiency anaemia (IDA) as an unrestricted benefit. </w:t>
      </w:r>
      <w:r>
        <w:rPr>
          <w:rFonts w:asciiTheme="minorHAnsi" w:eastAsiaTheme="minorHAnsi" w:hAnsiTheme="minorHAnsi" w:cstheme="minorBidi"/>
          <w:lang w:eastAsia="en-US"/>
        </w:rPr>
        <w:t>Ferric carboxymaltose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 was listed on the PBS in June 2014.</w:t>
      </w:r>
    </w:p>
    <w:p w:rsidR="00C97068" w:rsidRPr="006B21EA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6B21EA">
        <w:rPr>
          <w:rFonts w:asciiTheme="minorHAnsi" w:eastAsiaTheme="minorHAnsi" w:hAnsiTheme="minorHAnsi" w:cstheme="minorBidi"/>
          <w:lang w:eastAsia="en-US"/>
        </w:rPr>
        <w:t>Ferric carboxymaltose 1,000 mg/20 mL was appr</w:t>
      </w:r>
      <w:r w:rsidR="003D1E0E">
        <w:rPr>
          <w:rFonts w:asciiTheme="minorHAnsi" w:eastAsiaTheme="minorHAnsi" w:hAnsiTheme="minorHAnsi" w:cstheme="minorBidi"/>
          <w:lang w:eastAsia="en-US"/>
        </w:rPr>
        <w:t>oved by the TGA on 5 June 2018.</w:t>
      </w:r>
    </w:p>
    <w:p w:rsidR="00C97068" w:rsidRPr="005D1370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5D1370">
        <w:rPr>
          <w:rFonts w:asciiTheme="minorHAnsi" w:eastAsiaTheme="minorHAnsi" w:hAnsiTheme="minorHAnsi" w:cstheme="minorBidi"/>
          <w:lang w:eastAsia="en-US"/>
        </w:rPr>
        <w:t>The sponsor propose</w:t>
      </w:r>
      <w:r>
        <w:rPr>
          <w:rFonts w:asciiTheme="minorHAnsi" w:eastAsiaTheme="minorHAnsi" w:hAnsiTheme="minorHAnsi" w:cstheme="minorBidi"/>
          <w:lang w:eastAsia="en-US"/>
        </w:rPr>
        <w:t>d</w:t>
      </w:r>
      <w:r w:rsidRPr="005D1370">
        <w:rPr>
          <w:rFonts w:asciiTheme="minorHAnsi" w:eastAsiaTheme="minorHAnsi" w:hAnsiTheme="minorHAnsi" w:cstheme="minorBidi"/>
          <w:lang w:eastAsia="en-US"/>
        </w:rPr>
        <w:t xml:space="preserve"> that listing a 1,000 mg/20 mL vial </w:t>
      </w:r>
      <w:r>
        <w:rPr>
          <w:rFonts w:asciiTheme="minorHAnsi" w:eastAsiaTheme="minorHAnsi" w:hAnsiTheme="minorHAnsi" w:cstheme="minorBidi"/>
          <w:lang w:eastAsia="en-US"/>
        </w:rPr>
        <w:t xml:space="preserve">on the PBS </w:t>
      </w:r>
      <w:r w:rsidRPr="005D1370">
        <w:rPr>
          <w:rFonts w:asciiTheme="minorHAnsi" w:eastAsiaTheme="minorHAnsi" w:hAnsiTheme="minorHAnsi" w:cstheme="minorBidi"/>
          <w:lang w:eastAsia="en-US"/>
        </w:rPr>
        <w:t xml:space="preserve">would align with Quality Use of Medicines as 93.5% of patients </w:t>
      </w:r>
      <w:r>
        <w:rPr>
          <w:rFonts w:asciiTheme="minorHAnsi" w:eastAsiaTheme="minorHAnsi" w:hAnsiTheme="minorHAnsi" w:cstheme="minorBidi"/>
          <w:lang w:eastAsia="en-US"/>
        </w:rPr>
        <w:t>prescribed I.V. iron receiv</w:t>
      </w:r>
      <w:r w:rsidRPr="005D1370">
        <w:rPr>
          <w:rFonts w:asciiTheme="minorHAnsi" w:eastAsiaTheme="minorHAnsi" w:hAnsiTheme="minorHAnsi" w:cstheme="minorBidi"/>
          <w:lang w:eastAsia="en-US"/>
        </w:rPr>
        <w:t>e a 1,000 mg dose (based on PBS 10% sample data) and a 1,000 mg vial would deliver this amount of iron in a single prescription.</w:t>
      </w:r>
    </w:p>
    <w:p w:rsidR="00C97068" w:rsidRPr="00472214" w:rsidRDefault="00C97068" w:rsidP="00B54B61">
      <w:pPr>
        <w:pStyle w:val="Heading1"/>
      </w:pPr>
      <w:r w:rsidRPr="00472214">
        <w:t>Pricing considerations</w:t>
      </w:r>
    </w:p>
    <w:p w:rsidR="00C97068" w:rsidRPr="004F4B19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472214">
        <w:rPr>
          <w:rFonts w:asciiTheme="minorHAnsi" w:eastAsiaTheme="minorHAnsi" w:hAnsiTheme="minorHAnsi" w:cstheme="minorBidi"/>
          <w:lang w:eastAsia="en-US"/>
        </w:rPr>
        <w:t xml:space="preserve">Ferinject® is subject to a current </w:t>
      </w:r>
      <w:r w:rsidRPr="004F4B19">
        <w:rPr>
          <w:rFonts w:asciiTheme="minorHAnsi" w:eastAsiaTheme="minorHAnsi" w:hAnsiTheme="minorHAnsi" w:cstheme="minorBidi"/>
          <w:lang w:eastAsia="en-US"/>
        </w:rPr>
        <w:t>Deed of Agreement, and the 1,000 mg/20 mL vial will be subject to this agreement.</w:t>
      </w:r>
    </w:p>
    <w:p w:rsidR="00C97068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4F4B19">
        <w:rPr>
          <w:rFonts w:asciiTheme="minorHAnsi" w:eastAsiaTheme="minorHAnsi" w:hAnsiTheme="minorHAnsi" w:cstheme="minorBidi"/>
          <w:lang w:eastAsia="en-US"/>
        </w:rPr>
        <w:t>The sponsor propose</w:t>
      </w:r>
      <w:r>
        <w:rPr>
          <w:rFonts w:asciiTheme="minorHAnsi" w:eastAsiaTheme="minorHAnsi" w:hAnsiTheme="minorHAnsi" w:cstheme="minorBidi"/>
          <w:lang w:eastAsia="en-US"/>
        </w:rPr>
        <w:t>d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 an equivalent price per milligram for the 1,000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mg/20 mL vial relative to the 500 mg/10 mL </w:t>
      </w:r>
      <w:r w:rsidR="003D1E0E">
        <w:rPr>
          <w:rFonts w:asciiTheme="minorHAnsi" w:eastAsiaTheme="minorHAnsi" w:hAnsiTheme="minorHAnsi" w:cstheme="minorBidi"/>
          <w:lang w:eastAsia="en-US"/>
        </w:rPr>
        <w:t>vial.</w:t>
      </w:r>
    </w:p>
    <w:p w:rsidR="00C97068" w:rsidRPr="004C5959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4F4B19">
        <w:rPr>
          <w:rFonts w:asciiTheme="minorHAnsi" w:eastAsiaTheme="minorHAnsi" w:hAnsiTheme="minorHAnsi" w:cstheme="minorBidi"/>
          <w:lang w:eastAsia="en-US"/>
        </w:rPr>
        <w:lastRenderedPageBreak/>
        <w:t xml:space="preserve">Given the 1:1 substitution of </w:t>
      </w:r>
      <w:r>
        <w:rPr>
          <w:rFonts w:asciiTheme="minorHAnsi" w:eastAsiaTheme="minorHAnsi" w:hAnsiTheme="minorHAnsi" w:cstheme="minorBidi"/>
          <w:lang w:eastAsia="en-US"/>
        </w:rPr>
        <w:t>ferric carboxymaltose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 1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4B19">
        <w:rPr>
          <w:rFonts w:asciiTheme="minorHAnsi" w:eastAsiaTheme="minorHAnsi" w:hAnsiTheme="minorHAnsi" w:cstheme="minorBidi"/>
          <w:lang w:eastAsia="en-US"/>
        </w:rPr>
        <w:t>x 1,000 mg/20 mL vial for 2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x 500 mg/10 mL vials, with </w:t>
      </w:r>
      <w:r>
        <w:rPr>
          <w:rFonts w:asciiTheme="minorHAnsi" w:eastAsiaTheme="minorHAnsi" w:hAnsiTheme="minorHAnsi" w:cstheme="minorBidi"/>
          <w:lang w:eastAsia="en-US"/>
        </w:rPr>
        <w:t xml:space="preserve">an equivalent 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price per milligram, there </w:t>
      </w:r>
      <w:r>
        <w:rPr>
          <w:rFonts w:asciiTheme="minorHAnsi" w:eastAsiaTheme="minorHAnsi" w:hAnsiTheme="minorHAnsi" w:cstheme="minorBidi"/>
          <w:lang w:eastAsia="en-US"/>
        </w:rPr>
        <w:t xml:space="preserve">is expected to be </w:t>
      </w:r>
      <w:r w:rsidRPr="004F4B19">
        <w:rPr>
          <w:rFonts w:asciiTheme="minorHAnsi" w:eastAsiaTheme="minorHAnsi" w:hAnsiTheme="minorHAnsi" w:cstheme="minorBidi"/>
          <w:lang w:eastAsia="en-US"/>
        </w:rPr>
        <w:t xml:space="preserve">no </w:t>
      </w:r>
      <w:r w:rsidRPr="004C5959">
        <w:rPr>
          <w:rFonts w:asciiTheme="minorHAnsi" w:eastAsiaTheme="minorHAnsi" w:hAnsiTheme="minorHAnsi" w:cstheme="minorBidi"/>
          <w:lang w:eastAsia="en-US"/>
        </w:rPr>
        <w:t xml:space="preserve">financial impact as a result of the inclusion of the </w:t>
      </w:r>
      <w:r w:rsidR="003D1E0E">
        <w:rPr>
          <w:rFonts w:asciiTheme="minorHAnsi" w:eastAsiaTheme="minorHAnsi" w:hAnsiTheme="minorHAnsi" w:cstheme="minorBidi"/>
          <w:lang w:eastAsia="en-US"/>
        </w:rPr>
        <w:t>1,000 mg/20 mL vial on the PBS.</w:t>
      </w:r>
    </w:p>
    <w:p w:rsidR="00C97068" w:rsidRPr="00B54B61" w:rsidRDefault="00C97068" w:rsidP="00B54B61">
      <w:pPr>
        <w:pStyle w:val="Heading2"/>
      </w:pPr>
      <w:r w:rsidRPr="00B54B61">
        <w:t>Estimated PBS usage &amp; financial implications</w:t>
      </w:r>
    </w:p>
    <w:p w:rsidR="00C97068" w:rsidRPr="004C5959" w:rsidRDefault="00C97068" w:rsidP="00C97068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4C5959">
        <w:rPr>
          <w:rFonts w:asciiTheme="minorHAnsi" w:eastAsiaTheme="minorHAnsi" w:hAnsiTheme="minorHAnsi" w:cstheme="minorBidi"/>
          <w:lang w:eastAsia="en-US"/>
        </w:rPr>
        <w:t>The submission noted that the inclusion of ferric carboxymaltose 1,000 mg/20 mL will not increase the current market, instead providing an alternative to 2 x 500 mg/10 mL vials. It is expect</w:t>
      </w:r>
      <w:r w:rsidR="003D1E0E">
        <w:rPr>
          <w:rFonts w:asciiTheme="minorHAnsi" w:eastAsiaTheme="minorHAnsi" w:hAnsiTheme="minorHAnsi" w:cstheme="minorBidi"/>
          <w:lang w:eastAsia="en-US"/>
        </w:rPr>
        <w:t>ed to have no financial impact.</w:t>
      </w:r>
    </w:p>
    <w:p w:rsidR="00C97068" w:rsidRPr="004C5959" w:rsidRDefault="00C97068" w:rsidP="00B54B61">
      <w:pPr>
        <w:pStyle w:val="Heading1"/>
        <w:rPr>
          <w:rFonts w:eastAsiaTheme="minorHAnsi"/>
        </w:rPr>
      </w:pPr>
      <w:r w:rsidRPr="004C5959">
        <w:rPr>
          <w:rFonts w:eastAsiaTheme="minorHAnsi"/>
        </w:rPr>
        <w:t>PBAC Outcome</w:t>
      </w:r>
    </w:p>
    <w:p w:rsidR="009F7619" w:rsidRPr="00B54B61" w:rsidRDefault="009F7619" w:rsidP="00B54B61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HAnsi"/>
          <w:b/>
        </w:rPr>
      </w:pPr>
      <w:r w:rsidRPr="00B54B61">
        <w:rPr>
          <w:rFonts w:asciiTheme="minorHAnsi" w:eastAsiaTheme="minorHAnsi" w:hAnsiTheme="minorHAnsi" w:cstheme="minorHAnsi"/>
        </w:rPr>
        <w:t>The PBAC recommended the listing of ferric carboxymaltose 1,000mg/20 mL in addition to the existing 500 mg/10 mL presentation, on the General Schedule as an unrestricted benefit for the treatment of iron deficiency anaemia (IDA).</w:t>
      </w:r>
    </w:p>
    <w:p w:rsidR="009F7619" w:rsidRPr="00B54B61" w:rsidRDefault="009F7619" w:rsidP="00B54B61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HAnsi"/>
          <w:b/>
        </w:rPr>
      </w:pPr>
      <w:r w:rsidRPr="00B54B61">
        <w:rPr>
          <w:rFonts w:asciiTheme="minorHAnsi" w:eastAsiaTheme="minorHAnsi" w:hAnsiTheme="minorHAnsi" w:cstheme="minorHAnsi"/>
        </w:rPr>
        <w:t>The PBAC noted that the</w:t>
      </w:r>
      <w:r w:rsidR="00AD4BCD" w:rsidRPr="00B54B61">
        <w:rPr>
          <w:rFonts w:asciiTheme="minorHAnsi" w:eastAsiaTheme="minorHAnsi" w:hAnsiTheme="minorHAnsi" w:cstheme="minorHAnsi"/>
        </w:rPr>
        <w:t xml:space="preserve"> sponsor had proposed an equivalent price per milligram for the 1,000 mg/20 mL vial relative to the 500 mg/10 mL vial,</w:t>
      </w:r>
      <w:r w:rsidR="00AD4BCD" w:rsidRPr="00B54B61" w:rsidDel="00AD4BCD">
        <w:rPr>
          <w:rFonts w:asciiTheme="minorHAnsi" w:eastAsiaTheme="minorHAnsi" w:hAnsiTheme="minorHAnsi" w:cstheme="minorHAnsi"/>
        </w:rPr>
        <w:t xml:space="preserve"> </w:t>
      </w:r>
      <w:r w:rsidR="00AD4BCD" w:rsidRPr="00B54B61">
        <w:rPr>
          <w:rFonts w:asciiTheme="minorHAnsi" w:eastAsiaTheme="minorHAnsi" w:hAnsiTheme="minorHAnsi" w:cstheme="minorHAnsi"/>
        </w:rPr>
        <w:t>and that the new presentation would provide a substitute for prescribing 2 x 500 mg/10 mL vials. The PBAC noted that there was expected to be no financial impact associated with the new listing.</w:t>
      </w:r>
    </w:p>
    <w:p w:rsidR="00C97068" w:rsidRPr="004C5959" w:rsidRDefault="00C97068" w:rsidP="00C97068">
      <w:pPr>
        <w:rPr>
          <w:rFonts w:eastAsiaTheme="minorHAnsi"/>
          <w:lang w:eastAsia="en-US"/>
        </w:rPr>
      </w:pPr>
    </w:p>
    <w:p w:rsidR="00C97068" w:rsidRPr="00CD7996" w:rsidRDefault="00C97068" w:rsidP="00C97068">
      <w:pPr>
        <w:rPr>
          <w:rFonts w:asciiTheme="minorHAnsi" w:eastAsiaTheme="minorHAnsi" w:hAnsiTheme="minorHAnsi" w:cstheme="minorBidi"/>
          <w:b/>
          <w:lang w:eastAsia="en-US"/>
        </w:rPr>
      </w:pPr>
      <w:r w:rsidRPr="00CD7996">
        <w:rPr>
          <w:rFonts w:asciiTheme="minorHAnsi" w:eastAsiaTheme="minorHAnsi" w:hAnsiTheme="minorHAnsi" w:cstheme="minorBidi"/>
          <w:b/>
          <w:lang w:eastAsia="en-US"/>
        </w:rPr>
        <w:t xml:space="preserve">Outcome: </w:t>
      </w:r>
    </w:p>
    <w:p w:rsidR="00C97068" w:rsidRPr="00CD7996" w:rsidRDefault="00C97068" w:rsidP="00C97068">
      <w:pPr>
        <w:rPr>
          <w:rFonts w:asciiTheme="minorHAnsi" w:eastAsiaTheme="minorHAnsi" w:hAnsiTheme="minorHAnsi" w:cstheme="minorBidi"/>
          <w:lang w:eastAsia="en-US"/>
        </w:rPr>
      </w:pPr>
      <w:r w:rsidRPr="00CD7996">
        <w:rPr>
          <w:rFonts w:asciiTheme="minorHAnsi" w:eastAsiaTheme="minorHAnsi" w:hAnsiTheme="minorHAnsi" w:cstheme="minorBidi"/>
          <w:lang w:eastAsia="en-US"/>
        </w:rPr>
        <w:t>Recommended</w:t>
      </w:r>
    </w:p>
    <w:p w:rsidR="00C97068" w:rsidRPr="00CD7996" w:rsidRDefault="00C97068" w:rsidP="00B54B61">
      <w:pPr>
        <w:pStyle w:val="Heading1"/>
        <w:rPr>
          <w:rFonts w:eastAsiaTheme="minorHAnsi"/>
        </w:rPr>
      </w:pPr>
      <w:r w:rsidRPr="00CD7996">
        <w:rPr>
          <w:rFonts w:eastAsiaTheme="minorHAnsi"/>
        </w:rPr>
        <w:t>Recommended listing</w:t>
      </w:r>
    </w:p>
    <w:p w:rsidR="00C97068" w:rsidRPr="001944CB" w:rsidRDefault="00C97068" w:rsidP="00B54B61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01944CB">
        <w:rPr>
          <w:rFonts w:asciiTheme="minorHAnsi" w:eastAsiaTheme="minorHAnsi" w:hAnsiTheme="minorHAnsi" w:cstheme="minorHAnsi"/>
        </w:rPr>
        <w:t>Add new item:</w:t>
      </w:r>
    </w:p>
    <w:p w:rsidR="00C97068" w:rsidRPr="00472214" w:rsidRDefault="00C97068" w:rsidP="00C97068">
      <w:pPr>
        <w:rPr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52"/>
        <w:gridCol w:w="1267"/>
        <w:gridCol w:w="1267"/>
        <w:gridCol w:w="791"/>
        <w:gridCol w:w="1742"/>
        <w:gridCol w:w="1107"/>
      </w:tblGrid>
      <w:tr w:rsidR="00C97068" w:rsidRPr="004F4B19" w:rsidTr="00B54B61">
        <w:trPr>
          <w:cantSplit/>
          <w:trHeight w:val="493"/>
        </w:trPr>
        <w:tc>
          <w:tcPr>
            <w:tcW w:w="1580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Name, Restriction,</w:t>
            </w:r>
          </w:p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Manner of administration and form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97068" w:rsidRPr="004F4B19" w:rsidRDefault="00C97068" w:rsidP="00B767B0">
            <w:pPr>
              <w:keepNext/>
              <w:ind w:left="-108"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Qty (Packs)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Max.</w:t>
            </w: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Qty (Units)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No. of</w:t>
            </w: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Rpts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4F4B19">
              <w:rPr>
                <w:rFonts w:ascii="Arial Narrow" w:hAnsi="Arial Narrow" w:cs="Arial"/>
                <w:b/>
                <w:sz w:val="20"/>
                <w:szCs w:val="20"/>
              </w:rPr>
              <w:t>Proprietary Name and Manufacturer</w:t>
            </w:r>
          </w:p>
        </w:tc>
      </w:tr>
      <w:tr w:rsidR="00C97068" w:rsidRPr="004F4B19" w:rsidTr="00B54B61">
        <w:trPr>
          <w:cantSplit/>
          <w:trHeight w:val="605"/>
        </w:trPr>
        <w:tc>
          <w:tcPr>
            <w:tcW w:w="1580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mallCaps/>
                <w:sz w:val="20"/>
                <w:szCs w:val="20"/>
              </w:rPr>
              <w:t>IRON</w:t>
            </w:r>
          </w:p>
          <w:p w:rsidR="00C97068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4F4B19">
              <w:rPr>
                <w:rFonts w:ascii="Arial Narrow" w:hAnsi="Arial Narrow" w:cs="Arial"/>
                <w:sz w:val="19"/>
                <w:szCs w:val="19"/>
              </w:rPr>
              <w:t xml:space="preserve">Iron (as ferric carboxymaltose) </w:t>
            </w:r>
          </w:p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4F4B19">
              <w:rPr>
                <w:rFonts w:ascii="Arial Narrow" w:hAnsi="Arial Narrow" w:cs="Arial"/>
                <w:sz w:val="19"/>
                <w:szCs w:val="19"/>
              </w:rPr>
              <w:t>1000 mg/20 mL injection, 1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4F4B19">
              <w:rPr>
                <w:rFonts w:ascii="Arial Narrow" w:hAnsi="Arial Narrow" w:cs="Arial"/>
                <w:sz w:val="19"/>
                <w:szCs w:val="19"/>
              </w:rPr>
              <w:t>x 20 mL vial</w:t>
            </w:r>
          </w:p>
          <w:p w:rsidR="00C97068" w:rsidRPr="004F4B19" w:rsidRDefault="00C97068" w:rsidP="00B767B0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Ferinject®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97068" w:rsidRPr="004F4B19" w:rsidRDefault="00C97068" w:rsidP="00B767B0">
            <w:pPr>
              <w:keepNext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Vifor Pharma</w:t>
            </w:r>
          </w:p>
        </w:tc>
      </w:tr>
      <w:tr w:rsidR="00C97068" w:rsidRPr="004F4B19" w:rsidTr="00B54B61">
        <w:trPr>
          <w:cantSplit/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C97068" w:rsidRPr="004F4B19" w:rsidRDefault="00C97068" w:rsidP="00B767B0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r w:rsidRPr="004F4B19">
              <w:rPr>
                <w:rFonts w:ascii="Arial Narrow" w:hAnsi="Arial Narrow" w:cs="Arial"/>
                <w:sz w:val="20"/>
                <w:szCs w:val="20"/>
              </w:rPr>
              <w:t>Max = maximum; Qty = quantity; Rpts = repeats</w:t>
            </w:r>
          </w:p>
        </w:tc>
      </w:tr>
    </w:tbl>
    <w:p w:rsidR="00FD04AB" w:rsidRPr="001944CB" w:rsidRDefault="001944CB" w:rsidP="001944CB">
      <w:pPr>
        <w:pStyle w:val="Heading1"/>
        <w:ind w:left="709" w:hanging="709"/>
        <w:rPr>
          <w:rFonts w:eastAsiaTheme="minorHAnsi"/>
        </w:rPr>
      </w:pPr>
      <w:r w:rsidRPr="001944CB">
        <w:rPr>
          <w:rFonts w:eastAsiaTheme="minorHAnsi"/>
        </w:rPr>
        <w:t>Context for Decision</w:t>
      </w:r>
    </w:p>
    <w:p w:rsidR="001944CB" w:rsidRPr="001944CB" w:rsidRDefault="001944CB" w:rsidP="001944CB">
      <w:pPr>
        <w:widowControl w:val="0"/>
        <w:spacing w:after="120"/>
        <w:ind w:left="720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1944CB">
        <w:rPr>
          <w:rFonts w:asciiTheme="minorHAnsi" w:eastAsiaTheme="minorHAnsi" w:hAnsiTheme="minorHAnsi" w:cs="Arial"/>
          <w:szCs w:val="22"/>
          <w:lang w:eastAsia="en-US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1944CB" w:rsidRPr="001944CB" w:rsidRDefault="001944CB" w:rsidP="001944CB">
      <w:pPr>
        <w:pStyle w:val="Heading1"/>
        <w:ind w:left="709" w:hanging="709"/>
        <w:rPr>
          <w:rFonts w:eastAsiaTheme="minorHAnsi"/>
        </w:rPr>
      </w:pPr>
      <w:r w:rsidRPr="001944CB">
        <w:rPr>
          <w:rFonts w:eastAsiaTheme="minorHAnsi"/>
        </w:rPr>
        <w:lastRenderedPageBreak/>
        <w:t>Sponsor’s Comment</w:t>
      </w:r>
    </w:p>
    <w:p w:rsidR="00A62CDA" w:rsidRPr="001A240A" w:rsidRDefault="001A240A" w:rsidP="001A240A">
      <w:pPr>
        <w:spacing w:after="120" w:line="276" w:lineRule="auto"/>
        <w:ind w:left="720"/>
        <w:jc w:val="both"/>
        <w:rPr>
          <w:rFonts w:asciiTheme="minorHAnsi" w:eastAsiaTheme="minorHAnsi" w:hAnsiTheme="minorHAnsi" w:cs="Arial"/>
          <w:bCs/>
          <w:szCs w:val="22"/>
          <w:lang w:val="en-GB" w:eastAsia="en-US"/>
        </w:rPr>
      </w:pPr>
      <w:r w:rsidRPr="00882956">
        <w:rPr>
          <w:rFonts w:asciiTheme="minorHAnsi" w:eastAsiaTheme="minorHAnsi" w:hAnsiTheme="minorHAnsi" w:cs="Arial"/>
          <w:bCs/>
          <w:szCs w:val="22"/>
          <w:lang w:val="en-GB" w:eastAsia="en-US"/>
        </w:rPr>
        <w:t xml:space="preserve">Vifor Pharma </w:t>
      </w:r>
      <w:r>
        <w:rPr>
          <w:rFonts w:asciiTheme="minorHAnsi" w:eastAsiaTheme="minorHAnsi" w:hAnsiTheme="minorHAnsi" w:cs="Arial"/>
          <w:bCs/>
          <w:szCs w:val="22"/>
          <w:lang w:val="en-GB" w:eastAsia="en-US"/>
        </w:rPr>
        <w:t xml:space="preserve">welcomes the recommendation to include the 1,000mg/20mL vial on the PBS. </w:t>
      </w:r>
      <w:bookmarkStart w:id="0" w:name="_GoBack"/>
      <w:bookmarkEnd w:id="0"/>
    </w:p>
    <w:sectPr w:rsidR="00A62CDA" w:rsidRPr="001A240A" w:rsidSect="00B54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EF" w:rsidRDefault="00AC1EEF" w:rsidP="00F31FFD">
      <w:r>
        <w:separator/>
      </w:r>
    </w:p>
  </w:endnote>
  <w:endnote w:type="continuationSeparator" w:id="0">
    <w:p w:rsidR="00AC1EEF" w:rsidRDefault="00AC1EEF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EF" w:rsidRDefault="00AC1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3805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B54B61" w:rsidRPr="001944CB" w:rsidRDefault="00B54B61">
        <w:pPr>
          <w:pStyle w:val="Footer"/>
          <w:jc w:val="center"/>
          <w:rPr>
            <w:rFonts w:asciiTheme="minorHAnsi" w:hAnsiTheme="minorHAnsi" w:cstheme="minorHAnsi"/>
          </w:rPr>
        </w:pPr>
        <w:r w:rsidRPr="001944CB">
          <w:rPr>
            <w:rFonts w:asciiTheme="minorHAnsi" w:hAnsiTheme="minorHAnsi" w:cstheme="minorHAnsi"/>
          </w:rPr>
          <w:fldChar w:fldCharType="begin"/>
        </w:r>
        <w:r w:rsidRPr="001944CB">
          <w:rPr>
            <w:rFonts w:asciiTheme="minorHAnsi" w:hAnsiTheme="minorHAnsi" w:cstheme="minorHAnsi"/>
          </w:rPr>
          <w:instrText xml:space="preserve"> PAGE   \* MERGEFORMAT </w:instrText>
        </w:r>
        <w:r w:rsidRPr="001944CB">
          <w:rPr>
            <w:rFonts w:asciiTheme="minorHAnsi" w:hAnsiTheme="minorHAnsi" w:cstheme="minorHAnsi"/>
          </w:rPr>
          <w:fldChar w:fldCharType="separate"/>
        </w:r>
        <w:r w:rsidR="0060055B">
          <w:rPr>
            <w:rFonts w:asciiTheme="minorHAnsi" w:hAnsiTheme="minorHAnsi" w:cstheme="minorHAnsi"/>
            <w:noProof/>
          </w:rPr>
          <w:t>3</w:t>
        </w:r>
        <w:r w:rsidRPr="001944CB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EF" w:rsidRDefault="00AC1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EF" w:rsidRDefault="00AC1EEF" w:rsidP="00F31FFD">
      <w:r>
        <w:separator/>
      </w:r>
    </w:p>
  </w:footnote>
  <w:footnote w:type="continuationSeparator" w:id="0">
    <w:p w:rsidR="00AC1EEF" w:rsidRDefault="00AC1EEF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EF" w:rsidRDefault="00AC1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6E" w:rsidRPr="001944CB" w:rsidRDefault="001944CB" w:rsidP="00460B6E">
    <w:pPr>
      <w:pStyle w:val="Header"/>
      <w:ind w:left="360"/>
      <w:jc w:val="center"/>
      <w:rPr>
        <w:rFonts w:asciiTheme="minorHAnsi" w:hAnsiTheme="minorHAnsi" w:cstheme="minorHAnsi"/>
        <w:i/>
      </w:rPr>
    </w:pPr>
    <w:r w:rsidRPr="001944CB">
      <w:rPr>
        <w:rFonts w:asciiTheme="minorHAnsi" w:hAnsiTheme="minorHAnsi" w:cstheme="minorHAnsi"/>
        <w:i/>
      </w:rPr>
      <w:t xml:space="preserve">Public Summary Document </w:t>
    </w:r>
    <w:r w:rsidR="00460B6E" w:rsidRPr="001944CB">
      <w:rPr>
        <w:rFonts w:asciiTheme="minorHAnsi" w:hAnsiTheme="minorHAnsi" w:cstheme="minorHAnsi"/>
        <w:i/>
      </w:rPr>
      <w:t>– November 2018 PBAC Meeting</w:t>
    </w:r>
  </w:p>
  <w:p w:rsidR="00DD5027" w:rsidRPr="00B54B61" w:rsidRDefault="00DD502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EF" w:rsidRDefault="00AC1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8023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0FAB9E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D2162"/>
    <w:multiLevelType w:val="multilevel"/>
    <w:tmpl w:val="F468BD56"/>
    <w:numStyleLink w:val="Style2"/>
  </w:abstractNum>
  <w:abstractNum w:abstractNumId="4" w15:restartNumberingAfterBreak="0">
    <w:nsid w:val="2FE92915"/>
    <w:multiLevelType w:val="hybridMultilevel"/>
    <w:tmpl w:val="7FD69422"/>
    <w:lvl w:ilvl="0" w:tplc="8E4E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58BD"/>
    <w:multiLevelType w:val="multilevel"/>
    <w:tmpl w:val="F468BD56"/>
    <w:styleLink w:val="Style2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4BF95622"/>
    <w:multiLevelType w:val="multilevel"/>
    <w:tmpl w:val="A696715E"/>
    <w:numStyleLink w:val="Style1"/>
  </w:abstractNum>
  <w:abstractNum w:abstractNumId="7" w15:restartNumberingAfterBreak="0">
    <w:nsid w:val="59387343"/>
    <w:multiLevelType w:val="multilevel"/>
    <w:tmpl w:val="A696715E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D033C"/>
    <w:multiLevelType w:val="multilevel"/>
    <w:tmpl w:val="07DC04D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FD"/>
    <w:rsid w:val="00003129"/>
    <w:rsid w:val="00045B63"/>
    <w:rsid w:val="00064FA7"/>
    <w:rsid w:val="00094869"/>
    <w:rsid w:val="000A2E52"/>
    <w:rsid w:val="000C667C"/>
    <w:rsid w:val="000D277B"/>
    <w:rsid w:val="000F254B"/>
    <w:rsid w:val="000F30B8"/>
    <w:rsid w:val="00125C93"/>
    <w:rsid w:val="0013143E"/>
    <w:rsid w:val="00133188"/>
    <w:rsid w:val="00147301"/>
    <w:rsid w:val="00162014"/>
    <w:rsid w:val="001701A7"/>
    <w:rsid w:val="00182DF8"/>
    <w:rsid w:val="00185514"/>
    <w:rsid w:val="001856E5"/>
    <w:rsid w:val="001944CB"/>
    <w:rsid w:val="001A240A"/>
    <w:rsid w:val="001D4593"/>
    <w:rsid w:val="00236997"/>
    <w:rsid w:val="002432CA"/>
    <w:rsid w:val="00270EC4"/>
    <w:rsid w:val="002722B0"/>
    <w:rsid w:val="00277907"/>
    <w:rsid w:val="0028043E"/>
    <w:rsid w:val="00294C58"/>
    <w:rsid w:val="002975C3"/>
    <w:rsid w:val="002B1D62"/>
    <w:rsid w:val="002B7692"/>
    <w:rsid w:val="002D7DC7"/>
    <w:rsid w:val="00306A85"/>
    <w:rsid w:val="0031577A"/>
    <w:rsid w:val="00315F56"/>
    <w:rsid w:val="0032221F"/>
    <w:rsid w:val="00324E6A"/>
    <w:rsid w:val="003352AD"/>
    <w:rsid w:val="0034228D"/>
    <w:rsid w:val="003503DE"/>
    <w:rsid w:val="00355BE0"/>
    <w:rsid w:val="0036702B"/>
    <w:rsid w:val="003804F1"/>
    <w:rsid w:val="003A08BF"/>
    <w:rsid w:val="003B4E4E"/>
    <w:rsid w:val="003C188B"/>
    <w:rsid w:val="003C1DC2"/>
    <w:rsid w:val="003D1E0E"/>
    <w:rsid w:val="003E0A72"/>
    <w:rsid w:val="003F2B73"/>
    <w:rsid w:val="003F625B"/>
    <w:rsid w:val="0040473E"/>
    <w:rsid w:val="0042285B"/>
    <w:rsid w:val="00427919"/>
    <w:rsid w:val="0044087C"/>
    <w:rsid w:val="00443251"/>
    <w:rsid w:val="00447B31"/>
    <w:rsid w:val="00454A34"/>
    <w:rsid w:val="00460B6E"/>
    <w:rsid w:val="00472214"/>
    <w:rsid w:val="004C1B85"/>
    <w:rsid w:val="004C5951"/>
    <w:rsid w:val="004C5959"/>
    <w:rsid w:val="004E6B37"/>
    <w:rsid w:val="004F4B19"/>
    <w:rsid w:val="004F691F"/>
    <w:rsid w:val="005430F6"/>
    <w:rsid w:val="00555A56"/>
    <w:rsid w:val="00571C07"/>
    <w:rsid w:val="00596402"/>
    <w:rsid w:val="005B1FBC"/>
    <w:rsid w:val="005C24D1"/>
    <w:rsid w:val="005D1131"/>
    <w:rsid w:val="005D1370"/>
    <w:rsid w:val="005D6F2A"/>
    <w:rsid w:val="005F1879"/>
    <w:rsid w:val="0060055B"/>
    <w:rsid w:val="00602831"/>
    <w:rsid w:val="006457A7"/>
    <w:rsid w:val="00662AA1"/>
    <w:rsid w:val="00665790"/>
    <w:rsid w:val="006728B5"/>
    <w:rsid w:val="00683AE0"/>
    <w:rsid w:val="006927A1"/>
    <w:rsid w:val="006A23EF"/>
    <w:rsid w:val="006B21EA"/>
    <w:rsid w:val="006C15C6"/>
    <w:rsid w:val="006C2A99"/>
    <w:rsid w:val="006E70FB"/>
    <w:rsid w:val="0070485C"/>
    <w:rsid w:val="007229FB"/>
    <w:rsid w:val="00731615"/>
    <w:rsid w:val="007451B8"/>
    <w:rsid w:val="007505AB"/>
    <w:rsid w:val="007718E0"/>
    <w:rsid w:val="00795F43"/>
    <w:rsid w:val="00796FDD"/>
    <w:rsid w:val="007B3354"/>
    <w:rsid w:val="007B3E70"/>
    <w:rsid w:val="007E7244"/>
    <w:rsid w:val="007E7D09"/>
    <w:rsid w:val="007F4E20"/>
    <w:rsid w:val="00807C1E"/>
    <w:rsid w:val="008142B6"/>
    <w:rsid w:val="00815236"/>
    <w:rsid w:val="00825B00"/>
    <w:rsid w:val="00832AB1"/>
    <w:rsid w:val="008374A2"/>
    <w:rsid w:val="00840B49"/>
    <w:rsid w:val="0084721C"/>
    <w:rsid w:val="00867899"/>
    <w:rsid w:val="00895D41"/>
    <w:rsid w:val="008A5A5B"/>
    <w:rsid w:val="008B7765"/>
    <w:rsid w:val="008C0A19"/>
    <w:rsid w:val="008C50E4"/>
    <w:rsid w:val="009025EE"/>
    <w:rsid w:val="009054EE"/>
    <w:rsid w:val="0090650B"/>
    <w:rsid w:val="00914B0E"/>
    <w:rsid w:val="009304B7"/>
    <w:rsid w:val="00960032"/>
    <w:rsid w:val="009A2837"/>
    <w:rsid w:val="009A528F"/>
    <w:rsid w:val="009B4A7A"/>
    <w:rsid w:val="009D1D01"/>
    <w:rsid w:val="009F2C00"/>
    <w:rsid w:val="009F7619"/>
    <w:rsid w:val="00A14A04"/>
    <w:rsid w:val="00A62CDA"/>
    <w:rsid w:val="00A92489"/>
    <w:rsid w:val="00A94F87"/>
    <w:rsid w:val="00AA0534"/>
    <w:rsid w:val="00AA7BB8"/>
    <w:rsid w:val="00AC1EEF"/>
    <w:rsid w:val="00AC2F1C"/>
    <w:rsid w:val="00AC7439"/>
    <w:rsid w:val="00AD4BCD"/>
    <w:rsid w:val="00AD717F"/>
    <w:rsid w:val="00AD745B"/>
    <w:rsid w:val="00AF26FA"/>
    <w:rsid w:val="00B02E89"/>
    <w:rsid w:val="00B228D6"/>
    <w:rsid w:val="00B245B9"/>
    <w:rsid w:val="00B54B61"/>
    <w:rsid w:val="00B63657"/>
    <w:rsid w:val="00B70B14"/>
    <w:rsid w:val="00BC1E81"/>
    <w:rsid w:val="00C1387C"/>
    <w:rsid w:val="00C2788D"/>
    <w:rsid w:val="00C27B41"/>
    <w:rsid w:val="00C3574F"/>
    <w:rsid w:val="00C8413A"/>
    <w:rsid w:val="00C97068"/>
    <w:rsid w:val="00CB283A"/>
    <w:rsid w:val="00CB3998"/>
    <w:rsid w:val="00CB45F5"/>
    <w:rsid w:val="00CD369E"/>
    <w:rsid w:val="00CD7996"/>
    <w:rsid w:val="00CE0F18"/>
    <w:rsid w:val="00CE680F"/>
    <w:rsid w:val="00CF1EF9"/>
    <w:rsid w:val="00D068C4"/>
    <w:rsid w:val="00D1428F"/>
    <w:rsid w:val="00D27AC9"/>
    <w:rsid w:val="00D36F77"/>
    <w:rsid w:val="00D821F3"/>
    <w:rsid w:val="00DB4900"/>
    <w:rsid w:val="00DC3016"/>
    <w:rsid w:val="00DC7434"/>
    <w:rsid w:val="00DD5027"/>
    <w:rsid w:val="00DE2C6B"/>
    <w:rsid w:val="00E143D3"/>
    <w:rsid w:val="00E8308D"/>
    <w:rsid w:val="00EA598E"/>
    <w:rsid w:val="00EA7DB5"/>
    <w:rsid w:val="00EB61DC"/>
    <w:rsid w:val="00EE7D8D"/>
    <w:rsid w:val="00EF76AA"/>
    <w:rsid w:val="00F06632"/>
    <w:rsid w:val="00F10B50"/>
    <w:rsid w:val="00F31FFD"/>
    <w:rsid w:val="00F45B0B"/>
    <w:rsid w:val="00F56FBD"/>
    <w:rsid w:val="00F600C4"/>
    <w:rsid w:val="00FB52BA"/>
    <w:rsid w:val="00FD68B7"/>
    <w:rsid w:val="00FE4217"/>
    <w:rsid w:val="00FF2690"/>
    <w:rsid w:val="00FF314D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3A0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Number"/>
    <w:next w:val="Normal"/>
    <w:link w:val="Heading1Char"/>
    <w:autoRedefine/>
    <w:uiPriority w:val="1"/>
    <w:qFormat/>
    <w:rsid w:val="00B54B61"/>
    <w:pPr>
      <w:keepNext/>
      <w:keepLines/>
      <w:numPr>
        <w:numId w:val="4"/>
      </w:numPr>
      <w:spacing w:before="240" w:after="120"/>
      <w:contextualSpacing w:val="0"/>
      <w:outlineLvl w:val="0"/>
    </w:pPr>
    <w:rPr>
      <w:rFonts w:asciiTheme="minorHAnsi" w:eastAsiaTheme="majorEastAsia" w:hAnsiTheme="minorHAnsi" w:cstheme="majorBidi"/>
      <w:b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B61"/>
    <w:pPr>
      <w:keepNext/>
      <w:keepLines/>
      <w:spacing w:before="200"/>
      <w:outlineLvl w:val="1"/>
    </w:pPr>
    <w:rPr>
      <w:rFonts w:asciiTheme="minorHAnsi" w:eastAsiaTheme="minorHAnsi" w:hAnsiTheme="minorHAnsi" w:cstheme="minorHAns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uiPriority w:val="99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aliases w:val="BulletPoints,Bullet point,List Paragraph1,List Paragraph11,Recommendation,L,Bullet Point,Bulletr List Paragraph,Content descriptions,FooterText,List Bullet 1,List Paragraph2,List Paragraph21,Listeafsnit1,NFP GP Bulleted List,リスト段落"/>
    <w:basedOn w:val="Normal"/>
    <w:link w:val="ListParagraphChar"/>
    <w:uiPriority w:val="34"/>
    <w:qFormat/>
    <w:rsid w:val="006457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54B61"/>
    <w:rPr>
      <w:rFonts w:asciiTheme="minorHAnsi" w:eastAsiaTheme="majorEastAsia" w:hAnsiTheme="minorHAnsi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B61"/>
    <w:rPr>
      <w:rFonts w:asciiTheme="minorHAnsi" w:hAnsiTheme="minorHAnsi" w:cstheme="minorHAnsi"/>
      <w:b/>
      <w:bCs/>
      <w:i/>
      <w:sz w:val="28"/>
      <w:szCs w:val="28"/>
      <w:lang w:eastAsia="en-AU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277907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277907"/>
    <w:rPr>
      <w:rFonts w:ascii="Arial" w:eastAsiaTheme="majorEastAsia" w:hAnsi="Arial" w:cstheme="majorBidi"/>
      <w:b/>
      <w:spacing w:val="5"/>
      <w:kern w:val="28"/>
      <w:sz w:val="28"/>
      <w:szCs w:val="52"/>
      <w:lang w:eastAsia="en-AU"/>
    </w:rPr>
  </w:style>
  <w:style w:type="character" w:customStyle="1" w:styleId="ListParagraphChar">
    <w:name w:val="List Paragraph Char"/>
    <w:aliases w:val="BulletPoints Char,Bullet point Char,List Paragraph1 Char,List Paragraph11 Char,Recommendation Char,L Char,Bullet Point Char,Bulletr List Paragraph Char,Content descriptions Char,FooterText Char,List Bullet 1 Char,List Paragraph2 Char"/>
    <w:basedOn w:val="DefaultParagraphFont"/>
    <w:link w:val="ListParagraph"/>
    <w:uiPriority w:val="34"/>
    <w:rsid w:val="00277907"/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qFormat/>
    <w:rsid w:val="00F10B50"/>
    <w:pPr>
      <w:spacing w:after="0" w:line="240" w:lineRule="auto"/>
      <w:outlineLvl w:val="0"/>
    </w:pPr>
    <w:rPr>
      <w:rFonts w:ascii="Arial" w:eastAsia="Times New Roman" w:hAnsi="Arial" w:cs="Arial"/>
      <w:b/>
      <w:snapToGrid w:val="0"/>
      <w:sz w:val="22"/>
    </w:rPr>
  </w:style>
  <w:style w:type="numbering" w:customStyle="1" w:styleId="Style1">
    <w:name w:val="Style1"/>
    <w:uiPriority w:val="99"/>
    <w:rsid w:val="008142B6"/>
    <w:pPr>
      <w:numPr>
        <w:numId w:val="9"/>
      </w:numPr>
    </w:pPr>
  </w:style>
  <w:style w:type="numbering" w:customStyle="1" w:styleId="Style2">
    <w:name w:val="Style2"/>
    <w:uiPriority w:val="99"/>
    <w:rsid w:val="008142B6"/>
    <w:pPr>
      <w:numPr>
        <w:numId w:val="1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07"/>
    <w:rPr>
      <w:rFonts w:eastAsia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6B74-D3F9-4470-AB68-23CB3CCD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2019-02-22T01:14:00Z</dcterms:created>
  <dcterms:modified xsi:type="dcterms:W3CDTF">2019-02-25T02:22:00Z</dcterms:modified>
</cp:coreProperties>
</file>