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833" w:rsidRPr="001E4C3E" w:rsidRDefault="00705BBA" w:rsidP="00933BE1">
      <w:pPr>
        <w:pStyle w:val="BodyText"/>
        <w:ind w:left="993" w:hanging="993"/>
      </w:pPr>
      <w:bookmarkStart w:id="0" w:name="_Toc380679747"/>
      <w:bookmarkStart w:id="1" w:name="_Toc380742604"/>
      <w:bookmarkStart w:id="2" w:name="_Toc380746171"/>
      <w:bookmarkStart w:id="3" w:name="_Toc380746294"/>
      <w:bookmarkStart w:id="4" w:name="_Toc380746578"/>
      <w:r w:rsidRPr="001E4C3E">
        <w:t>6.04</w:t>
      </w:r>
      <w:r w:rsidR="00684833" w:rsidRPr="001E4C3E">
        <w:tab/>
        <w:t xml:space="preserve">INACTIVATED QUADRIVALENT INFLUENZA </w:t>
      </w:r>
      <w:proofErr w:type="gramStart"/>
      <w:r w:rsidR="00684833" w:rsidRPr="001E4C3E">
        <w:t>VACCINE</w:t>
      </w:r>
      <w:proofErr w:type="gramEnd"/>
      <w:r w:rsidR="00933BE1">
        <w:br/>
      </w:r>
      <w:r w:rsidR="00714EF3">
        <w:t xml:space="preserve">(split </w:t>
      </w:r>
      <w:proofErr w:type="spellStart"/>
      <w:r w:rsidR="00714EF3">
        <w:t>vir</w:t>
      </w:r>
      <w:r w:rsidR="00EA0679">
        <w:t>i</w:t>
      </w:r>
      <w:r w:rsidR="00714EF3">
        <w:t>on</w:t>
      </w:r>
      <w:proofErr w:type="spellEnd"/>
      <w:r w:rsidR="00714EF3">
        <w:t>)</w:t>
      </w:r>
      <w:r w:rsidR="00C861B8">
        <w:t>,</w:t>
      </w:r>
      <w:r w:rsidR="00933BE1">
        <w:br/>
      </w:r>
      <w:r w:rsidR="00025B8F">
        <w:t>P</w:t>
      </w:r>
      <w:r w:rsidR="00C861B8">
        <w:t>re-filled syringe, 0.5mL,</w:t>
      </w:r>
      <w:r w:rsidR="00933BE1">
        <w:br/>
      </w:r>
      <w:r w:rsidR="00684833" w:rsidRPr="001E4C3E">
        <w:t>Afluria</w:t>
      </w:r>
      <w:r w:rsidR="00833FFF" w:rsidRPr="001E4C3E">
        <w:t>®</w:t>
      </w:r>
      <w:r w:rsidR="00684833" w:rsidRPr="001E4C3E">
        <w:t xml:space="preserve"> Quad, </w:t>
      </w:r>
      <w:proofErr w:type="spellStart"/>
      <w:r w:rsidR="00684833" w:rsidRPr="001E4C3E">
        <w:t>Seqir</w:t>
      </w:r>
      <w:r w:rsidRPr="001E4C3E">
        <w:t>u</w:t>
      </w:r>
      <w:r w:rsidR="00684833" w:rsidRPr="001E4C3E">
        <w:t>s</w:t>
      </w:r>
      <w:proofErr w:type="spellEnd"/>
      <w:r w:rsidR="00684833" w:rsidRPr="001E4C3E">
        <w:t xml:space="preserve"> (Australia) Pty Ltd</w:t>
      </w:r>
    </w:p>
    <w:p w:rsidR="00080AA5" w:rsidRDefault="00080AA5" w:rsidP="00D70714">
      <w:pPr>
        <w:widowControl/>
      </w:pPr>
    </w:p>
    <w:p w:rsidR="00684833" w:rsidRPr="00882085" w:rsidRDefault="00684833" w:rsidP="00D70714">
      <w:pPr>
        <w:pStyle w:val="PBACHeading1"/>
        <w:keepNext/>
        <w:numPr>
          <w:ilvl w:val="0"/>
          <w:numId w:val="2"/>
        </w:numPr>
        <w:spacing w:after="120"/>
        <w:outlineLvl w:val="0"/>
      </w:pPr>
      <w:bookmarkStart w:id="5" w:name="_Toc521332848"/>
      <w:bookmarkStart w:id="6" w:name="_Toc521934336"/>
      <w:r w:rsidRPr="00407F2D">
        <w:t>Purpose of Application</w:t>
      </w:r>
      <w:bookmarkEnd w:id="5"/>
      <w:bookmarkEnd w:id="6"/>
    </w:p>
    <w:p w:rsidR="00684833" w:rsidRDefault="00987F41" w:rsidP="00D70714">
      <w:pPr>
        <w:pStyle w:val="ListParagraph"/>
        <w:widowControl/>
        <w:numPr>
          <w:ilvl w:val="1"/>
          <w:numId w:val="2"/>
        </w:numPr>
      </w:pPr>
      <w:r>
        <w:t>Ex</w:t>
      </w:r>
      <w:r w:rsidR="0004542B">
        <w:t>tend</w:t>
      </w:r>
      <w:r>
        <w:t xml:space="preserve"> the current l</w:t>
      </w:r>
      <w:r w:rsidR="00684833">
        <w:t xml:space="preserve">isting </w:t>
      </w:r>
      <w:r w:rsidR="00F07819">
        <w:t>of</w:t>
      </w:r>
      <w:r w:rsidR="00FE0B51">
        <w:t xml:space="preserve"> inactivated </w:t>
      </w:r>
      <w:proofErr w:type="spellStart"/>
      <w:r w:rsidR="00FE0B51">
        <w:t>quadrivalent</w:t>
      </w:r>
      <w:proofErr w:type="spellEnd"/>
      <w:r w:rsidR="00FE0B51">
        <w:t xml:space="preserve"> influenza vaccine (QIV) (split </w:t>
      </w:r>
      <w:proofErr w:type="spellStart"/>
      <w:r w:rsidR="0036725E">
        <w:t>virion</w:t>
      </w:r>
      <w:proofErr w:type="spellEnd"/>
      <w:r w:rsidR="00FE0B51">
        <w:t>),</w:t>
      </w:r>
      <w:r w:rsidR="00F07819">
        <w:t xml:space="preserve"> </w:t>
      </w:r>
      <w:r w:rsidR="001729A1">
        <w:t>Afluria</w:t>
      </w:r>
      <w:r w:rsidR="00833FFF">
        <w:t>®</w:t>
      </w:r>
      <w:r w:rsidR="001729A1">
        <w:t xml:space="preserve"> Quad</w:t>
      </w:r>
      <w:r w:rsidR="00FE0B51">
        <w:t>,</w:t>
      </w:r>
      <w:r w:rsidR="00684833" w:rsidRPr="004B3DDB">
        <w:t xml:space="preserve"> </w:t>
      </w:r>
      <w:r w:rsidR="00684833">
        <w:t>on the NIP for</w:t>
      </w:r>
      <w:r w:rsidR="00F07819">
        <w:t xml:space="preserve"> the prevention of influenza </w:t>
      </w:r>
      <w:r>
        <w:t>to include</w:t>
      </w:r>
      <w:r w:rsidR="00CB3E08">
        <w:t xml:space="preserve"> persons aged 5-17 years old who are currently eligible for other brands of </w:t>
      </w:r>
      <w:r w:rsidR="00876C93">
        <w:t>QIV</w:t>
      </w:r>
      <w:r w:rsidR="00CB3E08">
        <w:t xml:space="preserve"> through the NIP; specifically</w:t>
      </w:r>
      <w:r w:rsidR="00684833">
        <w:t>:</w:t>
      </w:r>
    </w:p>
    <w:p w:rsidR="00684833" w:rsidRDefault="00684833" w:rsidP="00D70714">
      <w:pPr>
        <w:pStyle w:val="ListParagraph"/>
        <w:widowControl/>
        <w:numPr>
          <w:ilvl w:val="0"/>
          <w:numId w:val="10"/>
        </w:numPr>
      </w:pPr>
      <w:r>
        <w:t>Children aged 5 to 17 years with increased risk of complications from influenza</w:t>
      </w:r>
      <w:r w:rsidR="00F07819">
        <w:t>;</w:t>
      </w:r>
    </w:p>
    <w:p w:rsidR="00684833" w:rsidRDefault="00684833" w:rsidP="00D70714">
      <w:pPr>
        <w:pStyle w:val="ListParagraph"/>
        <w:widowControl/>
        <w:numPr>
          <w:ilvl w:val="0"/>
          <w:numId w:val="10"/>
        </w:numPr>
      </w:pPr>
      <w:r>
        <w:t>Aboriginal and</w:t>
      </w:r>
      <w:r w:rsidR="00563608">
        <w:t>/or</w:t>
      </w:r>
      <w:r>
        <w:t xml:space="preserve"> Torres Strait Islanders aged 15 to 17 years</w:t>
      </w:r>
      <w:r w:rsidR="00F07819">
        <w:t>; and</w:t>
      </w:r>
    </w:p>
    <w:p w:rsidR="00684833" w:rsidRDefault="00684833" w:rsidP="00D70714">
      <w:pPr>
        <w:pStyle w:val="ListParagraph"/>
        <w:widowControl/>
        <w:numPr>
          <w:ilvl w:val="0"/>
          <w:numId w:val="10"/>
        </w:numPr>
      </w:pPr>
      <w:r>
        <w:t>Pregnant women aged 17 years and under</w:t>
      </w:r>
      <w:r w:rsidR="00F07819">
        <w:t>.</w:t>
      </w:r>
    </w:p>
    <w:p w:rsidR="00684833" w:rsidRDefault="001729A1" w:rsidP="00D70714">
      <w:pPr>
        <w:pStyle w:val="ListParagraph"/>
        <w:widowControl/>
        <w:numPr>
          <w:ilvl w:val="1"/>
          <w:numId w:val="2"/>
        </w:numPr>
      </w:pPr>
      <w:r>
        <w:t>Afluria Quad</w:t>
      </w:r>
      <w:r w:rsidR="00684833">
        <w:t xml:space="preserve"> has not been previously considered by the PBAC in these age </w:t>
      </w:r>
      <w:proofErr w:type="gramStart"/>
      <w:r w:rsidR="00684833">
        <w:t>groups</w:t>
      </w:r>
      <w:r w:rsidR="00987F41">
        <w:t>,</w:t>
      </w:r>
      <w:proofErr w:type="gramEnd"/>
      <w:r w:rsidR="00987F41">
        <w:t xml:space="preserve"> however </w:t>
      </w:r>
      <w:r w:rsidR="00215E15">
        <w:t xml:space="preserve">it </w:t>
      </w:r>
      <w:r w:rsidR="00987F41">
        <w:t xml:space="preserve">is </w:t>
      </w:r>
      <w:r w:rsidR="00215E15">
        <w:t xml:space="preserve">listed on the </w:t>
      </w:r>
      <w:r w:rsidR="00987F41">
        <w:t xml:space="preserve">NIP for use in </w:t>
      </w:r>
      <w:r w:rsidR="00215E15">
        <w:t xml:space="preserve">eligible </w:t>
      </w:r>
      <w:r w:rsidR="00987F41">
        <w:t>people aged 18 years and over</w:t>
      </w:r>
      <w:r w:rsidR="00684833">
        <w:t>.</w:t>
      </w:r>
    </w:p>
    <w:p w:rsidR="00684833" w:rsidRDefault="00684833" w:rsidP="00D70714">
      <w:pPr>
        <w:pStyle w:val="ListParagraph"/>
        <w:widowControl/>
        <w:numPr>
          <w:ilvl w:val="1"/>
          <w:numId w:val="2"/>
        </w:numPr>
        <w:spacing w:after="120"/>
      </w:pPr>
      <w:r>
        <w:t xml:space="preserve">The submission based the request for listing on a cost-minimisation basis compared </w:t>
      </w:r>
      <w:proofErr w:type="gramStart"/>
      <w:r>
        <w:t>to</w:t>
      </w:r>
      <w:proofErr w:type="gramEnd"/>
      <w:r>
        <w:t xml:space="preserve"> </w:t>
      </w:r>
      <w:r w:rsidR="00FE0B51">
        <w:t xml:space="preserve">QIV (inactivated, split </w:t>
      </w:r>
      <w:proofErr w:type="spellStart"/>
      <w:r w:rsidR="0036725E">
        <w:t>virion</w:t>
      </w:r>
      <w:proofErr w:type="spellEnd"/>
      <w:r w:rsidR="00FE0B51">
        <w:t>)</w:t>
      </w:r>
      <w:r w:rsidR="00025B8F">
        <w:t xml:space="preserve"> </w:t>
      </w:r>
      <w:r w:rsidR="00A70717">
        <w:t>(</w:t>
      </w:r>
      <w:proofErr w:type="spellStart"/>
      <w:r w:rsidR="001729A1">
        <w:t>Fluarix</w:t>
      </w:r>
      <w:proofErr w:type="spellEnd"/>
      <w:r w:rsidR="001729A1">
        <w:t xml:space="preserve"> Tetra</w:t>
      </w:r>
      <w:r w:rsidR="00833FFF">
        <w:t>®</w:t>
      </w:r>
      <w:r w:rsidR="00A70717">
        <w:t>)</w:t>
      </w:r>
      <w:r>
        <w:t xml:space="preserve"> and </w:t>
      </w:r>
      <w:r w:rsidR="00A70717">
        <w:t xml:space="preserve">inactivated </w:t>
      </w:r>
      <w:r w:rsidR="00FE0B51">
        <w:t xml:space="preserve">QIV (split </w:t>
      </w:r>
      <w:proofErr w:type="spellStart"/>
      <w:r w:rsidR="0036725E">
        <w:t>virion</w:t>
      </w:r>
      <w:proofErr w:type="spellEnd"/>
      <w:r w:rsidR="00FE0B51">
        <w:t xml:space="preserve">) </w:t>
      </w:r>
      <w:r w:rsidR="00A70717">
        <w:t>(</w:t>
      </w:r>
      <w:proofErr w:type="spellStart"/>
      <w:r w:rsidR="001729A1">
        <w:t>FluQuadri</w:t>
      </w:r>
      <w:proofErr w:type="spellEnd"/>
      <w:r w:rsidR="002D4B50">
        <w:t>®</w:t>
      </w:r>
      <w:r w:rsidR="00A70717">
        <w:t>)</w:t>
      </w:r>
      <w:r>
        <w:t xml:space="preserve">. Both comparators </w:t>
      </w:r>
      <w:proofErr w:type="gramStart"/>
      <w:r>
        <w:t>are currently listed</w:t>
      </w:r>
      <w:proofErr w:type="gramEnd"/>
      <w:r>
        <w:t xml:space="preserve"> on the NIP for these age </w:t>
      </w:r>
      <w:r w:rsidR="00E95068">
        <w:t>and sub-groups</w:t>
      </w:r>
      <w:r>
        <w:t>.</w:t>
      </w:r>
    </w:p>
    <w:p w:rsidR="00684833" w:rsidRPr="00EB47A7" w:rsidRDefault="00684833" w:rsidP="00D70714">
      <w:pPr>
        <w:widowControl/>
        <w:rPr>
          <w:rStyle w:val="CommentReference"/>
        </w:rPr>
      </w:pPr>
      <w:r w:rsidRPr="00EB47A7">
        <w:rPr>
          <w:rStyle w:val="CommentReference"/>
        </w:rPr>
        <w:t>Table 1:</w:t>
      </w:r>
      <w:r w:rsidR="00ED14C5" w:rsidRPr="00EB47A7">
        <w:rPr>
          <w:rStyle w:val="CommentReference"/>
        </w:rPr>
        <w:t xml:space="preserve"> </w:t>
      </w:r>
      <w:r w:rsidRPr="00EB47A7">
        <w:rPr>
          <w:rStyle w:val="CommentReference"/>
        </w:rPr>
        <w:t>Key components of the clinical issue addressed by the submission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 addressed by the submission"/>
      </w:tblPr>
      <w:tblGrid>
        <w:gridCol w:w="1588"/>
        <w:gridCol w:w="7484"/>
      </w:tblGrid>
      <w:tr w:rsidR="00684833" w:rsidRPr="00EB47A7" w:rsidTr="00313917">
        <w:trPr>
          <w:cantSplit/>
          <w:tblHeader/>
        </w:trPr>
        <w:tc>
          <w:tcPr>
            <w:tcW w:w="1588" w:type="dxa"/>
            <w:shd w:val="clear" w:color="auto" w:fill="auto"/>
          </w:tcPr>
          <w:p w:rsidR="00684833" w:rsidRPr="00EB47A7" w:rsidRDefault="00684833" w:rsidP="00D70714">
            <w:pPr>
              <w:pStyle w:val="Tabletext"/>
              <w:rPr>
                <w:b/>
                <w:szCs w:val="20"/>
              </w:rPr>
            </w:pPr>
            <w:r w:rsidRPr="00EB47A7">
              <w:rPr>
                <w:b/>
              </w:rPr>
              <w:t>Component</w:t>
            </w:r>
          </w:p>
        </w:tc>
        <w:tc>
          <w:tcPr>
            <w:tcW w:w="7484" w:type="dxa"/>
            <w:shd w:val="clear" w:color="auto" w:fill="auto"/>
          </w:tcPr>
          <w:p w:rsidR="00684833" w:rsidRPr="00EB47A7" w:rsidRDefault="00684833" w:rsidP="00D70714">
            <w:pPr>
              <w:pStyle w:val="Tabletext"/>
              <w:jc w:val="center"/>
              <w:rPr>
                <w:b/>
              </w:rPr>
            </w:pPr>
            <w:r w:rsidRPr="00EB47A7">
              <w:rPr>
                <w:b/>
              </w:rPr>
              <w:t>Description</w:t>
            </w:r>
          </w:p>
        </w:tc>
      </w:tr>
      <w:tr w:rsidR="00684833" w:rsidRPr="00EB47A7" w:rsidTr="00313917">
        <w:trPr>
          <w:cantSplit/>
        </w:trPr>
        <w:tc>
          <w:tcPr>
            <w:tcW w:w="1588" w:type="dxa"/>
            <w:shd w:val="clear" w:color="auto" w:fill="FFFFFF" w:themeFill="background1"/>
          </w:tcPr>
          <w:p w:rsidR="00684833" w:rsidRPr="00EB47A7" w:rsidRDefault="00684833" w:rsidP="00D70714">
            <w:pPr>
              <w:pStyle w:val="Tabletext"/>
            </w:pPr>
            <w:r w:rsidRPr="00EB47A7">
              <w:t xml:space="preserve">Population </w:t>
            </w:r>
          </w:p>
        </w:tc>
        <w:tc>
          <w:tcPr>
            <w:tcW w:w="7484" w:type="dxa"/>
            <w:shd w:val="clear" w:color="auto" w:fill="FFFFFF" w:themeFill="background1"/>
          </w:tcPr>
          <w:p w:rsidR="00684833" w:rsidRPr="00EB47A7" w:rsidRDefault="00684833" w:rsidP="00D70714">
            <w:pPr>
              <w:pStyle w:val="Tabletext"/>
            </w:pPr>
            <w:r w:rsidRPr="00EB47A7">
              <w:t>Persons aged 5-17 years</w:t>
            </w:r>
            <w:r w:rsidR="00CB3E08">
              <w:t xml:space="preserve"> old</w:t>
            </w:r>
            <w:r w:rsidRPr="00EB47A7">
              <w:t xml:space="preserve"> who are eligible for influenza vaccine through the NIP.</w:t>
            </w:r>
            <w:r w:rsidR="00ED14C5" w:rsidRPr="00EB47A7">
              <w:t xml:space="preserve"> </w:t>
            </w:r>
            <w:r w:rsidRPr="00EB47A7">
              <w:t xml:space="preserve">Currently defined as those have certain medical </w:t>
            </w:r>
            <w:proofErr w:type="gramStart"/>
            <w:r w:rsidRPr="00EB47A7">
              <w:t>conditions which</w:t>
            </w:r>
            <w:proofErr w:type="gramEnd"/>
            <w:r w:rsidRPr="00EB47A7">
              <w:t xml:space="preserve"> increase the risk of influenza disease complications such as those with severe asthma, lung or heart disease, low immunity or diabetes. </w:t>
            </w:r>
          </w:p>
          <w:p w:rsidR="00684833" w:rsidRPr="00EB47A7" w:rsidRDefault="00684833" w:rsidP="00D70714">
            <w:pPr>
              <w:pStyle w:val="Tabletext"/>
            </w:pPr>
            <w:r w:rsidRPr="00EB47A7">
              <w:t>Pregnant women ≤ 17 years</w:t>
            </w:r>
            <w:r w:rsidR="00E95068" w:rsidRPr="00EB47A7">
              <w:t>, currently eligible for free influenza vaccine through the NIP</w:t>
            </w:r>
            <w:r w:rsidRPr="00EB47A7">
              <w:t>.</w:t>
            </w:r>
          </w:p>
          <w:p w:rsidR="00684833" w:rsidRPr="00EB47A7" w:rsidRDefault="00684833" w:rsidP="00D70714">
            <w:pPr>
              <w:pStyle w:val="Tabletext"/>
            </w:pPr>
            <w:r w:rsidRPr="00EB47A7">
              <w:t>Aboriginal and/or Torres Strait Islander persons aged 15-17 years</w:t>
            </w:r>
            <w:r w:rsidR="00E95068" w:rsidRPr="00EB47A7">
              <w:t xml:space="preserve">, currently eligible </w:t>
            </w:r>
            <w:proofErr w:type="gramStart"/>
            <w:r w:rsidR="00E95068" w:rsidRPr="00EB47A7">
              <w:t>for free</w:t>
            </w:r>
            <w:proofErr w:type="gramEnd"/>
            <w:r w:rsidR="00E95068" w:rsidRPr="00EB47A7">
              <w:t xml:space="preserve"> influenza vaccine through the NIP</w:t>
            </w:r>
            <w:r w:rsidRPr="00EB47A7">
              <w:t>.</w:t>
            </w:r>
          </w:p>
        </w:tc>
      </w:tr>
      <w:tr w:rsidR="00684833" w:rsidRPr="00EB47A7" w:rsidTr="00313917">
        <w:trPr>
          <w:cantSplit/>
        </w:trPr>
        <w:tc>
          <w:tcPr>
            <w:tcW w:w="1588" w:type="dxa"/>
            <w:shd w:val="clear" w:color="auto" w:fill="FFFFFF" w:themeFill="background1"/>
          </w:tcPr>
          <w:p w:rsidR="00684833" w:rsidRPr="00EB47A7" w:rsidRDefault="00684833" w:rsidP="00D70714">
            <w:pPr>
              <w:pStyle w:val="Tabletext"/>
            </w:pPr>
            <w:r w:rsidRPr="00EB47A7">
              <w:t xml:space="preserve">Intervention </w:t>
            </w:r>
          </w:p>
        </w:tc>
        <w:tc>
          <w:tcPr>
            <w:tcW w:w="7484" w:type="dxa"/>
            <w:shd w:val="clear" w:color="auto" w:fill="FFFFFF" w:themeFill="background1"/>
          </w:tcPr>
          <w:p w:rsidR="00684833" w:rsidRPr="00EB47A7" w:rsidRDefault="001729A1" w:rsidP="00D70714">
            <w:pPr>
              <w:pStyle w:val="Tabletext"/>
            </w:pPr>
            <w:r w:rsidRPr="00EB47A7">
              <w:t>Afluria Quad</w:t>
            </w:r>
            <w:r w:rsidR="00684833" w:rsidRPr="00EB47A7">
              <w:t xml:space="preserve"> is a prophylactic vaccine developed for immunisation against influenza disease caused by influenza virus subtypes A and subtypes B.</w:t>
            </w:r>
            <w:r w:rsidR="00ED14C5" w:rsidRPr="00EB47A7">
              <w:t xml:space="preserve"> </w:t>
            </w:r>
            <w:r w:rsidR="00684833" w:rsidRPr="00EB47A7">
              <w:t xml:space="preserve">It contains 15 mcg </w:t>
            </w:r>
            <w:proofErr w:type="spellStart"/>
            <w:r w:rsidR="00684833" w:rsidRPr="00EB47A7">
              <w:t>haemagglutinin</w:t>
            </w:r>
            <w:proofErr w:type="spellEnd"/>
            <w:r w:rsidR="00684833" w:rsidRPr="00EB47A7">
              <w:t xml:space="preserve"> per dose each for strains A/H1N1, A/H3N2, B/Yamagata lineage, and B/Victoria lineage.</w:t>
            </w:r>
            <w:r w:rsidR="00ED14C5" w:rsidRPr="00EB47A7">
              <w:t xml:space="preserve"> </w:t>
            </w:r>
            <w:r w:rsidR="00684833" w:rsidRPr="00EB47A7">
              <w:t xml:space="preserve">The </w:t>
            </w:r>
            <w:proofErr w:type="gramStart"/>
            <w:r w:rsidR="00684833" w:rsidRPr="00EB47A7">
              <w:t>strains chosen for vaccine manufacture each year are endorsed by the Australia</w:t>
            </w:r>
            <w:r w:rsidR="00080AA5" w:rsidRPr="00EB47A7">
              <w:t>n</w:t>
            </w:r>
            <w:r w:rsidR="00684833" w:rsidRPr="00EB47A7">
              <w:t xml:space="preserve"> Influenza Vaccine Committee as being antigenically equivalent to the reference virus</w:t>
            </w:r>
            <w:proofErr w:type="gramEnd"/>
            <w:r w:rsidR="00684833" w:rsidRPr="00EB47A7">
              <w:t>.</w:t>
            </w:r>
          </w:p>
        </w:tc>
      </w:tr>
      <w:tr w:rsidR="00684833" w:rsidRPr="00EB47A7" w:rsidTr="00313917">
        <w:trPr>
          <w:cantSplit/>
        </w:trPr>
        <w:tc>
          <w:tcPr>
            <w:tcW w:w="1588" w:type="dxa"/>
            <w:shd w:val="clear" w:color="auto" w:fill="FFFFFF" w:themeFill="background1"/>
          </w:tcPr>
          <w:p w:rsidR="00684833" w:rsidRPr="00EB47A7" w:rsidRDefault="00684833" w:rsidP="00D70714">
            <w:pPr>
              <w:pStyle w:val="Tabletext"/>
            </w:pPr>
            <w:r w:rsidRPr="00EB47A7">
              <w:t>Comparator</w:t>
            </w:r>
          </w:p>
        </w:tc>
        <w:tc>
          <w:tcPr>
            <w:tcW w:w="7484" w:type="dxa"/>
            <w:shd w:val="clear" w:color="auto" w:fill="FFFFFF" w:themeFill="background1"/>
          </w:tcPr>
          <w:p w:rsidR="00684833" w:rsidRPr="00EB47A7" w:rsidRDefault="00CA28AC" w:rsidP="00D70714">
            <w:pPr>
              <w:pStyle w:val="Tabletext"/>
            </w:pPr>
            <w:r w:rsidRPr="00EB47A7">
              <w:t xml:space="preserve">NIP listed </w:t>
            </w:r>
            <w:proofErr w:type="spellStart"/>
            <w:r w:rsidRPr="00EB47A7">
              <w:t>q</w:t>
            </w:r>
            <w:r w:rsidR="00684833" w:rsidRPr="00EB47A7">
              <w:t>uadrivalent</w:t>
            </w:r>
            <w:proofErr w:type="spellEnd"/>
            <w:r w:rsidR="00684833" w:rsidRPr="00EB47A7">
              <w:t xml:space="preserve"> influenza virus vaccine; there are two formulations currently available for this age group:</w:t>
            </w:r>
            <w:r w:rsidR="00ED14C5" w:rsidRPr="00EB47A7">
              <w:t xml:space="preserve"> </w:t>
            </w:r>
            <w:proofErr w:type="spellStart"/>
            <w:r w:rsidR="00684833" w:rsidRPr="00EB47A7">
              <w:t>FluQuadri</w:t>
            </w:r>
            <w:proofErr w:type="spellEnd"/>
            <w:r w:rsidR="00684833" w:rsidRPr="00EB47A7">
              <w:t xml:space="preserve"> and </w:t>
            </w:r>
            <w:proofErr w:type="spellStart"/>
            <w:r w:rsidR="00684833" w:rsidRPr="00EB47A7">
              <w:t>Fluarix</w:t>
            </w:r>
            <w:proofErr w:type="spellEnd"/>
            <w:r w:rsidR="00684833" w:rsidRPr="00EB47A7">
              <w:t xml:space="preserve"> Tetra.</w:t>
            </w:r>
          </w:p>
        </w:tc>
      </w:tr>
      <w:tr w:rsidR="00684833" w:rsidRPr="00EB47A7" w:rsidTr="00313917">
        <w:trPr>
          <w:cantSplit/>
        </w:trPr>
        <w:tc>
          <w:tcPr>
            <w:tcW w:w="1588" w:type="dxa"/>
            <w:shd w:val="clear" w:color="auto" w:fill="FFFFFF" w:themeFill="background1"/>
          </w:tcPr>
          <w:p w:rsidR="00684833" w:rsidRPr="00EB47A7" w:rsidRDefault="00684833" w:rsidP="00D70714">
            <w:pPr>
              <w:pStyle w:val="Tabletext"/>
            </w:pPr>
            <w:r w:rsidRPr="00EB47A7">
              <w:t>Outcomes</w:t>
            </w:r>
          </w:p>
        </w:tc>
        <w:tc>
          <w:tcPr>
            <w:tcW w:w="7484" w:type="dxa"/>
            <w:shd w:val="clear" w:color="auto" w:fill="FFFFFF" w:themeFill="background1"/>
          </w:tcPr>
          <w:p w:rsidR="00684833" w:rsidRPr="00ED7373" w:rsidRDefault="001729A1" w:rsidP="00D70714">
            <w:pPr>
              <w:pStyle w:val="Tabletext"/>
            </w:pPr>
            <w:r w:rsidRPr="00ED7373">
              <w:t>The primary outcomes in the submission were the GMT ratio and SCR.</w:t>
            </w:r>
          </w:p>
        </w:tc>
      </w:tr>
      <w:tr w:rsidR="00684833" w:rsidRPr="00EB47A7" w:rsidTr="00313917">
        <w:trPr>
          <w:cantSplit/>
        </w:trPr>
        <w:tc>
          <w:tcPr>
            <w:tcW w:w="1588" w:type="dxa"/>
            <w:shd w:val="clear" w:color="auto" w:fill="FFFFFF" w:themeFill="background1"/>
          </w:tcPr>
          <w:p w:rsidR="00684833" w:rsidRPr="00EB47A7" w:rsidRDefault="00684833" w:rsidP="00D70714">
            <w:pPr>
              <w:pStyle w:val="Tabletext"/>
            </w:pPr>
            <w:r w:rsidRPr="00EB47A7">
              <w:t xml:space="preserve">Clinical claim </w:t>
            </w:r>
          </w:p>
        </w:tc>
        <w:tc>
          <w:tcPr>
            <w:tcW w:w="7484" w:type="dxa"/>
            <w:shd w:val="clear" w:color="auto" w:fill="FFFFFF" w:themeFill="background1"/>
          </w:tcPr>
          <w:p w:rsidR="00684833" w:rsidRPr="00ED7373" w:rsidRDefault="00684833" w:rsidP="00D70714">
            <w:pPr>
              <w:pStyle w:val="Tabletext"/>
            </w:pPr>
            <w:r w:rsidRPr="00ED7373">
              <w:t xml:space="preserve">In persons aged 5-17 years who are at risk of complications from influenza, </w:t>
            </w:r>
            <w:r w:rsidR="001729A1" w:rsidRPr="00ED7373">
              <w:t>Afluria Quad</w:t>
            </w:r>
            <w:r w:rsidRPr="00ED7373">
              <w:t xml:space="preserve"> is as effective as other </w:t>
            </w:r>
            <w:r w:rsidR="00CA28AC" w:rsidRPr="00ED7373">
              <w:t xml:space="preserve">NIP listed </w:t>
            </w:r>
            <w:r w:rsidR="00F51B9C" w:rsidRPr="00ED7373">
              <w:t>QIV</w:t>
            </w:r>
            <w:r w:rsidRPr="00ED7373">
              <w:t xml:space="preserve"> vaccines at reducing infection with influenza viruses and has an equivalent safety profile</w:t>
            </w:r>
            <w:r w:rsidR="00261158" w:rsidRPr="00ED7373">
              <w:t xml:space="preserve"> to the comparator</w:t>
            </w:r>
            <w:r w:rsidRPr="00ED7373">
              <w:t>.</w:t>
            </w:r>
          </w:p>
        </w:tc>
      </w:tr>
    </w:tbl>
    <w:p w:rsidR="001729A1" w:rsidRPr="00EB47A7" w:rsidRDefault="001729A1" w:rsidP="00D70714">
      <w:pPr>
        <w:pStyle w:val="TableFooter"/>
        <w:widowControl/>
      </w:pPr>
      <w:r w:rsidRPr="00EB47A7">
        <w:t>NIP: National immunisation program; GMT: geometric mean titre; SCR: seroconver</w:t>
      </w:r>
      <w:r w:rsidR="00EE7C0E">
        <w:t>s</w:t>
      </w:r>
      <w:r w:rsidRPr="00EB47A7">
        <w:t>ion rate</w:t>
      </w:r>
    </w:p>
    <w:p w:rsidR="009C1F4E" w:rsidRPr="000A2E68" w:rsidRDefault="00684833" w:rsidP="00D70714">
      <w:pPr>
        <w:pStyle w:val="TableFooter"/>
        <w:widowControl/>
      </w:pPr>
      <w:r w:rsidRPr="00EB47A7">
        <w:t>Source: Table1.1, p16 of the submission</w:t>
      </w:r>
      <w:r w:rsidR="00261158" w:rsidRPr="00EB47A7">
        <w:t>, adjusted during the evaluation</w:t>
      </w:r>
      <w:r w:rsidR="009B4F38" w:rsidRPr="00EB47A7">
        <w:t>.</w:t>
      </w:r>
    </w:p>
    <w:p w:rsidR="000A2E68" w:rsidRDefault="000A2E68">
      <w:pPr>
        <w:widowControl/>
        <w:jc w:val="left"/>
        <w:rPr>
          <w:b/>
          <w:sz w:val="32"/>
        </w:rPr>
      </w:pPr>
      <w:bookmarkStart w:id="7" w:name="_Toc521332849"/>
      <w:bookmarkStart w:id="8" w:name="_Toc521934337"/>
      <w:r>
        <w:br w:type="page"/>
      </w:r>
    </w:p>
    <w:p w:rsidR="00684833" w:rsidRDefault="00684833" w:rsidP="00D70714">
      <w:pPr>
        <w:pStyle w:val="PBACHeading1"/>
        <w:numPr>
          <w:ilvl w:val="0"/>
          <w:numId w:val="2"/>
        </w:numPr>
        <w:spacing w:after="120"/>
        <w:outlineLvl w:val="0"/>
      </w:pPr>
      <w:r w:rsidRPr="00031503">
        <w:lastRenderedPageBreak/>
        <w:t>Requested</w:t>
      </w:r>
      <w:r w:rsidRPr="00407F2D">
        <w:t xml:space="preserve"> listing</w:t>
      </w:r>
      <w:bookmarkEnd w:id="7"/>
      <w:bookmarkEnd w:id="8"/>
    </w:p>
    <w:p w:rsidR="00987F41" w:rsidRDefault="00987F41" w:rsidP="00D70714">
      <w:pPr>
        <w:pStyle w:val="ListParagraph"/>
        <w:widowControl/>
        <w:numPr>
          <w:ilvl w:val="1"/>
          <w:numId w:val="2"/>
        </w:numPr>
        <w:spacing w:after="120"/>
        <w:rPr>
          <w:rFonts w:asciiTheme="minorHAnsi" w:eastAsiaTheme="minorHAnsi" w:hAnsiTheme="minorHAnsi" w:cstheme="minorBidi"/>
          <w:snapToGrid/>
        </w:rPr>
      </w:pPr>
      <w:r w:rsidRPr="001B2BBC">
        <w:rPr>
          <w:rFonts w:asciiTheme="minorHAnsi" w:eastAsiaTheme="minorHAnsi" w:hAnsiTheme="minorHAnsi" w:cstheme="minorBidi"/>
          <w:snapToGrid/>
        </w:rPr>
        <w:t xml:space="preserve">The submission </w:t>
      </w:r>
      <w:r w:rsidR="00F51B9C">
        <w:rPr>
          <w:rFonts w:asciiTheme="minorHAnsi" w:eastAsiaTheme="minorHAnsi" w:hAnsiTheme="minorHAnsi" w:cstheme="minorBidi"/>
          <w:snapToGrid/>
        </w:rPr>
        <w:t xml:space="preserve">requested </w:t>
      </w:r>
      <w:r>
        <w:rPr>
          <w:rFonts w:asciiTheme="minorHAnsi" w:eastAsiaTheme="minorHAnsi" w:hAnsiTheme="minorHAnsi" w:cstheme="minorBidi"/>
          <w:snapToGrid/>
        </w:rPr>
        <w:t>a change to the</w:t>
      </w:r>
      <w:r w:rsidR="00215E15">
        <w:rPr>
          <w:rFonts w:asciiTheme="minorHAnsi" w:eastAsiaTheme="minorHAnsi" w:hAnsiTheme="minorHAnsi" w:cstheme="minorBidi"/>
          <w:snapToGrid/>
        </w:rPr>
        <w:t xml:space="preserve"> circumstances in which</w:t>
      </w:r>
      <w:r>
        <w:rPr>
          <w:rFonts w:asciiTheme="minorHAnsi" w:eastAsiaTheme="minorHAnsi" w:hAnsiTheme="minorHAnsi" w:cstheme="minorBidi"/>
          <w:snapToGrid/>
        </w:rPr>
        <w:t xml:space="preserve"> </w:t>
      </w:r>
      <w:r w:rsidR="001729A1">
        <w:rPr>
          <w:rFonts w:asciiTheme="minorHAnsi" w:eastAsiaTheme="minorHAnsi" w:hAnsiTheme="minorHAnsi" w:cstheme="minorBidi"/>
          <w:snapToGrid/>
        </w:rPr>
        <w:t>Afluria Quad</w:t>
      </w:r>
      <w:r>
        <w:rPr>
          <w:rFonts w:asciiTheme="minorHAnsi" w:eastAsiaTheme="minorHAnsi" w:hAnsiTheme="minorHAnsi" w:cstheme="minorBidi"/>
          <w:snapToGrid/>
        </w:rPr>
        <w:t xml:space="preserve"> </w:t>
      </w:r>
      <w:r w:rsidR="00215E15">
        <w:rPr>
          <w:rFonts w:asciiTheme="minorHAnsi" w:eastAsiaTheme="minorHAnsi" w:hAnsiTheme="minorHAnsi" w:cstheme="minorBidi"/>
          <w:snapToGrid/>
        </w:rPr>
        <w:t>is available as a designated vaccine for the NIP</w:t>
      </w:r>
      <w:r>
        <w:rPr>
          <w:rFonts w:asciiTheme="minorHAnsi" w:eastAsiaTheme="minorHAnsi" w:hAnsiTheme="minorHAnsi" w:cstheme="minorBidi"/>
          <w:snapToGrid/>
        </w:rPr>
        <w:t xml:space="preserve"> to expand the population in which </w:t>
      </w:r>
      <w:r w:rsidR="000B152D">
        <w:rPr>
          <w:rFonts w:asciiTheme="minorHAnsi" w:eastAsiaTheme="minorHAnsi" w:hAnsiTheme="minorHAnsi" w:cstheme="minorBidi"/>
          <w:snapToGrid/>
        </w:rPr>
        <w:t xml:space="preserve">the vaccine </w:t>
      </w:r>
      <w:r w:rsidR="00215E15">
        <w:rPr>
          <w:rFonts w:asciiTheme="minorHAnsi" w:eastAsiaTheme="minorHAnsi" w:hAnsiTheme="minorHAnsi" w:cstheme="minorBidi"/>
          <w:snapToGrid/>
        </w:rPr>
        <w:t>may be available</w:t>
      </w:r>
      <w:r>
        <w:rPr>
          <w:rFonts w:asciiTheme="minorHAnsi" w:eastAsiaTheme="minorHAnsi" w:hAnsiTheme="minorHAnsi" w:cstheme="minorBidi"/>
          <w:snapToGrid/>
        </w:rPr>
        <w:t>:</w:t>
      </w:r>
    </w:p>
    <w:tbl>
      <w:tblPr>
        <w:tblW w:w="4977" w:type="pct"/>
        <w:tblInd w:w="28" w:type="dxa"/>
        <w:tblCellMar>
          <w:left w:w="28" w:type="dxa"/>
          <w:right w:w="28" w:type="dxa"/>
        </w:tblCellMar>
        <w:tblLook w:val="0000" w:firstRow="0" w:lastRow="0" w:firstColumn="0" w:lastColumn="0" w:noHBand="0" w:noVBand="0"/>
      </w:tblPr>
      <w:tblGrid>
        <w:gridCol w:w="2238"/>
        <w:gridCol w:w="1148"/>
        <w:gridCol w:w="1089"/>
        <w:gridCol w:w="846"/>
        <w:gridCol w:w="1518"/>
        <w:gridCol w:w="654"/>
        <w:gridCol w:w="1474"/>
        <w:gridCol w:w="18"/>
      </w:tblGrid>
      <w:tr w:rsidR="00684833" w:rsidRPr="00413860" w:rsidTr="00BA36D1">
        <w:trPr>
          <w:cantSplit/>
          <w:trHeight w:val="463"/>
        </w:trPr>
        <w:tc>
          <w:tcPr>
            <w:tcW w:w="1884" w:type="pct"/>
            <w:gridSpan w:val="2"/>
            <w:tcBorders>
              <w:bottom w:val="single" w:sz="4" w:space="0" w:color="auto"/>
            </w:tcBorders>
            <w:vAlign w:val="center"/>
          </w:tcPr>
          <w:p w:rsidR="00684833" w:rsidRPr="00C7151A" w:rsidRDefault="00684833" w:rsidP="00D70714">
            <w:pPr>
              <w:keepNext/>
              <w:widowControl/>
              <w:jc w:val="left"/>
              <w:rPr>
                <w:rFonts w:ascii="Arial Narrow" w:hAnsi="Arial Narrow"/>
                <w:b/>
                <w:sz w:val="20"/>
              </w:rPr>
            </w:pPr>
            <w:r w:rsidRPr="00C7151A">
              <w:rPr>
                <w:rFonts w:ascii="Arial Narrow" w:hAnsi="Arial Narrow"/>
                <w:b/>
                <w:sz w:val="20"/>
              </w:rPr>
              <w:t>Name, Restriction,</w:t>
            </w:r>
          </w:p>
          <w:p w:rsidR="00684833" w:rsidRPr="00C7151A" w:rsidRDefault="00684833" w:rsidP="00D70714">
            <w:pPr>
              <w:keepNext/>
              <w:widowControl/>
              <w:jc w:val="left"/>
              <w:rPr>
                <w:rFonts w:ascii="Arial Narrow" w:hAnsi="Arial Narrow"/>
                <w:b/>
                <w:sz w:val="20"/>
              </w:rPr>
            </w:pPr>
            <w:r w:rsidRPr="00C7151A">
              <w:rPr>
                <w:rFonts w:ascii="Arial Narrow" w:hAnsi="Arial Narrow"/>
                <w:b/>
                <w:sz w:val="20"/>
              </w:rPr>
              <w:t>Manner of administration and form</w:t>
            </w:r>
          </w:p>
        </w:tc>
        <w:tc>
          <w:tcPr>
            <w:tcW w:w="606" w:type="pct"/>
            <w:tcBorders>
              <w:bottom w:val="single" w:sz="4" w:space="0" w:color="auto"/>
            </w:tcBorders>
            <w:vAlign w:val="center"/>
          </w:tcPr>
          <w:p w:rsidR="00684833" w:rsidRPr="00C7151A" w:rsidRDefault="00684833" w:rsidP="00D70714">
            <w:pPr>
              <w:keepNext/>
              <w:widowControl/>
              <w:jc w:val="center"/>
              <w:rPr>
                <w:rFonts w:ascii="Arial Narrow" w:hAnsi="Arial Narrow"/>
                <w:b/>
                <w:sz w:val="20"/>
              </w:rPr>
            </w:pPr>
            <w:r w:rsidRPr="00C7151A">
              <w:rPr>
                <w:rFonts w:ascii="Arial Narrow" w:hAnsi="Arial Narrow"/>
                <w:b/>
                <w:sz w:val="20"/>
              </w:rPr>
              <w:t>Max.</w:t>
            </w:r>
          </w:p>
          <w:p w:rsidR="00684833" w:rsidRPr="00C7151A" w:rsidRDefault="00684833" w:rsidP="00D70714">
            <w:pPr>
              <w:keepNext/>
              <w:widowControl/>
              <w:jc w:val="center"/>
              <w:rPr>
                <w:rFonts w:ascii="Arial Narrow" w:hAnsi="Arial Narrow"/>
                <w:b/>
                <w:sz w:val="20"/>
              </w:rPr>
            </w:pPr>
            <w:proofErr w:type="spellStart"/>
            <w:r w:rsidRPr="00C7151A">
              <w:rPr>
                <w:rFonts w:ascii="Arial Narrow" w:hAnsi="Arial Narrow"/>
                <w:b/>
                <w:sz w:val="20"/>
              </w:rPr>
              <w:t>Qty</w:t>
            </w:r>
            <w:proofErr w:type="spellEnd"/>
            <w:r w:rsidRPr="00C7151A">
              <w:rPr>
                <w:rFonts w:ascii="Arial Narrow" w:hAnsi="Arial Narrow"/>
                <w:b/>
                <w:sz w:val="20"/>
              </w:rPr>
              <w:t xml:space="preserve"> </w:t>
            </w:r>
          </w:p>
        </w:tc>
        <w:tc>
          <w:tcPr>
            <w:tcW w:w="471" w:type="pct"/>
            <w:tcBorders>
              <w:bottom w:val="single" w:sz="4" w:space="0" w:color="auto"/>
            </w:tcBorders>
            <w:vAlign w:val="center"/>
          </w:tcPr>
          <w:p w:rsidR="00684833" w:rsidRPr="00C7151A" w:rsidRDefault="00684833" w:rsidP="00D70714">
            <w:pPr>
              <w:keepNext/>
              <w:widowControl/>
              <w:jc w:val="center"/>
              <w:rPr>
                <w:rFonts w:ascii="Arial Narrow" w:hAnsi="Arial Narrow"/>
                <w:b/>
                <w:sz w:val="20"/>
              </w:rPr>
            </w:pPr>
            <w:r w:rsidRPr="00C7151A">
              <w:rPr>
                <w:rFonts w:ascii="Arial Narrow" w:hAnsi="Arial Narrow" w:cs="Times New Roman"/>
                <w:b/>
                <w:sz w:val="20"/>
              </w:rPr>
              <w:t>№</w:t>
            </w:r>
            <w:r w:rsidRPr="00C7151A">
              <w:rPr>
                <w:rFonts w:ascii="Arial Narrow" w:hAnsi="Arial Narrow"/>
                <w:b/>
                <w:sz w:val="20"/>
              </w:rPr>
              <w:t>.of</w:t>
            </w:r>
          </w:p>
          <w:p w:rsidR="00684833" w:rsidRPr="00C7151A" w:rsidRDefault="00684833" w:rsidP="00D70714">
            <w:pPr>
              <w:keepNext/>
              <w:widowControl/>
              <w:jc w:val="center"/>
              <w:rPr>
                <w:rFonts w:ascii="Arial Narrow" w:hAnsi="Arial Narrow"/>
                <w:b/>
                <w:sz w:val="20"/>
              </w:rPr>
            </w:pPr>
            <w:proofErr w:type="spellStart"/>
            <w:r w:rsidRPr="00C7151A">
              <w:rPr>
                <w:rFonts w:ascii="Arial Narrow" w:hAnsi="Arial Narrow"/>
                <w:b/>
                <w:sz w:val="20"/>
              </w:rPr>
              <w:t>Rpts</w:t>
            </w:r>
            <w:proofErr w:type="spellEnd"/>
          </w:p>
        </w:tc>
        <w:tc>
          <w:tcPr>
            <w:tcW w:w="845" w:type="pct"/>
            <w:tcBorders>
              <w:bottom w:val="single" w:sz="4" w:space="0" w:color="auto"/>
            </w:tcBorders>
            <w:vAlign w:val="center"/>
          </w:tcPr>
          <w:p w:rsidR="00684833" w:rsidRPr="00C7151A" w:rsidRDefault="006A3DCE" w:rsidP="00D70714">
            <w:pPr>
              <w:keepNext/>
              <w:widowControl/>
              <w:jc w:val="center"/>
              <w:rPr>
                <w:rFonts w:ascii="Arial Narrow" w:hAnsi="Arial Narrow"/>
                <w:b/>
                <w:sz w:val="20"/>
              </w:rPr>
            </w:pPr>
            <w:r>
              <w:rPr>
                <w:rFonts w:ascii="Arial Narrow" w:hAnsi="Arial Narrow"/>
                <w:b/>
                <w:sz w:val="20"/>
              </w:rPr>
              <w:t>Approved ex-manufacturing price</w:t>
            </w:r>
          </w:p>
        </w:tc>
        <w:tc>
          <w:tcPr>
            <w:tcW w:w="1194" w:type="pct"/>
            <w:gridSpan w:val="3"/>
            <w:tcBorders>
              <w:bottom w:val="single" w:sz="4" w:space="0" w:color="auto"/>
            </w:tcBorders>
            <w:vAlign w:val="center"/>
          </w:tcPr>
          <w:p w:rsidR="00684833" w:rsidRPr="00C7151A" w:rsidRDefault="00684833" w:rsidP="00D70714">
            <w:pPr>
              <w:keepNext/>
              <w:widowControl/>
              <w:jc w:val="center"/>
              <w:rPr>
                <w:rFonts w:ascii="Arial Narrow" w:hAnsi="Arial Narrow"/>
                <w:b/>
                <w:sz w:val="20"/>
                <w:lang w:val="fr-FR"/>
              </w:rPr>
            </w:pPr>
            <w:r w:rsidRPr="00C7151A">
              <w:rPr>
                <w:rFonts w:ascii="Arial Narrow" w:hAnsi="Arial Narrow"/>
                <w:b/>
                <w:sz w:val="20"/>
              </w:rPr>
              <w:t>Proprietary Name and Manufacturer</w:t>
            </w:r>
          </w:p>
        </w:tc>
      </w:tr>
      <w:tr w:rsidR="00684833" w:rsidRPr="00413860" w:rsidTr="000E7EB8">
        <w:trPr>
          <w:cantSplit/>
          <w:trHeight w:val="567"/>
        </w:trPr>
        <w:tc>
          <w:tcPr>
            <w:tcW w:w="1884" w:type="pct"/>
            <w:gridSpan w:val="2"/>
          </w:tcPr>
          <w:p w:rsidR="00684833" w:rsidRPr="00591957" w:rsidRDefault="00684833" w:rsidP="00D70714">
            <w:pPr>
              <w:keepNext/>
              <w:widowControl/>
              <w:jc w:val="left"/>
              <w:rPr>
                <w:rFonts w:ascii="Arial Narrow" w:hAnsi="Arial Narrow"/>
                <w:sz w:val="20"/>
              </w:rPr>
            </w:pPr>
            <w:r w:rsidRPr="00127AEE">
              <w:rPr>
                <w:rFonts w:ascii="Arial Narrow" w:hAnsi="Arial Narrow" w:cs="Times New Roman"/>
                <w:snapToGrid/>
                <w:sz w:val="20"/>
              </w:rPr>
              <w:t xml:space="preserve">Inactivated </w:t>
            </w:r>
            <w:proofErr w:type="spellStart"/>
            <w:r w:rsidRPr="00127AEE">
              <w:rPr>
                <w:rFonts w:ascii="Arial Narrow" w:hAnsi="Arial Narrow" w:cs="Times New Roman"/>
                <w:snapToGrid/>
                <w:sz w:val="20"/>
              </w:rPr>
              <w:t>Quadrivalent</w:t>
            </w:r>
            <w:proofErr w:type="spellEnd"/>
            <w:r w:rsidRPr="00127AEE">
              <w:rPr>
                <w:rFonts w:ascii="Arial Narrow" w:hAnsi="Arial Narrow" w:cs="Times New Roman"/>
                <w:snapToGrid/>
                <w:sz w:val="20"/>
              </w:rPr>
              <w:t xml:space="preserve"> Influenza Vaccine (split </w:t>
            </w:r>
            <w:proofErr w:type="spellStart"/>
            <w:r w:rsidRPr="00127AEE">
              <w:rPr>
                <w:rFonts w:ascii="Arial Narrow" w:hAnsi="Arial Narrow" w:cs="Times New Roman"/>
                <w:snapToGrid/>
                <w:sz w:val="20"/>
              </w:rPr>
              <w:t>virion</w:t>
            </w:r>
            <w:proofErr w:type="spellEnd"/>
            <w:r w:rsidRPr="00127AEE">
              <w:rPr>
                <w:rFonts w:ascii="Arial Narrow" w:hAnsi="Arial Narrow" w:cs="Times New Roman"/>
                <w:snapToGrid/>
                <w:sz w:val="20"/>
              </w:rPr>
              <w:t>), 0.5mL, prefilled syringe</w:t>
            </w:r>
          </w:p>
        </w:tc>
        <w:tc>
          <w:tcPr>
            <w:tcW w:w="606" w:type="pct"/>
          </w:tcPr>
          <w:p w:rsidR="00684833" w:rsidRPr="00127AEE" w:rsidRDefault="00684833" w:rsidP="00D70714">
            <w:pPr>
              <w:keepNext/>
              <w:widowControl/>
              <w:jc w:val="center"/>
              <w:rPr>
                <w:rFonts w:ascii="Arial Narrow" w:hAnsi="Arial Narrow" w:cs="Times New Roman"/>
                <w:snapToGrid/>
                <w:sz w:val="20"/>
              </w:rPr>
            </w:pPr>
            <w:r w:rsidRPr="00127AEE">
              <w:rPr>
                <w:rFonts w:ascii="Arial Narrow" w:hAnsi="Arial Narrow" w:cs="Times New Roman"/>
                <w:snapToGrid/>
                <w:sz w:val="20"/>
              </w:rPr>
              <w:t>1</w:t>
            </w:r>
          </w:p>
        </w:tc>
        <w:tc>
          <w:tcPr>
            <w:tcW w:w="471" w:type="pct"/>
          </w:tcPr>
          <w:p w:rsidR="00684833" w:rsidRPr="00127AEE" w:rsidRDefault="00684833" w:rsidP="00D70714">
            <w:pPr>
              <w:keepNext/>
              <w:widowControl/>
              <w:jc w:val="center"/>
              <w:rPr>
                <w:rFonts w:ascii="Arial Narrow" w:hAnsi="Arial Narrow" w:cs="Times New Roman"/>
                <w:snapToGrid/>
                <w:sz w:val="20"/>
              </w:rPr>
            </w:pPr>
            <w:r w:rsidRPr="00127AEE">
              <w:rPr>
                <w:rFonts w:ascii="Arial Narrow" w:hAnsi="Arial Narrow" w:cs="Times New Roman"/>
                <w:snapToGrid/>
                <w:sz w:val="20"/>
              </w:rPr>
              <w:t>0</w:t>
            </w:r>
            <w:r w:rsidR="00B519FF">
              <w:rPr>
                <w:rFonts w:ascii="Arial Narrow" w:hAnsi="Arial Narrow" w:cs="Times New Roman"/>
                <w:snapToGrid/>
                <w:sz w:val="20"/>
              </w:rPr>
              <w:t>*</w:t>
            </w:r>
          </w:p>
        </w:tc>
        <w:tc>
          <w:tcPr>
            <w:tcW w:w="845" w:type="pct"/>
          </w:tcPr>
          <w:p w:rsidR="00684833" w:rsidRPr="00591957" w:rsidRDefault="00684833" w:rsidP="00D70714">
            <w:pPr>
              <w:pStyle w:val="Tabletext"/>
              <w:jc w:val="center"/>
            </w:pPr>
            <w:r w:rsidRPr="002F56C6">
              <w:t>$</w:t>
            </w:r>
            <w:r w:rsidR="00356E50">
              <w:rPr>
                <w:noProof/>
                <w:color w:val="000000"/>
                <w:highlight w:val="black"/>
              </w:rPr>
              <w:t>'''''''''''</w:t>
            </w:r>
          </w:p>
        </w:tc>
        <w:tc>
          <w:tcPr>
            <w:tcW w:w="364" w:type="pct"/>
          </w:tcPr>
          <w:p w:rsidR="00684833" w:rsidRPr="00591957" w:rsidRDefault="00684833" w:rsidP="00D70714">
            <w:pPr>
              <w:pStyle w:val="Tabletext"/>
              <w:jc w:val="center"/>
            </w:pPr>
            <w:r w:rsidRPr="002F56C6">
              <w:t>Afluria Quad</w:t>
            </w:r>
            <w:r w:rsidR="00B1122C" w:rsidRPr="00103256">
              <w:rPr>
                <w:rFonts w:asciiTheme="minorHAnsi" w:hAnsiTheme="minorHAnsi" w:cstheme="minorHAnsi"/>
                <w:bCs/>
                <w:szCs w:val="24"/>
              </w:rPr>
              <w:t>®</w:t>
            </w:r>
          </w:p>
        </w:tc>
        <w:tc>
          <w:tcPr>
            <w:tcW w:w="830" w:type="pct"/>
            <w:gridSpan w:val="2"/>
          </w:tcPr>
          <w:p w:rsidR="00684833" w:rsidRPr="00591957" w:rsidRDefault="00684833" w:rsidP="00D70714">
            <w:pPr>
              <w:keepNext/>
              <w:widowControl/>
              <w:rPr>
                <w:rFonts w:ascii="Arial Narrow" w:hAnsi="Arial Narrow"/>
                <w:sz w:val="20"/>
              </w:rPr>
            </w:pPr>
            <w:proofErr w:type="spellStart"/>
            <w:r>
              <w:rPr>
                <w:rFonts w:ascii="Arial Narrow" w:hAnsi="Arial Narrow" w:cs="Times New Roman"/>
                <w:snapToGrid/>
                <w:sz w:val="20"/>
              </w:rPr>
              <w:t>Seqir</w:t>
            </w:r>
            <w:r w:rsidR="00987F41">
              <w:rPr>
                <w:rFonts w:ascii="Arial Narrow" w:hAnsi="Arial Narrow" w:cs="Times New Roman"/>
                <w:snapToGrid/>
                <w:sz w:val="20"/>
              </w:rPr>
              <w:t>us</w:t>
            </w:r>
            <w:proofErr w:type="spellEnd"/>
            <w:r>
              <w:rPr>
                <w:rFonts w:ascii="Arial Narrow" w:hAnsi="Arial Narrow" w:cs="Times New Roman"/>
                <w:snapToGrid/>
                <w:sz w:val="20"/>
              </w:rPr>
              <w:t xml:space="preserve"> </w:t>
            </w:r>
            <w:r w:rsidRPr="00127AEE">
              <w:rPr>
                <w:rFonts w:ascii="Arial Narrow" w:hAnsi="Arial Narrow" w:cs="Times New Roman"/>
                <w:snapToGrid/>
                <w:sz w:val="20"/>
              </w:rPr>
              <w:t>(Australia)Pty Ltd</w:t>
            </w:r>
          </w:p>
        </w:tc>
      </w:tr>
      <w:tr w:rsidR="000E7EB8" w:rsidRPr="00EF2872" w:rsidTr="003E4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pct"/>
          <w:trHeight w:val="20"/>
        </w:trPr>
        <w:tc>
          <w:tcPr>
            <w:tcW w:w="1245" w:type="pct"/>
            <w:tcBorders>
              <w:top w:val="single" w:sz="4" w:space="0" w:color="auto"/>
              <w:left w:val="single" w:sz="4" w:space="0" w:color="auto"/>
              <w:bottom w:val="single" w:sz="4" w:space="0" w:color="auto"/>
              <w:right w:val="single" w:sz="4" w:space="0" w:color="auto"/>
            </w:tcBorders>
            <w:hideMark/>
          </w:tcPr>
          <w:p w:rsidR="000E7EB8" w:rsidRPr="00EF2872" w:rsidRDefault="000E7EB8" w:rsidP="00D70714">
            <w:pPr>
              <w:pStyle w:val="Tabletext"/>
              <w:rPr>
                <w:lang w:eastAsia="en-AU"/>
              </w:rPr>
            </w:pPr>
            <w:r w:rsidRPr="00EF2872">
              <w:rPr>
                <w:lang w:eastAsia="en-AU"/>
              </w:rPr>
              <w:t>Category/Program:</w:t>
            </w:r>
          </w:p>
        </w:tc>
        <w:tc>
          <w:tcPr>
            <w:tcW w:w="3745" w:type="pct"/>
            <w:gridSpan w:val="6"/>
            <w:tcBorders>
              <w:top w:val="single" w:sz="4" w:space="0" w:color="auto"/>
              <w:left w:val="single" w:sz="4" w:space="0" w:color="auto"/>
              <w:bottom w:val="single" w:sz="4" w:space="0" w:color="auto"/>
              <w:right w:val="single" w:sz="4" w:space="0" w:color="auto"/>
            </w:tcBorders>
          </w:tcPr>
          <w:p w:rsidR="000E7EB8" w:rsidRPr="00EF2872" w:rsidRDefault="000E7EB8" w:rsidP="00D70714">
            <w:pPr>
              <w:pStyle w:val="Tabletext"/>
              <w:rPr>
                <w:lang w:eastAsia="en-AU"/>
              </w:rPr>
            </w:pPr>
            <w:r w:rsidRPr="00EF2872">
              <w:rPr>
                <w:lang w:eastAsia="en-AU"/>
              </w:rPr>
              <w:t>NIP</w:t>
            </w:r>
          </w:p>
        </w:tc>
      </w:tr>
      <w:tr w:rsidR="003E4CCD" w:rsidRPr="00A30A33" w:rsidTr="003E4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pct"/>
          <w:trHeight w:val="20"/>
        </w:trPr>
        <w:tc>
          <w:tcPr>
            <w:tcW w:w="1245" w:type="pct"/>
            <w:tcBorders>
              <w:top w:val="single" w:sz="4" w:space="0" w:color="auto"/>
              <w:left w:val="single" w:sz="4" w:space="0" w:color="auto"/>
              <w:bottom w:val="single" w:sz="4" w:space="0" w:color="auto"/>
              <w:right w:val="single" w:sz="4" w:space="0" w:color="auto"/>
            </w:tcBorders>
          </w:tcPr>
          <w:p w:rsidR="003E4CCD" w:rsidRDefault="003E4CCD" w:rsidP="00D70714">
            <w:pPr>
              <w:pStyle w:val="Tabletext"/>
              <w:rPr>
                <w:lang w:eastAsia="en-AU"/>
              </w:rPr>
            </w:pPr>
            <w:r>
              <w:rPr>
                <w:lang w:eastAsia="en-AU"/>
              </w:rPr>
              <w:t>Groups eligible for funded influenza vaccine</w:t>
            </w:r>
          </w:p>
        </w:tc>
        <w:tc>
          <w:tcPr>
            <w:tcW w:w="3745" w:type="pct"/>
            <w:gridSpan w:val="6"/>
            <w:tcBorders>
              <w:top w:val="single" w:sz="4" w:space="0" w:color="auto"/>
              <w:left w:val="single" w:sz="4" w:space="0" w:color="auto"/>
              <w:bottom w:val="single" w:sz="4" w:space="0" w:color="auto"/>
              <w:right w:val="single" w:sz="4" w:space="0" w:color="auto"/>
            </w:tcBorders>
          </w:tcPr>
          <w:p w:rsidR="003E4CCD" w:rsidRDefault="003E4CCD" w:rsidP="00D70714">
            <w:pPr>
              <w:pStyle w:val="Tabletext"/>
              <w:rPr>
                <w:color w:val="000000"/>
                <w:szCs w:val="20"/>
                <w:shd w:val="clear" w:color="auto" w:fill="FFFFFF"/>
              </w:rPr>
            </w:pPr>
            <w:r>
              <w:rPr>
                <w:color w:val="000000"/>
                <w:szCs w:val="20"/>
                <w:shd w:val="clear" w:color="auto" w:fill="FFFFFF"/>
              </w:rPr>
              <w:t>5 years and over with</w:t>
            </w:r>
            <w:r w:rsidR="00E04EAF">
              <w:t xml:space="preserve"> increased risk of complications from influenza</w:t>
            </w:r>
          </w:p>
          <w:p w:rsidR="003E4CCD" w:rsidRDefault="003E4CCD" w:rsidP="00D70714">
            <w:pPr>
              <w:pStyle w:val="Tabletext"/>
              <w:rPr>
                <w:color w:val="000000"/>
                <w:szCs w:val="20"/>
                <w:shd w:val="clear" w:color="auto" w:fill="FFFFFF"/>
              </w:rPr>
            </w:pPr>
            <w:r>
              <w:rPr>
                <w:color w:val="000000"/>
                <w:szCs w:val="20"/>
                <w:shd w:val="clear" w:color="auto" w:fill="FFFFFF"/>
              </w:rPr>
              <w:t>Aboriginal and</w:t>
            </w:r>
            <w:r w:rsidR="00563608">
              <w:rPr>
                <w:color w:val="000000"/>
                <w:szCs w:val="20"/>
                <w:shd w:val="clear" w:color="auto" w:fill="FFFFFF"/>
              </w:rPr>
              <w:t>/or</w:t>
            </w:r>
            <w:r>
              <w:rPr>
                <w:color w:val="000000"/>
                <w:szCs w:val="20"/>
                <w:shd w:val="clear" w:color="auto" w:fill="FFFFFF"/>
              </w:rPr>
              <w:t xml:space="preserve"> Torres Strait Islander peoples 15 years and over</w:t>
            </w:r>
          </w:p>
          <w:p w:rsidR="003E4CCD" w:rsidRDefault="003E4CCD" w:rsidP="00D70714">
            <w:pPr>
              <w:pStyle w:val="Tabletext"/>
              <w:rPr>
                <w:color w:val="000000"/>
                <w:szCs w:val="20"/>
                <w:shd w:val="clear" w:color="auto" w:fill="FFFFFF"/>
              </w:rPr>
            </w:pPr>
            <w:r>
              <w:rPr>
                <w:color w:val="000000"/>
                <w:szCs w:val="20"/>
                <w:shd w:val="clear" w:color="auto" w:fill="FFFFFF"/>
              </w:rPr>
              <w:t>65 years and over</w:t>
            </w:r>
          </w:p>
          <w:p w:rsidR="003E4CCD" w:rsidRPr="00867FDE" w:rsidRDefault="003E4CCD" w:rsidP="00D70714">
            <w:pPr>
              <w:pStyle w:val="Tabletext"/>
              <w:rPr>
                <w:color w:val="000000"/>
                <w:szCs w:val="20"/>
                <w:shd w:val="clear" w:color="auto" w:fill="FFFFFF"/>
              </w:rPr>
            </w:pPr>
            <w:r>
              <w:rPr>
                <w:color w:val="000000"/>
                <w:szCs w:val="20"/>
                <w:shd w:val="clear" w:color="auto" w:fill="FFFFFF"/>
              </w:rPr>
              <w:t>Pregnant women</w:t>
            </w:r>
          </w:p>
        </w:tc>
      </w:tr>
      <w:tr w:rsidR="000E7EB8" w:rsidRPr="00A30A33" w:rsidTr="003E4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pct"/>
          <w:trHeight w:val="20"/>
        </w:trPr>
        <w:tc>
          <w:tcPr>
            <w:tcW w:w="1245" w:type="pct"/>
            <w:tcBorders>
              <w:top w:val="single" w:sz="4" w:space="0" w:color="auto"/>
              <w:left w:val="single" w:sz="4" w:space="0" w:color="auto"/>
              <w:bottom w:val="single" w:sz="4" w:space="0" w:color="auto"/>
              <w:right w:val="single" w:sz="4" w:space="0" w:color="auto"/>
            </w:tcBorders>
            <w:hideMark/>
          </w:tcPr>
          <w:p w:rsidR="000E7EB8" w:rsidRPr="00EF2872" w:rsidRDefault="000F4FC1" w:rsidP="00D70714">
            <w:pPr>
              <w:pStyle w:val="Tabletext"/>
              <w:rPr>
                <w:lang w:eastAsia="en-AU"/>
              </w:rPr>
            </w:pPr>
            <w:r>
              <w:rPr>
                <w:lang w:eastAsia="en-AU"/>
              </w:rPr>
              <w:t>N</w:t>
            </w:r>
            <w:r w:rsidR="00B519FF">
              <w:rPr>
                <w:lang w:eastAsia="en-AU"/>
              </w:rPr>
              <w:t>umber and timing of doses</w:t>
            </w:r>
            <w:r w:rsidR="000E7EB8" w:rsidRPr="00EF2872">
              <w:rPr>
                <w:lang w:eastAsia="en-AU"/>
              </w:rPr>
              <w:t>:</w:t>
            </w:r>
          </w:p>
        </w:tc>
        <w:tc>
          <w:tcPr>
            <w:tcW w:w="3745" w:type="pct"/>
            <w:gridSpan w:val="6"/>
            <w:tcBorders>
              <w:top w:val="single" w:sz="4" w:space="0" w:color="auto"/>
              <w:left w:val="single" w:sz="4" w:space="0" w:color="auto"/>
              <w:bottom w:val="single" w:sz="4" w:space="0" w:color="auto"/>
              <w:right w:val="single" w:sz="4" w:space="0" w:color="auto"/>
            </w:tcBorders>
          </w:tcPr>
          <w:p w:rsidR="00B519FF" w:rsidRPr="00867FDE" w:rsidRDefault="00AD6274" w:rsidP="00D70714">
            <w:pPr>
              <w:pStyle w:val="Tabletext"/>
              <w:rPr>
                <w:color w:val="000000"/>
                <w:szCs w:val="20"/>
                <w:shd w:val="clear" w:color="auto" w:fill="FFFFFF"/>
              </w:rPr>
            </w:pPr>
            <w:r w:rsidRPr="00867FDE">
              <w:rPr>
                <w:color w:val="000000"/>
                <w:szCs w:val="20"/>
                <w:shd w:val="clear" w:color="auto" w:fill="FFFFFF"/>
              </w:rPr>
              <w:t>For children 5 years and older but less than 9 years, 2 doses at least 1 month apart for the first vaccination and 1 dose</w:t>
            </w:r>
            <w:r w:rsidR="00C861B8">
              <w:rPr>
                <w:color w:val="000000"/>
                <w:szCs w:val="20"/>
                <w:shd w:val="clear" w:color="auto" w:fill="FFFFFF"/>
              </w:rPr>
              <w:t xml:space="preserve"> per calendar year after that. </w:t>
            </w:r>
          </w:p>
          <w:p w:rsidR="000E7EB8" w:rsidRPr="00A30A33" w:rsidRDefault="00AD6274" w:rsidP="00D70714">
            <w:pPr>
              <w:pStyle w:val="Tabletext"/>
            </w:pPr>
            <w:r w:rsidRPr="00867FDE">
              <w:rPr>
                <w:color w:val="000000"/>
                <w:szCs w:val="20"/>
                <w:shd w:val="clear" w:color="auto" w:fill="FFFFFF"/>
              </w:rPr>
              <w:t>For persons 9 years and above, 1 dose per calendar year.</w:t>
            </w:r>
          </w:p>
        </w:tc>
      </w:tr>
    </w:tbl>
    <w:p w:rsidR="001E4307" w:rsidRDefault="001E4307" w:rsidP="00D70714">
      <w:pPr>
        <w:widowControl/>
      </w:pPr>
    </w:p>
    <w:p w:rsidR="00B72241" w:rsidRPr="00ED7373" w:rsidRDefault="00B72241" w:rsidP="00D70714">
      <w:pPr>
        <w:pStyle w:val="ListParagraph"/>
        <w:widowControl/>
        <w:numPr>
          <w:ilvl w:val="1"/>
          <w:numId w:val="2"/>
        </w:numPr>
      </w:pPr>
      <w:r w:rsidRPr="00ED7373">
        <w:t xml:space="preserve">Children aged </w:t>
      </w:r>
      <w:proofErr w:type="gramStart"/>
      <w:r w:rsidRPr="00ED7373">
        <w:t>5</w:t>
      </w:r>
      <w:proofErr w:type="gramEnd"/>
      <w:r w:rsidRPr="00ED7373">
        <w:t xml:space="preserve"> to </w:t>
      </w:r>
      <w:r w:rsidR="007D7E9A">
        <w:t>&lt;9</w:t>
      </w:r>
      <w:r w:rsidRPr="00ED7373">
        <w:t xml:space="preserve"> years who are influenza vaccine naïve require an additional dose in the first year of immunisation, four weeks after the initial vaccine.</w:t>
      </w:r>
      <w:r w:rsidR="00AD6274" w:rsidRPr="00ED7373">
        <w:t xml:space="preserve"> This was not included in the proposed listing.</w:t>
      </w:r>
      <w:r w:rsidR="000443E9">
        <w:t xml:space="preserve">  The ATAGI post-submission advice (P1) clarified that </w:t>
      </w:r>
      <w:r w:rsidR="000B152D">
        <w:t xml:space="preserve">even for </w:t>
      </w:r>
      <w:r w:rsidR="000443E9">
        <w:t xml:space="preserve">children </w:t>
      </w:r>
      <w:r w:rsidR="00194E25">
        <w:t xml:space="preserve">who </w:t>
      </w:r>
      <w:proofErr w:type="gramStart"/>
      <w:r w:rsidR="000443E9">
        <w:t>were initially vaccinated</w:t>
      </w:r>
      <w:proofErr w:type="gramEnd"/>
      <w:r w:rsidR="000443E9">
        <w:t xml:space="preserve"> with </w:t>
      </w:r>
      <w:r w:rsidR="00194E25">
        <w:t xml:space="preserve">two </w:t>
      </w:r>
      <w:r w:rsidR="000443E9">
        <w:t>doses</w:t>
      </w:r>
      <w:r w:rsidR="00EE7C0E">
        <w:t>, if they</w:t>
      </w:r>
      <w:r w:rsidR="000443E9">
        <w:t xml:space="preserve"> miss</w:t>
      </w:r>
      <w:r w:rsidR="000B152D">
        <w:t>ed</w:t>
      </w:r>
      <w:r w:rsidR="000443E9">
        <w:t xml:space="preserve"> one or more sub</w:t>
      </w:r>
      <w:r w:rsidR="00E14DAB">
        <w:t>sequent years, they would still</w:t>
      </w:r>
      <w:r w:rsidR="000443E9">
        <w:t xml:space="preserve"> </w:t>
      </w:r>
      <w:r w:rsidR="000B152D">
        <w:t xml:space="preserve">only </w:t>
      </w:r>
      <w:r w:rsidR="000443E9">
        <w:t>require a single dose</w:t>
      </w:r>
      <w:r w:rsidR="00E14DAB">
        <w:t xml:space="preserve"> </w:t>
      </w:r>
      <w:r w:rsidR="00194E25">
        <w:t>of vaccine</w:t>
      </w:r>
      <w:r w:rsidR="000443E9">
        <w:t>.</w:t>
      </w:r>
    </w:p>
    <w:p w:rsidR="00B72241" w:rsidRPr="00ED7373" w:rsidRDefault="00B72241" w:rsidP="00D70714">
      <w:pPr>
        <w:pStyle w:val="ListParagraph"/>
        <w:widowControl/>
        <w:numPr>
          <w:ilvl w:val="1"/>
          <w:numId w:val="2"/>
        </w:numPr>
      </w:pPr>
      <w:r w:rsidRPr="00ED7373">
        <w:t xml:space="preserve">The </w:t>
      </w:r>
      <w:r w:rsidR="00F07819" w:rsidRPr="00ED7373">
        <w:t xml:space="preserve">proposed </w:t>
      </w:r>
      <w:r w:rsidRPr="00ED7373">
        <w:t>NIP indication in the submission is the same as the current NIP listing</w:t>
      </w:r>
      <w:r w:rsidR="00F07819" w:rsidRPr="00ED7373">
        <w:t xml:space="preserve"> for </w:t>
      </w:r>
      <w:proofErr w:type="spellStart"/>
      <w:r w:rsidR="001729A1" w:rsidRPr="00ED7373">
        <w:t>Fluarix</w:t>
      </w:r>
      <w:proofErr w:type="spellEnd"/>
      <w:r w:rsidR="001729A1" w:rsidRPr="00ED7373">
        <w:t xml:space="preserve"> Tetra</w:t>
      </w:r>
      <w:r w:rsidR="006F5929" w:rsidRPr="00ED7373">
        <w:t xml:space="preserve"> and </w:t>
      </w:r>
      <w:proofErr w:type="spellStart"/>
      <w:r w:rsidR="001729A1" w:rsidRPr="00ED7373">
        <w:t>FluQuadri</w:t>
      </w:r>
      <w:proofErr w:type="spellEnd"/>
      <w:r w:rsidR="00767C6D" w:rsidRPr="00ED7373">
        <w:t>,</w:t>
      </w:r>
      <w:r w:rsidR="00AD6274" w:rsidRPr="00ED7373">
        <w:t xml:space="preserve"> with the exception of the youngest age of administration allowable</w:t>
      </w:r>
      <w:r w:rsidR="00075D3B">
        <w:t xml:space="preserve"> (3 years and over for </w:t>
      </w:r>
      <w:proofErr w:type="spellStart"/>
      <w:r w:rsidR="00075D3B">
        <w:t>Fluarix</w:t>
      </w:r>
      <w:proofErr w:type="spellEnd"/>
      <w:r w:rsidR="00075D3B">
        <w:t xml:space="preserve"> Tetra and </w:t>
      </w:r>
      <w:proofErr w:type="spellStart"/>
      <w:r w:rsidR="00075D3B">
        <w:t>FluQuadri</w:t>
      </w:r>
      <w:proofErr w:type="spellEnd"/>
      <w:r w:rsidR="00075D3B">
        <w:t>)</w:t>
      </w:r>
      <w:r w:rsidRPr="00ED7373">
        <w:t>.</w:t>
      </w:r>
    </w:p>
    <w:p w:rsidR="00C55396" w:rsidRPr="00CE75D7" w:rsidRDefault="00684833" w:rsidP="00D70714">
      <w:pPr>
        <w:pStyle w:val="ListParagraph"/>
        <w:widowControl/>
        <w:numPr>
          <w:ilvl w:val="1"/>
          <w:numId w:val="2"/>
        </w:numPr>
        <w:spacing w:before="120"/>
        <w:rPr>
          <w:rFonts w:asciiTheme="minorHAnsi" w:eastAsiaTheme="minorHAnsi" w:hAnsiTheme="minorHAnsi" w:cstheme="minorBidi"/>
          <w:snapToGrid/>
        </w:rPr>
      </w:pPr>
      <w:r w:rsidRPr="009F122B">
        <w:t xml:space="preserve">The submission </w:t>
      </w:r>
      <w:r w:rsidR="00E95068" w:rsidRPr="009F122B">
        <w:t>p</w:t>
      </w:r>
      <w:r w:rsidR="006A3DCE" w:rsidRPr="009F122B">
        <w:t xml:space="preserve">roposed an ex-manufacturer </w:t>
      </w:r>
      <w:r w:rsidR="00E95068" w:rsidRPr="009F122B">
        <w:t>price</w:t>
      </w:r>
      <w:r w:rsidRPr="009F122B">
        <w:t xml:space="preserve"> of $</w:t>
      </w:r>
      <w:r w:rsidR="00356E50">
        <w:rPr>
          <w:noProof/>
          <w:color w:val="000000"/>
          <w:highlight w:val="black"/>
        </w:rPr>
        <w:t>''''''''</w:t>
      </w:r>
      <w:r w:rsidR="0013204F" w:rsidRPr="009F122B">
        <w:t xml:space="preserve">, </w:t>
      </w:r>
      <w:r w:rsidR="006A3DCE" w:rsidRPr="009F122B">
        <w:t xml:space="preserve">equal to the nationally negotiated price for </w:t>
      </w:r>
      <w:r w:rsidR="001729A1" w:rsidRPr="009F122B">
        <w:t>Afluria Quad</w:t>
      </w:r>
      <w:r w:rsidR="00C861B8">
        <w:t xml:space="preserve"> in persons aged 18 and over.</w:t>
      </w:r>
    </w:p>
    <w:p w:rsidR="00CE75D7" w:rsidRDefault="00CE75D7" w:rsidP="00D70714">
      <w:pPr>
        <w:pStyle w:val="ListParagraph"/>
        <w:widowControl/>
        <w:numPr>
          <w:ilvl w:val="1"/>
          <w:numId w:val="2"/>
        </w:numPr>
        <w:spacing w:before="120"/>
        <w:rPr>
          <w:rFonts w:asciiTheme="minorHAnsi" w:eastAsiaTheme="minorHAnsi" w:hAnsiTheme="minorHAnsi" w:cstheme="minorBidi"/>
          <w:snapToGrid/>
        </w:rPr>
      </w:pPr>
      <w:r>
        <w:rPr>
          <w:rFonts w:asciiTheme="minorHAnsi" w:eastAsiaTheme="minorHAnsi" w:hAnsiTheme="minorHAnsi" w:cstheme="minorBidi"/>
          <w:snapToGrid/>
        </w:rPr>
        <w:t xml:space="preserve">A minor submission to the PBAC from the Chief Medical Officer </w:t>
      </w:r>
      <w:r w:rsidR="00876C93">
        <w:rPr>
          <w:rFonts w:asciiTheme="minorHAnsi" w:eastAsiaTheme="minorHAnsi" w:hAnsiTheme="minorHAnsi" w:cstheme="minorBidi"/>
          <w:snapToGrid/>
        </w:rPr>
        <w:t xml:space="preserve">(CMO) </w:t>
      </w:r>
      <w:r>
        <w:rPr>
          <w:rFonts w:asciiTheme="minorHAnsi" w:eastAsiaTheme="minorHAnsi" w:hAnsiTheme="minorHAnsi" w:cstheme="minorBidi"/>
          <w:snapToGrid/>
        </w:rPr>
        <w:t xml:space="preserve">of the Department of Health </w:t>
      </w:r>
      <w:r w:rsidRPr="001B2BBC">
        <w:rPr>
          <w:rFonts w:asciiTheme="minorHAnsi" w:eastAsiaTheme="minorHAnsi" w:hAnsiTheme="minorHAnsi" w:cstheme="minorBidi"/>
          <w:snapToGrid/>
        </w:rPr>
        <w:t>requested</w:t>
      </w:r>
      <w:r>
        <w:rPr>
          <w:rFonts w:asciiTheme="minorHAnsi" w:eastAsiaTheme="minorHAnsi" w:hAnsiTheme="minorHAnsi" w:cstheme="minorBidi"/>
          <w:snapToGrid/>
        </w:rPr>
        <w:t xml:space="preserve"> that eligibility for National Immunisation Program (NIP) funded </w:t>
      </w:r>
      <w:r w:rsidR="00876C93">
        <w:rPr>
          <w:rFonts w:asciiTheme="minorHAnsi" w:eastAsiaTheme="minorHAnsi" w:hAnsiTheme="minorHAnsi" w:cstheme="minorBidi"/>
          <w:snapToGrid/>
        </w:rPr>
        <w:t>QIV</w:t>
      </w:r>
      <w:r>
        <w:rPr>
          <w:rFonts w:asciiTheme="minorHAnsi" w:eastAsiaTheme="minorHAnsi" w:hAnsiTheme="minorHAnsi" w:cstheme="minorBidi"/>
          <w:snapToGrid/>
        </w:rPr>
        <w:t xml:space="preserve"> for Aboriginal and/or Torres Strait Islander people be expanded to include children and adolescents aged 5 to &lt;15 years (</w:t>
      </w:r>
      <w:r w:rsidRPr="00CE75D7">
        <w:rPr>
          <w:rFonts w:asciiTheme="minorHAnsi" w:eastAsiaTheme="minorHAnsi" w:hAnsiTheme="minorHAnsi" w:cstheme="minorBidi"/>
          <w:i/>
          <w:snapToGrid/>
        </w:rPr>
        <w:t>agenda item 6.17 refers</w:t>
      </w:r>
      <w:r w:rsidRPr="004175F3">
        <w:rPr>
          <w:rFonts w:asciiTheme="minorHAnsi" w:eastAsiaTheme="minorHAnsi" w:hAnsiTheme="minorHAnsi" w:cstheme="minorBidi"/>
          <w:i/>
          <w:snapToGrid/>
        </w:rPr>
        <w:t>)</w:t>
      </w:r>
      <w:r>
        <w:rPr>
          <w:rFonts w:asciiTheme="minorHAnsi" w:eastAsiaTheme="minorHAnsi" w:hAnsiTheme="minorHAnsi" w:cstheme="minorBidi"/>
          <w:snapToGrid/>
        </w:rPr>
        <w:t xml:space="preserve">. The CMO requested that the PBAC also consider expanding eligibility for Afluria Quad to include </w:t>
      </w:r>
      <w:r w:rsidR="00075D3B">
        <w:rPr>
          <w:color w:val="000000"/>
          <w:szCs w:val="20"/>
          <w:shd w:val="clear" w:color="auto" w:fill="FFFFFF"/>
        </w:rPr>
        <w:t>Aboriginal an</w:t>
      </w:r>
      <w:r w:rsidR="00876C93">
        <w:rPr>
          <w:color w:val="000000"/>
          <w:szCs w:val="20"/>
          <w:shd w:val="clear" w:color="auto" w:fill="FFFFFF"/>
        </w:rPr>
        <w:t>d</w:t>
      </w:r>
      <w:r w:rsidR="00563608">
        <w:rPr>
          <w:color w:val="000000"/>
          <w:szCs w:val="20"/>
          <w:shd w:val="clear" w:color="auto" w:fill="FFFFFF"/>
        </w:rPr>
        <w:t>/or</w:t>
      </w:r>
      <w:r w:rsidR="00876C93">
        <w:rPr>
          <w:color w:val="000000"/>
          <w:szCs w:val="20"/>
          <w:shd w:val="clear" w:color="auto" w:fill="FFFFFF"/>
        </w:rPr>
        <w:t xml:space="preserve"> Torres Strait Islander people</w:t>
      </w:r>
      <w:r>
        <w:rPr>
          <w:rFonts w:asciiTheme="minorHAnsi" w:eastAsiaTheme="minorHAnsi" w:hAnsiTheme="minorHAnsi" w:cstheme="minorBidi"/>
          <w:snapToGrid/>
        </w:rPr>
        <w:t xml:space="preserve"> aged 5 to &lt;15 years</w:t>
      </w:r>
      <w:r w:rsidR="00075D3B">
        <w:rPr>
          <w:rFonts w:asciiTheme="minorHAnsi" w:eastAsiaTheme="minorHAnsi" w:hAnsiTheme="minorHAnsi" w:cstheme="minorBidi"/>
          <w:snapToGrid/>
        </w:rPr>
        <w:t xml:space="preserve"> (resulting in listing for ages 5 years and older).</w:t>
      </w:r>
    </w:p>
    <w:p w:rsidR="00A6467B" w:rsidRPr="00F90A91" w:rsidRDefault="00A6467B" w:rsidP="00D70714">
      <w:pPr>
        <w:pStyle w:val="ListParagraph"/>
        <w:widowControl/>
        <w:ind w:left="709"/>
        <w:rPr>
          <w:rFonts w:asciiTheme="minorHAnsi" w:hAnsiTheme="minorHAnsi"/>
          <w:i/>
        </w:rPr>
      </w:pPr>
      <w:r w:rsidRPr="001E2B5B">
        <w:rPr>
          <w:rFonts w:asciiTheme="minorHAnsi" w:hAnsiTheme="minorHAnsi"/>
          <w:i/>
        </w:rPr>
        <w:t>For more detail on PBAC’s view, see section 7 PBAC outcome.</w:t>
      </w:r>
    </w:p>
    <w:p w:rsidR="00C459AE" w:rsidRDefault="00C459AE">
      <w:pPr>
        <w:widowControl/>
        <w:jc w:val="left"/>
        <w:rPr>
          <w:b/>
          <w:sz w:val="32"/>
        </w:rPr>
      </w:pPr>
      <w:bookmarkStart w:id="9" w:name="_Toc521332850"/>
      <w:bookmarkStart w:id="10" w:name="_Toc521934338"/>
      <w:r>
        <w:br w:type="page"/>
      </w:r>
    </w:p>
    <w:p w:rsidR="00FD24E2" w:rsidRPr="00FD24E2" w:rsidRDefault="00684833" w:rsidP="00D70714">
      <w:pPr>
        <w:pStyle w:val="PBACHeading1"/>
        <w:numPr>
          <w:ilvl w:val="0"/>
          <w:numId w:val="2"/>
        </w:numPr>
        <w:spacing w:after="120"/>
        <w:outlineLvl w:val="0"/>
      </w:pPr>
      <w:r w:rsidRPr="00407F2D">
        <w:t>Background</w:t>
      </w:r>
      <w:bookmarkEnd w:id="9"/>
      <w:bookmarkEnd w:id="10"/>
    </w:p>
    <w:p w:rsidR="00684833" w:rsidRPr="004568F8" w:rsidRDefault="002149AC" w:rsidP="00D70714">
      <w:pPr>
        <w:pStyle w:val="Heading2"/>
      </w:pPr>
      <w:r w:rsidRPr="004568F8">
        <w:lastRenderedPageBreak/>
        <w:t>Registration status</w:t>
      </w:r>
    </w:p>
    <w:p w:rsidR="003327AA" w:rsidRPr="00194E25" w:rsidRDefault="001729A1" w:rsidP="00D70714">
      <w:pPr>
        <w:pStyle w:val="ListParagraph"/>
        <w:widowControl/>
        <w:numPr>
          <w:ilvl w:val="1"/>
          <w:numId w:val="2"/>
        </w:numPr>
        <w:rPr>
          <w:i/>
        </w:rPr>
      </w:pPr>
      <w:r>
        <w:t>Afluria Quad</w:t>
      </w:r>
      <w:r w:rsidR="00684833" w:rsidRPr="003371B0">
        <w:t xml:space="preserve"> </w:t>
      </w:r>
      <w:proofErr w:type="gramStart"/>
      <w:r w:rsidR="00684833" w:rsidRPr="003371B0">
        <w:t xml:space="preserve">was </w:t>
      </w:r>
      <w:r w:rsidR="00114DA5">
        <w:t>approved</w:t>
      </w:r>
      <w:proofErr w:type="gramEnd"/>
      <w:r w:rsidR="00114DA5">
        <w:t xml:space="preserve"> for TGA registration</w:t>
      </w:r>
      <w:r w:rsidR="00684833" w:rsidRPr="00FA7087">
        <w:t xml:space="preserve"> on </w:t>
      </w:r>
      <w:r w:rsidR="00114DA5" w:rsidRPr="00563608">
        <w:t>2</w:t>
      </w:r>
      <w:r w:rsidR="00114DA5" w:rsidRPr="00FA7087">
        <w:rPr>
          <w:i/>
        </w:rPr>
        <w:t xml:space="preserve"> </w:t>
      </w:r>
      <w:r w:rsidR="00684833" w:rsidRPr="00FA7087">
        <w:t>February 2018 for</w:t>
      </w:r>
      <w:r w:rsidR="00684833">
        <w:t xml:space="preserve"> the prevention of influenza caused by Influenza Virus Types A and B contained in the vaccine. The vaccine </w:t>
      </w:r>
      <w:proofErr w:type="gramStart"/>
      <w:r w:rsidR="00684833">
        <w:t>is indicated</w:t>
      </w:r>
      <w:proofErr w:type="gramEnd"/>
      <w:r w:rsidR="00684833">
        <w:t xml:space="preserve"> for use only in persons aged 5 years and over.</w:t>
      </w:r>
    </w:p>
    <w:p w:rsidR="00194E25" w:rsidRPr="004568F8" w:rsidRDefault="00194E25" w:rsidP="00D70714">
      <w:pPr>
        <w:pStyle w:val="Heading2"/>
      </w:pPr>
      <w:r>
        <w:t>Previous PBAC considerations</w:t>
      </w:r>
    </w:p>
    <w:p w:rsidR="00194E25" w:rsidRPr="00194E25" w:rsidRDefault="00194E25" w:rsidP="00D70714">
      <w:pPr>
        <w:pStyle w:val="ListParagraph"/>
        <w:widowControl/>
        <w:numPr>
          <w:ilvl w:val="1"/>
          <w:numId w:val="2"/>
        </w:numPr>
      </w:pPr>
      <w:r>
        <w:t>Out of session, subsequent to the</w:t>
      </w:r>
      <w:r w:rsidRPr="00194E25">
        <w:t xml:space="preserve"> August 2016</w:t>
      </w:r>
      <w:r>
        <w:t xml:space="preserve"> PBAC meeting</w:t>
      </w:r>
      <w:r w:rsidRPr="00194E25">
        <w:t xml:space="preserve">, the PBAC </w:t>
      </w:r>
      <w:r>
        <w:rPr>
          <w:bCs/>
          <w:lang w:val="en-GB"/>
        </w:rPr>
        <w:t>recommended</w:t>
      </w:r>
      <w:r w:rsidRPr="00BF4578">
        <w:rPr>
          <w:bCs/>
          <w:lang w:val="en-GB"/>
        </w:rPr>
        <w:t xml:space="preserve"> </w:t>
      </w:r>
      <w:r>
        <w:rPr>
          <w:bCs/>
          <w:lang w:val="en-GB"/>
        </w:rPr>
        <w:t xml:space="preserve">the listing of Afluria Quad on the </w:t>
      </w:r>
      <w:r w:rsidR="004175F3">
        <w:rPr>
          <w:bCs/>
          <w:lang w:val="en-GB"/>
        </w:rPr>
        <w:t xml:space="preserve">Determination </w:t>
      </w:r>
      <w:r>
        <w:rPr>
          <w:bCs/>
          <w:lang w:val="en-GB"/>
        </w:rPr>
        <w:t xml:space="preserve">for the prevention of seasonal influenza for adults aged 18 years and older </w:t>
      </w:r>
      <w:r w:rsidR="0080507A">
        <w:rPr>
          <w:bCs/>
          <w:lang w:val="en-GB"/>
        </w:rPr>
        <w:t>who are eligible to receive NIP</w:t>
      </w:r>
      <w:r w:rsidR="0080507A">
        <w:rPr>
          <w:bCs/>
          <w:lang w:val="en-GB"/>
        </w:rPr>
        <w:noBreakHyphen/>
      </w:r>
      <w:r>
        <w:rPr>
          <w:bCs/>
          <w:lang w:val="en-GB"/>
        </w:rPr>
        <w:t>funded influenza vaccine. The recommendation was made on a cost</w:t>
      </w:r>
      <w:r>
        <w:rPr>
          <w:bCs/>
          <w:lang w:val="en-GB"/>
        </w:rPr>
        <w:noBreakHyphen/>
        <w:t xml:space="preserve">minimisation basis with </w:t>
      </w:r>
      <w:proofErr w:type="spellStart"/>
      <w:r>
        <w:rPr>
          <w:bCs/>
          <w:lang w:val="en-GB"/>
        </w:rPr>
        <w:t>Fluarix</w:t>
      </w:r>
      <w:proofErr w:type="spellEnd"/>
      <w:r>
        <w:t xml:space="preserve"> Tetra, with the </w:t>
      </w:r>
      <w:proofErr w:type="spellStart"/>
      <w:r>
        <w:t>equi</w:t>
      </w:r>
      <w:proofErr w:type="spellEnd"/>
      <w:r>
        <w:noBreakHyphen/>
        <w:t xml:space="preserve">effective doses being one dose of 0.5 mL Afluria Quad and one dose of 0.5 mL </w:t>
      </w:r>
      <w:proofErr w:type="spellStart"/>
      <w:r>
        <w:t>Fluarix</w:t>
      </w:r>
      <w:proofErr w:type="spellEnd"/>
      <w:r>
        <w:t xml:space="preserve"> Tetra.</w:t>
      </w:r>
    </w:p>
    <w:p w:rsidR="001E2B5B" w:rsidRPr="001E2B5B" w:rsidRDefault="001E2B5B" w:rsidP="00D70714">
      <w:pPr>
        <w:pStyle w:val="ListParagraph"/>
        <w:widowControl/>
        <w:ind w:left="709"/>
        <w:rPr>
          <w:rFonts w:asciiTheme="minorHAnsi" w:hAnsiTheme="minorHAnsi"/>
          <w:i/>
        </w:rPr>
      </w:pPr>
      <w:r w:rsidRPr="001E2B5B">
        <w:rPr>
          <w:rFonts w:asciiTheme="minorHAnsi" w:hAnsiTheme="minorHAnsi"/>
          <w:i/>
        </w:rPr>
        <w:t>For more detail on PBAC’s view, see section 7 PBAC outcome.</w:t>
      </w:r>
    </w:p>
    <w:p w:rsidR="00684833" w:rsidRPr="00882085" w:rsidRDefault="00684833" w:rsidP="00D70714">
      <w:pPr>
        <w:pStyle w:val="PBACHeading1"/>
        <w:numPr>
          <w:ilvl w:val="0"/>
          <w:numId w:val="2"/>
        </w:numPr>
        <w:spacing w:after="120"/>
        <w:outlineLvl w:val="0"/>
      </w:pPr>
      <w:bookmarkStart w:id="11" w:name="_Toc521332851"/>
      <w:bookmarkStart w:id="12" w:name="_Toc521934339"/>
      <w:r>
        <w:t>Population and disease</w:t>
      </w:r>
      <w:bookmarkEnd w:id="11"/>
      <w:bookmarkEnd w:id="12"/>
    </w:p>
    <w:p w:rsidR="00684833" w:rsidRDefault="00684833" w:rsidP="00D70714">
      <w:pPr>
        <w:pStyle w:val="ListParagraph"/>
        <w:widowControl/>
        <w:numPr>
          <w:ilvl w:val="1"/>
          <w:numId w:val="2"/>
        </w:numPr>
      </w:pPr>
      <w:r w:rsidRPr="008E03E7">
        <w:t xml:space="preserve">Influenza is a self-limited infection for most children, with a resolution of symptoms after approximately one week of illness. However, many children experience complications ranging from mild </w:t>
      </w:r>
      <w:r w:rsidR="009B4F38">
        <w:t xml:space="preserve">conditions </w:t>
      </w:r>
      <w:r w:rsidRPr="008E03E7">
        <w:t xml:space="preserve">not requiring hospitalisation, to life threatening conditions. The most common severe complication in children infected with influenza is pneumonia, which can lead to respiratory </w:t>
      </w:r>
      <w:r w:rsidR="006F5929">
        <w:t xml:space="preserve">failure and </w:t>
      </w:r>
      <w:r w:rsidRPr="008E03E7">
        <w:t xml:space="preserve">death. Other </w:t>
      </w:r>
      <w:r w:rsidRPr="00EB47A7">
        <w:t>rare complications include acute myositis, neurological conditions, transverse</w:t>
      </w:r>
      <w:r w:rsidRPr="008E03E7">
        <w:t xml:space="preserve"> myelitis, encephalopathy, Guillain-Barre syndrome (GBS) and </w:t>
      </w:r>
      <w:proofErr w:type="spellStart"/>
      <w:r w:rsidRPr="008E03E7">
        <w:t>myopericarditis</w:t>
      </w:r>
      <w:proofErr w:type="spellEnd"/>
      <w:r>
        <w:t>.</w:t>
      </w:r>
    </w:p>
    <w:p w:rsidR="00684833" w:rsidRPr="002C2775" w:rsidRDefault="00684833" w:rsidP="00D70714">
      <w:pPr>
        <w:pStyle w:val="ListParagraph"/>
        <w:widowControl/>
        <w:numPr>
          <w:ilvl w:val="1"/>
          <w:numId w:val="2"/>
        </w:numPr>
      </w:pPr>
      <w:r w:rsidRPr="008E03E7">
        <w:t xml:space="preserve">Influenza characteristically begins with the abrupt onset of fever, diffuse myalgia, malaise and headache, which </w:t>
      </w:r>
      <w:proofErr w:type="gramStart"/>
      <w:r w:rsidRPr="008E03E7">
        <w:t>is then rapidly followed</w:t>
      </w:r>
      <w:proofErr w:type="gramEnd"/>
      <w:r w:rsidRPr="008E03E7">
        <w:t xml:space="preserve"> by </w:t>
      </w:r>
      <w:r w:rsidR="006F5929">
        <w:t xml:space="preserve">the </w:t>
      </w:r>
      <w:r w:rsidRPr="008E03E7">
        <w:t>development of non-productive cough, nasal congestion, rhinitis and sor</w:t>
      </w:r>
      <w:r>
        <w:t>e throat</w:t>
      </w:r>
      <w:r w:rsidR="00C861B8">
        <w:t>.</w:t>
      </w:r>
    </w:p>
    <w:p w:rsidR="00D16407" w:rsidRPr="0040043F" w:rsidRDefault="00D16407" w:rsidP="00D70714">
      <w:pPr>
        <w:pStyle w:val="ListParagraph"/>
        <w:widowControl/>
        <w:numPr>
          <w:ilvl w:val="1"/>
          <w:numId w:val="2"/>
        </w:numPr>
      </w:pPr>
      <w:r w:rsidRPr="0040043F">
        <w:t xml:space="preserve">Currently </w:t>
      </w:r>
      <w:r w:rsidR="00BD0AB7">
        <w:t xml:space="preserve">two brands of </w:t>
      </w:r>
      <w:r w:rsidRPr="0040043F">
        <w:t>QIV</w:t>
      </w:r>
      <w:r w:rsidR="00BD0AB7">
        <w:t xml:space="preserve">, </w:t>
      </w:r>
      <w:proofErr w:type="spellStart"/>
      <w:r w:rsidRPr="0040043F">
        <w:t>Fluarix</w:t>
      </w:r>
      <w:proofErr w:type="spellEnd"/>
      <w:r w:rsidRPr="0040043F">
        <w:t xml:space="preserve"> Tetra and </w:t>
      </w:r>
      <w:proofErr w:type="spellStart"/>
      <w:r w:rsidRPr="0040043F">
        <w:t>FluQuadri</w:t>
      </w:r>
      <w:proofErr w:type="spellEnd"/>
      <w:r w:rsidR="00BD0AB7">
        <w:t>,</w:t>
      </w:r>
      <w:r w:rsidRPr="0040043F">
        <w:t xml:space="preserve"> </w:t>
      </w:r>
      <w:proofErr w:type="gramStart"/>
      <w:r w:rsidRPr="0040043F">
        <w:t>are listed</w:t>
      </w:r>
      <w:proofErr w:type="gramEnd"/>
      <w:r w:rsidRPr="0040043F">
        <w:t xml:space="preserve"> on the NIP for the nominated population.</w:t>
      </w:r>
    </w:p>
    <w:p w:rsidR="00684833" w:rsidRPr="00882085" w:rsidRDefault="00D16407" w:rsidP="00D70714">
      <w:pPr>
        <w:pStyle w:val="ListParagraph"/>
        <w:widowControl/>
        <w:numPr>
          <w:ilvl w:val="1"/>
          <w:numId w:val="2"/>
        </w:numPr>
      </w:pPr>
      <w:r w:rsidRPr="0040043F">
        <w:t xml:space="preserve">The submission requested that Afluria Quad </w:t>
      </w:r>
      <w:proofErr w:type="gramStart"/>
      <w:r w:rsidRPr="0040043F">
        <w:t>be listed</w:t>
      </w:r>
      <w:proofErr w:type="gramEnd"/>
      <w:r w:rsidRPr="0040043F">
        <w:t xml:space="preserve"> as an additional </w:t>
      </w:r>
      <w:r w:rsidR="00BD0AB7">
        <w:t>brand of QIV</w:t>
      </w:r>
      <w:r w:rsidR="00BD0AB7" w:rsidRPr="0040043F">
        <w:t xml:space="preserve"> </w:t>
      </w:r>
      <w:r w:rsidR="00862811">
        <w:t xml:space="preserve">vaccine </w:t>
      </w:r>
      <w:r w:rsidRPr="0040043F">
        <w:t xml:space="preserve">on the NIP for </w:t>
      </w:r>
      <w:r w:rsidR="0040043F" w:rsidRPr="0040043F">
        <w:t>the nominated population</w:t>
      </w:r>
      <w:r w:rsidR="00684833" w:rsidRPr="0040043F">
        <w:t>.</w:t>
      </w:r>
    </w:p>
    <w:p w:rsidR="00684833" w:rsidRPr="00882085" w:rsidRDefault="00684833" w:rsidP="00D70714">
      <w:pPr>
        <w:pStyle w:val="PBACHeading1"/>
        <w:numPr>
          <w:ilvl w:val="0"/>
          <w:numId w:val="2"/>
        </w:numPr>
        <w:spacing w:after="120"/>
        <w:outlineLvl w:val="0"/>
      </w:pPr>
      <w:bookmarkStart w:id="13" w:name="_Toc521332852"/>
      <w:bookmarkStart w:id="14" w:name="_Toc521934340"/>
      <w:r w:rsidRPr="00407F2D">
        <w:t>Comparator</w:t>
      </w:r>
      <w:bookmarkEnd w:id="13"/>
      <w:bookmarkEnd w:id="14"/>
    </w:p>
    <w:p w:rsidR="00684833" w:rsidRPr="00A17812" w:rsidRDefault="00684833" w:rsidP="00D70714">
      <w:pPr>
        <w:pStyle w:val="ListParagraph"/>
        <w:widowControl/>
        <w:numPr>
          <w:ilvl w:val="1"/>
          <w:numId w:val="2"/>
        </w:numPr>
        <w:rPr>
          <w:i/>
        </w:rPr>
      </w:pPr>
      <w:r w:rsidRPr="008E66FF">
        <w:rPr>
          <w:rFonts w:cs="Calibri"/>
          <w:snapToGrid/>
          <w:szCs w:val="24"/>
          <w:lang w:val="en-US" w:eastAsia="en-AU"/>
        </w:rPr>
        <w:t xml:space="preserve">The submission nominated </w:t>
      </w:r>
      <w:proofErr w:type="spellStart"/>
      <w:r w:rsidRPr="008E66FF">
        <w:rPr>
          <w:rFonts w:cs="Calibri"/>
          <w:snapToGrid/>
          <w:szCs w:val="24"/>
          <w:lang w:val="en-US" w:eastAsia="en-AU"/>
        </w:rPr>
        <w:t>Fluarix</w:t>
      </w:r>
      <w:proofErr w:type="spellEnd"/>
      <w:r w:rsidRPr="008E66FF">
        <w:rPr>
          <w:rFonts w:cs="Calibri"/>
          <w:snapToGrid/>
          <w:szCs w:val="24"/>
          <w:lang w:val="en-US" w:eastAsia="en-AU"/>
        </w:rPr>
        <w:t xml:space="preserve"> Tetra and </w:t>
      </w:r>
      <w:proofErr w:type="spellStart"/>
      <w:r w:rsidRPr="008E66FF">
        <w:rPr>
          <w:rFonts w:cs="Calibri"/>
          <w:snapToGrid/>
          <w:szCs w:val="24"/>
          <w:lang w:val="en-US" w:eastAsia="en-AU"/>
        </w:rPr>
        <w:t>FluQuadri</w:t>
      </w:r>
      <w:proofErr w:type="spellEnd"/>
      <w:r w:rsidRPr="008E66FF">
        <w:rPr>
          <w:rFonts w:cs="Calibri"/>
          <w:snapToGrid/>
          <w:szCs w:val="24"/>
          <w:lang w:val="en-US" w:eastAsia="en-AU"/>
        </w:rPr>
        <w:t xml:space="preserve"> as the main comparators. </w:t>
      </w:r>
      <w:r w:rsidR="009B4F38">
        <w:rPr>
          <w:rFonts w:cs="Calibri"/>
          <w:snapToGrid/>
          <w:szCs w:val="24"/>
          <w:lang w:val="en-US" w:eastAsia="en-AU"/>
        </w:rPr>
        <w:t>T</w:t>
      </w:r>
      <w:r w:rsidRPr="008E66FF">
        <w:rPr>
          <w:rFonts w:cs="Calibri"/>
          <w:snapToGrid/>
          <w:szCs w:val="24"/>
          <w:lang w:val="en-US" w:eastAsia="en-AU"/>
        </w:rPr>
        <w:t xml:space="preserve">hese QIV vaccines </w:t>
      </w:r>
      <w:proofErr w:type="gramStart"/>
      <w:r w:rsidRPr="008E66FF">
        <w:rPr>
          <w:rFonts w:cs="Calibri"/>
          <w:snapToGrid/>
          <w:szCs w:val="24"/>
          <w:lang w:val="en-US" w:eastAsia="en-AU"/>
        </w:rPr>
        <w:t>are currently listed</w:t>
      </w:r>
      <w:proofErr w:type="gramEnd"/>
      <w:r w:rsidRPr="008E66FF">
        <w:rPr>
          <w:rFonts w:cs="Calibri"/>
          <w:snapToGrid/>
          <w:szCs w:val="24"/>
          <w:lang w:val="en-US" w:eastAsia="en-AU"/>
        </w:rPr>
        <w:t xml:space="preserve"> on the NIP for the nominated population in the submission. ATAGI pre-submission advice considered that the appropriate primary comparator for any applications for the use of a QIV </w:t>
      </w:r>
      <w:r w:rsidR="002F2149">
        <w:rPr>
          <w:rFonts w:cs="Calibri"/>
          <w:snapToGrid/>
          <w:szCs w:val="24"/>
          <w:lang w:val="en-US" w:eastAsia="en-AU"/>
        </w:rPr>
        <w:t xml:space="preserve">vaccine </w:t>
      </w:r>
      <w:r w:rsidRPr="008E66FF">
        <w:rPr>
          <w:rFonts w:cs="Calibri"/>
          <w:snapToGrid/>
          <w:szCs w:val="24"/>
          <w:lang w:val="en-US" w:eastAsia="en-AU"/>
        </w:rPr>
        <w:t xml:space="preserve">in the NIP should be a QIV </w:t>
      </w:r>
      <w:r w:rsidR="002F2149">
        <w:rPr>
          <w:rFonts w:cs="Calibri"/>
          <w:snapToGrid/>
          <w:szCs w:val="24"/>
          <w:lang w:val="en-US" w:eastAsia="en-AU"/>
        </w:rPr>
        <w:t xml:space="preserve">vaccine </w:t>
      </w:r>
      <w:r w:rsidRPr="008E66FF">
        <w:rPr>
          <w:rFonts w:cs="Calibri"/>
          <w:snapToGrid/>
          <w:szCs w:val="24"/>
          <w:lang w:val="en-US" w:eastAsia="en-AU"/>
        </w:rPr>
        <w:t>that is currently registered and listed on the Determination</w:t>
      </w:r>
      <w:r w:rsidR="00F07819">
        <w:rPr>
          <w:rFonts w:cs="Calibri"/>
          <w:snapToGrid/>
          <w:szCs w:val="24"/>
          <w:lang w:val="en-US" w:eastAsia="en-AU"/>
        </w:rPr>
        <w:t xml:space="preserve"> (p</w:t>
      </w:r>
      <w:r w:rsidR="006F5929">
        <w:rPr>
          <w:rFonts w:cs="Calibri"/>
          <w:snapToGrid/>
          <w:szCs w:val="24"/>
          <w:lang w:val="en-US" w:eastAsia="en-AU"/>
        </w:rPr>
        <w:t>2-3 of the ATAGI pre-submission advice</w:t>
      </w:r>
      <w:r w:rsidR="00F07819">
        <w:rPr>
          <w:rFonts w:cs="Calibri"/>
          <w:snapToGrid/>
          <w:szCs w:val="24"/>
          <w:lang w:val="en-US" w:eastAsia="en-AU"/>
        </w:rPr>
        <w:t>)</w:t>
      </w:r>
      <w:r w:rsidRPr="008E66FF">
        <w:rPr>
          <w:rFonts w:cs="Calibri"/>
          <w:snapToGrid/>
          <w:szCs w:val="24"/>
          <w:lang w:val="en-US" w:eastAsia="en-AU"/>
        </w:rPr>
        <w:t xml:space="preserve">. </w:t>
      </w:r>
      <w:r w:rsidRPr="00ED7373">
        <w:rPr>
          <w:rFonts w:cs="Calibri"/>
          <w:snapToGrid/>
          <w:szCs w:val="24"/>
          <w:lang w:val="en-US" w:eastAsia="en-AU"/>
        </w:rPr>
        <w:t>The choice of comparators was appropriate.</w:t>
      </w:r>
    </w:p>
    <w:p w:rsidR="00A17812" w:rsidRPr="001E2B5B" w:rsidRDefault="00A17812" w:rsidP="00D70714">
      <w:pPr>
        <w:pStyle w:val="ListParagraph"/>
        <w:widowControl/>
        <w:rPr>
          <w:rFonts w:asciiTheme="minorHAnsi" w:hAnsiTheme="minorHAnsi"/>
          <w:i/>
        </w:rPr>
      </w:pPr>
      <w:r w:rsidRPr="001E2B5B">
        <w:rPr>
          <w:rFonts w:asciiTheme="minorHAnsi" w:hAnsiTheme="minorHAnsi"/>
          <w:i/>
        </w:rPr>
        <w:t>For more detail on PBAC’s view, see section 7 PBAC outcome.</w:t>
      </w:r>
    </w:p>
    <w:p w:rsidR="00684833" w:rsidRPr="00882085" w:rsidRDefault="00684833" w:rsidP="00D70714">
      <w:pPr>
        <w:pStyle w:val="PBACHeading1"/>
        <w:numPr>
          <w:ilvl w:val="0"/>
          <w:numId w:val="2"/>
        </w:numPr>
        <w:spacing w:after="120"/>
        <w:outlineLvl w:val="0"/>
      </w:pPr>
      <w:bookmarkStart w:id="15" w:name="_Toc521332853"/>
      <w:bookmarkStart w:id="16" w:name="_Toc521934341"/>
      <w:r>
        <w:lastRenderedPageBreak/>
        <w:t>C</w:t>
      </w:r>
      <w:r w:rsidRPr="00407F2D">
        <w:t>onsideration of the evidence</w:t>
      </w:r>
      <w:bookmarkEnd w:id="15"/>
      <w:bookmarkEnd w:id="16"/>
    </w:p>
    <w:p w:rsidR="004808A4" w:rsidRPr="00833FFF" w:rsidRDefault="004808A4" w:rsidP="00D70714">
      <w:pPr>
        <w:pStyle w:val="Heading2"/>
      </w:pPr>
      <w:bookmarkStart w:id="17" w:name="_Toc521332854"/>
      <w:bookmarkStart w:id="18" w:name="_Toc521934342"/>
      <w:r w:rsidRPr="00833FFF">
        <w:t>Sponsor hearing</w:t>
      </w:r>
    </w:p>
    <w:p w:rsidR="004808A4" w:rsidRPr="00325F0D" w:rsidRDefault="004808A4" w:rsidP="00D70714">
      <w:pPr>
        <w:widowControl/>
        <w:numPr>
          <w:ilvl w:val="1"/>
          <w:numId w:val="2"/>
        </w:numPr>
        <w:spacing w:after="120"/>
        <w:rPr>
          <w:rFonts w:asciiTheme="minorHAnsi" w:hAnsiTheme="minorHAnsi"/>
          <w:bCs/>
        </w:rPr>
      </w:pPr>
      <w:r w:rsidRPr="00325F0D">
        <w:rPr>
          <w:rFonts w:asciiTheme="minorHAnsi" w:hAnsiTheme="minorHAnsi"/>
          <w:bCs/>
        </w:rPr>
        <w:t>There was no hearing for this item.</w:t>
      </w:r>
    </w:p>
    <w:p w:rsidR="004808A4" w:rsidRPr="00833FFF" w:rsidRDefault="004808A4" w:rsidP="00D70714">
      <w:pPr>
        <w:pStyle w:val="Heading2"/>
      </w:pPr>
      <w:r w:rsidRPr="00833FFF">
        <w:t>Consumer comments</w:t>
      </w:r>
    </w:p>
    <w:p w:rsidR="004808A4" w:rsidRPr="00325F0D" w:rsidRDefault="004808A4" w:rsidP="00D70714">
      <w:pPr>
        <w:widowControl/>
        <w:numPr>
          <w:ilvl w:val="1"/>
          <w:numId w:val="2"/>
        </w:numPr>
        <w:spacing w:after="120"/>
        <w:rPr>
          <w:rFonts w:asciiTheme="minorHAnsi" w:hAnsiTheme="minorHAnsi"/>
          <w:bCs/>
        </w:rPr>
      </w:pPr>
      <w:r w:rsidRPr="00325F0D">
        <w:rPr>
          <w:rFonts w:asciiTheme="minorHAnsi" w:hAnsiTheme="minorHAnsi"/>
          <w:bCs/>
        </w:rPr>
        <w:t xml:space="preserve">The PBAC noted that no consumer comments </w:t>
      </w:r>
      <w:proofErr w:type="gramStart"/>
      <w:r w:rsidRPr="00325F0D">
        <w:rPr>
          <w:rFonts w:asciiTheme="minorHAnsi" w:hAnsiTheme="minorHAnsi"/>
          <w:bCs/>
        </w:rPr>
        <w:t>were received</w:t>
      </w:r>
      <w:proofErr w:type="gramEnd"/>
      <w:r w:rsidRPr="00325F0D">
        <w:rPr>
          <w:rFonts w:asciiTheme="minorHAnsi" w:hAnsiTheme="minorHAnsi"/>
          <w:bCs/>
        </w:rPr>
        <w:t xml:space="preserve"> for this item.</w:t>
      </w:r>
    </w:p>
    <w:p w:rsidR="00684833" w:rsidRPr="005D5AEC" w:rsidRDefault="00684833" w:rsidP="00D70714">
      <w:pPr>
        <w:pStyle w:val="Heading2"/>
      </w:pPr>
      <w:r w:rsidRPr="005D5AEC">
        <w:t>Clinical trials</w:t>
      </w:r>
      <w:bookmarkEnd w:id="17"/>
      <w:bookmarkEnd w:id="18"/>
    </w:p>
    <w:p w:rsidR="00684833" w:rsidRPr="008E66FF" w:rsidRDefault="00684833" w:rsidP="00D70714">
      <w:pPr>
        <w:pStyle w:val="ListParagraph"/>
        <w:widowControl/>
        <w:numPr>
          <w:ilvl w:val="1"/>
          <w:numId w:val="2"/>
        </w:numPr>
      </w:pPr>
      <w:r w:rsidRPr="008E66FF">
        <w:rPr>
          <w:rFonts w:cs="Calibri"/>
          <w:snapToGrid/>
          <w:szCs w:val="24"/>
          <w:lang w:val="en-US" w:eastAsia="en-AU"/>
        </w:rPr>
        <w:t xml:space="preserve">The submission was based on one head-to-head </w:t>
      </w:r>
      <w:proofErr w:type="spellStart"/>
      <w:r w:rsidRPr="008E66FF">
        <w:rPr>
          <w:rFonts w:cs="Calibri"/>
          <w:snapToGrid/>
          <w:szCs w:val="24"/>
          <w:lang w:val="en-US" w:eastAsia="en-AU"/>
        </w:rPr>
        <w:t>randomised</w:t>
      </w:r>
      <w:proofErr w:type="spellEnd"/>
      <w:r w:rsidRPr="008E66FF">
        <w:rPr>
          <w:rFonts w:cs="Calibri"/>
          <w:snapToGrid/>
          <w:szCs w:val="24"/>
          <w:lang w:val="en-US" w:eastAsia="en-AU"/>
        </w:rPr>
        <w:t xml:space="preserve"> trial comparing Afluria Quad to </w:t>
      </w:r>
      <w:proofErr w:type="spellStart"/>
      <w:r w:rsidRPr="008E66FF">
        <w:rPr>
          <w:rFonts w:cs="Calibri"/>
          <w:snapToGrid/>
          <w:szCs w:val="24"/>
          <w:lang w:val="en-US" w:eastAsia="en-AU"/>
        </w:rPr>
        <w:t>Fluarix</w:t>
      </w:r>
      <w:proofErr w:type="spellEnd"/>
      <w:r w:rsidRPr="008E66FF">
        <w:rPr>
          <w:rFonts w:cs="Calibri"/>
          <w:snapToGrid/>
          <w:szCs w:val="24"/>
          <w:lang w:val="en-US" w:eastAsia="en-AU"/>
        </w:rPr>
        <w:t xml:space="preserve"> Tetra: CSLCT-QIV-13-02 (</w:t>
      </w:r>
      <w:proofErr w:type="gramStart"/>
      <w:r w:rsidRPr="008E66FF">
        <w:rPr>
          <w:rFonts w:cs="Calibri"/>
          <w:snapToGrid/>
          <w:szCs w:val="24"/>
          <w:lang w:val="en-US" w:eastAsia="en-AU"/>
        </w:rPr>
        <w:t>hereon referred</w:t>
      </w:r>
      <w:proofErr w:type="gramEnd"/>
      <w:r w:rsidRPr="008E66FF">
        <w:rPr>
          <w:rFonts w:cs="Calibri"/>
          <w:snapToGrid/>
          <w:szCs w:val="24"/>
          <w:lang w:val="en-US" w:eastAsia="en-AU"/>
        </w:rPr>
        <w:t xml:space="preserve"> to as </w:t>
      </w:r>
      <w:r w:rsidR="009E5278">
        <w:rPr>
          <w:rFonts w:cs="Calibri"/>
          <w:snapToGrid/>
          <w:szCs w:val="24"/>
          <w:lang w:val="en-US" w:eastAsia="en-AU"/>
        </w:rPr>
        <w:t xml:space="preserve">trial </w:t>
      </w:r>
      <w:r w:rsidRPr="008E66FF">
        <w:rPr>
          <w:rFonts w:cs="Calibri"/>
          <w:snapToGrid/>
          <w:szCs w:val="24"/>
          <w:lang w:val="en-US" w:eastAsia="en-AU"/>
        </w:rPr>
        <w:t>QIV</w:t>
      </w:r>
      <w:r w:rsidR="009E5278">
        <w:rPr>
          <w:rFonts w:cs="Calibri"/>
          <w:snapToGrid/>
          <w:szCs w:val="24"/>
          <w:lang w:val="en-US" w:eastAsia="en-AU"/>
        </w:rPr>
        <w:noBreakHyphen/>
      </w:r>
      <w:r w:rsidRPr="008E66FF">
        <w:rPr>
          <w:rFonts w:cs="Calibri"/>
          <w:snapToGrid/>
          <w:szCs w:val="24"/>
          <w:lang w:val="en-US" w:eastAsia="en-AU"/>
        </w:rPr>
        <w:t>13</w:t>
      </w:r>
      <w:r w:rsidR="009E5278">
        <w:rPr>
          <w:rFonts w:cs="Calibri"/>
          <w:snapToGrid/>
          <w:szCs w:val="24"/>
          <w:lang w:val="en-US" w:eastAsia="en-AU"/>
        </w:rPr>
        <w:noBreakHyphen/>
      </w:r>
      <w:r w:rsidRPr="008E66FF">
        <w:rPr>
          <w:rFonts w:cs="Calibri"/>
          <w:snapToGrid/>
          <w:szCs w:val="24"/>
          <w:lang w:val="en-US" w:eastAsia="en-AU"/>
        </w:rPr>
        <w:t>02). A claim of non</w:t>
      </w:r>
      <w:r w:rsidR="009421DD">
        <w:rPr>
          <w:rFonts w:cs="Calibri"/>
          <w:snapToGrid/>
          <w:szCs w:val="24"/>
          <w:lang w:val="en-US" w:eastAsia="en-AU"/>
        </w:rPr>
        <w:t>-</w:t>
      </w:r>
      <w:r w:rsidRPr="008E66FF">
        <w:rPr>
          <w:rFonts w:cs="Calibri"/>
          <w:snapToGrid/>
          <w:szCs w:val="24"/>
          <w:lang w:val="en-US" w:eastAsia="en-AU"/>
        </w:rPr>
        <w:t xml:space="preserve">inferiority </w:t>
      </w:r>
      <w:proofErr w:type="gramStart"/>
      <w:r w:rsidRPr="008E66FF">
        <w:rPr>
          <w:rFonts w:cs="Calibri"/>
          <w:snapToGrid/>
          <w:szCs w:val="24"/>
          <w:lang w:val="en-US" w:eastAsia="en-AU"/>
        </w:rPr>
        <w:t>was made</w:t>
      </w:r>
      <w:proofErr w:type="gramEnd"/>
      <w:r w:rsidRPr="008E66FF">
        <w:rPr>
          <w:rFonts w:cs="Calibri"/>
          <w:snapToGrid/>
          <w:szCs w:val="24"/>
          <w:lang w:val="en-US" w:eastAsia="en-AU"/>
        </w:rPr>
        <w:t xml:space="preserve"> on the outcomes of immunogenicity and safety. </w:t>
      </w:r>
      <w:r w:rsidR="00576EDC" w:rsidRPr="00ED7373">
        <w:t xml:space="preserve">The PBAC has previously accepted surrogate outcomes (e.g. </w:t>
      </w:r>
      <w:proofErr w:type="spellStart"/>
      <w:r w:rsidR="00576EDC" w:rsidRPr="00ED7373">
        <w:t>haemagglutination</w:t>
      </w:r>
      <w:proofErr w:type="spellEnd"/>
      <w:r w:rsidR="00576EDC" w:rsidRPr="00ED7373">
        <w:t xml:space="preserve"> antibody geometric mean titre and seroconversion rate) for the assessment of influenza vaccines.</w:t>
      </w:r>
    </w:p>
    <w:p w:rsidR="00684833" w:rsidRPr="00B50DB8" w:rsidRDefault="00684833" w:rsidP="00D70714">
      <w:pPr>
        <w:pStyle w:val="ListParagraph"/>
        <w:widowControl/>
        <w:numPr>
          <w:ilvl w:val="1"/>
          <w:numId w:val="2"/>
        </w:numPr>
      </w:pPr>
      <w:r>
        <w:rPr>
          <w:rFonts w:cs="Calibri"/>
          <w:snapToGrid/>
          <w:szCs w:val="24"/>
          <w:lang w:val="en-US" w:eastAsia="en-AU"/>
        </w:rPr>
        <w:t xml:space="preserve">Details of the trials presented in the submission </w:t>
      </w:r>
      <w:proofErr w:type="gramStart"/>
      <w:r>
        <w:rPr>
          <w:rFonts w:cs="Calibri"/>
          <w:snapToGrid/>
          <w:szCs w:val="24"/>
          <w:lang w:val="en-US" w:eastAsia="en-AU"/>
        </w:rPr>
        <w:t>are provided</w:t>
      </w:r>
      <w:proofErr w:type="gramEnd"/>
      <w:r>
        <w:rPr>
          <w:rFonts w:cs="Calibri"/>
          <w:snapToGrid/>
          <w:szCs w:val="24"/>
          <w:lang w:val="en-US" w:eastAsia="en-AU"/>
        </w:rPr>
        <w:t xml:space="preserve"> in </w:t>
      </w:r>
      <w:r w:rsidR="009B4F38">
        <w:rPr>
          <w:rFonts w:cs="Calibri"/>
          <w:snapToGrid/>
          <w:szCs w:val="24"/>
          <w:lang w:val="en-US" w:eastAsia="en-AU"/>
        </w:rPr>
        <w:t>Table 2</w:t>
      </w:r>
      <w:r w:rsidR="00206D1F">
        <w:rPr>
          <w:rFonts w:cs="Calibri"/>
          <w:snapToGrid/>
          <w:szCs w:val="24"/>
          <w:lang w:val="en-US" w:eastAsia="en-AU"/>
        </w:rPr>
        <w:t>.</w:t>
      </w:r>
    </w:p>
    <w:p w:rsidR="00684833" w:rsidRPr="008E0D3C" w:rsidRDefault="00684833" w:rsidP="00D70714">
      <w:pPr>
        <w:keepNext/>
        <w:widowControl/>
        <w:rPr>
          <w:rStyle w:val="CommentReference"/>
        </w:rPr>
      </w:pPr>
      <w:r>
        <w:rPr>
          <w:rStyle w:val="CommentReference"/>
        </w:rPr>
        <w:t>Table 2</w:t>
      </w:r>
      <w:r w:rsidRPr="008E0D3C">
        <w:rPr>
          <w:rStyle w:val="CommentReference"/>
        </w:rPr>
        <w:t>:</w:t>
      </w:r>
      <w:r w:rsidR="00ED14C5">
        <w:rPr>
          <w:rStyle w:val="CommentReference"/>
        </w:rPr>
        <w:t xml:space="preserve"> </w:t>
      </w:r>
      <w:r w:rsidRPr="008E0D3C">
        <w:rPr>
          <w:rStyle w:val="CommentReference"/>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rials and associated reports presented in the submission"/>
      </w:tblPr>
      <w:tblGrid>
        <w:gridCol w:w="1434"/>
        <w:gridCol w:w="5771"/>
        <w:gridCol w:w="1812"/>
      </w:tblGrid>
      <w:tr w:rsidR="00684833" w:rsidRPr="00B41614" w:rsidTr="00AF0F5A">
        <w:trPr>
          <w:tblHeader/>
        </w:trPr>
        <w:tc>
          <w:tcPr>
            <w:tcW w:w="795" w:type="pct"/>
            <w:vAlign w:val="center"/>
          </w:tcPr>
          <w:p w:rsidR="00684833" w:rsidRPr="00B41614" w:rsidRDefault="00684833" w:rsidP="00D70714">
            <w:pPr>
              <w:pStyle w:val="Tabletext"/>
              <w:keepNext/>
              <w:rPr>
                <w:b/>
              </w:rPr>
            </w:pPr>
            <w:r w:rsidRPr="00B41614">
              <w:rPr>
                <w:b/>
              </w:rPr>
              <w:t>Trial ID</w:t>
            </w:r>
          </w:p>
        </w:tc>
        <w:tc>
          <w:tcPr>
            <w:tcW w:w="3200" w:type="pct"/>
            <w:vAlign w:val="center"/>
          </w:tcPr>
          <w:p w:rsidR="00684833" w:rsidRPr="00B41614" w:rsidRDefault="00684833" w:rsidP="00D70714">
            <w:pPr>
              <w:pStyle w:val="Tabletext"/>
              <w:keepNext/>
              <w:jc w:val="center"/>
              <w:rPr>
                <w:b/>
              </w:rPr>
            </w:pPr>
            <w:r w:rsidRPr="00B41614">
              <w:rPr>
                <w:b/>
              </w:rPr>
              <w:t>Protocol title/ Publication title</w:t>
            </w:r>
          </w:p>
        </w:tc>
        <w:tc>
          <w:tcPr>
            <w:tcW w:w="1005" w:type="pct"/>
            <w:vAlign w:val="center"/>
          </w:tcPr>
          <w:p w:rsidR="00684833" w:rsidRPr="00B41614" w:rsidRDefault="00684833" w:rsidP="00D70714">
            <w:pPr>
              <w:pStyle w:val="Tabletext"/>
              <w:keepNext/>
              <w:jc w:val="center"/>
              <w:rPr>
                <w:b/>
              </w:rPr>
            </w:pPr>
            <w:r w:rsidRPr="00B41614">
              <w:rPr>
                <w:b/>
              </w:rPr>
              <w:t>Publication citation</w:t>
            </w:r>
          </w:p>
        </w:tc>
      </w:tr>
      <w:tr w:rsidR="00684833" w:rsidRPr="00CB38A8" w:rsidTr="00AF0F5A">
        <w:tc>
          <w:tcPr>
            <w:tcW w:w="795" w:type="pct"/>
            <w:tcBorders>
              <w:bottom w:val="nil"/>
            </w:tcBorders>
          </w:tcPr>
          <w:p w:rsidR="00684833" w:rsidRPr="001478EB" w:rsidRDefault="00684833" w:rsidP="00D70714">
            <w:pPr>
              <w:pStyle w:val="Tabletext"/>
              <w:keepNext/>
              <w:rPr>
                <w:lang w:bidi="en-US"/>
              </w:rPr>
            </w:pPr>
            <w:r w:rsidRPr="001478EB">
              <w:rPr>
                <w:lang w:bidi="en-US"/>
              </w:rPr>
              <w:t>CSLCT-QIV-13-02</w:t>
            </w:r>
          </w:p>
          <w:p w:rsidR="00684833" w:rsidRPr="00CB38A8" w:rsidRDefault="00684833" w:rsidP="00D70714">
            <w:pPr>
              <w:pStyle w:val="Tabletext"/>
              <w:keepNext/>
              <w:rPr>
                <w:rFonts w:ascii="Times" w:hAnsi="Times"/>
              </w:rPr>
            </w:pPr>
            <w:r w:rsidRPr="001478EB">
              <w:rPr>
                <w:lang w:bidi="en-US"/>
              </w:rPr>
              <w:t>Referred to as QIV-13-02</w:t>
            </w:r>
          </w:p>
        </w:tc>
        <w:tc>
          <w:tcPr>
            <w:tcW w:w="3200" w:type="pct"/>
            <w:tcBorders>
              <w:bottom w:val="nil"/>
            </w:tcBorders>
          </w:tcPr>
          <w:p w:rsidR="00684833" w:rsidRDefault="00684833" w:rsidP="00D70714">
            <w:pPr>
              <w:pStyle w:val="Tabletext"/>
              <w:keepNext/>
              <w:rPr>
                <w:szCs w:val="18"/>
              </w:rPr>
            </w:pPr>
            <w:r w:rsidRPr="001478EB">
              <w:rPr>
                <w:szCs w:val="18"/>
              </w:rPr>
              <w:t xml:space="preserve">A Phase 3, randomised, </w:t>
            </w:r>
            <w:proofErr w:type="spellStart"/>
            <w:r w:rsidRPr="001478EB">
              <w:rPr>
                <w:szCs w:val="18"/>
              </w:rPr>
              <w:t>multicenter</w:t>
            </w:r>
            <w:proofErr w:type="spellEnd"/>
            <w:r w:rsidRPr="001478EB">
              <w:rPr>
                <w:szCs w:val="18"/>
              </w:rPr>
              <w:t xml:space="preserve">, observer-blinded, non-inferiority study to evaluate the immunogenicity and safety of bioCSL </w:t>
            </w:r>
            <w:proofErr w:type="spellStart"/>
            <w:r w:rsidRPr="001478EB">
              <w:rPr>
                <w:szCs w:val="18"/>
              </w:rPr>
              <w:t>quadrivalent</w:t>
            </w:r>
            <w:proofErr w:type="spellEnd"/>
            <w:r w:rsidRPr="001478EB">
              <w:rPr>
                <w:szCs w:val="18"/>
              </w:rPr>
              <w:t xml:space="preserve"> inactivated influenza virus vaccine (bioCSL QIV) with a US-licensed 2015-2016 </w:t>
            </w:r>
            <w:proofErr w:type="spellStart"/>
            <w:r w:rsidRPr="001478EB">
              <w:rPr>
                <w:szCs w:val="18"/>
              </w:rPr>
              <w:t>quadrivalent</w:t>
            </w:r>
            <w:proofErr w:type="spellEnd"/>
            <w:r w:rsidRPr="001478EB">
              <w:rPr>
                <w:szCs w:val="18"/>
              </w:rPr>
              <w:t xml:space="preserve"> inactivated comparator influenza vaccine (comparator QIV) in a </w:t>
            </w:r>
            <w:proofErr w:type="spellStart"/>
            <w:r w:rsidRPr="001478EB">
              <w:rPr>
                <w:szCs w:val="18"/>
              </w:rPr>
              <w:t>pediatric</w:t>
            </w:r>
            <w:proofErr w:type="spellEnd"/>
            <w:r w:rsidRPr="001478EB">
              <w:rPr>
                <w:szCs w:val="18"/>
              </w:rPr>
              <w:t xml:space="preserve"> population 5 through 17 years of age</w:t>
            </w:r>
            <w:r>
              <w:rPr>
                <w:szCs w:val="18"/>
              </w:rPr>
              <w:t>.</w:t>
            </w:r>
          </w:p>
          <w:p w:rsidR="00515D9A" w:rsidRPr="00AB6248" w:rsidRDefault="00515D9A" w:rsidP="00D70714">
            <w:pPr>
              <w:pStyle w:val="Tabletext"/>
              <w:keepNext/>
              <w:rPr>
                <w:szCs w:val="18"/>
              </w:rPr>
            </w:pPr>
          </w:p>
        </w:tc>
        <w:tc>
          <w:tcPr>
            <w:tcW w:w="1005" w:type="pct"/>
            <w:tcBorders>
              <w:bottom w:val="nil"/>
            </w:tcBorders>
          </w:tcPr>
          <w:p w:rsidR="00684833" w:rsidRPr="00CB38A8" w:rsidRDefault="00684833" w:rsidP="00D70714">
            <w:pPr>
              <w:pStyle w:val="Tabletext"/>
              <w:keepNext/>
              <w:rPr>
                <w:rFonts w:ascii="Times" w:hAnsi="Times"/>
              </w:rPr>
            </w:pPr>
            <w:r>
              <w:t>October 2016</w:t>
            </w:r>
          </w:p>
        </w:tc>
      </w:tr>
      <w:tr w:rsidR="00684833" w:rsidRPr="00CB38A8" w:rsidTr="00AF0F5A">
        <w:tc>
          <w:tcPr>
            <w:tcW w:w="795" w:type="pct"/>
            <w:tcBorders>
              <w:top w:val="nil"/>
              <w:bottom w:val="single" w:sz="4" w:space="0" w:color="auto"/>
            </w:tcBorders>
          </w:tcPr>
          <w:p w:rsidR="00684833" w:rsidRPr="00CB38A8" w:rsidRDefault="00684833" w:rsidP="00D70714">
            <w:pPr>
              <w:pStyle w:val="Tabletext"/>
              <w:keepNext/>
            </w:pPr>
          </w:p>
        </w:tc>
        <w:tc>
          <w:tcPr>
            <w:tcW w:w="3200" w:type="pct"/>
            <w:tcBorders>
              <w:top w:val="nil"/>
              <w:bottom w:val="single" w:sz="4" w:space="0" w:color="auto"/>
            </w:tcBorders>
          </w:tcPr>
          <w:p w:rsidR="00684833" w:rsidRPr="00E34A35" w:rsidRDefault="00684833" w:rsidP="00D70714">
            <w:pPr>
              <w:pStyle w:val="Tabletext"/>
              <w:keepNext/>
              <w:rPr>
                <w:szCs w:val="18"/>
                <w:lang w:eastAsia="en-AU"/>
              </w:rPr>
            </w:pPr>
            <w:r w:rsidRPr="001478EB">
              <w:rPr>
                <w:szCs w:val="18"/>
                <w:lang w:eastAsia="en-AU"/>
              </w:rPr>
              <w:t xml:space="preserve">Airey J, Albano FR, </w:t>
            </w:r>
            <w:proofErr w:type="spellStart"/>
            <w:r w:rsidRPr="001478EB">
              <w:rPr>
                <w:szCs w:val="18"/>
                <w:lang w:eastAsia="en-AU"/>
              </w:rPr>
              <w:t>Sawlwin</w:t>
            </w:r>
            <w:proofErr w:type="spellEnd"/>
            <w:r w:rsidRPr="001478EB">
              <w:rPr>
                <w:szCs w:val="18"/>
                <w:lang w:eastAsia="en-AU"/>
              </w:rPr>
              <w:t xml:space="preserve"> DC, Jones AG, Formica N, </w:t>
            </w:r>
            <w:proofErr w:type="spellStart"/>
            <w:r w:rsidRPr="001478EB">
              <w:rPr>
                <w:szCs w:val="18"/>
                <w:lang w:eastAsia="en-AU"/>
              </w:rPr>
              <w:t>Matassa</w:t>
            </w:r>
            <w:proofErr w:type="spellEnd"/>
            <w:r w:rsidRPr="001478EB">
              <w:rPr>
                <w:szCs w:val="18"/>
                <w:lang w:eastAsia="en-AU"/>
              </w:rPr>
              <w:t xml:space="preserve"> V, Leong J</w:t>
            </w:r>
            <w:r>
              <w:rPr>
                <w:szCs w:val="18"/>
                <w:lang w:eastAsia="en-AU"/>
              </w:rPr>
              <w:t>.</w:t>
            </w:r>
            <w:r w:rsidRPr="001478EB">
              <w:rPr>
                <w:rFonts w:ascii="Calibri" w:hAnsi="Calibri"/>
                <w:sz w:val="18"/>
              </w:rPr>
              <w:t xml:space="preserve"> </w:t>
            </w:r>
            <w:r w:rsidRPr="001478EB">
              <w:rPr>
                <w:szCs w:val="18"/>
                <w:lang w:eastAsia="en-AU"/>
              </w:rPr>
              <w:t xml:space="preserve">Immunogenicity and safety of a </w:t>
            </w:r>
            <w:proofErr w:type="spellStart"/>
            <w:r w:rsidRPr="001478EB">
              <w:rPr>
                <w:szCs w:val="18"/>
                <w:lang w:eastAsia="en-AU"/>
              </w:rPr>
              <w:t>quadrivalent</w:t>
            </w:r>
            <w:proofErr w:type="spellEnd"/>
            <w:r w:rsidRPr="001478EB">
              <w:rPr>
                <w:szCs w:val="18"/>
                <w:lang w:eastAsia="en-AU"/>
              </w:rPr>
              <w:t xml:space="preserve"> inactivated influenza virus vaccine compared with a comparator </w:t>
            </w:r>
            <w:proofErr w:type="spellStart"/>
            <w:r w:rsidRPr="001478EB">
              <w:rPr>
                <w:szCs w:val="18"/>
                <w:lang w:eastAsia="en-AU"/>
              </w:rPr>
              <w:t>quadrivalent</w:t>
            </w:r>
            <w:proofErr w:type="spellEnd"/>
            <w:r w:rsidRPr="001478EB">
              <w:rPr>
                <w:szCs w:val="18"/>
                <w:lang w:eastAsia="en-AU"/>
              </w:rPr>
              <w:t xml:space="preserve"> inactivated influenza vaccine in a paediatric population: A Phase 3, randomised non-inferiority study</w:t>
            </w:r>
            <w:r>
              <w:rPr>
                <w:szCs w:val="18"/>
                <w:lang w:eastAsia="en-AU"/>
              </w:rPr>
              <w:t xml:space="preserve">. </w:t>
            </w:r>
          </w:p>
        </w:tc>
        <w:tc>
          <w:tcPr>
            <w:tcW w:w="1005" w:type="pct"/>
            <w:tcBorders>
              <w:top w:val="nil"/>
              <w:bottom w:val="single" w:sz="4" w:space="0" w:color="auto"/>
            </w:tcBorders>
          </w:tcPr>
          <w:p w:rsidR="00684833" w:rsidRPr="00E34A35" w:rsidRDefault="00684833" w:rsidP="00D70714">
            <w:pPr>
              <w:pStyle w:val="Tabletext"/>
              <w:keepNext/>
              <w:rPr>
                <w:szCs w:val="18"/>
                <w:lang w:eastAsia="en-AU"/>
              </w:rPr>
            </w:pPr>
            <w:r w:rsidRPr="001478EB">
              <w:rPr>
                <w:szCs w:val="18"/>
                <w:lang w:eastAsia="en-AU"/>
              </w:rPr>
              <w:t>Vaccine 2017 35(20):2745-2752</w:t>
            </w:r>
          </w:p>
        </w:tc>
      </w:tr>
    </w:tbl>
    <w:p w:rsidR="00684833" w:rsidRDefault="00684833" w:rsidP="00D70714">
      <w:pPr>
        <w:pStyle w:val="TableFooter"/>
        <w:widowControl/>
      </w:pPr>
      <w:r>
        <w:t>Source: Table 2.4, p38 of the submission</w:t>
      </w:r>
      <w:r w:rsidR="009B4F38">
        <w:t>.</w:t>
      </w:r>
    </w:p>
    <w:p w:rsidR="00F64455" w:rsidRPr="009C1F4E" w:rsidRDefault="00F64455" w:rsidP="00D70714">
      <w:pPr>
        <w:pStyle w:val="TableFooter"/>
        <w:widowControl/>
        <w:rPr>
          <w:sz w:val="20"/>
        </w:rPr>
      </w:pPr>
    </w:p>
    <w:p w:rsidR="00684833" w:rsidRDefault="00684833" w:rsidP="00D70714">
      <w:pPr>
        <w:pStyle w:val="ListParagraph"/>
        <w:widowControl/>
        <w:numPr>
          <w:ilvl w:val="1"/>
          <w:numId w:val="2"/>
        </w:numPr>
      </w:pPr>
      <w:r w:rsidRPr="00B50DB8">
        <w:t>The key features o</w:t>
      </w:r>
      <w:r>
        <w:t>f the direct randomised trial</w:t>
      </w:r>
      <w:r w:rsidRPr="00B50DB8">
        <w:t xml:space="preserve"> are summarised in </w:t>
      </w:r>
      <w:r w:rsidR="009B4F38">
        <w:t>Table 3</w:t>
      </w:r>
      <w:r w:rsidR="00C861B8">
        <w:t>.</w:t>
      </w:r>
    </w:p>
    <w:p w:rsidR="00684833" w:rsidRPr="00E2771E" w:rsidRDefault="00684833" w:rsidP="00D70714">
      <w:pPr>
        <w:keepNext/>
        <w:widowControl/>
        <w:rPr>
          <w:rStyle w:val="CommentReference"/>
        </w:rPr>
      </w:pPr>
      <w:r>
        <w:rPr>
          <w:rStyle w:val="CommentReference"/>
        </w:rPr>
        <w:t>Table 3</w:t>
      </w:r>
      <w:r w:rsidRPr="00E2771E">
        <w:rPr>
          <w:rStyle w:val="CommentReference"/>
        </w:rPr>
        <w:t>: Key features of the included evidence</w:t>
      </w:r>
      <w:r w:rsidR="00515D9A">
        <w:rPr>
          <w:rStyle w:val="CommentReference"/>
        </w:rPr>
        <w:t xml:space="preserve"> for Afluria Quad vs. </w:t>
      </w:r>
      <w:proofErr w:type="spellStart"/>
      <w:r w:rsidR="00515D9A">
        <w:rPr>
          <w:rStyle w:val="CommentReference"/>
        </w:rPr>
        <w:t>Fluarix</w:t>
      </w:r>
      <w:proofErr w:type="spellEnd"/>
      <w:r w:rsidR="00515D9A">
        <w:rPr>
          <w:rStyle w:val="CommentReference"/>
        </w:rPr>
        <w:t xml:space="preserve"> Tetra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for Afluria Quad vs. Fluarix Tetra"/>
      </w:tblPr>
      <w:tblGrid>
        <w:gridCol w:w="1278"/>
        <w:gridCol w:w="835"/>
        <w:gridCol w:w="1567"/>
        <w:gridCol w:w="1277"/>
        <w:gridCol w:w="1982"/>
        <w:gridCol w:w="2078"/>
      </w:tblGrid>
      <w:tr w:rsidR="00684833" w:rsidRPr="00B41614" w:rsidTr="00684833">
        <w:tc>
          <w:tcPr>
            <w:tcW w:w="709" w:type="pct"/>
            <w:shd w:val="clear" w:color="auto" w:fill="auto"/>
            <w:vAlign w:val="center"/>
          </w:tcPr>
          <w:p w:rsidR="00684833" w:rsidRPr="00B41614" w:rsidRDefault="00684833" w:rsidP="00D70714">
            <w:pPr>
              <w:pStyle w:val="Tabletext"/>
              <w:keepNext/>
              <w:rPr>
                <w:b/>
                <w:lang w:val="en-US"/>
              </w:rPr>
            </w:pPr>
            <w:r w:rsidRPr="00B41614">
              <w:rPr>
                <w:b/>
                <w:lang w:val="en-US"/>
              </w:rPr>
              <w:t>Trial</w:t>
            </w:r>
          </w:p>
        </w:tc>
        <w:tc>
          <w:tcPr>
            <w:tcW w:w="463" w:type="pct"/>
            <w:shd w:val="clear" w:color="auto" w:fill="auto"/>
            <w:vAlign w:val="center"/>
          </w:tcPr>
          <w:p w:rsidR="00684833" w:rsidRPr="00B41614" w:rsidRDefault="00684833" w:rsidP="00D70714">
            <w:pPr>
              <w:pStyle w:val="Tabletext"/>
              <w:keepNext/>
              <w:jc w:val="center"/>
              <w:rPr>
                <w:b/>
                <w:lang w:val="en-US"/>
              </w:rPr>
            </w:pPr>
            <w:r w:rsidRPr="00B41614">
              <w:rPr>
                <w:b/>
                <w:lang w:val="en-US"/>
              </w:rPr>
              <w:t>N</w:t>
            </w:r>
          </w:p>
        </w:tc>
        <w:tc>
          <w:tcPr>
            <w:tcW w:w="869" w:type="pct"/>
            <w:shd w:val="clear" w:color="auto" w:fill="auto"/>
            <w:vAlign w:val="center"/>
          </w:tcPr>
          <w:p w:rsidR="00684833" w:rsidRPr="00B41614" w:rsidRDefault="00684833" w:rsidP="00D70714">
            <w:pPr>
              <w:pStyle w:val="Tabletext"/>
              <w:keepNext/>
              <w:jc w:val="center"/>
              <w:rPr>
                <w:b/>
                <w:lang w:val="en-US"/>
              </w:rPr>
            </w:pPr>
            <w:r w:rsidRPr="00B41614">
              <w:rPr>
                <w:b/>
                <w:lang w:val="en-US"/>
              </w:rPr>
              <w:t>Design/ duration</w:t>
            </w:r>
          </w:p>
        </w:tc>
        <w:tc>
          <w:tcPr>
            <w:tcW w:w="708" w:type="pct"/>
            <w:shd w:val="clear" w:color="auto" w:fill="auto"/>
            <w:vAlign w:val="center"/>
          </w:tcPr>
          <w:p w:rsidR="00684833" w:rsidRPr="00B41614" w:rsidRDefault="00684833" w:rsidP="00D70714">
            <w:pPr>
              <w:pStyle w:val="Tabletext"/>
              <w:keepNext/>
              <w:jc w:val="center"/>
              <w:rPr>
                <w:b/>
                <w:lang w:val="en-US"/>
              </w:rPr>
            </w:pPr>
            <w:r w:rsidRPr="00B41614">
              <w:rPr>
                <w:b/>
                <w:lang w:val="en-US"/>
              </w:rPr>
              <w:t>Risk of bias</w:t>
            </w:r>
          </w:p>
        </w:tc>
        <w:tc>
          <w:tcPr>
            <w:tcW w:w="1099" w:type="pct"/>
            <w:shd w:val="clear" w:color="auto" w:fill="auto"/>
            <w:vAlign w:val="center"/>
          </w:tcPr>
          <w:p w:rsidR="00684833" w:rsidRPr="00B41614" w:rsidRDefault="00684833" w:rsidP="00D70714">
            <w:pPr>
              <w:pStyle w:val="Tabletext"/>
              <w:keepNext/>
              <w:jc w:val="center"/>
              <w:rPr>
                <w:b/>
                <w:lang w:val="en-US"/>
              </w:rPr>
            </w:pPr>
            <w:r w:rsidRPr="00B41614">
              <w:rPr>
                <w:b/>
                <w:lang w:val="en-US"/>
              </w:rPr>
              <w:t>Patient population</w:t>
            </w:r>
          </w:p>
        </w:tc>
        <w:tc>
          <w:tcPr>
            <w:tcW w:w="1152" w:type="pct"/>
            <w:shd w:val="clear" w:color="auto" w:fill="auto"/>
            <w:vAlign w:val="center"/>
          </w:tcPr>
          <w:p w:rsidR="00684833" w:rsidRPr="00B41614" w:rsidRDefault="00684833" w:rsidP="00D70714">
            <w:pPr>
              <w:pStyle w:val="Tabletext"/>
              <w:keepNext/>
              <w:jc w:val="center"/>
              <w:rPr>
                <w:b/>
                <w:lang w:val="en-US"/>
              </w:rPr>
            </w:pPr>
            <w:r w:rsidRPr="00B41614">
              <w:rPr>
                <w:b/>
                <w:lang w:val="en-US"/>
              </w:rPr>
              <w:t>Outcome(s)</w:t>
            </w:r>
          </w:p>
        </w:tc>
      </w:tr>
      <w:tr w:rsidR="00684833" w:rsidRPr="00E2771E" w:rsidTr="00684833">
        <w:tc>
          <w:tcPr>
            <w:tcW w:w="709" w:type="pct"/>
            <w:shd w:val="clear" w:color="auto" w:fill="auto"/>
            <w:vAlign w:val="center"/>
          </w:tcPr>
          <w:p w:rsidR="00684833" w:rsidRPr="00E2771E" w:rsidRDefault="00684833" w:rsidP="00D70714">
            <w:pPr>
              <w:pStyle w:val="Tabletext"/>
              <w:keepNext/>
              <w:rPr>
                <w:lang w:val="en-US"/>
              </w:rPr>
            </w:pPr>
            <w:r>
              <w:rPr>
                <w:lang w:val="en-US"/>
              </w:rPr>
              <w:t>QIV-13-02</w:t>
            </w:r>
          </w:p>
        </w:tc>
        <w:tc>
          <w:tcPr>
            <w:tcW w:w="463" w:type="pct"/>
            <w:shd w:val="clear" w:color="auto" w:fill="auto"/>
            <w:vAlign w:val="center"/>
          </w:tcPr>
          <w:p w:rsidR="00684833" w:rsidRPr="00E2771E" w:rsidRDefault="00684833" w:rsidP="00D70714">
            <w:pPr>
              <w:pStyle w:val="Tabletext"/>
              <w:keepNext/>
              <w:jc w:val="center"/>
              <w:rPr>
                <w:lang w:val="en-US"/>
              </w:rPr>
            </w:pPr>
            <w:r>
              <w:rPr>
                <w:lang w:val="en-US"/>
              </w:rPr>
              <w:t>1709 (FAS)</w:t>
            </w:r>
          </w:p>
        </w:tc>
        <w:tc>
          <w:tcPr>
            <w:tcW w:w="869" w:type="pct"/>
            <w:shd w:val="clear" w:color="auto" w:fill="auto"/>
            <w:vAlign w:val="center"/>
          </w:tcPr>
          <w:p w:rsidR="00684833" w:rsidRPr="00E2771E" w:rsidRDefault="00684833" w:rsidP="00D70714">
            <w:pPr>
              <w:pStyle w:val="Tabletext"/>
              <w:keepNext/>
              <w:jc w:val="center"/>
              <w:rPr>
                <w:lang w:val="en-US"/>
              </w:rPr>
            </w:pPr>
            <w:r w:rsidRPr="00E2771E">
              <w:rPr>
                <w:lang w:val="en-US"/>
              </w:rPr>
              <w:t>R, DB</w:t>
            </w:r>
            <w:r>
              <w:rPr>
                <w:lang w:val="en-US"/>
              </w:rPr>
              <w:t>, MC</w:t>
            </w:r>
          </w:p>
          <w:p w:rsidR="00684833" w:rsidRPr="00E2771E" w:rsidRDefault="00684833" w:rsidP="00D70714">
            <w:pPr>
              <w:pStyle w:val="Tabletext"/>
              <w:keepNext/>
              <w:jc w:val="center"/>
              <w:rPr>
                <w:lang w:val="en-US"/>
              </w:rPr>
            </w:pPr>
            <w:r w:rsidRPr="00E2771E">
              <w:rPr>
                <w:lang w:val="en-US"/>
              </w:rPr>
              <w:t xml:space="preserve">6 </w:t>
            </w:r>
            <w:proofErr w:type="spellStart"/>
            <w:r w:rsidRPr="00E2771E">
              <w:rPr>
                <w:lang w:val="en-US"/>
              </w:rPr>
              <w:t>mths</w:t>
            </w:r>
            <w:proofErr w:type="spellEnd"/>
          </w:p>
        </w:tc>
        <w:tc>
          <w:tcPr>
            <w:tcW w:w="708" w:type="pct"/>
            <w:shd w:val="clear" w:color="auto" w:fill="auto"/>
            <w:vAlign w:val="center"/>
          </w:tcPr>
          <w:p w:rsidR="00684833" w:rsidRPr="00E2771E" w:rsidRDefault="00684833" w:rsidP="00D70714">
            <w:pPr>
              <w:pStyle w:val="Tabletext"/>
              <w:keepNext/>
              <w:jc w:val="center"/>
              <w:rPr>
                <w:lang w:val="en-US"/>
              </w:rPr>
            </w:pPr>
            <w:r w:rsidRPr="00E2771E">
              <w:rPr>
                <w:lang w:val="en-US"/>
              </w:rPr>
              <w:t>Low</w:t>
            </w:r>
          </w:p>
        </w:tc>
        <w:tc>
          <w:tcPr>
            <w:tcW w:w="1099" w:type="pct"/>
            <w:shd w:val="clear" w:color="auto" w:fill="auto"/>
            <w:vAlign w:val="center"/>
          </w:tcPr>
          <w:p w:rsidR="00684833" w:rsidRPr="00E2771E" w:rsidRDefault="00F64455" w:rsidP="00D70714">
            <w:pPr>
              <w:pStyle w:val="Tabletext"/>
              <w:keepNext/>
              <w:jc w:val="center"/>
              <w:rPr>
                <w:lang w:val="en-US"/>
              </w:rPr>
            </w:pPr>
            <w:r>
              <w:rPr>
                <w:lang w:val="en-US"/>
              </w:rPr>
              <w:t>Healthy c</w:t>
            </w:r>
            <w:r w:rsidR="00684833">
              <w:rPr>
                <w:lang w:val="en-US"/>
              </w:rPr>
              <w:t>hildren 5-17 years</w:t>
            </w:r>
          </w:p>
        </w:tc>
        <w:tc>
          <w:tcPr>
            <w:tcW w:w="1152" w:type="pct"/>
            <w:shd w:val="clear" w:color="auto" w:fill="auto"/>
            <w:vAlign w:val="center"/>
          </w:tcPr>
          <w:p w:rsidR="00684833" w:rsidRPr="00E2771E" w:rsidRDefault="00684833" w:rsidP="00D70714">
            <w:pPr>
              <w:pStyle w:val="Tabletext"/>
              <w:keepNext/>
              <w:jc w:val="center"/>
              <w:rPr>
                <w:lang w:val="en-US"/>
              </w:rPr>
            </w:pPr>
            <w:r>
              <w:rPr>
                <w:lang w:val="en-US"/>
              </w:rPr>
              <w:t>GMT, SCR, Safety</w:t>
            </w:r>
          </w:p>
        </w:tc>
      </w:tr>
    </w:tbl>
    <w:p w:rsidR="00684833" w:rsidRPr="0072416F" w:rsidRDefault="00684833" w:rsidP="00D70714">
      <w:pPr>
        <w:pStyle w:val="TableFooter"/>
        <w:widowControl/>
      </w:pPr>
      <w:r>
        <w:t xml:space="preserve">FAS: full analysis set; </w:t>
      </w:r>
      <w:r w:rsidRPr="0072416F">
        <w:t>D</w:t>
      </w:r>
      <w:r>
        <w:t>B:</w:t>
      </w:r>
      <w:r w:rsidR="00515D9A">
        <w:t xml:space="preserve"> </w:t>
      </w:r>
      <w:r>
        <w:t>double blind; R:</w:t>
      </w:r>
      <w:r w:rsidR="00515D9A">
        <w:t xml:space="preserve"> </w:t>
      </w:r>
      <w:r>
        <w:t>randomised; MC: multi centre; GMT: geometric mean titre; SCR: seroconversion rate</w:t>
      </w:r>
    </w:p>
    <w:p w:rsidR="00684833" w:rsidRDefault="00684833" w:rsidP="00D70714">
      <w:pPr>
        <w:pStyle w:val="TableFooter"/>
        <w:widowControl/>
      </w:pPr>
      <w:r>
        <w:t>Source: Compiled during the evaluation</w:t>
      </w:r>
      <w:r w:rsidR="009B4F38">
        <w:t>.</w:t>
      </w:r>
    </w:p>
    <w:p w:rsidR="00F64455" w:rsidRPr="009C1F4E" w:rsidRDefault="00F64455" w:rsidP="00D70714">
      <w:pPr>
        <w:pStyle w:val="TableFooter"/>
        <w:widowControl/>
        <w:rPr>
          <w:sz w:val="20"/>
        </w:rPr>
      </w:pPr>
    </w:p>
    <w:p w:rsidR="00114DA5" w:rsidRPr="00ED7373" w:rsidRDefault="00F64455" w:rsidP="00D70714">
      <w:pPr>
        <w:pStyle w:val="ListParagraph"/>
        <w:widowControl/>
        <w:numPr>
          <w:ilvl w:val="1"/>
          <w:numId w:val="2"/>
        </w:numPr>
      </w:pPr>
      <w:r w:rsidRPr="00ED7373">
        <w:t xml:space="preserve">Trial QIV-13-02 either did not conduct subgroup analyses on children considered at increased risk of complications, or excluded them depending on the condition. Trial QIV-13-02 also did not include </w:t>
      </w:r>
      <w:r w:rsidR="00495896">
        <w:rPr>
          <w:rFonts w:asciiTheme="minorHAnsi" w:hAnsiTheme="minorHAnsi" w:cstheme="minorHAnsi"/>
          <w:bCs/>
          <w:szCs w:val="24"/>
        </w:rPr>
        <w:t xml:space="preserve">Aboriginal and/or Torres Strait Islander </w:t>
      </w:r>
      <w:r w:rsidRPr="00ED7373">
        <w:t>children, and excluded pregnant women from the trial.</w:t>
      </w:r>
      <w:r w:rsidR="002160A1">
        <w:t xml:space="preserve"> The ATAGI pre-submission advice stated that based on the non-inferior immunogenicity in healthy children, the protection provided in children with underlying comorbidities would be expected to be similar to that achieved with other NIP funded QIVs in this population (Pre-submission advice, P4).</w:t>
      </w:r>
    </w:p>
    <w:p w:rsidR="00684833" w:rsidRPr="00ED7373" w:rsidRDefault="00684833" w:rsidP="00D70714">
      <w:pPr>
        <w:pStyle w:val="ListParagraph"/>
        <w:widowControl/>
        <w:numPr>
          <w:ilvl w:val="1"/>
          <w:numId w:val="2"/>
        </w:numPr>
      </w:pPr>
      <w:r w:rsidRPr="00ED7373">
        <w:lastRenderedPageBreak/>
        <w:t xml:space="preserve">QIV-13-02 </w:t>
      </w:r>
      <w:proofErr w:type="gramStart"/>
      <w:r w:rsidRPr="00ED7373">
        <w:t xml:space="preserve">was </w:t>
      </w:r>
      <w:r w:rsidR="00F64455" w:rsidRPr="00ED7373">
        <w:t xml:space="preserve">only </w:t>
      </w:r>
      <w:r w:rsidRPr="00ED7373">
        <w:t>conducted</w:t>
      </w:r>
      <w:proofErr w:type="gramEnd"/>
      <w:r w:rsidRPr="00ED7373">
        <w:t xml:space="preserve"> </w:t>
      </w:r>
      <w:r w:rsidR="00F64455" w:rsidRPr="00ED7373">
        <w:t xml:space="preserve">over a 6-month period during the 2014/15 </w:t>
      </w:r>
      <w:r w:rsidRPr="00ED7373">
        <w:t>northern hemisphere</w:t>
      </w:r>
      <w:r w:rsidR="00F64455" w:rsidRPr="00ED7373">
        <w:t xml:space="preserve"> influenza season</w:t>
      </w:r>
      <w:r w:rsidRPr="00ED7373">
        <w:t>.</w:t>
      </w:r>
      <w:r w:rsidR="00F64455" w:rsidRPr="00ED7373">
        <w:t xml:space="preserve"> The strains included in QIVs differ year to year, as do the prevalent strains in the community. The immunogenicity results during one season may not reflect the immunogenicity of the QIVs in another season.</w:t>
      </w:r>
    </w:p>
    <w:p w:rsidR="00FF4F0B" w:rsidRDefault="00684833" w:rsidP="00D70714">
      <w:pPr>
        <w:pStyle w:val="ListParagraph"/>
        <w:widowControl/>
        <w:numPr>
          <w:ilvl w:val="1"/>
          <w:numId w:val="2"/>
        </w:numPr>
      </w:pPr>
      <w:r w:rsidRPr="00ED7373">
        <w:t xml:space="preserve">The submission did not compare </w:t>
      </w:r>
      <w:r w:rsidR="001729A1" w:rsidRPr="00ED7373">
        <w:t>Afluria Quad</w:t>
      </w:r>
      <w:r w:rsidRPr="00ED7373">
        <w:t xml:space="preserve"> with </w:t>
      </w:r>
      <w:proofErr w:type="spellStart"/>
      <w:r w:rsidR="001729A1" w:rsidRPr="00ED7373">
        <w:t>FluQuadri</w:t>
      </w:r>
      <w:proofErr w:type="spellEnd"/>
      <w:r w:rsidRPr="00ED7373">
        <w:t xml:space="preserve"> directly or indirectly.</w:t>
      </w:r>
    </w:p>
    <w:p w:rsidR="00FF4F0B" w:rsidRDefault="00FF4F0B" w:rsidP="00D70714">
      <w:pPr>
        <w:pStyle w:val="Heading2"/>
      </w:pPr>
      <w:bookmarkStart w:id="19" w:name="_Toc521332855"/>
      <w:bookmarkStart w:id="20" w:name="_Toc521934343"/>
      <w:r w:rsidRPr="00C9624D">
        <w:t>Comparative effectiveness</w:t>
      </w:r>
      <w:bookmarkEnd w:id="19"/>
      <w:bookmarkEnd w:id="20"/>
    </w:p>
    <w:p w:rsidR="004743D0" w:rsidRDefault="00684833" w:rsidP="00D70714">
      <w:pPr>
        <w:pStyle w:val="ListParagraph"/>
        <w:widowControl/>
        <w:numPr>
          <w:ilvl w:val="1"/>
          <w:numId w:val="2"/>
        </w:numPr>
      </w:pPr>
      <w:r>
        <w:t xml:space="preserve">The results for the primary outcomes of the geometric mean titre </w:t>
      </w:r>
      <w:r w:rsidR="00F07819">
        <w:t xml:space="preserve">(GMT) </w:t>
      </w:r>
      <w:r>
        <w:t>ratios and seroconversion rates</w:t>
      </w:r>
      <w:r w:rsidR="00F07819">
        <w:t xml:space="preserve"> (SCR)</w:t>
      </w:r>
      <w:r>
        <w:t xml:space="preserve"> </w:t>
      </w:r>
      <w:proofErr w:type="gramStart"/>
      <w:r>
        <w:t>are presented</w:t>
      </w:r>
      <w:proofErr w:type="gramEnd"/>
      <w:r>
        <w:t xml:space="preserve"> in </w:t>
      </w:r>
      <w:r w:rsidR="009B4F38">
        <w:t>Table 4 and Table 5</w:t>
      </w:r>
      <w:r w:rsidR="00FF4F0B">
        <w:t>.</w:t>
      </w:r>
    </w:p>
    <w:p w:rsidR="00684833" w:rsidRPr="00892A36" w:rsidRDefault="00684833" w:rsidP="00D70714">
      <w:pPr>
        <w:keepNext/>
        <w:keepLines/>
        <w:widowControl/>
        <w:rPr>
          <w:rStyle w:val="CommentReference"/>
        </w:rPr>
      </w:pPr>
      <w:r>
        <w:rPr>
          <w:rStyle w:val="CommentReference"/>
        </w:rPr>
        <w:t>Table 4:</w:t>
      </w:r>
      <w:r w:rsidRPr="00892A36">
        <w:rPr>
          <w:rStyle w:val="CommentReference"/>
        </w:rPr>
        <w:t xml:space="preserve"> </w:t>
      </w:r>
      <w:r>
        <w:rPr>
          <w:rStyle w:val="CommentReference"/>
        </w:rPr>
        <w:t>P</w:t>
      </w:r>
      <w:r w:rsidRPr="00D316C2">
        <w:rPr>
          <w:rStyle w:val="CommentReference"/>
        </w:rPr>
        <w:t xml:space="preserve">ost-vaccination HI antibody GMTs of Afluria Quad relative to </w:t>
      </w:r>
      <w:proofErr w:type="spellStart"/>
      <w:r w:rsidRPr="00D316C2">
        <w:rPr>
          <w:rStyle w:val="CommentReference"/>
        </w:rPr>
        <w:t>Fluarix</w:t>
      </w:r>
      <w:proofErr w:type="spellEnd"/>
      <w:r w:rsidRPr="00D316C2">
        <w:rPr>
          <w:rStyle w:val="CommentReference"/>
        </w:rPr>
        <w:t xml:space="preserve"> Tetra for each strain 28 days after last vaccination</w:t>
      </w:r>
      <w:r>
        <w:rPr>
          <w:rStyle w:val="CommentReference"/>
        </w:rPr>
        <w:t xml:space="preserve"> (per-protocol population)</w:t>
      </w:r>
    </w:p>
    <w:tbl>
      <w:tblPr>
        <w:tblW w:w="49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ost-vaccination HI antibody GMTs of Afluria Quad relative to Fluarix Tetra for each strain 28 days after last vaccination (per-protocol population)"/>
      </w:tblPr>
      <w:tblGrid>
        <w:gridCol w:w="1131"/>
        <w:gridCol w:w="1884"/>
        <w:gridCol w:w="1984"/>
        <w:gridCol w:w="1952"/>
        <w:gridCol w:w="1913"/>
      </w:tblGrid>
      <w:tr w:rsidR="00684833" w:rsidRPr="00B84117" w:rsidTr="00313917">
        <w:trPr>
          <w:tblHeader/>
        </w:trPr>
        <w:tc>
          <w:tcPr>
            <w:tcW w:w="638" w:type="pct"/>
            <w:tcBorders>
              <w:bottom w:val="nil"/>
            </w:tcBorders>
            <w:vAlign w:val="center"/>
          </w:tcPr>
          <w:p w:rsidR="00684833" w:rsidRDefault="00684833" w:rsidP="00D70714">
            <w:pPr>
              <w:pStyle w:val="Tabletext"/>
              <w:keepNext/>
              <w:rPr>
                <w:b/>
              </w:rPr>
            </w:pPr>
          </w:p>
        </w:tc>
        <w:tc>
          <w:tcPr>
            <w:tcW w:w="2182" w:type="pct"/>
            <w:gridSpan w:val="2"/>
            <w:vAlign w:val="center"/>
          </w:tcPr>
          <w:p w:rsidR="00684833" w:rsidRPr="00B84117" w:rsidRDefault="00684833" w:rsidP="00D70714">
            <w:pPr>
              <w:pStyle w:val="Tabletext"/>
              <w:keepNext/>
              <w:jc w:val="center"/>
              <w:rPr>
                <w:b/>
              </w:rPr>
            </w:pPr>
            <w:r w:rsidRPr="000C6DED">
              <w:rPr>
                <w:b/>
              </w:rPr>
              <w:t>Post-vaccination GMT</w:t>
            </w:r>
          </w:p>
        </w:tc>
        <w:tc>
          <w:tcPr>
            <w:tcW w:w="1101" w:type="pct"/>
          </w:tcPr>
          <w:p w:rsidR="00684833" w:rsidRPr="00B84117" w:rsidRDefault="00684833" w:rsidP="00D70714">
            <w:pPr>
              <w:pStyle w:val="Tabletext"/>
              <w:keepNext/>
              <w:jc w:val="center"/>
              <w:rPr>
                <w:b/>
              </w:rPr>
            </w:pPr>
            <w:r>
              <w:rPr>
                <w:b/>
              </w:rPr>
              <w:t>GMT Ratio</w:t>
            </w:r>
          </w:p>
        </w:tc>
        <w:tc>
          <w:tcPr>
            <w:tcW w:w="1080" w:type="pct"/>
          </w:tcPr>
          <w:p w:rsidR="00684833" w:rsidRPr="00B84117" w:rsidRDefault="00684833" w:rsidP="00D70714">
            <w:pPr>
              <w:pStyle w:val="Tabletext"/>
              <w:keepNext/>
              <w:jc w:val="center"/>
              <w:rPr>
                <w:b/>
              </w:rPr>
            </w:pPr>
            <w:r>
              <w:rPr>
                <w:b/>
              </w:rPr>
              <w:t>NI Criterion</w:t>
            </w:r>
          </w:p>
        </w:tc>
      </w:tr>
      <w:tr w:rsidR="00684833" w:rsidRPr="00B84117" w:rsidTr="00313917">
        <w:trPr>
          <w:tblHeader/>
        </w:trPr>
        <w:tc>
          <w:tcPr>
            <w:tcW w:w="638" w:type="pct"/>
            <w:tcBorders>
              <w:top w:val="nil"/>
            </w:tcBorders>
            <w:vAlign w:val="center"/>
          </w:tcPr>
          <w:p w:rsidR="00684833" w:rsidRPr="00B84117" w:rsidRDefault="00684833" w:rsidP="00D70714">
            <w:pPr>
              <w:pStyle w:val="Tabletext"/>
              <w:keepNext/>
              <w:rPr>
                <w:b/>
              </w:rPr>
            </w:pPr>
            <w:r>
              <w:rPr>
                <w:b/>
              </w:rPr>
              <w:t>Strain</w:t>
            </w:r>
          </w:p>
        </w:tc>
        <w:tc>
          <w:tcPr>
            <w:tcW w:w="1063" w:type="pct"/>
            <w:vAlign w:val="center"/>
          </w:tcPr>
          <w:p w:rsidR="00684833" w:rsidRPr="00B84117" w:rsidRDefault="001729A1" w:rsidP="00D70714">
            <w:pPr>
              <w:pStyle w:val="Tabletext"/>
              <w:keepNext/>
              <w:jc w:val="center"/>
              <w:rPr>
                <w:b/>
              </w:rPr>
            </w:pPr>
            <w:r>
              <w:rPr>
                <w:b/>
              </w:rPr>
              <w:t>Afluria Quad</w:t>
            </w:r>
          </w:p>
        </w:tc>
        <w:tc>
          <w:tcPr>
            <w:tcW w:w="1119" w:type="pct"/>
            <w:vAlign w:val="center"/>
          </w:tcPr>
          <w:p w:rsidR="00684833" w:rsidRPr="00B84117" w:rsidRDefault="001729A1" w:rsidP="00D70714">
            <w:pPr>
              <w:pStyle w:val="Tabletext"/>
              <w:keepNext/>
              <w:jc w:val="center"/>
              <w:rPr>
                <w:b/>
              </w:rPr>
            </w:pPr>
            <w:proofErr w:type="spellStart"/>
            <w:r>
              <w:rPr>
                <w:b/>
              </w:rPr>
              <w:t>Fluarix</w:t>
            </w:r>
            <w:proofErr w:type="spellEnd"/>
            <w:r>
              <w:rPr>
                <w:b/>
              </w:rPr>
              <w:t xml:space="preserve"> Tetra</w:t>
            </w:r>
          </w:p>
        </w:tc>
        <w:tc>
          <w:tcPr>
            <w:tcW w:w="1101" w:type="pct"/>
            <w:vAlign w:val="center"/>
          </w:tcPr>
          <w:p w:rsidR="00684833" w:rsidRPr="000C6DED" w:rsidRDefault="001729A1" w:rsidP="00D70714">
            <w:pPr>
              <w:pStyle w:val="Tabletext"/>
              <w:keepNext/>
              <w:jc w:val="center"/>
              <w:rPr>
                <w:b/>
              </w:rPr>
            </w:pPr>
            <w:proofErr w:type="spellStart"/>
            <w:r>
              <w:rPr>
                <w:b/>
              </w:rPr>
              <w:t>Fluarix</w:t>
            </w:r>
            <w:proofErr w:type="spellEnd"/>
            <w:r>
              <w:rPr>
                <w:b/>
              </w:rPr>
              <w:t xml:space="preserve"> Tetra</w:t>
            </w:r>
            <w:r w:rsidR="00684833" w:rsidRPr="000C6DED">
              <w:rPr>
                <w:b/>
              </w:rPr>
              <w:t>/</w:t>
            </w:r>
            <w:r>
              <w:rPr>
                <w:b/>
              </w:rPr>
              <w:t>Afluria Quad</w:t>
            </w:r>
            <w:r w:rsidR="00684833" w:rsidRPr="000C6DED">
              <w:rPr>
                <w:b/>
              </w:rPr>
              <w:t xml:space="preserve"> </w:t>
            </w:r>
          </w:p>
          <w:p w:rsidR="00684833" w:rsidRPr="00B84117" w:rsidRDefault="00684833" w:rsidP="00D70714">
            <w:pPr>
              <w:pStyle w:val="Tabletext"/>
              <w:keepNext/>
              <w:jc w:val="center"/>
              <w:rPr>
                <w:b/>
              </w:rPr>
            </w:pPr>
            <w:r w:rsidRPr="000C6DED">
              <w:rPr>
                <w:b/>
              </w:rPr>
              <w:t>(95% CI)</w:t>
            </w:r>
          </w:p>
        </w:tc>
        <w:tc>
          <w:tcPr>
            <w:tcW w:w="1080" w:type="pct"/>
            <w:vAlign w:val="center"/>
          </w:tcPr>
          <w:p w:rsidR="00684833" w:rsidRPr="00B84117" w:rsidRDefault="00684833" w:rsidP="00D70714">
            <w:pPr>
              <w:pStyle w:val="Tabletext"/>
              <w:keepNext/>
              <w:jc w:val="center"/>
              <w:rPr>
                <w:b/>
              </w:rPr>
            </w:pPr>
            <w:r w:rsidRPr="000C6DED">
              <w:rPr>
                <w:b/>
              </w:rPr>
              <w:t>UCL &lt; 1.5?</w:t>
            </w:r>
          </w:p>
        </w:tc>
      </w:tr>
      <w:tr w:rsidR="00684833" w:rsidRPr="00B1011F" w:rsidTr="00313917">
        <w:tc>
          <w:tcPr>
            <w:tcW w:w="638" w:type="pct"/>
          </w:tcPr>
          <w:p w:rsidR="00684833" w:rsidRPr="00B1011F" w:rsidRDefault="00684833" w:rsidP="00D70714">
            <w:pPr>
              <w:pStyle w:val="Tabletext"/>
              <w:keepNext/>
            </w:pPr>
            <w:r w:rsidRPr="00221FD9">
              <w:t>A/H1N1</w:t>
            </w:r>
          </w:p>
        </w:tc>
        <w:tc>
          <w:tcPr>
            <w:tcW w:w="1063"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952.6</w:t>
            </w:r>
          </w:p>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(n=1,6043)</w:t>
            </w:r>
          </w:p>
        </w:tc>
        <w:tc>
          <w:tcPr>
            <w:tcW w:w="1119"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958.8</w:t>
            </w:r>
          </w:p>
        </w:tc>
        <w:tc>
          <w:tcPr>
            <w:tcW w:w="1101"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1.01</w:t>
            </w:r>
          </w:p>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 xml:space="preserve">(0.93, </w:t>
            </w:r>
            <w:r w:rsidRPr="00176A0E">
              <w:rPr>
                <w:rFonts w:ascii="Arial Narrow" w:hAnsi="Arial Narrow" w:cs="Times New Roman"/>
                <w:b/>
                <w:snapToGrid/>
                <w:sz w:val="20"/>
              </w:rPr>
              <w:t>1.09</w:t>
            </w:r>
            <w:r w:rsidRPr="00BF2D12">
              <w:rPr>
                <w:rFonts w:ascii="Arial Narrow" w:hAnsi="Arial Narrow" w:cs="Times New Roman"/>
                <w:snapToGrid/>
                <w:sz w:val="20"/>
              </w:rPr>
              <w:t>)</w:t>
            </w:r>
          </w:p>
        </w:tc>
        <w:tc>
          <w:tcPr>
            <w:tcW w:w="1080"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Yes</w:t>
            </w:r>
          </w:p>
        </w:tc>
      </w:tr>
      <w:tr w:rsidR="00684833" w:rsidRPr="00B1011F" w:rsidTr="00313917">
        <w:tc>
          <w:tcPr>
            <w:tcW w:w="638" w:type="pct"/>
          </w:tcPr>
          <w:p w:rsidR="00684833" w:rsidRPr="00B1011F" w:rsidRDefault="00684833" w:rsidP="00D70714">
            <w:pPr>
              <w:pStyle w:val="Tabletext"/>
              <w:keepNext/>
            </w:pPr>
            <w:r w:rsidRPr="00221FD9">
              <w:t>A/H3N2</w:t>
            </w:r>
          </w:p>
        </w:tc>
        <w:tc>
          <w:tcPr>
            <w:tcW w:w="1063"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886.4</w:t>
            </w:r>
          </w:p>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(n=1,6043)</w:t>
            </w:r>
          </w:p>
        </w:tc>
        <w:tc>
          <w:tcPr>
            <w:tcW w:w="1119"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930.6</w:t>
            </w:r>
          </w:p>
        </w:tc>
        <w:tc>
          <w:tcPr>
            <w:tcW w:w="1101"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1.05</w:t>
            </w:r>
          </w:p>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 xml:space="preserve">(0.96, </w:t>
            </w:r>
            <w:r w:rsidRPr="00176A0E">
              <w:rPr>
                <w:rFonts w:ascii="Arial Narrow" w:hAnsi="Arial Narrow" w:cs="Times New Roman"/>
                <w:b/>
                <w:snapToGrid/>
                <w:sz w:val="20"/>
              </w:rPr>
              <w:t>1.15</w:t>
            </w:r>
            <w:r w:rsidRPr="00BF2D12">
              <w:rPr>
                <w:rFonts w:ascii="Arial Narrow" w:hAnsi="Arial Narrow" w:cs="Times New Roman"/>
                <w:snapToGrid/>
                <w:sz w:val="20"/>
              </w:rPr>
              <w:t>)</w:t>
            </w:r>
          </w:p>
        </w:tc>
        <w:tc>
          <w:tcPr>
            <w:tcW w:w="1080"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Yes</w:t>
            </w:r>
          </w:p>
        </w:tc>
      </w:tr>
      <w:tr w:rsidR="00684833" w:rsidRPr="00B1011F" w:rsidTr="00313917">
        <w:tc>
          <w:tcPr>
            <w:tcW w:w="638" w:type="pct"/>
          </w:tcPr>
          <w:p w:rsidR="00684833" w:rsidRPr="00B1011F" w:rsidRDefault="00684833" w:rsidP="00D70714">
            <w:pPr>
              <w:pStyle w:val="Tabletext"/>
              <w:keepNext/>
            </w:pPr>
            <w:r w:rsidRPr="00221FD9">
              <w:t>B/YAM</w:t>
            </w:r>
          </w:p>
        </w:tc>
        <w:tc>
          <w:tcPr>
            <w:tcW w:w="1063"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60.9</w:t>
            </w:r>
          </w:p>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(n=1,6043)</w:t>
            </w:r>
          </w:p>
        </w:tc>
        <w:tc>
          <w:tcPr>
            <w:tcW w:w="1119"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54.3</w:t>
            </w:r>
          </w:p>
        </w:tc>
        <w:tc>
          <w:tcPr>
            <w:tcW w:w="1101"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0.89</w:t>
            </w:r>
          </w:p>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 xml:space="preserve">(0.81, </w:t>
            </w:r>
            <w:r w:rsidRPr="00176A0E">
              <w:rPr>
                <w:rFonts w:ascii="Arial Narrow" w:hAnsi="Arial Narrow" w:cs="Times New Roman"/>
                <w:b/>
                <w:snapToGrid/>
                <w:sz w:val="20"/>
              </w:rPr>
              <w:t>0.98</w:t>
            </w:r>
            <w:r w:rsidRPr="00BF2D12">
              <w:rPr>
                <w:rFonts w:ascii="Arial Narrow" w:hAnsi="Arial Narrow" w:cs="Times New Roman"/>
                <w:snapToGrid/>
                <w:sz w:val="20"/>
              </w:rPr>
              <w:t>)</w:t>
            </w:r>
          </w:p>
        </w:tc>
        <w:tc>
          <w:tcPr>
            <w:tcW w:w="1080"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Yes</w:t>
            </w:r>
          </w:p>
        </w:tc>
      </w:tr>
      <w:tr w:rsidR="00684833" w:rsidRPr="00B1011F" w:rsidTr="00313917">
        <w:tc>
          <w:tcPr>
            <w:tcW w:w="638" w:type="pct"/>
          </w:tcPr>
          <w:p w:rsidR="00684833" w:rsidRPr="00B1011F" w:rsidRDefault="00684833" w:rsidP="00D70714">
            <w:pPr>
              <w:pStyle w:val="Tabletext"/>
              <w:keepNext/>
            </w:pPr>
            <w:r w:rsidRPr="00221FD9">
              <w:t>B/VIC</w:t>
            </w:r>
          </w:p>
        </w:tc>
        <w:tc>
          <w:tcPr>
            <w:tcW w:w="1063"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145.0</w:t>
            </w:r>
          </w:p>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 xml:space="preserve">(n=1,6043) </w:t>
            </w:r>
          </w:p>
        </w:tc>
        <w:tc>
          <w:tcPr>
            <w:tcW w:w="1119"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133.4</w:t>
            </w:r>
          </w:p>
        </w:tc>
        <w:tc>
          <w:tcPr>
            <w:tcW w:w="1101"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0.92</w:t>
            </w:r>
          </w:p>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 xml:space="preserve">(0.83, </w:t>
            </w:r>
            <w:r w:rsidRPr="00176A0E">
              <w:rPr>
                <w:rFonts w:ascii="Arial Narrow" w:hAnsi="Arial Narrow" w:cs="Times New Roman"/>
                <w:b/>
                <w:snapToGrid/>
                <w:sz w:val="20"/>
              </w:rPr>
              <w:t>1.02</w:t>
            </w:r>
            <w:r w:rsidRPr="00BF2D12">
              <w:rPr>
                <w:rFonts w:ascii="Arial Narrow" w:hAnsi="Arial Narrow" w:cs="Times New Roman"/>
                <w:snapToGrid/>
                <w:sz w:val="20"/>
              </w:rPr>
              <w:t>)</w:t>
            </w:r>
          </w:p>
        </w:tc>
        <w:tc>
          <w:tcPr>
            <w:tcW w:w="1080"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Yes</w:t>
            </w:r>
          </w:p>
        </w:tc>
      </w:tr>
    </w:tbl>
    <w:p w:rsidR="00684833" w:rsidRDefault="00684833" w:rsidP="00D70714">
      <w:pPr>
        <w:pStyle w:val="TableFooter"/>
        <w:widowControl/>
      </w:pPr>
      <w:r>
        <w:t>GMT: geometric mean titre; NI: non</w:t>
      </w:r>
      <w:r w:rsidR="00025B8F">
        <w:t>-</w:t>
      </w:r>
      <w:r>
        <w:t xml:space="preserve">inferiority; QIV: </w:t>
      </w:r>
      <w:proofErr w:type="spellStart"/>
      <w:r>
        <w:t>quadrivalent</w:t>
      </w:r>
      <w:proofErr w:type="spellEnd"/>
      <w:r>
        <w:t xml:space="preserve"> influenza vaccine; CI: confidence interval; UCL: upper confidence limit</w:t>
      </w:r>
    </w:p>
    <w:p w:rsidR="00684833" w:rsidRDefault="00684833" w:rsidP="00D70714">
      <w:pPr>
        <w:pStyle w:val="TableFooter"/>
        <w:widowControl/>
      </w:pPr>
      <w:r>
        <w:t>Source: Table 2.13, p51 of the submission</w:t>
      </w:r>
      <w:r w:rsidR="009B4F38">
        <w:t>.</w:t>
      </w:r>
    </w:p>
    <w:p w:rsidR="00F64455" w:rsidRPr="00025B8F" w:rsidRDefault="00F64455" w:rsidP="00025B8F">
      <w:pPr>
        <w:pStyle w:val="TableFooter"/>
      </w:pPr>
    </w:p>
    <w:p w:rsidR="00684833" w:rsidRPr="00D3423A" w:rsidRDefault="00684833" w:rsidP="00D70714">
      <w:pPr>
        <w:pStyle w:val="ListParagraph"/>
        <w:widowControl/>
        <w:numPr>
          <w:ilvl w:val="1"/>
          <w:numId w:val="2"/>
        </w:numPr>
      </w:pPr>
      <w:r w:rsidRPr="00D3423A">
        <w:rPr>
          <w:rFonts w:cs="Calibri"/>
          <w:snapToGrid/>
          <w:szCs w:val="24"/>
          <w:lang w:val="en-US" w:eastAsia="en-AU"/>
        </w:rPr>
        <w:t>The u</w:t>
      </w:r>
      <w:r w:rsidR="00CB19BC" w:rsidRPr="00D3423A">
        <w:rPr>
          <w:rFonts w:cs="Calibri"/>
          <w:snapToGrid/>
          <w:szCs w:val="24"/>
          <w:lang w:val="en-US" w:eastAsia="en-AU"/>
        </w:rPr>
        <w:t>pper confidence limit of the 95%</w:t>
      </w:r>
      <w:r w:rsidRPr="00D3423A">
        <w:rPr>
          <w:rFonts w:cs="Calibri"/>
          <w:snapToGrid/>
          <w:szCs w:val="24"/>
          <w:lang w:val="en-US" w:eastAsia="en-AU"/>
        </w:rPr>
        <w:t xml:space="preserve"> confidence interval of the GMT ratio was less than </w:t>
      </w:r>
      <w:r w:rsidR="00BD0AB7">
        <w:rPr>
          <w:rFonts w:cs="Calibri"/>
          <w:snapToGrid/>
          <w:szCs w:val="24"/>
          <w:lang w:val="en-US" w:eastAsia="en-AU"/>
        </w:rPr>
        <w:t xml:space="preserve">the non-inferiority criterion nominated in the submission of </w:t>
      </w:r>
      <w:r w:rsidRPr="00D3423A">
        <w:rPr>
          <w:rFonts w:cs="Calibri"/>
          <w:snapToGrid/>
          <w:szCs w:val="24"/>
          <w:lang w:val="en-US" w:eastAsia="en-AU"/>
        </w:rPr>
        <w:t>1.5 for e</w:t>
      </w:r>
      <w:r w:rsidR="00C861B8">
        <w:rPr>
          <w:rFonts w:cs="Calibri"/>
          <w:snapToGrid/>
          <w:szCs w:val="24"/>
          <w:lang w:val="en-US" w:eastAsia="en-AU"/>
        </w:rPr>
        <w:t>ach of the four strains tested.</w:t>
      </w:r>
    </w:p>
    <w:p w:rsidR="00684833" w:rsidRDefault="00684833" w:rsidP="00D70714">
      <w:pPr>
        <w:keepNext/>
        <w:widowControl/>
        <w:rPr>
          <w:rStyle w:val="CommentReference"/>
        </w:rPr>
      </w:pPr>
      <w:r>
        <w:rPr>
          <w:rStyle w:val="CommentReference"/>
        </w:rPr>
        <w:t>Table 5: P</w:t>
      </w:r>
      <w:r w:rsidRPr="00D316C2">
        <w:rPr>
          <w:rStyle w:val="CommentReference"/>
        </w:rPr>
        <w:t xml:space="preserve">ost-vaccination SCRs of </w:t>
      </w:r>
      <w:r w:rsidR="001729A1">
        <w:rPr>
          <w:rStyle w:val="CommentReference"/>
        </w:rPr>
        <w:t>Afluria Quad</w:t>
      </w:r>
      <w:r w:rsidRPr="00D316C2">
        <w:rPr>
          <w:rStyle w:val="CommentReference"/>
        </w:rPr>
        <w:t xml:space="preserve"> relative to </w:t>
      </w:r>
      <w:proofErr w:type="spellStart"/>
      <w:r w:rsidR="001729A1">
        <w:rPr>
          <w:rStyle w:val="CommentReference"/>
        </w:rPr>
        <w:t>Fluarix</w:t>
      </w:r>
      <w:proofErr w:type="spellEnd"/>
      <w:r w:rsidR="001729A1">
        <w:rPr>
          <w:rStyle w:val="CommentReference"/>
        </w:rPr>
        <w:t xml:space="preserve"> Tetra</w:t>
      </w:r>
      <w:r w:rsidRPr="00D316C2">
        <w:rPr>
          <w:rStyle w:val="CommentReference"/>
        </w:rPr>
        <w:t xml:space="preserve"> for each strain 28 days after last vaccination</w:t>
      </w:r>
      <w:r>
        <w:rPr>
          <w:rStyle w:val="CommentReference"/>
        </w:rPr>
        <w:t xml:space="preserve"> (per-protocol population)</w:t>
      </w:r>
    </w:p>
    <w:tbl>
      <w:tblPr>
        <w:tblW w:w="49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ost-vaccination SCRs of Afluria Quad relative to Fluarix Tetra for each strain 28 days after last vaccination (per-protocol population)"/>
      </w:tblPr>
      <w:tblGrid>
        <w:gridCol w:w="1131"/>
        <w:gridCol w:w="1884"/>
        <w:gridCol w:w="1984"/>
        <w:gridCol w:w="1952"/>
        <w:gridCol w:w="1913"/>
      </w:tblGrid>
      <w:tr w:rsidR="00684833" w:rsidRPr="00BF2D12" w:rsidTr="00313917">
        <w:trPr>
          <w:tblHeader/>
        </w:trPr>
        <w:tc>
          <w:tcPr>
            <w:tcW w:w="638" w:type="pct"/>
            <w:tcBorders>
              <w:bottom w:val="nil"/>
            </w:tcBorders>
            <w:vAlign w:val="center"/>
          </w:tcPr>
          <w:p w:rsidR="00684833" w:rsidRPr="00BF2D12" w:rsidRDefault="00684833" w:rsidP="00D70714">
            <w:pPr>
              <w:keepNext/>
              <w:widowControl/>
              <w:jc w:val="left"/>
              <w:rPr>
                <w:rFonts w:ascii="Arial Narrow" w:hAnsi="Arial Narrow" w:cs="Times New Roman"/>
                <w:b/>
                <w:snapToGrid/>
                <w:sz w:val="20"/>
              </w:rPr>
            </w:pPr>
          </w:p>
        </w:tc>
        <w:tc>
          <w:tcPr>
            <w:tcW w:w="2182" w:type="pct"/>
            <w:gridSpan w:val="2"/>
            <w:vAlign w:val="center"/>
          </w:tcPr>
          <w:p w:rsidR="00684833" w:rsidRPr="00BF2D12" w:rsidRDefault="00684833" w:rsidP="00D70714">
            <w:pPr>
              <w:keepNext/>
              <w:widowControl/>
              <w:jc w:val="center"/>
              <w:rPr>
                <w:rFonts w:ascii="Arial Narrow" w:hAnsi="Arial Narrow" w:cs="Times New Roman"/>
                <w:b/>
                <w:snapToGrid/>
                <w:sz w:val="20"/>
              </w:rPr>
            </w:pPr>
            <w:r>
              <w:rPr>
                <w:rFonts w:ascii="Arial Narrow" w:hAnsi="Arial Narrow" w:cs="Times New Roman"/>
                <w:b/>
                <w:snapToGrid/>
                <w:sz w:val="20"/>
              </w:rPr>
              <w:t>Seroconversion rate (SCR) %</w:t>
            </w:r>
          </w:p>
        </w:tc>
        <w:tc>
          <w:tcPr>
            <w:tcW w:w="1101" w:type="pct"/>
          </w:tcPr>
          <w:p w:rsidR="00684833" w:rsidRPr="00BF2D12" w:rsidRDefault="00684833" w:rsidP="00D70714">
            <w:pPr>
              <w:keepNext/>
              <w:widowControl/>
              <w:jc w:val="center"/>
              <w:rPr>
                <w:rFonts w:ascii="Arial Narrow" w:hAnsi="Arial Narrow" w:cs="Times New Roman"/>
                <w:b/>
                <w:snapToGrid/>
                <w:sz w:val="20"/>
              </w:rPr>
            </w:pPr>
            <w:r>
              <w:rPr>
                <w:rFonts w:ascii="Arial Narrow" w:hAnsi="Arial Narrow" w:cs="Times New Roman"/>
                <w:b/>
                <w:snapToGrid/>
                <w:sz w:val="20"/>
              </w:rPr>
              <w:t>SCR Difference</w:t>
            </w:r>
          </w:p>
        </w:tc>
        <w:tc>
          <w:tcPr>
            <w:tcW w:w="1080" w:type="pct"/>
          </w:tcPr>
          <w:p w:rsidR="00684833" w:rsidRPr="00BF2D12" w:rsidRDefault="00684833" w:rsidP="00D70714">
            <w:pPr>
              <w:keepNext/>
              <w:widowControl/>
              <w:jc w:val="center"/>
              <w:rPr>
                <w:rFonts w:ascii="Arial Narrow" w:hAnsi="Arial Narrow" w:cs="Times New Roman"/>
                <w:b/>
                <w:snapToGrid/>
                <w:sz w:val="20"/>
              </w:rPr>
            </w:pPr>
            <w:r>
              <w:rPr>
                <w:rFonts w:ascii="Arial Narrow" w:hAnsi="Arial Narrow" w:cs="Times New Roman"/>
                <w:b/>
                <w:snapToGrid/>
                <w:sz w:val="20"/>
              </w:rPr>
              <w:t>NI Criterion</w:t>
            </w:r>
          </w:p>
        </w:tc>
      </w:tr>
      <w:tr w:rsidR="00684833" w:rsidRPr="00BF2D12" w:rsidTr="00313917">
        <w:trPr>
          <w:tblHeader/>
        </w:trPr>
        <w:tc>
          <w:tcPr>
            <w:tcW w:w="638" w:type="pct"/>
            <w:tcBorders>
              <w:top w:val="nil"/>
            </w:tcBorders>
            <w:vAlign w:val="center"/>
          </w:tcPr>
          <w:p w:rsidR="00684833" w:rsidRPr="00BF2D12" w:rsidRDefault="00684833" w:rsidP="00D70714">
            <w:pPr>
              <w:keepNext/>
              <w:widowControl/>
              <w:jc w:val="left"/>
              <w:rPr>
                <w:rFonts w:ascii="Arial Narrow" w:hAnsi="Arial Narrow" w:cs="Times New Roman"/>
                <w:b/>
                <w:snapToGrid/>
                <w:sz w:val="20"/>
              </w:rPr>
            </w:pPr>
            <w:r w:rsidRPr="00BF2D12">
              <w:rPr>
                <w:rFonts w:ascii="Arial Narrow" w:hAnsi="Arial Narrow" w:cs="Times New Roman"/>
                <w:b/>
                <w:snapToGrid/>
                <w:sz w:val="20"/>
              </w:rPr>
              <w:t>Strain</w:t>
            </w:r>
          </w:p>
        </w:tc>
        <w:tc>
          <w:tcPr>
            <w:tcW w:w="1063" w:type="pct"/>
            <w:shd w:val="clear" w:color="auto" w:fill="auto"/>
          </w:tcPr>
          <w:p w:rsidR="00684833" w:rsidRPr="00BF2D12" w:rsidRDefault="001729A1" w:rsidP="00D70714">
            <w:pPr>
              <w:keepNext/>
              <w:widowControl/>
              <w:jc w:val="left"/>
              <w:rPr>
                <w:rFonts w:ascii="Arial Narrow" w:hAnsi="Arial Narrow" w:cs="Times New Roman"/>
                <w:b/>
                <w:snapToGrid/>
                <w:sz w:val="20"/>
              </w:rPr>
            </w:pPr>
            <w:r>
              <w:rPr>
                <w:rFonts w:ascii="Arial Narrow" w:hAnsi="Arial Narrow" w:cs="Times New Roman"/>
                <w:b/>
                <w:snapToGrid/>
                <w:sz w:val="20"/>
              </w:rPr>
              <w:t>Afluria Quad</w:t>
            </w:r>
            <w:r w:rsidR="00684833" w:rsidRPr="00BF2D12">
              <w:rPr>
                <w:rFonts w:ascii="Arial Narrow" w:hAnsi="Arial Narrow" w:cs="Times New Roman"/>
                <w:b/>
                <w:snapToGrid/>
                <w:sz w:val="20"/>
              </w:rPr>
              <w:t xml:space="preserve"> (N=1,605) (95% CI)</w:t>
            </w:r>
          </w:p>
        </w:tc>
        <w:tc>
          <w:tcPr>
            <w:tcW w:w="1119" w:type="pct"/>
            <w:shd w:val="clear" w:color="auto" w:fill="auto"/>
          </w:tcPr>
          <w:p w:rsidR="00684833" w:rsidRPr="00BF2D12" w:rsidRDefault="001729A1" w:rsidP="00D70714">
            <w:pPr>
              <w:keepNext/>
              <w:widowControl/>
              <w:jc w:val="left"/>
              <w:rPr>
                <w:rFonts w:ascii="Arial Narrow" w:hAnsi="Arial Narrow" w:cs="Times New Roman"/>
                <w:b/>
                <w:snapToGrid/>
                <w:sz w:val="20"/>
              </w:rPr>
            </w:pPr>
            <w:proofErr w:type="spellStart"/>
            <w:r>
              <w:rPr>
                <w:rFonts w:ascii="Arial Narrow" w:hAnsi="Arial Narrow" w:cs="Times New Roman"/>
                <w:b/>
                <w:snapToGrid/>
                <w:sz w:val="20"/>
              </w:rPr>
              <w:t>Fluarix</w:t>
            </w:r>
            <w:proofErr w:type="spellEnd"/>
            <w:r>
              <w:rPr>
                <w:rFonts w:ascii="Arial Narrow" w:hAnsi="Arial Narrow" w:cs="Times New Roman"/>
                <w:b/>
                <w:snapToGrid/>
                <w:sz w:val="20"/>
              </w:rPr>
              <w:t xml:space="preserve"> Tetra</w:t>
            </w:r>
            <w:r w:rsidR="00684833" w:rsidRPr="00BF2D12">
              <w:rPr>
                <w:rFonts w:ascii="Arial Narrow" w:hAnsi="Arial Narrow" w:cs="Times New Roman"/>
                <w:b/>
                <w:snapToGrid/>
                <w:sz w:val="20"/>
              </w:rPr>
              <w:t xml:space="preserve"> (N=528)</w:t>
            </w:r>
            <w:r w:rsidR="00684833" w:rsidRPr="00BF2D12">
              <w:rPr>
                <w:rFonts w:ascii="Arial Narrow" w:hAnsi="Arial Narrow" w:cs="Times New Roman"/>
                <w:b/>
                <w:snapToGrid/>
                <w:sz w:val="20"/>
              </w:rPr>
              <w:br/>
              <w:t>(95% CI)</w:t>
            </w:r>
          </w:p>
        </w:tc>
        <w:tc>
          <w:tcPr>
            <w:tcW w:w="1101" w:type="pct"/>
            <w:shd w:val="clear" w:color="auto" w:fill="auto"/>
          </w:tcPr>
          <w:p w:rsidR="00684833" w:rsidRPr="00BF2D12" w:rsidRDefault="001729A1" w:rsidP="00D70714">
            <w:pPr>
              <w:keepNext/>
              <w:widowControl/>
              <w:jc w:val="left"/>
              <w:rPr>
                <w:rFonts w:ascii="Arial Narrow" w:hAnsi="Arial Narrow" w:cs="Times New Roman"/>
                <w:b/>
                <w:snapToGrid/>
                <w:sz w:val="20"/>
              </w:rPr>
            </w:pPr>
            <w:proofErr w:type="spellStart"/>
            <w:r>
              <w:rPr>
                <w:rFonts w:ascii="Arial Narrow" w:hAnsi="Arial Narrow" w:cs="Times New Roman"/>
                <w:b/>
                <w:snapToGrid/>
                <w:sz w:val="20"/>
              </w:rPr>
              <w:t>Fluarix</w:t>
            </w:r>
            <w:proofErr w:type="spellEnd"/>
            <w:r>
              <w:rPr>
                <w:rFonts w:ascii="Arial Narrow" w:hAnsi="Arial Narrow" w:cs="Times New Roman"/>
                <w:b/>
                <w:snapToGrid/>
                <w:sz w:val="20"/>
              </w:rPr>
              <w:t xml:space="preserve"> Tetra</w:t>
            </w:r>
            <w:r w:rsidR="00684833" w:rsidRPr="00BF2D12">
              <w:rPr>
                <w:rFonts w:ascii="Arial Narrow" w:hAnsi="Arial Narrow" w:cs="Times New Roman"/>
                <w:b/>
                <w:snapToGrid/>
                <w:sz w:val="20"/>
              </w:rPr>
              <w:t xml:space="preserve"> </w:t>
            </w:r>
            <w:r w:rsidR="00684833" w:rsidRPr="00BF2D12">
              <w:rPr>
                <w:rFonts w:ascii="Arial Narrow" w:hAnsi="Arial Narrow" w:cs="Times New Roman"/>
                <w:b/>
                <w:snapToGrid/>
                <w:sz w:val="20"/>
              </w:rPr>
              <w:sym w:font="Symbol" w:char="F02D"/>
            </w:r>
            <w:r w:rsidR="00684833" w:rsidRPr="00BF2D12">
              <w:rPr>
                <w:rFonts w:ascii="Arial Narrow" w:hAnsi="Arial Narrow" w:cs="Times New Roman"/>
                <w:b/>
                <w:snapToGrid/>
                <w:sz w:val="20"/>
              </w:rPr>
              <w:t xml:space="preserve"> </w:t>
            </w:r>
            <w:r>
              <w:rPr>
                <w:rFonts w:ascii="Arial Narrow" w:hAnsi="Arial Narrow" w:cs="Times New Roman"/>
                <w:b/>
                <w:snapToGrid/>
                <w:sz w:val="20"/>
              </w:rPr>
              <w:t>Afluria Quad</w:t>
            </w:r>
            <w:r w:rsidR="00684833" w:rsidRPr="00BF2D12">
              <w:rPr>
                <w:rFonts w:ascii="Arial Narrow" w:hAnsi="Arial Narrow" w:cs="Times New Roman"/>
                <w:b/>
                <w:snapToGrid/>
                <w:sz w:val="20"/>
              </w:rPr>
              <w:t xml:space="preserve"> (95% CI)</w:t>
            </w:r>
          </w:p>
        </w:tc>
        <w:tc>
          <w:tcPr>
            <w:tcW w:w="1080" w:type="pct"/>
            <w:shd w:val="clear" w:color="auto" w:fill="auto"/>
          </w:tcPr>
          <w:p w:rsidR="00684833" w:rsidRPr="00BF2D12" w:rsidRDefault="00684833" w:rsidP="00D70714">
            <w:pPr>
              <w:keepNext/>
              <w:widowControl/>
              <w:jc w:val="left"/>
              <w:rPr>
                <w:rFonts w:ascii="Arial Narrow" w:hAnsi="Arial Narrow" w:cs="Times New Roman"/>
                <w:b/>
                <w:snapToGrid/>
                <w:sz w:val="20"/>
              </w:rPr>
            </w:pPr>
            <w:r w:rsidRPr="00BF2D12">
              <w:rPr>
                <w:rFonts w:ascii="Arial Narrow" w:hAnsi="Arial Narrow" w:cs="Times New Roman"/>
                <w:b/>
                <w:snapToGrid/>
                <w:sz w:val="20"/>
              </w:rPr>
              <w:t>UCL ≤ 10%</w:t>
            </w:r>
          </w:p>
        </w:tc>
      </w:tr>
      <w:tr w:rsidR="00684833" w:rsidRPr="00BF2D12" w:rsidTr="00313917">
        <w:tc>
          <w:tcPr>
            <w:tcW w:w="638"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A/H1N1</w:t>
            </w:r>
          </w:p>
        </w:tc>
        <w:tc>
          <w:tcPr>
            <w:tcW w:w="1063"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66.4</w:t>
            </w:r>
          </w:p>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(64.0, 68.7)</w:t>
            </w:r>
          </w:p>
        </w:tc>
        <w:tc>
          <w:tcPr>
            <w:tcW w:w="1119"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63.3</w:t>
            </w:r>
          </w:p>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(59.0, 67.4)</w:t>
            </w:r>
          </w:p>
        </w:tc>
        <w:tc>
          <w:tcPr>
            <w:tcW w:w="1101"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-3.1</w:t>
            </w:r>
          </w:p>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 xml:space="preserve">(-8.0, </w:t>
            </w:r>
            <w:r w:rsidRPr="00AE2101">
              <w:rPr>
                <w:rFonts w:ascii="Arial Narrow" w:hAnsi="Arial Narrow" w:cs="Times New Roman"/>
                <w:b/>
                <w:snapToGrid/>
                <w:sz w:val="20"/>
              </w:rPr>
              <w:t>1.8</w:t>
            </w:r>
            <w:r w:rsidRPr="00BF2D12">
              <w:rPr>
                <w:rFonts w:ascii="Arial Narrow" w:hAnsi="Arial Narrow" w:cs="Times New Roman"/>
                <w:snapToGrid/>
                <w:sz w:val="20"/>
              </w:rPr>
              <w:t>)</w:t>
            </w:r>
          </w:p>
        </w:tc>
        <w:tc>
          <w:tcPr>
            <w:tcW w:w="1080"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Yes</w:t>
            </w:r>
          </w:p>
        </w:tc>
      </w:tr>
      <w:tr w:rsidR="00684833" w:rsidRPr="00BF2D12" w:rsidTr="00313917">
        <w:tc>
          <w:tcPr>
            <w:tcW w:w="638"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A/H3N2</w:t>
            </w:r>
          </w:p>
        </w:tc>
        <w:tc>
          <w:tcPr>
            <w:tcW w:w="1063"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82.9</w:t>
            </w:r>
          </w:p>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(81.0, 84.7)</w:t>
            </w:r>
          </w:p>
        </w:tc>
        <w:tc>
          <w:tcPr>
            <w:tcW w:w="1119"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83.3</w:t>
            </w:r>
          </w:p>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(79.9, 86.4)</w:t>
            </w:r>
          </w:p>
        </w:tc>
        <w:tc>
          <w:tcPr>
            <w:tcW w:w="1101"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0.4</w:t>
            </w:r>
          </w:p>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 xml:space="preserve">(-4.5, </w:t>
            </w:r>
            <w:r w:rsidRPr="00AE2101">
              <w:rPr>
                <w:rFonts w:ascii="Arial Narrow" w:hAnsi="Arial Narrow" w:cs="Times New Roman"/>
                <w:b/>
                <w:snapToGrid/>
                <w:sz w:val="20"/>
              </w:rPr>
              <w:t>5.3</w:t>
            </w:r>
            <w:r w:rsidRPr="00BF2D12">
              <w:rPr>
                <w:rFonts w:ascii="Arial Narrow" w:hAnsi="Arial Narrow" w:cs="Times New Roman"/>
                <w:snapToGrid/>
                <w:sz w:val="20"/>
              </w:rPr>
              <w:t>)</w:t>
            </w:r>
          </w:p>
        </w:tc>
        <w:tc>
          <w:tcPr>
            <w:tcW w:w="1080"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Yes</w:t>
            </w:r>
          </w:p>
        </w:tc>
      </w:tr>
      <w:tr w:rsidR="00684833" w:rsidRPr="00BF2D12" w:rsidTr="00313917">
        <w:tc>
          <w:tcPr>
            <w:tcW w:w="638"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B/YAM</w:t>
            </w:r>
          </w:p>
        </w:tc>
        <w:tc>
          <w:tcPr>
            <w:tcW w:w="1063"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58.5</w:t>
            </w:r>
          </w:p>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(56.0, 60.9)</w:t>
            </w:r>
          </w:p>
        </w:tc>
        <w:tc>
          <w:tcPr>
            <w:tcW w:w="1119"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55.1</w:t>
            </w:r>
          </w:p>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(50.8, 59.4)</w:t>
            </w:r>
          </w:p>
        </w:tc>
        <w:tc>
          <w:tcPr>
            <w:tcW w:w="1101"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-3.4</w:t>
            </w:r>
          </w:p>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 xml:space="preserve">(-8.3, </w:t>
            </w:r>
            <w:r w:rsidRPr="00AE2101">
              <w:rPr>
                <w:rFonts w:ascii="Arial Narrow" w:hAnsi="Arial Narrow" w:cs="Times New Roman"/>
                <w:b/>
                <w:snapToGrid/>
                <w:sz w:val="20"/>
              </w:rPr>
              <w:t>1.5</w:t>
            </w:r>
            <w:r w:rsidRPr="00BF2D12">
              <w:rPr>
                <w:rFonts w:ascii="Arial Narrow" w:hAnsi="Arial Narrow" w:cs="Times New Roman"/>
                <w:snapToGrid/>
                <w:sz w:val="20"/>
              </w:rPr>
              <w:t>)</w:t>
            </w:r>
          </w:p>
        </w:tc>
        <w:tc>
          <w:tcPr>
            <w:tcW w:w="1080"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Yes</w:t>
            </w:r>
          </w:p>
        </w:tc>
      </w:tr>
      <w:tr w:rsidR="00684833" w:rsidRPr="00BF2D12" w:rsidTr="00313917">
        <w:tc>
          <w:tcPr>
            <w:tcW w:w="638"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B/VIC</w:t>
            </w:r>
          </w:p>
        </w:tc>
        <w:tc>
          <w:tcPr>
            <w:tcW w:w="1063"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72.1</w:t>
            </w:r>
          </w:p>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(69.8, 74.3)</w:t>
            </w:r>
          </w:p>
        </w:tc>
        <w:tc>
          <w:tcPr>
            <w:tcW w:w="1119"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70.1</w:t>
            </w:r>
          </w:p>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(66.0, 74.0)</w:t>
            </w:r>
          </w:p>
        </w:tc>
        <w:tc>
          <w:tcPr>
            <w:tcW w:w="1101"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-2.0</w:t>
            </w:r>
          </w:p>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 xml:space="preserve">(-6.9, </w:t>
            </w:r>
            <w:r w:rsidRPr="00AE2101">
              <w:rPr>
                <w:rFonts w:ascii="Arial Narrow" w:hAnsi="Arial Narrow" w:cs="Times New Roman"/>
                <w:b/>
                <w:snapToGrid/>
                <w:sz w:val="20"/>
              </w:rPr>
              <w:t>2.9</w:t>
            </w:r>
            <w:r w:rsidRPr="00BF2D12">
              <w:rPr>
                <w:rFonts w:ascii="Arial Narrow" w:hAnsi="Arial Narrow" w:cs="Times New Roman"/>
                <w:snapToGrid/>
                <w:sz w:val="20"/>
              </w:rPr>
              <w:t>)</w:t>
            </w:r>
          </w:p>
        </w:tc>
        <w:tc>
          <w:tcPr>
            <w:tcW w:w="1080" w:type="pct"/>
          </w:tcPr>
          <w:p w:rsidR="00684833" w:rsidRPr="00BF2D12" w:rsidRDefault="00684833" w:rsidP="00D70714">
            <w:pPr>
              <w:keepNext/>
              <w:widowControl/>
              <w:jc w:val="left"/>
              <w:rPr>
                <w:rFonts w:ascii="Arial Narrow" w:hAnsi="Arial Narrow" w:cs="Times New Roman"/>
                <w:snapToGrid/>
                <w:sz w:val="20"/>
              </w:rPr>
            </w:pPr>
            <w:r w:rsidRPr="00BF2D12">
              <w:rPr>
                <w:rFonts w:ascii="Arial Narrow" w:hAnsi="Arial Narrow" w:cs="Times New Roman"/>
                <w:snapToGrid/>
                <w:sz w:val="20"/>
              </w:rPr>
              <w:t>Yes</w:t>
            </w:r>
          </w:p>
        </w:tc>
      </w:tr>
    </w:tbl>
    <w:p w:rsidR="00684833" w:rsidRPr="00D316C2" w:rsidRDefault="00684833" w:rsidP="00D70714">
      <w:pPr>
        <w:keepNext/>
        <w:widowControl/>
        <w:rPr>
          <w:rFonts w:ascii="Arial Narrow" w:hAnsi="Arial Narrow"/>
          <w:sz w:val="18"/>
        </w:rPr>
      </w:pPr>
      <w:r>
        <w:rPr>
          <w:rFonts w:ascii="Arial Narrow" w:hAnsi="Arial Narrow"/>
          <w:sz w:val="18"/>
        </w:rPr>
        <w:t xml:space="preserve">SCR: seroconversion rate; </w:t>
      </w:r>
      <w:r w:rsidRPr="00D316C2">
        <w:rPr>
          <w:rFonts w:ascii="Arial Narrow" w:hAnsi="Arial Narrow"/>
          <w:sz w:val="18"/>
        </w:rPr>
        <w:t>NI: non</w:t>
      </w:r>
      <w:r w:rsidR="00025B8F">
        <w:rPr>
          <w:rFonts w:ascii="Arial Narrow" w:hAnsi="Arial Narrow"/>
          <w:sz w:val="18"/>
        </w:rPr>
        <w:t>-</w:t>
      </w:r>
      <w:r w:rsidRPr="00D316C2">
        <w:rPr>
          <w:rFonts w:ascii="Arial Narrow" w:hAnsi="Arial Narrow"/>
          <w:sz w:val="18"/>
        </w:rPr>
        <w:t xml:space="preserve">inferiority; QIV: </w:t>
      </w:r>
      <w:proofErr w:type="spellStart"/>
      <w:r w:rsidRPr="00D316C2">
        <w:rPr>
          <w:rFonts w:ascii="Arial Narrow" w:hAnsi="Arial Narrow"/>
          <w:sz w:val="18"/>
        </w:rPr>
        <w:t>quadrivalent</w:t>
      </w:r>
      <w:proofErr w:type="spellEnd"/>
      <w:r w:rsidRPr="00D316C2">
        <w:rPr>
          <w:rFonts w:ascii="Arial Narrow" w:hAnsi="Arial Narrow"/>
          <w:sz w:val="18"/>
        </w:rPr>
        <w:t xml:space="preserve"> influenza vaccine; CI: confidence interval; UCL: upper confidence limit</w:t>
      </w:r>
    </w:p>
    <w:p w:rsidR="00684833" w:rsidRDefault="00684833" w:rsidP="00D70714">
      <w:pPr>
        <w:widowControl/>
        <w:rPr>
          <w:rFonts w:ascii="Arial Narrow" w:hAnsi="Arial Narrow"/>
          <w:sz w:val="18"/>
        </w:rPr>
      </w:pPr>
      <w:r w:rsidRPr="00D316C2">
        <w:rPr>
          <w:rFonts w:ascii="Arial Narrow" w:hAnsi="Arial Narrow"/>
          <w:sz w:val="18"/>
        </w:rPr>
        <w:t>Source: Table 2.13, p51 of the submission</w:t>
      </w:r>
    </w:p>
    <w:p w:rsidR="00936E34" w:rsidRPr="009C1F4E" w:rsidRDefault="00936E34" w:rsidP="00025B8F">
      <w:pPr>
        <w:pStyle w:val="TableFooter"/>
      </w:pPr>
    </w:p>
    <w:p w:rsidR="004F5806" w:rsidRPr="004F5806" w:rsidRDefault="00684833" w:rsidP="00D70714">
      <w:pPr>
        <w:pStyle w:val="ListParagraph"/>
        <w:widowControl/>
        <w:numPr>
          <w:ilvl w:val="1"/>
          <w:numId w:val="2"/>
        </w:numPr>
        <w:rPr>
          <w:rFonts w:cs="Calibri"/>
          <w:i/>
          <w:snapToGrid/>
          <w:szCs w:val="24"/>
          <w:lang w:val="en-US" w:eastAsia="en-AU"/>
        </w:rPr>
      </w:pPr>
      <w:r w:rsidRPr="00DC5371">
        <w:rPr>
          <w:rFonts w:cs="Calibri"/>
          <w:snapToGrid/>
          <w:szCs w:val="24"/>
          <w:lang w:val="en-US" w:eastAsia="en-AU"/>
        </w:rPr>
        <w:t xml:space="preserve">The upper confidence interval for the SCR difference was less than </w:t>
      </w:r>
      <w:r w:rsidR="009E3657">
        <w:rPr>
          <w:rFonts w:cs="Calibri"/>
          <w:snapToGrid/>
          <w:szCs w:val="24"/>
          <w:lang w:val="en-US" w:eastAsia="en-AU"/>
        </w:rPr>
        <w:t xml:space="preserve">the non-inferiority criterion nominated in the submission of </w:t>
      </w:r>
      <w:r w:rsidRPr="00DC5371">
        <w:rPr>
          <w:rFonts w:cs="Calibri"/>
          <w:snapToGrid/>
          <w:szCs w:val="24"/>
          <w:lang w:val="en-US" w:eastAsia="en-AU"/>
        </w:rPr>
        <w:t>10</w:t>
      </w:r>
      <w:r w:rsidR="00CB19BC">
        <w:rPr>
          <w:rFonts w:cs="Calibri"/>
          <w:snapToGrid/>
          <w:szCs w:val="24"/>
          <w:lang w:val="en-US" w:eastAsia="en-AU"/>
        </w:rPr>
        <w:t>%</w:t>
      </w:r>
      <w:r w:rsidRPr="00DC5371">
        <w:rPr>
          <w:rFonts w:cs="Calibri"/>
          <w:snapToGrid/>
          <w:szCs w:val="24"/>
          <w:lang w:val="en-US" w:eastAsia="en-AU"/>
        </w:rPr>
        <w:t xml:space="preserve"> for each</w:t>
      </w:r>
      <w:r w:rsidR="00C861B8">
        <w:rPr>
          <w:rFonts w:cs="Calibri"/>
          <w:snapToGrid/>
          <w:szCs w:val="24"/>
          <w:lang w:val="en-US" w:eastAsia="en-AU"/>
        </w:rPr>
        <w:t xml:space="preserve"> of the four influenza strains.</w:t>
      </w:r>
    </w:p>
    <w:p w:rsidR="00ED7373" w:rsidRPr="008A4AC2" w:rsidRDefault="004F5806" w:rsidP="00D70714">
      <w:pPr>
        <w:pStyle w:val="ListParagraph"/>
        <w:widowControl/>
        <w:numPr>
          <w:ilvl w:val="1"/>
          <w:numId w:val="2"/>
        </w:numPr>
        <w:rPr>
          <w:rFonts w:cs="Calibri"/>
          <w:i/>
          <w:snapToGrid/>
          <w:szCs w:val="24"/>
          <w:lang w:val="en-US" w:eastAsia="en-AU"/>
        </w:rPr>
      </w:pPr>
      <w:r>
        <w:rPr>
          <w:rFonts w:cs="Calibri"/>
          <w:snapToGrid/>
          <w:szCs w:val="24"/>
          <w:lang w:val="en-US" w:eastAsia="en-AU"/>
        </w:rPr>
        <w:lastRenderedPageBreak/>
        <w:t>The submission claimed that both of the non</w:t>
      </w:r>
      <w:r w:rsidR="000A7FC5">
        <w:rPr>
          <w:rFonts w:cs="Calibri"/>
          <w:snapToGrid/>
          <w:szCs w:val="24"/>
          <w:lang w:val="en-US" w:eastAsia="en-AU"/>
        </w:rPr>
        <w:t>-inferiority criteria were consistent with</w:t>
      </w:r>
      <w:r>
        <w:rPr>
          <w:rFonts w:cs="Calibri"/>
          <w:snapToGrid/>
          <w:szCs w:val="24"/>
          <w:lang w:val="en-US" w:eastAsia="en-AU"/>
        </w:rPr>
        <w:t xml:space="preserve"> FDA guidance (p49 of the submission). ATAGI considered that the non-inferiority criterion were appropriate (p3 of the ATAGI pre-submission advice).</w:t>
      </w:r>
      <w:bookmarkStart w:id="21" w:name="_Toc521332856"/>
      <w:bookmarkStart w:id="22" w:name="_Toc521934344"/>
    </w:p>
    <w:p w:rsidR="002149AC" w:rsidRPr="00C9624D" w:rsidRDefault="002149AC" w:rsidP="00D70714">
      <w:pPr>
        <w:pStyle w:val="Heading2"/>
      </w:pPr>
      <w:r w:rsidRPr="00C9624D">
        <w:t>Comparative harms</w:t>
      </w:r>
      <w:bookmarkEnd w:id="21"/>
      <w:bookmarkEnd w:id="22"/>
    </w:p>
    <w:p w:rsidR="009B4F38" w:rsidRPr="00D3423A" w:rsidRDefault="002149AC" w:rsidP="00D70714">
      <w:pPr>
        <w:pStyle w:val="ListParagraph"/>
        <w:widowControl/>
        <w:numPr>
          <w:ilvl w:val="1"/>
          <w:numId w:val="2"/>
        </w:numPr>
        <w:rPr>
          <w:rFonts w:cs="Calibri"/>
          <w:snapToGrid/>
          <w:szCs w:val="24"/>
          <w:lang w:val="en-US" w:eastAsia="en-AU"/>
        </w:rPr>
      </w:pPr>
      <w:r w:rsidRPr="00D3423A">
        <w:rPr>
          <w:rFonts w:cs="Calibri"/>
          <w:snapToGrid/>
          <w:szCs w:val="24"/>
          <w:lang w:val="en-US" w:eastAsia="en-AU"/>
        </w:rPr>
        <w:t xml:space="preserve">A summary of the solicited and unsolicited adverse events </w:t>
      </w:r>
      <w:proofErr w:type="gramStart"/>
      <w:r w:rsidRPr="00D3423A">
        <w:rPr>
          <w:rFonts w:cs="Calibri"/>
          <w:snapToGrid/>
          <w:szCs w:val="24"/>
          <w:lang w:val="en-US" w:eastAsia="en-AU"/>
        </w:rPr>
        <w:t>is presented</w:t>
      </w:r>
      <w:proofErr w:type="gramEnd"/>
      <w:r w:rsidRPr="00D3423A">
        <w:rPr>
          <w:rFonts w:cs="Calibri"/>
          <w:snapToGrid/>
          <w:szCs w:val="24"/>
          <w:lang w:val="en-US" w:eastAsia="en-AU"/>
        </w:rPr>
        <w:t xml:space="preserve"> in Table 6</w:t>
      </w:r>
      <w:r w:rsidR="004F5806">
        <w:rPr>
          <w:rStyle w:val="FootnoteReference"/>
          <w:rFonts w:cs="Calibri"/>
          <w:snapToGrid/>
          <w:szCs w:val="24"/>
          <w:lang w:val="en-US" w:eastAsia="en-AU"/>
        </w:rPr>
        <w:footnoteReference w:id="1"/>
      </w:r>
      <w:r w:rsidRPr="00D3423A">
        <w:rPr>
          <w:rFonts w:cs="Calibri"/>
          <w:snapToGrid/>
          <w:szCs w:val="24"/>
          <w:lang w:val="en-US" w:eastAsia="en-AU"/>
        </w:rPr>
        <w:t>.</w:t>
      </w:r>
    </w:p>
    <w:p w:rsidR="00684833" w:rsidRPr="00ED14C5" w:rsidRDefault="00684833" w:rsidP="00D70714">
      <w:pPr>
        <w:keepNext/>
        <w:widowControl/>
        <w:rPr>
          <w:rStyle w:val="CommentReference"/>
        </w:rPr>
      </w:pPr>
      <w:r w:rsidRPr="00ED14C5">
        <w:rPr>
          <w:rStyle w:val="CommentReference"/>
        </w:rPr>
        <w:t>Table 6:</w:t>
      </w:r>
      <w:r w:rsidR="00ED14C5" w:rsidRPr="00ED14C5">
        <w:rPr>
          <w:rStyle w:val="CommentReference"/>
        </w:rPr>
        <w:t xml:space="preserve"> </w:t>
      </w:r>
      <w:r w:rsidRPr="00ED14C5">
        <w:rPr>
          <w:rStyle w:val="CommentReference"/>
        </w:rPr>
        <w:t>Summary of all solicited and unsolicited adverse events in QIV-13-02 (OSS population)</w:t>
      </w:r>
    </w:p>
    <w:tbl>
      <w:tblPr>
        <w:tblStyle w:val="TableGrid"/>
        <w:tblW w:w="4942" w:type="pct"/>
        <w:tblInd w:w="108" w:type="dxa"/>
        <w:tblLook w:val="04A0" w:firstRow="1" w:lastRow="0" w:firstColumn="1" w:lastColumn="0" w:noHBand="0" w:noVBand="1"/>
        <w:tblCaption w:val="Summary of all solicited and unsolicited adverse events in QIV-13-02 (OSS population)"/>
      </w:tblPr>
      <w:tblGrid>
        <w:gridCol w:w="1788"/>
        <w:gridCol w:w="649"/>
        <w:gridCol w:w="852"/>
        <w:gridCol w:w="793"/>
        <w:gridCol w:w="774"/>
        <w:gridCol w:w="852"/>
        <w:gridCol w:w="775"/>
        <w:gridCol w:w="793"/>
        <w:gridCol w:w="852"/>
        <w:gridCol w:w="784"/>
      </w:tblGrid>
      <w:tr w:rsidR="00684833" w:rsidRPr="00991324" w:rsidTr="000A2E68">
        <w:trPr>
          <w:tblHeader/>
        </w:trPr>
        <w:tc>
          <w:tcPr>
            <w:tcW w:w="1003" w:type="pct"/>
            <w:vMerge w:val="restart"/>
            <w:shd w:val="clear" w:color="auto" w:fill="auto"/>
          </w:tcPr>
          <w:p w:rsidR="00684833" w:rsidRPr="00991324" w:rsidRDefault="00684833" w:rsidP="00D70714">
            <w:pPr>
              <w:keepNext/>
              <w:widowControl/>
              <w:jc w:val="left"/>
              <w:rPr>
                <w:rFonts w:ascii="Arial Narrow" w:hAnsi="Arial Narrow" w:cs="Times New Roman"/>
                <w:b/>
                <w:snapToGrid/>
                <w:sz w:val="20"/>
              </w:rPr>
            </w:pPr>
            <w:r w:rsidRPr="00991324">
              <w:rPr>
                <w:rFonts w:ascii="Arial Narrow" w:hAnsi="Arial Narrow" w:cs="Times New Roman"/>
                <w:b/>
                <w:snapToGrid/>
                <w:sz w:val="20"/>
              </w:rPr>
              <w:t>Category of adverse event (AE)</w:t>
            </w:r>
          </w:p>
        </w:tc>
        <w:tc>
          <w:tcPr>
            <w:tcW w:w="1287" w:type="pct"/>
            <w:gridSpan w:val="3"/>
            <w:shd w:val="clear" w:color="auto" w:fill="auto"/>
          </w:tcPr>
          <w:p w:rsidR="00684833" w:rsidRPr="00991324" w:rsidRDefault="001729A1" w:rsidP="00D70714">
            <w:pPr>
              <w:keepNext/>
              <w:widowControl/>
              <w:jc w:val="left"/>
              <w:rPr>
                <w:rFonts w:ascii="Arial Narrow" w:hAnsi="Arial Narrow" w:cs="Times New Roman"/>
                <w:b/>
                <w:snapToGrid/>
                <w:sz w:val="20"/>
              </w:rPr>
            </w:pPr>
            <w:r>
              <w:rPr>
                <w:rFonts w:ascii="Arial Narrow" w:hAnsi="Arial Narrow" w:cs="Times New Roman"/>
                <w:b/>
                <w:snapToGrid/>
                <w:sz w:val="20"/>
              </w:rPr>
              <w:t>Afluria Quad</w:t>
            </w:r>
          </w:p>
          <w:p w:rsidR="00684833" w:rsidRPr="00991324" w:rsidRDefault="00684833" w:rsidP="00D70714">
            <w:pPr>
              <w:keepNext/>
              <w:widowControl/>
              <w:jc w:val="left"/>
              <w:rPr>
                <w:rFonts w:ascii="Arial Narrow" w:hAnsi="Arial Narrow" w:cs="Times New Roman"/>
                <w:b/>
                <w:snapToGrid/>
                <w:sz w:val="20"/>
              </w:rPr>
            </w:pPr>
            <w:r w:rsidRPr="00991324">
              <w:rPr>
                <w:rFonts w:ascii="Arial Narrow" w:hAnsi="Arial Narrow" w:cs="Times New Roman"/>
                <w:b/>
                <w:snapToGrid/>
                <w:sz w:val="20"/>
              </w:rPr>
              <w:t>(N=1,692)</w:t>
            </w:r>
          </w:p>
        </w:tc>
        <w:tc>
          <w:tcPr>
            <w:tcW w:w="1347" w:type="pct"/>
            <w:gridSpan w:val="3"/>
            <w:shd w:val="clear" w:color="auto" w:fill="auto"/>
          </w:tcPr>
          <w:p w:rsidR="00684833" w:rsidRPr="00991324" w:rsidRDefault="001729A1" w:rsidP="00D70714">
            <w:pPr>
              <w:keepNext/>
              <w:widowControl/>
              <w:jc w:val="left"/>
              <w:rPr>
                <w:rFonts w:ascii="Arial Narrow" w:hAnsi="Arial Narrow" w:cs="Times New Roman"/>
                <w:b/>
                <w:snapToGrid/>
                <w:sz w:val="20"/>
              </w:rPr>
            </w:pPr>
            <w:proofErr w:type="spellStart"/>
            <w:r>
              <w:rPr>
                <w:rFonts w:ascii="Arial Narrow" w:hAnsi="Arial Narrow" w:cs="Times New Roman"/>
                <w:b/>
                <w:snapToGrid/>
                <w:sz w:val="20"/>
              </w:rPr>
              <w:t>Fluarix</w:t>
            </w:r>
            <w:proofErr w:type="spellEnd"/>
            <w:r>
              <w:rPr>
                <w:rFonts w:ascii="Arial Narrow" w:hAnsi="Arial Narrow" w:cs="Times New Roman"/>
                <w:b/>
                <w:snapToGrid/>
                <w:sz w:val="20"/>
              </w:rPr>
              <w:t xml:space="preserve"> Tetra</w:t>
            </w:r>
          </w:p>
          <w:p w:rsidR="00684833" w:rsidRPr="00991324" w:rsidRDefault="00684833" w:rsidP="00D70714">
            <w:pPr>
              <w:keepNext/>
              <w:widowControl/>
              <w:jc w:val="left"/>
              <w:rPr>
                <w:rFonts w:ascii="Arial Narrow" w:hAnsi="Arial Narrow" w:cs="Times New Roman"/>
                <w:b/>
                <w:snapToGrid/>
                <w:sz w:val="20"/>
              </w:rPr>
            </w:pPr>
            <w:r w:rsidRPr="00991324">
              <w:rPr>
                <w:rFonts w:ascii="Arial Narrow" w:hAnsi="Arial Narrow" w:cs="Times New Roman"/>
                <w:b/>
                <w:snapToGrid/>
                <w:sz w:val="20"/>
              </w:rPr>
              <w:t>(N=560)</w:t>
            </w:r>
          </w:p>
        </w:tc>
        <w:tc>
          <w:tcPr>
            <w:tcW w:w="1363" w:type="pct"/>
            <w:gridSpan w:val="3"/>
            <w:shd w:val="clear" w:color="auto" w:fill="auto"/>
          </w:tcPr>
          <w:p w:rsidR="00684833" w:rsidRPr="00991324" w:rsidRDefault="00684833" w:rsidP="00D70714">
            <w:pPr>
              <w:keepNext/>
              <w:widowControl/>
              <w:jc w:val="left"/>
              <w:rPr>
                <w:rFonts w:ascii="Arial Narrow" w:hAnsi="Arial Narrow" w:cs="Times New Roman"/>
                <w:b/>
                <w:snapToGrid/>
                <w:sz w:val="20"/>
              </w:rPr>
            </w:pPr>
            <w:r w:rsidRPr="00991324">
              <w:rPr>
                <w:rFonts w:ascii="Arial Narrow" w:hAnsi="Arial Narrow" w:cs="Times New Roman"/>
                <w:b/>
                <w:snapToGrid/>
                <w:sz w:val="20"/>
              </w:rPr>
              <w:t>Overall</w:t>
            </w:r>
          </w:p>
          <w:p w:rsidR="00684833" w:rsidRPr="00991324" w:rsidRDefault="00684833" w:rsidP="00D70714">
            <w:pPr>
              <w:keepNext/>
              <w:widowControl/>
              <w:jc w:val="left"/>
              <w:rPr>
                <w:rFonts w:ascii="Arial Narrow" w:hAnsi="Arial Narrow" w:cs="Times New Roman"/>
                <w:b/>
                <w:snapToGrid/>
                <w:sz w:val="20"/>
              </w:rPr>
            </w:pPr>
            <w:r w:rsidRPr="00991324">
              <w:rPr>
                <w:rFonts w:ascii="Arial Narrow" w:hAnsi="Arial Narrow" w:cs="Times New Roman"/>
                <w:b/>
                <w:snapToGrid/>
                <w:sz w:val="20"/>
              </w:rPr>
              <w:t>(N=2,252)</w:t>
            </w:r>
          </w:p>
        </w:tc>
      </w:tr>
      <w:tr w:rsidR="00684833" w:rsidRPr="00991324" w:rsidTr="000A2E68">
        <w:trPr>
          <w:tblHeader/>
        </w:trPr>
        <w:tc>
          <w:tcPr>
            <w:tcW w:w="1003" w:type="pct"/>
            <w:vMerge/>
            <w:shd w:val="clear" w:color="auto" w:fill="auto"/>
          </w:tcPr>
          <w:p w:rsidR="00684833" w:rsidRPr="00991324" w:rsidRDefault="00684833" w:rsidP="00D70714">
            <w:pPr>
              <w:keepNext/>
              <w:widowControl/>
              <w:jc w:val="left"/>
              <w:rPr>
                <w:rFonts w:ascii="Arial Narrow" w:hAnsi="Arial Narrow" w:cs="Times New Roman"/>
                <w:b/>
                <w:snapToGrid/>
                <w:sz w:val="20"/>
              </w:rPr>
            </w:pPr>
          </w:p>
        </w:tc>
        <w:tc>
          <w:tcPr>
            <w:tcW w:w="364" w:type="pct"/>
            <w:shd w:val="clear" w:color="auto" w:fill="auto"/>
          </w:tcPr>
          <w:p w:rsidR="00684833" w:rsidRPr="00991324" w:rsidRDefault="00684833" w:rsidP="00D70714">
            <w:pPr>
              <w:keepNext/>
              <w:widowControl/>
              <w:jc w:val="left"/>
              <w:rPr>
                <w:rFonts w:ascii="Arial Narrow" w:hAnsi="Arial Narrow" w:cs="Times New Roman"/>
                <w:b/>
                <w:snapToGrid/>
                <w:sz w:val="20"/>
              </w:rPr>
            </w:pPr>
            <w:r w:rsidRPr="00991324">
              <w:rPr>
                <w:rFonts w:ascii="Arial Narrow" w:hAnsi="Arial Narrow" w:cs="Times New Roman"/>
                <w:b/>
                <w:snapToGrid/>
                <w:sz w:val="20"/>
              </w:rPr>
              <w:t>n</w:t>
            </w:r>
          </w:p>
        </w:tc>
        <w:tc>
          <w:tcPr>
            <w:tcW w:w="478" w:type="pct"/>
            <w:shd w:val="clear" w:color="auto" w:fill="auto"/>
          </w:tcPr>
          <w:p w:rsidR="00684833" w:rsidRPr="00991324" w:rsidRDefault="00684833" w:rsidP="00D70714">
            <w:pPr>
              <w:keepNext/>
              <w:widowControl/>
              <w:jc w:val="left"/>
              <w:rPr>
                <w:rFonts w:ascii="Arial Narrow" w:hAnsi="Arial Narrow" w:cs="Times New Roman"/>
                <w:b/>
                <w:snapToGrid/>
                <w:sz w:val="20"/>
              </w:rPr>
            </w:pPr>
            <w:r w:rsidRPr="00991324">
              <w:rPr>
                <w:rFonts w:ascii="Arial Narrow" w:hAnsi="Arial Narrow" w:cs="Times New Roman"/>
                <w:b/>
                <w:snapToGrid/>
                <w:sz w:val="20"/>
              </w:rPr>
              <w:t>(%)</w:t>
            </w:r>
          </w:p>
        </w:tc>
        <w:tc>
          <w:tcPr>
            <w:tcW w:w="445" w:type="pct"/>
            <w:shd w:val="clear" w:color="auto" w:fill="auto"/>
          </w:tcPr>
          <w:p w:rsidR="00684833" w:rsidRPr="00991324" w:rsidRDefault="00684833" w:rsidP="00D70714">
            <w:pPr>
              <w:keepNext/>
              <w:widowControl/>
              <w:jc w:val="left"/>
              <w:rPr>
                <w:rFonts w:ascii="Arial Narrow" w:hAnsi="Arial Narrow" w:cs="Times New Roman"/>
                <w:b/>
                <w:snapToGrid/>
                <w:sz w:val="20"/>
              </w:rPr>
            </w:pPr>
            <w:r w:rsidRPr="00991324">
              <w:rPr>
                <w:rFonts w:ascii="Arial Narrow" w:hAnsi="Arial Narrow" w:cs="Times New Roman"/>
                <w:b/>
                <w:snapToGrid/>
                <w:sz w:val="20"/>
              </w:rPr>
              <w:t>Events</w:t>
            </w:r>
          </w:p>
        </w:tc>
        <w:tc>
          <w:tcPr>
            <w:tcW w:w="434" w:type="pct"/>
            <w:shd w:val="clear" w:color="auto" w:fill="auto"/>
          </w:tcPr>
          <w:p w:rsidR="00684833" w:rsidRPr="00991324" w:rsidRDefault="00684833" w:rsidP="00D70714">
            <w:pPr>
              <w:keepNext/>
              <w:widowControl/>
              <w:jc w:val="left"/>
              <w:rPr>
                <w:rFonts w:ascii="Arial Narrow" w:hAnsi="Arial Narrow" w:cs="Times New Roman"/>
                <w:b/>
                <w:snapToGrid/>
                <w:sz w:val="20"/>
              </w:rPr>
            </w:pPr>
            <w:r w:rsidRPr="00991324">
              <w:rPr>
                <w:rFonts w:ascii="Arial Narrow" w:hAnsi="Arial Narrow" w:cs="Times New Roman"/>
                <w:b/>
                <w:snapToGrid/>
                <w:sz w:val="20"/>
              </w:rPr>
              <w:t>n</w:t>
            </w:r>
          </w:p>
        </w:tc>
        <w:tc>
          <w:tcPr>
            <w:tcW w:w="478" w:type="pct"/>
            <w:shd w:val="clear" w:color="auto" w:fill="auto"/>
          </w:tcPr>
          <w:p w:rsidR="00684833" w:rsidRPr="00991324" w:rsidRDefault="00684833" w:rsidP="00D70714">
            <w:pPr>
              <w:keepNext/>
              <w:widowControl/>
              <w:jc w:val="left"/>
              <w:rPr>
                <w:rFonts w:ascii="Arial Narrow" w:hAnsi="Arial Narrow" w:cs="Times New Roman"/>
                <w:b/>
                <w:snapToGrid/>
                <w:sz w:val="20"/>
              </w:rPr>
            </w:pPr>
            <w:r w:rsidRPr="00991324">
              <w:rPr>
                <w:rFonts w:ascii="Arial Narrow" w:hAnsi="Arial Narrow" w:cs="Times New Roman"/>
                <w:b/>
                <w:snapToGrid/>
                <w:sz w:val="20"/>
              </w:rPr>
              <w:t>(%)</w:t>
            </w:r>
          </w:p>
        </w:tc>
        <w:tc>
          <w:tcPr>
            <w:tcW w:w="435" w:type="pct"/>
            <w:shd w:val="clear" w:color="auto" w:fill="auto"/>
          </w:tcPr>
          <w:p w:rsidR="00684833" w:rsidRPr="00991324" w:rsidRDefault="00684833" w:rsidP="00D70714">
            <w:pPr>
              <w:keepNext/>
              <w:widowControl/>
              <w:jc w:val="left"/>
              <w:rPr>
                <w:rFonts w:ascii="Arial Narrow" w:hAnsi="Arial Narrow" w:cs="Times New Roman"/>
                <w:b/>
                <w:snapToGrid/>
                <w:sz w:val="20"/>
              </w:rPr>
            </w:pPr>
            <w:r w:rsidRPr="00991324">
              <w:rPr>
                <w:rFonts w:ascii="Arial Narrow" w:hAnsi="Arial Narrow" w:cs="Times New Roman"/>
                <w:b/>
                <w:snapToGrid/>
                <w:sz w:val="20"/>
              </w:rPr>
              <w:t>Events</w:t>
            </w:r>
          </w:p>
        </w:tc>
        <w:tc>
          <w:tcPr>
            <w:tcW w:w="445" w:type="pct"/>
            <w:shd w:val="clear" w:color="auto" w:fill="auto"/>
          </w:tcPr>
          <w:p w:rsidR="00684833" w:rsidRPr="00991324" w:rsidRDefault="00684833" w:rsidP="00D70714">
            <w:pPr>
              <w:keepNext/>
              <w:widowControl/>
              <w:jc w:val="left"/>
              <w:rPr>
                <w:rFonts w:ascii="Arial Narrow" w:hAnsi="Arial Narrow" w:cs="Times New Roman"/>
                <w:b/>
                <w:snapToGrid/>
                <w:sz w:val="20"/>
              </w:rPr>
            </w:pPr>
            <w:r w:rsidRPr="00991324">
              <w:rPr>
                <w:rFonts w:ascii="Arial Narrow" w:hAnsi="Arial Narrow" w:cs="Times New Roman"/>
                <w:b/>
                <w:snapToGrid/>
                <w:sz w:val="20"/>
              </w:rPr>
              <w:t>n</w:t>
            </w:r>
          </w:p>
        </w:tc>
        <w:tc>
          <w:tcPr>
            <w:tcW w:w="478" w:type="pct"/>
            <w:shd w:val="clear" w:color="auto" w:fill="auto"/>
          </w:tcPr>
          <w:p w:rsidR="00684833" w:rsidRPr="00991324" w:rsidRDefault="00684833" w:rsidP="00D70714">
            <w:pPr>
              <w:keepNext/>
              <w:widowControl/>
              <w:jc w:val="left"/>
              <w:rPr>
                <w:rFonts w:ascii="Arial Narrow" w:hAnsi="Arial Narrow" w:cs="Times New Roman"/>
                <w:b/>
                <w:snapToGrid/>
                <w:sz w:val="20"/>
              </w:rPr>
            </w:pPr>
            <w:r w:rsidRPr="00991324">
              <w:rPr>
                <w:rFonts w:ascii="Arial Narrow" w:hAnsi="Arial Narrow" w:cs="Times New Roman"/>
                <w:b/>
                <w:snapToGrid/>
                <w:sz w:val="20"/>
              </w:rPr>
              <w:t>(%)</w:t>
            </w:r>
          </w:p>
        </w:tc>
        <w:tc>
          <w:tcPr>
            <w:tcW w:w="440" w:type="pct"/>
            <w:shd w:val="clear" w:color="auto" w:fill="auto"/>
          </w:tcPr>
          <w:p w:rsidR="00684833" w:rsidRPr="00991324" w:rsidRDefault="00684833" w:rsidP="00D70714">
            <w:pPr>
              <w:keepNext/>
              <w:widowControl/>
              <w:jc w:val="left"/>
              <w:rPr>
                <w:rFonts w:ascii="Arial Narrow" w:hAnsi="Arial Narrow" w:cs="Times New Roman"/>
                <w:b/>
                <w:snapToGrid/>
                <w:sz w:val="20"/>
              </w:rPr>
            </w:pPr>
            <w:r w:rsidRPr="00991324">
              <w:rPr>
                <w:rFonts w:ascii="Arial Narrow" w:hAnsi="Arial Narrow" w:cs="Times New Roman"/>
                <w:b/>
                <w:snapToGrid/>
                <w:sz w:val="20"/>
              </w:rPr>
              <w:t>Events</w:t>
            </w:r>
          </w:p>
        </w:tc>
      </w:tr>
      <w:tr w:rsidR="00684833" w:rsidRPr="00221FD9" w:rsidTr="000A2E68">
        <w:tc>
          <w:tcPr>
            <w:tcW w:w="1003"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No Adverse Events</w:t>
            </w:r>
          </w:p>
        </w:tc>
        <w:tc>
          <w:tcPr>
            <w:tcW w:w="364"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598</w:t>
            </w:r>
          </w:p>
        </w:tc>
        <w:tc>
          <w:tcPr>
            <w:tcW w:w="478"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(35.3)</w:t>
            </w:r>
          </w:p>
        </w:tc>
        <w:tc>
          <w:tcPr>
            <w:tcW w:w="445"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w:t>
            </w:r>
          </w:p>
        </w:tc>
        <w:tc>
          <w:tcPr>
            <w:tcW w:w="434"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223</w:t>
            </w:r>
          </w:p>
        </w:tc>
        <w:tc>
          <w:tcPr>
            <w:tcW w:w="478"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(39.8)</w:t>
            </w:r>
          </w:p>
        </w:tc>
        <w:tc>
          <w:tcPr>
            <w:tcW w:w="435"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w:t>
            </w:r>
          </w:p>
        </w:tc>
        <w:tc>
          <w:tcPr>
            <w:tcW w:w="445"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821</w:t>
            </w:r>
          </w:p>
        </w:tc>
        <w:tc>
          <w:tcPr>
            <w:tcW w:w="478"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(36.5)</w:t>
            </w:r>
          </w:p>
        </w:tc>
        <w:tc>
          <w:tcPr>
            <w:tcW w:w="440"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w:t>
            </w:r>
          </w:p>
        </w:tc>
      </w:tr>
      <w:tr w:rsidR="00684833" w:rsidRPr="00221FD9" w:rsidTr="000A2E68">
        <w:tc>
          <w:tcPr>
            <w:tcW w:w="1003"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 1 AE</w:t>
            </w:r>
          </w:p>
        </w:tc>
        <w:tc>
          <w:tcPr>
            <w:tcW w:w="364"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1,094</w:t>
            </w:r>
          </w:p>
        </w:tc>
        <w:tc>
          <w:tcPr>
            <w:tcW w:w="478"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(64.7)</w:t>
            </w:r>
          </w:p>
        </w:tc>
        <w:tc>
          <w:tcPr>
            <w:tcW w:w="445"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2,902</w:t>
            </w:r>
          </w:p>
        </w:tc>
        <w:tc>
          <w:tcPr>
            <w:tcW w:w="434"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337</w:t>
            </w:r>
          </w:p>
        </w:tc>
        <w:tc>
          <w:tcPr>
            <w:tcW w:w="478"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(60.2)</w:t>
            </w:r>
          </w:p>
        </w:tc>
        <w:tc>
          <w:tcPr>
            <w:tcW w:w="435"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844</w:t>
            </w:r>
          </w:p>
        </w:tc>
        <w:tc>
          <w:tcPr>
            <w:tcW w:w="445"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1,431</w:t>
            </w:r>
          </w:p>
        </w:tc>
        <w:tc>
          <w:tcPr>
            <w:tcW w:w="478"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(63.5)</w:t>
            </w:r>
          </w:p>
        </w:tc>
        <w:tc>
          <w:tcPr>
            <w:tcW w:w="440"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3,746</w:t>
            </w:r>
          </w:p>
        </w:tc>
      </w:tr>
      <w:tr w:rsidR="00684833" w:rsidRPr="00221FD9" w:rsidTr="000A2E68">
        <w:tc>
          <w:tcPr>
            <w:tcW w:w="1003"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 1 Related AE</w:t>
            </w:r>
          </w:p>
        </w:tc>
        <w:tc>
          <w:tcPr>
            <w:tcW w:w="364"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1,003</w:t>
            </w:r>
          </w:p>
        </w:tc>
        <w:tc>
          <w:tcPr>
            <w:tcW w:w="478"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(59.3)</w:t>
            </w:r>
          </w:p>
        </w:tc>
        <w:tc>
          <w:tcPr>
            <w:tcW w:w="445"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2,285</w:t>
            </w:r>
          </w:p>
        </w:tc>
        <w:tc>
          <w:tcPr>
            <w:tcW w:w="434"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310</w:t>
            </w:r>
          </w:p>
        </w:tc>
        <w:tc>
          <w:tcPr>
            <w:tcW w:w="478"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(55.4)</w:t>
            </w:r>
          </w:p>
        </w:tc>
        <w:tc>
          <w:tcPr>
            <w:tcW w:w="435"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666</w:t>
            </w:r>
          </w:p>
        </w:tc>
        <w:tc>
          <w:tcPr>
            <w:tcW w:w="445"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1,313</w:t>
            </w:r>
          </w:p>
        </w:tc>
        <w:tc>
          <w:tcPr>
            <w:tcW w:w="478"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(58.3)</w:t>
            </w:r>
          </w:p>
        </w:tc>
        <w:tc>
          <w:tcPr>
            <w:tcW w:w="440"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2,951</w:t>
            </w:r>
          </w:p>
        </w:tc>
      </w:tr>
      <w:tr w:rsidR="00684833" w:rsidRPr="00221FD9" w:rsidTr="000A2E68">
        <w:tc>
          <w:tcPr>
            <w:tcW w:w="1003" w:type="pct"/>
            <w:tcBorders>
              <w:top w:val="single" w:sz="4" w:space="0" w:color="auto"/>
              <w:left w:val="single" w:sz="4" w:space="0" w:color="auto"/>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 xml:space="preserve">Overall AE Intensity </w:t>
            </w:r>
          </w:p>
        </w:tc>
        <w:tc>
          <w:tcPr>
            <w:tcW w:w="364" w:type="pct"/>
            <w:tcBorders>
              <w:top w:val="single" w:sz="4" w:space="0" w:color="auto"/>
              <w:left w:val="nil"/>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c>
          <w:tcPr>
            <w:tcW w:w="478" w:type="pct"/>
            <w:tcBorders>
              <w:top w:val="single" w:sz="4" w:space="0" w:color="auto"/>
              <w:left w:val="nil"/>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c>
          <w:tcPr>
            <w:tcW w:w="445" w:type="pct"/>
            <w:tcBorders>
              <w:top w:val="single" w:sz="4" w:space="0" w:color="auto"/>
              <w:left w:val="nil"/>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c>
          <w:tcPr>
            <w:tcW w:w="434" w:type="pct"/>
            <w:tcBorders>
              <w:top w:val="single" w:sz="4" w:space="0" w:color="auto"/>
              <w:left w:val="nil"/>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c>
          <w:tcPr>
            <w:tcW w:w="478" w:type="pct"/>
            <w:tcBorders>
              <w:top w:val="single" w:sz="4" w:space="0" w:color="auto"/>
              <w:left w:val="nil"/>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c>
          <w:tcPr>
            <w:tcW w:w="435" w:type="pct"/>
            <w:tcBorders>
              <w:top w:val="single" w:sz="4" w:space="0" w:color="auto"/>
              <w:left w:val="nil"/>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c>
          <w:tcPr>
            <w:tcW w:w="445" w:type="pct"/>
            <w:tcBorders>
              <w:top w:val="single" w:sz="4" w:space="0" w:color="auto"/>
              <w:left w:val="nil"/>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c>
          <w:tcPr>
            <w:tcW w:w="478" w:type="pct"/>
            <w:tcBorders>
              <w:top w:val="single" w:sz="4" w:space="0" w:color="auto"/>
              <w:left w:val="nil"/>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c>
          <w:tcPr>
            <w:tcW w:w="440" w:type="pct"/>
            <w:tcBorders>
              <w:top w:val="single" w:sz="4" w:space="0" w:color="auto"/>
              <w:left w:val="nil"/>
              <w:bottom w:val="single" w:sz="4" w:space="0" w:color="auto"/>
              <w:right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r>
      <w:tr w:rsidR="00684833" w:rsidRPr="00221FD9" w:rsidTr="000A2E68">
        <w:tc>
          <w:tcPr>
            <w:tcW w:w="1003"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Grade 1</w:t>
            </w:r>
          </w:p>
        </w:tc>
        <w:tc>
          <w:tcPr>
            <w:tcW w:w="364"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637</w:t>
            </w:r>
          </w:p>
        </w:tc>
        <w:tc>
          <w:tcPr>
            <w:tcW w:w="478"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(37.6)</w:t>
            </w:r>
          </w:p>
        </w:tc>
        <w:tc>
          <w:tcPr>
            <w:tcW w:w="445"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1,933</w:t>
            </w:r>
          </w:p>
        </w:tc>
        <w:tc>
          <w:tcPr>
            <w:tcW w:w="434"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194</w:t>
            </w:r>
          </w:p>
        </w:tc>
        <w:tc>
          <w:tcPr>
            <w:tcW w:w="478"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(34.6)</w:t>
            </w:r>
          </w:p>
        </w:tc>
        <w:tc>
          <w:tcPr>
            <w:tcW w:w="435"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577</w:t>
            </w:r>
          </w:p>
        </w:tc>
        <w:tc>
          <w:tcPr>
            <w:tcW w:w="445"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831</w:t>
            </w:r>
          </w:p>
        </w:tc>
        <w:tc>
          <w:tcPr>
            <w:tcW w:w="478"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(36.9)</w:t>
            </w:r>
          </w:p>
        </w:tc>
        <w:tc>
          <w:tcPr>
            <w:tcW w:w="440"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2,510</w:t>
            </w:r>
          </w:p>
        </w:tc>
      </w:tr>
      <w:tr w:rsidR="00684833" w:rsidRPr="00221FD9" w:rsidTr="000A2E68">
        <w:tc>
          <w:tcPr>
            <w:tcW w:w="1003"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Grade 2</w:t>
            </w:r>
          </w:p>
        </w:tc>
        <w:tc>
          <w:tcPr>
            <w:tcW w:w="364"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355</w:t>
            </w:r>
          </w:p>
        </w:tc>
        <w:tc>
          <w:tcPr>
            <w:tcW w:w="478"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(21.0)</w:t>
            </w:r>
          </w:p>
        </w:tc>
        <w:tc>
          <w:tcPr>
            <w:tcW w:w="445"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811</w:t>
            </w:r>
          </w:p>
        </w:tc>
        <w:tc>
          <w:tcPr>
            <w:tcW w:w="434"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113</w:t>
            </w:r>
          </w:p>
        </w:tc>
        <w:tc>
          <w:tcPr>
            <w:tcW w:w="478"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(20.2)</w:t>
            </w:r>
          </w:p>
        </w:tc>
        <w:tc>
          <w:tcPr>
            <w:tcW w:w="435"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227</w:t>
            </w:r>
          </w:p>
        </w:tc>
        <w:tc>
          <w:tcPr>
            <w:tcW w:w="445"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468</w:t>
            </w:r>
          </w:p>
        </w:tc>
        <w:tc>
          <w:tcPr>
            <w:tcW w:w="478"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(20.8)</w:t>
            </w:r>
          </w:p>
        </w:tc>
        <w:tc>
          <w:tcPr>
            <w:tcW w:w="440"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1,038</w:t>
            </w:r>
          </w:p>
        </w:tc>
      </w:tr>
      <w:tr w:rsidR="00684833" w:rsidRPr="00221FD9" w:rsidTr="000A2E68">
        <w:tc>
          <w:tcPr>
            <w:tcW w:w="1003"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Grade 3</w:t>
            </w:r>
          </w:p>
        </w:tc>
        <w:tc>
          <w:tcPr>
            <w:tcW w:w="364"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101</w:t>
            </w:r>
          </w:p>
        </w:tc>
        <w:tc>
          <w:tcPr>
            <w:tcW w:w="478"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(6.0)</w:t>
            </w:r>
          </w:p>
        </w:tc>
        <w:tc>
          <w:tcPr>
            <w:tcW w:w="445"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153</w:t>
            </w:r>
          </w:p>
        </w:tc>
        <w:tc>
          <w:tcPr>
            <w:tcW w:w="434"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30</w:t>
            </w:r>
          </w:p>
        </w:tc>
        <w:tc>
          <w:tcPr>
            <w:tcW w:w="478"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(5.4)</w:t>
            </w:r>
          </w:p>
        </w:tc>
        <w:tc>
          <w:tcPr>
            <w:tcW w:w="435"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39</w:t>
            </w:r>
          </w:p>
        </w:tc>
        <w:tc>
          <w:tcPr>
            <w:tcW w:w="445"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131</w:t>
            </w:r>
          </w:p>
        </w:tc>
        <w:tc>
          <w:tcPr>
            <w:tcW w:w="478"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(5.8)</w:t>
            </w:r>
          </w:p>
        </w:tc>
        <w:tc>
          <w:tcPr>
            <w:tcW w:w="440"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192</w:t>
            </w:r>
          </w:p>
        </w:tc>
      </w:tr>
      <w:tr w:rsidR="00684833" w:rsidRPr="00221FD9" w:rsidTr="000A2E68">
        <w:tc>
          <w:tcPr>
            <w:tcW w:w="1003"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Missing</w:t>
            </w:r>
          </w:p>
        </w:tc>
        <w:tc>
          <w:tcPr>
            <w:tcW w:w="364"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w:t>
            </w:r>
          </w:p>
        </w:tc>
        <w:tc>
          <w:tcPr>
            <w:tcW w:w="478"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(&lt;0.1)</w:t>
            </w:r>
          </w:p>
        </w:tc>
        <w:tc>
          <w:tcPr>
            <w:tcW w:w="445"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5</w:t>
            </w:r>
          </w:p>
        </w:tc>
        <w:tc>
          <w:tcPr>
            <w:tcW w:w="434"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0</w:t>
            </w:r>
          </w:p>
        </w:tc>
        <w:tc>
          <w:tcPr>
            <w:tcW w:w="478" w:type="pct"/>
            <w:tcBorders>
              <w:bottom w:val="single" w:sz="4" w:space="0" w:color="auto"/>
            </w:tcBorders>
            <w:shd w:val="clear" w:color="auto" w:fill="auto"/>
          </w:tcPr>
          <w:p w:rsidR="00684833" w:rsidRPr="00991324" w:rsidRDefault="00FF4F0B" w:rsidP="00D70714">
            <w:pPr>
              <w:keepNext/>
              <w:widowControl/>
              <w:jc w:val="left"/>
              <w:rPr>
                <w:rFonts w:ascii="Arial Narrow" w:hAnsi="Arial Narrow" w:cs="Times New Roman"/>
                <w:snapToGrid/>
                <w:sz w:val="20"/>
              </w:rPr>
            </w:pPr>
            <w:r>
              <w:rPr>
                <w:rFonts w:ascii="Arial Narrow" w:hAnsi="Arial Narrow" w:cs="Times New Roman"/>
                <w:snapToGrid/>
                <w:sz w:val="20"/>
              </w:rPr>
              <w:t>-</w:t>
            </w:r>
          </w:p>
        </w:tc>
        <w:tc>
          <w:tcPr>
            <w:tcW w:w="435"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w:t>
            </w:r>
          </w:p>
        </w:tc>
        <w:tc>
          <w:tcPr>
            <w:tcW w:w="445"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w:t>
            </w:r>
          </w:p>
        </w:tc>
        <w:tc>
          <w:tcPr>
            <w:tcW w:w="478"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(&lt;0.1)</w:t>
            </w:r>
          </w:p>
        </w:tc>
        <w:tc>
          <w:tcPr>
            <w:tcW w:w="440"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6</w:t>
            </w:r>
          </w:p>
        </w:tc>
      </w:tr>
      <w:tr w:rsidR="00684833" w:rsidRPr="00221FD9" w:rsidTr="000A2E68">
        <w:tc>
          <w:tcPr>
            <w:tcW w:w="1003" w:type="pct"/>
            <w:tcBorders>
              <w:top w:val="single" w:sz="4" w:space="0" w:color="auto"/>
              <w:left w:val="single" w:sz="4" w:space="0" w:color="auto"/>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Solicited AE Intensity</w:t>
            </w:r>
          </w:p>
        </w:tc>
        <w:tc>
          <w:tcPr>
            <w:tcW w:w="364" w:type="pct"/>
            <w:tcBorders>
              <w:top w:val="single" w:sz="4" w:space="0" w:color="auto"/>
              <w:left w:val="nil"/>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c>
          <w:tcPr>
            <w:tcW w:w="478" w:type="pct"/>
            <w:tcBorders>
              <w:top w:val="single" w:sz="4" w:space="0" w:color="auto"/>
              <w:left w:val="nil"/>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c>
          <w:tcPr>
            <w:tcW w:w="445" w:type="pct"/>
            <w:tcBorders>
              <w:top w:val="single" w:sz="4" w:space="0" w:color="auto"/>
              <w:left w:val="nil"/>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c>
          <w:tcPr>
            <w:tcW w:w="434" w:type="pct"/>
            <w:tcBorders>
              <w:top w:val="single" w:sz="4" w:space="0" w:color="auto"/>
              <w:left w:val="nil"/>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c>
          <w:tcPr>
            <w:tcW w:w="478" w:type="pct"/>
            <w:tcBorders>
              <w:top w:val="single" w:sz="4" w:space="0" w:color="auto"/>
              <w:left w:val="nil"/>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c>
          <w:tcPr>
            <w:tcW w:w="435" w:type="pct"/>
            <w:tcBorders>
              <w:top w:val="single" w:sz="4" w:space="0" w:color="auto"/>
              <w:left w:val="nil"/>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c>
          <w:tcPr>
            <w:tcW w:w="445" w:type="pct"/>
            <w:tcBorders>
              <w:top w:val="single" w:sz="4" w:space="0" w:color="auto"/>
              <w:left w:val="nil"/>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c>
          <w:tcPr>
            <w:tcW w:w="478" w:type="pct"/>
            <w:tcBorders>
              <w:top w:val="single" w:sz="4" w:space="0" w:color="auto"/>
              <w:left w:val="nil"/>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c>
          <w:tcPr>
            <w:tcW w:w="440" w:type="pct"/>
            <w:tcBorders>
              <w:top w:val="single" w:sz="4" w:space="0" w:color="auto"/>
              <w:left w:val="nil"/>
              <w:bottom w:val="single" w:sz="4" w:space="0" w:color="auto"/>
              <w:right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r>
      <w:tr w:rsidR="00684833" w:rsidRPr="00221FD9" w:rsidTr="000A2E68">
        <w:tc>
          <w:tcPr>
            <w:tcW w:w="1003"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Grade 1</w:t>
            </w:r>
          </w:p>
        </w:tc>
        <w:tc>
          <w:tcPr>
            <w:tcW w:w="364"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627</w:t>
            </w:r>
          </w:p>
        </w:tc>
        <w:tc>
          <w:tcPr>
            <w:tcW w:w="478"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(38.7)</w:t>
            </w:r>
          </w:p>
        </w:tc>
        <w:tc>
          <w:tcPr>
            <w:tcW w:w="445"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1,675</w:t>
            </w:r>
          </w:p>
        </w:tc>
        <w:tc>
          <w:tcPr>
            <w:tcW w:w="434"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200</w:t>
            </w:r>
          </w:p>
        </w:tc>
        <w:tc>
          <w:tcPr>
            <w:tcW w:w="478"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(37.4)</w:t>
            </w:r>
          </w:p>
        </w:tc>
        <w:tc>
          <w:tcPr>
            <w:tcW w:w="435"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515</w:t>
            </w:r>
          </w:p>
        </w:tc>
        <w:tc>
          <w:tcPr>
            <w:tcW w:w="445"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827</w:t>
            </w:r>
          </w:p>
        </w:tc>
        <w:tc>
          <w:tcPr>
            <w:tcW w:w="478"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 xml:space="preserve">(38.4) </w:t>
            </w:r>
          </w:p>
        </w:tc>
        <w:tc>
          <w:tcPr>
            <w:tcW w:w="440"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2,190</w:t>
            </w:r>
          </w:p>
        </w:tc>
      </w:tr>
      <w:tr w:rsidR="00684833" w:rsidRPr="00221FD9" w:rsidTr="000A2E68">
        <w:tc>
          <w:tcPr>
            <w:tcW w:w="1003"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Grade 2</w:t>
            </w:r>
          </w:p>
        </w:tc>
        <w:tc>
          <w:tcPr>
            <w:tcW w:w="364"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299</w:t>
            </w:r>
          </w:p>
        </w:tc>
        <w:tc>
          <w:tcPr>
            <w:tcW w:w="478"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(18.4)</w:t>
            </w:r>
          </w:p>
        </w:tc>
        <w:tc>
          <w:tcPr>
            <w:tcW w:w="445"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647</w:t>
            </w:r>
          </w:p>
        </w:tc>
        <w:tc>
          <w:tcPr>
            <w:tcW w:w="434"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94</w:t>
            </w:r>
          </w:p>
        </w:tc>
        <w:tc>
          <w:tcPr>
            <w:tcW w:w="478"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(17.6)</w:t>
            </w:r>
          </w:p>
        </w:tc>
        <w:tc>
          <w:tcPr>
            <w:tcW w:w="435"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182</w:t>
            </w:r>
          </w:p>
        </w:tc>
        <w:tc>
          <w:tcPr>
            <w:tcW w:w="445"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393</w:t>
            </w:r>
          </w:p>
        </w:tc>
        <w:tc>
          <w:tcPr>
            <w:tcW w:w="478"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(18.2)</w:t>
            </w:r>
          </w:p>
        </w:tc>
        <w:tc>
          <w:tcPr>
            <w:tcW w:w="440"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829</w:t>
            </w:r>
          </w:p>
        </w:tc>
      </w:tr>
      <w:tr w:rsidR="00684833" w:rsidRPr="00221FD9" w:rsidTr="000A2E68">
        <w:tc>
          <w:tcPr>
            <w:tcW w:w="1003"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Grade 3</w:t>
            </w:r>
          </w:p>
        </w:tc>
        <w:tc>
          <w:tcPr>
            <w:tcW w:w="364"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92</w:t>
            </w:r>
          </w:p>
        </w:tc>
        <w:tc>
          <w:tcPr>
            <w:tcW w:w="478"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(5.7)</w:t>
            </w:r>
          </w:p>
        </w:tc>
        <w:tc>
          <w:tcPr>
            <w:tcW w:w="445"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135</w:t>
            </w:r>
          </w:p>
        </w:tc>
        <w:tc>
          <w:tcPr>
            <w:tcW w:w="434"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25</w:t>
            </w:r>
          </w:p>
        </w:tc>
        <w:tc>
          <w:tcPr>
            <w:tcW w:w="478"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(4.7)</w:t>
            </w:r>
          </w:p>
        </w:tc>
        <w:tc>
          <w:tcPr>
            <w:tcW w:w="435"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31</w:t>
            </w:r>
          </w:p>
        </w:tc>
        <w:tc>
          <w:tcPr>
            <w:tcW w:w="445"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117</w:t>
            </w:r>
          </w:p>
        </w:tc>
        <w:tc>
          <w:tcPr>
            <w:tcW w:w="478"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(5.4)</w:t>
            </w:r>
          </w:p>
        </w:tc>
        <w:tc>
          <w:tcPr>
            <w:tcW w:w="440"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166</w:t>
            </w:r>
          </w:p>
        </w:tc>
      </w:tr>
      <w:tr w:rsidR="00684833" w:rsidRPr="00221FD9" w:rsidTr="000A2E68">
        <w:tc>
          <w:tcPr>
            <w:tcW w:w="1003"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Missing</w:t>
            </w:r>
          </w:p>
        </w:tc>
        <w:tc>
          <w:tcPr>
            <w:tcW w:w="364"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w:t>
            </w:r>
          </w:p>
        </w:tc>
        <w:tc>
          <w:tcPr>
            <w:tcW w:w="478"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(&lt;0.1)</w:t>
            </w:r>
          </w:p>
        </w:tc>
        <w:tc>
          <w:tcPr>
            <w:tcW w:w="445"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4</w:t>
            </w:r>
          </w:p>
        </w:tc>
        <w:tc>
          <w:tcPr>
            <w:tcW w:w="434"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0</w:t>
            </w:r>
          </w:p>
        </w:tc>
        <w:tc>
          <w:tcPr>
            <w:tcW w:w="478" w:type="pct"/>
            <w:shd w:val="clear" w:color="auto" w:fill="auto"/>
          </w:tcPr>
          <w:p w:rsidR="00684833" w:rsidRPr="00991324" w:rsidRDefault="00684833" w:rsidP="00D70714">
            <w:pPr>
              <w:keepNext/>
              <w:widowControl/>
              <w:jc w:val="left"/>
              <w:rPr>
                <w:rFonts w:ascii="Arial Narrow" w:hAnsi="Arial Narrow" w:cs="Times New Roman"/>
                <w:snapToGrid/>
                <w:sz w:val="20"/>
              </w:rPr>
            </w:pPr>
          </w:p>
        </w:tc>
        <w:tc>
          <w:tcPr>
            <w:tcW w:w="435"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w:t>
            </w:r>
          </w:p>
        </w:tc>
        <w:tc>
          <w:tcPr>
            <w:tcW w:w="445"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w:t>
            </w:r>
          </w:p>
        </w:tc>
        <w:tc>
          <w:tcPr>
            <w:tcW w:w="478"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(&lt;0.1)</w:t>
            </w:r>
          </w:p>
        </w:tc>
        <w:tc>
          <w:tcPr>
            <w:tcW w:w="440"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5</w:t>
            </w:r>
          </w:p>
        </w:tc>
      </w:tr>
      <w:tr w:rsidR="00684833" w:rsidRPr="00221FD9" w:rsidTr="000A2E68">
        <w:tc>
          <w:tcPr>
            <w:tcW w:w="1003"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Grade &gt;=1</w:t>
            </w:r>
          </w:p>
        </w:tc>
        <w:tc>
          <w:tcPr>
            <w:tcW w:w="364"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1,019</w:t>
            </w:r>
          </w:p>
        </w:tc>
        <w:tc>
          <w:tcPr>
            <w:tcW w:w="478"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(62.9)</w:t>
            </w:r>
          </w:p>
        </w:tc>
        <w:tc>
          <w:tcPr>
            <w:tcW w:w="445"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2,461</w:t>
            </w:r>
          </w:p>
        </w:tc>
        <w:tc>
          <w:tcPr>
            <w:tcW w:w="434"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319</w:t>
            </w:r>
          </w:p>
        </w:tc>
        <w:tc>
          <w:tcPr>
            <w:tcW w:w="478"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(59.6)</w:t>
            </w:r>
          </w:p>
        </w:tc>
        <w:tc>
          <w:tcPr>
            <w:tcW w:w="435"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729</w:t>
            </w:r>
          </w:p>
        </w:tc>
        <w:tc>
          <w:tcPr>
            <w:tcW w:w="445"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1,338</w:t>
            </w:r>
          </w:p>
        </w:tc>
        <w:tc>
          <w:tcPr>
            <w:tcW w:w="478"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(62.1)</w:t>
            </w:r>
          </w:p>
        </w:tc>
        <w:tc>
          <w:tcPr>
            <w:tcW w:w="440" w:type="pct"/>
            <w:tcBorders>
              <w:bottom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3,190</w:t>
            </w:r>
          </w:p>
        </w:tc>
      </w:tr>
      <w:tr w:rsidR="00684833" w:rsidRPr="00221FD9" w:rsidTr="000A2E68">
        <w:tc>
          <w:tcPr>
            <w:tcW w:w="1367" w:type="pct"/>
            <w:gridSpan w:val="2"/>
            <w:tcBorders>
              <w:top w:val="single" w:sz="4" w:space="0" w:color="auto"/>
              <w:left w:val="single" w:sz="4" w:space="0" w:color="auto"/>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Unsolicited AE Intensity</w:t>
            </w:r>
          </w:p>
        </w:tc>
        <w:tc>
          <w:tcPr>
            <w:tcW w:w="478" w:type="pct"/>
            <w:tcBorders>
              <w:top w:val="single" w:sz="4" w:space="0" w:color="auto"/>
              <w:left w:val="nil"/>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c>
          <w:tcPr>
            <w:tcW w:w="445" w:type="pct"/>
            <w:tcBorders>
              <w:top w:val="single" w:sz="4" w:space="0" w:color="auto"/>
              <w:left w:val="nil"/>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c>
          <w:tcPr>
            <w:tcW w:w="434" w:type="pct"/>
            <w:tcBorders>
              <w:top w:val="single" w:sz="4" w:space="0" w:color="auto"/>
              <w:left w:val="nil"/>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c>
          <w:tcPr>
            <w:tcW w:w="478" w:type="pct"/>
            <w:tcBorders>
              <w:top w:val="single" w:sz="4" w:space="0" w:color="auto"/>
              <w:left w:val="nil"/>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c>
          <w:tcPr>
            <w:tcW w:w="435" w:type="pct"/>
            <w:tcBorders>
              <w:top w:val="single" w:sz="4" w:space="0" w:color="auto"/>
              <w:left w:val="nil"/>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c>
          <w:tcPr>
            <w:tcW w:w="445" w:type="pct"/>
            <w:tcBorders>
              <w:top w:val="single" w:sz="4" w:space="0" w:color="auto"/>
              <w:left w:val="nil"/>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c>
          <w:tcPr>
            <w:tcW w:w="478" w:type="pct"/>
            <w:tcBorders>
              <w:top w:val="single" w:sz="4" w:space="0" w:color="auto"/>
              <w:left w:val="nil"/>
              <w:bottom w:val="single" w:sz="4" w:space="0" w:color="auto"/>
              <w:right w:val="nil"/>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c>
          <w:tcPr>
            <w:tcW w:w="440" w:type="pct"/>
            <w:tcBorders>
              <w:top w:val="single" w:sz="4" w:space="0" w:color="auto"/>
              <w:left w:val="nil"/>
              <w:bottom w:val="single" w:sz="4" w:space="0" w:color="auto"/>
              <w:right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p>
        </w:tc>
      </w:tr>
      <w:tr w:rsidR="00684833" w:rsidRPr="00221FD9" w:rsidTr="000A2E68">
        <w:tc>
          <w:tcPr>
            <w:tcW w:w="1003"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Grade 1</w:t>
            </w:r>
          </w:p>
        </w:tc>
        <w:tc>
          <w:tcPr>
            <w:tcW w:w="364"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149</w:t>
            </w:r>
          </w:p>
        </w:tc>
        <w:tc>
          <w:tcPr>
            <w:tcW w:w="478"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(8.8)</w:t>
            </w:r>
          </w:p>
        </w:tc>
        <w:tc>
          <w:tcPr>
            <w:tcW w:w="445"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258</w:t>
            </w:r>
          </w:p>
        </w:tc>
        <w:tc>
          <w:tcPr>
            <w:tcW w:w="434"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31</w:t>
            </w:r>
          </w:p>
        </w:tc>
        <w:tc>
          <w:tcPr>
            <w:tcW w:w="478"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(5.5)</w:t>
            </w:r>
          </w:p>
        </w:tc>
        <w:tc>
          <w:tcPr>
            <w:tcW w:w="435"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62</w:t>
            </w:r>
          </w:p>
        </w:tc>
        <w:tc>
          <w:tcPr>
            <w:tcW w:w="445"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180</w:t>
            </w:r>
          </w:p>
        </w:tc>
        <w:tc>
          <w:tcPr>
            <w:tcW w:w="478"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(8.0)</w:t>
            </w:r>
          </w:p>
        </w:tc>
        <w:tc>
          <w:tcPr>
            <w:tcW w:w="440" w:type="pct"/>
            <w:tcBorders>
              <w:top w:val="single" w:sz="4" w:space="0" w:color="auto"/>
            </w:tcBorders>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320</w:t>
            </w:r>
          </w:p>
        </w:tc>
      </w:tr>
      <w:tr w:rsidR="00684833" w:rsidRPr="00221FD9" w:rsidTr="000A2E68">
        <w:tc>
          <w:tcPr>
            <w:tcW w:w="1003"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Grade 2</w:t>
            </w:r>
          </w:p>
        </w:tc>
        <w:tc>
          <w:tcPr>
            <w:tcW w:w="364"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108</w:t>
            </w:r>
          </w:p>
        </w:tc>
        <w:tc>
          <w:tcPr>
            <w:tcW w:w="478"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(6.4)</w:t>
            </w:r>
          </w:p>
        </w:tc>
        <w:tc>
          <w:tcPr>
            <w:tcW w:w="445"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164</w:t>
            </w:r>
          </w:p>
        </w:tc>
        <w:tc>
          <w:tcPr>
            <w:tcW w:w="434"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33</w:t>
            </w:r>
          </w:p>
        </w:tc>
        <w:tc>
          <w:tcPr>
            <w:tcW w:w="478"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(5.9)</w:t>
            </w:r>
          </w:p>
        </w:tc>
        <w:tc>
          <w:tcPr>
            <w:tcW w:w="435"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45</w:t>
            </w:r>
          </w:p>
        </w:tc>
        <w:tc>
          <w:tcPr>
            <w:tcW w:w="445"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141</w:t>
            </w:r>
          </w:p>
        </w:tc>
        <w:tc>
          <w:tcPr>
            <w:tcW w:w="478"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(6.3)</w:t>
            </w:r>
          </w:p>
        </w:tc>
        <w:tc>
          <w:tcPr>
            <w:tcW w:w="440" w:type="pct"/>
            <w:shd w:val="clear" w:color="auto" w:fill="auto"/>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209</w:t>
            </w:r>
          </w:p>
        </w:tc>
      </w:tr>
      <w:tr w:rsidR="00684833" w:rsidRPr="00221FD9" w:rsidTr="000A2E68">
        <w:tc>
          <w:tcPr>
            <w:tcW w:w="1003"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Grade 3</w:t>
            </w:r>
          </w:p>
        </w:tc>
        <w:tc>
          <w:tcPr>
            <w:tcW w:w="364"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 xml:space="preserve">11 </w:t>
            </w:r>
          </w:p>
        </w:tc>
        <w:tc>
          <w:tcPr>
            <w:tcW w:w="478"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(0.7)</w:t>
            </w:r>
          </w:p>
        </w:tc>
        <w:tc>
          <w:tcPr>
            <w:tcW w:w="445"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18</w:t>
            </w:r>
          </w:p>
        </w:tc>
        <w:tc>
          <w:tcPr>
            <w:tcW w:w="434"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6</w:t>
            </w:r>
          </w:p>
        </w:tc>
        <w:tc>
          <w:tcPr>
            <w:tcW w:w="478"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(1.1)</w:t>
            </w:r>
          </w:p>
        </w:tc>
        <w:tc>
          <w:tcPr>
            <w:tcW w:w="435"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8</w:t>
            </w:r>
          </w:p>
        </w:tc>
        <w:tc>
          <w:tcPr>
            <w:tcW w:w="445"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17</w:t>
            </w:r>
          </w:p>
        </w:tc>
        <w:tc>
          <w:tcPr>
            <w:tcW w:w="478"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(0.8)</w:t>
            </w:r>
          </w:p>
        </w:tc>
        <w:tc>
          <w:tcPr>
            <w:tcW w:w="440"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26</w:t>
            </w:r>
          </w:p>
        </w:tc>
      </w:tr>
      <w:tr w:rsidR="00684833" w:rsidRPr="00221FD9" w:rsidTr="000A2E68">
        <w:tc>
          <w:tcPr>
            <w:tcW w:w="1003"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Missing</w:t>
            </w:r>
          </w:p>
        </w:tc>
        <w:tc>
          <w:tcPr>
            <w:tcW w:w="364"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w:t>
            </w:r>
          </w:p>
        </w:tc>
        <w:tc>
          <w:tcPr>
            <w:tcW w:w="478"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(&lt;0.1)</w:t>
            </w:r>
          </w:p>
        </w:tc>
        <w:tc>
          <w:tcPr>
            <w:tcW w:w="445"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w:t>
            </w:r>
          </w:p>
        </w:tc>
        <w:tc>
          <w:tcPr>
            <w:tcW w:w="434"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0</w:t>
            </w:r>
          </w:p>
        </w:tc>
        <w:tc>
          <w:tcPr>
            <w:tcW w:w="478" w:type="pct"/>
          </w:tcPr>
          <w:p w:rsidR="00684833" w:rsidRPr="00991324" w:rsidRDefault="00684833" w:rsidP="00D70714">
            <w:pPr>
              <w:keepNext/>
              <w:widowControl/>
              <w:jc w:val="left"/>
              <w:rPr>
                <w:rFonts w:ascii="Arial Narrow" w:hAnsi="Arial Narrow" w:cs="Times New Roman"/>
                <w:snapToGrid/>
                <w:sz w:val="20"/>
              </w:rPr>
            </w:pPr>
          </w:p>
        </w:tc>
        <w:tc>
          <w:tcPr>
            <w:tcW w:w="435" w:type="pct"/>
          </w:tcPr>
          <w:p w:rsidR="00684833" w:rsidRPr="00991324" w:rsidRDefault="00684833" w:rsidP="00D70714">
            <w:pPr>
              <w:keepNext/>
              <w:widowControl/>
              <w:jc w:val="left"/>
              <w:rPr>
                <w:rFonts w:ascii="Arial Narrow" w:hAnsi="Arial Narrow" w:cs="Times New Roman"/>
                <w:snapToGrid/>
                <w:sz w:val="20"/>
              </w:rPr>
            </w:pPr>
          </w:p>
        </w:tc>
        <w:tc>
          <w:tcPr>
            <w:tcW w:w="445"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w:t>
            </w:r>
          </w:p>
        </w:tc>
        <w:tc>
          <w:tcPr>
            <w:tcW w:w="478"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(&lt;0.1)</w:t>
            </w:r>
          </w:p>
        </w:tc>
        <w:tc>
          <w:tcPr>
            <w:tcW w:w="440"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w:t>
            </w:r>
          </w:p>
        </w:tc>
      </w:tr>
      <w:tr w:rsidR="00684833" w:rsidRPr="00221FD9" w:rsidTr="000A2E68">
        <w:tc>
          <w:tcPr>
            <w:tcW w:w="1003"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Serious Adverse Events</w:t>
            </w:r>
          </w:p>
        </w:tc>
        <w:tc>
          <w:tcPr>
            <w:tcW w:w="364"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 xml:space="preserve">8 </w:t>
            </w:r>
          </w:p>
        </w:tc>
        <w:tc>
          <w:tcPr>
            <w:tcW w:w="478"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(0.5)</w:t>
            </w:r>
          </w:p>
        </w:tc>
        <w:tc>
          <w:tcPr>
            <w:tcW w:w="445"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11</w:t>
            </w:r>
          </w:p>
        </w:tc>
        <w:tc>
          <w:tcPr>
            <w:tcW w:w="434"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2</w:t>
            </w:r>
          </w:p>
        </w:tc>
        <w:tc>
          <w:tcPr>
            <w:tcW w:w="478"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(0.4)</w:t>
            </w:r>
          </w:p>
        </w:tc>
        <w:tc>
          <w:tcPr>
            <w:tcW w:w="435"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2</w:t>
            </w:r>
          </w:p>
        </w:tc>
        <w:tc>
          <w:tcPr>
            <w:tcW w:w="445"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10</w:t>
            </w:r>
          </w:p>
        </w:tc>
        <w:tc>
          <w:tcPr>
            <w:tcW w:w="478"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(0.4)</w:t>
            </w:r>
          </w:p>
        </w:tc>
        <w:tc>
          <w:tcPr>
            <w:tcW w:w="440"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13</w:t>
            </w:r>
          </w:p>
        </w:tc>
      </w:tr>
      <w:tr w:rsidR="00684833" w:rsidRPr="00221FD9" w:rsidTr="000A2E68">
        <w:tc>
          <w:tcPr>
            <w:tcW w:w="1003"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Deaths</w:t>
            </w:r>
          </w:p>
        </w:tc>
        <w:tc>
          <w:tcPr>
            <w:tcW w:w="364"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0</w:t>
            </w:r>
          </w:p>
        </w:tc>
        <w:tc>
          <w:tcPr>
            <w:tcW w:w="478" w:type="pct"/>
          </w:tcPr>
          <w:p w:rsidR="00684833" w:rsidRPr="00991324" w:rsidRDefault="00FF4F0B" w:rsidP="00D70714">
            <w:pPr>
              <w:keepNext/>
              <w:widowControl/>
              <w:jc w:val="left"/>
              <w:rPr>
                <w:rFonts w:ascii="Arial Narrow" w:hAnsi="Arial Narrow" w:cs="Times New Roman"/>
                <w:snapToGrid/>
                <w:sz w:val="20"/>
              </w:rPr>
            </w:pPr>
            <w:r>
              <w:rPr>
                <w:rFonts w:ascii="Arial Narrow" w:hAnsi="Arial Narrow" w:cs="Times New Roman"/>
                <w:snapToGrid/>
                <w:sz w:val="20"/>
              </w:rPr>
              <w:t>-</w:t>
            </w:r>
          </w:p>
        </w:tc>
        <w:tc>
          <w:tcPr>
            <w:tcW w:w="445" w:type="pct"/>
          </w:tcPr>
          <w:p w:rsidR="00684833" w:rsidRPr="00991324" w:rsidRDefault="00FF4F0B" w:rsidP="00D70714">
            <w:pPr>
              <w:keepNext/>
              <w:widowControl/>
              <w:jc w:val="left"/>
              <w:rPr>
                <w:rFonts w:ascii="Arial Narrow" w:hAnsi="Arial Narrow" w:cs="Times New Roman"/>
                <w:snapToGrid/>
                <w:sz w:val="20"/>
              </w:rPr>
            </w:pPr>
            <w:r>
              <w:rPr>
                <w:rFonts w:ascii="Arial Narrow" w:hAnsi="Arial Narrow" w:cs="Times New Roman"/>
                <w:snapToGrid/>
                <w:sz w:val="20"/>
              </w:rPr>
              <w:t>-</w:t>
            </w:r>
          </w:p>
        </w:tc>
        <w:tc>
          <w:tcPr>
            <w:tcW w:w="434"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0</w:t>
            </w:r>
          </w:p>
        </w:tc>
        <w:tc>
          <w:tcPr>
            <w:tcW w:w="478" w:type="pct"/>
          </w:tcPr>
          <w:p w:rsidR="00684833" w:rsidRPr="00991324" w:rsidRDefault="00FF4F0B" w:rsidP="00D70714">
            <w:pPr>
              <w:keepNext/>
              <w:widowControl/>
              <w:jc w:val="left"/>
              <w:rPr>
                <w:rFonts w:ascii="Arial Narrow" w:hAnsi="Arial Narrow" w:cs="Times New Roman"/>
                <w:snapToGrid/>
                <w:sz w:val="20"/>
              </w:rPr>
            </w:pPr>
            <w:r>
              <w:rPr>
                <w:rFonts w:ascii="Arial Narrow" w:hAnsi="Arial Narrow" w:cs="Times New Roman"/>
                <w:snapToGrid/>
                <w:sz w:val="20"/>
              </w:rPr>
              <w:t>-</w:t>
            </w:r>
          </w:p>
        </w:tc>
        <w:tc>
          <w:tcPr>
            <w:tcW w:w="435" w:type="pct"/>
          </w:tcPr>
          <w:p w:rsidR="00684833" w:rsidRPr="00991324" w:rsidRDefault="00FF4F0B" w:rsidP="00D70714">
            <w:pPr>
              <w:keepNext/>
              <w:widowControl/>
              <w:jc w:val="left"/>
              <w:rPr>
                <w:rFonts w:ascii="Arial Narrow" w:hAnsi="Arial Narrow" w:cs="Times New Roman"/>
                <w:snapToGrid/>
                <w:sz w:val="20"/>
              </w:rPr>
            </w:pPr>
            <w:r>
              <w:rPr>
                <w:rFonts w:ascii="Arial Narrow" w:hAnsi="Arial Narrow" w:cs="Times New Roman"/>
                <w:snapToGrid/>
                <w:sz w:val="20"/>
              </w:rPr>
              <w:t>-</w:t>
            </w:r>
          </w:p>
        </w:tc>
        <w:tc>
          <w:tcPr>
            <w:tcW w:w="445"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0</w:t>
            </w:r>
          </w:p>
        </w:tc>
        <w:tc>
          <w:tcPr>
            <w:tcW w:w="478" w:type="pct"/>
          </w:tcPr>
          <w:p w:rsidR="00684833" w:rsidRPr="00991324" w:rsidRDefault="00FF4F0B" w:rsidP="00D70714">
            <w:pPr>
              <w:keepNext/>
              <w:widowControl/>
              <w:jc w:val="left"/>
              <w:rPr>
                <w:rFonts w:ascii="Arial Narrow" w:hAnsi="Arial Narrow" w:cs="Times New Roman"/>
                <w:snapToGrid/>
                <w:sz w:val="20"/>
              </w:rPr>
            </w:pPr>
            <w:r>
              <w:rPr>
                <w:rFonts w:ascii="Arial Narrow" w:hAnsi="Arial Narrow" w:cs="Times New Roman"/>
                <w:snapToGrid/>
                <w:sz w:val="20"/>
              </w:rPr>
              <w:t>-</w:t>
            </w:r>
          </w:p>
        </w:tc>
        <w:tc>
          <w:tcPr>
            <w:tcW w:w="440" w:type="pct"/>
          </w:tcPr>
          <w:p w:rsidR="00684833" w:rsidRPr="00991324" w:rsidRDefault="00FF4F0B" w:rsidP="00D70714">
            <w:pPr>
              <w:keepNext/>
              <w:widowControl/>
              <w:jc w:val="left"/>
              <w:rPr>
                <w:rFonts w:ascii="Arial Narrow" w:hAnsi="Arial Narrow" w:cs="Times New Roman"/>
                <w:snapToGrid/>
                <w:sz w:val="20"/>
              </w:rPr>
            </w:pPr>
            <w:r>
              <w:rPr>
                <w:rFonts w:ascii="Arial Narrow" w:hAnsi="Arial Narrow" w:cs="Times New Roman"/>
                <w:snapToGrid/>
                <w:sz w:val="20"/>
              </w:rPr>
              <w:t>-</w:t>
            </w:r>
          </w:p>
        </w:tc>
      </w:tr>
      <w:tr w:rsidR="00684833" w:rsidRPr="00221FD9" w:rsidTr="000A2E68">
        <w:tc>
          <w:tcPr>
            <w:tcW w:w="1003"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Related Serious AEs</w:t>
            </w:r>
          </w:p>
        </w:tc>
        <w:tc>
          <w:tcPr>
            <w:tcW w:w="364"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0</w:t>
            </w:r>
          </w:p>
        </w:tc>
        <w:tc>
          <w:tcPr>
            <w:tcW w:w="478" w:type="pct"/>
          </w:tcPr>
          <w:p w:rsidR="00684833" w:rsidRPr="00991324" w:rsidRDefault="00FF4F0B" w:rsidP="00D70714">
            <w:pPr>
              <w:keepNext/>
              <w:widowControl/>
              <w:jc w:val="left"/>
              <w:rPr>
                <w:rFonts w:ascii="Arial Narrow" w:hAnsi="Arial Narrow" w:cs="Times New Roman"/>
                <w:snapToGrid/>
                <w:sz w:val="20"/>
              </w:rPr>
            </w:pPr>
            <w:r>
              <w:rPr>
                <w:rFonts w:ascii="Arial Narrow" w:hAnsi="Arial Narrow" w:cs="Times New Roman"/>
                <w:snapToGrid/>
                <w:sz w:val="20"/>
              </w:rPr>
              <w:t>-</w:t>
            </w:r>
          </w:p>
        </w:tc>
        <w:tc>
          <w:tcPr>
            <w:tcW w:w="445" w:type="pct"/>
          </w:tcPr>
          <w:p w:rsidR="00684833" w:rsidRPr="00991324" w:rsidRDefault="00FF4F0B" w:rsidP="00D70714">
            <w:pPr>
              <w:keepNext/>
              <w:widowControl/>
              <w:jc w:val="left"/>
              <w:rPr>
                <w:rFonts w:ascii="Arial Narrow" w:hAnsi="Arial Narrow" w:cs="Times New Roman"/>
                <w:snapToGrid/>
                <w:sz w:val="20"/>
              </w:rPr>
            </w:pPr>
            <w:r>
              <w:rPr>
                <w:rFonts w:ascii="Arial Narrow" w:hAnsi="Arial Narrow" w:cs="Times New Roman"/>
                <w:snapToGrid/>
                <w:sz w:val="20"/>
              </w:rPr>
              <w:t>-</w:t>
            </w:r>
          </w:p>
        </w:tc>
        <w:tc>
          <w:tcPr>
            <w:tcW w:w="434"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0</w:t>
            </w:r>
          </w:p>
        </w:tc>
        <w:tc>
          <w:tcPr>
            <w:tcW w:w="478" w:type="pct"/>
          </w:tcPr>
          <w:p w:rsidR="00684833" w:rsidRPr="00991324" w:rsidRDefault="00FF4F0B" w:rsidP="00D70714">
            <w:pPr>
              <w:keepNext/>
              <w:widowControl/>
              <w:jc w:val="left"/>
              <w:rPr>
                <w:rFonts w:ascii="Arial Narrow" w:hAnsi="Arial Narrow" w:cs="Times New Roman"/>
                <w:snapToGrid/>
                <w:sz w:val="20"/>
              </w:rPr>
            </w:pPr>
            <w:r>
              <w:rPr>
                <w:rFonts w:ascii="Arial Narrow" w:hAnsi="Arial Narrow" w:cs="Times New Roman"/>
                <w:snapToGrid/>
                <w:sz w:val="20"/>
              </w:rPr>
              <w:t>-</w:t>
            </w:r>
          </w:p>
        </w:tc>
        <w:tc>
          <w:tcPr>
            <w:tcW w:w="435" w:type="pct"/>
          </w:tcPr>
          <w:p w:rsidR="00684833" w:rsidRPr="00991324" w:rsidRDefault="00FF4F0B" w:rsidP="00D70714">
            <w:pPr>
              <w:keepNext/>
              <w:widowControl/>
              <w:jc w:val="left"/>
              <w:rPr>
                <w:rFonts w:ascii="Arial Narrow" w:hAnsi="Arial Narrow" w:cs="Times New Roman"/>
                <w:snapToGrid/>
                <w:sz w:val="20"/>
              </w:rPr>
            </w:pPr>
            <w:r>
              <w:rPr>
                <w:rFonts w:ascii="Arial Narrow" w:hAnsi="Arial Narrow" w:cs="Times New Roman"/>
                <w:snapToGrid/>
                <w:sz w:val="20"/>
              </w:rPr>
              <w:t>-</w:t>
            </w:r>
          </w:p>
        </w:tc>
        <w:tc>
          <w:tcPr>
            <w:tcW w:w="445"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0</w:t>
            </w:r>
          </w:p>
        </w:tc>
        <w:tc>
          <w:tcPr>
            <w:tcW w:w="478" w:type="pct"/>
          </w:tcPr>
          <w:p w:rsidR="00684833" w:rsidRPr="00991324" w:rsidRDefault="00FF4F0B" w:rsidP="00D70714">
            <w:pPr>
              <w:keepNext/>
              <w:widowControl/>
              <w:jc w:val="left"/>
              <w:rPr>
                <w:rFonts w:ascii="Arial Narrow" w:hAnsi="Arial Narrow" w:cs="Times New Roman"/>
                <w:snapToGrid/>
                <w:sz w:val="20"/>
              </w:rPr>
            </w:pPr>
            <w:r>
              <w:rPr>
                <w:rFonts w:ascii="Arial Narrow" w:hAnsi="Arial Narrow" w:cs="Times New Roman"/>
                <w:snapToGrid/>
                <w:sz w:val="20"/>
              </w:rPr>
              <w:t>-</w:t>
            </w:r>
          </w:p>
        </w:tc>
        <w:tc>
          <w:tcPr>
            <w:tcW w:w="440" w:type="pct"/>
          </w:tcPr>
          <w:p w:rsidR="00684833" w:rsidRPr="00991324" w:rsidRDefault="00FF4F0B" w:rsidP="00D70714">
            <w:pPr>
              <w:keepNext/>
              <w:widowControl/>
              <w:jc w:val="left"/>
              <w:rPr>
                <w:rFonts w:ascii="Arial Narrow" w:hAnsi="Arial Narrow" w:cs="Times New Roman"/>
                <w:snapToGrid/>
                <w:sz w:val="20"/>
              </w:rPr>
            </w:pPr>
            <w:r>
              <w:rPr>
                <w:rFonts w:ascii="Arial Narrow" w:hAnsi="Arial Narrow" w:cs="Times New Roman"/>
                <w:snapToGrid/>
                <w:sz w:val="20"/>
              </w:rPr>
              <w:t>-</w:t>
            </w:r>
          </w:p>
        </w:tc>
      </w:tr>
      <w:tr w:rsidR="00684833" w:rsidRPr="00221FD9" w:rsidTr="000A2E68">
        <w:tc>
          <w:tcPr>
            <w:tcW w:w="1003"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 xml:space="preserve">Adverse Events of Special Interest </w:t>
            </w:r>
          </w:p>
        </w:tc>
        <w:tc>
          <w:tcPr>
            <w:tcW w:w="364"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0</w:t>
            </w:r>
          </w:p>
        </w:tc>
        <w:tc>
          <w:tcPr>
            <w:tcW w:w="478" w:type="pct"/>
          </w:tcPr>
          <w:p w:rsidR="00684833" w:rsidRPr="00991324" w:rsidRDefault="00FF4F0B" w:rsidP="00D70714">
            <w:pPr>
              <w:keepNext/>
              <w:widowControl/>
              <w:jc w:val="left"/>
              <w:rPr>
                <w:rFonts w:ascii="Arial Narrow" w:hAnsi="Arial Narrow" w:cs="Times New Roman"/>
                <w:snapToGrid/>
                <w:sz w:val="20"/>
              </w:rPr>
            </w:pPr>
            <w:r>
              <w:rPr>
                <w:rFonts w:ascii="Arial Narrow" w:hAnsi="Arial Narrow" w:cs="Times New Roman"/>
                <w:snapToGrid/>
                <w:sz w:val="20"/>
              </w:rPr>
              <w:t>-</w:t>
            </w:r>
          </w:p>
        </w:tc>
        <w:tc>
          <w:tcPr>
            <w:tcW w:w="445" w:type="pct"/>
          </w:tcPr>
          <w:p w:rsidR="00684833" w:rsidRPr="00991324" w:rsidRDefault="00FF4F0B" w:rsidP="00D70714">
            <w:pPr>
              <w:keepNext/>
              <w:widowControl/>
              <w:jc w:val="left"/>
              <w:rPr>
                <w:rFonts w:ascii="Arial Narrow" w:hAnsi="Arial Narrow" w:cs="Times New Roman"/>
                <w:snapToGrid/>
                <w:sz w:val="20"/>
              </w:rPr>
            </w:pPr>
            <w:r>
              <w:rPr>
                <w:rFonts w:ascii="Arial Narrow" w:hAnsi="Arial Narrow" w:cs="Times New Roman"/>
                <w:snapToGrid/>
                <w:sz w:val="20"/>
              </w:rPr>
              <w:t>-</w:t>
            </w:r>
          </w:p>
        </w:tc>
        <w:tc>
          <w:tcPr>
            <w:tcW w:w="434"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0</w:t>
            </w:r>
          </w:p>
        </w:tc>
        <w:tc>
          <w:tcPr>
            <w:tcW w:w="478" w:type="pct"/>
          </w:tcPr>
          <w:p w:rsidR="00684833" w:rsidRPr="00991324" w:rsidRDefault="00FF4F0B" w:rsidP="00D70714">
            <w:pPr>
              <w:keepNext/>
              <w:widowControl/>
              <w:jc w:val="left"/>
              <w:rPr>
                <w:rFonts w:ascii="Arial Narrow" w:hAnsi="Arial Narrow" w:cs="Times New Roman"/>
                <w:snapToGrid/>
                <w:sz w:val="20"/>
              </w:rPr>
            </w:pPr>
            <w:r>
              <w:rPr>
                <w:rFonts w:ascii="Arial Narrow" w:hAnsi="Arial Narrow" w:cs="Times New Roman"/>
                <w:snapToGrid/>
                <w:sz w:val="20"/>
              </w:rPr>
              <w:t>-</w:t>
            </w:r>
          </w:p>
        </w:tc>
        <w:tc>
          <w:tcPr>
            <w:tcW w:w="435" w:type="pct"/>
          </w:tcPr>
          <w:p w:rsidR="00684833" w:rsidRPr="00991324" w:rsidRDefault="00FF4F0B" w:rsidP="00D70714">
            <w:pPr>
              <w:keepNext/>
              <w:widowControl/>
              <w:jc w:val="left"/>
              <w:rPr>
                <w:rFonts w:ascii="Arial Narrow" w:hAnsi="Arial Narrow" w:cs="Times New Roman"/>
                <w:snapToGrid/>
                <w:sz w:val="20"/>
              </w:rPr>
            </w:pPr>
            <w:r>
              <w:rPr>
                <w:rFonts w:ascii="Arial Narrow" w:hAnsi="Arial Narrow" w:cs="Times New Roman"/>
                <w:snapToGrid/>
                <w:sz w:val="20"/>
              </w:rPr>
              <w:t>-</w:t>
            </w:r>
          </w:p>
        </w:tc>
        <w:tc>
          <w:tcPr>
            <w:tcW w:w="445"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0</w:t>
            </w:r>
          </w:p>
        </w:tc>
        <w:tc>
          <w:tcPr>
            <w:tcW w:w="478" w:type="pct"/>
          </w:tcPr>
          <w:p w:rsidR="00684833" w:rsidRPr="00991324" w:rsidRDefault="00FF4F0B" w:rsidP="00D70714">
            <w:pPr>
              <w:keepNext/>
              <w:widowControl/>
              <w:jc w:val="left"/>
              <w:rPr>
                <w:rFonts w:ascii="Arial Narrow" w:hAnsi="Arial Narrow" w:cs="Times New Roman"/>
                <w:snapToGrid/>
                <w:sz w:val="20"/>
              </w:rPr>
            </w:pPr>
            <w:r>
              <w:rPr>
                <w:rFonts w:ascii="Arial Narrow" w:hAnsi="Arial Narrow" w:cs="Times New Roman"/>
                <w:snapToGrid/>
                <w:sz w:val="20"/>
              </w:rPr>
              <w:t>-</w:t>
            </w:r>
          </w:p>
        </w:tc>
        <w:tc>
          <w:tcPr>
            <w:tcW w:w="440" w:type="pct"/>
          </w:tcPr>
          <w:p w:rsidR="00684833" w:rsidRPr="00991324" w:rsidRDefault="00FF4F0B" w:rsidP="00D70714">
            <w:pPr>
              <w:keepNext/>
              <w:widowControl/>
              <w:jc w:val="left"/>
              <w:rPr>
                <w:rFonts w:ascii="Arial Narrow" w:hAnsi="Arial Narrow" w:cs="Times New Roman"/>
                <w:snapToGrid/>
                <w:sz w:val="20"/>
              </w:rPr>
            </w:pPr>
            <w:r>
              <w:rPr>
                <w:rFonts w:ascii="Arial Narrow" w:hAnsi="Arial Narrow" w:cs="Times New Roman"/>
                <w:snapToGrid/>
                <w:sz w:val="20"/>
              </w:rPr>
              <w:t>-</w:t>
            </w:r>
          </w:p>
        </w:tc>
      </w:tr>
      <w:tr w:rsidR="00684833" w:rsidRPr="00221FD9" w:rsidTr="000A2E68">
        <w:tc>
          <w:tcPr>
            <w:tcW w:w="1003"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Discontinuation due to an AE</w:t>
            </w:r>
          </w:p>
        </w:tc>
        <w:tc>
          <w:tcPr>
            <w:tcW w:w="364"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0</w:t>
            </w:r>
          </w:p>
        </w:tc>
        <w:tc>
          <w:tcPr>
            <w:tcW w:w="478" w:type="pct"/>
          </w:tcPr>
          <w:p w:rsidR="00684833" w:rsidRPr="00991324" w:rsidRDefault="00FF4F0B" w:rsidP="00D70714">
            <w:pPr>
              <w:keepNext/>
              <w:widowControl/>
              <w:jc w:val="left"/>
              <w:rPr>
                <w:rFonts w:ascii="Arial Narrow" w:hAnsi="Arial Narrow" w:cs="Times New Roman"/>
                <w:snapToGrid/>
                <w:sz w:val="20"/>
              </w:rPr>
            </w:pPr>
            <w:r>
              <w:rPr>
                <w:rFonts w:ascii="Arial Narrow" w:hAnsi="Arial Narrow" w:cs="Times New Roman"/>
                <w:snapToGrid/>
                <w:sz w:val="20"/>
              </w:rPr>
              <w:t>-</w:t>
            </w:r>
          </w:p>
        </w:tc>
        <w:tc>
          <w:tcPr>
            <w:tcW w:w="445" w:type="pct"/>
          </w:tcPr>
          <w:p w:rsidR="00684833" w:rsidRPr="00991324" w:rsidRDefault="00FF4F0B" w:rsidP="00D70714">
            <w:pPr>
              <w:keepNext/>
              <w:widowControl/>
              <w:jc w:val="left"/>
              <w:rPr>
                <w:rFonts w:ascii="Arial Narrow" w:hAnsi="Arial Narrow" w:cs="Times New Roman"/>
                <w:snapToGrid/>
                <w:sz w:val="20"/>
              </w:rPr>
            </w:pPr>
            <w:r>
              <w:rPr>
                <w:rFonts w:ascii="Arial Narrow" w:hAnsi="Arial Narrow" w:cs="Times New Roman"/>
                <w:snapToGrid/>
                <w:sz w:val="20"/>
              </w:rPr>
              <w:t>-</w:t>
            </w:r>
          </w:p>
        </w:tc>
        <w:tc>
          <w:tcPr>
            <w:tcW w:w="434"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0</w:t>
            </w:r>
          </w:p>
        </w:tc>
        <w:tc>
          <w:tcPr>
            <w:tcW w:w="478" w:type="pct"/>
          </w:tcPr>
          <w:p w:rsidR="00684833" w:rsidRPr="00991324" w:rsidRDefault="00FF4F0B" w:rsidP="00D70714">
            <w:pPr>
              <w:keepNext/>
              <w:widowControl/>
              <w:jc w:val="left"/>
              <w:rPr>
                <w:rFonts w:ascii="Arial Narrow" w:hAnsi="Arial Narrow" w:cs="Times New Roman"/>
                <w:snapToGrid/>
                <w:sz w:val="20"/>
              </w:rPr>
            </w:pPr>
            <w:r>
              <w:rPr>
                <w:rFonts w:ascii="Arial Narrow" w:hAnsi="Arial Narrow" w:cs="Times New Roman"/>
                <w:snapToGrid/>
                <w:sz w:val="20"/>
              </w:rPr>
              <w:t>-</w:t>
            </w:r>
          </w:p>
        </w:tc>
        <w:tc>
          <w:tcPr>
            <w:tcW w:w="435" w:type="pct"/>
          </w:tcPr>
          <w:p w:rsidR="00684833" w:rsidRPr="00991324" w:rsidRDefault="00FF4F0B" w:rsidP="00D70714">
            <w:pPr>
              <w:keepNext/>
              <w:widowControl/>
              <w:jc w:val="left"/>
              <w:rPr>
                <w:rFonts w:ascii="Arial Narrow" w:hAnsi="Arial Narrow" w:cs="Times New Roman"/>
                <w:snapToGrid/>
                <w:sz w:val="20"/>
              </w:rPr>
            </w:pPr>
            <w:r>
              <w:rPr>
                <w:rFonts w:ascii="Arial Narrow" w:hAnsi="Arial Narrow" w:cs="Times New Roman"/>
                <w:snapToGrid/>
                <w:sz w:val="20"/>
              </w:rPr>
              <w:t>-</w:t>
            </w:r>
          </w:p>
        </w:tc>
        <w:tc>
          <w:tcPr>
            <w:tcW w:w="445" w:type="pct"/>
          </w:tcPr>
          <w:p w:rsidR="00684833" w:rsidRPr="00991324" w:rsidRDefault="00684833" w:rsidP="00D70714">
            <w:pPr>
              <w:keepNext/>
              <w:widowControl/>
              <w:jc w:val="left"/>
              <w:rPr>
                <w:rFonts w:ascii="Arial Narrow" w:hAnsi="Arial Narrow" w:cs="Times New Roman"/>
                <w:snapToGrid/>
                <w:sz w:val="20"/>
              </w:rPr>
            </w:pPr>
            <w:r w:rsidRPr="00991324">
              <w:rPr>
                <w:rFonts w:ascii="Arial Narrow" w:hAnsi="Arial Narrow" w:cs="Times New Roman"/>
                <w:snapToGrid/>
                <w:sz w:val="20"/>
              </w:rPr>
              <w:t>0</w:t>
            </w:r>
          </w:p>
        </w:tc>
        <w:tc>
          <w:tcPr>
            <w:tcW w:w="478" w:type="pct"/>
          </w:tcPr>
          <w:p w:rsidR="00684833" w:rsidRPr="00991324" w:rsidRDefault="00FF4F0B" w:rsidP="00D70714">
            <w:pPr>
              <w:keepNext/>
              <w:widowControl/>
              <w:jc w:val="left"/>
              <w:rPr>
                <w:rFonts w:ascii="Arial Narrow" w:hAnsi="Arial Narrow" w:cs="Times New Roman"/>
                <w:snapToGrid/>
                <w:sz w:val="20"/>
              </w:rPr>
            </w:pPr>
            <w:r>
              <w:rPr>
                <w:rFonts w:ascii="Arial Narrow" w:hAnsi="Arial Narrow" w:cs="Times New Roman"/>
                <w:snapToGrid/>
                <w:sz w:val="20"/>
              </w:rPr>
              <w:t>-</w:t>
            </w:r>
          </w:p>
        </w:tc>
        <w:tc>
          <w:tcPr>
            <w:tcW w:w="440" w:type="pct"/>
          </w:tcPr>
          <w:p w:rsidR="00684833" w:rsidRPr="00991324" w:rsidRDefault="00FF4F0B" w:rsidP="00D70714">
            <w:pPr>
              <w:keepNext/>
              <w:widowControl/>
              <w:jc w:val="left"/>
              <w:rPr>
                <w:rFonts w:ascii="Arial Narrow" w:hAnsi="Arial Narrow" w:cs="Times New Roman"/>
                <w:snapToGrid/>
                <w:sz w:val="20"/>
              </w:rPr>
            </w:pPr>
            <w:r>
              <w:rPr>
                <w:rFonts w:ascii="Arial Narrow" w:hAnsi="Arial Narrow" w:cs="Times New Roman"/>
                <w:snapToGrid/>
                <w:sz w:val="20"/>
              </w:rPr>
              <w:t>-</w:t>
            </w:r>
          </w:p>
        </w:tc>
      </w:tr>
    </w:tbl>
    <w:p w:rsidR="00684833" w:rsidRPr="00F74DBB" w:rsidRDefault="00684833" w:rsidP="00D70714">
      <w:pPr>
        <w:keepNext/>
        <w:widowControl/>
        <w:rPr>
          <w:rFonts w:ascii="Arial Narrow" w:hAnsi="Arial Narrow"/>
          <w:sz w:val="18"/>
        </w:rPr>
      </w:pPr>
      <w:r w:rsidRPr="00F74DBB">
        <w:rPr>
          <w:rFonts w:ascii="Arial Narrow" w:hAnsi="Arial Narrow"/>
          <w:sz w:val="18"/>
        </w:rPr>
        <w:t>OSS: overall safety population; AE: adverse event</w:t>
      </w:r>
    </w:p>
    <w:p w:rsidR="00684833" w:rsidRPr="00F74DBB" w:rsidRDefault="00684833" w:rsidP="00D70714">
      <w:pPr>
        <w:widowControl/>
        <w:rPr>
          <w:sz w:val="18"/>
        </w:rPr>
      </w:pPr>
      <w:r w:rsidRPr="00F74DBB">
        <w:rPr>
          <w:rFonts w:ascii="Arial Narrow" w:hAnsi="Arial Narrow"/>
          <w:sz w:val="18"/>
        </w:rPr>
        <w:t>Source: Table 2.17, p56 of the submission</w:t>
      </w:r>
    </w:p>
    <w:p w:rsidR="00684833" w:rsidRDefault="00684833" w:rsidP="00025B8F">
      <w:pPr>
        <w:pStyle w:val="TableFooter"/>
      </w:pPr>
    </w:p>
    <w:p w:rsidR="008D678C" w:rsidRPr="00D3423A" w:rsidRDefault="008D678C" w:rsidP="00D70714">
      <w:pPr>
        <w:pStyle w:val="ListParagraph"/>
        <w:widowControl/>
        <w:numPr>
          <w:ilvl w:val="1"/>
          <w:numId w:val="2"/>
        </w:numPr>
        <w:rPr>
          <w:i/>
        </w:rPr>
      </w:pPr>
      <w:r w:rsidRPr="008D678C">
        <w:t xml:space="preserve">The submission presented an exploratory safety analysis to investigate the occurrence of fever after administration of </w:t>
      </w:r>
      <w:r w:rsidR="001729A1">
        <w:t>Afluria Quad</w:t>
      </w:r>
      <w:r w:rsidRPr="008D678C">
        <w:t xml:space="preserve"> or </w:t>
      </w:r>
      <w:proofErr w:type="spellStart"/>
      <w:r w:rsidR="001729A1">
        <w:t>Fluarix</w:t>
      </w:r>
      <w:proofErr w:type="spellEnd"/>
      <w:r w:rsidR="001729A1">
        <w:t xml:space="preserve"> Tetra</w:t>
      </w:r>
      <w:r w:rsidRPr="008D678C">
        <w:t xml:space="preserve">. </w:t>
      </w:r>
      <w:r>
        <w:t xml:space="preserve">The submission concluded that both </w:t>
      </w:r>
      <w:r w:rsidR="001729A1">
        <w:t>Afluria Quad</w:t>
      </w:r>
      <w:r>
        <w:t xml:space="preserve"> and </w:t>
      </w:r>
      <w:proofErr w:type="spellStart"/>
      <w:r w:rsidR="001729A1">
        <w:t>Fluarix</w:t>
      </w:r>
      <w:proofErr w:type="spellEnd"/>
      <w:r w:rsidR="001729A1">
        <w:t xml:space="preserve"> Tetra</w:t>
      </w:r>
      <w:r>
        <w:t xml:space="preserve"> </w:t>
      </w:r>
      <w:proofErr w:type="gramStart"/>
      <w:r>
        <w:t>were well tolerated</w:t>
      </w:r>
      <w:proofErr w:type="gramEnd"/>
      <w:r>
        <w:t xml:space="preserve"> overall, and that there were no significant associations of fever for either vaccine (p57-58 of the </w:t>
      </w:r>
      <w:r w:rsidRPr="00ED7373">
        <w:t xml:space="preserve">submission). While not statistically significant, ATAGI noted that in both Cohort A (5 </w:t>
      </w:r>
      <w:r w:rsidRPr="00ED7373">
        <w:lastRenderedPageBreak/>
        <w:t xml:space="preserve">to 9 years of age) and Cohort B (17 years of age) the percentage of patients experiencing fever was higher in the </w:t>
      </w:r>
      <w:r w:rsidR="001729A1" w:rsidRPr="00ED7373">
        <w:t>Afluria Quad</w:t>
      </w:r>
      <w:r w:rsidRPr="00ED7373">
        <w:t xml:space="preserve"> group (p4 of the ATAGI pre-submission advice). </w:t>
      </w:r>
      <w:r w:rsidR="00ED2751" w:rsidRPr="00ED7373">
        <w:t>T</w:t>
      </w:r>
      <w:r w:rsidRPr="00ED7373">
        <w:t xml:space="preserve">he study </w:t>
      </w:r>
      <w:proofErr w:type="gramStart"/>
      <w:r w:rsidRPr="00ED7373">
        <w:t>was not powered</w:t>
      </w:r>
      <w:proofErr w:type="gramEnd"/>
      <w:r w:rsidRPr="00ED7373">
        <w:t xml:space="preserve"> to detect a difference in the incidence of fever</w:t>
      </w:r>
      <w:r w:rsidR="00ED2751" w:rsidRPr="00ED7373">
        <w:t>, which increases the uncertainty in these results</w:t>
      </w:r>
      <w:r w:rsidRPr="00ED7373">
        <w:t>.</w:t>
      </w:r>
    </w:p>
    <w:p w:rsidR="00036016" w:rsidRPr="00036016" w:rsidRDefault="00D3423A" w:rsidP="00D70714">
      <w:pPr>
        <w:pStyle w:val="ListParagraph"/>
        <w:widowControl/>
        <w:numPr>
          <w:ilvl w:val="1"/>
          <w:numId w:val="2"/>
        </w:numPr>
      </w:pPr>
      <w:r w:rsidRPr="00036016">
        <w:t xml:space="preserve">ATAGI noted that in 2010 a bioCSL (now </w:t>
      </w:r>
      <w:proofErr w:type="spellStart"/>
      <w:r w:rsidR="001729A1" w:rsidRPr="00036016">
        <w:t>Seqirus</w:t>
      </w:r>
      <w:proofErr w:type="spellEnd"/>
      <w:r w:rsidRPr="00036016">
        <w:t>) trivalent influenza vaccine</w:t>
      </w:r>
      <w:r w:rsidR="002D1CA1">
        <w:t xml:space="preserve"> (TIV</w:t>
      </w:r>
      <w:r w:rsidRPr="00036016">
        <w:t>) (</w:t>
      </w:r>
      <w:proofErr w:type="spellStart"/>
      <w:r w:rsidRPr="00036016">
        <w:t>Fluvax</w:t>
      </w:r>
      <w:proofErr w:type="spellEnd"/>
      <w:r w:rsidR="00691981">
        <w:t>®</w:t>
      </w:r>
      <w:r w:rsidRPr="00036016">
        <w:t>) was associated with an increased incidence of febrile seizures in children aged five years or less</w:t>
      </w:r>
      <w:r w:rsidR="00966AC6" w:rsidRPr="00036016">
        <w:t xml:space="preserve">. Investigation into the cause of this safety concern identified a combination of new influenza strains and the standard method of manufacturing used by the sponsor. Afluria Quad </w:t>
      </w:r>
      <w:proofErr w:type="gramStart"/>
      <w:r w:rsidR="00966AC6" w:rsidRPr="00036016">
        <w:t>has been produced</w:t>
      </w:r>
      <w:proofErr w:type="gramEnd"/>
      <w:r w:rsidR="00966AC6" w:rsidRPr="00036016">
        <w:t xml:space="preserve"> under modified manufacturing conditions.</w:t>
      </w:r>
    </w:p>
    <w:p w:rsidR="00684833" w:rsidRDefault="00684833" w:rsidP="00D70714">
      <w:pPr>
        <w:pStyle w:val="Heading2"/>
      </w:pPr>
      <w:bookmarkStart w:id="23" w:name="_Toc521332858"/>
      <w:bookmarkStart w:id="24" w:name="_Toc521934346"/>
      <w:r w:rsidRPr="00C9624D">
        <w:t>Clinical claim</w:t>
      </w:r>
      <w:bookmarkEnd w:id="23"/>
      <w:bookmarkEnd w:id="24"/>
    </w:p>
    <w:p w:rsidR="00684833" w:rsidRPr="007B556B" w:rsidRDefault="00684833" w:rsidP="00D70714">
      <w:pPr>
        <w:pStyle w:val="ListParagraph"/>
        <w:widowControl/>
        <w:numPr>
          <w:ilvl w:val="1"/>
          <w:numId w:val="2"/>
        </w:numPr>
      </w:pPr>
      <w:r w:rsidRPr="007B556B">
        <w:t xml:space="preserve">The submission described </w:t>
      </w:r>
      <w:r w:rsidR="001729A1">
        <w:t>Afluria Quad</w:t>
      </w:r>
      <w:r w:rsidRPr="007B556B">
        <w:t xml:space="preserve"> as non-inferior in terms of effectiveness compared with </w:t>
      </w:r>
      <w:proofErr w:type="spellStart"/>
      <w:r w:rsidR="001729A1">
        <w:t>Fluarix</w:t>
      </w:r>
      <w:proofErr w:type="spellEnd"/>
      <w:r w:rsidR="001729A1">
        <w:t xml:space="preserve"> Tetra</w:t>
      </w:r>
      <w:r w:rsidRPr="007B556B">
        <w:t xml:space="preserve"> and non-inferior in terms of safety compared </w:t>
      </w:r>
      <w:r w:rsidR="00EE7CA2">
        <w:t>with</w:t>
      </w:r>
      <w:r w:rsidR="00EE7CA2" w:rsidRPr="007B556B">
        <w:t xml:space="preserve"> </w:t>
      </w:r>
      <w:proofErr w:type="spellStart"/>
      <w:r w:rsidR="001729A1">
        <w:t>Fluarix</w:t>
      </w:r>
      <w:proofErr w:type="spellEnd"/>
      <w:r w:rsidR="001729A1">
        <w:t xml:space="preserve"> Tetra</w:t>
      </w:r>
      <w:r w:rsidR="00F64455">
        <w:t xml:space="preserve"> (p</w:t>
      </w:r>
      <w:r w:rsidR="006F337A">
        <w:t>66</w:t>
      </w:r>
      <w:r w:rsidR="00F64455">
        <w:t xml:space="preserve"> of the submission)</w:t>
      </w:r>
      <w:r w:rsidRPr="007B556B">
        <w:t>.</w:t>
      </w:r>
    </w:p>
    <w:p w:rsidR="00F64455" w:rsidRPr="00D1010A" w:rsidRDefault="00684833" w:rsidP="00D70714">
      <w:pPr>
        <w:pStyle w:val="ListParagraph"/>
        <w:widowControl/>
        <w:numPr>
          <w:ilvl w:val="1"/>
          <w:numId w:val="2"/>
        </w:numPr>
      </w:pPr>
      <w:r w:rsidRPr="00ED7373">
        <w:t xml:space="preserve">The </w:t>
      </w:r>
      <w:r w:rsidR="00270BCA">
        <w:t xml:space="preserve">evaluation considered that the </w:t>
      </w:r>
      <w:r w:rsidRPr="00ED7373">
        <w:t xml:space="preserve">therapeutic conclusion regarding efficacy is likely to be reasonable given the evidence presented in </w:t>
      </w:r>
      <w:r w:rsidR="0012658A">
        <w:t>the submission</w:t>
      </w:r>
      <w:r w:rsidRPr="00D1010A">
        <w:t xml:space="preserve"> and the fact that the nominated comparator </w:t>
      </w:r>
      <w:proofErr w:type="gramStart"/>
      <w:r w:rsidRPr="00D1010A">
        <w:t xml:space="preserve">vaccines which contain the same strains each season as </w:t>
      </w:r>
      <w:r w:rsidR="001729A1" w:rsidRPr="00D1010A">
        <w:t>Afluria Quad</w:t>
      </w:r>
      <w:proofErr w:type="gramEnd"/>
      <w:r w:rsidRPr="00D1010A">
        <w:t xml:space="preserve"> are currently being used in the population nominated by the submission. However, clinical evidence in terms of efficacy </w:t>
      </w:r>
      <w:proofErr w:type="gramStart"/>
      <w:r w:rsidR="00F64455" w:rsidRPr="00D1010A">
        <w:t>was provided</w:t>
      </w:r>
      <w:proofErr w:type="gramEnd"/>
      <w:r w:rsidR="00F64455" w:rsidRPr="00D1010A">
        <w:t xml:space="preserve"> from </w:t>
      </w:r>
      <w:r w:rsidRPr="00D1010A">
        <w:t>only one influenza season in the northern hemisphere.</w:t>
      </w:r>
      <w:r w:rsidR="008A490E" w:rsidRPr="00D1010A">
        <w:t xml:space="preserve"> </w:t>
      </w:r>
      <w:r w:rsidR="00F64455" w:rsidRPr="00D1010A">
        <w:t xml:space="preserve">Furthermore, trial QIV-13-02 </w:t>
      </w:r>
      <w:r w:rsidR="005A7F4D" w:rsidRPr="00D1010A">
        <w:t>excluded most of</w:t>
      </w:r>
      <w:r w:rsidR="00F64455" w:rsidRPr="00D1010A">
        <w:t xml:space="preserve"> the population for whom NIP listing </w:t>
      </w:r>
      <w:proofErr w:type="gramStart"/>
      <w:r w:rsidR="005A7F4D" w:rsidRPr="00D1010A">
        <w:t>was</w:t>
      </w:r>
      <w:r w:rsidR="00F64455" w:rsidRPr="00D1010A">
        <w:t xml:space="preserve"> sought</w:t>
      </w:r>
      <w:proofErr w:type="gramEnd"/>
      <w:r w:rsidR="00F64455" w:rsidRPr="00D1010A">
        <w:t>.</w:t>
      </w:r>
    </w:p>
    <w:p w:rsidR="00ED2751" w:rsidRDefault="00382905" w:rsidP="00D70714">
      <w:pPr>
        <w:pStyle w:val="ListParagraph"/>
        <w:widowControl/>
        <w:numPr>
          <w:ilvl w:val="1"/>
          <w:numId w:val="2"/>
        </w:numPr>
      </w:pPr>
      <w:r w:rsidRPr="00D1010A">
        <w:t xml:space="preserve">The </w:t>
      </w:r>
      <w:r w:rsidRPr="006F7B68">
        <w:t>t</w:t>
      </w:r>
      <w:r w:rsidRPr="00D1010A">
        <w:t xml:space="preserve">herapeutic conclusion regarding safety appears </w:t>
      </w:r>
      <w:r w:rsidR="009421DD" w:rsidRPr="00D1010A">
        <w:t>reasonable;</w:t>
      </w:r>
      <w:r w:rsidRPr="00D1010A">
        <w:t xml:space="preserve"> </w:t>
      </w:r>
      <w:proofErr w:type="gramStart"/>
      <w:r w:rsidRPr="00D1010A">
        <w:t>however</w:t>
      </w:r>
      <w:proofErr w:type="gramEnd"/>
      <w:r w:rsidRPr="00D1010A">
        <w:t xml:space="preserve"> some uncertainty remains around the </w:t>
      </w:r>
      <w:r w:rsidR="002052AF" w:rsidRPr="00D1010A">
        <w:t xml:space="preserve">incidence of </w:t>
      </w:r>
      <w:r w:rsidRPr="00D1010A">
        <w:t>fe</w:t>
      </w:r>
      <w:r w:rsidR="002052AF" w:rsidRPr="00D1010A">
        <w:t>ver</w:t>
      </w:r>
      <w:r w:rsidRPr="00D1010A">
        <w:t xml:space="preserve"> in younger children. </w:t>
      </w:r>
    </w:p>
    <w:p w:rsidR="004808A4" w:rsidRPr="00270BCA" w:rsidRDefault="004808A4" w:rsidP="00270BCA">
      <w:pPr>
        <w:pStyle w:val="ListParagraph"/>
        <w:widowControl/>
        <w:numPr>
          <w:ilvl w:val="1"/>
          <w:numId w:val="2"/>
        </w:numPr>
      </w:pPr>
      <w:r w:rsidRPr="00270BCA">
        <w:t>The PBAC considered that the claim of non-inferior comparative effectiveness was reasonable</w:t>
      </w:r>
      <w:r w:rsidR="009203B6" w:rsidRPr="00270BCA">
        <w:t>.</w:t>
      </w:r>
    </w:p>
    <w:p w:rsidR="004808A4" w:rsidRPr="00D667C3" w:rsidRDefault="004808A4" w:rsidP="00D70714">
      <w:pPr>
        <w:pStyle w:val="ListParagraph"/>
        <w:widowControl/>
        <w:numPr>
          <w:ilvl w:val="1"/>
          <w:numId w:val="2"/>
        </w:numPr>
      </w:pPr>
      <w:r w:rsidRPr="00D667C3">
        <w:rPr>
          <w:rFonts w:asciiTheme="minorHAnsi" w:hAnsiTheme="minorHAnsi"/>
          <w:szCs w:val="20"/>
        </w:rPr>
        <w:t>The PBAC considered that the claim of non-inferior comparative</w:t>
      </w:r>
      <w:r w:rsidR="009203B6" w:rsidRPr="00D667C3">
        <w:rPr>
          <w:rFonts w:asciiTheme="minorHAnsi" w:hAnsiTheme="minorHAnsi"/>
          <w:szCs w:val="20"/>
        </w:rPr>
        <w:t xml:space="preserve"> </w:t>
      </w:r>
      <w:r w:rsidR="00D667C3" w:rsidRPr="00D667C3">
        <w:rPr>
          <w:rFonts w:asciiTheme="minorHAnsi" w:hAnsiTheme="minorHAnsi"/>
          <w:szCs w:val="20"/>
        </w:rPr>
        <w:t>safety was reasonable.</w:t>
      </w:r>
    </w:p>
    <w:p w:rsidR="00684833" w:rsidRPr="00D667C3" w:rsidRDefault="00684833" w:rsidP="00D70714">
      <w:pPr>
        <w:pStyle w:val="Heading2"/>
      </w:pPr>
      <w:bookmarkStart w:id="25" w:name="_Toc521332859"/>
      <w:bookmarkStart w:id="26" w:name="_Toc521934347"/>
      <w:r w:rsidRPr="00D667C3">
        <w:t>Economic analysis</w:t>
      </w:r>
      <w:bookmarkEnd w:id="25"/>
      <w:bookmarkEnd w:id="26"/>
      <w:r w:rsidRPr="00D667C3">
        <w:t xml:space="preserve"> </w:t>
      </w:r>
    </w:p>
    <w:p w:rsidR="00684833" w:rsidRPr="00D667C3" w:rsidRDefault="00684833" w:rsidP="00D70714">
      <w:pPr>
        <w:pStyle w:val="ListParagraph"/>
        <w:widowControl/>
        <w:numPr>
          <w:ilvl w:val="1"/>
          <w:numId w:val="2"/>
        </w:numPr>
      </w:pPr>
      <w:r w:rsidRPr="00D667C3">
        <w:t xml:space="preserve">The </w:t>
      </w:r>
      <w:r w:rsidR="005875C0" w:rsidRPr="00D667C3">
        <w:t xml:space="preserve">proposed </w:t>
      </w:r>
      <w:proofErr w:type="spellStart"/>
      <w:r w:rsidRPr="00D667C3">
        <w:t>equi</w:t>
      </w:r>
      <w:proofErr w:type="spellEnd"/>
      <w:r w:rsidRPr="00D667C3">
        <w:t xml:space="preserve">-effective doses </w:t>
      </w:r>
      <w:r w:rsidR="005875C0" w:rsidRPr="00D667C3">
        <w:t xml:space="preserve">were </w:t>
      </w:r>
      <w:r w:rsidR="001729A1" w:rsidRPr="00D667C3">
        <w:t>Afluria Quad</w:t>
      </w:r>
      <w:r w:rsidRPr="00D667C3">
        <w:t xml:space="preserve"> 0.5mL and </w:t>
      </w:r>
      <w:proofErr w:type="spellStart"/>
      <w:r w:rsidR="001729A1" w:rsidRPr="00D667C3">
        <w:t>Fluarix</w:t>
      </w:r>
      <w:proofErr w:type="spellEnd"/>
      <w:r w:rsidR="001729A1" w:rsidRPr="00D667C3">
        <w:t xml:space="preserve"> Tetra</w:t>
      </w:r>
      <w:r w:rsidRPr="00D667C3">
        <w:t xml:space="preserve"> 0.5mL</w:t>
      </w:r>
      <w:r w:rsidR="005875C0" w:rsidRPr="00D667C3">
        <w:t xml:space="preserve"> in line with the doses used in </w:t>
      </w:r>
      <w:r w:rsidRPr="00D667C3">
        <w:t>Trial QIV-13-02, the TGA PIs and the current NIP listing.</w:t>
      </w:r>
      <w:r w:rsidR="000C5B5A" w:rsidRPr="00D667C3">
        <w:t xml:space="preserve"> The proposed </w:t>
      </w:r>
      <w:proofErr w:type="spellStart"/>
      <w:r w:rsidR="000C5B5A" w:rsidRPr="00D667C3">
        <w:t>equi</w:t>
      </w:r>
      <w:proofErr w:type="spellEnd"/>
      <w:r w:rsidR="000C5B5A" w:rsidRPr="00D667C3">
        <w:t xml:space="preserve">-effective doses </w:t>
      </w:r>
      <w:r w:rsidR="00ED2751" w:rsidRPr="00D667C3">
        <w:rPr>
          <w:i/>
        </w:rPr>
        <w:t>are</w:t>
      </w:r>
      <w:r w:rsidR="000C5B5A" w:rsidRPr="00D667C3">
        <w:t xml:space="preserve"> </w:t>
      </w:r>
      <w:r w:rsidR="00957460" w:rsidRPr="00D667C3">
        <w:t>reasonable</w:t>
      </w:r>
      <w:r w:rsidR="000C5B5A" w:rsidRPr="00D667C3">
        <w:t>.</w:t>
      </w:r>
    </w:p>
    <w:p w:rsidR="00684833" w:rsidRPr="00D667C3" w:rsidRDefault="00ED2751" w:rsidP="00D70714">
      <w:pPr>
        <w:pStyle w:val="ListParagraph"/>
        <w:widowControl/>
        <w:numPr>
          <w:ilvl w:val="1"/>
          <w:numId w:val="2"/>
        </w:numPr>
      </w:pPr>
      <w:r w:rsidRPr="00D667C3">
        <w:t>T</w:t>
      </w:r>
      <w:r w:rsidR="008A490E" w:rsidRPr="00D667C3">
        <w:t xml:space="preserve">he submission did not propose the </w:t>
      </w:r>
      <w:proofErr w:type="spellStart"/>
      <w:r w:rsidR="008A490E" w:rsidRPr="00D667C3">
        <w:t>equi</w:t>
      </w:r>
      <w:proofErr w:type="spellEnd"/>
      <w:r w:rsidR="008A490E" w:rsidRPr="00D667C3">
        <w:t xml:space="preserve">-effective doses for </w:t>
      </w:r>
      <w:r w:rsidR="001729A1" w:rsidRPr="00D667C3">
        <w:t>Afluria Quad</w:t>
      </w:r>
      <w:r w:rsidR="008A490E" w:rsidRPr="00D667C3">
        <w:t xml:space="preserve"> and </w:t>
      </w:r>
      <w:proofErr w:type="spellStart"/>
      <w:r w:rsidR="001729A1" w:rsidRPr="00D667C3">
        <w:t>FluQuadri</w:t>
      </w:r>
      <w:proofErr w:type="spellEnd"/>
      <w:r w:rsidR="002149AC" w:rsidRPr="00D667C3">
        <w:t xml:space="preserve">. </w:t>
      </w:r>
      <w:r w:rsidR="000B52DF" w:rsidRPr="00D667C3">
        <w:t xml:space="preserve">The </w:t>
      </w:r>
      <w:proofErr w:type="spellStart"/>
      <w:r w:rsidR="000B52DF" w:rsidRPr="00D667C3">
        <w:t>equi</w:t>
      </w:r>
      <w:proofErr w:type="spellEnd"/>
      <w:r w:rsidR="000B52DF" w:rsidRPr="00D667C3">
        <w:t xml:space="preserve">-effective doses from the July 2015 </w:t>
      </w:r>
      <w:proofErr w:type="spellStart"/>
      <w:r w:rsidR="000B52DF" w:rsidRPr="00D667C3">
        <w:t>FluQuadri</w:t>
      </w:r>
      <w:proofErr w:type="spellEnd"/>
      <w:r w:rsidR="000B52DF" w:rsidRPr="00D667C3">
        <w:t xml:space="preserve"> submission were </w:t>
      </w:r>
      <w:proofErr w:type="spellStart"/>
      <w:r w:rsidR="000B52DF" w:rsidRPr="00D667C3">
        <w:t>FluQuadri</w:t>
      </w:r>
      <w:proofErr w:type="spellEnd"/>
      <w:r w:rsidR="000B52DF" w:rsidRPr="00D667C3">
        <w:t xml:space="preserve"> 0.5mL and </w:t>
      </w:r>
      <w:proofErr w:type="spellStart"/>
      <w:r w:rsidR="000B52DF" w:rsidRPr="00D667C3">
        <w:t>Fluarix</w:t>
      </w:r>
      <w:proofErr w:type="spellEnd"/>
      <w:r w:rsidR="000B52DF" w:rsidRPr="00D667C3">
        <w:t xml:space="preserve"> Tetra 0.5mL. </w:t>
      </w:r>
      <w:r w:rsidR="002149AC" w:rsidRPr="00D667C3">
        <w:t>It is</w:t>
      </w:r>
      <w:r w:rsidR="00684833" w:rsidRPr="00D667C3">
        <w:t xml:space="preserve"> reasonable to expect that the </w:t>
      </w:r>
      <w:proofErr w:type="spellStart"/>
      <w:r w:rsidR="00684833" w:rsidRPr="00D667C3">
        <w:t>equi</w:t>
      </w:r>
      <w:proofErr w:type="spellEnd"/>
      <w:r w:rsidR="00684833" w:rsidRPr="00D667C3">
        <w:t xml:space="preserve">-effective doses </w:t>
      </w:r>
      <w:r w:rsidR="00036016" w:rsidRPr="00D667C3">
        <w:t>remain as</w:t>
      </w:r>
      <w:r w:rsidR="00684833" w:rsidRPr="00D667C3">
        <w:t xml:space="preserve"> </w:t>
      </w:r>
      <w:r w:rsidR="001729A1" w:rsidRPr="00D667C3">
        <w:t>Afluria Quad</w:t>
      </w:r>
      <w:r w:rsidR="00684833" w:rsidRPr="00D667C3">
        <w:t xml:space="preserve"> 0.5mL and </w:t>
      </w:r>
      <w:proofErr w:type="spellStart"/>
      <w:r w:rsidR="001729A1" w:rsidRPr="00D667C3">
        <w:t>FluQuadri</w:t>
      </w:r>
      <w:proofErr w:type="spellEnd"/>
      <w:r w:rsidR="00684833" w:rsidRPr="00D667C3">
        <w:t xml:space="preserve"> 0.5mL.</w:t>
      </w:r>
    </w:p>
    <w:p w:rsidR="00DD0DAB" w:rsidRPr="00D667C3" w:rsidRDefault="00684833" w:rsidP="00D70714">
      <w:pPr>
        <w:pStyle w:val="ListParagraph"/>
        <w:widowControl/>
        <w:numPr>
          <w:ilvl w:val="1"/>
          <w:numId w:val="2"/>
        </w:numPr>
      </w:pPr>
      <w:r w:rsidRPr="00D667C3">
        <w:t xml:space="preserve">No additional costs and/or cost offsets </w:t>
      </w:r>
      <w:proofErr w:type="gramStart"/>
      <w:r w:rsidRPr="00D667C3">
        <w:t>were reported</w:t>
      </w:r>
      <w:proofErr w:type="gramEnd"/>
      <w:r w:rsidR="00270BCA">
        <w:t xml:space="preserve"> in the submission</w:t>
      </w:r>
      <w:r w:rsidRPr="00D667C3">
        <w:t>.</w:t>
      </w:r>
      <w:bookmarkStart w:id="27" w:name="_Toc521332860"/>
      <w:bookmarkStart w:id="28" w:name="_Toc521934348"/>
    </w:p>
    <w:p w:rsidR="00684833" w:rsidRPr="00D667C3" w:rsidRDefault="00684833" w:rsidP="00D70714">
      <w:pPr>
        <w:pStyle w:val="Heading2"/>
      </w:pPr>
      <w:r w:rsidRPr="00D667C3">
        <w:lastRenderedPageBreak/>
        <w:t>Drug cost/patient/year</w:t>
      </w:r>
      <w:bookmarkEnd w:id="27"/>
      <w:bookmarkEnd w:id="28"/>
    </w:p>
    <w:p w:rsidR="00684833" w:rsidRPr="00D667C3" w:rsidRDefault="00684833" w:rsidP="00D70714">
      <w:pPr>
        <w:pStyle w:val="ListParagraph"/>
        <w:keepNext/>
        <w:widowControl/>
        <w:numPr>
          <w:ilvl w:val="1"/>
          <w:numId w:val="2"/>
        </w:numPr>
      </w:pPr>
      <w:r w:rsidRPr="00D667C3">
        <w:t>$</w:t>
      </w:r>
      <w:r w:rsidR="00356E50">
        <w:rPr>
          <w:noProof/>
          <w:color w:val="000000"/>
          <w:highlight w:val="black"/>
        </w:rPr>
        <w:t>'''''''''</w:t>
      </w:r>
      <w:r w:rsidRPr="00D667C3">
        <w:t xml:space="preserve"> based on a single dose per child per year.</w:t>
      </w:r>
    </w:p>
    <w:p w:rsidR="00684833" w:rsidRPr="00D667C3" w:rsidRDefault="00684833" w:rsidP="00D70714">
      <w:pPr>
        <w:pStyle w:val="ListParagraph"/>
        <w:keepNext/>
        <w:widowControl/>
        <w:numPr>
          <w:ilvl w:val="1"/>
          <w:numId w:val="2"/>
        </w:numPr>
      </w:pPr>
      <w:r w:rsidRPr="00D667C3">
        <w:t>For influenza vaccine naïve children aged 5 to 8 years, the cost would be $</w:t>
      </w:r>
      <w:r w:rsidR="00356E50">
        <w:rPr>
          <w:noProof/>
          <w:color w:val="000000"/>
          <w:highlight w:val="black"/>
        </w:rPr>
        <w:t>'''''''''''</w:t>
      </w:r>
      <w:r w:rsidRPr="00D667C3">
        <w:t xml:space="preserve"> in the first year based on the child receiving two vaccinations four weeks apart in the first year, followed by $</w:t>
      </w:r>
      <w:r w:rsidR="00356E50">
        <w:rPr>
          <w:noProof/>
          <w:color w:val="000000"/>
          <w:highlight w:val="black"/>
        </w:rPr>
        <w:t>'''''''''</w:t>
      </w:r>
      <w:r w:rsidRPr="00D667C3">
        <w:t xml:space="preserve"> per child per year thereafter.</w:t>
      </w:r>
    </w:p>
    <w:p w:rsidR="00684833" w:rsidRDefault="00684833" w:rsidP="00D70714">
      <w:pPr>
        <w:pStyle w:val="Heading2"/>
      </w:pPr>
      <w:bookmarkStart w:id="29" w:name="_Toc521332861"/>
      <w:bookmarkStart w:id="30" w:name="_Toc521934349"/>
      <w:r w:rsidRPr="00C9624D">
        <w:t xml:space="preserve">Estimated </w:t>
      </w:r>
      <w:r w:rsidR="00705BBA">
        <w:t>NIP</w:t>
      </w:r>
      <w:r w:rsidR="00705BBA" w:rsidRPr="00C9624D">
        <w:t xml:space="preserve"> </w:t>
      </w:r>
      <w:r w:rsidRPr="00C9624D">
        <w:t>usage &amp; financial implications</w:t>
      </w:r>
      <w:bookmarkEnd w:id="29"/>
      <w:bookmarkEnd w:id="30"/>
    </w:p>
    <w:p w:rsidR="00684833" w:rsidRPr="00B201A4" w:rsidRDefault="00684833" w:rsidP="00BD37F3">
      <w:pPr>
        <w:pStyle w:val="ListParagraph"/>
        <w:widowControl/>
        <w:numPr>
          <w:ilvl w:val="1"/>
          <w:numId w:val="2"/>
        </w:numPr>
      </w:pPr>
      <w:r>
        <w:t xml:space="preserve">This submission </w:t>
      </w:r>
      <w:proofErr w:type="gramStart"/>
      <w:r w:rsidR="00ED7373">
        <w:t>was</w:t>
      </w:r>
      <w:r w:rsidR="000D7354">
        <w:t xml:space="preserve"> </w:t>
      </w:r>
      <w:r w:rsidR="00ED7373">
        <w:t>not</w:t>
      </w:r>
      <w:r w:rsidR="000D7354">
        <w:t xml:space="preserve"> </w:t>
      </w:r>
      <w:r>
        <w:t>considered</w:t>
      </w:r>
      <w:proofErr w:type="gramEnd"/>
      <w:r>
        <w:t xml:space="preserve"> by DUSC</w:t>
      </w:r>
      <w:r w:rsidRPr="00B50DB8">
        <w:rPr>
          <w:color w:val="0070C0"/>
        </w:rPr>
        <w:t>.</w:t>
      </w:r>
      <w:r w:rsidRPr="00952F64">
        <w:t xml:space="preserve"> The submission utilised a mixed epidemiological and market share approach</w:t>
      </w:r>
      <w:r w:rsidR="00BD37F3">
        <w:t xml:space="preserve"> and </w:t>
      </w:r>
      <w:r>
        <w:t>assumed a market share of 30</w:t>
      </w:r>
      <w:r w:rsidR="00CB19BC">
        <w:t>%</w:t>
      </w:r>
      <w:r>
        <w:t xml:space="preserve"> of the population</w:t>
      </w:r>
      <w:r w:rsidR="00BD37F3">
        <w:t xml:space="preserve"> eligible for QIV</w:t>
      </w:r>
      <w:r>
        <w:t>.</w:t>
      </w:r>
    </w:p>
    <w:p w:rsidR="00684833" w:rsidRPr="00C25D9C" w:rsidRDefault="00684833" w:rsidP="00D70714">
      <w:pPr>
        <w:widowControl/>
      </w:pPr>
      <w:r w:rsidRPr="001222FC">
        <w:rPr>
          <w:rStyle w:val="CommentReference"/>
        </w:rPr>
        <w:t xml:space="preserve">Table </w:t>
      </w:r>
      <w:r>
        <w:rPr>
          <w:rStyle w:val="CommentReference"/>
        </w:rPr>
        <w:t>7</w:t>
      </w:r>
      <w:r w:rsidRPr="001222FC">
        <w:rPr>
          <w:rStyle w:val="CommentReference"/>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use and financial implications"/>
      </w:tblPr>
      <w:tblGrid>
        <w:gridCol w:w="3966"/>
        <w:gridCol w:w="846"/>
        <w:gridCol w:w="842"/>
        <w:gridCol w:w="846"/>
        <w:gridCol w:w="842"/>
        <w:gridCol w:w="846"/>
        <w:gridCol w:w="751"/>
      </w:tblGrid>
      <w:tr w:rsidR="00FF4F0B" w:rsidRPr="00D1078F" w:rsidTr="00FF4F0B">
        <w:trPr>
          <w:tblHeader/>
        </w:trPr>
        <w:tc>
          <w:tcPr>
            <w:tcW w:w="2219" w:type="pct"/>
            <w:shd w:val="clear" w:color="auto" w:fill="auto"/>
            <w:vAlign w:val="center"/>
          </w:tcPr>
          <w:p w:rsidR="00684833" w:rsidRPr="003639A6" w:rsidRDefault="00684833" w:rsidP="00D70714">
            <w:pPr>
              <w:pStyle w:val="Tabletext"/>
            </w:pPr>
          </w:p>
        </w:tc>
        <w:tc>
          <w:tcPr>
            <w:tcW w:w="473" w:type="pct"/>
            <w:shd w:val="clear" w:color="auto" w:fill="auto"/>
            <w:vAlign w:val="center"/>
          </w:tcPr>
          <w:p w:rsidR="00684833" w:rsidRPr="00D1078F" w:rsidRDefault="00684833" w:rsidP="00D70714">
            <w:pPr>
              <w:pStyle w:val="Tabletext"/>
              <w:jc w:val="center"/>
              <w:rPr>
                <w:b/>
              </w:rPr>
            </w:pPr>
            <w:r w:rsidRPr="00D1078F">
              <w:rPr>
                <w:b/>
              </w:rPr>
              <w:t>Year 1</w:t>
            </w:r>
          </w:p>
        </w:tc>
        <w:tc>
          <w:tcPr>
            <w:tcW w:w="471" w:type="pct"/>
            <w:shd w:val="clear" w:color="auto" w:fill="auto"/>
            <w:vAlign w:val="center"/>
          </w:tcPr>
          <w:p w:rsidR="00684833" w:rsidRPr="00D1078F" w:rsidRDefault="00684833" w:rsidP="00D70714">
            <w:pPr>
              <w:pStyle w:val="Tabletext"/>
              <w:jc w:val="center"/>
              <w:rPr>
                <w:b/>
              </w:rPr>
            </w:pPr>
            <w:r w:rsidRPr="00D1078F">
              <w:rPr>
                <w:b/>
              </w:rPr>
              <w:t>Year 2</w:t>
            </w:r>
          </w:p>
        </w:tc>
        <w:tc>
          <w:tcPr>
            <w:tcW w:w="473" w:type="pct"/>
            <w:shd w:val="clear" w:color="auto" w:fill="auto"/>
            <w:vAlign w:val="center"/>
          </w:tcPr>
          <w:p w:rsidR="00684833" w:rsidRPr="00D1078F" w:rsidRDefault="00684833" w:rsidP="00D70714">
            <w:pPr>
              <w:pStyle w:val="Tabletext"/>
              <w:jc w:val="center"/>
              <w:rPr>
                <w:b/>
              </w:rPr>
            </w:pPr>
            <w:r w:rsidRPr="00D1078F">
              <w:rPr>
                <w:b/>
              </w:rPr>
              <w:t>Year 3</w:t>
            </w:r>
          </w:p>
        </w:tc>
        <w:tc>
          <w:tcPr>
            <w:tcW w:w="471" w:type="pct"/>
            <w:shd w:val="clear" w:color="auto" w:fill="auto"/>
            <w:vAlign w:val="center"/>
          </w:tcPr>
          <w:p w:rsidR="00684833" w:rsidRPr="00D1078F" w:rsidRDefault="00684833" w:rsidP="00D70714">
            <w:pPr>
              <w:pStyle w:val="Tabletext"/>
              <w:jc w:val="center"/>
              <w:rPr>
                <w:b/>
              </w:rPr>
            </w:pPr>
            <w:r w:rsidRPr="00D1078F">
              <w:rPr>
                <w:b/>
              </w:rPr>
              <w:t>Year 4</w:t>
            </w:r>
          </w:p>
        </w:tc>
        <w:tc>
          <w:tcPr>
            <w:tcW w:w="473" w:type="pct"/>
            <w:shd w:val="clear" w:color="auto" w:fill="auto"/>
            <w:vAlign w:val="center"/>
          </w:tcPr>
          <w:p w:rsidR="00684833" w:rsidRPr="00D1078F" w:rsidRDefault="00684833" w:rsidP="00D70714">
            <w:pPr>
              <w:pStyle w:val="Tabletext"/>
              <w:jc w:val="center"/>
              <w:rPr>
                <w:b/>
              </w:rPr>
            </w:pPr>
            <w:r w:rsidRPr="00D1078F">
              <w:rPr>
                <w:b/>
              </w:rPr>
              <w:t>Year 5</w:t>
            </w:r>
          </w:p>
        </w:tc>
        <w:tc>
          <w:tcPr>
            <w:tcW w:w="420" w:type="pct"/>
          </w:tcPr>
          <w:p w:rsidR="00684833" w:rsidRPr="00D1078F" w:rsidRDefault="00684833" w:rsidP="00D70714">
            <w:pPr>
              <w:pStyle w:val="Tabletext"/>
              <w:jc w:val="center"/>
              <w:rPr>
                <w:b/>
              </w:rPr>
            </w:pPr>
            <w:r w:rsidRPr="00D1078F">
              <w:rPr>
                <w:b/>
              </w:rPr>
              <w:t>Year 6</w:t>
            </w:r>
          </w:p>
        </w:tc>
      </w:tr>
      <w:tr w:rsidR="00684833" w:rsidRPr="00D1078F" w:rsidTr="00313917">
        <w:tc>
          <w:tcPr>
            <w:tcW w:w="5000" w:type="pct"/>
            <w:gridSpan w:val="7"/>
            <w:shd w:val="clear" w:color="auto" w:fill="auto"/>
            <w:vAlign w:val="center"/>
          </w:tcPr>
          <w:p w:rsidR="00684833" w:rsidRPr="00D1078F" w:rsidRDefault="00684833" w:rsidP="00D70714">
            <w:pPr>
              <w:pStyle w:val="Tabletext"/>
              <w:rPr>
                <w:b/>
                <w:bCs/>
                <w:color w:val="000000"/>
              </w:rPr>
            </w:pPr>
            <w:r w:rsidRPr="00D1078F">
              <w:rPr>
                <w:b/>
                <w:bCs/>
                <w:color w:val="000000"/>
              </w:rPr>
              <w:t>Estimated extent of use</w:t>
            </w:r>
          </w:p>
        </w:tc>
      </w:tr>
      <w:tr w:rsidR="00FF4F0B" w:rsidRPr="003639A6" w:rsidTr="00FF4F0B">
        <w:tc>
          <w:tcPr>
            <w:tcW w:w="2219" w:type="pct"/>
            <w:shd w:val="clear" w:color="auto" w:fill="auto"/>
            <w:vAlign w:val="center"/>
          </w:tcPr>
          <w:p w:rsidR="00684833" w:rsidRPr="003639A6" w:rsidRDefault="00684833" w:rsidP="00D70714">
            <w:pPr>
              <w:pStyle w:val="Tabletext"/>
              <w:rPr>
                <w:rFonts w:ascii="Times" w:hAnsi="Times"/>
              </w:rPr>
            </w:pPr>
            <w:r w:rsidRPr="003639A6">
              <w:t>Number of patients treated</w:t>
            </w:r>
            <w:r w:rsidR="00552ED8">
              <w:t xml:space="preserve"> (assuming 30% market share of the eligible population)</w:t>
            </w:r>
          </w:p>
        </w:tc>
        <w:tc>
          <w:tcPr>
            <w:tcW w:w="473" w:type="pct"/>
            <w:shd w:val="clear" w:color="auto" w:fill="auto"/>
            <w:vAlign w:val="center"/>
          </w:tcPr>
          <w:p w:rsidR="00684833" w:rsidRPr="00356E50" w:rsidRDefault="00356E50" w:rsidP="00D70714">
            <w:pPr>
              <w:pStyle w:val="Tabletext"/>
              <w:jc w:val="center"/>
              <w:rPr>
                <w:bCs/>
                <w:color w:val="000000"/>
                <w:highlight w:val="black"/>
              </w:rPr>
            </w:pPr>
            <w:r>
              <w:rPr>
                <w:noProof/>
                <w:color w:val="000000"/>
                <w:szCs w:val="20"/>
                <w:highlight w:val="black"/>
              </w:rPr>
              <w:t>''''''''''''</w:t>
            </w:r>
          </w:p>
        </w:tc>
        <w:tc>
          <w:tcPr>
            <w:tcW w:w="471" w:type="pct"/>
            <w:shd w:val="clear" w:color="auto" w:fill="auto"/>
            <w:vAlign w:val="center"/>
          </w:tcPr>
          <w:p w:rsidR="00684833" w:rsidRPr="00356E50" w:rsidRDefault="00356E50" w:rsidP="00D70714">
            <w:pPr>
              <w:pStyle w:val="Tabletext"/>
              <w:jc w:val="center"/>
              <w:rPr>
                <w:bCs/>
                <w:color w:val="000000"/>
                <w:highlight w:val="black"/>
              </w:rPr>
            </w:pPr>
            <w:r>
              <w:rPr>
                <w:bCs/>
                <w:noProof/>
                <w:color w:val="000000"/>
                <w:highlight w:val="black"/>
              </w:rPr>
              <w:t>''''''''''''</w:t>
            </w:r>
          </w:p>
        </w:tc>
        <w:tc>
          <w:tcPr>
            <w:tcW w:w="473" w:type="pct"/>
            <w:shd w:val="clear" w:color="auto" w:fill="auto"/>
            <w:vAlign w:val="center"/>
          </w:tcPr>
          <w:p w:rsidR="00684833" w:rsidRPr="00356E50" w:rsidRDefault="00356E50" w:rsidP="00D70714">
            <w:pPr>
              <w:pStyle w:val="Tabletext"/>
              <w:jc w:val="center"/>
              <w:rPr>
                <w:bCs/>
                <w:color w:val="000000"/>
                <w:highlight w:val="black"/>
              </w:rPr>
            </w:pPr>
            <w:r>
              <w:rPr>
                <w:bCs/>
                <w:noProof/>
                <w:color w:val="000000"/>
                <w:highlight w:val="black"/>
              </w:rPr>
              <w:t>'''''''''''</w:t>
            </w:r>
          </w:p>
        </w:tc>
        <w:tc>
          <w:tcPr>
            <w:tcW w:w="471" w:type="pct"/>
            <w:shd w:val="clear" w:color="auto" w:fill="auto"/>
            <w:vAlign w:val="center"/>
          </w:tcPr>
          <w:p w:rsidR="00684833" w:rsidRPr="00356E50" w:rsidRDefault="00356E50" w:rsidP="00D70714">
            <w:pPr>
              <w:pStyle w:val="Tabletext"/>
              <w:jc w:val="center"/>
              <w:rPr>
                <w:bCs/>
                <w:color w:val="000000"/>
                <w:highlight w:val="black"/>
              </w:rPr>
            </w:pPr>
            <w:r>
              <w:rPr>
                <w:noProof/>
                <w:color w:val="000000"/>
                <w:szCs w:val="20"/>
                <w:highlight w:val="black"/>
              </w:rPr>
              <w:t>'''''''''''''</w:t>
            </w:r>
          </w:p>
        </w:tc>
        <w:tc>
          <w:tcPr>
            <w:tcW w:w="473" w:type="pct"/>
            <w:shd w:val="clear" w:color="auto" w:fill="auto"/>
            <w:vAlign w:val="center"/>
          </w:tcPr>
          <w:p w:rsidR="00684833" w:rsidRPr="00356E50" w:rsidRDefault="00356E50" w:rsidP="00D70714">
            <w:pPr>
              <w:pStyle w:val="Tabletext"/>
              <w:jc w:val="center"/>
              <w:rPr>
                <w:bCs/>
                <w:color w:val="000000"/>
                <w:highlight w:val="black"/>
              </w:rPr>
            </w:pPr>
            <w:r>
              <w:rPr>
                <w:noProof/>
                <w:color w:val="000000"/>
                <w:szCs w:val="20"/>
                <w:highlight w:val="black"/>
              </w:rPr>
              <w:t>''''''''''''</w:t>
            </w:r>
          </w:p>
        </w:tc>
        <w:tc>
          <w:tcPr>
            <w:tcW w:w="420" w:type="pct"/>
            <w:shd w:val="clear" w:color="auto" w:fill="auto"/>
            <w:vAlign w:val="center"/>
          </w:tcPr>
          <w:p w:rsidR="00684833" w:rsidRPr="00356E50" w:rsidRDefault="00356E50" w:rsidP="00D70714">
            <w:pPr>
              <w:pStyle w:val="Tabletext"/>
              <w:jc w:val="center"/>
              <w:rPr>
                <w:bCs/>
                <w:color w:val="000000"/>
                <w:highlight w:val="black"/>
              </w:rPr>
            </w:pPr>
            <w:r>
              <w:rPr>
                <w:noProof/>
                <w:color w:val="000000"/>
                <w:szCs w:val="20"/>
                <w:highlight w:val="black"/>
              </w:rPr>
              <w:t>'''''''''''</w:t>
            </w:r>
          </w:p>
        </w:tc>
      </w:tr>
      <w:tr w:rsidR="00FF4F0B" w:rsidRPr="003639A6" w:rsidTr="00FF4F0B">
        <w:tc>
          <w:tcPr>
            <w:tcW w:w="2219" w:type="pct"/>
            <w:shd w:val="clear" w:color="auto" w:fill="auto"/>
            <w:vAlign w:val="center"/>
          </w:tcPr>
          <w:p w:rsidR="00684833" w:rsidRPr="003639A6" w:rsidRDefault="00684833" w:rsidP="00D70714">
            <w:pPr>
              <w:pStyle w:val="Tabletext"/>
            </w:pPr>
            <w:r>
              <w:t>Number of 5-8 year olds requiring a second vaccine in the first year of immunisation</w:t>
            </w:r>
          </w:p>
        </w:tc>
        <w:tc>
          <w:tcPr>
            <w:tcW w:w="473" w:type="pct"/>
            <w:shd w:val="clear" w:color="auto" w:fill="auto"/>
            <w:vAlign w:val="center"/>
          </w:tcPr>
          <w:p w:rsidR="00684833" w:rsidRPr="00356E50" w:rsidRDefault="00356E50" w:rsidP="00D70714">
            <w:pPr>
              <w:pStyle w:val="Tabletext"/>
              <w:jc w:val="center"/>
              <w:rPr>
                <w:szCs w:val="20"/>
                <w:highlight w:val="black"/>
              </w:rPr>
            </w:pPr>
            <w:r>
              <w:rPr>
                <w:noProof/>
                <w:color w:val="000000"/>
                <w:szCs w:val="20"/>
                <w:highlight w:val="black"/>
              </w:rPr>
              <w:t>''''''''''</w:t>
            </w:r>
          </w:p>
        </w:tc>
        <w:tc>
          <w:tcPr>
            <w:tcW w:w="471" w:type="pct"/>
            <w:shd w:val="clear" w:color="auto" w:fill="auto"/>
            <w:vAlign w:val="center"/>
          </w:tcPr>
          <w:p w:rsidR="00684833" w:rsidRPr="00356E50" w:rsidRDefault="00356E50" w:rsidP="00D70714">
            <w:pPr>
              <w:pStyle w:val="Tabletext"/>
              <w:jc w:val="center"/>
              <w:rPr>
                <w:szCs w:val="20"/>
                <w:highlight w:val="black"/>
              </w:rPr>
            </w:pPr>
            <w:r>
              <w:rPr>
                <w:noProof/>
                <w:color w:val="000000"/>
                <w:szCs w:val="20"/>
                <w:highlight w:val="black"/>
              </w:rPr>
              <w:t>''''''''''</w:t>
            </w:r>
          </w:p>
        </w:tc>
        <w:tc>
          <w:tcPr>
            <w:tcW w:w="473" w:type="pct"/>
            <w:shd w:val="clear" w:color="auto" w:fill="auto"/>
            <w:vAlign w:val="center"/>
          </w:tcPr>
          <w:p w:rsidR="00684833" w:rsidRPr="00356E50" w:rsidRDefault="00356E50" w:rsidP="00D70714">
            <w:pPr>
              <w:pStyle w:val="Tabletext"/>
              <w:jc w:val="center"/>
              <w:rPr>
                <w:szCs w:val="20"/>
                <w:highlight w:val="black"/>
              </w:rPr>
            </w:pPr>
            <w:r>
              <w:rPr>
                <w:noProof/>
                <w:color w:val="000000"/>
                <w:szCs w:val="20"/>
                <w:highlight w:val="black"/>
              </w:rPr>
              <w:t>'''''''''</w:t>
            </w:r>
          </w:p>
        </w:tc>
        <w:tc>
          <w:tcPr>
            <w:tcW w:w="471" w:type="pct"/>
            <w:shd w:val="clear" w:color="auto" w:fill="auto"/>
            <w:vAlign w:val="center"/>
          </w:tcPr>
          <w:p w:rsidR="00684833" w:rsidRPr="00356E50" w:rsidRDefault="00356E50" w:rsidP="00D70714">
            <w:pPr>
              <w:pStyle w:val="Tabletext"/>
              <w:jc w:val="center"/>
              <w:rPr>
                <w:szCs w:val="20"/>
                <w:highlight w:val="black"/>
              </w:rPr>
            </w:pPr>
            <w:r>
              <w:rPr>
                <w:noProof/>
                <w:color w:val="000000"/>
                <w:szCs w:val="20"/>
                <w:highlight w:val="black"/>
              </w:rPr>
              <w:t>''''''''''</w:t>
            </w:r>
          </w:p>
        </w:tc>
        <w:tc>
          <w:tcPr>
            <w:tcW w:w="473" w:type="pct"/>
            <w:shd w:val="clear" w:color="auto" w:fill="auto"/>
            <w:vAlign w:val="center"/>
          </w:tcPr>
          <w:p w:rsidR="00684833" w:rsidRPr="00356E50" w:rsidRDefault="00356E50" w:rsidP="00D70714">
            <w:pPr>
              <w:pStyle w:val="Tabletext"/>
              <w:jc w:val="center"/>
              <w:rPr>
                <w:szCs w:val="20"/>
                <w:highlight w:val="black"/>
              </w:rPr>
            </w:pPr>
            <w:r>
              <w:rPr>
                <w:noProof/>
                <w:color w:val="000000"/>
                <w:szCs w:val="20"/>
                <w:highlight w:val="black"/>
              </w:rPr>
              <w:t>''''''''''</w:t>
            </w:r>
          </w:p>
        </w:tc>
        <w:tc>
          <w:tcPr>
            <w:tcW w:w="420" w:type="pct"/>
            <w:shd w:val="clear" w:color="auto" w:fill="auto"/>
            <w:vAlign w:val="center"/>
          </w:tcPr>
          <w:p w:rsidR="00684833" w:rsidRPr="00356E50" w:rsidRDefault="00356E50" w:rsidP="00D70714">
            <w:pPr>
              <w:pStyle w:val="Tabletext"/>
              <w:jc w:val="center"/>
              <w:rPr>
                <w:szCs w:val="20"/>
                <w:highlight w:val="black"/>
              </w:rPr>
            </w:pPr>
            <w:r>
              <w:rPr>
                <w:noProof/>
                <w:color w:val="000000"/>
                <w:szCs w:val="20"/>
                <w:highlight w:val="black"/>
              </w:rPr>
              <w:t>'''''''''</w:t>
            </w:r>
          </w:p>
        </w:tc>
      </w:tr>
      <w:tr w:rsidR="00FF4F0B" w:rsidRPr="003639A6" w:rsidTr="00FF4F0B">
        <w:tc>
          <w:tcPr>
            <w:tcW w:w="2219" w:type="pct"/>
            <w:shd w:val="clear" w:color="auto" w:fill="auto"/>
            <w:vAlign w:val="center"/>
          </w:tcPr>
          <w:p w:rsidR="00684833" w:rsidRPr="003639A6" w:rsidRDefault="00684833" w:rsidP="00BD37F3">
            <w:pPr>
              <w:pStyle w:val="Tabletext"/>
              <w:rPr>
                <w:rFonts w:ascii="Times" w:hAnsi="Times"/>
              </w:rPr>
            </w:pPr>
            <w:r w:rsidRPr="003639A6">
              <w:t xml:space="preserve">Number of </w:t>
            </w:r>
            <w:r w:rsidR="00BD37F3">
              <w:t>vaccines</w:t>
            </w:r>
            <w:r w:rsidR="00BD37F3" w:rsidRPr="003639A6">
              <w:t xml:space="preserve"> </w:t>
            </w:r>
            <w:proofErr w:type="spellStart"/>
            <w:r w:rsidR="00BD37F3">
              <w:t>administered</w:t>
            </w:r>
            <w:r w:rsidR="00BD37F3" w:rsidRPr="003639A6">
              <w:rPr>
                <w:vertAlign w:val="superscript"/>
              </w:rPr>
              <w:t>a</w:t>
            </w:r>
            <w:proofErr w:type="spellEnd"/>
          </w:p>
        </w:tc>
        <w:tc>
          <w:tcPr>
            <w:tcW w:w="473" w:type="pct"/>
            <w:shd w:val="clear" w:color="auto" w:fill="auto"/>
            <w:vAlign w:val="center"/>
          </w:tcPr>
          <w:p w:rsidR="00684833" w:rsidRPr="00356E50" w:rsidRDefault="00356E50" w:rsidP="00D70714">
            <w:pPr>
              <w:pStyle w:val="Tabletext"/>
              <w:jc w:val="center"/>
              <w:rPr>
                <w:bCs/>
                <w:color w:val="000000"/>
                <w:highlight w:val="black"/>
              </w:rPr>
            </w:pPr>
            <w:r>
              <w:rPr>
                <w:noProof/>
                <w:color w:val="000000"/>
                <w:szCs w:val="20"/>
                <w:highlight w:val="black"/>
              </w:rPr>
              <w:t>'''''''''''''</w:t>
            </w:r>
          </w:p>
        </w:tc>
        <w:tc>
          <w:tcPr>
            <w:tcW w:w="471" w:type="pct"/>
            <w:shd w:val="clear" w:color="auto" w:fill="auto"/>
            <w:vAlign w:val="center"/>
          </w:tcPr>
          <w:p w:rsidR="00684833" w:rsidRPr="00356E50" w:rsidRDefault="00356E50" w:rsidP="00D70714">
            <w:pPr>
              <w:pStyle w:val="Tabletext"/>
              <w:jc w:val="center"/>
              <w:rPr>
                <w:bCs/>
                <w:color w:val="000000"/>
                <w:highlight w:val="black"/>
              </w:rPr>
            </w:pPr>
            <w:r>
              <w:rPr>
                <w:noProof/>
                <w:color w:val="000000"/>
                <w:szCs w:val="20"/>
                <w:highlight w:val="black"/>
              </w:rPr>
              <w:t>''''''''''''</w:t>
            </w:r>
          </w:p>
        </w:tc>
        <w:tc>
          <w:tcPr>
            <w:tcW w:w="473" w:type="pct"/>
            <w:shd w:val="clear" w:color="auto" w:fill="auto"/>
            <w:vAlign w:val="center"/>
          </w:tcPr>
          <w:p w:rsidR="00684833" w:rsidRPr="00356E50" w:rsidRDefault="00356E50" w:rsidP="00D70714">
            <w:pPr>
              <w:pStyle w:val="Tabletext"/>
              <w:jc w:val="center"/>
              <w:rPr>
                <w:bCs/>
                <w:color w:val="000000"/>
                <w:highlight w:val="black"/>
              </w:rPr>
            </w:pPr>
            <w:r>
              <w:rPr>
                <w:noProof/>
                <w:color w:val="000000"/>
                <w:szCs w:val="20"/>
                <w:highlight w:val="black"/>
              </w:rPr>
              <w:t>''''''''''''''</w:t>
            </w:r>
          </w:p>
        </w:tc>
        <w:tc>
          <w:tcPr>
            <w:tcW w:w="471" w:type="pct"/>
            <w:shd w:val="clear" w:color="auto" w:fill="auto"/>
            <w:vAlign w:val="center"/>
          </w:tcPr>
          <w:p w:rsidR="00684833" w:rsidRPr="00356E50" w:rsidRDefault="00356E50" w:rsidP="00D70714">
            <w:pPr>
              <w:pStyle w:val="Tabletext"/>
              <w:jc w:val="center"/>
              <w:rPr>
                <w:bCs/>
                <w:color w:val="000000"/>
                <w:highlight w:val="black"/>
              </w:rPr>
            </w:pPr>
            <w:r>
              <w:rPr>
                <w:noProof/>
                <w:color w:val="000000"/>
                <w:szCs w:val="20"/>
                <w:highlight w:val="black"/>
              </w:rPr>
              <w:t>''''''''''''''</w:t>
            </w:r>
          </w:p>
        </w:tc>
        <w:tc>
          <w:tcPr>
            <w:tcW w:w="473" w:type="pct"/>
            <w:shd w:val="clear" w:color="auto" w:fill="auto"/>
            <w:vAlign w:val="center"/>
          </w:tcPr>
          <w:p w:rsidR="00684833" w:rsidRPr="00356E50" w:rsidRDefault="00356E50" w:rsidP="00D70714">
            <w:pPr>
              <w:pStyle w:val="Tabletext"/>
              <w:jc w:val="center"/>
              <w:rPr>
                <w:bCs/>
                <w:color w:val="000000"/>
                <w:highlight w:val="black"/>
              </w:rPr>
            </w:pPr>
            <w:r>
              <w:rPr>
                <w:noProof/>
                <w:color w:val="000000"/>
                <w:szCs w:val="20"/>
                <w:highlight w:val="black"/>
              </w:rPr>
              <w:t>'''''''''''''</w:t>
            </w:r>
          </w:p>
        </w:tc>
        <w:tc>
          <w:tcPr>
            <w:tcW w:w="420" w:type="pct"/>
            <w:shd w:val="clear" w:color="auto" w:fill="auto"/>
            <w:vAlign w:val="center"/>
          </w:tcPr>
          <w:p w:rsidR="00684833" w:rsidRPr="00356E50" w:rsidRDefault="00356E50" w:rsidP="00D70714">
            <w:pPr>
              <w:pStyle w:val="Tabletext"/>
              <w:jc w:val="center"/>
              <w:rPr>
                <w:bCs/>
                <w:color w:val="000000"/>
                <w:highlight w:val="black"/>
              </w:rPr>
            </w:pPr>
            <w:r>
              <w:rPr>
                <w:noProof/>
                <w:color w:val="000000"/>
                <w:szCs w:val="20"/>
                <w:highlight w:val="black"/>
              </w:rPr>
              <w:t>'''''''''''''</w:t>
            </w:r>
          </w:p>
        </w:tc>
      </w:tr>
      <w:tr w:rsidR="00684833" w:rsidRPr="00D1078F" w:rsidTr="00313917">
        <w:tc>
          <w:tcPr>
            <w:tcW w:w="5000" w:type="pct"/>
            <w:gridSpan w:val="7"/>
            <w:shd w:val="clear" w:color="auto" w:fill="auto"/>
            <w:vAlign w:val="center"/>
          </w:tcPr>
          <w:p w:rsidR="00684833" w:rsidRPr="00D1078F" w:rsidRDefault="00684833" w:rsidP="00D70714">
            <w:pPr>
              <w:pStyle w:val="Tabletext"/>
              <w:rPr>
                <w:b/>
                <w:bCs/>
                <w:color w:val="000000"/>
              </w:rPr>
            </w:pPr>
            <w:r w:rsidRPr="00D1078F">
              <w:rPr>
                <w:b/>
                <w:bCs/>
                <w:color w:val="000000"/>
              </w:rPr>
              <w:t xml:space="preserve">Estimated </w:t>
            </w:r>
            <w:r>
              <w:rPr>
                <w:b/>
                <w:bCs/>
                <w:color w:val="000000"/>
              </w:rPr>
              <w:t xml:space="preserve">financial implications of </w:t>
            </w:r>
            <w:r w:rsidR="001729A1">
              <w:rPr>
                <w:b/>
                <w:bCs/>
                <w:color w:val="000000"/>
              </w:rPr>
              <w:t>Afluria Quad</w:t>
            </w:r>
          </w:p>
        </w:tc>
      </w:tr>
      <w:tr w:rsidR="00FF4F0B" w:rsidRPr="003639A6" w:rsidTr="00FF4F0B">
        <w:tc>
          <w:tcPr>
            <w:tcW w:w="2219" w:type="pct"/>
            <w:shd w:val="clear" w:color="auto" w:fill="auto"/>
            <w:vAlign w:val="center"/>
          </w:tcPr>
          <w:p w:rsidR="00684833" w:rsidRPr="003639A6" w:rsidRDefault="00684833" w:rsidP="00D70714">
            <w:pPr>
              <w:pStyle w:val="Tabletext"/>
              <w:rPr>
                <w:rFonts w:ascii="Times" w:hAnsi="Times"/>
              </w:rPr>
            </w:pPr>
            <w:r>
              <w:rPr>
                <w:sz w:val="19"/>
                <w:szCs w:val="19"/>
              </w:rPr>
              <w:t>Cost to NIP</w:t>
            </w:r>
          </w:p>
        </w:tc>
        <w:tc>
          <w:tcPr>
            <w:tcW w:w="473" w:type="pct"/>
            <w:shd w:val="clear" w:color="auto" w:fill="FFFFFF" w:themeFill="background1"/>
            <w:vAlign w:val="center"/>
          </w:tcPr>
          <w:p w:rsidR="00684833" w:rsidRPr="003639A6" w:rsidRDefault="00684833" w:rsidP="00D70714">
            <w:pPr>
              <w:pStyle w:val="Tabletext"/>
              <w:jc w:val="center"/>
              <w:rPr>
                <w:bCs/>
                <w:color w:val="000000"/>
              </w:rPr>
            </w:pPr>
            <w:r w:rsidRPr="001C65D0">
              <w:t>$</w:t>
            </w:r>
            <w:r w:rsidR="00356E50">
              <w:rPr>
                <w:noProof/>
                <w:color w:val="000000"/>
                <w:highlight w:val="black"/>
              </w:rPr>
              <w:t>''''''''''''''''</w:t>
            </w:r>
          </w:p>
        </w:tc>
        <w:tc>
          <w:tcPr>
            <w:tcW w:w="471" w:type="pct"/>
            <w:shd w:val="clear" w:color="auto" w:fill="FFFFFF" w:themeFill="background1"/>
            <w:vAlign w:val="center"/>
          </w:tcPr>
          <w:p w:rsidR="00684833" w:rsidRPr="003639A6" w:rsidRDefault="00684833" w:rsidP="00D70714">
            <w:pPr>
              <w:pStyle w:val="Tabletext"/>
              <w:jc w:val="center"/>
              <w:rPr>
                <w:bCs/>
                <w:color w:val="000000"/>
              </w:rPr>
            </w:pPr>
            <w:r w:rsidRPr="001C65D0">
              <w:t>$</w:t>
            </w:r>
            <w:r w:rsidR="00356E50">
              <w:rPr>
                <w:noProof/>
                <w:color w:val="000000"/>
                <w:highlight w:val="black"/>
              </w:rPr>
              <w:t>''''''''''''''''''</w:t>
            </w:r>
          </w:p>
        </w:tc>
        <w:tc>
          <w:tcPr>
            <w:tcW w:w="473" w:type="pct"/>
            <w:shd w:val="clear" w:color="auto" w:fill="FFFFFF" w:themeFill="background1"/>
            <w:vAlign w:val="center"/>
          </w:tcPr>
          <w:p w:rsidR="00684833" w:rsidRPr="003639A6" w:rsidRDefault="00684833" w:rsidP="00D70714">
            <w:pPr>
              <w:pStyle w:val="Tabletext"/>
              <w:jc w:val="center"/>
              <w:rPr>
                <w:bCs/>
                <w:color w:val="000000"/>
              </w:rPr>
            </w:pPr>
            <w:r w:rsidRPr="001C65D0">
              <w:t>$</w:t>
            </w:r>
            <w:r w:rsidR="00356E50">
              <w:rPr>
                <w:noProof/>
                <w:color w:val="000000"/>
                <w:highlight w:val="black"/>
              </w:rPr>
              <w:t>'''''''''''''''</w:t>
            </w:r>
          </w:p>
        </w:tc>
        <w:tc>
          <w:tcPr>
            <w:tcW w:w="471" w:type="pct"/>
            <w:shd w:val="clear" w:color="auto" w:fill="FFFFFF" w:themeFill="background1"/>
            <w:vAlign w:val="center"/>
          </w:tcPr>
          <w:p w:rsidR="00684833" w:rsidRPr="003639A6" w:rsidRDefault="00684833" w:rsidP="00D70714">
            <w:pPr>
              <w:pStyle w:val="Tabletext"/>
              <w:jc w:val="center"/>
              <w:rPr>
                <w:bCs/>
                <w:color w:val="000000"/>
              </w:rPr>
            </w:pPr>
            <w:r w:rsidRPr="001C65D0">
              <w:t>$</w:t>
            </w:r>
            <w:r w:rsidR="00356E50">
              <w:rPr>
                <w:noProof/>
                <w:color w:val="000000"/>
                <w:highlight w:val="black"/>
              </w:rPr>
              <w:t>'''''''''''''''''</w:t>
            </w:r>
          </w:p>
        </w:tc>
        <w:tc>
          <w:tcPr>
            <w:tcW w:w="473" w:type="pct"/>
            <w:shd w:val="clear" w:color="auto" w:fill="FFFFFF" w:themeFill="background1"/>
            <w:vAlign w:val="center"/>
          </w:tcPr>
          <w:p w:rsidR="00684833" w:rsidRPr="003639A6" w:rsidRDefault="00684833" w:rsidP="00D70714">
            <w:pPr>
              <w:pStyle w:val="Tabletext"/>
              <w:jc w:val="center"/>
              <w:rPr>
                <w:bCs/>
                <w:color w:val="000000"/>
              </w:rPr>
            </w:pPr>
            <w:r w:rsidRPr="001C65D0">
              <w:t>$</w:t>
            </w:r>
            <w:r w:rsidR="00356E50">
              <w:rPr>
                <w:noProof/>
                <w:color w:val="000000"/>
                <w:highlight w:val="black"/>
              </w:rPr>
              <w:t>''''''''''''''''</w:t>
            </w:r>
          </w:p>
        </w:tc>
        <w:tc>
          <w:tcPr>
            <w:tcW w:w="420" w:type="pct"/>
            <w:shd w:val="clear" w:color="auto" w:fill="FFFFFF" w:themeFill="background1"/>
            <w:vAlign w:val="center"/>
          </w:tcPr>
          <w:p w:rsidR="00684833" w:rsidRPr="003639A6" w:rsidRDefault="00684833" w:rsidP="00D70714">
            <w:pPr>
              <w:pStyle w:val="Tabletext"/>
              <w:jc w:val="center"/>
              <w:rPr>
                <w:bCs/>
                <w:color w:val="000000"/>
              </w:rPr>
            </w:pPr>
            <w:r w:rsidRPr="001C65D0">
              <w:t>$</w:t>
            </w:r>
            <w:r w:rsidR="00356E50">
              <w:rPr>
                <w:noProof/>
                <w:color w:val="000000"/>
                <w:highlight w:val="black"/>
              </w:rPr>
              <w:t>''''''''''''''''''</w:t>
            </w:r>
          </w:p>
        </w:tc>
      </w:tr>
      <w:tr w:rsidR="00684833" w:rsidRPr="003639A6" w:rsidTr="00313917">
        <w:tc>
          <w:tcPr>
            <w:tcW w:w="5000" w:type="pct"/>
            <w:gridSpan w:val="7"/>
            <w:shd w:val="clear" w:color="auto" w:fill="auto"/>
            <w:vAlign w:val="center"/>
          </w:tcPr>
          <w:p w:rsidR="00684833" w:rsidRPr="003639A6" w:rsidRDefault="00684833" w:rsidP="00D70714">
            <w:pPr>
              <w:pStyle w:val="Tabletext"/>
              <w:rPr>
                <w:bCs/>
                <w:color w:val="000000"/>
              </w:rPr>
            </w:pPr>
            <w:r w:rsidRPr="00D1078F">
              <w:rPr>
                <w:b/>
                <w:bCs/>
                <w:color w:val="000000"/>
              </w:rPr>
              <w:t xml:space="preserve">Estimated </w:t>
            </w:r>
            <w:r>
              <w:rPr>
                <w:b/>
                <w:bCs/>
                <w:color w:val="000000"/>
              </w:rPr>
              <w:t xml:space="preserve">financial implications for </w:t>
            </w:r>
            <w:proofErr w:type="spellStart"/>
            <w:r w:rsidR="001729A1">
              <w:rPr>
                <w:b/>
                <w:bCs/>
                <w:color w:val="000000"/>
              </w:rPr>
              <w:t>Fluarix</w:t>
            </w:r>
            <w:proofErr w:type="spellEnd"/>
            <w:r w:rsidR="001729A1">
              <w:rPr>
                <w:b/>
                <w:bCs/>
                <w:color w:val="000000"/>
              </w:rPr>
              <w:t xml:space="preserve"> Tetra</w:t>
            </w:r>
            <w:r>
              <w:rPr>
                <w:b/>
                <w:bCs/>
                <w:color w:val="000000"/>
              </w:rPr>
              <w:t xml:space="preserve"> and </w:t>
            </w:r>
            <w:proofErr w:type="spellStart"/>
            <w:r w:rsidR="001729A1">
              <w:rPr>
                <w:b/>
                <w:bCs/>
                <w:color w:val="000000"/>
              </w:rPr>
              <w:t>FluQuadri</w:t>
            </w:r>
            <w:proofErr w:type="spellEnd"/>
          </w:p>
        </w:tc>
      </w:tr>
      <w:tr w:rsidR="00FF4F0B" w:rsidRPr="003639A6" w:rsidTr="00FF4F0B">
        <w:tc>
          <w:tcPr>
            <w:tcW w:w="2219" w:type="pct"/>
            <w:shd w:val="clear" w:color="auto" w:fill="auto"/>
            <w:vAlign w:val="center"/>
          </w:tcPr>
          <w:p w:rsidR="00684833" w:rsidRDefault="000C5B5A" w:rsidP="00D70714">
            <w:pPr>
              <w:pStyle w:val="Tabletext"/>
              <w:rPr>
                <w:sz w:val="19"/>
                <w:szCs w:val="19"/>
              </w:rPr>
            </w:pPr>
            <w:r>
              <w:rPr>
                <w:sz w:val="19"/>
                <w:szCs w:val="19"/>
              </w:rPr>
              <w:t>Savings</w:t>
            </w:r>
            <w:r w:rsidR="00684833">
              <w:rPr>
                <w:sz w:val="19"/>
                <w:szCs w:val="19"/>
              </w:rPr>
              <w:t xml:space="preserve"> to NIP</w:t>
            </w:r>
          </w:p>
        </w:tc>
        <w:tc>
          <w:tcPr>
            <w:tcW w:w="473" w:type="pct"/>
            <w:shd w:val="clear" w:color="auto" w:fill="FFFFFF" w:themeFill="background1"/>
            <w:vAlign w:val="center"/>
          </w:tcPr>
          <w:p w:rsidR="00684833" w:rsidRPr="003639A6" w:rsidRDefault="00684833" w:rsidP="00D70714">
            <w:pPr>
              <w:pStyle w:val="Tabletext"/>
              <w:jc w:val="center"/>
              <w:rPr>
                <w:bCs/>
                <w:color w:val="000000"/>
              </w:rPr>
            </w:pPr>
            <w:r w:rsidRPr="001C65D0">
              <w:t>$</w:t>
            </w:r>
            <w:r w:rsidR="00356E50">
              <w:rPr>
                <w:noProof/>
                <w:color w:val="000000"/>
                <w:highlight w:val="black"/>
              </w:rPr>
              <w:t>''''''''''''''''</w:t>
            </w:r>
          </w:p>
        </w:tc>
        <w:tc>
          <w:tcPr>
            <w:tcW w:w="471" w:type="pct"/>
            <w:shd w:val="clear" w:color="auto" w:fill="FFFFFF" w:themeFill="background1"/>
            <w:vAlign w:val="center"/>
          </w:tcPr>
          <w:p w:rsidR="00684833" w:rsidRPr="003639A6" w:rsidRDefault="00684833" w:rsidP="00D70714">
            <w:pPr>
              <w:pStyle w:val="Tabletext"/>
              <w:jc w:val="center"/>
              <w:rPr>
                <w:bCs/>
                <w:color w:val="000000"/>
              </w:rPr>
            </w:pPr>
            <w:r w:rsidRPr="001C65D0">
              <w:t>$</w:t>
            </w:r>
            <w:r w:rsidR="00356E50">
              <w:rPr>
                <w:noProof/>
                <w:color w:val="000000"/>
                <w:highlight w:val="black"/>
              </w:rPr>
              <w:t>'''''''''''''''</w:t>
            </w:r>
          </w:p>
        </w:tc>
        <w:tc>
          <w:tcPr>
            <w:tcW w:w="473" w:type="pct"/>
            <w:shd w:val="clear" w:color="auto" w:fill="FFFFFF" w:themeFill="background1"/>
            <w:vAlign w:val="center"/>
          </w:tcPr>
          <w:p w:rsidR="00684833" w:rsidRPr="003639A6" w:rsidRDefault="00684833" w:rsidP="00D70714">
            <w:pPr>
              <w:pStyle w:val="Tabletext"/>
              <w:jc w:val="center"/>
              <w:rPr>
                <w:bCs/>
                <w:color w:val="000000"/>
              </w:rPr>
            </w:pPr>
            <w:r w:rsidRPr="001C65D0">
              <w:t>$</w:t>
            </w:r>
            <w:r w:rsidR="00356E50">
              <w:rPr>
                <w:noProof/>
                <w:color w:val="000000"/>
                <w:highlight w:val="black"/>
              </w:rPr>
              <w:t>''''''''''''''''''</w:t>
            </w:r>
          </w:p>
        </w:tc>
        <w:tc>
          <w:tcPr>
            <w:tcW w:w="471" w:type="pct"/>
            <w:shd w:val="clear" w:color="auto" w:fill="FFFFFF" w:themeFill="background1"/>
            <w:vAlign w:val="center"/>
          </w:tcPr>
          <w:p w:rsidR="00684833" w:rsidRPr="003639A6" w:rsidRDefault="00684833" w:rsidP="00D70714">
            <w:pPr>
              <w:pStyle w:val="Tabletext"/>
              <w:jc w:val="center"/>
              <w:rPr>
                <w:bCs/>
                <w:color w:val="000000"/>
              </w:rPr>
            </w:pPr>
            <w:r w:rsidRPr="001C65D0">
              <w:t>$</w:t>
            </w:r>
            <w:r w:rsidR="00356E50">
              <w:rPr>
                <w:noProof/>
                <w:color w:val="000000"/>
                <w:highlight w:val="black"/>
              </w:rPr>
              <w:t>'''''''''''''''</w:t>
            </w:r>
          </w:p>
        </w:tc>
        <w:tc>
          <w:tcPr>
            <w:tcW w:w="473" w:type="pct"/>
            <w:shd w:val="clear" w:color="auto" w:fill="FFFFFF" w:themeFill="background1"/>
            <w:vAlign w:val="center"/>
          </w:tcPr>
          <w:p w:rsidR="00684833" w:rsidRPr="003639A6" w:rsidRDefault="00684833" w:rsidP="00D70714">
            <w:pPr>
              <w:pStyle w:val="Tabletext"/>
              <w:jc w:val="center"/>
              <w:rPr>
                <w:bCs/>
                <w:color w:val="000000"/>
              </w:rPr>
            </w:pPr>
            <w:r w:rsidRPr="001C65D0">
              <w:t>$</w:t>
            </w:r>
            <w:r w:rsidR="00356E50">
              <w:rPr>
                <w:noProof/>
                <w:color w:val="000000"/>
                <w:highlight w:val="black"/>
              </w:rPr>
              <w:t>''''''''''''''''''</w:t>
            </w:r>
          </w:p>
        </w:tc>
        <w:tc>
          <w:tcPr>
            <w:tcW w:w="420" w:type="pct"/>
            <w:shd w:val="clear" w:color="auto" w:fill="FFFFFF" w:themeFill="background1"/>
            <w:vAlign w:val="center"/>
          </w:tcPr>
          <w:p w:rsidR="00684833" w:rsidRPr="003639A6" w:rsidRDefault="00684833" w:rsidP="00D70714">
            <w:pPr>
              <w:pStyle w:val="Tabletext"/>
              <w:jc w:val="center"/>
              <w:rPr>
                <w:bCs/>
                <w:color w:val="000000"/>
              </w:rPr>
            </w:pPr>
            <w:r w:rsidRPr="001C65D0">
              <w:t>$</w:t>
            </w:r>
            <w:r w:rsidR="00356E50">
              <w:rPr>
                <w:noProof/>
                <w:color w:val="000000"/>
                <w:highlight w:val="black"/>
              </w:rPr>
              <w:t>''''''''''''''''</w:t>
            </w:r>
          </w:p>
        </w:tc>
      </w:tr>
      <w:tr w:rsidR="00684833" w:rsidRPr="00FC22AB" w:rsidTr="00313917">
        <w:tc>
          <w:tcPr>
            <w:tcW w:w="5000" w:type="pct"/>
            <w:gridSpan w:val="7"/>
            <w:shd w:val="clear" w:color="auto" w:fill="auto"/>
            <w:vAlign w:val="center"/>
          </w:tcPr>
          <w:p w:rsidR="00684833" w:rsidRPr="00FC22AB" w:rsidRDefault="00684833" w:rsidP="00D70714">
            <w:pPr>
              <w:pStyle w:val="Tabletext"/>
              <w:rPr>
                <w:b/>
                <w:bCs/>
                <w:color w:val="000000"/>
              </w:rPr>
            </w:pPr>
            <w:r w:rsidRPr="00FC22AB">
              <w:rPr>
                <w:b/>
                <w:bCs/>
                <w:color w:val="000000"/>
              </w:rPr>
              <w:t>Net financial implications</w:t>
            </w:r>
            <w:r w:rsidRPr="00FC22AB">
              <w:rPr>
                <w:b/>
                <w:bCs/>
                <w:color w:val="4BACC6" w:themeColor="accent5"/>
              </w:rPr>
              <w:t xml:space="preserve"> </w:t>
            </w:r>
          </w:p>
        </w:tc>
      </w:tr>
      <w:tr w:rsidR="00FF4F0B" w:rsidRPr="003639A6" w:rsidTr="00FF4F0B">
        <w:tc>
          <w:tcPr>
            <w:tcW w:w="2219" w:type="pct"/>
            <w:shd w:val="clear" w:color="auto" w:fill="auto"/>
            <w:vAlign w:val="center"/>
          </w:tcPr>
          <w:p w:rsidR="00684833" w:rsidRDefault="00684833" w:rsidP="00D70714">
            <w:pPr>
              <w:pStyle w:val="Tabletext"/>
              <w:rPr>
                <w:sz w:val="19"/>
                <w:szCs w:val="19"/>
              </w:rPr>
            </w:pPr>
            <w:r>
              <w:rPr>
                <w:sz w:val="19"/>
                <w:szCs w:val="19"/>
              </w:rPr>
              <w:t>Net cost to NIP</w:t>
            </w:r>
          </w:p>
        </w:tc>
        <w:tc>
          <w:tcPr>
            <w:tcW w:w="473" w:type="pct"/>
            <w:shd w:val="clear" w:color="auto" w:fill="FFFFFF" w:themeFill="background1"/>
            <w:vAlign w:val="center"/>
          </w:tcPr>
          <w:p w:rsidR="00684833" w:rsidRPr="00356E50" w:rsidRDefault="00356E50" w:rsidP="00D70714">
            <w:pPr>
              <w:pStyle w:val="Tabletext"/>
              <w:jc w:val="center"/>
              <w:rPr>
                <w:bCs/>
                <w:color w:val="000000"/>
                <w:highlight w:val="black"/>
              </w:rPr>
            </w:pPr>
            <w:r>
              <w:rPr>
                <w:noProof/>
                <w:color w:val="000000"/>
                <w:highlight w:val="black"/>
              </w:rPr>
              <w:t>''''''</w:t>
            </w:r>
          </w:p>
        </w:tc>
        <w:tc>
          <w:tcPr>
            <w:tcW w:w="471" w:type="pct"/>
            <w:shd w:val="clear" w:color="auto" w:fill="FFFFFF" w:themeFill="background1"/>
            <w:vAlign w:val="center"/>
          </w:tcPr>
          <w:p w:rsidR="00684833" w:rsidRPr="00356E50" w:rsidRDefault="00356E50" w:rsidP="00D70714">
            <w:pPr>
              <w:pStyle w:val="Tabletext"/>
              <w:jc w:val="center"/>
              <w:rPr>
                <w:bCs/>
                <w:color w:val="000000"/>
                <w:highlight w:val="black"/>
              </w:rPr>
            </w:pPr>
            <w:r>
              <w:rPr>
                <w:noProof/>
                <w:color w:val="000000"/>
                <w:highlight w:val="black"/>
              </w:rPr>
              <w:t>''''''</w:t>
            </w:r>
          </w:p>
        </w:tc>
        <w:tc>
          <w:tcPr>
            <w:tcW w:w="473" w:type="pct"/>
            <w:shd w:val="clear" w:color="auto" w:fill="FFFFFF" w:themeFill="background1"/>
            <w:vAlign w:val="center"/>
          </w:tcPr>
          <w:p w:rsidR="00684833" w:rsidRPr="00356E50" w:rsidRDefault="00356E50" w:rsidP="00D70714">
            <w:pPr>
              <w:pStyle w:val="Tabletext"/>
              <w:jc w:val="center"/>
              <w:rPr>
                <w:bCs/>
                <w:color w:val="000000"/>
                <w:highlight w:val="black"/>
              </w:rPr>
            </w:pPr>
            <w:r>
              <w:rPr>
                <w:noProof/>
                <w:color w:val="000000"/>
                <w:highlight w:val="black"/>
              </w:rPr>
              <w:t>'''''''</w:t>
            </w:r>
          </w:p>
        </w:tc>
        <w:tc>
          <w:tcPr>
            <w:tcW w:w="471" w:type="pct"/>
            <w:shd w:val="clear" w:color="auto" w:fill="FFFFFF" w:themeFill="background1"/>
            <w:vAlign w:val="center"/>
          </w:tcPr>
          <w:p w:rsidR="00684833" w:rsidRPr="00356E50" w:rsidRDefault="00356E50" w:rsidP="00D70714">
            <w:pPr>
              <w:pStyle w:val="Tabletext"/>
              <w:jc w:val="center"/>
              <w:rPr>
                <w:bCs/>
                <w:color w:val="000000"/>
                <w:highlight w:val="black"/>
              </w:rPr>
            </w:pPr>
            <w:r>
              <w:rPr>
                <w:noProof/>
                <w:color w:val="000000"/>
                <w:highlight w:val="black"/>
              </w:rPr>
              <w:t>''''''</w:t>
            </w:r>
          </w:p>
        </w:tc>
        <w:tc>
          <w:tcPr>
            <w:tcW w:w="473" w:type="pct"/>
            <w:shd w:val="clear" w:color="auto" w:fill="FFFFFF" w:themeFill="background1"/>
            <w:vAlign w:val="center"/>
          </w:tcPr>
          <w:p w:rsidR="00684833" w:rsidRPr="00356E50" w:rsidRDefault="00356E50" w:rsidP="00D70714">
            <w:pPr>
              <w:pStyle w:val="Tabletext"/>
              <w:jc w:val="center"/>
              <w:rPr>
                <w:bCs/>
                <w:color w:val="000000"/>
                <w:highlight w:val="black"/>
              </w:rPr>
            </w:pPr>
            <w:r>
              <w:rPr>
                <w:noProof/>
                <w:color w:val="000000"/>
                <w:highlight w:val="black"/>
              </w:rPr>
              <w:t>''''''</w:t>
            </w:r>
          </w:p>
        </w:tc>
        <w:tc>
          <w:tcPr>
            <w:tcW w:w="420" w:type="pct"/>
            <w:shd w:val="clear" w:color="auto" w:fill="FFFFFF" w:themeFill="background1"/>
            <w:vAlign w:val="center"/>
          </w:tcPr>
          <w:p w:rsidR="00684833" w:rsidRPr="00356E50" w:rsidRDefault="00356E50" w:rsidP="00D70714">
            <w:pPr>
              <w:pStyle w:val="Tabletext"/>
              <w:jc w:val="center"/>
              <w:rPr>
                <w:bCs/>
                <w:color w:val="000000"/>
                <w:highlight w:val="black"/>
              </w:rPr>
            </w:pPr>
            <w:r>
              <w:rPr>
                <w:noProof/>
                <w:color w:val="000000"/>
                <w:highlight w:val="black"/>
              </w:rPr>
              <w:t>'''''</w:t>
            </w:r>
          </w:p>
        </w:tc>
      </w:tr>
    </w:tbl>
    <w:p w:rsidR="00684833" w:rsidRDefault="00684833" w:rsidP="00D70714">
      <w:pPr>
        <w:pStyle w:val="TableFooter"/>
        <w:widowControl/>
        <w:tabs>
          <w:tab w:val="left" w:pos="142"/>
        </w:tabs>
      </w:pPr>
      <w:proofErr w:type="spellStart"/>
      <w:r w:rsidRPr="003639A6">
        <w:rPr>
          <w:vertAlign w:val="superscript"/>
        </w:rPr>
        <w:t>a</w:t>
      </w:r>
      <w:proofErr w:type="spellEnd"/>
      <w:r>
        <w:tab/>
        <w:t>Assuming immunisation with one vaccine per year in children 9 years and older and children 5-8 years previously immunised for influenza, and immunisation with two vaccines in the first year for immunisation naïve children 5-8 years</w:t>
      </w:r>
      <w:r w:rsidRPr="003639A6">
        <w:t>.</w:t>
      </w:r>
    </w:p>
    <w:p w:rsidR="00684833" w:rsidRDefault="00684833" w:rsidP="00D70714">
      <w:pPr>
        <w:pStyle w:val="TableFooter"/>
        <w:widowControl/>
      </w:pPr>
      <w:r>
        <w:t xml:space="preserve">Source: </w:t>
      </w:r>
      <w:r w:rsidRPr="00E421ED">
        <w:t xml:space="preserve">Table 4.3, p71 of the submission; Table 4.4, p72 of the submission; Table 4.5, p72 of the submission </w:t>
      </w:r>
      <w:r>
        <w:t>Table 4.8, p73 of the submission</w:t>
      </w:r>
    </w:p>
    <w:p w:rsidR="00313917" w:rsidRPr="00025B8F" w:rsidRDefault="00313917" w:rsidP="00025B8F">
      <w:pPr>
        <w:pStyle w:val="TableFooter"/>
      </w:pPr>
    </w:p>
    <w:p w:rsidR="00573E90" w:rsidRDefault="00BD37F3" w:rsidP="00BD37F3">
      <w:pPr>
        <w:pStyle w:val="ListParagraph"/>
        <w:widowControl/>
        <w:numPr>
          <w:ilvl w:val="1"/>
          <w:numId w:val="2"/>
        </w:numPr>
      </w:pPr>
      <w:bookmarkStart w:id="31" w:name="_Toc521332862"/>
      <w:r>
        <w:t xml:space="preserve">At year </w:t>
      </w:r>
      <w:r w:rsidR="00127FF7">
        <w:t>6</w:t>
      </w:r>
      <w:r>
        <w:t xml:space="preserve">, the estimated number of vaccines administered was </w:t>
      </w:r>
      <w:r w:rsidR="00AA6F9A">
        <w:t>less than 10,000</w:t>
      </w:r>
      <w:r>
        <w:t xml:space="preserve"> and there would be no net cost to the NIP.</w:t>
      </w:r>
    </w:p>
    <w:p w:rsidR="00684833" w:rsidRDefault="00684833" w:rsidP="00D70714">
      <w:pPr>
        <w:pStyle w:val="Heading2"/>
      </w:pPr>
      <w:r w:rsidRPr="00CD055A">
        <w:t>Quality Use of Medicines</w:t>
      </w:r>
      <w:bookmarkEnd w:id="31"/>
    </w:p>
    <w:p w:rsidR="00684833" w:rsidRPr="00ED7373" w:rsidRDefault="00684833" w:rsidP="00D70714">
      <w:pPr>
        <w:pStyle w:val="ListParagraph"/>
        <w:widowControl/>
        <w:numPr>
          <w:ilvl w:val="1"/>
          <w:numId w:val="2"/>
        </w:numPr>
      </w:pPr>
      <w:r w:rsidRPr="00ED7373">
        <w:t>No Quality Use of Medicine</w:t>
      </w:r>
      <w:r w:rsidR="005526C2">
        <w:t>s</w:t>
      </w:r>
      <w:r w:rsidRPr="00ED7373">
        <w:t xml:space="preserve"> information </w:t>
      </w:r>
      <w:proofErr w:type="gramStart"/>
      <w:r w:rsidRPr="00ED7373">
        <w:t>was</w:t>
      </w:r>
      <w:r w:rsidR="00C861B8">
        <w:t xml:space="preserve"> presented</w:t>
      </w:r>
      <w:proofErr w:type="gramEnd"/>
      <w:r w:rsidR="00C861B8">
        <w:t xml:space="preserve"> with the submission.</w:t>
      </w:r>
    </w:p>
    <w:p w:rsidR="00072A7A" w:rsidRPr="00623076" w:rsidRDefault="005D66C4" w:rsidP="00D70714">
      <w:pPr>
        <w:pStyle w:val="ListParagraph"/>
        <w:widowControl/>
        <w:numPr>
          <w:ilvl w:val="1"/>
          <w:numId w:val="2"/>
        </w:numPr>
      </w:pPr>
      <w:r w:rsidRPr="00ED7373">
        <w:t xml:space="preserve">ATAGI noted that the introduction of an additional </w:t>
      </w:r>
      <w:proofErr w:type="gramStart"/>
      <w:r w:rsidRPr="00ED7373">
        <w:t>influenza vaccine brand product</w:t>
      </w:r>
      <w:proofErr w:type="gramEnd"/>
      <w:r w:rsidRPr="00ED7373">
        <w:t xml:space="preserve"> for use in a paediatric population, with a different lower age limit to those currently funded on the NIP, may introduce confusion among providers and parents (p7 of the ATAGI pre-submission advice). Accordingly, t</w:t>
      </w:r>
      <w:r w:rsidR="00684833" w:rsidRPr="00ED7373">
        <w:t xml:space="preserve">here is a risk that </w:t>
      </w:r>
      <w:r w:rsidR="001729A1" w:rsidRPr="00ED7373">
        <w:t>Afluria Quad</w:t>
      </w:r>
      <w:r w:rsidR="00684833" w:rsidRPr="00ED7373">
        <w:t xml:space="preserve"> </w:t>
      </w:r>
      <w:proofErr w:type="gramStart"/>
      <w:r w:rsidR="00684833" w:rsidRPr="00ED7373">
        <w:t>would be used</w:t>
      </w:r>
      <w:proofErr w:type="gramEnd"/>
      <w:r w:rsidR="00684833" w:rsidRPr="00ED7373">
        <w:t xml:space="preserve"> to vaccinate children 3 to 5 years of age, for which it is </w:t>
      </w:r>
      <w:r w:rsidR="0037495E" w:rsidRPr="00ED7373">
        <w:t>not TGA registered</w:t>
      </w:r>
      <w:r w:rsidR="00684833" w:rsidRPr="00623076">
        <w:t>.</w:t>
      </w:r>
      <w:r w:rsidR="00072A7A" w:rsidRPr="00623076">
        <w:t xml:space="preserve"> The PSCR (P1) acknowledged ATAGI’s concerns and </w:t>
      </w:r>
      <w:r w:rsidR="000E1C91">
        <w:t>noted</w:t>
      </w:r>
      <w:r w:rsidR="000E1C91" w:rsidRPr="00623076">
        <w:t xml:space="preserve"> </w:t>
      </w:r>
      <w:r w:rsidR="00072A7A" w:rsidRPr="00623076">
        <w:t xml:space="preserve">the plan to distribute Dear Healthcare Professional letters, vaccine refrigerator stickers and an ATAGI age recommendation card for the 2019 </w:t>
      </w:r>
      <w:r w:rsidR="00852481">
        <w:t xml:space="preserve">influenza </w:t>
      </w:r>
      <w:r w:rsidR="00072A7A" w:rsidRPr="00623076">
        <w:t xml:space="preserve">season. The PSCR added that this approach </w:t>
      </w:r>
      <w:proofErr w:type="gramStart"/>
      <w:r w:rsidR="00072A7A" w:rsidRPr="00623076">
        <w:t>would be evaluated</w:t>
      </w:r>
      <w:proofErr w:type="gramEnd"/>
      <w:r w:rsidR="00072A7A" w:rsidRPr="00623076">
        <w:t xml:space="preserve"> through bimonthly market research activities, and through fortnightly reports of off-label use from the Office of Health Protection</w:t>
      </w:r>
      <w:r w:rsidR="00B23209">
        <w:t>.</w:t>
      </w:r>
    </w:p>
    <w:p w:rsidR="001249F3" w:rsidRPr="00DB2872" w:rsidRDefault="00684833" w:rsidP="00D70714">
      <w:pPr>
        <w:pStyle w:val="ListParagraph"/>
        <w:widowControl/>
        <w:numPr>
          <w:ilvl w:val="1"/>
          <w:numId w:val="2"/>
        </w:numPr>
      </w:pPr>
      <w:proofErr w:type="gramStart"/>
      <w:r w:rsidRPr="00ED7373">
        <w:lastRenderedPageBreak/>
        <w:t xml:space="preserve">ATAGI </w:t>
      </w:r>
      <w:r w:rsidR="005D66C4" w:rsidRPr="00ED7373">
        <w:t xml:space="preserve">recommended </w:t>
      </w:r>
      <w:r w:rsidR="002C0D97" w:rsidRPr="00ED7373">
        <w:t xml:space="preserve">that an active surveillance and monitoring program be conducted to monitor the ongoing safety of the different vaccine compositions and to monitor adverse events following immunisation (including in </w:t>
      </w:r>
      <w:r w:rsidR="00876C93">
        <w:t xml:space="preserve">vaccine naïve </w:t>
      </w:r>
      <w:r w:rsidR="002C0D97" w:rsidRPr="00ED7373">
        <w:t xml:space="preserve">children </w:t>
      </w:r>
      <w:r w:rsidR="00876C93">
        <w:t>who</w:t>
      </w:r>
      <w:r w:rsidR="00876C93" w:rsidRPr="00ED7373">
        <w:t xml:space="preserve"> </w:t>
      </w:r>
      <w:r w:rsidR="002C0D97" w:rsidRPr="00ED7373">
        <w:t xml:space="preserve">require </w:t>
      </w:r>
      <w:r w:rsidR="00876C93">
        <w:t xml:space="preserve">two </w:t>
      </w:r>
      <w:r w:rsidR="002C0D97" w:rsidRPr="00ED7373">
        <w:t xml:space="preserve">immunisations) given that Afluria Quad has not previously been </w:t>
      </w:r>
      <w:r w:rsidR="002C0D97" w:rsidRPr="00DB2872">
        <w:t xml:space="preserve">used in children 5-17 years </w:t>
      </w:r>
      <w:r w:rsidR="00072A7A" w:rsidRPr="00DB2872">
        <w:t xml:space="preserve">in a national program, and considering the limited evidence of safety in the paediatric population, particularly among those with underlying medical conditions </w:t>
      </w:r>
      <w:r w:rsidR="002C0D97" w:rsidRPr="00DB2872">
        <w:t>(p8 of th</w:t>
      </w:r>
      <w:r w:rsidR="00C861B8">
        <w:t>e ATAGI pre-submission advice).</w:t>
      </w:r>
      <w:proofErr w:type="gramEnd"/>
    </w:p>
    <w:p w:rsidR="00A6467B" w:rsidRPr="001E2B5B" w:rsidRDefault="00A6467B" w:rsidP="00D70714">
      <w:pPr>
        <w:pStyle w:val="ListParagraph"/>
        <w:widowControl/>
        <w:ind w:left="709"/>
        <w:rPr>
          <w:rFonts w:asciiTheme="minorHAnsi" w:hAnsiTheme="minorHAnsi"/>
          <w:i/>
        </w:rPr>
      </w:pPr>
      <w:r w:rsidRPr="001E2B5B">
        <w:rPr>
          <w:rFonts w:asciiTheme="minorHAnsi" w:hAnsiTheme="minorHAnsi"/>
          <w:i/>
        </w:rPr>
        <w:t>For more detail on PBAC’s view, see section 7 PBAC outcome.</w:t>
      </w:r>
    </w:p>
    <w:p w:rsidR="004808A4" w:rsidRPr="00833FFF" w:rsidRDefault="004808A4" w:rsidP="00D70714">
      <w:pPr>
        <w:pStyle w:val="PBACHeading1"/>
        <w:numPr>
          <w:ilvl w:val="0"/>
          <w:numId w:val="2"/>
        </w:numPr>
        <w:spacing w:after="120"/>
        <w:outlineLvl w:val="0"/>
      </w:pPr>
      <w:r w:rsidRPr="00833FFF">
        <w:t>PBAC Outcome</w:t>
      </w:r>
    </w:p>
    <w:p w:rsidR="00103256" w:rsidRPr="00103256" w:rsidRDefault="00103256" w:rsidP="00D70714">
      <w:pPr>
        <w:widowControl/>
        <w:numPr>
          <w:ilvl w:val="1"/>
          <w:numId w:val="2"/>
        </w:numPr>
        <w:spacing w:after="120"/>
        <w:rPr>
          <w:rFonts w:asciiTheme="minorHAnsi" w:hAnsiTheme="minorHAnsi" w:cstheme="minorHAnsi"/>
          <w:bCs/>
          <w:szCs w:val="24"/>
        </w:rPr>
      </w:pPr>
      <w:r w:rsidRPr="00103256">
        <w:rPr>
          <w:rFonts w:asciiTheme="minorHAnsi" w:hAnsiTheme="minorHAnsi" w:cstheme="minorHAnsi"/>
          <w:bCs/>
          <w:szCs w:val="24"/>
        </w:rPr>
        <w:t xml:space="preserve">The PBAC recommended a change to the </w:t>
      </w:r>
      <w:r w:rsidR="003E2120">
        <w:rPr>
          <w:rFonts w:asciiTheme="minorHAnsi" w:hAnsiTheme="minorHAnsi" w:cstheme="minorHAnsi"/>
          <w:bCs/>
          <w:szCs w:val="24"/>
        </w:rPr>
        <w:t>circumstances</w:t>
      </w:r>
      <w:r w:rsidR="00A473B7" w:rsidRPr="00103256">
        <w:rPr>
          <w:rFonts w:asciiTheme="minorHAnsi" w:hAnsiTheme="minorHAnsi" w:cstheme="minorHAnsi"/>
          <w:bCs/>
          <w:szCs w:val="24"/>
        </w:rPr>
        <w:t xml:space="preserve"> </w:t>
      </w:r>
      <w:r w:rsidR="006D4149">
        <w:rPr>
          <w:rFonts w:asciiTheme="minorHAnsi" w:hAnsiTheme="minorHAnsi" w:cstheme="minorHAnsi"/>
          <w:bCs/>
          <w:szCs w:val="24"/>
        </w:rPr>
        <w:t xml:space="preserve">in which </w:t>
      </w:r>
      <w:r w:rsidR="00A05B34" w:rsidRPr="00103256">
        <w:rPr>
          <w:rFonts w:asciiTheme="minorHAnsi" w:hAnsiTheme="minorHAnsi" w:cstheme="minorHAnsi"/>
          <w:bCs/>
          <w:szCs w:val="24"/>
        </w:rPr>
        <w:t xml:space="preserve">inactivated </w:t>
      </w:r>
      <w:r w:rsidR="00E45978">
        <w:rPr>
          <w:rFonts w:asciiTheme="minorHAnsi" w:hAnsiTheme="minorHAnsi" w:cstheme="minorHAnsi"/>
          <w:bCs/>
          <w:szCs w:val="24"/>
        </w:rPr>
        <w:t xml:space="preserve">QIV, </w:t>
      </w:r>
      <w:r w:rsidR="00A05B34" w:rsidRPr="00103256">
        <w:rPr>
          <w:rFonts w:asciiTheme="minorHAnsi" w:hAnsiTheme="minorHAnsi" w:cstheme="minorHAnsi"/>
          <w:bCs/>
          <w:szCs w:val="24"/>
        </w:rPr>
        <w:t>Afluria</w:t>
      </w:r>
      <w:r w:rsidR="00013A05">
        <w:rPr>
          <w:rFonts w:asciiTheme="minorHAnsi" w:hAnsiTheme="minorHAnsi" w:cstheme="minorHAnsi"/>
          <w:bCs/>
          <w:szCs w:val="24"/>
        </w:rPr>
        <w:t>®</w:t>
      </w:r>
      <w:r w:rsidR="00A05B34" w:rsidRPr="00103256">
        <w:rPr>
          <w:rFonts w:asciiTheme="minorHAnsi" w:hAnsiTheme="minorHAnsi" w:cstheme="minorHAnsi"/>
          <w:bCs/>
          <w:szCs w:val="24"/>
        </w:rPr>
        <w:t xml:space="preserve"> Quad</w:t>
      </w:r>
      <w:r w:rsidR="00E45978">
        <w:rPr>
          <w:rFonts w:asciiTheme="minorHAnsi" w:hAnsiTheme="minorHAnsi" w:cstheme="minorHAnsi"/>
          <w:bCs/>
          <w:szCs w:val="24"/>
        </w:rPr>
        <w:t>,</w:t>
      </w:r>
      <w:r w:rsidR="00A05B34" w:rsidRPr="00103256">
        <w:rPr>
          <w:rFonts w:asciiTheme="minorHAnsi" w:hAnsiTheme="minorHAnsi" w:cstheme="minorHAnsi"/>
          <w:bCs/>
          <w:szCs w:val="24"/>
        </w:rPr>
        <w:t xml:space="preserve"> </w:t>
      </w:r>
      <w:r w:rsidR="00C64C9D">
        <w:rPr>
          <w:rFonts w:asciiTheme="minorHAnsi" w:hAnsiTheme="minorHAnsi" w:cstheme="minorHAnsi"/>
          <w:bCs/>
          <w:szCs w:val="24"/>
        </w:rPr>
        <w:t>is</w:t>
      </w:r>
      <w:r w:rsidR="003E2120">
        <w:rPr>
          <w:rFonts w:asciiTheme="minorHAnsi" w:hAnsiTheme="minorHAnsi" w:cstheme="minorHAnsi"/>
          <w:bCs/>
          <w:szCs w:val="24"/>
        </w:rPr>
        <w:t xml:space="preserve"> a designated vaccine</w:t>
      </w:r>
      <w:r w:rsidR="003E2120" w:rsidRPr="00103256">
        <w:rPr>
          <w:rFonts w:asciiTheme="minorHAnsi" w:hAnsiTheme="minorHAnsi" w:cstheme="minorHAnsi"/>
          <w:bCs/>
          <w:szCs w:val="24"/>
        </w:rPr>
        <w:t xml:space="preserve"> for the purposes of the Act</w:t>
      </w:r>
      <w:r w:rsidRPr="00103256">
        <w:rPr>
          <w:rFonts w:asciiTheme="minorHAnsi" w:hAnsiTheme="minorHAnsi" w:cstheme="minorHAnsi"/>
          <w:bCs/>
          <w:szCs w:val="24"/>
        </w:rPr>
        <w:t xml:space="preserve">. The PBAC recommended the expansion of the population in which Afluria Quad </w:t>
      </w:r>
      <w:r w:rsidR="003E2120">
        <w:rPr>
          <w:rFonts w:asciiTheme="minorHAnsi" w:hAnsiTheme="minorHAnsi" w:cstheme="minorHAnsi"/>
          <w:bCs/>
          <w:szCs w:val="24"/>
        </w:rPr>
        <w:t xml:space="preserve">may be available on the NIP </w:t>
      </w:r>
      <w:r w:rsidR="003E2120" w:rsidRPr="00103256">
        <w:rPr>
          <w:rFonts w:asciiTheme="minorHAnsi" w:hAnsiTheme="minorHAnsi" w:cstheme="minorHAnsi"/>
          <w:bCs/>
          <w:szCs w:val="24"/>
        </w:rPr>
        <w:t xml:space="preserve">for the prevention of influenza </w:t>
      </w:r>
      <w:r w:rsidRPr="00103256">
        <w:rPr>
          <w:rFonts w:asciiTheme="minorHAnsi" w:hAnsiTheme="minorHAnsi" w:cstheme="minorHAnsi"/>
          <w:bCs/>
          <w:szCs w:val="24"/>
        </w:rPr>
        <w:t>to include</w:t>
      </w:r>
      <w:r w:rsidR="00876C93">
        <w:rPr>
          <w:rFonts w:asciiTheme="minorHAnsi" w:hAnsiTheme="minorHAnsi" w:cstheme="minorHAnsi"/>
          <w:bCs/>
          <w:szCs w:val="24"/>
        </w:rPr>
        <w:t xml:space="preserve"> persons aged 5 to 17 years (inclusive) who are currently eligible for other brands of QIV through the NIP; specifically</w:t>
      </w:r>
      <w:r w:rsidRPr="00103256">
        <w:rPr>
          <w:rFonts w:asciiTheme="minorHAnsi" w:hAnsiTheme="minorHAnsi" w:cstheme="minorHAnsi"/>
          <w:bCs/>
          <w:szCs w:val="24"/>
        </w:rPr>
        <w:t>:</w:t>
      </w:r>
    </w:p>
    <w:p w:rsidR="007D7E9A" w:rsidRDefault="00014CF5" w:rsidP="00D70714">
      <w:pPr>
        <w:pStyle w:val="ListParagraph"/>
        <w:widowControl/>
        <w:numPr>
          <w:ilvl w:val="0"/>
          <w:numId w:val="10"/>
        </w:numPr>
      </w:pPr>
      <w:r>
        <w:t xml:space="preserve">People </w:t>
      </w:r>
      <w:r w:rsidR="00103256">
        <w:t xml:space="preserve">aged 5 to 17 years </w:t>
      </w:r>
      <w:r w:rsidRPr="006D4149">
        <w:rPr>
          <w:rFonts w:asciiTheme="minorHAnsi" w:hAnsiTheme="minorHAnsi" w:cstheme="minorHAnsi"/>
          <w:bCs/>
          <w:szCs w:val="24"/>
        </w:rPr>
        <w:t>with increased risk of complications from influenza</w:t>
      </w:r>
      <w:r>
        <w:rPr>
          <w:rFonts w:asciiTheme="minorHAnsi" w:hAnsiTheme="minorHAnsi" w:cstheme="minorHAnsi"/>
          <w:bCs/>
          <w:szCs w:val="24"/>
        </w:rPr>
        <w:t>, as defined in subsection 7(8)A(c) of the Determination (including pregnant women)</w:t>
      </w:r>
      <w:r w:rsidR="00103256">
        <w:t>;</w:t>
      </w:r>
    </w:p>
    <w:p w:rsidR="00103256" w:rsidRDefault="007D7E9A" w:rsidP="00D70714">
      <w:pPr>
        <w:pStyle w:val="ListParagraph"/>
        <w:widowControl/>
        <w:numPr>
          <w:ilvl w:val="0"/>
          <w:numId w:val="10"/>
        </w:numPr>
      </w:pPr>
      <w:r>
        <w:t xml:space="preserve">Women who are pregnant; </w:t>
      </w:r>
      <w:r w:rsidR="004B2BF6">
        <w:t>and</w:t>
      </w:r>
    </w:p>
    <w:p w:rsidR="00103256" w:rsidRDefault="00103256" w:rsidP="00D70714">
      <w:pPr>
        <w:pStyle w:val="ListParagraph"/>
        <w:widowControl/>
        <w:numPr>
          <w:ilvl w:val="0"/>
          <w:numId w:val="10"/>
        </w:numPr>
      </w:pPr>
      <w:r>
        <w:t>Aboriginal and</w:t>
      </w:r>
      <w:r w:rsidR="00563608">
        <w:t>/or</w:t>
      </w:r>
      <w:r>
        <w:t xml:space="preserve"> Torres Strait Islander</w:t>
      </w:r>
      <w:r w:rsidR="00014CF5">
        <w:t xml:space="preserve"> people</w:t>
      </w:r>
      <w:r>
        <w:t xml:space="preserve"> aged 15 to 17 years</w:t>
      </w:r>
      <w:r w:rsidR="004B2BF6">
        <w:t>.</w:t>
      </w:r>
    </w:p>
    <w:p w:rsidR="00876C93" w:rsidRDefault="00876C93" w:rsidP="00D70714">
      <w:pPr>
        <w:widowControl/>
        <w:numPr>
          <w:ilvl w:val="1"/>
          <w:numId w:val="2"/>
        </w:numPr>
        <w:spacing w:after="120"/>
        <w:rPr>
          <w:rFonts w:asciiTheme="minorHAnsi" w:hAnsiTheme="minorHAnsi" w:cstheme="minorHAnsi"/>
          <w:bCs/>
          <w:szCs w:val="24"/>
        </w:rPr>
      </w:pPr>
      <w:r>
        <w:rPr>
          <w:rFonts w:asciiTheme="minorHAnsi" w:hAnsiTheme="minorHAnsi" w:cstheme="minorHAnsi"/>
          <w:bCs/>
          <w:szCs w:val="24"/>
        </w:rPr>
        <w:t xml:space="preserve">At the same meeting, the PBAC recommended a change to the circumstances in which </w:t>
      </w:r>
      <w:r w:rsidR="009730A5">
        <w:rPr>
          <w:rFonts w:asciiTheme="minorHAnsi" w:hAnsiTheme="minorHAnsi" w:cstheme="minorHAnsi"/>
          <w:bCs/>
          <w:szCs w:val="24"/>
        </w:rPr>
        <w:t xml:space="preserve">QIVs currently listed on the NIP </w:t>
      </w:r>
      <w:r w:rsidR="009730A5">
        <w:rPr>
          <w:rFonts w:asciiTheme="minorHAnsi" w:hAnsiTheme="minorHAnsi"/>
          <w:bCs/>
          <w:lang w:val="en-GB"/>
        </w:rPr>
        <w:t xml:space="preserve">and able to </w:t>
      </w:r>
      <w:proofErr w:type="gramStart"/>
      <w:r w:rsidR="009730A5">
        <w:rPr>
          <w:rFonts w:asciiTheme="minorHAnsi" w:hAnsiTheme="minorHAnsi"/>
          <w:bCs/>
          <w:lang w:val="en-GB"/>
        </w:rPr>
        <w:t>be administered</w:t>
      </w:r>
      <w:proofErr w:type="gramEnd"/>
      <w:r w:rsidR="009730A5">
        <w:rPr>
          <w:rFonts w:asciiTheme="minorHAnsi" w:hAnsiTheme="minorHAnsi"/>
          <w:bCs/>
          <w:lang w:val="en-GB"/>
        </w:rPr>
        <w:t xml:space="preserve"> in people aged 5 to </w:t>
      </w:r>
      <w:r w:rsidR="00014CF5">
        <w:rPr>
          <w:rFonts w:asciiTheme="minorHAnsi" w:hAnsiTheme="minorHAnsi"/>
          <w:bCs/>
          <w:lang w:val="en-GB"/>
        </w:rPr>
        <w:t>14</w:t>
      </w:r>
      <w:r w:rsidR="009730A5">
        <w:rPr>
          <w:rFonts w:asciiTheme="minorHAnsi" w:hAnsiTheme="minorHAnsi"/>
          <w:bCs/>
          <w:lang w:val="en-GB"/>
        </w:rPr>
        <w:t xml:space="preserve"> years</w:t>
      </w:r>
      <w:r w:rsidR="00B1774C">
        <w:rPr>
          <w:rFonts w:asciiTheme="minorHAnsi" w:hAnsiTheme="minorHAnsi"/>
          <w:bCs/>
          <w:lang w:val="en-GB"/>
        </w:rPr>
        <w:t xml:space="preserve"> (specifically, </w:t>
      </w:r>
      <w:proofErr w:type="spellStart"/>
      <w:r w:rsidR="00B1774C">
        <w:rPr>
          <w:rFonts w:asciiTheme="minorHAnsi" w:hAnsiTheme="minorHAnsi"/>
          <w:bCs/>
          <w:lang w:val="en-GB"/>
        </w:rPr>
        <w:t>FluQuadri</w:t>
      </w:r>
      <w:proofErr w:type="spellEnd"/>
      <w:r w:rsidR="00B1774C">
        <w:rPr>
          <w:rFonts w:asciiTheme="minorHAnsi" w:hAnsiTheme="minorHAnsi"/>
          <w:bCs/>
          <w:lang w:val="en-GB"/>
        </w:rPr>
        <w:t xml:space="preserve"> and </w:t>
      </w:r>
      <w:proofErr w:type="spellStart"/>
      <w:r w:rsidR="00B1774C">
        <w:rPr>
          <w:rFonts w:asciiTheme="minorHAnsi" w:hAnsiTheme="minorHAnsi"/>
          <w:bCs/>
          <w:lang w:val="en-GB"/>
        </w:rPr>
        <w:t>Fluarix</w:t>
      </w:r>
      <w:proofErr w:type="spellEnd"/>
      <w:r w:rsidR="00B1774C">
        <w:rPr>
          <w:rFonts w:asciiTheme="minorHAnsi" w:hAnsiTheme="minorHAnsi"/>
          <w:bCs/>
          <w:lang w:val="en-GB"/>
        </w:rPr>
        <w:t xml:space="preserve"> Tetra)</w:t>
      </w:r>
      <w:r w:rsidR="009730A5">
        <w:rPr>
          <w:rFonts w:asciiTheme="minorHAnsi" w:hAnsiTheme="minorHAnsi" w:cstheme="minorHAnsi"/>
          <w:bCs/>
          <w:szCs w:val="24"/>
        </w:rPr>
        <w:t xml:space="preserve"> may </w:t>
      </w:r>
      <w:r>
        <w:rPr>
          <w:rFonts w:asciiTheme="minorHAnsi" w:hAnsiTheme="minorHAnsi" w:cstheme="minorHAnsi"/>
          <w:bCs/>
          <w:szCs w:val="24"/>
        </w:rPr>
        <w:t xml:space="preserve">be provided to include NIP funded use in Aboriginal and/or Torres Strait Islander people aged 5 to </w:t>
      </w:r>
      <w:r w:rsidR="00014CF5">
        <w:rPr>
          <w:rFonts w:asciiTheme="minorHAnsi" w:hAnsiTheme="minorHAnsi" w:cstheme="minorHAnsi"/>
          <w:bCs/>
          <w:szCs w:val="24"/>
        </w:rPr>
        <w:t>14</w:t>
      </w:r>
      <w:r>
        <w:rPr>
          <w:rFonts w:asciiTheme="minorHAnsi" w:hAnsiTheme="minorHAnsi" w:cstheme="minorHAnsi"/>
          <w:bCs/>
          <w:szCs w:val="24"/>
        </w:rPr>
        <w:t xml:space="preserve"> years</w:t>
      </w:r>
      <w:r w:rsidR="009730A5">
        <w:rPr>
          <w:rFonts w:asciiTheme="minorHAnsi" w:hAnsiTheme="minorHAnsi" w:cstheme="minorHAnsi"/>
          <w:bCs/>
          <w:szCs w:val="24"/>
        </w:rPr>
        <w:t xml:space="preserve">. </w:t>
      </w:r>
      <w:r w:rsidR="00013A05">
        <w:rPr>
          <w:rFonts w:asciiTheme="minorHAnsi" w:hAnsiTheme="minorHAnsi" w:cstheme="minorHAnsi"/>
          <w:bCs/>
          <w:szCs w:val="24"/>
        </w:rPr>
        <w:t>Accordingly, in addition to the above recommendation, t</w:t>
      </w:r>
      <w:r w:rsidR="009730A5">
        <w:rPr>
          <w:rFonts w:asciiTheme="minorHAnsi" w:hAnsiTheme="minorHAnsi" w:cstheme="minorHAnsi"/>
          <w:bCs/>
          <w:szCs w:val="24"/>
        </w:rPr>
        <w:t xml:space="preserve">he PBAC recommended that </w:t>
      </w:r>
      <w:r>
        <w:rPr>
          <w:rFonts w:asciiTheme="minorHAnsi" w:hAnsiTheme="minorHAnsi" w:cstheme="minorHAnsi"/>
          <w:bCs/>
          <w:szCs w:val="24"/>
        </w:rPr>
        <w:t>Aflur</w:t>
      </w:r>
      <w:r w:rsidR="009730A5">
        <w:rPr>
          <w:rFonts w:asciiTheme="minorHAnsi" w:hAnsiTheme="minorHAnsi" w:cstheme="minorHAnsi"/>
          <w:bCs/>
          <w:szCs w:val="24"/>
        </w:rPr>
        <w:t>ia Quad</w:t>
      </w:r>
      <w:r w:rsidR="00013A05">
        <w:rPr>
          <w:rFonts w:asciiTheme="minorHAnsi" w:hAnsiTheme="minorHAnsi" w:cstheme="minorHAnsi"/>
          <w:bCs/>
          <w:szCs w:val="24"/>
        </w:rPr>
        <w:t xml:space="preserve"> also be available for NIP listing for Aboriginal and/or Torres Strait Islanders aged 5 to 14 years</w:t>
      </w:r>
      <w:r w:rsidR="00563608">
        <w:rPr>
          <w:rFonts w:asciiTheme="minorHAnsi" w:hAnsiTheme="minorHAnsi" w:cstheme="minorHAnsi"/>
          <w:bCs/>
          <w:szCs w:val="24"/>
        </w:rPr>
        <w:t xml:space="preserve"> (inclusive)</w:t>
      </w:r>
      <w:r w:rsidR="00C861B8">
        <w:rPr>
          <w:rFonts w:asciiTheme="minorHAnsi" w:hAnsiTheme="minorHAnsi" w:cstheme="minorHAnsi"/>
          <w:bCs/>
          <w:szCs w:val="24"/>
        </w:rPr>
        <w:t>.</w:t>
      </w:r>
    </w:p>
    <w:p w:rsidR="001074F0" w:rsidRPr="0038442E" w:rsidRDefault="007460E4" w:rsidP="00D70714">
      <w:pPr>
        <w:pStyle w:val="ListParagraph"/>
        <w:widowControl/>
        <w:numPr>
          <w:ilvl w:val="1"/>
          <w:numId w:val="2"/>
        </w:numPr>
      </w:pPr>
      <w:r w:rsidRPr="0038442E">
        <w:t xml:space="preserve">The PBAC recalled it recommended the </w:t>
      </w:r>
      <w:r w:rsidR="002160A1" w:rsidRPr="0038442E">
        <w:rPr>
          <w:rFonts w:asciiTheme="minorHAnsi" w:hAnsiTheme="minorHAnsi"/>
          <w:bCs/>
          <w:lang w:val="en-GB"/>
        </w:rPr>
        <w:t>NIP</w:t>
      </w:r>
      <w:r w:rsidRPr="0038442E">
        <w:t xml:space="preserve"> listing of Afluria Quad for use in </w:t>
      </w:r>
      <w:r w:rsidR="00833FFF">
        <w:t xml:space="preserve">NIP eligible </w:t>
      </w:r>
      <w:r w:rsidRPr="0038442E">
        <w:t xml:space="preserve">adults </w:t>
      </w:r>
      <w:r w:rsidR="00833FFF">
        <w:t xml:space="preserve">aged 18 years and over </w:t>
      </w:r>
      <w:r w:rsidR="001074F0">
        <w:t xml:space="preserve">on a cost-minimisation basis to </w:t>
      </w:r>
      <w:proofErr w:type="spellStart"/>
      <w:r w:rsidR="001074F0">
        <w:t>Fluarix</w:t>
      </w:r>
      <w:proofErr w:type="spellEnd"/>
      <w:r w:rsidR="001074F0">
        <w:t xml:space="preserve"> Tetra</w:t>
      </w:r>
      <w:r w:rsidR="00495896">
        <w:t xml:space="preserve"> subsequent to its</w:t>
      </w:r>
      <w:r w:rsidR="00495896" w:rsidRPr="0038442E">
        <w:t xml:space="preserve"> August 2016</w:t>
      </w:r>
      <w:r w:rsidR="00495896">
        <w:t xml:space="preserve"> meeting</w:t>
      </w:r>
      <w:r w:rsidRPr="0038442E">
        <w:t>.</w:t>
      </w:r>
    </w:p>
    <w:p w:rsidR="004808A4" w:rsidRDefault="005739D0" w:rsidP="00D70714">
      <w:pPr>
        <w:widowControl/>
        <w:numPr>
          <w:ilvl w:val="1"/>
          <w:numId w:val="2"/>
        </w:numPr>
        <w:spacing w:after="120"/>
        <w:rPr>
          <w:rFonts w:asciiTheme="minorHAnsi" w:hAnsiTheme="minorHAnsi"/>
          <w:bCs/>
          <w:lang w:val="en-GB"/>
        </w:rPr>
      </w:pPr>
      <w:r w:rsidRPr="0038442E">
        <w:rPr>
          <w:rFonts w:asciiTheme="minorHAnsi" w:hAnsiTheme="minorHAnsi"/>
          <w:bCs/>
          <w:lang w:val="en-GB"/>
        </w:rPr>
        <w:t xml:space="preserve">The PBAC noted that the </w:t>
      </w:r>
      <w:r w:rsidR="00FF3D2F">
        <w:rPr>
          <w:rFonts w:asciiTheme="minorHAnsi" w:hAnsiTheme="minorHAnsi"/>
          <w:bCs/>
          <w:lang w:val="en-GB"/>
        </w:rPr>
        <w:t xml:space="preserve">proposed </w:t>
      </w:r>
      <w:r w:rsidRPr="0038442E">
        <w:rPr>
          <w:rFonts w:asciiTheme="minorHAnsi" w:hAnsiTheme="minorHAnsi"/>
          <w:bCs/>
          <w:lang w:val="en-GB"/>
        </w:rPr>
        <w:t xml:space="preserve">comparator </w:t>
      </w:r>
      <w:r w:rsidR="001074F0">
        <w:rPr>
          <w:rFonts w:asciiTheme="minorHAnsi" w:hAnsiTheme="minorHAnsi"/>
          <w:bCs/>
          <w:lang w:val="en-GB"/>
        </w:rPr>
        <w:t>QIVs,</w:t>
      </w:r>
      <w:r w:rsidRPr="0038442E">
        <w:rPr>
          <w:rFonts w:asciiTheme="minorHAnsi" w:hAnsiTheme="minorHAnsi"/>
          <w:bCs/>
          <w:lang w:val="en-GB"/>
        </w:rPr>
        <w:t xml:space="preserve"> </w:t>
      </w:r>
      <w:proofErr w:type="spellStart"/>
      <w:r w:rsidR="00D74681" w:rsidRPr="0038442E">
        <w:rPr>
          <w:rFonts w:cs="Calibri"/>
          <w:snapToGrid/>
          <w:szCs w:val="24"/>
          <w:lang w:val="en-US" w:eastAsia="en-AU"/>
        </w:rPr>
        <w:t>Fluarix</w:t>
      </w:r>
      <w:proofErr w:type="spellEnd"/>
      <w:r w:rsidR="00D74681" w:rsidRPr="0038442E">
        <w:rPr>
          <w:rFonts w:cs="Calibri"/>
          <w:snapToGrid/>
          <w:szCs w:val="24"/>
          <w:lang w:val="en-US" w:eastAsia="en-AU"/>
        </w:rPr>
        <w:t xml:space="preserve"> Tetra and </w:t>
      </w:r>
      <w:proofErr w:type="spellStart"/>
      <w:r w:rsidR="00D74681" w:rsidRPr="0038442E">
        <w:rPr>
          <w:rFonts w:cs="Calibri"/>
          <w:snapToGrid/>
          <w:szCs w:val="24"/>
          <w:lang w:val="en-US" w:eastAsia="en-AU"/>
        </w:rPr>
        <w:t>FluQuadri</w:t>
      </w:r>
      <w:proofErr w:type="spellEnd"/>
      <w:r w:rsidR="001074F0">
        <w:rPr>
          <w:rFonts w:asciiTheme="minorHAnsi" w:hAnsiTheme="minorHAnsi" w:cstheme="minorHAnsi"/>
          <w:bCs/>
          <w:szCs w:val="24"/>
        </w:rPr>
        <w:t>,</w:t>
      </w:r>
      <w:r w:rsidR="003D4C21" w:rsidRPr="0038442E">
        <w:rPr>
          <w:rFonts w:cs="Calibri"/>
          <w:snapToGrid/>
          <w:szCs w:val="24"/>
          <w:lang w:val="en-US" w:eastAsia="en-AU"/>
        </w:rPr>
        <w:t xml:space="preserve"> </w:t>
      </w:r>
      <w:r w:rsidRPr="0038442E">
        <w:rPr>
          <w:rFonts w:asciiTheme="minorHAnsi" w:hAnsiTheme="minorHAnsi"/>
          <w:bCs/>
          <w:lang w:val="en-GB"/>
        </w:rPr>
        <w:t xml:space="preserve">are currently designated vaccines in the </w:t>
      </w:r>
      <w:r w:rsidR="0001129F">
        <w:rPr>
          <w:rFonts w:asciiTheme="minorHAnsi" w:hAnsiTheme="minorHAnsi"/>
          <w:bCs/>
          <w:lang w:val="en-GB"/>
        </w:rPr>
        <w:t>requested</w:t>
      </w:r>
      <w:r w:rsidR="0001129F" w:rsidRPr="0038442E">
        <w:rPr>
          <w:rFonts w:asciiTheme="minorHAnsi" w:hAnsiTheme="minorHAnsi"/>
          <w:bCs/>
          <w:lang w:val="en-GB"/>
        </w:rPr>
        <w:t xml:space="preserve"> </w:t>
      </w:r>
      <w:r w:rsidRPr="0038442E">
        <w:rPr>
          <w:rFonts w:asciiTheme="minorHAnsi" w:hAnsiTheme="minorHAnsi"/>
          <w:bCs/>
          <w:lang w:val="en-GB"/>
        </w:rPr>
        <w:t>population</w:t>
      </w:r>
      <w:r w:rsidR="001074F0">
        <w:rPr>
          <w:rFonts w:asciiTheme="minorHAnsi" w:hAnsiTheme="minorHAnsi"/>
          <w:bCs/>
          <w:lang w:val="en-GB"/>
        </w:rPr>
        <w:t>. T</w:t>
      </w:r>
      <w:r w:rsidRPr="0038442E">
        <w:rPr>
          <w:rFonts w:asciiTheme="minorHAnsi" w:hAnsiTheme="minorHAnsi"/>
          <w:bCs/>
          <w:lang w:val="en-GB"/>
        </w:rPr>
        <w:t xml:space="preserve">he PBAC considered the clinical place for </w:t>
      </w:r>
      <w:r w:rsidR="001074F0">
        <w:rPr>
          <w:rFonts w:asciiTheme="minorHAnsi" w:hAnsiTheme="minorHAnsi"/>
          <w:bCs/>
          <w:lang w:val="en-GB"/>
        </w:rPr>
        <w:t>Afluria Quad</w:t>
      </w:r>
      <w:r w:rsidRPr="0038442E">
        <w:rPr>
          <w:rFonts w:asciiTheme="minorHAnsi" w:hAnsiTheme="minorHAnsi"/>
          <w:bCs/>
          <w:lang w:val="en-GB"/>
        </w:rPr>
        <w:t xml:space="preserve"> and the comparators </w:t>
      </w:r>
      <w:r w:rsidR="00366301">
        <w:rPr>
          <w:rFonts w:asciiTheme="minorHAnsi" w:hAnsiTheme="minorHAnsi"/>
          <w:bCs/>
          <w:lang w:val="en-GB"/>
        </w:rPr>
        <w:t>were</w:t>
      </w:r>
      <w:r w:rsidRPr="0038442E">
        <w:rPr>
          <w:rFonts w:asciiTheme="minorHAnsi" w:hAnsiTheme="minorHAnsi"/>
          <w:bCs/>
          <w:lang w:val="en-GB"/>
        </w:rPr>
        <w:t xml:space="preserve"> appropriate.</w:t>
      </w:r>
    </w:p>
    <w:p w:rsidR="001074F0" w:rsidRPr="001074F0" w:rsidRDefault="001074F0" w:rsidP="001074F0">
      <w:pPr>
        <w:pStyle w:val="ListParagraph"/>
        <w:widowControl/>
        <w:numPr>
          <w:ilvl w:val="1"/>
          <w:numId w:val="2"/>
        </w:numPr>
        <w:rPr>
          <w:rFonts w:asciiTheme="minorHAnsi" w:hAnsiTheme="minorHAnsi" w:cstheme="minorHAnsi"/>
          <w:bCs/>
          <w:szCs w:val="24"/>
        </w:rPr>
      </w:pPr>
      <w:r w:rsidRPr="001074F0">
        <w:rPr>
          <w:rFonts w:asciiTheme="minorHAnsi" w:hAnsiTheme="minorHAnsi" w:cstheme="minorHAnsi"/>
          <w:bCs/>
          <w:szCs w:val="24"/>
        </w:rPr>
        <w:t xml:space="preserve">The PBAC’s recommendation to expand the age eligibility for Afluria Quad </w:t>
      </w:r>
      <w:proofErr w:type="gramStart"/>
      <w:r w:rsidRPr="001074F0">
        <w:rPr>
          <w:rFonts w:asciiTheme="minorHAnsi" w:hAnsiTheme="minorHAnsi" w:cstheme="minorHAnsi"/>
          <w:bCs/>
          <w:szCs w:val="24"/>
        </w:rPr>
        <w:t>was made</w:t>
      </w:r>
      <w:proofErr w:type="gramEnd"/>
      <w:r w:rsidRPr="001074F0">
        <w:rPr>
          <w:rFonts w:asciiTheme="minorHAnsi" w:hAnsiTheme="minorHAnsi" w:cstheme="minorHAnsi"/>
          <w:bCs/>
          <w:szCs w:val="24"/>
        </w:rPr>
        <w:t xml:space="preserve"> on </w:t>
      </w:r>
      <w:r>
        <w:rPr>
          <w:rFonts w:asciiTheme="minorHAnsi" w:hAnsiTheme="minorHAnsi" w:cstheme="minorHAnsi"/>
          <w:bCs/>
          <w:szCs w:val="24"/>
        </w:rPr>
        <w:t xml:space="preserve">a </w:t>
      </w:r>
      <w:r w:rsidRPr="001074F0">
        <w:rPr>
          <w:rFonts w:asciiTheme="minorHAnsi" w:hAnsiTheme="minorHAnsi" w:cstheme="minorHAnsi"/>
          <w:bCs/>
          <w:szCs w:val="24"/>
        </w:rPr>
        <w:t xml:space="preserve">cost-minimisation basis to </w:t>
      </w:r>
      <w:proofErr w:type="spellStart"/>
      <w:r w:rsidRPr="001074F0">
        <w:rPr>
          <w:rFonts w:asciiTheme="minorHAnsi" w:hAnsiTheme="minorHAnsi" w:cstheme="minorHAnsi"/>
          <w:bCs/>
          <w:szCs w:val="24"/>
        </w:rPr>
        <w:t>Fluarix</w:t>
      </w:r>
      <w:proofErr w:type="spellEnd"/>
      <w:r w:rsidRPr="001074F0">
        <w:rPr>
          <w:rFonts w:asciiTheme="minorHAnsi" w:hAnsiTheme="minorHAnsi" w:cstheme="minorHAnsi"/>
          <w:bCs/>
          <w:szCs w:val="24"/>
        </w:rPr>
        <w:t xml:space="preserve"> Tetra </w:t>
      </w:r>
      <w:r w:rsidR="00B05DAA">
        <w:rPr>
          <w:rFonts w:asciiTheme="minorHAnsi" w:hAnsiTheme="minorHAnsi" w:cstheme="minorHAnsi"/>
          <w:bCs/>
          <w:szCs w:val="24"/>
        </w:rPr>
        <w:t>(or</w:t>
      </w:r>
      <w:r w:rsidRPr="001074F0">
        <w:rPr>
          <w:rFonts w:asciiTheme="minorHAnsi" w:hAnsiTheme="minorHAnsi" w:cstheme="minorHAnsi"/>
          <w:bCs/>
          <w:szCs w:val="24"/>
        </w:rPr>
        <w:t xml:space="preserve"> </w:t>
      </w:r>
      <w:proofErr w:type="spellStart"/>
      <w:r w:rsidRPr="001074F0">
        <w:rPr>
          <w:rFonts w:asciiTheme="minorHAnsi" w:hAnsiTheme="minorHAnsi" w:cstheme="minorHAnsi"/>
          <w:bCs/>
          <w:szCs w:val="24"/>
        </w:rPr>
        <w:t>FluQuadri</w:t>
      </w:r>
      <w:proofErr w:type="spellEnd"/>
      <w:r w:rsidR="00B05DAA">
        <w:rPr>
          <w:rFonts w:asciiTheme="minorHAnsi" w:hAnsiTheme="minorHAnsi" w:cstheme="minorHAnsi"/>
          <w:bCs/>
          <w:szCs w:val="24"/>
        </w:rPr>
        <w:t>)</w:t>
      </w:r>
      <w:r w:rsidRPr="001074F0">
        <w:rPr>
          <w:rFonts w:asciiTheme="minorHAnsi" w:hAnsiTheme="minorHAnsi" w:cstheme="minorHAnsi"/>
          <w:bCs/>
          <w:szCs w:val="24"/>
        </w:rPr>
        <w:t xml:space="preserve"> </w:t>
      </w:r>
      <w:r>
        <w:rPr>
          <w:rFonts w:asciiTheme="minorHAnsi" w:hAnsiTheme="minorHAnsi" w:cstheme="minorHAnsi"/>
          <w:bCs/>
          <w:szCs w:val="24"/>
        </w:rPr>
        <w:t>with</w:t>
      </w:r>
      <w:r w:rsidRPr="001074F0">
        <w:rPr>
          <w:rFonts w:asciiTheme="minorHAnsi" w:hAnsiTheme="minorHAnsi" w:cstheme="minorHAnsi"/>
          <w:bCs/>
          <w:szCs w:val="24"/>
        </w:rPr>
        <w:t xml:space="preserve"> the </w:t>
      </w:r>
      <w:proofErr w:type="spellStart"/>
      <w:r w:rsidRPr="00D1010A">
        <w:t>equi</w:t>
      </w:r>
      <w:proofErr w:type="spellEnd"/>
      <w:r w:rsidRPr="00D1010A">
        <w:t xml:space="preserve">-effective </w:t>
      </w:r>
      <w:r>
        <w:t>doses being</w:t>
      </w:r>
      <w:r w:rsidRPr="00D1010A">
        <w:t xml:space="preserve"> </w:t>
      </w:r>
      <w:r>
        <w:t xml:space="preserve">one dose of </w:t>
      </w:r>
      <w:proofErr w:type="spellStart"/>
      <w:r w:rsidRPr="0038442E">
        <w:t>Fluarix</w:t>
      </w:r>
      <w:proofErr w:type="spellEnd"/>
      <w:r w:rsidRPr="0038442E">
        <w:t xml:space="preserve"> Tetra</w:t>
      </w:r>
      <w:r>
        <w:t xml:space="preserve"> 0.5mL</w:t>
      </w:r>
      <w:r w:rsidR="00B05DAA">
        <w:t xml:space="preserve"> (</w:t>
      </w:r>
      <w:r>
        <w:t xml:space="preserve">or </w:t>
      </w:r>
      <w:proofErr w:type="spellStart"/>
      <w:r w:rsidRPr="00D1010A">
        <w:t>FluQuadri</w:t>
      </w:r>
      <w:proofErr w:type="spellEnd"/>
      <w:r w:rsidRPr="00D1010A">
        <w:t xml:space="preserve"> </w:t>
      </w:r>
      <w:r w:rsidRPr="0038442E">
        <w:t>0.5mL</w:t>
      </w:r>
      <w:r w:rsidR="00B05DAA">
        <w:t>)</w:t>
      </w:r>
      <w:r>
        <w:t xml:space="preserve"> and one </w:t>
      </w:r>
      <w:r w:rsidRPr="0038442E">
        <w:t>dose of Afluria Quad</w:t>
      </w:r>
      <w:r w:rsidR="00B05DAA">
        <w:rPr>
          <w:rFonts w:asciiTheme="minorHAnsi" w:hAnsiTheme="minorHAnsi" w:cstheme="minorHAnsi"/>
          <w:bCs/>
          <w:szCs w:val="24"/>
        </w:rPr>
        <w:t xml:space="preserve"> </w:t>
      </w:r>
      <w:r w:rsidR="00B05DAA" w:rsidRPr="0038442E">
        <w:t>0.5mL</w:t>
      </w:r>
      <w:r w:rsidRPr="0038442E">
        <w:t>.</w:t>
      </w:r>
    </w:p>
    <w:p w:rsidR="00355294" w:rsidRPr="00355294" w:rsidRDefault="00D74681" w:rsidP="00D70714">
      <w:pPr>
        <w:widowControl/>
        <w:numPr>
          <w:ilvl w:val="1"/>
          <w:numId w:val="2"/>
        </w:numPr>
        <w:spacing w:after="120"/>
        <w:rPr>
          <w:rFonts w:asciiTheme="minorHAnsi" w:hAnsiTheme="minorHAnsi"/>
          <w:bCs/>
          <w:lang w:val="en-GB"/>
        </w:rPr>
      </w:pPr>
      <w:r w:rsidRPr="00CA5958">
        <w:rPr>
          <w:rFonts w:asciiTheme="minorHAnsi" w:hAnsiTheme="minorHAnsi"/>
          <w:bCs/>
          <w:lang w:val="en-GB"/>
        </w:rPr>
        <w:lastRenderedPageBreak/>
        <w:t xml:space="preserve">The PBAC noted that the submission presented </w:t>
      </w:r>
      <w:r w:rsidR="009E18F7" w:rsidRPr="00CA5958">
        <w:rPr>
          <w:rFonts w:asciiTheme="minorHAnsi" w:hAnsiTheme="minorHAnsi"/>
          <w:bCs/>
          <w:lang w:val="en-GB"/>
        </w:rPr>
        <w:t xml:space="preserve">a single head-to-head randomised trial comparing Afluria Quad to </w:t>
      </w:r>
      <w:proofErr w:type="spellStart"/>
      <w:r w:rsidR="009E18F7" w:rsidRPr="00CA5958">
        <w:rPr>
          <w:rFonts w:asciiTheme="minorHAnsi" w:hAnsiTheme="minorHAnsi"/>
          <w:bCs/>
          <w:lang w:val="en-GB"/>
        </w:rPr>
        <w:t>Fluarix</w:t>
      </w:r>
      <w:proofErr w:type="spellEnd"/>
      <w:r w:rsidR="009E18F7" w:rsidRPr="00CA5958">
        <w:rPr>
          <w:rFonts w:asciiTheme="minorHAnsi" w:hAnsiTheme="minorHAnsi"/>
          <w:bCs/>
          <w:lang w:val="en-GB"/>
        </w:rPr>
        <w:t xml:space="preserve"> Tetra </w:t>
      </w:r>
      <w:r w:rsidR="00E44682">
        <w:rPr>
          <w:rFonts w:asciiTheme="minorHAnsi" w:hAnsiTheme="minorHAnsi"/>
          <w:bCs/>
          <w:lang w:val="en-GB"/>
        </w:rPr>
        <w:t>and based</w:t>
      </w:r>
      <w:r w:rsidR="00E44682" w:rsidRPr="00CA5958">
        <w:rPr>
          <w:rFonts w:asciiTheme="minorHAnsi" w:hAnsiTheme="minorHAnsi"/>
          <w:bCs/>
          <w:lang w:val="en-GB"/>
        </w:rPr>
        <w:t xml:space="preserve"> </w:t>
      </w:r>
      <w:r w:rsidR="009E18F7" w:rsidRPr="00CA5958">
        <w:rPr>
          <w:rFonts w:asciiTheme="minorHAnsi" w:hAnsiTheme="minorHAnsi"/>
          <w:bCs/>
          <w:lang w:val="en-GB"/>
        </w:rPr>
        <w:t>the claim of non-inferior</w:t>
      </w:r>
      <w:r w:rsidR="00E44682">
        <w:rPr>
          <w:rFonts w:asciiTheme="minorHAnsi" w:hAnsiTheme="minorHAnsi"/>
          <w:bCs/>
          <w:lang w:val="en-GB"/>
        </w:rPr>
        <w:t xml:space="preserve"> comparative effectiveness and safety</w:t>
      </w:r>
      <w:r w:rsidR="009E18F7" w:rsidRPr="00CA5958">
        <w:rPr>
          <w:rFonts w:asciiTheme="minorHAnsi" w:hAnsiTheme="minorHAnsi"/>
          <w:bCs/>
          <w:lang w:val="en-GB"/>
        </w:rPr>
        <w:t xml:space="preserve"> on immunogenicity and safety</w:t>
      </w:r>
      <w:r w:rsidR="0038442E" w:rsidRPr="00CA5958">
        <w:rPr>
          <w:rFonts w:asciiTheme="minorHAnsi" w:hAnsiTheme="minorHAnsi"/>
          <w:bCs/>
          <w:lang w:val="en-GB"/>
        </w:rPr>
        <w:t xml:space="preserve"> outcomes</w:t>
      </w:r>
      <w:r w:rsidR="001115BD" w:rsidRPr="00CA5958">
        <w:rPr>
          <w:rFonts w:asciiTheme="minorHAnsi" w:hAnsiTheme="minorHAnsi"/>
          <w:bCs/>
          <w:lang w:val="en-GB"/>
        </w:rPr>
        <w:t>.</w:t>
      </w:r>
      <w:r w:rsidR="009E18F7" w:rsidRPr="00CA5958">
        <w:rPr>
          <w:rFonts w:asciiTheme="minorHAnsi" w:hAnsiTheme="minorHAnsi"/>
          <w:bCs/>
          <w:lang w:val="en-GB"/>
        </w:rPr>
        <w:t xml:space="preserve">  The PBAC noted that </w:t>
      </w:r>
      <w:r w:rsidR="009E18F7" w:rsidRPr="00ED7373">
        <w:t>Trial QIV-13-02 either did not conduct subgroup analyses on children considered at increased risk of complications or excluded them</w:t>
      </w:r>
      <w:r w:rsidR="00495896">
        <w:t>,</w:t>
      </w:r>
      <w:r w:rsidR="009E18F7" w:rsidRPr="00ED7373">
        <w:t xml:space="preserve"> depending on the condition. Trial QIV-13-02 also did not include </w:t>
      </w:r>
      <w:r w:rsidR="00495896">
        <w:rPr>
          <w:rFonts w:asciiTheme="minorHAnsi" w:hAnsiTheme="minorHAnsi" w:cstheme="minorHAnsi"/>
          <w:bCs/>
          <w:szCs w:val="24"/>
        </w:rPr>
        <w:t xml:space="preserve">Aboriginal and/or Torres Strait Islander </w:t>
      </w:r>
      <w:r w:rsidR="009E18F7" w:rsidRPr="00ED7373">
        <w:t>children, and excluded pregnant women from the trial.</w:t>
      </w:r>
      <w:r w:rsidR="009E18F7">
        <w:t xml:space="preserve">  The PBAC </w:t>
      </w:r>
      <w:r w:rsidR="00FF3D2F">
        <w:t>noted</w:t>
      </w:r>
      <w:r w:rsidR="009E18F7">
        <w:t xml:space="preserve"> </w:t>
      </w:r>
      <w:r w:rsidR="000D24CD">
        <w:t>the</w:t>
      </w:r>
      <w:r w:rsidR="009E18F7">
        <w:t xml:space="preserve"> ATAGI </w:t>
      </w:r>
      <w:r w:rsidR="000D24CD">
        <w:t xml:space="preserve">advice that based on the non-inferior immunogenicity in healthy children, the protection provided in children with underlying comorbidities </w:t>
      </w:r>
      <w:proofErr w:type="gramStart"/>
      <w:r w:rsidR="000D24CD">
        <w:t>would be expected</w:t>
      </w:r>
      <w:proofErr w:type="gramEnd"/>
      <w:r w:rsidR="000D24CD">
        <w:t xml:space="preserve"> to be similar to that achieved with other NIP funded QIVs in this population (</w:t>
      </w:r>
      <w:r w:rsidR="00E44682">
        <w:t>ATAGI pre</w:t>
      </w:r>
      <w:r w:rsidR="00495896">
        <w:noBreakHyphen/>
      </w:r>
      <w:r w:rsidR="000D24CD">
        <w:t xml:space="preserve">submission advice, </w:t>
      </w:r>
      <w:r w:rsidR="00E44682">
        <w:t>p</w:t>
      </w:r>
      <w:r w:rsidR="000D24CD">
        <w:t>4).</w:t>
      </w:r>
    </w:p>
    <w:p w:rsidR="00CA5958" w:rsidRPr="00CA5958" w:rsidRDefault="00CC553C" w:rsidP="00D70714">
      <w:pPr>
        <w:widowControl/>
        <w:numPr>
          <w:ilvl w:val="1"/>
          <w:numId w:val="2"/>
        </w:numPr>
        <w:spacing w:after="120"/>
        <w:rPr>
          <w:rFonts w:asciiTheme="minorHAnsi" w:hAnsiTheme="minorHAnsi"/>
          <w:bCs/>
          <w:lang w:val="en-GB"/>
        </w:rPr>
      </w:pPr>
      <w:r>
        <w:t>The PBAC noted that</w:t>
      </w:r>
      <w:r w:rsidR="00B8581F">
        <w:t xml:space="preserve"> the submission did not present a comparison of effectiveness and safety for</w:t>
      </w:r>
      <w:r>
        <w:t xml:space="preserve"> </w:t>
      </w:r>
      <w:r w:rsidR="00B8581F">
        <w:t xml:space="preserve">Afluria Quad and </w:t>
      </w:r>
      <w:proofErr w:type="spellStart"/>
      <w:r>
        <w:t>FluQuadri</w:t>
      </w:r>
      <w:proofErr w:type="spellEnd"/>
      <w:r w:rsidR="00DF0CE5">
        <w:t xml:space="preserve">.  The PBAC </w:t>
      </w:r>
      <w:r w:rsidR="000D24CD">
        <w:t xml:space="preserve">recalled that it recommended </w:t>
      </w:r>
      <w:proofErr w:type="spellStart"/>
      <w:r w:rsidR="000D24CD">
        <w:t>FluQuadri</w:t>
      </w:r>
      <w:proofErr w:type="spellEnd"/>
      <w:r w:rsidR="00DF0CE5">
        <w:t xml:space="preserve"> </w:t>
      </w:r>
      <w:r w:rsidR="000D24CD">
        <w:t>for</w:t>
      </w:r>
      <w:r w:rsidR="00CA5958">
        <w:t xml:space="preserve"> </w:t>
      </w:r>
      <w:r w:rsidR="00B8581F">
        <w:t xml:space="preserve">listing on the </w:t>
      </w:r>
      <w:r w:rsidR="003D39C8">
        <w:t>determination</w:t>
      </w:r>
      <w:r w:rsidR="00B8581F">
        <w:t xml:space="preserve"> </w:t>
      </w:r>
      <w:r w:rsidR="00CA5958">
        <w:t xml:space="preserve">on a cost minimisation basis to </w:t>
      </w:r>
      <w:proofErr w:type="spellStart"/>
      <w:r w:rsidR="00CA5958">
        <w:t>Fluarix</w:t>
      </w:r>
      <w:proofErr w:type="spellEnd"/>
      <w:r w:rsidR="00CA5958">
        <w:t xml:space="preserve"> Tetra</w:t>
      </w:r>
      <w:r w:rsidR="000D24CD">
        <w:t xml:space="preserve"> in July 2015</w:t>
      </w:r>
      <w:r w:rsidR="00CA5958">
        <w:t xml:space="preserve">. </w:t>
      </w:r>
      <w:r w:rsidR="00B8581F">
        <w:t>Accordingly, t</w:t>
      </w:r>
      <w:r w:rsidR="00CA5958">
        <w:t xml:space="preserve">he PBAC considered that demonstration of non-inferiority to </w:t>
      </w:r>
      <w:proofErr w:type="spellStart"/>
      <w:r w:rsidR="00CA5958">
        <w:t>Fluarix</w:t>
      </w:r>
      <w:proofErr w:type="spellEnd"/>
      <w:r w:rsidR="00CA5958">
        <w:t xml:space="preserve"> Tetra was sufficient</w:t>
      </w:r>
      <w:r w:rsidR="00B8581F">
        <w:t xml:space="preserve"> in this instance</w:t>
      </w:r>
      <w:r w:rsidR="00CA5958">
        <w:t>.</w:t>
      </w:r>
    </w:p>
    <w:p w:rsidR="00D74681" w:rsidRPr="00CA5958" w:rsidRDefault="00CC553C" w:rsidP="00D70714">
      <w:pPr>
        <w:widowControl/>
        <w:numPr>
          <w:ilvl w:val="1"/>
          <w:numId w:val="2"/>
        </w:numPr>
        <w:spacing w:after="120"/>
        <w:rPr>
          <w:rFonts w:asciiTheme="minorHAnsi" w:hAnsiTheme="minorHAnsi"/>
          <w:bCs/>
          <w:lang w:val="en-GB"/>
        </w:rPr>
      </w:pPr>
      <w:r w:rsidRPr="00CC553C">
        <w:t xml:space="preserve">The PBAC noted that QIV-13-02 was only conducted over a </w:t>
      </w:r>
      <w:proofErr w:type="gramStart"/>
      <w:r w:rsidRPr="00CC553C">
        <w:t>6 month</w:t>
      </w:r>
      <w:proofErr w:type="gramEnd"/>
      <w:r w:rsidRPr="00CC553C">
        <w:t xml:space="preserve"> period in the 2014/15 northern hemisphere. The PBAC considered that variability in influenza strain prevalence occurs year to year and that this </w:t>
      </w:r>
      <w:proofErr w:type="gramStart"/>
      <w:r w:rsidRPr="00CC553C">
        <w:t>impacts</w:t>
      </w:r>
      <w:proofErr w:type="gramEnd"/>
      <w:r w:rsidRPr="00CC553C">
        <w:t xml:space="preserve"> all influenza vaccines, including certainty of vaccine e</w:t>
      </w:r>
      <w:r w:rsidR="00C861B8">
        <w:t>ffectiveness in a given season.</w:t>
      </w:r>
    </w:p>
    <w:p w:rsidR="002660F3" w:rsidRPr="002660F3" w:rsidRDefault="002660F3" w:rsidP="00D70714">
      <w:pPr>
        <w:widowControl/>
        <w:numPr>
          <w:ilvl w:val="1"/>
          <w:numId w:val="2"/>
        </w:numPr>
        <w:spacing w:after="120"/>
        <w:rPr>
          <w:rFonts w:asciiTheme="minorHAnsi" w:hAnsiTheme="minorHAnsi"/>
          <w:bCs/>
          <w:lang w:val="en-GB"/>
        </w:rPr>
      </w:pPr>
      <w:r w:rsidRPr="002660F3">
        <w:rPr>
          <w:rFonts w:asciiTheme="minorHAnsi" w:hAnsiTheme="minorHAnsi"/>
          <w:bCs/>
          <w:lang w:val="en-GB"/>
        </w:rPr>
        <w:t xml:space="preserve">The PBAC </w:t>
      </w:r>
      <w:r>
        <w:rPr>
          <w:rFonts w:asciiTheme="minorHAnsi" w:hAnsiTheme="minorHAnsi"/>
          <w:bCs/>
          <w:lang w:val="en-GB"/>
        </w:rPr>
        <w:t>considered that the clinical claim of non-</w:t>
      </w:r>
      <w:r w:rsidR="00EE0D4E">
        <w:rPr>
          <w:rFonts w:asciiTheme="minorHAnsi" w:hAnsiTheme="minorHAnsi"/>
          <w:bCs/>
          <w:lang w:val="en-GB"/>
        </w:rPr>
        <w:t xml:space="preserve">inferior comparative effectiveness to </w:t>
      </w:r>
      <w:proofErr w:type="spellStart"/>
      <w:r w:rsidR="00EE0D4E">
        <w:rPr>
          <w:rFonts w:asciiTheme="minorHAnsi" w:hAnsiTheme="minorHAnsi"/>
          <w:bCs/>
          <w:lang w:val="en-GB"/>
        </w:rPr>
        <w:t>Fluarix</w:t>
      </w:r>
      <w:proofErr w:type="spellEnd"/>
      <w:r w:rsidR="00EE0D4E">
        <w:rPr>
          <w:rFonts w:asciiTheme="minorHAnsi" w:hAnsiTheme="minorHAnsi"/>
          <w:bCs/>
          <w:lang w:val="en-GB"/>
        </w:rPr>
        <w:t xml:space="preserve"> Tetra </w:t>
      </w:r>
      <w:r>
        <w:rPr>
          <w:rFonts w:asciiTheme="minorHAnsi" w:hAnsiTheme="minorHAnsi"/>
          <w:bCs/>
          <w:lang w:val="en-GB"/>
        </w:rPr>
        <w:t>based on immunogenicity results was reasonable</w:t>
      </w:r>
      <w:r w:rsidR="001115BD">
        <w:rPr>
          <w:rFonts w:asciiTheme="minorHAnsi" w:hAnsiTheme="minorHAnsi"/>
          <w:bCs/>
          <w:lang w:val="en-GB"/>
        </w:rPr>
        <w:t>, noting that the pre-specified criteria for non-</w:t>
      </w:r>
      <w:r w:rsidR="00355294">
        <w:rPr>
          <w:rFonts w:asciiTheme="minorHAnsi" w:hAnsiTheme="minorHAnsi"/>
          <w:bCs/>
          <w:lang w:val="en-GB"/>
        </w:rPr>
        <w:t>inferiority</w:t>
      </w:r>
      <w:r w:rsidR="001115BD">
        <w:rPr>
          <w:rFonts w:asciiTheme="minorHAnsi" w:hAnsiTheme="minorHAnsi"/>
          <w:bCs/>
          <w:lang w:val="en-GB"/>
        </w:rPr>
        <w:t xml:space="preserve"> were met for each of the four shared influenza strains</w:t>
      </w:r>
      <w:r w:rsidR="00355294">
        <w:rPr>
          <w:rFonts w:asciiTheme="minorHAnsi" w:hAnsiTheme="minorHAnsi"/>
          <w:bCs/>
          <w:lang w:val="en-GB"/>
        </w:rPr>
        <w:t xml:space="preserve"> in Afluria Quad and </w:t>
      </w:r>
      <w:proofErr w:type="spellStart"/>
      <w:r w:rsidR="00355294">
        <w:rPr>
          <w:rFonts w:asciiTheme="minorHAnsi" w:hAnsiTheme="minorHAnsi"/>
          <w:bCs/>
          <w:lang w:val="en-GB"/>
        </w:rPr>
        <w:t>Fluarix</w:t>
      </w:r>
      <w:proofErr w:type="spellEnd"/>
      <w:r w:rsidR="00355294">
        <w:rPr>
          <w:rFonts w:asciiTheme="minorHAnsi" w:hAnsiTheme="minorHAnsi"/>
          <w:bCs/>
          <w:lang w:val="en-GB"/>
        </w:rPr>
        <w:t xml:space="preserve"> Tetra</w:t>
      </w:r>
      <w:r w:rsidR="001115BD">
        <w:rPr>
          <w:rFonts w:asciiTheme="minorHAnsi" w:hAnsiTheme="minorHAnsi"/>
          <w:bCs/>
          <w:lang w:val="en-GB"/>
        </w:rPr>
        <w:t>.</w:t>
      </w:r>
    </w:p>
    <w:p w:rsidR="0024730F" w:rsidRPr="002D1814" w:rsidRDefault="002660F3" w:rsidP="00D70714">
      <w:pPr>
        <w:widowControl/>
        <w:numPr>
          <w:ilvl w:val="1"/>
          <w:numId w:val="2"/>
        </w:numPr>
        <w:spacing w:after="120"/>
        <w:rPr>
          <w:rFonts w:asciiTheme="minorHAnsi" w:hAnsiTheme="minorHAnsi"/>
          <w:bCs/>
          <w:lang w:val="en-GB"/>
        </w:rPr>
      </w:pPr>
      <w:r w:rsidRPr="002D1814">
        <w:rPr>
          <w:rFonts w:asciiTheme="minorHAnsi" w:hAnsiTheme="minorHAnsi"/>
          <w:bCs/>
          <w:lang w:val="en-GB"/>
        </w:rPr>
        <w:t xml:space="preserve">The PBAC recalled that in 2010 a bioCSL (now </w:t>
      </w:r>
      <w:proofErr w:type="spellStart"/>
      <w:r w:rsidRPr="002D1814">
        <w:rPr>
          <w:rFonts w:asciiTheme="minorHAnsi" w:hAnsiTheme="minorHAnsi"/>
          <w:bCs/>
          <w:lang w:val="en-GB"/>
        </w:rPr>
        <w:t>Seqirus</w:t>
      </w:r>
      <w:proofErr w:type="spellEnd"/>
      <w:r w:rsidRPr="002D1814">
        <w:rPr>
          <w:rFonts w:asciiTheme="minorHAnsi" w:hAnsiTheme="minorHAnsi"/>
          <w:bCs/>
          <w:lang w:val="en-GB"/>
        </w:rPr>
        <w:t>) trivalent influenza vaccine (</w:t>
      </w:r>
      <w:proofErr w:type="spellStart"/>
      <w:r w:rsidRPr="002D1814">
        <w:rPr>
          <w:rFonts w:asciiTheme="minorHAnsi" w:hAnsiTheme="minorHAnsi"/>
          <w:bCs/>
          <w:lang w:val="en-GB"/>
        </w:rPr>
        <w:t>Fluvax</w:t>
      </w:r>
      <w:proofErr w:type="spellEnd"/>
      <w:r w:rsidRPr="002D1814">
        <w:rPr>
          <w:rFonts w:asciiTheme="minorHAnsi" w:hAnsiTheme="minorHAnsi"/>
          <w:bCs/>
          <w:lang w:val="en-GB"/>
        </w:rPr>
        <w:t xml:space="preserve">) was associated with increased rates of febrile seizures in children aged five </w:t>
      </w:r>
      <w:r w:rsidR="00355294" w:rsidRPr="002D1814">
        <w:rPr>
          <w:rFonts w:asciiTheme="minorHAnsi" w:hAnsiTheme="minorHAnsi"/>
          <w:bCs/>
          <w:lang w:val="en-GB"/>
        </w:rPr>
        <w:t xml:space="preserve">years </w:t>
      </w:r>
      <w:r w:rsidRPr="002D1814">
        <w:rPr>
          <w:rFonts w:asciiTheme="minorHAnsi" w:hAnsiTheme="minorHAnsi"/>
          <w:bCs/>
          <w:lang w:val="en-GB"/>
        </w:rPr>
        <w:t>and younger. The PBAC noted that investigation linked this</w:t>
      </w:r>
      <w:r w:rsidR="00D343A5" w:rsidRPr="002D1814">
        <w:rPr>
          <w:rFonts w:asciiTheme="minorHAnsi" w:hAnsiTheme="minorHAnsi"/>
          <w:bCs/>
          <w:lang w:val="en-GB"/>
        </w:rPr>
        <w:t xml:space="preserve"> safety concern</w:t>
      </w:r>
      <w:r w:rsidRPr="002D1814">
        <w:rPr>
          <w:rFonts w:asciiTheme="minorHAnsi" w:hAnsiTheme="minorHAnsi"/>
          <w:bCs/>
          <w:lang w:val="en-GB"/>
        </w:rPr>
        <w:t xml:space="preserve"> to </w:t>
      </w:r>
      <w:r w:rsidR="00D343A5" w:rsidRPr="002D1814">
        <w:rPr>
          <w:rFonts w:asciiTheme="minorHAnsi" w:hAnsiTheme="minorHAnsi"/>
          <w:bCs/>
          <w:lang w:val="en-GB"/>
        </w:rPr>
        <w:t xml:space="preserve">a combination of </w:t>
      </w:r>
      <w:r w:rsidRPr="002D1814">
        <w:rPr>
          <w:rFonts w:asciiTheme="minorHAnsi" w:hAnsiTheme="minorHAnsi"/>
          <w:bCs/>
          <w:lang w:val="en-GB"/>
        </w:rPr>
        <w:t xml:space="preserve">new influenza strains and </w:t>
      </w:r>
      <w:r w:rsidR="00D343A5" w:rsidRPr="002D1814">
        <w:rPr>
          <w:rFonts w:asciiTheme="minorHAnsi" w:hAnsiTheme="minorHAnsi"/>
          <w:bCs/>
          <w:lang w:val="en-GB"/>
        </w:rPr>
        <w:t xml:space="preserve">the </w:t>
      </w:r>
      <w:r w:rsidRPr="002D1814">
        <w:rPr>
          <w:rFonts w:asciiTheme="minorHAnsi" w:hAnsiTheme="minorHAnsi"/>
          <w:bCs/>
          <w:lang w:val="en-GB"/>
        </w:rPr>
        <w:t xml:space="preserve">method of manufacturing </w:t>
      </w:r>
      <w:r w:rsidR="00D343A5" w:rsidRPr="002D1814">
        <w:rPr>
          <w:rFonts w:asciiTheme="minorHAnsi" w:hAnsiTheme="minorHAnsi"/>
          <w:bCs/>
          <w:lang w:val="en-GB"/>
        </w:rPr>
        <w:t>used by the sponsor</w:t>
      </w:r>
      <w:r w:rsidRPr="002D1814">
        <w:rPr>
          <w:rFonts w:asciiTheme="minorHAnsi" w:hAnsiTheme="minorHAnsi"/>
          <w:bCs/>
          <w:lang w:val="en-GB"/>
        </w:rPr>
        <w:t>. The PBAC noted that</w:t>
      </w:r>
      <w:r w:rsidR="00D343A5" w:rsidRPr="002D1814">
        <w:rPr>
          <w:rFonts w:asciiTheme="minorHAnsi" w:hAnsiTheme="minorHAnsi"/>
          <w:bCs/>
          <w:lang w:val="en-GB"/>
        </w:rPr>
        <w:t xml:space="preserve"> Afluria Quad </w:t>
      </w:r>
      <w:proofErr w:type="gramStart"/>
      <w:r w:rsidR="00D343A5" w:rsidRPr="002D1814">
        <w:rPr>
          <w:rFonts w:asciiTheme="minorHAnsi" w:hAnsiTheme="minorHAnsi"/>
          <w:bCs/>
          <w:lang w:val="en-GB"/>
        </w:rPr>
        <w:t>is produced</w:t>
      </w:r>
      <w:proofErr w:type="gramEnd"/>
      <w:r w:rsidR="00D343A5" w:rsidRPr="002D1814">
        <w:rPr>
          <w:rFonts w:asciiTheme="minorHAnsi" w:hAnsiTheme="minorHAnsi"/>
          <w:bCs/>
          <w:lang w:val="en-GB"/>
        </w:rPr>
        <w:t xml:space="preserve"> under</w:t>
      </w:r>
      <w:r w:rsidRPr="002D1814">
        <w:rPr>
          <w:rFonts w:asciiTheme="minorHAnsi" w:hAnsiTheme="minorHAnsi"/>
          <w:bCs/>
          <w:lang w:val="en-GB"/>
        </w:rPr>
        <w:t xml:space="preserve"> </w:t>
      </w:r>
      <w:r w:rsidR="00D343A5" w:rsidRPr="002D1814">
        <w:rPr>
          <w:rFonts w:asciiTheme="minorHAnsi" w:hAnsiTheme="minorHAnsi"/>
          <w:bCs/>
          <w:lang w:val="en-GB"/>
        </w:rPr>
        <w:t xml:space="preserve">modified </w:t>
      </w:r>
      <w:r w:rsidRPr="002D1814">
        <w:rPr>
          <w:rFonts w:asciiTheme="minorHAnsi" w:hAnsiTheme="minorHAnsi"/>
          <w:bCs/>
          <w:lang w:val="en-GB"/>
        </w:rPr>
        <w:t xml:space="preserve">manufacturing </w:t>
      </w:r>
      <w:r w:rsidR="00D343A5" w:rsidRPr="002D1814">
        <w:rPr>
          <w:rFonts w:asciiTheme="minorHAnsi" w:hAnsiTheme="minorHAnsi"/>
          <w:bCs/>
          <w:lang w:val="en-GB"/>
        </w:rPr>
        <w:t>conditions and</w:t>
      </w:r>
      <w:r w:rsidR="002D1814" w:rsidRPr="002D1814">
        <w:rPr>
          <w:rFonts w:asciiTheme="minorHAnsi" w:hAnsiTheme="minorHAnsi"/>
          <w:bCs/>
          <w:lang w:val="en-GB"/>
        </w:rPr>
        <w:t xml:space="preserve"> </w:t>
      </w:r>
      <w:r w:rsidR="004B2BF6" w:rsidRPr="002D1814">
        <w:rPr>
          <w:rFonts w:asciiTheme="minorHAnsi" w:hAnsiTheme="minorHAnsi"/>
          <w:bCs/>
          <w:lang w:val="en-GB"/>
        </w:rPr>
        <w:t>that the evidence presented in the submission was support</w:t>
      </w:r>
      <w:r w:rsidR="002D1814" w:rsidRPr="002D1814">
        <w:rPr>
          <w:rFonts w:asciiTheme="minorHAnsi" w:hAnsiTheme="minorHAnsi"/>
          <w:bCs/>
          <w:lang w:val="en-GB"/>
        </w:rPr>
        <w:t>ive of</w:t>
      </w:r>
      <w:r w:rsidR="004B2BF6" w:rsidRPr="002D1814">
        <w:rPr>
          <w:rFonts w:asciiTheme="minorHAnsi" w:hAnsiTheme="minorHAnsi"/>
          <w:bCs/>
          <w:lang w:val="en-GB"/>
        </w:rPr>
        <w:t xml:space="preserve"> a claim</w:t>
      </w:r>
      <w:r w:rsidR="00D343A5" w:rsidRPr="002D1814">
        <w:rPr>
          <w:rFonts w:asciiTheme="minorHAnsi" w:hAnsiTheme="minorHAnsi"/>
          <w:bCs/>
          <w:lang w:val="en-GB"/>
        </w:rPr>
        <w:t xml:space="preserve"> of non-inferior comparative safety to </w:t>
      </w:r>
      <w:proofErr w:type="spellStart"/>
      <w:r w:rsidR="00D343A5" w:rsidRPr="002D1814">
        <w:rPr>
          <w:rFonts w:asciiTheme="minorHAnsi" w:hAnsiTheme="minorHAnsi"/>
          <w:bCs/>
          <w:lang w:val="en-GB"/>
        </w:rPr>
        <w:t>Fluarix</w:t>
      </w:r>
      <w:proofErr w:type="spellEnd"/>
      <w:r w:rsidR="00D343A5" w:rsidRPr="002D1814">
        <w:rPr>
          <w:rFonts w:asciiTheme="minorHAnsi" w:hAnsiTheme="minorHAnsi"/>
          <w:bCs/>
          <w:lang w:val="en-GB"/>
        </w:rPr>
        <w:t xml:space="preserve"> Tetra</w:t>
      </w:r>
      <w:r w:rsidR="00355294" w:rsidRPr="002D1814">
        <w:rPr>
          <w:rFonts w:asciiTheme="minorHAnsi" w:hAnsiTheme="minorHAnsi"/>
          <w:bCs/>
          <w:lang w:val="en-GB"/>
        </w:rPr>
        <w:t>.</w:t>
      </w:r>
    </w:p>
    <w:p w:rsidR="00686EF4" w:rsidRPr="009741C1" w:rsidRDefault="00686EF4" w:rsidP="00D70714">
      <w:pPr>
        <w:widowControl/>
        <w:numPr>
          <w:ilvl w:val="1"/>
          <w:numId w:val="2"/>
        </w:numPr>
        <w:spacing w:after="120"/>
        <w:rPr>
          <w:rFonts w:asciiTheme="minorHAnsi" w:hAnsiTheme="minorHAnsi"/>
          <w:bCs/>
          <w:lang w:val="en-GB"/>
        </w:rPr>
      </w:pPr>
      <w:r w:rsidRPr="009741C1">
        <w:rPr>
          <w:rFonts w:asciiTheme="minorHAnsi" w:hAnsiTheme="minorHAnsi"/>
          <w:bCs/>
          <w:lang w:val="en-GB"/>
        </w:rPr>
        <w:t xml:space="preserve">The PBAC </w:t>
      </w:r>
      <w:r w:rsidR="00EE0D4E">
        <w:rPr>
          <w:rFonts w:asciiTheme="minorHAnsi" w:hAnsiTheme="minorHAnsi"/>
          <w:bCs/>
          <w:lang w:val="en-GB"/>
        </w:rPr>
        <w:t xml:space="preserve">noted </w:t>
      </w:r>
      <w:r w:rsidRPr="009741C1">
        <w:rPr>
          <w:rFonts w:asciiTheme="minorHAnsi" w:hAnsiTheme="minorHAnsi"/>
          <w:bCs/>
          <w:lang w:val="en-GB"/>
        </w:rPr>
        <w:t xml:space="preserve">that </w:t>
      </w:r>
      <w:r w:rsidR="00EE0D4E">
        <w:rPr>
          <w:rFonts w:asciiTheme="minorHAnsi" w:hAnsiTheme="minorHAnsi"/>
          <w:bCs/>
          <w:lang w:val="en-GB"/>
        </w:rPr>
        <w:t xml:space="preserve">there would be no net cost to the NIP </w:t>
      </w:r>
      <w:proofErr w:type="gramStart"/>
      <w:r w:rsidR="00EE0D4E">
        <w:rPr>
          <w:rFonts w:asciiTheme="minorHAnsi" w:hAnsiTheme="minorHAnsi"/>
          <w:bCs/>
          <w:lang w:val="en-GB"/>
        </w:rPr>
        <w:t>as a result</w:t>
      </w:r>
      <w:proofErr w:type="gramEnd"/>
      <w:r w:rsidR="00EE0D4E">
        <w:rPr>
          <w:rFonts w:asciiTheme="minorHAnsi" w:hAnsiTheme="minorHAnsi"/>
          <w:bCs/>
          <w:lang w:val="en-GB"/>
        </w:rPr>
        <w:t xml:space="preserve"> of this extension to listing</w:t>
      </w:r>
      <w:r w:rsidRPr="009741C1">
        <w:rPr>
          <w:rFonts w:asciiTheme="minorHAnsi" w:hAnsiTheme="minorHAnsi"/>
          <w:bCs/>
          <w:lang w:val="en-GB"/>
        </w:rPr>
        <w:t>.</w:t>
      </w:r>
    </w:p>
    <w:p w:rsidR="00B23209" w:rsidRPr="00B23209" w:rsidRDefault="0097591D" w:rsidP="00D70714">
      <w:pPr>
        <w:widowControl/>
        <w:numPr>
          <w:ilvl w:val="1"/>
          <w:numId w:val="2"/>
        </w:numPr>
        <w:spacing w:after="120"/>
        <w:rPr>
          <w:rFonts w:asciiTheme="minorHAnsi" w:hAnsiTheme="minorHAnsi"/>
          <w:bCs/>
          <w:lang w:val="en-GB"/>
        </w:rPr>
      </w:pPr>
      <w:r w:rsidRPr="009741C1">
        <w:rPr>
          <w:rFonts w:asciiTheme="minorHAnsi" w:hAnsiTheme="minorHAnsi"/>
          <w:bCs/>
          <w:lang w:val="en-GB"/>
        </w:rPr>
        <w:t xml:space="preserve">The PBAC noted that </w:t>
      </w:r>
      <w:r w:rsidRPr="009741C1">
        <w:t xml:space="preserve">ATAGI </w:t>
      </w:r>
      <w:r w:rsidR="00355294" w:rsidRPr="009741C1">
        <w:t xml:space="preserve">had </w:t>
      </w:r>
      <w:r w:rsidRPr="009741C1">
        <w:t>recommended that an active</w:t>
      </w:r>
      <w:r w:rsidR="007D7E9A">
        <w:t xml:space="preserve"> safety</w:t>
      </w:r>
      <w:r w:rsidRPr="009741C1">
        <w:t xml:space="preserve"> surveillance and monitoring program </w:t>
      </w:r>
      <w:proofErr w:type="gramStart"/>
      <w:r w:rsidRPr="009741C1">
        <w:t>be conducted</w:t>
      </w:r>
      <w:proofErr w:type="gramEnd"/>
      <w:r w:rsidRPr="009741C1">
        <w:t xml:space="preserve"> </w:t>
      </w:r>
      <w:r w:rsidR="00DB2872" w:rsidRPr="009741C1">
        <w:t xml:space="preserve">and that the sponsor had advised that </w:t>
      </w:r>
      <w:r w:rsidR="00B23209" w:rsidRPr="009741C1">
        <w:t xml:space="preserve">it </w:t>
      </w:r>
      <w:r w:rsidR="00DB2872" w:rsidRPr="009741C1">
        <w:t>wa</w:t>
      </w:r>
      <w:r w:rsidR="00B23209" w:rsidRPr="009741C1">
        <w:t>s exploring</w:t>
      </w:r>
      <w:r w:rsidR="00B23209">
        <w:t xml:space="preserve"> ongoing surveillance</w:t>
      </w:r>
      <w:r w:rsidR="00DB2872">
        <w:t>.</w:t>
      </w:r>
    </w:p>
    <w:p w:rsidR="00BD49CE" w:rsidRPr="00BD49CE" w:rsidRDefault="004808A4" w:rsidP="00D70714">
      <w:pPr>
        <w:widowControl/>
        <w:numPr>
          <w:ilvl w:val="1"/>
          <w:numId w:val="2"/>
        </w:numPr>
        <w:spacing w:after="120"/>
        <w:rPr>
          <w:rFonts w:asciiTheme="minorHAnsi" w:hAnsiTheme="minorHAnsi"/>
          <w:bCs/>
          <w:lang w:val="en-GB"/>
        </w:rPr>
      </w:pPr>
      <w:r w:rsidRPr="00BD49CE">
        <w:rPr>
          <w:rFonts w:asciiTheme="minorHAnsi" w:hAnsiTheme="minorHAnsi"/>
          <w:bCs/>
          <w:lang w:val="en-GB"/>
        </w:rPr>
        <w:t>The PBAC noted that this submission is not eligible for an Independent Review</w:t>
      </w:r>
      <w:r w:rsidR="00646AC8">
        <w:rPr>
          <w:rFonts w:asciiTheme="minorHAnsi" w:hAnsiTheme="minorHAnsi"/>
          <w:bCs/>
          <w:lang w:val="en-GB"/>
        </w:rPr>
        <w:t xml:space="preserve"> as Independent Review is only relevant to submissions seeking</w:t>
      </w:r>
      <w:r w:rsidR="00951ECC">
        <w:rPr>
          <w:rFonts w:asciiTheme="minorHAnsi" w:hAnsiTheme="minorHAnsi"/>
          <w:bCs/>
          <w:lang w:val="en-GB"/>
        </w:rPr>
        <w:t xml:space="preserve"> </w:t>
      </w:r>
      <w:r w:rsidR="00951ECC" w:rsidRPr="007D2B92">
        <w:t>PBS listing.</w:t>
      </w:r>
    </w:p>
    <w:p w:rsidR="004808A4" w:rsidRPr="00BD49CE" w:rsidRDefault="004808A4" w:rsidP="00127FF7">
      <w:pPr>
        <w:keepNext/>
        <w:widowControl/>
        <w:spacing w:before="240"/>
        <w:rPr>
          <w:rFonts w:asciiTheme="minorHAnsi" w:hAnsiTheme="minorHAnsi"/>
          <w:b/>
          <w:bCs/>
          <w:lang w:val="en-GB"/>
        </w:rPr>
      </w:pPr>
      <w:bookmarkStart w:id="32" w:name="_GoBack"/>
      <w:bookmarkEnd w:id="32"/>
      <w:r w:rsidRPr="00BD49CE">
        <w:rPr>
          <w:rFonts w:asciiTheme="minorHAnsi" w:hAnsiTheme="minorHAnsi"/>
          <w:b/>
          <w:bCs/>
          <w:lang w:val="en-GB"/>
        </w:rPr>
        <w:t>Outcome:</w:t>
      </w:r>
    </w:p>
    <w:p w:rsidR="004808A4" w:rsidRPr="00C861B8" w:rsidRDefault="00C861B8" w:rsidP="00D70714">
      <w:pPr>
        <w:widowControl/>
        <w:rPr>
          <w:rFonts w:asciiTheme="minorHAnsi" w:hAnsiTheme="minorHAnsi"/>
          <w:bCs/>
          <w:lang w:val="en-GB"/>
        </w:rPr>
      </w:pPr>
      <w:r>
        <w:rPr>
          <w:rFonts w:asciiTheme="minorHAnsi" w:hAnsiTheme="minorHAnsi"/>
          <w:bCs/>
          <w:lang w:val="en-GB"/>
        </w:rPr>
        <w:t>Recommended</w:t>
      </w:r>
    </w:p>
    <w:p w:rsidR="004808A4" w:rsidRPr="00833FFF" w:rsidRDefault="004808A4" w:rsidP="00D70714">
      <w:pPr>
        <w:pStyle w:val="PBACHeading1"/>
        <w:numPr>
          <w:ilvl w:val="0"/>
          <w:numId w:val="2"/>
        </w:numPr>
        <w:spacing w:after="120"/>
        <w:outlineLvl w:val="0"/>
      </w:pPr>
      <w:r w:rsidRPr="00833FFF">
        <w:lastRenderedPageBreak/>
        <w:t>Recommended listing</w:t>
      </w:r>
    </w:p>
    <w:p w:rsidR="00C64C9D" w:rsidRDefault="00C64C9D" w:rsidP="00C64C9D">
      <w:pPr>
        <w:keepNext/>
        <w:widowControl/>
        <w:numPr>
          <w:ilvl w:val="1"/>
          <w:numId w:val="2"/>
        </w:numPr>
        <w:spacing w:after="120"/>
        <w:rPr>
          <w:rFonts w:asciiTheme="minorHAnsi" w:hAnsiTheme="minorHAnsi"/>
          <w:bCs/>
          <w:lang w:val="en-GB"/>
        </w:rPr>
      </w:pPr>
      <w:r w:rsidRPr="00C64C9D">
        <w:rPr>
          <w:rFonts w:asciiTheme="minorHAnsi" w:hAnsiTheme="minorHAnsi"/>
          <w:bCs/>
          <w:lang w:val="en-GB"/>
        </w:rPr>
        <w:t xml:space="preserve">Amend the circumstances under which Afluria Quad is available as a designated vaccine </w:t>
      </w:r>
      <w:r>
        <w:rPr>
          <w:rFonts w:asciiTheme="minorHAnsi" w:hAnsiTheme="minorHAnsi"/>
          <w:bCs/>
          <w:lang w:val="en-GB"/>
        </w:rPr>
        <w:t>to include</w:t>
      </w:r>
      <w:r w:rsidR="007D7E9A">
        <w:rPr>
          <w:rFonts w:asciiTheme="minorHAnsi" w:hAnsiTheme="minorHAnsi"/>
          <w:bCs/>
          <w:lang w:val="en-GB"/>
        </w:rPr>
        <w:t xml:space="preserve"> </w:t>
      </w:r>
      <w:r w:rsidR="007D7E9A">
        <w:rPr>
          <w:rFonts w:asciiTheme="minorHAnsi" w:hAnsiTheme="minorHAnsi" w:cstheme="minorHAnsi"/>
          <w:bCs/>
          <w:szCs w:val="24"/>
        </w:rPr>
        <w:t>persons aged 5 to 17 years (inclusive) who are currently eligible for other brands of QIV through the NIP; specifically</w:t>
      </w:r>
      <w:r>
        <w:rPr>
          <w:rFonts w:asciiTheme="minorHAnsi" w:hAnsiTheme="minorHAnsi"/>
          <w:bCs/>
          <w:lang w:val="en-GB"/>
        </w:rPr>
        <w:t>:</w:t>
      </w:r>
    </w:p>
    <w:p w:rsidR="007D7E9A" w:rsidRDefault="00F96CD1" w:rsidP="00C64C9D">
      <w:pPr>
        <w:widowControl/>
        <w:numPr>
          <w:ilvl w:val="0"/>
          <w:numId w:val="18"/>
        </w:numPr>
        <w:spacing w:after="120"/>
        <w:ind w:left="1134" w:hanging="425"/>
        <w:rPr>
          <w:rFonts w:asciiTheme="minorHAnsi" w:hAnsiTheme="minorHAnsi" w:cstheme="minorHAnsi"/>
          <w:bCs/>
          <w:szCs w:val="24"/>
        </w:rPr>
      </w:pPr>
      <w:r>
        <w:rPr>
          <w:rFonts w:asciiTheme="minorHAnsi" w:hAnsiTheme="minorHAnsi" w:cstheme="minorHAnsi"/>
          <w:bCs/>
          <w:szCs w:val="24"/>
        </w:rPr>
        <w:t xml:space="preserve">People </w:t>
      </w:r>
      <w:r w:rsidR="00C64C9D" w:rsidRPr="006D4149">
        <w:rPr>
          <w:rFonts w:asciiTheme="minorHAnsi" w:hAnsiTheme="minorHAnsi" w:cstheme="minorHAnsi"/>
          <w:bCs/>
          <w:szCs w:val="24"/>
        </w:rPr>
        <w:t xml:space="preserve">aged 5 to 17 years </w:t>
      </w:r>
      <w:r>
        <w:rPr>
          <w:rFonts w:asciiTheme="minorHAnsi" w:hAnsiTheme="minorHAnsi" w:cstheme="minorHAnsi"/>
          <w:bCs/>
          <w:szCs w:val="24"/>
        </w:rPr>
        <w:t xml:space="preserve">who have </w:t>
      </w:r>
      <w:r w:rsidR="00C64C9D" w:rsidRPr="006D4149">
        <w:rPr>
          <w:rFonts w:asciiTheme="minorHAnsi" w:hAnsiTheme="minorHAnsi" w:cstheme="minorHAnsi"/>
          <w:bCs/>
          <w:szCs w:val="24"/>
        </w:rPr>
        <w:t>increased risk of complications from influenza</w:t>
      </w:r>
      <w:r w:rsidR="00C64C9D">
        <w:rPr>
          <w:rFonts w:asciiTheme="minorHAnsi" w:hAnsiTheme="minorHAnsi" w:cstheme="minorHAnsi"/>
          <w:bCs/>
          <w:szCs w:val="24"/>
        </w:rPr>
        <w:t xml:space="preserve"> (as</w:t>
      </w:r>
      <w:r w:rsidR="001A3156">
        <w:rPr>
          <w:rFonts w:asciiTheme="minorHAnsi" w:hAnsiTheme="minorHAnsi" w:cstheme="minorHAnsi"/>
          <w:bCs/>
          <w:szCs w:val="24"/>
        </w:rPr>
        <w:t xml:space="preserve"> </w:t>
      </w:r>
      <w:r w:rsidR="00C64C9D">
        <w:rPr>
          <w:rFonts w:asciiTheme="minorHAnsi" w:hAnsiTheme="minorHAnsi" w:cstheme="minorHAnsi"/>
          <w:bCs/>
          <w:szCs w:val="24"/>
        </w:rPr>
        <w:t>defined in subsection 7(8)A</w:t>
      </w:r>
      <w:r w:rsidR="00014CF5">
        <w:rPr>
          <w:rFonts w:asciiTheme="minorHAnsi" w:hAnsiTheme="minorHAnsi" w:cstheme="minorHAnsi"/>
          <w:bCs/>
          <w:szCs w:val="24"/>
        </w:rPr>
        <w:t>(c)</w:t>
      </w:r>
      <w:r w:rsidR="00C64C9D">
        <w:rPr>
          <w:rFonts w:asciiTheme="minorHAnsi" w:hAnsiTheme="minorHAnsi" w:cstheme="minorHAnsi"/>
          <w:bCs/>
          <w:szCs w:val="24"/>
        </w:rPr>
        <w:t xml:space="preserve"> of </w:t>
      </w:r>
      <w:r w:rsidR="001A3156">
        <w:rPr>
          <w:rFonts w:asciiTheme="minorHAnsi" w:hAnsiTheme="minorHAnsi" w:cstheme="minorHAnsi"/>
          <w:bCs/>
          <w:szCs w:val="24"/>
        </w:rPr>
        <w:t>the Determination)</w:t>
      </w:r>
      <w:r w:rsidR="00C64C9D" w:rsidRPr="006D4149">
        <w:rPr>
          <w:rFonts w:asciiTheme="minorHAnsi" w:hAnsiTheme="minorHAnsi" w:cstheme="minorHAnsi"/>
          <w:bCs/>
          <w:szCs w:val="24"/>
        </w:rPr>
        <w:t>;</w:t>
      </w:r>
    </w:p>
    <w:p w:rsidR="00C64C9D" w:rsidRPr="006D4149" w:rsidRDefault="007D7E9A" w:rsidP="00C64C9D">
      <w:pPr>
        <w:widowControl/>
        <w:numPr>
          <w:ilvl w:val="0"/>
          <w:numId w:val="18"/>
        </w:numPr>
        <w:spacing w:after="120"/>
        <w:ind w:left="1134" w:hanging="425"/>
        <w:rPr>
          <w:rFonts w:asciiTheme="minorHAnsi" w:hAnsiTheme="minorHAnsi" w:cstheme="minorHAnsi"/>
          <w:bCs/>
          <w:szCs w:val="24"/>
        </w:rPr>
      </w:pPr>
      <w:r>
        <w:rPr>
          <w:rFonts w:asciiTheme="minorHAnsi" w:hAnsiTheme="minorHAnsi" w:cstheme="minorHAnsi"/>
          <w:bCs/>
          <w:szCs w:val="24"/>
        </w:rPr>
        <w:t>women who are pregnant;</w:t>
      </w:r>
      <w:r w:rsidR="00C64C9D">
        <w:rPr>
          <w:rFonts w:asciiTheme="minorHAnsi" w:hAnsiTheme="minorHAnsi" w:cstheme="minorHAnsi"/>
          <w:bCs/>
          <w:szCs w:val="24"/>
        </w:rPr>
        <w:t xml:space="preserve"> and</w:t>
      </w:r>
    </w:p>
    <w:p w:rsidR="000F316A" w:rsidRDefault="00C64C9D" w:rsidP="00A339E5">
      <w:pPr>
        <w:widowControl/>
        <w:numPr>
          <w:ilvl w:val="0"/>
          <w:numId w:val="18"/>
        </w:numPr>
        <w:spacing w:after="120"/>
        <w:ind w:left="1134" w:hanging="425"/>
        <w:rPr>
          <w:rFonts w:asciiTheme="minorHAnsi" w:hAnsiTheme="minorHAnsi" w:cstheme="minorHAnsi"/>
          <w:bCs/>
          <w:szCs w:val="24"/>
        </w:rPr>
      </w:pPr>
      <w:r w:rsidRPr="006D4149">
        <w:rPr>
          <w:rFonts w:asciiTheme="minorHAnsi" w:hAnsiTheme="minorHAnsi" w:cstheme="minorHAnsi"/>
          <w:bCs/>
          <w:szCs w:val="24"/>
        </w:rPr>
        <w:t>Aboriginal and/or</w:t>
      </w:r>
      <w:r w:rsidR="00F96CD1">
        <w:rPr>
          <w:rFonts w:asciiTheme="minorHAnsi" w:hAnsiTheme="minorHAnsi" w:cstheme="minorHAnsi"/>
          <w:bCs/>
          <w:szCs w:val="24"/>
        </w:rPr>
        <w:t xml:space="preserve"> Torres Strait Islander people </w:t>
      </w:r>
      <w:r w:rsidRPr="006D4149">
        <w:rPr>
          <w:rFonts w:asciiTheme="minorHAnsi" w:hAnsiTheme="minorHAnsi" w:cstheme="minorHAnsi"/>
          <w:bCs/>
          <w:szCs w:val="24"/>
        </w:rPr>
        <w:t xml:space="preserve">aged </w:t>
      </w:r>
      <w:r>
        <w:rPr>
          <w:rFonts w:asciiTheme="minorHAnsi" w:hAnsiTheme="minorHAnsi" w:cstheme="minorHAnsi"/>
          <w:bCs/>
          <w:szCs w:val="24"/>
        </w:rPr>
        <w:t>5</w:t>
      </w:r>
      <w:r w:rsidRPr="006D4149">
        <w:rPr>
          <w:rFonts w:asciiTheme="minorHAnsi" w:hAnsiTheme="minorHAnsi" w:cstheme="minorHAnsi"/>
          <w:bCs/>
          <w:szCs w:val="24"/>
        </w:rPr>
        <w:t xml:space="preserve"> to 17 years</w:t>
      </w:r>
      <w:r>
        <w:rPr>
          <w:rFonts w:asciiTheme="minorHAnsi" w:hAnsiTheme="minorHAnsi" w:cstheme="minorHAnsi"/>
          <w:bCs/>
          <w:szCs w:val="24"/>
        </w:rPr>
        <w:t>.</w:t>
      </w:r>
      <w:bookmarkEnd w:id="0"/>
      <w:bookmarkEnd w:id="1"/>
      <w:bookmarkEnd w:id="2"/>
      <w:bookmarkEnd w:id="3"/>
      <w:bookmarkEnd w:id="4"/>
    </w:p>
    <w:p w:rsidR="00FD04AB" w:rsidRPr="00FD04AB" w:rsidRDefault="002A6298" w:rsidP="000D5F4A">
      <w:pPr>
        <w:pStyle w:val="PBACHeading1"/>
        <w:numPr>
          <w:ilvl w:val="0"/>
          <w:numId w:val="2"/>
        </w:numPr>
        <w:spacing w:before="240" w:after="120"/>
        <w:outlineLvl w:val="0"/>
      </w:pPr>
      <w:r w:rsidRPr="00FD04AB">
        <w:t>Context for Decision</w:t>
      </w:r>
    </w:p>
    <w:p w:rsidR="000D5F4A" w:rsidRPr="00FD04AB" w:rsidRDefault="000D5F4A" w:rsidP="000D5F4A">
      <w:pPr>
        <w:spacing w:after="120"/>
        <w:ind w:left="720"/>
        <w:rPr>
          <w:rFonts w:asciiTheme="minorHAnsi" w:eastAsiaTheme="minorHAnsi" w:hAnsiTheme="minorHAnsi"/>
          <w:snapToGrid/>
        </w:rPr>
      </w:pPr>
      <w:r w:rsidRPr="00FD04AB">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D5F4A" w:rsidRPr="00FD04AB" w:rsidRDefault="000D5F4A" w:rsidP="000D5F4A">
      <w:pPr>
        <w:pStyle w:val="PBACHeading1"/>
        <w:numPr>
          <w:ilvl w:val="0"/>
          <w:numId w:val="2"/>
        </w:numPr>
        <w:spacing w:before="240" w:after="120"/>
        <w:outlineLvl w:val="0"/>
      </w:pPr>
      <w:r w:rsidRPr="00FD04AB">
        <w:t>Sponsor’s Comment</w:t>
      </w:r>
    </w:p>
    <w:p w:rsidR="000D5F4A" w:rsidRPr="00FD04AB" w:rsidRDefault="000D5F4A" w:rsidP="000D5F4A">
      <w:pPr>
        <w:widowControl/>
        <w:spacing w:after="120" w:line="276" w:lineRule="auto"/>
        <w:ind w:left="720"/>
        <w:rPr>
          <w:rFonts w:asciiTheme="minorHAnsi" w:eastAsiaTheme="minorHAnsi" w:hAnsiTheme="minorHAnsi"/>
          <w:bCs/>
          <w:snapToGrid/>
        </w:rPr>
      </w:pPr>
      <w:r w:rsidRPr="00FD04AB">
        <w:rPr>
          <w:rFonts w:asciiTheme="minorHAnsi" w:eastAsiaTheme="minorHAnsi" w:hAnsiTheme="minorHAnsi"/>
          <w:bCs/>
          <w:snapToGrid/>
        </w:rPr>
        <w:t>The sponsor had no comment.</w:t>
      </w:r>
    </w:p>
    <w:p w:rsidR="000D5F4A" w:rsidRPr="00613BE5" w:rsidRDefault="000D5F4A" w:rsidP="000D5F4A">
      <w:pPr>
        <w:widowControl/>
        <w:spacing w:after="120"/>
        <w:ind w:left="1134"/>
        <w:rPr>
          <w:rFonts w:asciiTheme="minorHAnsi" w:hAnsiTheme="minorHAnsi" w:cstheme="minorHAnsi"/>
          <w:bCs/>
          <w:szCs w:val="24"/>
        </w:rPr>
      </w:pPr>
    </w:p>
    <w:sectPr w:rsidR="000D5F4A" w:rsidRPr="00613BE5" w:rsidSect="00ED7373">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E50" w:rsidRDefault="00356E50" w:rsidP="00124A51">
      <w:r>
        <w:separator/>
      </w:r>
    </w:p>
    <w:p w:rsidR="00356E50" w:rsidRDefault="00356E50"/>
  </w:endnote>
  <w:endnote w:type="continuationSeparator" w:id="0">
    <w:p w:rsidR="00356E50" w:rsidRDefault="00356E50" w:rsidP="00124A51">
      <w:r>
        <w:continuationSeparator/>
      </w:r>
    </w:p>
    <w:p w:rsidR="00356E50" w:rsidRDefault="00356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E50" w:rsidRDefault="00356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979875"/>
      <w:docPartObj>
        <w:docPartGallery w:val="Page Numbers (Bottom of Page)"/>
        <w:docPartUnique/>
      </w:docPartObj>
    </w:sdtPr>
    <w:sdtEndPr>
      <w:rPr>
        <w:noProof/>
      </w:rPr>
    </w:sdtEndPr>
    <w:sdtContent>
      <w:p w:rsidR="00EB6FE6" w:rsidRPr="000D5F4A" w:rsidRDefault="00EB6FE6">
        <w:pPr>
          <w:pStyle w:val="Footer"/>
          <w:jc w:val="center"/>
        </w:pPr>
        <w:r w:rsidRPr="000D5F4A">
          <w:fldChar w:fldCharType="begin"/>
        </w:r>
        <w:r w:rsidRPr="000D5F4A">
          <w:instrText xml:space="preserve"> PAGE   \* MERGEFORMAT </w:instrText>
        </w:r>
        <w:r w:rsidRPr="000D5F4A">
          <w:fldChar w:fldCharType="separate"/>
        </w:r>
        <w:r w:rsidR="00C459AE">
          <w:rPr>
            <w:noProof/>
          </w:rPr>
          <w:t>11</w:t>
        </w:r>
        <w:r w:rsidRPr="000D5F4A">
          <w:rPr>
            <w:noProof/>
          </w:rPr>
          <w:fldChar w:fldCharType="end"/>
        </w:r>
      </w:p>
    </w:sdtContent>
  </w:sdt>
  <w:p w:rsidR="00EB6FE6" w:rsidRPr="005D5AEC" w:rsidRDefault="00EB6FE6" w:rsidP="005D5AEC">
    <w:pPr>
      <w:ind w:left="709"/>
      <w:contextualSpacing/>
      <w:jc w:val="center"/>
      <w:rPr>
        <w:rFonts w:ascii="Arial" w:hAnsi="Arial"/>
        <w:bCs/>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E50" w:rsidRDefault="00356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E50" w:rsidRDefault="00356E50" w:rsidP="00124A51">
      <w:r>
        <w:separator/>
      </w:r>
    </w:p>
    <w:p w:rsidR="00356E50" w:rsidRDefault="00356E50"/>
  </w:footnote>
  <w:footnote w:type="continuationSeparator" w:id="0">
    <w:p w:rsidR="00356E50" w:rsidRDefault="00356E50" w:rsidP="00124A51">
      <w:r>
        <w:continuationSeparator/>
      </w:r>
    </w:p>
    <w:p w:rsidR="00356E50" w:rsidRDefault="00356E50"/>
  </w:footnote>
  <w:footnote w:id="1">
    <w:p w:rsidR="00EB6FE6" w:rsidRPr="004F5806" w:rsidRDefault="00EB6FE6">
      <w:pPr>
        <w:pStyle w:val="FootnoteText"/>
        <w:rPr>
          <w:lang w:val="en-US"/>
        </w:rPr>
      </w:pPr>
      <w:r>
        <w:rPr>
          <w:rStyle w:val="FootnoteReference"/>
        </w:rPr>
        <w:footnoteRef/>
      </w:r>
      <w:r>
        <w:t xml:space="preserve"> </w:t>
      </w:r>
      <w:r>
        <w:rPr>
          <w:lang w:val="en-US"/>
        </w:rPr>
        <w:t>Solicited adverse events were a series of pre-specified local and systemic symptoms occurring between day 1 and day 7. Unsolicited adverse events were any other adverse event that occurred between day 1 and the study exit (p4 of the QIV-13-02 clinical study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E50" w:rsidRDefault="00356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F4A" w:rsidRDefault="000D5F4A" w:rsidP="000D5F4A">
    <w:pPr>
      <w:jc w:val="center"/>
      <w:rPr>
        <w:i/>
        <w:szCs w:val="24"/>
      </w:rPr>
    </w:pPr>
    <w:r>
      <w:rPr>
        <w:i/>
        <w:szCs w:val="24"/>
      </w:rPr>
      <w:t>Public Summary Document – November 2018 PBAC Meeting</w:t>
    </w:r>
  </w:p>
  <w:p w:rsidR="00EB6FE6" w:rsidRDefault="00EB6FE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E50" w:rsidRDefault="00356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FE4AF4"/>
    <w:multiLevelType w:val="hybridMultilevel"/>
    <w:tmpl w:val="FAA65754"/>
    <w:lvl w:ilvl="0" w:tplc="BEEA915E">
      <w:start w:val="1"/>
      <w:numFmt w:val="bullet"/>
      <w:pStyle w:val="TableTextbullet"/>
      <w:lvlText w:val=""/>
      <w:lvlJc w:val="left"/>
      <w:pPr>
        <w:tabs>
          <w:tab w:val="num" w:pos="425"/>
        </w:tabs>
        <w:ind w:left="425" w:hanging="425"/>
      </w:pPr>
      <w:rPr>
        <w:rFonts w:ascii="Symbol" w:hAnsi="Symbol" w:hint="default"/>
        <w:sz w:val="18"/>
        <w:szCs w:val="18"/>
      </w:rPr>
    </w:lvl>
    <w:lvl w:ilvl="1" w:tplc="FFFFFFFF">
      <w:start w:val="1"/>
      <w:numFmt w:val="lowerLetter"/>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82EAC6FA">
      <w:start w:val="1"/>
      <w:numFmt w:val="lowerLetter"/>
      <w:lvlText w:val="%4)"/>
      <w:lvlJc w:val="left"/>
      <w:pPr>
        <w:ind w:left="2880" w:hanging="360"/>
      </w:pPr>
      <w:rPr>
        <w:rFonts w:hint="default"/>
      </w:rPr>
    </w:lvl>
    <w:lvl w:ilvl="4" w:tplc="A80ED272">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7C34E2"/>
    <w:multiLevelType w:val="hybridMultilevel"/>
    <w:tmpl w:val="4EE4D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D85998"/>
    <w:multiLevelType w:val="hybridMultilevel"/>
    <w:tmpl w:val="B290C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E60CC8"/>
    <w:multiLevelType w:val="hybridMultilevel"/>
    <w:tmpl w:val="613A7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153A4"/>
    <w:multiLevelType w:val="hybridMultilevel"/>
    <w:tmpl w:val="DEE45D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442297"/>
    <w:multiLevelType w:val="hybridMultilevel"/>
    <w:tmpl w:val="E6FE4E00"/>
    <w:lvl w:ilvl="0" w:tplc="C324F4FC">
      <w:start w:val="1"/>
      <w:numFmt w:val="bullet"/>
      <w:pStyle w:val="Bulletpoin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832EB"/>
    <w:multiLevelType w:val="hybridMultilevel"/>
    <w:tmpl w:val="3C700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CF4262"/>
    <w:multiLevelType w:val="hybridMultilevel"/>
    <w:tmpl w:val="F954D0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B348F2"/>
    <w:multiLevelType w:val="singleLevel"/>
    <w:tmpl w:val="F8187DD2"/>
    <w:lvl w:ilvl="0">
      <w:start w:val="1"/>
      <w:numFmt w:val="bullet"/>
      <w:pStyle w:val="bulletlevel1"/>
      <w:lvlText w:val=""/>
      <w:lvlJc w:val="left"/>
      <w:pPr>
        <w:tabs>
          <w:tab w:val="num" w:pos="567"/>
        </w:tabs>
        <w:ind w:left="567" w:hanging="567"/>
      </w:pPr>
      <w:rPr>
        <w:rFonts w:ascii="Symbol" w:hAnsi="Symbol" w:hint="default"/>
        <w:sz w:val="20"/>
        <w:szCs w:val="20"/>
      </w:rPr>
    </w:lvl>
  </w:abstractNum>
  <w:abstractNum w:abstractNumId="14" w15:restartNumberingAfterBreak="0">
    <w:nsid w:val="5DBC3349"/>
    <w:multiLevelType w:val="hybridMultilevel"/>
    <w:tmpl w:val="89564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666B0E"/>
    <w:multiLevelType w:val="hybridMultilevel"/>
    <w:tmpl w:val="7CBA4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5758AC"/>
    <w:multiLevelType w:val="hybridMultilevel"/>
    <w:tmpl w:val="E8FCCA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84D033C"/>
    <w:multiLevelType w:val="multilevel"/>
    <w:tmpl w:val="EF02BCA8"/>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7"/>
  </w:num>
  <w:num w:numId="3">
    <w:abstractNumId w:val="8"/>
  </w:num>
  <w:num w:numId="4">
    <w:abstractNumId w:val="13"/>
  </w:num>
  <w:num w:numId="5">
    <w:abstractNumId w:val="2"/>
  </w:num>
  <w:num w:numId="6">
    <w:abstractNumId w:val="15"/>
  </w:num>
  <w:num w:numId="7">
    <w:abstractNumId w:val="10"/>
  </w:num>
  <w:num w:numId="8">
    <w:abstractNumId w:val="6"/>
  </w:num>
  <w:num w:numId="9">
    <w:abstractNumId w:val="14"/>
  </w:num>
  <w:num w:numId="10">
    <w:abstractNumId w:val="16"/>
  </w:num>
  <w:num w:numId="11">
    <w:abstractNumId w:val="5"/>
  </w:num>
  <w:num w:numId="12">
    <w:abstractNumId w:val="9"/>
  </w:num>
  <w:num w:numId="13">
    <w:abstractNumId w:val="11"/>
  </w:num>
  <w:num w:numId="14">
    <w:abstractNumId w:val="12"/>
  </w:num>
  <w:num w:numId="15">
    <w:abstractNumId w:val="1"/>
  </w:num>
  <w:num w:numId="16">
    <w:abstractNumId w:val="0"/>
  </w:num>
  <w:num w:numId="17">
    <w:abstractNumId w:val="3"/>
  </w:num>
  <w:num w:numId="1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3499"/>
    <w:rsid w:val="000039B7"/>
    <w:rsid w:val="0000776C"/>
    <w:rsid w:val="0001129F"/>
    <w:rsid w:val="00013247"/>
    <w:rsid w:val="00013423"/>
    <w:rsid w:val="00013A05"/>
    <w:rsid w:val="00014CF5"/>
    <w:rsid w:val="00015886"/>
    <w:rsid w:val="000162EF"/>
    <w:rsid w:val="0001766B"/>
    <w:rsid w:val="0002225F"/>
    <w:rsid w:val="00023763"/>
    <w:rsid w:val="00024665"/>
    <w:rsid w:val="000251B8"/>
    <w:rsid w:val="00025A6E"/>
    <w:rsid w:val="00025B8F"/>
    <w:rsid w:val="00027B51"/>
    <w:rsid w:val="00031503"/>
    <w:rsid w:val="00033863"/>
    <w:rsid w:val="00035DC0"/>
    <w:rsid w:val="00036016"/>
    <w:rsid w:val="00036829"/>
    <w:rsid w:val="00040895"/>
    <w:rsid w:val="00041717"/>
    <w:rsid w:val="00042D8D"/>
    <w:rsid w:val="00043C37"/>
    <w:rsid w:val="000443E9"/>
    <w:rsid w:val="00045017"/>
    <w:rsid w:val="0004542B"/>
    <w:rsid w:val="00045A2B"/>
    <w:rsid w:val="0004698F"/>
    <w:rsid w:val="00051629"/>
    <w:rsid w:val="000539D0"/>
    <w:rsid w:val="00054621"/>
    <w:rsid w:val="000546D7"/>
    <w:rsid w:val="00060266"/>
    <w:rsid w:val="00060F68"/>
    <w:rsid w:val="0006295A"/>
    <w:rsid w:val="00066360"/>
    <w:rsid w:val="00071248"/>
    <w:rsid w:val="000720B9"/>
    <w:rsid w:val="00072A7A"/>
    <w:rsid w:val="000734CE"/>
    <w:rsid w:val="000737F7"/>
    <w:rsid w:val="00075D3B"/>
    <w:rsid w:val="000764D7"/>
    <w:rsid w:val="0007672F"/>
    <w:rsid w:val="000774F0"/>
    <w:rsid w:val="00080909"/>
    <w:rsid w:val="00080AA5"/>
    <w:rsid w:val="000812CA"/>
    <w:rsid w:val="0008258D"/>
    <w:rsid w:val="00082C02"/>
    <w:rsid w:val="0008311C"/>
    <w:rsid w:val="00083E99"/>
    <w:rsid w:val="000856C5"/>
    <w:rsid w:val="00087EAA"/>
    <w:rsid w:val="00090C7E"/>
    <w:rsid w:val="0009129E"/>
    <w:rsid w:val="00092600"/>
    <w:rsid w:val="0009262B"/>
    <w:rsid w:val="00093310"/>
    <w:rsid w:val="0009445C"/>
    <w:rsid w:val="00095FE5"/>
    <w:rsid w:val="00096284"/>
    <w:rsid w:val="00097772"/>
    <w:rsid w:val="000A1908"/>
    <w:rsid w:val="000A2E68"/>
    <w:rsid w:val="000A7D08"/>
    <w:rsid w:val="000A7FC5"/>
    <w:rsid w:val="000B0670"/>
    <w:rsid w:val="000B0E75"/>
    <w:rsid w:val="000B152D"/>
    <w:rsid w:val="000B2B89"/>
    <w:rsid w:val="000B3129"/>
    <w:rsid w:val="000B4158"/>
    <w:rsid w:val="000B52DF"/>
    <w:rsid w:val="000B6CAC"/>
    <w:rsid w:val="000B7612"/>
    <w:rsid w:val="000C3DF9"/>
    <w:rsid w:val="000C5B5A"/>
    <w:rsid w:val="000C6713"/>
    <w:rsid w:val="000C6DED"/>
    <w:rsid w:val="000D1858"/>
    <w:rsid w:val="000D1BFC"/>
    <w:rsid w:val="000D24CD"/>
    <w:rsid w:val="000D281A"/>
    <w:rsid w:val="000D2DFD"/>
    <w:rsid w:val="000D326A"/>
    <w:rsid w:val="000D341F"/>
    <w:rsid w:val="000D51FB"/>
    <w:rsid w:val="000D5E83"/>
    <w:rsid w:val="000D5F4A"/>
    <w:rsid w:val="000D7354"/>
    <w:rsid w:val="000D7AFA"/>
    <w:rsid w:val="000D7FEF"/>
    <w:rsid w:val="000E0BFF"/>
    <w:rsid w:val="000E135D"/>
    <w:rsid w:val="000E1C91"/>
    <w:rsid w:val="000E3481"/>
    <w:rsid w:val="000E7472"/>
    <w:rsid w:val="000E7EB8"/>
    <w:rsid w:val="000F00BA"/>
    <w:rsid w:val="000F316A"/>
    <w:rsid w:val="000F3AE0"/>
    <w:rsid w:val="000F3C74"/>
    <w:rsid w:val="000F4BB8"/>
    <w:rsid w:val="000F4FC1"/>
    <w:rsid w:val="000F7127"/>
    <w:rsid w:val="00100F8A"/>
    <w:rsid w:val="00103256"/>
    <w:rsid w:val="00104A27"/>
    <w:rsid w:val="00105AE2"/>
    <w:rsid w:val="00106B80"/>
    <w:rsid w:val="001074F0"/>
    <w:rsid w:val="0011032E"/>
    <w:rsid w:val="001105AF"/>
    <w:rsid w:val="001115BD"/>
    <w:rsid w:val="00111C39"/>
    <w:rsid w:val="0011348B"/>
    <w:rsid w:val="0011495A"/>
    <w:rsid w:val="00114DA5"/>
    <w:rsid w:val="00115190"/>
    <w:rsid w:val="0011550F"/>
    <w:rsid w:val="00115982"/>
    <w:rsid w:val="00116C53"/>
    <w:rsid w:val="00121799"/>
    <w:rsid w:val="001222FC"/>
    <w:rsid w:val="00124501"/>
    <w:rsid w:val="001249F3"/>
    <w:rsid w:val="00124A51"/>
    <w:rsid w:val="001259A1"/>
    <w:rsid w:val="0012658A"/>
    <w:rsid w:val="00126621"/>
    <w:rsid w:val="00126F9A"/>
    <w:rsid w:val="00127FF7"/>
    <w:rsid w:val="001301E9"/>
    <w:rsid w:val="00131D82"/>
    <w:rsid w:val="0013204F"/>
    <w:rsid w:val="00133D36"/>
    <w:rsid w:val="001361AF"/>
    <w:rsid w:val="00137579"/>
    <w:rsid w:val="00137645"/>
    <w:rsid w:val="0014015A"/>
    <w:rsid w:val="00140E99"/>
    <w:rsid w:val="001425E8"/>
    <w:rsid w:val="001428E2"/>
    <w:rsid w:val="00145540"/>
    <w:rsid w:val="001456B0"/>
    <w:rsid w:val="001474FC"/>
    <w:rsid w:val="001478EB"/>
    <w:rsid w:val="00150002"/>
    <w:rsid w:val="001535F3"/>
    <w:rsid w:val="0015592D"/>
    <w:rsid w:val="0015641A"/>
    <w:rsid w:val="00157130"/>
    <w:rsid w:val="001576B1"/>
    <w:rsid w:val="00160A4C"/>
    <w:rsid w:val="00162664"/>
    <w:rsid w:val="00162913"/>
    <w:rsid w:val="00163EFF"/>
    <w:rsid w:val="001661FB"/>
    <w:rsid w:val="001729A1"/>
    <w:rsid w:val="00173565"/>
    <w:rsid w:val="00173B07"/>
    <w:rsid w:val="00176774"/>
    <w:rsid w:val="00176A0E"/>
    <w:rsid w:val="00181D9C"/>
    <w:rsid w:val="00185078"/>
    <w:rsid w:val="00186A3D"/>
    <w:rsid w:val="0018752F"/>
    <w:rsid w:val="00192C73"/>
    <w:rsid w:val="00194E25"/>
    <w:rsid w:val="00195222"/>
    <w:rsid w:val="001975D8"/>
    <w:rsid w:val="001A3156"/>
    <w:rsid w:val="001A433C"/>
    <w:rsid w:val="001A43FA"/>
    <w:rsid w:val="001A4A39"/>
    <w:rsid w:val="001A4F9D"/>
    <w:rsid w:val="001A59ED"/>
    <w:rsid w:val="001A59FB"/>
    <w:rsid w:val="001A6354"/>
    <w:rsid w:val="001A6644"/>
    <w:rsid w:val="001A7AE8"/>
    <w:rsid w:val="001B0372"/>
    <w:rsid w:val="001B204E"/>
    <w:rsid w:val="001B3443"/>
    <w:rsid w:val="001B4D20"/>
    <w:rsid w:val="001B5BDA"/>
    <w:rsid w:val="001B7A8F"/>
    <w:rsid w:val="001C0C41"/>
    <w:rsid w:val="001C2A9B"/>
    <w:rsid w:val="001C311E"/>
    <w:rsid w:val="001C4299"/>
    <w:rsid w:val="001C5F94"/>
    <w:rsid w:val="001C65D0"/>
    <w:rsid w:val="001C6E66"/>
    <w:rsid w:val="001E1829"/>
    <w:rsid w:val="001E238E"/>
    <w:rsid w:val="001E2483"/>
    <w:rsid w:val="001E29ED"/>
    <w:rsid w:val="001E2B1E"/>
    <w:rsid w:val="001E2B5B"/>
    <w:rsid w:val="001E30D4"/>
    <w:rsid w:val="001E4307"/>
    <w:rsid w:val="001E4C3E"/>
    <w:rsid w:val="001E52EB"/>
    <w:rsid w:val="001E61D2"/>
    <w:rsid w:val="001E740C"/>
    <w:rsid w:val="001E75E0"/>
    <w:rsid w:val="001F1057"/>
    <w:rsid w:val="001F1235"/>
    <w:rsid w:val="001F1CB3"/>
    <w:rsid w:val="001F38B5"/>
    <w:rsid w:val="001F3EE3"/>
    <w:rsid w:val="001F7361"/>
    <w:rsid w:val="00200F17"/>
    <w:rsid w:val="002011B0"/>
    <w:rsid w:val="00203181"/>
    <w:rsid w:val="00203783"/>
    <w:rsid w:val="0020385F"/>
    <w:rsid w:val="002052AF"/>
    <w:rsid w:val="00206D1F"/>
    <w:rsid w:val="00207021"/>
    <w:rsid w:val="0020732F"/>
    <w:rsid w:val="00207D00"/>
    <w:rsid w:val="002105C1"/>
    <w:rsid w:val="00210611"/>
    <w:rsid w:val="002127BF"/>
    <w:rsid w:val="002131D1"/>
    <w:rsid w:val="002149AC"/>
    <w:rsid w:val="00215E15"/>
    <w:rsid w:val="002160A1"/>
    <w:rsid w:val="00216EFA"/>
    <w:rsid w:val="00223B49"/>
    <w:rsid w:val="0022493E"/>
    <w:rsid w:val="00224DD4"/>
    <w:rsid w:val="0022649F"/>
    <w:rsid w:val="002309CC"/>
    <w:rsid w:val="00231DDA"/>
    <w:rsid w:val="0023209F"/>
    <w:rsid w:val="00233EDA"/>
    <w:rsid w:val="002349DB"/>
    <w:rsid w:val="002356DA"/>
    <w:rsid w:val="0023629D"/>
    <w:rsid w:val="00237255"/>
    <w:rsid w:val="002404C0"/>
    <w:rsid w:val="002424AF"/>
    <w:rsid w:val="002439DC"/>
    <w:rsid w:val="00244DC8"/>
    <w:rsid w:val="002458BA"/>
    <w:rsid w:val="0024636C"/>
    <w:rsid w:val="0024730F"/>
    <w:rsid w:val="00247925"/>
    <w:rsid w:val="002500CD"/>
    <w:rsid w:val="00254DCF"/>
    <w:rsid w:val="0025534B"/>
    <w:rsid w:val="00255581"/>
    <w:rsid w:val="00255BB7"/>
    <w:rsid w:val="00257283"/>
    <w:rsid w:val="00257541"/>
    <w:rsid w:val="00261158"/>
    <w:rsid w:val="002617D6"/>
    <w:rsid w:val="00262A1A"/>
    <w:rsid w:val="00262A87"/>
    <w:rsid w:val="00263CC0"/>
    <w:rsid w:val="00264D26"/>
    <w:rsid w:val="002650EC"/>
    <w:rsid w:val="002660F3"/>
    <w:rsid w:val="00267642"/>
    <w:rsid w:val="00267AEA"/>
    <w:rsid w:val="002700E6"/>
    <w:rsid w:val="00270B5F"/>
    <w:rsid w:val="00270BCA"/>
    <w:rsid w:val="0027294B"/>
    <w:rsid w:val="00275C5A"/>
    <w:rsid w:val="00276AFE"/>
    <w:rsid w:val="00281014"/>
    <w:rsid w:val="00287524"/>
    <w:rsid w:val="00291CCA"/>
    <w:rsid w:val="00291E3E"/>
    <w:rsid w:val="002969C3"/>
    <w:rsid w:val="002A14AB"/>
    <w:rsid w:val="002A2A1E"/>
    <w:rsid w:val="002A2F50"/>
    <w:rsid w:val="002A53EF"/>
    <w:rsid w:val="002A57AA"/>
    <w:rsid w:val="002A6298"/>
    <w:rsid w:val="002B09A4"/>
    <w:rsid w:val="002B1053"/>
    <w:rsid w:val="002B1C1F"/>
    <w:rsid w:val="002B432F"/>
    <w:rsid w:val="002B62B3"/>
    <w:rsid w:val="002B6754"/>
    <w:rsid w:val="002B6CCE"/>
    <w:rsid w:val="002C0D97"/>
    <w:rsid w:val="002C2510"/>
    <w:rsid w:val="002C2775"/>
    <w:rsid w:val="002C27C1"/>
    <w:rsid w:val="002C2C27"/>
    <w:rsid w:val="002C5099"/>
    <w:rsid w:val="002C5889"/>
    <w:rsid w:val="002C71CE"/>
    <w:rsid w:val="002D17A5"/>
    <w:rsid w:val="002D1814"/>
    <w:rsid w:val="002D1CA1"/>
    <w:rsid w:val="002D4B50"/>
    <w:rsid w:val="002D4BEC"/>
    <w:rsid w:val="002D577C"/>
    <w:rsid w:val="002E15B9"/>
    <w:rsid w:val="002E2158"/>
    <w:rsid w:val="002E7722"/>
    <w:rsid w:val="002F07BA"/>
    <w:rsid w:val="002F0DA9"/>
    <w:rsid w:val="002F2149"/>
    <w:rsid w:val="002F27E7"/>
    <w:rsid w:val="002F56C6"/>
    <w:rsid w:val="002F5A18"/>
    <w:rsid w:val="002F5B7D"/>
    <w:rsid w:val="002F610F"/>
    <w:rsid w:val="002F6293"/>
    <w:rsid w:val="002F643C"/>
    <w:rsid w:val="002F71C0"/>
    <w:rsid w:val="00301017"/>
    <w:rsid w:val="0030155F"/>
    <w:rsid w:val="003015AD"/>
    <w:rsid w:val="00302BF0"/>
    <w:rsid w:val="0030587B"/>
    <w:rsid w:val="00306401"/>
    <w:rsid w:val="00306D98"/>
    <w:rsid w:val="0030786C"/>
    <w:rsid w:val="0031031A"/>
    <w:rsid w:val="00310981"/>
    <w:rsid w:val="003115EB"/>
    <w:rsid w:val="00311897"/>
    <w:rsid w:val="00312600"/>
    <w:rsid w:val="00313917"/>
    <w:rsid w:val="00315498"/>
    <w:rsid w:val="00322107"/>
    <w:rsid w:val="00322846"/>
    <w:rsid w:val="00325F0D"/>
    <w:rsid w:val="00326DA7"/>
    <w:rsid w:val="003270E4"/>
    <w:rsid w:val="00330F5C"/>
    <w:rsid w:val="003327AA"/>
    <w:rsid w:val="003366C9"/>
    <w:rsid w:val="003371B0"/>
    <w:rsid w:val="003374C4"/>
    <w:rsid w:val="00340DF1"/>
    <w:rsid w:val="00343466"/>
    <w:rsid w:val="003517F9"/>
    <w:rsid w:val="00351D01"/>
    <w:rsid w:val="00353E69"/>
    <w:rsid w:val="00355294"/>
    <w:rsid w:val="0035620E"/>
    <w:rsid w:val="00356E50"/>
    <w:rsid w:val="003576C6"/>
    <w:rsid w:val="003624C4"/>
    <w:rsid w:val="003654AC"/>
    <w:rsid w:val="003656C4"/>
    <w:rsid w:val="00366301"/>
    <w:rsid w:val="0036725E"/>
    <w:rsid w:val="00370C52"/>
    <w:rsid w:val="003710CF"/>
    <w:rsid w:val="0037332A"/>
    <w:rsid w:val="0037358A"/>
    <w:rsid w:val="0037495E"/>
    <w:rsid w:val="003750F6"/>
    <w:rsid w:val="003753A7"/>
    <w:rsid w:val="003760FC"/>
    <w:rsid w:val="00382905"/>
    <w:rsid w:val="0038365C"/>
    <w:rsid w:val="0038369B"/>
    <w:rsid w:val="00383B78"/>
    <w:rsid w:val="0038442E"/>
    <w:rsid w:val="00385A9D"/>
    <w:rsid w:val="003878E7"/>
    <w:rsid w:val="003902B1"/>
    <w:rsid w:val="00396896"/>
    <w:rsid w:val="003969ED"/>
    <w:rsid w:val="00396FD0"/>
    <w:rsid w:val="003975C3"/>
    <w:rsid w:val="00397EE8"/>
    <w:rsid w:val="003A1A7A"/>
    <w:rsid w:val="003A2392"/>
    <w:rsid w:val="003A2831"/>
    <w:rsid w:val="003A3147"/>
    <w:rsid w:val="003A3ED1"/>
    <w:rsid w:val="003A4E05"/>
    <w:rsid w:val="003B0E7A"/>
    <w:rsid w:val="003B5B61"/>
    <w:rsid w:val="003B6CCA"/>
    <w:rsid w:val="003C1654"/>
    <w:rsid w:val="003C1D49"/>
    <w:rsid w:val="003C28F7"/>
    <w:rsid w:val="003C3363"/>
    <w:rsid w:val="003C59C0"/>
    <w:rsid w:val="003C649E"/>
    <w:rsid w:val="003C66CD"/>
    <w:rsid w:val="003C7D19"/>
    <w:rsid w:val="003D1828"/>
    <w:rsid w:val="003D1DE4"/>
    <w:rsid w:val="003D2422"/>
    <w:rsid w:val="003D39A1"/>
    <w:rsid w:val="003D39C8"/>
    <w:rsid w:val="003D3FBF"/>
    <w:rsid w:val="003D4A30"/>
    <w:rsid w:val="003D4C21"/>
    <w:rsid w:val="003D79BB"/>
    <w:rsid w:val="003D7C98"/>
    <w:rsid w:val="003E0543"/>
    <w:rsid w:val="003E19D5"/>
    <w:rsid w:val="003E2120"/>
    <w:rsid w:val="003E2701"/>
    <w:rsid w:val="003E4CCD"/>
    <w:rsid w:val="003F1E5B"/>
    <w:rsid w:val="003F4156"/>
    <w:rsid w:val="003F61AC"/>
    <w:rsid w:val="003F6C34"/>
    <w:rsid w:val="003F7FC2"/>
    <w:rsid w:val="0040043F"/>
    <w:rsid w:val="00400B29"/>
    <w:rsid w:val="0040504B"/>
    <w:rsid w:val="00410708"/>
    <w:rsid w:val="00410EC7"/>
    <w:rsid w:val="00411B39"/>
    <w:rsid w:val="004130A8"/>
    <w:rsid w:val="00413A1E"/>
    <w:rsid w:val="00414476"/>
    <w:rsid w:val="00414C2E"/>
    <w:rsid w:val="004151CF"/>
    <w:rsid w:val="00416364"/>
    <w:rsid w:val="004175F3"/>
    <w:rsid w:val="00420AA6"/>
    <w:rsid w:val="00420B9F"/>
    <w:rsid w:val="00422260"/>
    <w:rsid w:val="0042340E"/>
    <w:rsid w:val="0042413F"/>
    <w:rsid w:val="00424151"/>
    <w:rsid w:val="00424766"/>
    <w:rsid w:val="004248B5"/>
    <w:rsid w:val="00426B6E"/>
    <w:rsid w:val="00430F2F"/>
    <w:rsid w:val="004319F8"/>
    <w:rsid w:val="00431C5F"/>
    <w:rsid w:val="00431E55"/>
    <w:rsid w:val="004321F6"/>
    <w:rsid w:val="00433044"/>
    <w:rsid w:val="004375B9"/>
    <w:rsid w:val="004377DC"/>
    <w:rsid w:val="004416B3"/>
    <w:rsid w:val="004428D0"/>
    <w:rsid w:val="00443DC7"/>
    <w:rsid w:val="004443A7"/>
    <w:rsid w:val="0044442C"/>
    <w:rsid w:val="00445941"/>
    <w:rsid w:val="004464EB"/>
    <w:rsid w:val="00447D26"/>
    <w:rsid w:val="004548D3"/>
    <w:rsid w:val="00455D45"/>
    <w:rsid w:val="004568F8"/>
    <w:rsid w:val="00460018"/>
    <w:rsid w:val="00464595"/>
    <w:rsid w:val="00467953"/>
    <w:rsid w:val="00467ACB"/>
    <w:rsid w:val="00472A79"/>
    <w:rsid w:val="00472E18"/>
    <w:rsid w:val="00473F19"/>
    <w:rsid w:val="004743D0"/>
    <w:rsid w:val="00475E22"/>
    <w:rsid w:val="0048088E"/>
    <w:rsid w:val="004808A4"/>
    <w:rsid w:val="00481915"/>
    <w:rsid w:val="004823CD"/>
    <w:rsid w:val="00482720"/>
    <w:rsid w:val="00482FFA"/>
    <w:rsid w:val="004835E7"/>
    <w:rsid w:val="004867E2"/>
    <w:rsid w:val="00490DB7"/>
    <w:rsid w:val="00491B3A"/>
    <w:rsid w:val="00492CFD"/>
    <w:rsid w:val="00494807"/>
    <w:rsid w:val="00494DD5"/>
    <w:rsid w:val="00495896"/>
    <w:rsid w:val="0049601E"/>
    <w:rsid w:val="004962D2"/>
    <w:rsid w:val="004A0DA1"/>
    <w:rsid w:val="004A4787"/>
    <w:rsid w:val="004A52E9"/>
    <w:rsid w:val="004A5F2A"/>
    <w:rsid w:val="004A6597"/>
    <w:rsid w:val="004A7848"/>
    <w:rsid w:val="004B0797"/>
    <w:rsid w:val="004B1CB4"/>
    <w:rsid w:val="004B2BF6"/>
    <w:rsid w:val="004B2F18"/>
    <w:rsid w:val="004B3899"/>
    <w:rsid w:val="004B3DDB"/>
    <w:rsid w:val="004B44FD"/>
    <w:rsid w:val="004B5CFC"/>
    <w:rsid w:val="004B774D"/>
    <w:rsid w:val="004C4AED"/>
    <w:rsid w:val="004C52E9"/>
    <w:rsid w:val="004C641D"/>
    <w:rsid w:val="004D2C2D"/>
    <w:rsid w:val="004D2FC3"/>
    <w:rsid w:val="004D7227"/>
    <w:rsid w:val="004E0E7F"/>
    <w:rsid w:val="004E0EB8"/>
    <w:rsid w:val="004E2ADC"/>
    <w:rsid w:val="004E43B2"/>
    <w:rsid w:val="004E5D80"/>
    <w:rsid w:val="004F1D02"/>
    <w:rsid w:val="004F2679"/>
    <w:rsid w:val="004F2F21"/>
    <w:rsid w:val="004F31F7"/>
    <w:rsid w:val="004F473D"/>
    <w:rsid w:val="004F5806"/>
    <w:rsid w:val="004F6913"/>
    <w:rsid w:val="004F7865"/>
    <w:rsid w:val="0050219B"/>
    <w:rsid w:val="00503F17"/>
    <w:rsid w:val="0050617A"/>
    <w:rsid w:val="00506928"/>
    <w:rsid w:val="00507591"/>
    <w:rsid w:val="00512B55"/>
    <w:rsid w:val="005152B5"/>
    <w:rsid w:val="00515D9A"/>
    <w:rsid w:val="00517BF7"/>
    <w:rsid w:val="00520DC5"/>
    <w:rsid w:val="00521319"/>
    <w:rsid w:val="00522BC8"/>
    <w:rsid w:val="005235E0"/>
    <w:rsid w:val="00523C28"/>
    <w:rsid w:val="00525379"/>
    <w:rsid w:val="005266FA"/>
    <w:rsid w:val="00526724"/>
    <w:rsid w:val="00527C68"/>
    <w:rsid w:val="005325A4"/>
    <w:rsid w:val="00536F42"/>
    <w:rsid w:val="00537182"/>
    <w:rsid w:val="00542743"/>
    <w:rsid w:val="00542C2D"/>
    <w:rsid w:val="00543DA5"/>
    <w:rsid w:val="005444C7"/>
    <w:rsid w:val="00545E40"/>
    <w:rsid w:val="00547C31"/>
    <w:rsid w:val="005514F9"/>
    <w:rsid w:val="00551985"/>
    <w:rsid w:val="005526C2"/>
    <w:rsid w:val="00552BD3"/>
    <w:rsid w:val="00552ED8"/>
    <w:rsid w:val="00555109"/>
    <w:rsid w:val="0055754C"/>
    <w:rsid w:val="005603B3"/>
    <w:rsid w:val="00563608"/>
    <w:rsid w:val="00564296"/>
    <w:rsid w:val="0056696F"/>
    <w:rsid w:val="00571647"/>
    <w:rsid w:val="00572269"/>
    <w:rsid w:val="0057244A"/>
    <w:rsid w:val="00572EBD"/>
    <w:rsid w:val="005739D0"/>
    <w:rsid w:val="00573E90"/>
    <w:rsid w:val="00575D8D"/>
    <w:rsid w:val="00576972"/>
    <w:rsid w:val="00576EDC"/>
    <w:rsid w:val="00583699"/>
    <w:rsid w:val="00584600"/>
    <w:rsid w:val="00585CDD"/>
    <w:rsid w:val="00586707"/>
    <w:rsid w:val="00587058"/>
    <w:rsid w:val="005875C0"/>
    <w:rsid w:val="00591957"/>
    <w:rsid w:val="00593CAF"/>
    <w:rsid w:val="0059520C"/>
    <w:rsid w:val="00595523"/>
    <w:rsid w:val="00596766"/>
    <w:rsid w:val="005977B8"/>
    <w:rsid w:val="00597AE3"/>
    <w:rsid w:val="00597BF9"/>
    <w:rsid w:val="005A373D"/>
    <w:rsid w:val="005A3890"/>
    <w:rsid w:val="005A7814"/>
    <w:rsid w:val="005A7F4D"/>
    <w:rsid w:val="005B17FB"/>
    <w:rsid w:val="005B2471"/>
    <w:rsid w:val="005B5857"/>
    <w:rsid w:val="005C1B83"/>
    <w:rsid w:val="005C2104"/>
    <w:rsid w:val="005C2D55"/>
    <w:rsid w:val="005C346B"/>
    <w:rsid w:val="005C68DE"/>
    <w:rsid w:val="005D044D"/>
    <w:rsid w:val="005D08C5"/>
    <w:rsid w:val="005D0ABD"/>
    <w:rsid w:val="005D18AD"/>
    <w:rsid w:val="005D26B4"/>
    <w:rsid w:val="005D35A9"/>
    <w:rsid w:val="005D4301"/>
    <w:rsid w:val="005D5AEC"/>
    <w:rsid w:val="005D66C4"/>
    <w:rsid w:val="005D76E9"/>
    <w:rsid w:val="005E0DDB"/>
    <w:rsid w:val="005E2530"/>
    <w:rsid w:val="005E6CBC"/>
    <w:rsid w:val="005E73C0"/>
    <w:rsid w:val="005F2706"/>
    <w:rsid w:val="005F6A8F"/>
    <w:rsid w:val="00603DB9"/>
    <w:rsid w:val="006046FA"/>
    <w:rsid w:val="00605978"/>
    <w:rsid w:val="00607669"/>
    <w:rsid w:val="00607AFD"/>
    <w:rsid w:val="00612F97"/>
    <w:rsid w:val="0061345D"/>
    <w:rsid w:val="00613BE5"/>
    <w:rsid w:val="00616802"/>
    <w:rsid w:val="00617457"/>
    <w:rsid w:val="00617E12"/>
    <w:rsid w:val="00621477"/>
    <w:rsid w:val="00621487"/>
    <w:rsid w:val="00623076"/>
    <w:rsid w:val="0062440E"/>
    <w:rsid w:val="0062547D"/>
    <w:rsid w:val="0063158F"/>
    <w:rsid w:val="00631D6B"/>
    <w:rsid w:val="00632673"/>
    <w:rsid w:val="006330A1"/>
    <w:rsid w:val="0063479F"/>
    <w:rsid w:val="006353F0"/>
    <w:rsid w:val="006364A1"/>
    <w:rsid w:val="00637BFD"/>
    <w:rsid w:val="00641C4E"/>
    <w:rsid w:val="00642FBC"/>
    <w:rsid w:val="0064474D"/>
    <w:rsid w:val="006465BA"/>
    <w:rsid w:val="00646AC8"/>
    <w:rsid w:val="006471CC"/>
    <w:rsid w:val="0065079F"/>
    <w:rsid w:val="0065153F"/>
    <w:rsid w:val="0065379F"/>
    <w:rsid w:val="006561E2"/>
    <w:rsid w:val="00661C6B"/>
    <w:rsid w:val="00665B90"/>
    <w:rsid w:val="00666D74"/>
    <w:rsid w:val="00666E0F"/>
    <w:rsid w:val="00667B1A"/>
    <w:rsid w:val="006746D3"/>
    <w:rsid w:val="00674E42"/>
    <w:rsid w:val="00682112"/>
    <w:rsid w:val="00684833"/>
    <w:rsid w:val="00686957"/>
    <w:rsid w:val="00686EF4"/>
    <w:rsid w:val="006872BA"/>
    <w:rsid w:val="006872E0"/>
    <w:rsid w:val="00691648"/>
    <w:rsid w:val="006917D7"/>
    <w:rsid w:val="00691981"/>
    <w:rsid w:val="006922EE"/>
    <w:rsid w:val="00692EFC"/>
    <w:rsid w:val="00694F44"/>
    <w:rsid w:val="00696F62"/>
    <w:rsid w:val="006A381B"/>
    <w:rsid w:val="006A3DB4"/>
    <w:rsid w:val="006A3DCE"/>
    <w:rsid w:val="006A4C8C"/>
    <w:rsid w:val="006A7E5F"/>
    <w:rsid w:val="006B261B"/>
    <w:rsid w:val="006B2C90"/>
    <w:rsid w:val="006B6DD0"/>
    <w:rsid w:val="006C0727"/>
    <w:rsid w:val="006C08D3"/>
    <w:rsid w:val="006C2A8E"/>
    <w:rsid w:val="006C44AF"/>
    <w:rsid w:val="006C6CF2"/>
    <w:rsid w:val="006D3C7D"/>
    <w:rsid w:val="006D3F57"/>
    <w:rsid w:val="006D4149"/>
    <w:rsid w:val="006D474E"/>
    <w:rsid w:val="006D5D5F"/>
    <w:rsid w:val="006D726E"/>
    <w:rsid w:val="006E30C8"/>
    <w:rsid w:val="006E5FBB"/>
    <w:rsid w:val="006F1EC4"/>
    <w:rsid w:val="006F306C"/>
    <w:rsid w:val="006F337A"/>
    <w:rsid w:val="006F44C0"/>
    <w:rsid w:val="006F48C7"/>
    <w:rsid w:val="006F5929"/>
    <w:rsid w:val="006F5ABC"/>
    <w:rsid w:val="006F63A5"/>
    <w:rsid w:val="006F69C0"/>
    <w:rsid w:val="006F7B68"/>
    <w:rsid w:val="007013D8"/>
    <w:rsid w:val="0070142B"/>
    <w:rsid w:val="0070276E"/>
    <w:rsid w:val="00702F8F"/>
    <w:rsid w:val="00705BBA"/>
    <w:rsid w:val="00711A36"/>
    <w:rsid w:val="00714EF3"/>
    <w:rsid w:val="0071529C"/>
    <w:rsid w:val="007172AD"/>
    <w:rsid w:val="0072200E"/>
    <w:rsid w:val="00722AA5"/>
    <w:rsid w:val="00722B1B"/>
    <w:rsid w:val="0072416F"/>
    <w:rsid w:val="00727C94"/>
    <w:rsid w:val="00730FF1"/>
    <w:rsid w:val="00731EAE"/>
    <w:rsid w:val="00735033"/>
    <w:rsid w:val="00735328"/>
    <w:rsid w:val="00735944"/>
    <w:rsid w:val="0073685B"/>
    <w:rsid w:val="007400AC"/>
    <w:rsid w:val="007404B9"/>
    <w:rsid w:val="00742695"/>
    <w:rsid w:val="00743506"/>
    <w:rsid w:val="007460E4"/>
    <w:rsid w:val="00751399"/>
    <w:rsid w:val="00752142"/>
    <w:rsid w:val="007523F9"/>
    <w:rsid w:val="007549C7"/>
    <w:rsid w:val="00756EC1"/>
    <w:rsid w:val="007573E8"/>
    <w:rsid w:val="00760C4E"/>
    <w:rsid w:val="007617DA"/>
    <w:rsid w:val="00762040"/>
    <w:rsid w:val="00763FB3"/>
    <w:rsid w:val="00765B1A"/>
    <w:rsid w:val="007665BB"/>
    <w:rsid w:val="00767C6D"/>
    <w:rsid w:val="007762B2"/>
    <w:rsid w:val="007774A1"/>
    <w:rsid w:val="007802A6"/>
    <w:rsid w:val="007810E8"/>
    <w:rsid w:val="00781423"/>
    <w:rsid w:val="007843F2"/>
    <w:rsid w:val="0078646D"/>
    <w:rsid w:val="00791318"/>
    <w:rsid w:val="00791A52"/>
    <w:rsid w:val="007935BB"/>
    <w:rsid w:val="00795060"/>
    <w:rsid w:val="007A0A12"/>
    <w:rsid w:val="007A132D"/>
    <w:rsid w:val="007A18E6"/>
    <w:rsid w:val="007A2B0F"/>
    <w:rsid w:val="007B0D68"/>
    <w:rsid w:val="007B251D"/>
    <w:rsid w:val="007B4F58"/>
    <w:rsid w:val="007B528D"/>
    <w:rsid w:val="007B5C3B"/>
    <w:rsid w:val="007B72EB"/>
    <w:rsid w:val="007B77D1"/>
    <w:rsid w:val="007C1550"/>
    <w:rsid w:val="007C1CD9"/>
    <w:rsid w:val="007C2BEC"/>
    <w:rsid w:val="007C361D"/>
    <w:rsid w:val="007C4B84"/>
    <w:rsid w:val="007C4D24"/>
    <w:rsid w:val="007C63B8"/>
    <w:rsid w:val="007D004F"/>
    <w:rsid w:val="007D0B38"/>
    <w:rsid w:val="007D5440"/>
    <w:rsid w:val="007D6781"/>
    <w:rsid w:val="007D7E9A"/>
    <w:rsid w:val="007E0376"/>
    <w:rsid w:val="007E2E4E"/>
    <w:rsid w:val="007F0461"/>
    <w:rsid w:val="007F1017"/>
    <w:rsid w:val="007F2763"/>
    <w:rsid w:val="007F3EE4"/>
    <w:rsid w:val="007F4A3F"/>
    <w:rsid w:val="007F4A61"/>
    <w:rsid w:val="007F61C2"/>
    <w:rsid w:val="007F6640"/>
    <w:rsid w:val="007F7EB5"/>
    <w:rsid w:val="00800579"/>
    <w:rsid w:val="00802C0F"/>
    <w:rsid w:val="00803699"/>
    <w:rsid w:val="0080507A"/>
    <w:rsid w:val="00805142"/>
    <w:rsid w:val="00807A8B"/>
    <w:rsid w:val="00811383"/>
    <w:rsid w:val="00812149"/>
    <w:rsid w:val="00812CAC"/>
    <w:rsid w:val="00814530"/>
    <w:rsid w:val="008166EF"/>
    <w:rsid w:val="00816F75"/>
    <w:rsid w:val="00816FD4"/>
    <w:rsid w:val="00820AAF"/>
    <w:rsid w:val="0082521C"/>
    <w:rsid w:val="00825751"/>
    <w:rsid w:val="008264EB"/>
    <w:rsid w:val="00826D04"/>
    <w:rsid w:val="00832242"/>
    <w:rsid w:val="00832809"/>
    <w:rsid w:val="00833A44"/>
    <w:rsid w:val="00833B05"/>
    <w:rsid w:val="00833FFF"/>
    <w:rsid w:val="0083616F"/>
    <w:rsid w:val="008362B4"/>
    <w:rsid w:val="008403B1"/>
    <w:rsid w:val="00840CA2"/>
    <w:rsid w:val="008416D0"/>
    <w:rsid w:val="00842F59"/>
    <w:rsid w:val="0084374F"/>
    <w:rsid w:val="00844807"/>
    <w:rsid w:val="00846508"/>
    <w:rsid w:val="00847DF5"/>
    <w:rsid w:val="00851F22"/>
    <w:rsid w:val="00852481"/>
    <w:rsid w:val="0085309D"/>
    <w:rsid w:val="00856897"/>
    <w:rsid w:val="00856E9A"/>
    <w:rsid w:val="00857CA0"/>
    <w:rsid w:val="0086075D"/>
    <w:rsid w:val="00862502"/>
    <w:rsid w:val="00862811"/>
    <w:rsid w:val="008643FB"/>
    <w:rsid w:val="008660D4"/>
    <w:rsid w:val="00867FDE"/>
    <w:rsid w:val="00871FA9"/>
    <w:rsid w:val="008728E9"/>
    <w:rsid w:val="008737CD"/>
    <w:rsid w:val="00875314"/>
    <w:rsid w:val="008758BF"/>
    <w:rsid w:val="00876C93"/>
    <w:rsid w:val="00882874"/>
    <w:rsid w:val="00883787"/>
    <w:rsid w:val="00884521"/>
    <w:rsid w:val="00885013"/>
    <w:rsid w:val="00886183"/>
    <w:rsid w:val="00886CD2"/>
    <w:rsid w:val="00892574"/>
    <w:rsid w:val="00892A36"/>
    <w:rsid w:val="008931D7"/>
    <w:rsid w:val="00893239"/>
    <w:rsid w:val="00893A39"/>
    <w:rsid w:val="00894489"/>
    <w:rsid w:val="008963A5"/>
    <w:rsid w:val="008A17D8"/>
    <w:rsid w:val="008A1892"/>
    <w:rsid w:val="008A1BF0"/>
    <w:rsid w:val="008A3363"/>
    <w:rsid w:val="008A3371"/>
    <w:rsid w:val="008A3C3E"/>
    <w:rsid w:val="008A490E"/>
    <w:rsid w:val="008A4AC2"/>
    <w:rsid w:val="008A5C40"/>
    <w:rsid w:val="008A73AC"/>
    <w:rsid w:val="008A79DE"/>
    <w:rsid w:val="008B13C6"/>
    <w:rsid w:val="008B1757"/>
    <w:rsid w:val="008B4791"/>
    <w:rsid w:val="008B5965"/>
    <w:rsid w:val="008B7BCF"/>
    <w:rsid w:val="008B7D7E"/>
    <w:rsid w:val="008C15B7"/>
    <w:rsid w:val="008C4F3C"/>
    <w:rsid w:val="008C559C"/>
    <w:rsid w:val="008C7ECB"/>
    <w:rsid w:val="008D18AE"/>
    <w:rsid w:val="008D2748"/>
    <w:rsid w:val="008D4755"/>
    <w:rsid w:val="008D4C3D"/>
    <w:rsid w:val="008D6470"/>
    <w:rsid w:val="008D678C"/>
    <w:rsid w:val="008E0D3C"/>
    <w:rsid w:val="008E1B9E"/>
    <w:rsid w:val="008E3DA3"/>
    <w:rsid w:val="008E5372"/>
    <w:rsid w:val="008E55AB"/>
    <w:rsid w:val="008F08CD"/>
    <w:rsid w:val="008F120A"/>
    <w:rsid w:val="008F1603"/>
    <w:rsid w:val="008F27E0"/>
    <w:rsid w:val="008F48EB"/>
    <w:rsid w:val="008F4F0B"/>
    <w:rsid w:val="008F5121"/>
    <w:rsid w:val="008F5654"/>
    <w:rsid w:val="009005B5"/>
    <w:rsid w:val="0090137C"/>
    <w:rsid w:val="009015DE"/>
    <w:rsid w:val="009046C4"/>
    <w:rsid w:val="009062A5"/>
    <w:rsid w:val="00911272"/>
    <w:rsid w:val="00911505"/>
    <w:rsid w:val="009135D6"/>
    <w:rsid w:val="009143DB"/>
    <w:rsid w:val="00914692"/>
    <w:rsid w:val="00914C77"/>
    <w:rsid w:val="00917ECD"/>
    <w:rsid w:val="009203B6"/>
    <w:rsid w:val="00920FAA"/>
    <w:rsid w:val="00921273"/>
    <w:rsid w:val="0092339A"/>
    <w:rsid w:val="0092369B"/>
    <w:rsid w:val="00926AAF"/>
    <w:rsid w:val="00930D08"/>
    <w:rsid w:val="00930EA5"/>
    <w:rsid w:val="00933BE1"/>
    <w:rsid w:val="00936E34"/>
    <w:rsid w:val="009421DD"/>
    <w:rsid w:val="009432B4"/>
    <w:rsid w:val="009510A2"/>
    <w:rsid w:val="00951ECC"/>
    <w:rsid w:val="00953257"/>
    <w:rsid w:val="00955AAA"/>
    <w:rsid w:val="00955CD2"/>
    <w:rsid w:val="00956425"/>
    <w:rsid w:val="00956BAD"/>
    <w:rsid w:val="00956D2D"/>
    <w:rsid w:val="0095735C"/>
    <w:rsid w:val="00957460"/>
    <w:rsid w:val="00962CB9"/>
    <w:rsid w:val="00963304"/>
    <w:rsid w:val="009641EE"/>
    <w:rsid w:val="00964312"/>
    <w:rsid w:val="00965262"/>
    <w:rsid w:val="00965B8A"/>
    <w:rsid w:val="00966AC6"/>
    <w:rsid w:val="009717AC"/>
    <w:rsid w:val="009730A5"/>
    <w:rsid w:val="009741C1"/>
    <w:rsid w:val="0097591D"/>
    <w:rsid w:val="0098161E"/>
    <w:rsid w:val="00983B1E"/>
    <w:rsid w:val="00983E57"/>
    <w:rsid w:val="0098675D"/>
    <w:rsid w:val="00987F41"/>
    <w:rsid w:val="00990E56"/>
    <w:rsid w:val="00991324"/>
    <w:rsid w:val="0099163D"/>
    <w:rsid w:val="00992939"/>
    <w:rsid w:val="00995035"/>
    <w:rsid w:val="0099504C"/>
    <w:rsid w:val="00996126"/>
    <w:rsid w:val="00996B1A"/>
    <w:rsid w:val="009A17F8"/>
    <w:rsid w:val="009A2EFA"/>
    <w:rsid w:val="009A46EA"/>
    <w:rsid w:val="009A7F10"/>
    <w:rsid w:val="009B1089"/>
    <w:rsid w:val="009B2EF9"/>
    <w:rsid w:val="009B32B3"/>
    <w:rsid w:val="009B3E26"/>
    <w:rsid w:val="009B4F38"/>
    <w:rsid w:val="009B6ADF"/>
    <w:rsid w:val="009B7A91"/>
    <w:rsid w:val="009C1F4E"/>
    <w:rsid w:val="009C25A0"/>
    <w:rsid w:val="009C3944"/>
    <w:rsid w:val="009C6CEA"/>
    <w:rsid w:val="009C7B85"/>
    <w:rsid w:val="009C7DDA"/>
    <w:rsid w:val="009D26AE"/>
    <w:rsid w:val="009D2B15"/>
    <w:rsid w:val="009D2FEA"/>
    <w:rsid w:val="009D5B91"/>
    <w:rsid w:val="009D792E"/>
    <w:rsid w:val="009E0DFE"/>
    <w:rsid w:val="009E18F7"/>
    <w:rsid w:val="009E2AF1"/>
    <w:rsid w:val="009E3657"/>
    <w:rsid w:val="009E40AB"/>
    <w:rsid w:val="009E4C07"/>
    <w:rsid w:val="009E5278"/>
    <w:rsid w:val="009F0348"/>
    <w:rsid w:val="009F122B"/>
    <w:rsid w:val="009F3740"/>
    <w:rsid w:val="009F3B23"/>
    <w:rsid w:val="009F44B8"/>
    <w:rsid w:val="00A01184"/>
    <w:rsid w:val="00A03D43"/>
    <w:rsid w:val="00A0430E"/>
    <w:rsid w:val="00A04380"/>
    <w:rsid w:val="00A05B34"/>
    <w:rsid w:val="00A11CD0"/>
    <w:rsid w:val="00A13948"/>
    <w:rsid w:val="00A1555B"/>
    <w:rsid w:val="00A155C5"/>
    <w:rsid w:val="00A16AD8"/>
    <w:rsid w:val="00A17812"/>
    <w:rsid w:val="00A21BE3"/>
    <w:rsid w:val="00A21CF3"/>
    <w:rsid w:val="00A27AEC"/>
    <w:rsid w:val="00A31062"/>
    <w:rsid w:val="00A320DB"/>
    <w:rsid w:val="00A339E5"/>
    <w:rsid w:val="00A34066"/>
    <w:rsid w:val="00A34E32"/>
    <w:rsid w:val="00A35D16"/>
    <w:rsid w:val="00A37BCD"/>
    <w:rsid w:val="00A439A8"/>
    <w:rsid w:val="00A43C12"/>
    <w:rsid w:val="00A43C59"/>
    <w:rsid w:val="00A45DDC"/>
    <w:rsid w:val="00A46DEB"/>
    <w:rsid w:val="00A473B7"/>
    <w:rsid w:val="00A475D5"/>
    <w:rsid w:val="00A502D5"/>
    <w:rsid w:val="00A503A1"/>
    <w:rsid w:val="00A50ECD"/>
    <w:rsid w:val="00A518F3"/>
    <w:rsid w:val="00A51FA5"/>
    <w:rsid w:val="00A52729"/>
    <w:rsid w:val="00A53675"/>
    <w:rsid w:val="00A5421A"/>
    <w:rsid w:val="00A564D7"/>
    <w:rsid w:val="00A56B6A"/>
    <w:rsid w:val="00A578DC"/>
    <w:rsid w:val="00A57FB9"/>
    <w:rsid w:val="00A60040"/>
    <w:rsid w:val="00A6467B"/>
    <w:rsid w:val="00A64A6C"/>
    <w:rsid w:val="00A65393"/>
    <w:rsid w:val="00A6725B"/>
    <w:rsid w:val="00A70605"/>
    <w:rsid w:val="00A70717"/>
    <w:rsid w:val="00A73134"/>
    <w:rsid w:val="00A777B2"/>
    <w:rsid w:val="00A86E8B"/>
    <w:rsid w:val="00A87164"/>
    <w:rsid w:val="00A873B2"/>
    <w:rsid w:val="00A87F89"/>
    <w:rsid w:val="00A90CDA"/>
    <w:rsid w:val="00A91991"/>
    <w:rsid w:val="00A93072"/>
    <w:rsid w:val="00A93953"/>
    <w:rsid w:val="00A93BCB"/>
    <w:rsid w:val="00A959D8"/>
    <w:rsid w:val="00AA113D"/>
    <w:rsid w:val="00AA6C7D"/>
    <w:rsid w:val="00AA6F9A"/>
    <w:rsid w:val="00AA7FD6"/>
    <w:rsid w:val="00AB042A"/>
    <w:rsid w:val="00AB2D34"/>
    <w:rsid w:val="00AB3430"/>
    <w:rsid w:val="00AB4AD1"/>
    <w:rsid w:val="00AB5CEC"/>
    <w:rsid w:val="00AB7C45"/>
    <w:rsid w:val="00AB7CFA"/>
    <w:rsid w:val="00AC5B48"/>
    <w:rsid w:val="00AD08A0"/>
    <w:rsid w:val="00AD2243"/>
    <w:rsid w:val="00AD6098"/>
    <w:rsid w:val="00AD6274"/>
    <w:rsid w:val="00AD6502"/>
    <w:rsid w:val="00AE2101"/>
    <w:rsid w:val="00AE2DCE"/>
    <w:rsid w:val="00AE332F"/>
    <w:rsid w:val="00AE63E3"/>
    <w:rsid w:val="00AE744C"/>
    <w:rsid w:val="00AE74DE"/>
    <w:rsid w:val="00AE7851"/>
    <w:rsid w:val="00AF0561"/>
    <w:rsid w:val="00AF0CC1"/>
    <w:rsid w:val="00AF0F5A"/>
    <w:rsid w:val="00AF1315"/>
    <w:rsid w:val="00AF19BF"/>
    <w:rsid w:val="00AF2DC3"/>
    <w:rsid w:val="00B033E5"/>
    <w:rsid w:val="00B03A63"/>
    <w:rsid w:val="00B057D4"/>
    <w:rsid w:val="00B05DAA"/>
    <w:rsid w:val="00B10C78"/>
    <w:rsid w:val="00B1122C"/>
    <w:rsid w:val="00B14585"/>
    <w:rsid w:val="00B1774C"/>
    <w:rsid w:val="00B201A4"/>
    <w:rsid w:val="00B213A6"/>
    <w:rsid w:val="00B23209"/>
    <w:rsid w:val="00B24ABE"/>
    <w:rsid w:val="00B24DF6"/>
    <w:rsid w:val="00B32C35"/>
    <w:rsid w:val="00B34FE2"/>
    <w:rsid w:val="00B35041"/>
    <w:rsid w:val="00B357D8"/>
    <w:rsid w:val="00B37BFC"/>
    <w:rsid w:val="00B37C0F"/>
    <w:rsid w:val="00B37DFE"/>
    <w:rsid w:val="00B40358"/>
    <w:rsid w:val="00B41614"/>
    <w:rsid w:val="00B4183C"/>
    <w:rsid w:val="00B42851"/>
    <w:rsid w:val="00B42AF6"/>
    <w:rsid w:val="00B42F80"/>
    <w:rsid w:val="00B4312A"/>
    <w:rsid w:val="00B435CB"/>
    <w:rsid w:val="00B50CAE"/>
    <w:rsid w:val="00B50DB8"/>
    <w:rsid w:val="00B5100C"/>
    <w:rsid w:val="00B519FF"/>
    <w:rsid w:val="00B53654"/>
    <w:rsid w:val="00B53905"/>
    <w:rsid w:val="00B54B5B"/>
    <w:rsid w:val="00B5562E"/>
    <w:rsid w:val="00B563D4"/>
    <w:rsid w:val="00B57000"/>
    <w:rsid w:val="00B60939"/>
    <w:rsid w:val="00B60AFD"/>
    <w:rsid w:val="00B62715"/>
    <w:rsid w:val="00B64062"/>
    <w:rsid w:val="00B66230"/>
    <w:rsid w:val="00B72241"/>
    <w:rsid w:val="00B72288"/>
    <w:rsid w:val="00B725D5"/>
    <w:rsid w:val="00B818A4"/>
    <w:rsid w:val="00B822DA"/>
    <w:rsid w:val="00B8233B"/>
    <w:rsid w:val="00B8279A"/>
    <w:rsid w:val="00B84117"/>
    <w:rsid w:val="00B8581F"/>
    <w:rsid w:val="00B85AA2"/>
    <w:rsid w:val="00B8649C"/>
    <w:rsid w:val="00B87F0A"/>
    <w:rsid w:val="00B92D0B"/>
    <w:rsid w:val="00B94945"/>
    <w:rsid w:val="00B95845"/>
    <w:rsid w:val="00BA322D"/>
    <w:rsid w:val="00BA328C"/>
    <w:rsid w:val="00BA36D1"/>
    <w:rsid w:val="00BA3B3C"/>
    <w:rsid w:val="00BB0BDD"/>
    <w:rsid w:val="00BB2A73"/>
    <w:rsid w:val="00BB4ACC"/>
    <w:rsid w:val="00BB703E"/>
    <w:rsid w:val="00BB7405"/>
    <w:rsid w:val="00BC1A47"/>
    <w:rsid w:val="00BC3631"/>
    <w:rsid w:val="00BC4A23"/>
    <w:rsid w:val="00BD0AB7"/>
    <w:rsid w:val="00BD37F3"/>
    <w:rsid w:val="00BD3C9E"/>
    <w:rsid w:val="00BD44BA"/>
    <w:rsid w:val="00BD49CE"/>
    <w:rsid w:val="00BD5BEB"/>
    <w:rsid w:val="00BD68A3"/>
    <w:rsid w:val="00BD6938"/>
    <w:rsid w:val="00BD6BDA"/>
    <w:rsid w:val="00BD6CF3"/>
    <w:rsid w:val="00BD7AAB"/>
    <w:rsid w:val="00BE2180"/>
    <w:rsid w:val="00BE21F2"/>
    <w:rsid w:val="00BE4275"/>
    <w:rsid w:val="00BF013E"/>
    <w:rsid w:val="00BF0F95"/>
    <w:rsid w:val="00BF2433"/>
    <w:rsid w:val="00BF2738"/>
    <w:rsid w:val="00BF2D12"/>
    <w:rsid w:val="00BF61C9"/>
    <w:rsid w:val="00BF6C94"/>
    <w:rsid w:val="00BF6F32"/>
    <w:rsid w:val="00BF7610"/>
    <w:rsid w:val="00C00424"/>
    <w:rsid w:val="00C0069F"/>
    <w:rsid w:val="00C01AE6"/>
    <w:rsid w:val="00C0222E"/>
    <w:rsid w:val="00C02588"/>
    <w:rsid w:val="00C12C14"/>
    <w:rsid w:val="00C15774"/>
    <w:rsid w:val="00C200AA"/>
    <w:rsid w:val="00C237ED"/>
    <w:rsid w:val="00C23AB1"/>
    <w:rsid w:val="00C24632"/>
    <w:rsid w:val="00C25418"/>
    <w:rsid w:val="00C25D9C"/>
    <w:rsid w:val="00C2778B"/>
    <w:rsid w:val="00C308DE"/>
    <w:rsid w:val="00C31649"/>
    <w:rsid w:val="00C32061"/>
    <w:rsid w:val="00C32786"/>
    <w:rsid w:val="00C327B5"/>
    <w:rsid w:val="00C32BD6"/>
    <w:rsid w:val="00C3462F"/>
    <w:rsid w:val="00C3787A"/>
    <w:rsid w:val="00C40385"/>
    <w:rsid w:val="00C415D2"/>
    <w:rsid w:val="00C459AE"/>
    <w:rsid w:val="00C46DAC"/>
    <w:rsid w:val="00C475AA"/>
    <w:rsid w:val="00C5022C"/>
    <w:rsid w:val="00C52E1F"/>
    <w:rsid w:val="00C53EC2"/>
    <w:rsid w:val="00C5443A"/>
    <w:rsid w:val="00C55396"/>
    <w:rsid w:val="00C558CD"/>
    <w:rsid w:val="00C643A7"/>
    <w:rsid w:val="00C6448F"/>
    <w:rsid w:val="00C64730"/>
    <w:rsid w:val="00C64C9D"/>
    <w:rsid w:val="00C65576"/>
    <w:rsid w:val="00C66165"/>
    <w:rsid w:val="00C7151A"/>
    <w:rsid w:val="00C71F60"/>
    <w:rsid w:val="00C72241"/>
    <w:rsid w:val="00C736D8"/>
    <w:rsid w:val="00C7370F"/>
    <w:rsid w:val="00C750C8"/>
    <w:rsid w:val="00C7523A"/>
    <w:rsid w:val="00C7560F"/>
    <w:rsid w:val="00C80A0E"/>
    <w:rsid w:val="00C8213F"/>
    <w:rsid w:val="00C861B8"/>
    <w:rsid w:val="00C8797A"/>
    <w:rsid w:val="00C87C9C"/>
    <w:rsid w:val="00C900B8"/>
    <w:rsid w:val="00C90C71"/>
    <w:rsid w:val="00C9235A"/>
    <w:rsid w:val="00C931CF"/>
    <w:rsid w:val="00C938CF"/>
    <w:rsid w:val="00C938FD"/>
    <w:rsid w:val="00C9624D"/>
    <w:rsid w:val="00C969DA"/>
    <w:rsid w:val="00C97499"/>
    <w:rsid w:val="00CA0B80"/>
    <w:rsid w:val="00CA28AC"/>
    <w:rsid w:val="00CA2C77"/>
    <w:rsid w:val="00CA2FDC"/>
    <w:rsid w:val="00CA444F"/>
    <w:rsid w:val="00CA5245"/>
    <w:rsid w:val="00CA54A9"/>
    <w:rsid w:val="00CA5958"/>
    <w:rsid w:val="00CA71F4"/>
    <w:rsid w:val="00CA7B09"/>
    <w:rsid w:val="00CB19BC"/>
    <w:rsid w:val="00CB2E58"/>
    <w:rsid w:val="00CB2F2A"/>
    <w:rsid w:val="00CB3C71"/>
    <w:rsid w:val="00CB3E08"/>
    <w:rsid w:val="00CB57F7"/>
    <w:rsid w:val="00CB5B1A"/>
    <w:rsid w:val="00CB5B86"/>
    <w:rsid w:val="00CB6B22"/>
    <w:rsid w:val="00CB70C2"/>
    <w:rsid w:val="00CB7F5F"/>
    <w:rsid w:val="00CC198D"/>
    <w:rsid w:val="00CC1B39"/>
    <w:rsid w:val="00CC553C"/>
    <w:rsid w:val="00CD055A"/>
    <w:rsid w:val="00CD26F1"/>
    <w:rsid w:val="00CD3893"/>
    <w:rsid w:val="00CD6ADC"/>
    <w:rsid w:val="00CD6B33"/>
    <w:rsid w:val="00CE3F6A"/>
    <w:rsid w:val="00CE6274"/>
    <w:rsid w:val="00CE75D7"/>
    <w:rsid w:val="00CE7732"/>
    <w:rsid w:val="00CF0E6C"/>
    <w:rsid w:val="00CF2B8D"/>
    <w:rsid w:val="00CF2C76"/>
    <w:rsid w:val="00CF456B"/>
    <w:rsid w:val="00CF5A22"/>
    <w:rsid w:val="00D0262E"/>
    <w:rsid w:val="00D07082"/>
    <w:rsid w:val="00D1010A"/>
    <w:rsid w:val="00D110BD"/>
    <w:rsid w:val="00D13675"/>
    <w:rsid w:val="00D137D2"/>
    <w:rsid w:val="00D141E1"/>
    <w:rsid w:val="00D1533D"/>
    <w:rsid w:val="00D162D3"/>
    <w:rsid w:val="00D16407"/>
    <w:rsid w:val="00D17D6C"/>
    <w:rsid w:val="00D25E62"/>
    <w:rsid w:val="00D2754D"/>
    <w:rsid w:val="00D27B27"/>
    <w:rsid w:val="00D316C2"/>
    <w:rsid w:val="00D316E3"/>
    <w:rsid w:val="00D33BE9"/>
    <w:rsid w:val="00D3423A"/>
    <w:rsid w:val="00D343A5"/>
    <w:rsid w:val="00D349EB"/>
    <w:rsid w:val="00D357FF"/>
    <w:rsid w:val="00D424C7"/>
    <w:rsid w:val="00D43B2A"/>
    <w:rsid w:val="00D47575"/>
    <w:rsid w:val="00D47F60"/>
    <w:rsid w:val="00D53745"/>
    <w:rsid w:val="00D640BD"/>
    <w:rsid w:val="00D65C55"/>
    <w:rsid w:val="00D667C3"/>
    <w:rsid w:val="00D70714"/>
    <w:rsid w:val="00D70F16"/>
    <w:rsid w:val="00D74681"/>
    <w:rsid w:val="00D76A44"/>
    <w:rsid w:val="00D815EF"/>
    <w:rsid w:val="00D828A1"/>
    <w:rsid w:val="00D91923"/>
    <w:rsid w:val="00D91E30"/>
    <w:rsid w:val="00D93753"/>
    <w:rsid w:val="00D94578"/>
    <w:rsid w:val="00D95BFE"/>
    <w:rsid w:val="00D95EE3"/>
    <w:rsid w:val="00DA03C4"/>
    <w:rsid w:val="00DA1210"/>
    <w:rsid w:val="00DA1739"/>
    <w:rsid w:val="00DA3167"/>
    <w:rsid w:val="00DA413C"/>
    <w:rsid w:val="00DA4DC3"/>
    <w:rsid w:val="00DA6C0C"/>
    <w:rsid w:val="00DA77A5"/>
    <w:rsid w:val="00DB0A82"/>
    <w:rsid w:val="00DB2872"/>
    <w:rsid w:val="00DB3807"/>
    <w:rsid w:val="00DB43E7"/>
    <w:rsid w:val="00DB484F"/>
    <w:rsid w:val="00DC04F6"/>
    <w:rsid w:val="00DC2CA5"/>
    <w:rsid w:val="00DC3C57"/>
    <w:rsid w:val="00DC46A6"/>
    <w:rsid w:val="00DC5501"/>
    <w:rsid w:val="00DC6A55"/>
    <w:rsid w:val="00DD0DAB"/>
    <w:rsid w:val="00DD273C"/>
    <w:rsid w:val="00DD3F28"/>
    <w:rsid w:val="00DD4537"/>
    <w:rsid w:val="00DD4E15"/>
    <w:rsid w:val="00DD61D7"/>
    <w:rsid w:val="00DE3138"/>
    <w:rsid w:val="00DE37F8"/>
    <w:rsid w:val="00DE42F4"/>
    <w:rsid w:val="00DE4FCB"/>
    <w:rsid w:val="00DE560D"/>
    <w:rsid w:val="00DE7832"/>
    <w:rsid w:val="00DE7B05"/>
    <w:rsid w:val="00DF0CE5"/>
    <w:rsid w:val="00DF18FC"/>
    <w:rsid w:val="00DF2091"/>
    <w:rsid w:val="00DF3C05"/>
    <w:rsid w:val="00DF5D2B"/>
    <w:rsid w:val="00DF602E"/>
    <w:rsid w:val="00DF6538"/>
    <w:rsid w:val="00E00E8E"/>
    <w:rsid w:val="00E01C32"/>
    <w:rsid w:val="00E02613"/>
    <w:rsid w:val="00E04EAF"/>
    <w:rsid w:val="00E05630"/>
    <w:rsid w:val="00E06DBB"/>
    <w:rsid w:val="00E10149"/>
    <w:rsid w:val="00E11C7E"/>
    <w:rsid w:val="00E1211A"/>
    <w:rsid w:val="00E127C1"/>
    <w:rsid w:val="00E14DAB"/>
    <w:rsid w:val="00E16372"/>
    <w:rsid w:val="00E20E4D"/>
    <w:rsid w:val="00E20ED6"/>
    <w:rsid w:val="00E21358"/>
    <w:rsid w:val="00E2249B"/>
    <w:rsid w:val="00E226FB"/>
    <w:rsid w:val="00E22A0D"/>
    <w:rsid w:val="00E24B58"/>
    <w:rsid w:val="00E2771E"/>
    <w:rsid w:val="00E32446"/>
    <w:rsid w:val="00E32F22"/>
    <w:rsid w:val="00E34948"/>
    <w:rsid w:val="00E366F6"/>
    <w:rsid w:val="00E37569"/>
    <w:rsid w:val="00E40D76"/>
    <w:rsid w:val="00E41E30"/>
    <w:rsid w:val="00E43D70"/>
    <w:rsid w:val="00E44682"/>
    <w:rsid w:val="00E45978"/>
    <w:rsid w:val="00E466F3"/>
    <w:rsid w:val="00E47B2C"/>
    <w:rsid w:val="00E51560"/>
    <w:rsid w:val="00E52A2A"/>
    <w:rsid w:val="00E54347"/>
    <w:rsid w:val="00E55424"/>
    <w:rsid w:val="00E55BB5"/>
    <w:rsid w:val="00E60B79"/>
    <w:rsid w:val="00E6317F"/>
    <w:rsid w:val="00E63D9D"/>
    <w:rsid w:val="00E65E79"/>
    <w:rsid w:val="00E66BA2"/>
    <w:rsid w:val="00E67416"/>
    <w:rsid w:val="00E718B6"/>
    <w:rsid w:val="00E723BA"/>
    <w:rsid w:val="00E73581"/>
    <w:rsid w:val="00E761B7"/>
    <w:rsid w:val="00E76CC0"/>
    <w:rsid w:val="00E80072"/>
    <w:rsid w:val="00E807FB"/>
    <w:rsid w:val="00E8280C"/>
    <w:rsid w:val="00E82D4C"/>
    <w:rsid w:val="00E833F7"/>
    <w:rsid w:val="00E83BDF"/>
    <w:rsid w:val="00E870E8"/>
    <w:rsid w:val="00E87A1D"/>
    <w:rsid w:val="00E91036"/>
    <w:rsid w:val="00E926A5"/>
    <w:rsid w:val="00E95068"/>
    <w:rsid w:val="00E96A31"/>
    <w:rsid w:val="00E97FAB"/>
    <w:rsid w:val="00EA0679"/>
    <w:rsid w:val="00EA0EFF"/>
    <w:rsid w:val="00EA17C3"/>
    <w:rsid w:val="00EA238B"/>
    <w:rsid w:val="00EA2CAA"/>
    <w:rsid w:val="00EA3864"/>
    <w:rsid w:val="00EA5593"/>
    <w:rsid w:val="00EB15B6"/>
    <w:rsid w:val="00EB298E"/>
    <w:rsid w:val="00EB395C"/>
    <w:rsid w:val="00EB47A7"/>
    <w:rsid w:val="00EB4916"/>
    <w:rsid w:val="00EB6FE6"/>
    <w:rsid w:val="00EB74A7"/>
    <w:rsid w:val="00EC00C9"/>
    <w:rsid w:val="00EC2649"/>
    <w:rsid w:val="00EC48E0"/>
    <w:rsid w:val="00ED14C5"/>
    <w:rsid w:val="00ED2751"/>
    <w:rsid w:val="00ED57EA"/>
    <w:rsid w:val="00ED7373"/>
    <w:rsid w:val="00EE020C"/>
    <w:rsid w:val="00EE046D"/>
    <w:rsid w:val="00EE07D3"/>
    <w:rsid w:val="00EE0D4E"/>
    <w:rsid w:val="00EE22AF"/>
    <w:rsid w:val="00EE2393"/>
    <w:rsid w:val="00EE7C0E"/>
    <w:rsid w:val="00EE7CA2"/>
    <w:rsid w:val="00EF0171"/>
    <w:rsid w:val="00EF1B25"/>
    <w:rsid w:val="00EF26E1"/>
    <w:rsid w:val="00EF4747"/>
    <w:rsid w:val="00EF4970"/>
    <w:rsid w:val="00EF4BF8"/>
    <w:rsid w:val="00EF5617"/>
    <w:rsid w:val="00F007FB"/>
    <w:rsid w:val="00F02253"/>
    <w:rsid w:val="00F03C2E"/>
    <w:rsid w:val="00F04A66"/>
    <w:rsid w:val="00F0516C"/>
    <w:rsid w:val="00F053B9"/>
    <w:rsid w:val="00F067A2"/>
    <w:rsid w:val="00F07819"/>
    <w:rsid w:val="00F1263A"/>
    <w:rsid w:val="00F14644"/>
    <w:rsid w:val="00F21FAE"/>
    <w:rsid w:val="00F24837"/>
    <w:rsid w:val="00F2575F"/>
    <w:rsid w:val="00F27016"/>
    <w:rsid w:val="00F27565"/>
    <w:rsid w:val="00F310D4"/>
    <w:rsid w:val="00F31D5A"/>
    <w:rsid w:val="00F33DE9"/>
    <w:rsid w:val="00F3619A"/>
    <w:rsid w:val="00F36D89"/>
    <w:rsid w:val="00F40AAA"/>
    <w:rsid w:val="00F40BA7"/>
    <w:rsid w:val="00F40E3D"/>
    <w:rsid w:val="00F44303"/>
    <w:rsid w:val="00F46CB6"/>
    <w:rsid w:val="00F47DE8"/>
    <w:rsid w:val="00F51A1B"/>
    <w:rsid w:val="00F51B9C"/>
    <w:rsid w:val="00F51C17"/>
    <w:rsid w:val="00F542C1"/>
    <w:rsid w:val="00F557CE"/>
    <w:rsid w:val="00F55E73"/>
    <w:rsid w:val="00F55EDA"/>
    <w:rsid w:val="00F60092"/>
    <w:rsid w:val="00F60441"/>
    <w:rsid w:val="00F64455"/>
    <w:rsid w:val="00F65F4B"/>
    <w:rsid w:val="00F664F8"/>
    <w:rsid w:val="00F67CCA"/>
    <w:rsid w:val="00F70C9D"/>
    <w:rsid w:val="00F744BE"/>
    <w:rsid w:val="00F748FE"/>
    <w:rsid w:val="00F74CD9"/>
    <w:rsid w:val="00F770CC"/>
    <w:rsid w:val="00F77B13"/>
    <w:rsid w:val="00F80A7B"/>
    <w:rsid w:val="00F80E5D"/>
    <w:rsid w:val="00F8236F"/>
    <w:rsid w:val="00F84270"/>
    <w:rsid w:val="00F851CE"/>
    <w:rsid w:val="00F87176"/>
    <w:rsid w:val="00F90006"/>
    <w:rsid w:val="00F91219"/>
    <w:rsid w:val="00F918DD"/>
    <w:rsid w:val="00F93E8C"/>
    <w:rsid w:val="00F96019"/>
    <w:rsid w:val="00F96CD1"/>
    <w:rsid w:val="00F97A78"/>
    <w:rsid w:val="00FA0B20"/>
    <w:rsid w:val="00FA1E4C"/>
    <w:rsid w:val="00FA24E7"/>
    <w:rsid w:val="00FA7087"/>
    <w:rsid w:val="00FB2FCB"/>
    <w:rsid w:val="00FB4ABB"/>
    <w:rsid w:val="00FC08F6"/>
    <w:rsid w:val="00FC1074"/>
    <w:rsid w:val="00FC1884"/>
    <w:rsid w:val="00FC371D"/>
    <w:rsid w:val="00FC5F0B"/>
    <w:rsid w:val="00FD0384"/>
    <w:rsid w:val="00FD1891"/>
    <w:rsid w:val="00FD2100"/>
    <w:rsid w:val="00FD24E2"/>
    <w:rsid w:val="00FD281C"/>
    <w:rsid w:val="00FD2DC4"/>
    <w:rsid w:val="00FD348B"/>
    <w:rsid w:val="00FD436C"/>
    <w:rsid w:val="00FD446D"/>
    <w:rsid w:val="00FD55AF"/>
    <w:rsid w:val="00FD61AC"/>
    <w:rsid w:val="00FD6394"/>
    <w:rsid w:val="00FE0B51"/>
    <w:rsid w:val="00FE0E6C"/>
    <w:rsid w:val="00FE6C67"/>
    <w:rsid w:val="00FE70C3"/>
    <w:rsid w:val="00FF2759"/>
    <w:rsid w:val="00FF3D2F"/>
    <w:rsid w:val="00FF3DCF"/>
    <w:rsid w:val="00FF492C"/>
    <w:rsid w:val="00FF4A21"/>
    <w:rsid w:val="00FF4F0B"/>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F9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D"/>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D70714"/>
    <w:pPr>
      <w:keepNext/>
      <w:widowControl/>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70714"/>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aliases w:val="aTitle"/>
    <w:basedOn w:val="Normal"/>
    <w:link w:val="BodyTextChar"/>
    <w:qFormat/>
    <w:rsid w:val="001E4C3E"/>
    <w:pPr>
      <w:widowControl/>
      <w:ind w:left="1276" w:hanging="1276"/>
      <w:jc w:val="left"/>
      <w:outlineLvl w:val="0"/>
    </w:pPr>
    <w:rPr>
      <w:b/>
      <w:sz w:val="36"/>
      <w:szCs w:val="36"/>
    </w:rPr>
  </w:style>
  <w:style w:type="character" w:customStyle="1" w:styleId="BodyTextChar">
    <w:name w:val="Body Text Char"/>
    <w:aliases w:val="aTitle Char"/>
    <w:basedOn w:val="DefaultParagraphFont"/>
    <w:link w:val="BodyText"/>
    <w:rsid w:val="001E4C3E"/>
    <w:rPr>
      <w:rFonts w:ascii="Calibri" w:hAnsi="Calibri" w:cs="Arial"/>
      <w:b/>
      <w:snapToGrid w:val="0"/>
      <w:sz w:val="36"/>
      <w:szCs w:val="36"/>
      <w:lang w:eastAsia="en-US"/>
    </w:rPr>
  </w:style>
  <w:style w:type="paragraph" w:styleId="ListParagraph">
    <w:name w:val="List Paragraph"/>
    <w:aliases w:val="Numbered para,BulletPoints,Footnote,Bullet point,List Paragraph1,List Paragraph11,Recommendation"/>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val="0"/>
    </w:rPr>
  </w:style>
  <w:style w:type="character" w:customStyle="1" w:styleId="RegularTextChar">
    <w:name w:val="Regular Text Char"/>
    <w:basedOn w:val="BodyTextChar"/>
    <w:link w:val="RegularText"/>
    <w:rsid w:val="00124A51"/>
    <w:rPr>
      <w:rFonts w:ascii="Arial" w:hAnsi="Arial" w:cs="Arial"/>
      <w:b w:val="0"/>
      <w:snapToGrid w:val="0"/>
      <w:sz w:val="22"/>
      <w:szCs w:val="36"/>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leftalign">
    <w:name w:val="Table Text left align"/>
    <w:basedOn w:val="Normal"/>
    <w:link w:val="TableTextleftalignChar"/>
    <w:qFormat/>
    <w:rsid w:val="00E60B79"/>
    <w:pPr>
      <w:widowControl/>
      <w:jc w:val="left"/>
    </w:pPr>
    <w:rPr>
      <w:rFonts w:eastAsia="Batang" w:cstheme="majorBidi"/>
      <w:snapToGrid/>
      <w:sz w:val="18"/>
      <w:szCs w:val="18"/>
      <w:lang w:val="en-US" w:eastAsia="en-AU" w:bidi="en-US"/>
    </w:rPr>
  </w:style>
  <w:style w:type="character" w:customStyle="1" w:styleId="TableTextleftalignChar">
    <w:name w:val="Table Text left align Char"/>
    <w:basedOn w:val="DefaultParagraphFont"/>
    <w:link w:val="TableTextleftalign"/>
    <w:rsid w:val="00E60B79"/>
    <w:rPr>
      <w:rFonts w:ascii="Calibri" w:eastAsia="Batang" w:hAnsi="Calibri" w:cstheme="majorBidi"/>
      <w:sz w:val="18"/>
      <w:szCs w:val="18"/>
      <w:lang w:val="en-US" w:bidi="en-US"/>
    </w:rPr>
  </w:style>
  <w:style w:type="character" w:customStyle="1" w:styleId="SmallItalics">
    <w:name w:val="Small Italics"/>
    <w:basedOn w:val="DefaultParagraphFont"/>
    <w:uiPriority w:val="4"/>
    <w:qFormat/>
    <w:rsid w:val="00E60B79"/>
    <w:rPr>
      <w:rFonts w:ascii="Calibri" w:hAnsi="Calibri"/>
      <w:i/>
      <w:sz w:val="20"/>
    </w:rPr>
  </w:style>
  <w:style w:type="character" w:customStyle="1" w:styleId="Small">
    <w:name w:val="Small"/>
    <w:basedOn w:val="DefaultParagraphFont"/>
    <w:uiPriority w:val="4"/>
    <w:qFormat/>
    <w:rsid w:val="00351D01"/>
    <w:rPr>
      <w:rFonts w:ascii="Calibri" w:hAnsi="Calibri"/>
      <w:sz w:val="20"/>
    </w:rPr>
  </w:style>
  <w:style w:type="paragraph" w:customStyle="1" w:styleId="TableTextcentred">
    <w:name w:val="Table Text centred"/>
    <w:basedOn w:val="Normal"/>
    <w:link w:val="TableTextcentredChar"/>
    <w:qFormat/>
    <w:rsid w:val="00351D01"/>
    <w:pPr>
      <w:widowControl/>
      <w:jc w:val="center"/>
    </w:pPr>
    <w:rPr>
      <w:rFonts w:cs="Times New Roman"/>
      <w:snapToGrid/>
      <w:sz w:val="18"/>
      <w:szCs w:val="18"/>
    </w:rPr>
  </w:style>
  <w:style w:type="character" w:customStyle="1" w:styleId="TableTextcentredChar">
    <w:name w:val="Table Text centred Char"/>
    <w:basedOn w:val="DefaultParagraphFont"/>
    <w:link w:val="TableTextcentred"/>
    <w:rsid w:val="00351D01"/>
    <w:rPr>
      <w:rFonts w:ascii="Calibri" w:hAnsi="Calibri"/>
      <w:sz w:val="18"/>
      <w:szCs w:val="18"/>
      <w:lang w:eastAsia="en-US"/>
    </w:rPr>
  </w:style>
  <w:style w:type="paragraph" w:customStyle="1" w:styleId="bulletlevel1">
    <w:name w:val="bullet level 1"/>
    <w:basedOn w:val="Normal"/>
    <w:link w:val="bulletlevel1Char"/>
    <w:rsid w:val="00351D01"/>
    <w:pPr>
      <w:widowControl/>
      <w:numPr>
        <w:numId w:val="4"/>
      </w:numPr>
      <w:tabs>
        <w:tab w:val="clear" w:pos="567"/>
        <w:tab w:val="num" w:pos="426"/>
      </w:tabs>
      <w:ind w:left="426" w:hanging="426"/>
      <w:jc w:val="left"/>
    </w:pPr>
    <w:rPr>
      <w:rFonts w:asciiTheme="minorHAnsi" w:eastAsiaTheme="minorHAnsi" w:hAnsiTheme="minorHAnsi" w:cstheme="minorHAnsi"/>
      <w:snapToGrid/>
      <w:sz w:val="22"/>
    </w:rPr>
  </w:style>
  <w:style w:type="character" w:customStyle="1" w:styleId="bulletlevel1Char">
    <w:name w:val="bullet level 1 Char"/>
    <w:basedOn w:val="DefaultParagraphFont"/>
    <w:link w:val="bulletlevel1"/>
    <w:rsid w:val="00351D01"/>
    <w:rPr>
      <w:rFonts w:asciiTheme="minorHAnsi" w:eastAsiaTheme="minorHAnsi" w:hAnsiTheme="minorHAnsi" w:cstheme="minorHAnsi"/>
      <w:sz w:val="22"/>
      <w:szCs w:val="22"/>
      <w:lang w:eastAsia="en-US"/>
    </w:rPr>
  </w:style>
  <w:style w:type="paragraph" w:customStyle="1" w:styleId="TableTextbullet">
    <w:name w:val="Table Text bullet"/>
    <w:basedOn w:val="Normal"/>
    <w:link w:val="TableTextbulletChar"/>
    <w:autoRedefine/>
    <w:qFormat/>
    <w:rsid w:val="001F3EE3"/>
    <w:pPr>
      <w:widowControl/>
      <w:numPr>
        <w:numId w:val="5"/>
      </w:numPr>
      <w:tabs>
        <w:tab w:val="clear" w:pos="425"/>
        <w:tab w:val="num" w:pos="318"/>
      </w:tabs>
      <w:ind w:left="284" w:hanging="284"/>
      <w:jc w:val="left"/>
    </w:pPr>
    <w:rPr>
      <w:rFonts w:eastAsiaTheme="majorEastAsia" w:cstheme="majorBidi"/>
      <w:snapToGrid/>
      <w:sz w:val="18"/>
      <w:szCs w:val="20"/>
      <w:lang w:val="en-US" w:bidi="en-US"/>
    </w:rPr>
  </w:style>
  <w:style w:type="character" w:customStyle="1" w:styleId="TableTextbulletChar">
    <w:name w:val="Table Text bullet Char"/>
    <w:basedOn w:val="DefaultParagraphFont"/>
    <w:link w:val="TableTextbullet"/>
    <w:rsid w:val="001F3EE3"/>
    <w:rPr>
      <w:rFonts w:ascii="Calibri" w:eastAsiaTheme="majorEastAsia" w:hAnsi="Calibri" w:cstheme="majorBidi"/>
      <w:sz w:val="18"/>
      <w:lang w:val="en-US" w:eastAsia="en-US" w:bidi="en-US"/>
    </w:rPr>
  </w:style>
  <w:style w:type="paragraph" w:customStyle="1" w:styleId="TableTitlecentred">
    <w:name w:val="Table Title centred"/>
    <w:basedOn w:val="Normal"/>
    <w:autoRedefine/>
    <w:rsid w:val="00426B6E"/>
    <w:pPr>
      <w:widowControl/>
      <w:jc w:val="center"/>
    </w:pPr>
    <w:rPr>
      <w:rFonts w:eastAsia="Batang" w:cstheme="majorBidi"/>
      <w:snapToGrid/>
      <w:sz w:val="18"/>
      <w:szCs w:val="20"/>
      <w:lang w:val="en-US" w:eastAsia="en-AU" w:bidi="en-US"/>
    </w:rPr>
  </w:style>
  <w:style w:type="table" w:customStyle="1" w:styleId="TableGrid3">
    <w:name w:val="Table Grid3"/>
    <w:basedOn w:val="TableNormal"/>
    <w:next w:val="TableGrid"/>
    <w:uiPriority w:val="39"/>
    <w:rsid w:val="00426B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746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A328C"/>
    <w:rPr>
      <w:sz w:val="20"/>
      <w:szCs w:val="20"/>
    </w:rPr>
  </w:style>
  <w:style w:type="character" w:customStyle="1" w:styleId="FootnoteTextChar">
    <w:name w:val="Footnote Text Char"/>
    <w:basedOn w:val="DefaultParagraphFont"/>
    <w:link w:val="FootnoteText"/>
    <w:semiHidden/>
    <w:rsid w:val="00BA328C"/>
    <w:rPr>
      <w:rFonts w:ascii="Calibri" w:hAnsi="Calibri" w:cs="Arial"/>
      <w:snapToGrid w:val="0"/>
      <w:lang w:eastAsia="en-US"/>
    </w:rPr>
  </w:style>
  <w:style w:type="character" w:styleId="FootnoteReference">
    <w:name w:val="footnote reference"/>
    <w:basedOn w:val="DefaultParagraphFont"/>
    <w:semiHidden/>
    <w:unhideWhenUsed/>
    <w:rsid w:val="00BA328C"/>
    <w:rPr>
      <w:vertAlign w:val="superscript"/>
    </w:rPr>
  </w:style>
  <w:style w:type="table" w:customStyle="1" w:styleId="Submissionstandard">
    <w:name w:val="Submission standard"/>
    <w:basedOn w:val="TableNormal"/>
    <w:uiPriority w:val="99"/>
    <w:qFormat/>
    <w:rsid w:val="0090137C"/>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 w:type="paragraph" w:styleId="PlainText">
    <w:name w:val="Plain Text"/>
    <w:basedOn w:val="Normal"/>
    <w:link w:val="PlainTextChar"/>
    <w:uiPriority w:val="99"/>
    <w:rsid w:val="004808A4"/>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4808A4"/>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55877">
      <w:bodyDiv w:val="1"/>
      <w:marLeft w:val="0"/>
      <w:marRight w:val="0"/>
      <w:marTop w:val="0"/>
      <w:marBottom w:val="0"/>
      <w:divBdr>
        <w:top w:val="none" w:sz="0" w:space="0" w:color="auto"/>
        <w:left w:val="none" w:sz="0" w:space="0" w:color="auto"/>
        <w:bottom w:val="none" w:sz="0" w:space="0" w:color="auto"/>
        <w:right w:val="none" w:sz="0" w:space="0" w:color="auto"/>
      </w:divBdr>
    </w:div>
    <w:div w:id="140923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B634E-7E6D-456C-B978-85716D03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4154</Words>
  <Characters>22379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2019-02-21T20:52:00Z</dcterms:created>
  <dcterms:modified xsi:type="dcterms:W3CDTF">2019-02-25T02:44:00Z</dcterms:modified>
</cp:coreProperties>
</file>