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2A7CC6" w:rsidRDefault="00BE5DE1" w:rsidP="00DD02B3">
      <w:pPr>
        <w:widowControl/>
        <w:ind w:left="851" w:hanging="851"/>
        <w:jc w:val="left"/>
        <w:rPr>
          <w:b/>
          <w:sz w:val="36"/>
          <w:szCs w:val="36"/>
        </w:rPr>
      </w:pPr>
      <w:r w:rsidRPr="002A7CC6">
        <w:rPr>
          <w:b/>
          <w:sz w:val="36"/>
          <w:szCs w:val="36"/>
        </w:rPr>
        <w:t>5.07</w:t>
      </w:r>
      <w:r w:rsidR="00B60939" w:rsidRPr="002A7CC6">
        <w:rPr>
          <w:b/>
          <w:sz w:val="36"/>
          <w:szCs w:val="36"/>
        </w:rPr>
        <w:tab/>
      </w:r>
      <w:r w:rsidR="008B2888" w:rsidRPr="002A7CC6">
        <w:rPr>
          <w:b/>
          <w:sz w:val="36"/>
          <w:szCs w:val="36"/>
        </w:rPr>
        <w:t>INOTUZUMAB OZOGAMICIN</w:t>
      </w:r>
      <w:r w:rsidR="00B60939" w:rsidRPr="002A7CC6">
        <w:rPr>
          <w:b/>
          <w:sz w:val="36"/>
          <w:szCs w:val="36"/>
        </w:rPr>
        <w:t xml:space="preserve">, </w:t>
      </w:r>
      <w:r w:rsidR="005970AE" w:rsidRPr="002A7CC6">
        <w:rPr>
          <w:b/>
          <w:sz w:val="36"/>
          <w:szCs w:val="36"/>
        </w:rPr>
        <w:br/>
        <w:t>P</w:t>
      </w:r>
      <w:r w:rsidR="008B2888" w:rsidRPr="002A7CC6">
        <w:rPr>
          <w:b/>
          <w:sz w:val="36"/>
          <w:szCs w:val="36"/>
        </w:rPr>
        <w:t>owder for IV infusion</w:t>
      </w:r>
      <w:r w:rsidR="00B60939" w:rsidRPr="002A7CC6">
        <w:rPr>
          <w:b/>
          <w:sz w:val="36"/>
          <w:szCs w:val="36"/>
        </w:rPr>
        <w:t xml:space="preserve">, </w:t>
      </w:r>
      <w:r w:rsidR="008B2888" w:rsidRPr="002A7CC6">
        <w:rPr>
          <w:b/>
          <w:sz w:val="36"/>
          <w:szCs w:val="36"/>
        </w:rPr>
        <w:t>1 mg vial</w:t>
      </w:r>
      <w:r w:rsidR="00B60939" w:rsidRPr="002A7CC6">
        <w:rPr>
          <w:b/>
          <w:sz w:val="36"/>
          <w:szCs w:val="36"/>
        </w:rPr>
        <w:t xml:space="preserve">, </w:t>
      </w:r>
      <w:r w:rsidR="005970AE" w:rsidRPr="002A7CC6">
        <w:rPr>
          <w:b/>
          <w:sz w:val="36"/>
          <w:szCs w:val="36"/>
        </w:rPr>
        <w:br/>
      </w:r>
      <w:proofErr w:type="spellStart"/>
      <w:r w:rsidR="008B2888" w:rsidRPr="002A7CC6">
        <w:rPr>
          <w:b/>
          <w:sz w:val="36"/>
          <w:szCs w:val="36"/>
        </w:rPr>
        <w:t>Besponsa</w:t>
      </w:r>
      <w:proofErr w:type="spellEnd"/>
      <w:r w:rsidR="00B60939" w:rsidRPr="00DC2132">
        <w:rPr>
          <w:b/>
          <w:sz w:val="36"/>
          <w:szCs w:val="36"/>
        </w:rPr>
        <w:t>®</w:t>
      </w:r>
      <w:r w:rsidR="00B60939" w:rsidRPr="002A7CC6">
        <w:rPr>
          <w:b/>
          <w:sz w:val="36"/>
          <w:szCs w:val="36"/>
        </w:rPr>
        <w:t xml:space="preserve">, </w:t>
      </w:r>
      <w:r w:rsidR="00A102C7">
        <w:rPr>
          <w:b/>
          <w:sz w:val="36"/>
          <w:szCs w:val="36"/>
        </w:rPr>
        <w:br/>
      </w:r>
      <w:r w:rsidR="008B2888" w:rsidRPr="002A7CC6">
        <w:rPr>
          <w:b/>
          <w:sz w:val="36"/>
          <w:szCs w:val="36"/>
        </w:rPr>
        <w:t>Pfizer Australia</w:t>
      </w:r>
    </w:p>
    <w:p w:rsidR="006955B3" w:rsidRPr="00DD02B3" w:rsidRDefault="006955B3" w:rsidP="00DD02B3">
      <w:pPr>
        <w:pStyle w:val="Heading1"/>
      </w:pPr>
      <w:bookmarkStart w:id="0" w:name="_Toc521973895"/>
      <w:bookmarkStart w:id="1" w:name="_Toc524520426"/>
      <w:r w:rsidRPr="00DD02B3">
        <w:t>Purpose of Application</w:t>
      </w:r>
      <w:bookmarkEnd w:id="0"/>
      <w:bookmarkEnd w:id="1"/>
    </w:p>
    <w:p w:rsidR="006955B3" w:rsidRPr="002A7CC6" w:rsidRDefault="006955B3" w:rsidP="00572794">
      <w:pPr>
        <w:pStyle w:val="ListParagraph"/>
        <w:widowControl/>
        <w:numPr>
          <w:ilvl w:val="1"/>
          <w:numId w:val="1"/>
        </w:numPr>
      </w:pPr>
      <w:r w:rsidRPr="002A7CC6">
        <w:t xml:space="preserve">The submission requested a Section 100 Authority Required </w:t>
      </w:r>
      <w:r w:rsidR="00473CE7" w:rsidRPr="002A7CC6">
        <w:t>(In W</w:t>
      </w:r>
      <w:r w:rsidR="00E511A1" w:rsidRPr="002A7CC6">
        <w:t xml:space="preserve">riting) </w:t>
      </w:r>
      <w:r w:rsidRPr="002A7CC6">
        <w:t xml:space="preserve">Efficient Funding of Chemotherapy listing for inotuzumab </w:t>
      </w:r>
      <w:proofErr w:type="spellStart"/>
      <w:r w:rsidR="00572794" w:rsidRPr="00572794">
        <w:t>ozogamicin</w:t>
      </w:r>
      <w:proofErr w:type="spellEnd"/>
      <w:r w:rsidR="00572794">
        <w:t xml:space="preserve"> (herein referred to as ‘inotuzumab’)</w:t>
      </w:r>
      <w:r w:rsidR="00572794" w:rsidRPr="00572794">
        <w:t xml:space="preserve"> </w:t>
      </w:r>
      <w:r w:rsidRPr="002A7CC6">
        <w:t>for the treatment of relapsed or refractory Philadelphia chromosome negative CD22 positive</w:t>
      </w:r>
      <w:r w:rsidR="00D7280E" w:rsidRPr="002A7CC6">
        <w:t xml:space="preserve"> B-cell precursor acute lymphoblastic leukaemia (B-ALL)</w:t>
      </w:r>
      <w:r w:rsidR="00572794">
        <w:t>. This wa</w:t>
      </w:r>
      <w:r w:rsidRPr="002A7CC6">
        <w:t>s the first consideration of inotuzumab by the PBAC.</w:t>
      </w:r>
    </w:p>
    <w:p w:rsidR="006955B3" w:rsidRPr="002A7CC6" w:rsidRDefault="006955B3" w:rsidP="00007D60">
      <w:pPr>
        <w:pStyle w:val="ListParagraph"/>
        <w:widowControl/>
        <w:numPr>
          <w:ilvl w:val="1"/>
          <w:numId w:val="1"/>
        </w:numPr>
        <w:spacing w:after="120"/>
      </w:pPr>
      <w:r w:rsidRPr="002A7CC6">
        <w:t>Listing was requested on a cost</w:t>
      </w:r>
      <w:r w:rsidR="00AF6873" w:rsidRPr="002A7CC6">
        <w:t>-</w:t>
      </w:r>
      <w:r w:rsidRPr="002A7CC6">
        <w:t xml:space="preserve">minimisation </w:t>
      </w:r>
      <w:r w:rsidR="00785D4A" w:rsidRPr="002A7CC6">
        <w:t xml:space="preserve">basis </w:t>
      </w:r>
      <w:r w:rsidRPr="002A7CC6">
        <w:t>compared to blinatumomab.</w:t>
      </w:r>
    </w:p>
    <w:p w:rsidR="006955B3" w:rsidRPr="002A7CC6" w:rsidRDefault="006955B3" w:rsidP="00007D60">
      <w:pPr>
        <w:keepNext/>
        <w:widowControl/>
        <w:rPr>
          <w:rStyle w:val="CommentReference"/>
        </w:rPr>
      </w:pPr>
      <w:r w:rsidRPr="002A7CC6">
        <w:rPr>
          <w:rStyle w:val="CommentReference"/>
        </w:rPr>
        <w:t>Table 1: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84"/>
      </w:tblGrid>
      <w:tr w:rsidR="006955B3" w:rsidRPr="002A7CC6" w:rsidTr="00D7280E">
        <w:trPr>
          <w:cantSplit/>
          <w:tblHeader/>
        </w:trPr>
        <w:tc>
          <w:tcPr>
            <w:tcW w:w="1588" w:type="dxa"/>
            <w:shd w:val="clear" w:color="auto" w:fill="auto"/>
          </w:tcPr>
          <w:p w:rsidR="006955B3" w:rsidRPr="002A7CC6" w:rsidRDefault="006955B3" w:rsidP="00007D60">
            <w:pPr>
              <w:pStyle w:val="Tabletext"/>
              <w:keepNext/>
              <w:rPr>
                <w:b/>
                <w:szCs w:val="20"/>
              </w:rPr>
            </w:pPr>
            <w:r w:rsidRPr="002A7CC6">
              <w:rPr>
                <w:b/>
              </w:rPr>
              <w:t>Component</w:t>
            </w:r>
          </w:p>
        </w:tc>
        <w:tc>
          <w:tcPr>
            <w:tcW w:w="7484" w:type="dxa"/>
            <w:shd w:val="clear" w:color="auto" w:fill="auto"/>
          </w:tcPr>
          <w:p w:rsidR="006955B3" w:rsidRPr="002A7CC6" w:rsidRDefault="006955B3" w:rsidP="00007D60">
            <w:pPr>
              <w:pStyle w:val="Tabletext"/>
              <w:keepNext/>
              <w:jc w:val="center"/>
              <w:rPr>
                <w:b/>
              </w:rPr>
            </w:pPr>
            <w:r w:rsidRPr="002A7CC6">
              <w:rPr>
                <w:b/>
              </w:rPr>
              <w:t>Description</w:t>
            </w:r>
          </w:p>
        </w:tc>
      </w:tr>
      <w:tr w:rsidR="006955B3" w:rsidRPr="002A7CC6" w:rsidTr="00D7280E">
        <w:trPr>
          <w:cantSplit/>
        </w:trPr>
        <w:tc>
          <w:tcPr>
            <w:tcW w:w="1588" w:type="dxa"/>
            <w:shd w:val="clear" w:color="auto" w:fill="auto"/>
          </w:tcPr>
          <w:p w:rsidR="006955B3" w:rsidRPr="002A7CC6" w:rsidRDefault="006955B3" w:rsidP="00007D60">
            <w:pPr>
              <w:pStyle w:val="Tabletext"/>
              <w:keepNext/>
            </w:pPr>
            <w:r w:rsidRPr="002A7CC6">
              <w:t>Population</w:t>
            </w:r>
          </w:p>
        </w:tc>
        <w:tc>
          <w:tcPr>
            <w:tcW w:w="7484" w:type="dxa"/>
            <w:shd w:val="clear" w:color="auto" w:fill="auto"/>
            <w:vAlign w:val="center"/>
          </w:tcPr>
          <w:p w:rsidR="006955B3" w:rsidRPr="002A7CC6" w:rsidRDefault="006955B3" w:rsidP="00007D60">
            <w:pPr>
              <w:pStyle w:val="Tabletext"/>
              <w:keepNext/>
            </w:pPr>
            <w:r w:rsidRPr="002A7CC6">
              <w:t>Adults with relapsed/refractory Philadelphia chromosome negative, CD22-positive, B-cell precursor acute lymphoblastic leukaemia.</w:t>
            </w:r>
          </w:p>
        </w:tc>
      </w:tr>
      <w:tr w:rsidR="006955B3" w:rsidRPr="002A7CC6" w:rsidTr="00D7280E">
        <w:trPr>
          <w:cantSplit/>
        </w:trPr>
        <w:tc>
          <w:tcPr>
            <w:tcW w:w="1588" w:type="dxa"/>
            <w:shd w:val="clear" w:color="auto" w:fill="auto"/>
          </w:tcPr>
          <w:p w:rsidR="006955B3" w:rsidRPr="002A7CC6" w:rsidRDefault="006955B3" w:rsidP="00007D60">
            <w:pPr>
              <w:pStyle w:val="Tabletext"/>
              <w:keepNext/>
            </w:pPr>
            <w:r w:rsidRPr="002A7CC6">
              <w:t>Intervention</w:t>
            </w:r>
          </w:p>
        </w:tc>
        <w:tc>
          <w:tcPr>
            <w:tcW w:w="7484" w:type="dxa"/>
            <w:shd w:val="clear" w:color="auto" w:fill="auto"/>
            <w:vAlign w:val="center"/>
          </w:tcPr>
          <w:p w:rsidR="006955B3" w:rsidRPr="002A7CC6" w:rsidRDefault="006955B3" w:rsidP="00007D60">
            <w:pPr>
              <w:pStyle w:val="Tabletext"/>
              <w:keepNext/>
            </w:pPr>
            <w:r w:rsidRPr="002A7CC6">
              <w:t>Inotuzumab by intravenous infusion over 3-4 week cycles. 1.8 mg/m</w:t>
            </w:r>
            <w:r w:rsidRPr="002A7CC6">
              <w:rPr>
                <w:vertAlign w:val="superscript"/>
              </w:rPr>
              <w:t>2</w:t>
            </w:r>
            <w:r w:rsidRPr="002A7CC6">
              <w:t xml:space="preserve"> per cycle (0.8 mg/m</w:t>
            </w:r>
            <w:r w:rsidRPr="002A7CC6">
              <w:rPr>
                <w:vertAlign w:val="superscript"/>
              </w:rPr>
              <w:t>2</w:t>
            </w:r>
            <w:r w:rsidRPr="002A7CC6">
              <w:t xml:space="preserve"> on Day 1, 0.5 mg/m</w:t>
            </w:r>
            <w:r w:rsidRPr="002A7CC6">
              <w:rPr>
                <w:vertAlign w:val="superscript"/>
              </w:rPr>
              <w:t>2</w:t>
            </w:r>
            <w:r w:rsidRPr="002A7CC6">
              <w:t xml:space="preserve"> on Days 8 &amp; 15). First cycle over 21 days and subsequent cycles of 28 days with a treatment free interval from day 16 to 28. Maximum of 6 cycles.</w:t>
            </w:r>
          </w:p>
        </w:tc>
      </w:tr>
      <w:tr w:rsidR="006955B3" w:rsidRPr="002A7CC6" w:rsidTr="00D7280E">
        <w:trPr>
          <w:cantSplit/>
        </w:trPr>
        <w:tc>
          <w:tcPr>
            <w:tcW w:w="1588" w:type="dxa"/>
            <w:shd w:val="clear" w:color="auto" w:fill="auto"/>
          </w:tcPr>
          <w:p w:rsidR="006955B3" w:rsidRPr="002A7CC6" w:rsidRDefault="006955B3" w:rsidP="00007D60">
            <w:pPr>
              <w:pStyle w:val="Tabletext"/>
              <w:keepNext/>
            </w:pPr>
            <w:r w:rsidRPr="002A7CC6">
              <w:t>Comparator</w:t>
            </w:r>
          </w:p>
        </w:tc>
        <w:tc>
          <w:tcPr>
            <w:tcW w:w="7484" w:type="dxa"/>
            <w:shd w:val="clear" w:color="auto" w:fill="auto"/>
            <w:vAlign w:val="center"/>
          </w:tcPr>
          <w:p w:rsidR="006955B3" w:rsidRPr="002A7CC6" w:rsidRDefault="006955B3" w:rsidP="00007D60">
            <w:pPr>
              <w:pStyle w:val="Tabletext"/>
              <w:keepNext/>
            </w:pPr>
            <w:r w:rsidRPr="002A7CC6">
              <w:t>Blinatumomab by continuous intravenous infusion over 28 day cycles, followed by a 14 day treatment free interval. Dose of 9 mcg/m</w:t>
            </w:r>
            <w:r w:rsidRPr="002A7CC6">
              <w:rPr>
                <w:vertAlign w:val="superscript"/>
              </w:rPr>
              <w:t>2</w:t>
            </w:r>
            <w:r w:rsidRPr="002A7CC6">
              <w:t>/day for the first 7 days of Cycle 1, then 28 mcg/m</w:t>
            </w:r>
            <w:r w:rsidRPr="002A7CC6">
              <w:rPr>
                <w:vertAlign w:val="superscript"/>
              </w:rPr>
              <w:t>2</w:t>
            </w:r>
            <w:r w:rsidRPr="002A7CC6">
              <w:t>/day for remainder of Cycle 1 and all subsequent cycles. Maximum of 5 cycles.</w:t>
            </w:r>
          </w:p>
        </w:tc>
      </w:tr>
      <w:tr w:rsidR="006955B3" w:rsidRPr="002A7CC6" w:rsidTr="00D7280E">
        <w:trPr>
          <w:cantSplit/>
        </w:trPr>
        <w:tc>
          <w:tcPr>
            <w:tcW w:w="1588" w:type="dxa"/>
            <w:shd w:val="clear" w:color="auto" w:fill="auto"/>
          </w:tcPr>
          <w:p w:rsidR="006955B3" w:rsidRPr="002A7CC6" w:rsidRDefault="006955B3" w:rsidP="00007D60">
            <w:pPr>
              <w:pStyle w:val="Tabletext"/>
              <w:keepNext/>
            </w:pPr>
            <w:r w:rsidRPr="002A7CC6">
              <w:t>Outcomes</w:t>
            </w:r>
          </w:p>
        </w:tc>
        <w:tc>
          <w:tcPr>
            <w:tcW w:w="7484" w:type="dxa"/>
            <w:shd w:val="clear" w:color="auto" w:fill="auto"/>
            <w:vAlign w:val="center"/>
          </w:tcPr>
          <w:p w:rsidR="006955B3" w:rsidRPr="002A7CC6" w:rsidRDefault="006955B3" w:rsidP="00007D60">
            <w:pPr>
              <w:pStyle w:val="Tabletext"/>
              <w:keepNext/>
            </w:pPr>
            <w:r w:rsidRPr="002A7CC6">
              <w:t>Complete remission, complete remission with incomplete haematological recovery, overall survival, MRD negativity, progression free survival, haematopoietic stem cell transplant rate, duration of response, EQ-5D, EORTC</w:t>
            </w:r>
            <w:r w:rsidRPr="002A7CC6">
              <w:rPr>
                <w:spacing w:val="-3"/>
              </w:rPr>
              <w:t xml:space="preserve"> </w:t>
            </w:r>
            <w:r w:rsidRPr="002A7CC6">
              <w:t>QLQ-C30, safety outcomes (adverse events, treatment discontinuation/interruption).</w:t>
            </w:r>
          </w:p>
        </w:tc>
      </w:tr>
      <w:tr w:rsidR="006955B3" w:rsidRPr="002A7CC6" w:rsidTr="00D7280E">
        <w:trPr>
          <w:cantSplit/>
        </w:trPr>
        <w:tc>
          <w:tcPr>
            <w:tcW w:w="1588" w:type="dxa"/>
            <w:shd w:val="clear" w:color="auto" w:fill="auto"/>
          </w:tcPr>
          <w:p w:rsidR="006955B3" w:rsidRPr="002A7CC6" w:rsidRDefault="006955B3" w:rsidP="00007D60">
            <w:pPr>
              <w:pStyle w:val="Tabletext"/>
            </w:pPr>
            <w:r w:rsidRPr="002A7CC6">
              <w:t>Clinical claim</w:t>
            </w:r>
          </w:p>
        </w:tc>
        <w:tc>
          <w:tcPr>
            <w:tcW w:w="7484" w:type="dxa"/>
            <w:shd w:val="clear" w:color="auto" w:fill="auto"/>
            <w:vAlign w:val="center"/>
          </w:tcPr>
          <w:p w:rsidR="006955B3" w:rsidRPr="002A7CC6" w:rsidRDefault="006955B3" w:rsidP="00007D60">
            <w:pPr>
              <w:pStyle w:val="Tabletext"/>
            </w:pPr>
            <w:r w:rsidRPr="002A7CC6">
              <w:t>In the treatment of relapsed/refractory, Philadelphia chromosome negative, CD22-positive, B-cell precursor acute lymphoblastic leukaemia, inotuzumab is non-inferior in terms of efficacy and different, but non-inferior in terms of safety compared to blinatumomab.</w:t>
            </w:r>
          </w:p>
        </w:tc>
      </w:tr>
    </w:tbl>
    <w:p w:rsidR="006955B3" w:rsidRPr="002A7CC6" w:rsidRDefault="006955B3" w:rsidP="00007D60">
      <w:pPr>
        <w:pStyle w:val="TableFooter"/>
        <w:widowControl/>
      </w:pPr>
      <w:r w:rsidRPr="002A7CC6">
        <w:t>Source: Table 1.1.1, p.14 of the submission.</w:t>
      </w:r>
    </w:p>
    <w:p w:rsidR="006955B3" w:rsidRPr="00DC2132" w:rsidRDefault="006955B3" w:rsidP="00DC2132">
      <w:pPr>
        <w:pStyle w:val="TableFooter"/>
        <w:widowControl/>
        <w:rPr>
          <w:sz w:val="20"/>
        </w:rPr>
      </w:pPr>
      <w:r w:rsidRPr="002A7CC6">
        <w:t>Abbreviations: EQ-5D, EuroQoL-5 Dimension Questionnaire; EORTC</w:t>
      </w:r>
      <w:r w:rsidRPr="002A7CC6">
        <w:rPr>
          <w:spacing w:val="-3"/>
        </w:rPr>
        <w:t xml:space="preserve"> </w:t>
      </w:r>
      <w:r w:rsidRPr="002A7CC6">
        <w:t>QLQ-C30, European Organization for Research and Treatment of Cancer quality of life questionnaire; MRD, minimal residual disease.</w:t>
      </w:r>
    </w:p>
    <w:p w:rsidR="006955B3" w:rsidRPr="002A7CC6" w:rsidRDefault="006955B3" w:rsidP="00DD02B3">
      <w:pPr>
        <w:pStyle w:val="Heading1"/>
      </w:pPr>
      <w:bookmarkStart w:id="2" w:name="_Toc521973896"/>
      <w:bookmarkStart w:id="3" w:name="_Toc524520427"/>
      <w:r w:rsidRPr="002A7CC6">
        <w:t>Requested listing</w:t>
      </w:r>
      <w:bookmarkEnd w:id="2"/>
      <w:bookmarkEnd w:id="3"/>
    </w:p>
    <w:p w:rsidR="005970AE" w:rsidRPr="002A7CC6" w:rsidRDefault="00327D1A" w:rsidP="00327D1A">
      <w:pPr>
        <w:pStyle w:val="ListParagraph"/>
        <w:widowControl/>
        <w:numPr>
          <w:ilvl w:val="1"/>
          <w:numId w:val="1"/>
        </w:numPr>
      </w:pPr>
      <w:r>
        <w:t xml:space="preserve">The requested PBS listing is outlined below, with the PBAC’s suggested additions in </w:t>
      </w:r>
      <w:proofErr w:type="gramStart"/>
      <w:r>
        <w:t>italics</w:t>
      </w:r>
      <w:proofErr w:type="gramEnd"/>
      <w:r>
        <w:t xml:space="preserve"> and deletions in strikethrough.</w:t>
      </w:r>
      <w:r w:rsidRPr="00572794">
        <w:rPr>
          <w:highlight w:val="yellow"/>
        </w:rPr>
        <w:t xml:space="preserve"> </w:t>
      </w:r>
    </w:p>
    <w:p w:rsidR="000F40FA" w:rsidRPr="000F40FA" w:rsidRDefault="000F40FA" w:rsidP="000F40FA">
      <w:pPr>
        <w:keepNext/>
        <w:widowControl/>
        <w:snapToGrid w:val="0"/>
        <w:rPr>
          <w:b/>
          <w:snapToGrid/>
        </w:rPr>
      </w:pPr>
      <w:r w:rsidRPr="000F40FA">
        <w:rPr>
          <w:b/>
          <w:snapToGrid/>
        </w:rPr>
        <w:t>Induction</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852"/>
        <w:gridCol w:w="2286"/>
        <w:gridCol w:w="1069"/>
        <w:gridCol w:w="1405"/>
      </w:tblGrid>
      <w:tr w:rsidR="000F40FA" w:rsidRPr="000F40FA" w:rsidTr="000F40FA">
        <w:trPr>
          <w:cantSplit/>
          <w:trHeight w:val="463"/>
        </w:trPr>
        <w:tc>
          <w:tcPr>
            <w:tcW w:w="1405" w:type="pct"/>
            <w:gridSpan w:val="2"/>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rPr>
                <w:rFonts w:ascii="Arial Narrow" w:hAnsi="Arial Narrow"/>
                <w:b/>
                <w:snapToGrid/>
                <w:sz w:val="20"/>
              </w:rPr>
            </w:pPr>
            <w:r w:rsidRPr="000F40FA">
              <w:rPr>
                <w:rFonts w:ascii="Arial Narrow" w:hAnsi="Arial Narrow"/>
                <w:b/>
                <w:snapToGrid/>
                <w:sz w:val="20"/>
              </w:rPr>
              <w:t>Name, Restriction,</w:t>
            </w:r>
          </w:p>
          <w:p w:rsidR="000F40FA" w:rsidRPr="000F40FA" w:rsidRDefault="000F40FA" w:rsidP="000F40FA">
            <w:pPr>
              <w:keepNext/>
              <w:widowControl/>
              <w:snapToGrid w:val="0"/>
              <w:rPr>
                <w:rFonts w:ascii="Arial Narrow" w:hAnsi="Arial Narrow"/>
                <w:b/>
                <w:snapToGrid/>
                <w:sz w:val="20"/>
              </w:rPr>
            </w:pPr>
            <w:r w:rsidRPr="000F40FA">
              <w:rPr>
                <w:rFonts w:ascii="Arial Narrow" w:hAnsi="Arial Narrow"/>
                <w:b/>
                <w:snapToGrid/>
                <w:sz w:val="20"/>
              </w:rPr>
              <w:t>Manner of administration and form</w:t>
            </w:r>
          </w:p>
        </w:tc>
        <w:tc>
          <w:tcPr>
            <w:tcW w:w="472" w:type="pct"/>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Max.</w:t>
            </w:r>
          </w:p>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Amt</w:t>
            </w:r>
          </w:p>
        </w:tc>
        <w:tc>
          <w:tcPr>
            <w:tcW w:w="474" w:type="pct"/>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№.of</w:t>
            </w:r>
          </w:p>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Rpts</w:t>
            </w:r>
          </w:p>
        </w:tc>
        <w:tc>
          <w:tcPr>
            <w:tcW w:w="1272" w:type="pct"/>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Dispensed Price for Max.  Amt</w:t>
            </w:r>
          </w:p>
        </w:tc>
        <w:tc>
          <w:tcPr>
            <w:tcW w:w="1377" w:type="pct"/>
            <w:gridSpan w:val="2"/>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lang w:val="fr-FR"/>
              </w:rPr>
            </w:pPr>
            <w:r w:rsidRPr="000F40FA">
              <w:rPr>
                <w:rFonts w:ascii="Arial Narrow" w:hAnsi="Arial Narrow"/>
                <w:b/>
                <w:snapToGrid/>
                <w:sz w:val="20"/>
              </w:rPr>
              <w:t>Proprietary Name and Manufacturer</w:t>
            </w:r>
          </w:p>
        </w:tc>
      </w:tr>
      <w:tr w:rsidR="000F40FA" w:rsidRPr="000F40FA" w:rsidTr="000F40FA">
        <w:trPr>
          <w:cantSplit/>
          <w:trHeight w:val="259"/>
        </w:trPr>
        <w:tc>
          <w:tcPr>
            <w:tcW w:w="1405" w:type="pct"/>
            <w:gridSpan w:val="2"/>
            <w:hideMark/>
          </w:tcPr>
          <w:p w:rsidR="000F40FA" w:rsidRPr="000F40FA" w:rsidRDefault="000F40FA" w:rsidP="000F40FA">
            <w:pPr>
              <w:keepNext/>
              <w:widowControl/>
              <w:snapToGrid w:val="0"/>
              <w:rPr>
                <w:rFonts w:ascii="Arial Narrow" w:hAnsi="Arial Narrow"/>
                <w:snapToGrid/>
                <w:sz w:val="20"/>
              </w:rPr>
            </w:pPr>
            <w:r w:rsidRPr="000F40FA">
              <w:rPr>
                <w:rFonts w:ascii="Arial Narrow" w:hAnsi="Arial Narrow"/>
                <w:smallCaps/>
                <w:snapToGrid/>
                <w:sz w:val="20"/>
              </w:rPr>
              <w:t>INOTUZUMAB OZOGAMICIN</w:t>
            </w:r>
          </w:p>
        </w:tc>
        <w:tc>
          <w:tcPr>
            <w:tcW w:w="472" w:type="pct"/>
            <w:vAlign w:val="center"/>
          </w:tcPr>
          <w:p w:rsidR="000F40FA" w:rsidRPr="000F40FA" w:rsidRDefault="000F40FA" w:rsidP="000F40FA">
            <w:pPr>
              <w:keepNext/>
              <w:widowControl/>
              <w:snapToGrid w:val="0"/>
              <w:rPr>
                <w:rFonts w:ascii="Arial Narrow" w:hAnsi="Arial Narrow"/>
                <w:snapToGrid/>
                <w:sz w:val="20"/>
              </w:rPr>
            </w:pPr>
          </w:p>
        </w:tc>
        <w:tc>
          <w:tcPr>
            <w:tcW w:w="474" w:type="pct"/>
            <w:vAlign w:val="center"/>
          </w:tcPr>
          <w:p w:rsidR="000F40FA" w:rsidRPr="000F40FA" w:rsidRDefault="000F40FA" w:rsidP="000F40FA">
            <w:pPr>
              <w:keepNext/>
              <w:widowControl/>
              <w:snapToGrid w:val="0"/>
              <w:rPr>
                <w:rFonts w:ascii="Arial Narrow" w:hAnsi="Arial Narrow"/>
                <w:snapToGrid/>
                <w:sz w:val="20"/>
              </w:rPr>
            </w:pPr>
          </w:p>
        </w:tc>
        <w:tc>
          <w:tcPr>
            <w:tcW w:w="1272" w:type="pct"/>
            <w:vAlign w:val="center"/>
          </w:tcPr>
          <w:p w:rsidR="000F40FA" w:rsidRPr="000F40FA" w:rsidRDefault="000F40FA" w:rsidP="000F40FA">
            <w:pPr>
              <w:keepNext/>
              <w:widowControl/>
              <w:snapToGrid w:val="0"/>
              <w:rPr>
                <w:rFonts w:ascii="Arial Narrow" w:hAnsi="Arial Narrow"/>
                <w:snapToGrid/>
                <w:sz w:val="20"/>
              </w:rPr>
            </w:pPr>
          </w:p>
        </w:tc>
        <w:tc>
          <w:tcPr>
            <w:tcW w:w="595" w:type="pct"/>
            <w:vAlign w:val="center"/>
          </w:tcPr>
          <w:p w:rsidR="000F40FA" w:rsidRPr="000F40FA" w:rsidRDefault="000F40FA" w:rsidP="000F40FA">
            <w:pPr>
              <w:keepNext/>
              <w:widowControl/>
              <w:snapToGrid w:val="0"/>
              <w:jc w:val="center"/>
              <w:rPr>
                <w:rFonts w:ascii="Arial Narrow" w:hAnsi="Arial Narrow"/>
                <w:snapToGrid/>
                <w:sz w:val="20"/>
              </w:rPr>
            </w:pPr>
          </w:p>
        </w:tc>
        <w:tc>
          <w:tcPr>
            <w:tcW w:w="782" w:type="pct"/>
            <w:vAlign w:val="center"/>
          </w:tcPr>
          <w:p w:rsidR="000F40FA" w:rsidRPr="000F40FA" w:rsidRDefault="000F40FA" w:rsidP="000F40FA">
            <w:pPr>
              <w:keepNext/>
              <w:widowControl/>
              <w:snapToGrid w:val="0"/>
              <w:rPr>
                <w:rFonts w:ascii="Arial Narrow" w:hAnsi="Arial Narrow"/>
                <w:snapToGrid/>
                <w:sz w:val="20"/>
              </w:rPr>
            </w:pPr>
          </w:p>
        </w:tc>
      </w:tr>
      <w:tr w:rsidR="000F40FA" w:rsidRPr="000F40FA" w:rsidTr="000F40FA">
        <w:trPr>
          <w:cantSplit/>
          <w:trHeight w:val="538"/>
        </w:trPr>
        <w:tc>
          <w:tcPr>
            <w:tcW w:w="1405" w:type="pct"/>
            <w:gridSpan w:val="2"/>
            <w:vAlign w:val="center"/>
            <w:hideMark/>
          </w:tcPr>
          <w:p w:rsidR="000F40FA" w:rsidRPr="000F40FA" w:rsidRDefault="000F40FA" w:rsidP="000F40FA">
            <w:pPr>
              <w:widowControl/>
              <w:snapToGrid w:val="0"/>
              <w:rPr>
                <w:rFonts w:ascii="Arial Narrow" w:hAnsi="Arial Narrow"/>
                <w:snapToGrid/>
                <w:sz w:val="20"/>
              </w:rPr>
            </w:pPr>
            <w:r w:rsidRPr="000F40FA">
              <w:rPr>
                <w:rFonts w:ascii="Arial Narrow" w:hAnsi="Arial Narrow"/>
                <w:snapToGrid/>
                <w:sz w:val="20"/>
              </w:rPr>
              <w:t>1 mg vial powder for injection</w:t>
            </w:r>
          </w:p>
        </w:tc>
        <w:tc>
          <w:tcPr>
            <w:tcW w:w="472" w:type="pct"/>
            <w:vAlign w:val="center"/>
            <w:hideMark/>
          </w:tcPr>
          <w:p w:rsidR="000F40FA" w:rsidRPr="0024380C" w:rsidRDefault="0024380C" w:rsidP="000F40FA">
            <w:pPr>
              <w:widowControl/>
              <w:snapToGrid w:val="0"/>
              <w:jc w:val="center"/>
              <w:rPr>
                <w:rFonts w:ascii="Arial Narrow" w:hAnsi="Arial Narrow"/>
                <w:i/>
                <w:strike/>
                <w:snapToGrid/>
                <w:sz w:val="20"/>
              </w:rPr>
            </w:pPr>
            <w:r w:rsidRPr="0024380C">
              <w:rPr>
                <w:rFonts w:ascii="Arial Narrow" w:hAnsi="Arial Narrow"/>
                <w:strike/>
                <w:snapToGrid/>
                <w:sz w:val="20"/>
              </w:rPr>
              <w:t>.</w:t>
            </w:r>
            <w:r w:rsidR="000F40FA" w:rsidRPr="0024380C">
              <w:rPr>
                <w:rFonts w:ascii="Arial Narrow" w:hAnsi="Arial Narrow"/>
                <w:strike/>
                <w:snapToGrid/>
                <w:sz w:val="20"/>
              </w:rPr>
              <w:t>4</w:t>
            </w:r>
            <w:r w:rsidRPr="0024380C">
              <w:rPr>
                <w:rFonts w:ascii="Arial Narrow" w:hAnsi="Arial Narrow"/>
                <w:strike/>
                <w:snapToGrid/>
                <w:sz w:val="20"/>
              </w:rPr>
              <w:t>.</w:t>
            </w:r>
            <w:r w:rsidR="000F40FA" w:rsidRPr="0024380C">
              <w:rPr>
                <w:rFonts w:ascii="Arial Narrow" w:hAnsi="Arial Narrow"/>
                <w:i/>
                <w:strike/>
                <w:snapToGrid/>
                <w:sz w:val="20"/>
              </w:rPr>
              <w:t xml:space="preserve"> </w:t>
            </w:r>
          </w:p>
          <w:p w:rsidR="000F40FA" w:rsidRPr="000F40FA" w:rsidRDefault="000F40FA" w:rsidP="000F40FA">
            <w:pPr>
              <w:widowControl/>
              <w:snapToGrid w:val="0"/>
              <w:jc w:val="center"/>
              <w:rPr>
                <w:rFonts w:ascii="Arial Narrow" w:hAnsi="Arial Narrow"/>
                <w:i/>
                <w:snapToGrid/>
                <w:sz w:val="20"/>
              </w:rPr>
            </w:pPr>
            <w:r w:rsidRPr="000F40FA">
              <w:rPr>
                <w:rFonts w:ascii="Arial Narrow" w:hAnsi="Arial Narrow"/>
                <w:i/>
                <w:snapToGrid/>
                <w:sz w:val="20"/>
              </w:rPr>
              <w:t>3384 mcg</w:t>
            </w:r>
          </w:p>
        </w:tc>
        <w:tc>
          <w:tcPr>
            <w:tcW w:w="474" w:type="pct"/>
            <w:vAlign w:val="center"/>
            <w:hideMark/>
          </w:tcPr>
          <w:p w:rsidR="000F40FA" w:rsidRPr="000F40FA" w:rsidRDefault="000F40FA" w:rsidP="000F40FA">
            <w:pPr>
              <w:keepNext/>
              <w:widowControl/>
              <w:snapToGrid w:val="0"/>
              <w:jc w:val="center"/>
              <w:rPr>
                <w:rFonts w:ascii="Arial Narrow" w:hAnsi="Arial Narrow"/>
                <w:snapToGrid/>
                <w:sz w:val="20"/>
              </w:rPr>
            </w:pPr>
            <w:r w:rsidRPr="000F40FA">
              <w:rPr>
                <w:rFonts w:ascii="Arial Narrow" w:hAnsi="Arial Narrow"/>
                <w:snapToGrid/>
                <w:sz w:val="20"/>
              </w:rPr>
              <w:t>2</w:t>
            </w:r>
          </w:p>
        </w:tc>
        <w:tc>
          <w:tcPr>
            <w:tcW w:w="1272" w:type="pct"/>
            <w:hideMark/>
          </w:tcPr>
          <w:p w:rsidR="000F40FA" w:rsidRPr="000F40FA" w:rsidRDefault="000F40FA" w:rsidP="000F40FA">
            <w:pPr>
              <w:widowControl/>
              <w:snapToGrid w:val="0"/>
              <w:rPr>
                <w:rFonts w:ascii="Arial Narrow" w:hAnsi="Arial Narrow"/>
                <w:snapToGrid/>
                <w:sz w:val="20"/>
              </w:rPr>
            </w:pPr>
            <w:r w:rsidRPr="000F40FA">
              <w:rPr>
                <w:rFonts w:ascii="Arial Narrow" w:hAnsi="Arial Narrow"/>
                <w:snapToGrid/>
                <w:sz w:val="20"/>
              </w:rPr>
              <w:t>$</w:t>
            </w:r>
            <w:r w:rsidR="00B0555B">
              <w:rPr>
                <w:rFonts w:ascii="Arial Narrow" w:hAnsi="Arial Narrow"/>
                <w:noProof/>
                <w:snapToGrid/>
                <w:color w:val="000000"/>
                <w:sz w:val="20"/>
                <w:highlight w:val="black"/>
              </w:rPr>
              <w:t>'''''''''''''''''''''''</w:t>
            </w:r>
            <w:r w:rsidRPr="000F40FA">
              <w:rPr>
                <w:rFonts w:ascii="Arial Narrow" w:hAnsi="Arial Narrow"/>
                <w:snapToGrid/>
                <w:sz w:val="20"/>
              </w:rPr>
              <w:t xml:space="preserve"> (Public hospital)</w:t>
            </w:r>
          </w:p>
          <w:p w:rsidR="000F40FA" w:rsidRPr="000F40FA" w:rsidRDefault="000F40FA" w:rsidP="000F40FA">
            <w:pPr>
              <w:keepNext/>
              <w:widowControl/>
              <w:snapToGrid w:val="0"/>
              <w:rPr>
                <w:rFonts w:ascii="Arial Narrow" w:hAnsi="Arial Narrow"/>
                <w:snapToGrid/>
                <w:sz w:val="20"/>
              </w:rPr>
            </w:pPr>
            <w:r w:rsidRPr="000F40FA">
              <w:rPr>
                <w:rFonts w:ascii="Arial Narrow" w:hAnsi="Arial Narrow"/>
                <w:snapToGrid/>
                <w:sz w:val="20"/>
              </w:rPr>
              <w:t>$</w:t>
            </w:r>
            <w:r w:rsidR="00B0555B">
              <w:rPr>
                <w:rFonts w:ascii="Arial Narrow" w:hAnsi="Arial Narrow"/>
                <w:noProof/>
                <w:snapToGrid/>
                <w:color w:val="000000"/>
                <w:sz w:val="20"/>
                <w:highlight w:val="black"/>
              </w:rPr>
              <w:t>'''''''''''''''''''''''</w:t>
            </w:r>
            <w:r w:rsidRPr="000F40FA">
              <w:rPr>
                <w:rFonts w:ascii="Arial Narrow" w:hAnsi="Arial Narrow"/>
                <w:snapToGrid/>
                <w:sz w:val="20"/>
              </w:rPr>
              <w:t xml:space="preserve"> (Private hospital)</w:t>
            </w:r>
          </w:p>
        </w:tc>
        <w:tc>
          <w:tcPr>
            <w:tcW w:w="595" w:type="pct"/>
            <w:vAlign w:val="center"/>
            <w:hideMark/>
          </w:tcPr>
          <w:p w:rsidR="000F40FA" w:rsidRPr="000F40FA" w:rsidRDefault="000F40FA" w:rsidP="000F40FA">
            <w:pPr>
              <w:keepNext/>
              <w:widowControl/>
              <w:snapToGrid w:val="0"/>
              <w:jc w:val="center"/>
              <w:rPr>
                <w:rFonts w:ascii="Arial Narrow" w:hAnsi="Arial Narrow"/>
                <w:snapToGrid/>
                <w:sz w:val="20"/>
              </w:rPr>
            </w:pPr>
            <w:proofErr w:type="spellStart"/>
            <w:r w:rsidRPr="000F40FA">
              <w:rPr>
                <w:rFonts w:ascii="Arial Narrow" w:hAnsi="Arial Narrow"/>
                <w:snapToGrid/>
                <w:sz w:val="20"/>
              </w:rPr>
              <w:t>Besponsa</w:t>
            </w:r>
            <w:proofErr w:type="spellEnd"/>
            <w:r w:rsidRPr="000F40FA">
              <w:rPr>
                <w:rFonts w:ascii="Arial Narrow" w:hAnsi="Arial Narrow"/>
                <w:snapToGrid/>
                <w:sz w:val="20"/>
              </w:rPr>
              <w:t>®</w:t>
            </w:r>
          </w:p>
        </w:tc>
        <w:tc>
          <w:tcPr>
            <w:tcW w:w="782" w:type="pct"/>
            <w:vAlign w:val="center"/>
            <w:hideMark/>
          </w:tcPr>
          <w:p w:rsidR="000F40FA" w:rsidRPr="000F40FA" w:rsidRDefault="000F40FA" w:rsidP="000F40FA">
            <w:pPr>
              <w:keepNext/>
              <w:widowControl/>
              <w:snapToGrid w:val="0"/>
              <w:jc w:val="center"/>
              <w:rPr>
                <w:rFonts w:ascii="Arial Narrow" w:hAnsi="Arial Narrow"/>
                <w:snapToGrid/>
                <w:sz w:val="20"/>
              </w:rPr>
            </w:pPr>
            <w:r w:rsidRPr="000F40FA">
              <w:rPr>
                <w:rFonts w:ascii="Arial Narrow" w:hAnsi="Arial Narrow"/>
                <w:snapToGrid/>
                <w:sz w:val="20"/>
              </w:rPr>
              <w:t xml:space="preserve">Pfizer Australia </w:t>
            </w:r>
          </w:p>
          <w:p w:rsidR="000F40FA" w:rsidRPr="000F40FA" w:rsidRDefault="000F40FA" w:rsidP="000F40FA">
            <w:pPr>
              <w:keepNext/>
              <w:widowControl/>
              <w:snapToGrid w:val="0"/>
              <w:jc w:val="center"/>
              <w:rPr>
                <w:rFonts w:ascii="Arial Narrow" w:hAnsi="Arial Narrow"/>
                <w:snapToGrid/>
                <w:sz w:val="20"/>
              </w:rPr>
            </w:pPr>
            <w:r w:rsidRPr="000F40FA">
              <w:rPr>
                <w:rFonts w:ascii="Arial Narrow" w:hAnsi="Arial Narrow"/>
                <w:snapToGrid/>
                <w:sz w:val="20"/>
              </w:rPr>
              <w:t>P/L</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DC2132">
            <w:pPr>
              <w:keepNext/>
              <w:widowControl/>
              <w:snapToGrid w:val="0"/>
              <w:rPr>
                <w:rFonts w:ascii="Arial Narrow" w:hAnsi="Arial Narrow"/>
                <w:snapToGrid/>
                <w:sz w:val="20"/>
                <w:szCs w:val="20"/>
              </w:rPr>
            </w:pPr>
            <w:r w:rsidRPr="000F40FA">
              <w:rPr>
                <w:rFonts w:ascii="Arial Narrow" w:hAnsi="Arial Narrow"/>
                <w:snapToGrid/>
                <w:sz w:val="20"/>
                <w:szCs w:val="20"/>
              </w:rPr>
              <w:lastRenderedPageBreak/>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DC2132">
            <w:pPr>
              <w:keepNext/>
              <w:widowControl/>
              <w:snapToGrid w:val="0"/>
              <w:jc w:val="left"/>
              <w:rPr>
                <w:rFonts w:ascii="Arial Narrow" w:hAnsi="Arial Narrow"/>
                <w:snapToGrid/>
                <w:sz w:val="20"/>
                <w:szCs w:val="20"/>
              </w:rPr>
            </w:pPr>
            <w:r w:rsidRPr="000F40FA">
              <w:rPr>
                <w:rFonts w:ascii="Arial Narrow" w:hAnsi="Arial Narrow"/>
                <w:snapToGrid/>
                <w:sz w:val="20"/>
                <w:szCs w:val="20"/>
              </w:rPr>
              <w:t>S100 – Efficient Funding of Chemotherapy (EFC)</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DC2132">
            <w:pPr>
              <w:keepNext/>
              <w:widowControl/>
              <w:snapToGrid w:val="0"/>
              <w:rPr>
                <w:rFonts w:ascii="Arial Narrow" w:hAnsi="Arial Narrow"/>
                <w:snapToGrid/>
                <w:sz w:val="20"/>
                <w:szCs w:val="20"/>
              </w:rPr>
            </w:pPr>
            <w:r w:rsidRPr="000F40FA">
              <w:rPr>
                <w:rFonts w:ascii="Arial Narrow" w:hAnsi="Arial Narrow"/>
                <w:snapToGrid/>
                <w:sz w:val="20"/>
                <w:szCs w:val="20"/>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D637C5" w:rsidP="00DC2132">
            <w:pPr>
              <w:keepNext/>
              <w:widowControl/>
              <w:snapToGrid w:val="0"/>
              <w:jc w:val="left"/>
              <w:rPr>
                <w:rFonts w:ascii="Arial Narrow" w:hAnsi="Arial Narrow"/>
                <w:snapToGrid/>
                <w:sz w:val="20"/>
                <w:szCs w:val="20"/>
              </w:rPr>
            </w:pPr>
            <w:r>
              <w:rPr>
                <w:rFonts w:ascii="Arial Narrow" w:hAnsi="Arial Narrow"/>
                <w:snapToGrid/>
                <w:sz w:val="20"/>
                <w:szCs w:val="20"/>
              </w:rPr>
              <w:t>A</w:t>
            </w:r>
            <w:r w:rsidR="000F40FA" w:rsidRPr="000F40FA">
              <w:rPr>
                <w:rFonts w:ascii="Arial Narrow" w:hAnsi="Arial Narrow"/>
                <w:snapToGrid/>
                <w:sz w:val="20"/>
                <w:szCs w:val="20"/>
              </w:rPr>
              <w:t>cute lymphoblastic leukaemia (ALL)</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strike/>
                <w:snapToGrid/>
                <w:sz w:val="20"/>
                <w:szCs w:val="20"/>
              </w:rPr>
              <w:t>Initial</w:t>
            </w:r>
            <w:r w:rsidRPr="000F40FA">
              <w:rPr>
                <w:rFonts w:ascii="Arial Narrow" w:hAnsi="Arial Narrow"/>
                <w:snapToGrid/>
                <w:sz w:val="20"/>
                <w:szCs w:val="20"/>
              </w:rPr>
              <w:t xml:space="preserve"> </w:t>
            </w:r>
            <w:r w:rsidRPr="000F40FA">
              <w:rPr>
                <w:rFonts w:ascii="Arial Narrow" w:hAnsi="Arial Narrow"/>
                <w:i/>
                <w:snapToGrid/>
                <w:sz w:val="20"/>
                <w:szCs w:val="20"/>
              </w:rPr>
              <w:t>Induction treatment</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Authority Required - In Writing</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Treatment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3F3B57">
            <w:pPr>
              <w:widowControl/>
              <w:snapToGrid w:val="0"/>
              <w:jc w:val="left"/>
              <w:rPr>
                <w:rFonts w:ascii="Arial Narrow" w:hAnsi="Arial Narrow"/>
                <w:strike/>
                <w:snapToGrid/>
                <w:sz w:val="20"/>
                <w:szCs w:val="20"/>
              </w:rPr>
            </w:pPr>
            <w:r w:rsidRPr="000F40FA">
              <w:rPr>
                <w:rFonts w:ascii="Arial Narrow" w:hAnsi="Arial Narrow"/>
                <w:strike/>
                <w:snapToGrid/>
                <w:sz w:val="20"/>
                <w:szCs w:val="20"/>
              </w:rPr>
              <w:t>Inotuzumab is not PBS-subsidised if it is administered to an in-patient in a public hospital setting.</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snapToGrid/>
                <w:sz w:val="20"/>
                <w:szCs w:val="20"/>
              </w:rPr>
              <w:t>The condition must be relapsed or refractory B-precursor cell ALL, with an Eastern Cooperative Oncology Group (ECOG) performance status</w:t>
            </w:r>
            <w:r w:rsidR="001F14F3">
              <w:rPr>
                <w:rFonts w:ascii="Arial Narrow" w:hAnsi="Arial Narrow"/>
                <w:snapToGrid/>
                <w:sz w:val="20"/>
                <w:szCs w:val="20"/>
              </w:rPr>
              <w:t xml:space="preserve"> of</w:t>
            </w:r>
            <w:r w:rsidRPr="000F40FA">
              <w:rPr>
                <w:rFonts w:ascii="Arial Narrow" w:hAnsi="Arial Narrow"/>
                <w:snapToGrid/>
                <w:sz w:val="20"/>
                <w:szCs w:val="20"/>
              </w:rPr>
              <w:t xml:space="preserve"> 2 or less</w:t>
            </w:r>
          </w:p>
          <w:p w:rsidR="000F40FA" w:rsidRPr="000F40FA" w:rsidRDefault="000F40FA" w:rsidP="003F3B57">
            <w:pPr>
              <w:widowControl/>
              <w:snapToGrid w:val="0"/>
              <w:jc w:val="left"/>
              <w:rPr>
                <w:rFonts w:ascii="Arial Narrow" w:hAnsi="Arial Narrow"/>
                <w:strike/>
                <w:snapToGrid/>
                <w:sz w:val="20"/>
                <w:szCs w:val="20"/>
              </w:rPr>
            </w:pPr>
            <w:r w:rsidRPr="000F40FA">
              <w:rPr>
                <w:rFonts w:ascii="Arial Narrow" w:hAnsi="Arial Narrow"/>
                <w:strike/>
                <w:snapToGrid/>
                <w:sz w:val="20"/>
                <w:szCs w:val="20"/>
              </w:rPr>
              <w:t>AND</w:t>
            </w:r>
          </w:p>
          <w:p w:rsidR="000F40FA" w:rsidRPr="000F40FA" w:rsidRDefault="000F40FA" w:rsidP="003F3B57">
            <w:pPr>
              <w:widowControl/>
              <w:snapToGrid w:val="0"/>
              <w:jc w:val="left"/>
              <w:rPr>
                <w:rFonts w:ascii="Arial Narrow" w:hAnsi="Arial Narrow"/>
                <w:strike/>
                <w:snapToGrid/>
                <w:sz w:val="20"/>
                <w:szCs w:val="20"/>
              </w:rPr>
            </w:pPr>
            <w:r w:rsidRPr="000F40FA">
              <w:rPr>
                <w:rFonts w:ascii="Arial Narrow" w:hAnsi="Arial Narrow"/>
                <w:i/>
                <w:strike/>
                <w:snapToGrid/>
                <w:sz w:val="20"/>
                <w:szCs w:val="20"/>
              </w:rPr>
              <w:t>The condition must not be present in the central nervous system or testis</w:t>
            </w:r>
            <w:r w:rsidRPr="000F40FA">
              <w:rPr>
                <w:rFonts w:ascii="Arial Narrow" w:hAnsi="Arial Narrow"/>
                <w:strike/>
                <w:snapToGrid/>
                <w:sz w:val="20"/>
                <w:szCs w:val="20"/>
              </w:rPr>
              <w:t>,</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trike/>
                <w:snapToGrid/>
                <w:sz w:val="20"/>
                <w:szCs w:val="20"/>
              </w:rPr>
              <w:t xml:space="preserve">The </w:t>
            </w:r>
            <w:proofErr w:type="spellStart"/>
            <w:r w:rsidRPr="000F40FA">
              <w:rPr>
                <w:rFonts w:ascii="Arial Narrow" w:hAnsi="Arial Narrow"/>
                <w:i/>
                <w:strike/>
                <w:snapToGrid/>
                <w:sz w:val="20"/>
                <w:szCs w:val="20"/>
              </w:rPr>
              <w:t>p</w:t>
            </w:r>
            <w:r w:rsidRPr="000F40FA">
              <w:rPr>
                <w:rFonts w:ascii="Arial Narrow" w:hAnsi="Arial Narrow"/>
                <w:i/>
                <w:snapToGrid/>
                <w:sz w:val="20"/>
                <w:szCs w:val="20"/>
              </w:rPr>
              <w:t>Patient</w:t>
            </w:r>
            <w:proofErr w:type="spellEnd"/>
            <w:r w:rsidRPr="000F40FA">
              <w:rPr>
                <w:rFonts w:ascii="Arial Narrow" w:hAnsi="Arial Narrow"/>
                <w:snapToGrid/>
                <w:sz w:val="20"/>
                <w:szCs w:val="20"/>
              </w:rPr>
              <w:t xml:space="preserve"> must have received intensive combination chemotherapy for initial treatment of ALL or </w:t>
            </w:r>
            <w:r w:rsidRPr="000F40FA">
              <w:rPr>
                <w:rFonts w:ascii="Arial Narrow" w:hAnsi="Arial Narrow"/>
                <w:strike/>
                <w:snapToGrid/>
                <w:sz w:val="20"/>
                <w:szCs w:val="20"/>
              </w:rPr>
              <w:t>for</w:t>
            </w:r>
            <w:r w:rsidRPr="000F40FA">
              <w:rPr>
                <w:rFonts w:ascii="Arial Narrow" w:hAnsi="Arial Narrow"/>
                <w:snapToGrid/>
                <w:sz w:val="20"/>
                <w:szCs w:val="20"/>
              </w:rPr>
              <w:t xml:space="preserve"> subsequent salvage therapy,</w:t>
            </w:r>
          </w:p>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AND</w:t>
            </w:r>
          </w:p>
          <w:p w:rsidR="000F40FA" w:rsidRPr="000F40FA" w:rsidRDefault="00386AEC" w:rsidP="003F3B57">
            <w:pPr>
              <w:widowControl/>
              <w:snapToGrid w:val="0"/>
              <w:jc w:val="left"/>
              <w:rPr>
                <w:rFonts w:ascii="Arial Narrow" w:hAnsi="Arial Narrow"/>
                <w:i/>
                <w:snapToGrid/>
                <w:sz w:val="20"/>
                <w:szCs w:val="20"/>
              </w:rPr>
            </w:pPr>
            <w:r>
              <w:rPr>
                <w:rFonts w:ascii="Arial Narrow" w:hAnsi="Arial Narrow"/>
                <w:i/>
                <w:snapToGrid/>
                <w:sz w:val="20"/>
                <w:szCs w:val="20"/>
              </w:rPr>
              <w:t>Patient must n</w:t>
            </w:r>
            <w:r w:rsidR="000F40FA" w:rsidRPr="000F40FA">
              <w:rPr>
                <w:rFonts w:ascii="Arial Narrow" w:hAnsi="Arial Narrow"/>
                <w:i/>
                <w:snapToGrid/>
                <w:sz w:val="20"/>
                <w:szCs w:val="20"/>
              </w:rPr>
              <w:t xml:space="preserve">ot </w:t>
            </w:r>
            <w:r>
              <w:rPr>
                <w:rFonts w:ascii="Arial Narrow" w:hAnsi="Arial Narrow"/>
                <w:i/>
                <w:snapToGrid/>
                <w:sz w:val="20"/>
                <w:szCs w:val="20"/>
              </w:rPr>
              <w:t xml:space="preserve">have </w:t>
            </w:r>
            <w:r w:rsidR="000F40FA" w:rsidRPr="000F40FA">
              <w:rPr>
                <w:rFonts w:ascii="Arial Narrow" w:hAnsi="Arial Narrow"/>
                <w:i/>
                <w:snapToGrid/>
                <w:sz w:val="20"/>
                <w:szCs w:val="20"/>
              </w:rPr>
              <w:t xml:space="preserve">received more than </w:t>
            </w:r>
            <w:r w:rsidR="00C113BE">
              <w:rPr>
                <w:rFonts w:ascii="Arial Narrow" w:hAnsi="Arial Narrow"/>
                <w:i/>
                <w:snapToGrid/>
                <w:sz w:val="20"/>
                <w:szCs w:val="20"/>
              </w:rPr>
              <w:t>1 line</w:t>
            </w:r>
            <w:r w:rsidR="000F40FA" w:rsidRPr="000F40FA">
              <w:rPr>
                <w:rFonts w:ascii="Arial Narrow" w:hAnsi="Arial Narrow"/>
                <w:i/>
                <w:snapToGrid/>
                <w:sz w:val="20"/>
                <w:szCs w:val="20"/>
              </w:rPr>
              <w:t xml:space="preserve"> of salvage therapy</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 xml:space="preserve">The condition must be Philadelphia chromosome negative, </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 xml:space="preserve">The condition must be CD22-positive, </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The condition must have more than 5% blasts in bone marrow,</w:t>
            </w:r>
          </w:p>
          <w:p w:rsidR="000F40FA" w:rsidRPr="000F40FA" w:rsidRDefault="000F40FA" w:rsidP="003F3B57">
            <w:pPr>
              <w:widowControl/>
              <w:snapToGrid w:val="0"/>
              <w:jc w:val="left"/>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04474D">
            <w:pPr>
              <w:widowControl/>
              <w:snapToGrid w:val="0"/>
              <w:jc w:val="left"/>
              <w:rPr>
                <w:rFonts w:ascii="Arial Narrow" w:hAnsi="Arial Narrow"/>
                <w:i/>
                <w:snapToGrid/>
                <w:sz w:val="20"/>
                <w:szCs w:val="20"/>
              </w:rPr>
            </w:pPr>
            <w:r w:rsidRPr="000F40FA">
              <w:rPr>
                <w:rFonts w:ascii="Arial Narrow" w:hAnsi="Arial Narrow"/>
                <w:snapToGrid/>
                <w:sz w:val="20"/>
                <w:szCs w:val="20"/>
              </w:rPr>
              <w:t>The treatment must not be more than 3 treatment cycles under this restriction in a lifetime.</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4474D" w:rsidRDefault="000F40FA" w:rsidP="000F40FA">
            <w:pPr>
              <w:widowControl/>
              <w:snapToGrid w:val="0"/>
              <w:rPr>
                <w:rFonts w:ascii="Arial Narrow" w:hAnsi="Arial Narrow"/>
                <w:strike/>
                <w:snapToGrid/>
                <w:sz w:val="20"/>
                <w:szCs w:val="20"/>
              </w:rPr>
            </w:pPr>
            <w:r w:rsidRPr="0004474D">
              <w:rPr>
                <w:rFonts w:ascii="Arial Narrow" w:hAnsi="Arial Narrow"/>
                <w:strike/>
                <w:snapToGrid/>
                <w:sz w:val="20"/>
                <w:szCs w:val="20"/>
              </w:rPr>
              <w:t>Population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82F8A" w:rsidRDefault="000F40FA" w:rsidP="003F3B57">
            <w:pPr>
              <w:widowControl/>
              <w:snapToGrid w:val="0"/>
              <w:jc w:val="left"/>
              <w:rPr>
                <w:rFonts w:ascii="Arial Narrow" w:hAnsi="Arial Narrow"/>
                <w:strike/>
                <w:snapToGrid/>
                <w:color w:val="000000"/>
                <w:sz w:val="20"/>
                <w:szCs w:val="20"/>
              </w:rPr>
            </w:pPr>
            <w:r w:rsidRPr="00082F8A">
              <w:rPr>
                <w:rFonts w:ascii="Arial Narrow" w:hAnsi="Arial Narrow"/>
                <w:strike/>
                <w:snapToGrid/>
                <w:sz w:val="20"/>
                <w:szCs w:val="20"/>
              </w:rPr>
              <w:t>The patient must be 18 years or over.</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0F40FA" w:rsidRDefault="00082F8A" w:rsidP="003F3B57">
            <w:pPr>
              <w:widowControl/>
              <w:snapToGrid w:val="0"/>
              <w:jc w:val="left"/>
              <w:rPr>
                <w:rFonts w:ascii="Arial Narrow" w:hAnsi="Arial Narrow"/>
                <w:i/>
                <w:snapToGrid/>
                <w:sz w:val="20"/>
                <w:szCs w:val="20"/>
              </w:rPr>
            </w:pPr>
            <w:r w:rsidRPr="00082F8A">
              <w:rPr>
                <w:rFonts w:ascii="Arial Narrow" w:hAnsi="Arial Narrow"/>
                <w:i/>
                <w:snapToGrid/>
                <w:sz w:val="20"/>
                <w:szCs w:val="20"/>
              </w:rPr>
              <w:t>This drug is not PBS-subsidised if it is prescribed to an in-patient in a public hospital setting.</w:t>
            </w:r>
            <w:r w:rsidRPr="00082F8A" w:rsidDel="00082F8A">
              <w:rPr>
                <w:rFonts w:ascii="Arial Narrow" w:hAnsi="Arial Narrow"/>
                <w:i/>
                <w:snapToGrid/>
                <w:sz w:val="20"/>
                <w:szCs w:val="20"/>
              </w:rPr>
              <w:t xml:space="preserve"> </w:t>
            </w:r>
          </w:p>
          <w:p w:rsidR="00082F8A" w:rsidRPr="000F40FA" w:rsidRDefault="00082F8A" w:rsidP="003F3B57">
            <w:pPr>
              <w:widowControl/>
              <w:snapToGrid w:val="0"/>
              <w:jc w:val="left"/>
              <w:rPr>
                <w:rFonts w:ascii="Arial Narrow" w:hAnsi="Arial Narrow"/>
                <w:i/>
                <w:snapToGrid/>
                <w:sz w:val="20"/>
                <w:szCs w:val="20"/>
              </w:rPr>
            </w:pPr>
          </w:p>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The authority application must be made in writing and must include:</w:t>
            </w:r>
          </w:p>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(1) a completed authority prescription form;</w:t>
            </w:r>
          </w:p>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(2) a completed Acute Lymphoblastic Leukaemia PBS Authority Application - Supporting Information Form; and</w:t>
            </w:r>
          </w:p>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(3) a signed patient acknowledgement; and</w:t>
            </w:r>
          </w:p>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 xml:space="preserve">(4) date of most recent chemotherapy, and if this was the initial chemotherapy regimen or salvage therapy, </w:t>
            </w:r>
            <w:r w:rsidRPr="001F14F3">
              <w:rPr>
                <w:rFonts w:ascii="Arial Narrow" w:hAnsi="Arial Narrow"/>
                <w:i/>
                <w:snapToGrid/>
                <w:sz w:val="20"/>
                <w:szCs w:val="20"/>
              </w:rPr>
              <w:t>including what line of salvage</w:t>
            </w:r>
            <w:r w:rsidRPr="000F40FA">
              <w:rPr>
                <w:rFonts w:ascii="Arial Narrow" w:hAnsi="Arial Narrow"/>
                <w:i/>
                <w:snapToGrid/>
                <w:sz w:val="20"/>
                <w:szCs w:val="20"/>
              </w:rPr>
              <w:t>; and</w:t>
            </w:r>
          </w:p>
          <w:p w:rsidR="000F40FA" w:rsidRDefault="000F40FA" w:rsidP="003F3B57">
            <w:pPr>
              <w:widowControl/>
              <w:snapToGrid w:val="0"/>
              <w:jc w:val="left"/>
              <w:rPr>
                <w:rFonts w:ascii="Arial Narrow" w:hAnsi="Arial Narrow"/>
                <w:snapToGrid/>
                <w:sz w:val="20"/>
                <w:szCs w:val="20"/>
              </w:rPr>
            </w:pPr>
            <w:r w:rsidRPr="000F40FA">
              <w:rPr>
                <w:rFonts w:ascii="Arial Narrow" w:hAnsi="Arial Narrow"/>
                <w:i/>
                <w:snapToGrid/>
                <w:sz w:val="20"/>
                <w:szCs w:val="20"/>
              </w:rPr>
              <w:t xml:space="preserve">(5) </w:t>
            </w:r>
            <w:proofErr w:type="gramStart"/>
            <w:r w:rsidRPr="000F40FA">
              <w:rPr>
                <w:rFonts w:ascii="Arial Narrow" w:hAnsi="Arial Narrow"/>
                <w:i/>
                <w:snapToGrid/>
                <w:sz w:val="20"/>
                <w:szCs w:val="20"/>
              </w:rPr>
              <w:t>a</w:t>
            </w:r>
            <w:proofErr w:type="gramEnd"/>
            <w:r w:rsidRPr="000F40FA">
              <w:rPr>
                <w:rFonts w:ascii="Arial Narrow" w:hAnsi="Arial Narrow"/>
                <w:i/>
                <w:snapToGrid/>
                <w:sz w:val="20"/>
                <w:szCs w:val="20"/>
              </w:rPr>
              <w:t xml:space="preserve"> copy of the most recent bone marrow biopsy report of no more than one month old at the time of application</w:t>
            </w:r>
            <w:r w:rsidRPr="000F40FA">
              <w:rPr>
                <w:rFonts w:ascii="Arial Narrow" w:hAnsi="Arial Narrow"/>
                <w:snapToGrid/>
                <w:sz w:val="20"/>
                <w:szCs w:val="20"/>
              </w:rPr>
              <w:t>.</w:t>
            </w:r>
          </w:p>
          <w:p w:rsidR="0004474D" w:rsidRDefault="0004474D" w:rsidP="003F3B57">
            <w:pPr>
              <w:widowControl/>
              <w:snapToGrid w:val="0"/>
              <w:jc w:val="left"/>
              <w:rPr>
                <w:rFonts w:ascii="Arial Narrow" w:hAnsi="Arial Narrow"/>
                <w:snapToGrid/>
                <w:sz w:val="20"/>
                <w:szCs w:val="20"/>
              </w:rPr>
            </w:pPr>
          </w:p>
          <w:p w:rsidR="00F64FCD" w:rsidRPr="003F3B57" w:rsidRDefault="0004474D" w:rsidP="0004474D">
            <w:pPr>
              <w:widowControl/>
              <w:snapToGrid w:val="0"/>
              <w:jc w:val="left"/>
              <w:rPr>
                <w:rFonts w:ascii="Arial Narrow" w:hAnsi="Arial Narrow"/>
                <w:i/>
                <w:snapToGrid/>
                <w:sz w:val="20"/>
                <w:szCs w:val="20"/>
              </w:rPr>
            </w:pPr>
            <w:r w:rsidRPr="000F40FA">
              <w:rPr>
                <w:rFonts w:ascii="Arial Narrow" w:hAnsi="Arial Narrow"/>
                <w:i/>
                <w:snapToGrid/>
                <w:sz w:val="20"/>
                <w:szCs w:val="20"/>
              </w:rPr>
              <w:t>The treatment must not exceed 0.8mg per m</w:t>
            </w:r>
            <w:r w:rsidRPr="000F40FA">
              <w:rPr>
                <w:rFonts w:ascii="Arial Narrow" w:hAnsi="Arial Narrow"/>
                <w:i/>
                <w:snapToGrid/>
                <w:sz w:val="20"/>
                <w:szCs w:val="20"/>
                <w:vertAlign w:val="superscript"/>
              </w:rPr>
              <w:t>2</w:t>
            </w:r>
            <w:r w:rsidRPr="000F40FA">
              <w:rPr>
                <w:rFonts w:ascii="Arial Narrow" w:hAnsi="Arial Narrow"/>
                <w:i/>
                <w:snapToGrid/>
                <w:sz w:val="20"/>
                <w:szCs w:val="20"/>
              </w:rPr>
              <w:t xml:space="preserve"> for the first dose of a treatment cycle</w:t>
            </w:r>
            <w:r>
              <w:rPr>
                <w:rFonts w:ascii="Arial Narrow" w:hAnsi="Arial Narrow"/>
                <w:i/>
                <w:snapToGrid/>
                <w:sz w:val="20"/>
                <w:szCs w:val="20"/>
              </w:rPr>
              <w:t xml:space="preserve"> (Day 1)</w:t>
            </w:r>
            <w:r w:rsidRPr="000F40FA">
              <w:rPr>
                <w:rFonts w:ascii="Arial Narrow" w:hAnsi="Arial Narrow"/>
                <w:i/>
                <w:snapToGrid/>
                <w:sz w:val="20"/>
                <w:szCs w:val="20"/>
              </w:rPr>
              <w:t>, and 0.5mg per m</w:t>
            </w:r>
            <w:r w:rsidRPr="000C404A">
              <w:rPr>
                <w:rFonts w:ascii="Arial Narrow" w:hAnsi="Arial Narrow"/>
                <w:i/>
                <w:snapToGrid/>
                <w:sz w:val="20"/>
                <w:szCs w:val="20"/>
                <w:vertAlign w:val="superscript"/>
              </w:rPr>
              <w:t>2</w:t>
            </w:r>
            <w:r w:rsidRPr="000F40FA">
              <w:rPr>
                <w:rFonts w:ascii="Arial Narrow" w:hAnsi="Arial Narrow"/>
                <w:i/>
                <w:snapToGrid/>
                <w:sz w:val="20"/>
                <w:szCs w:val="20"/>
              </w:rPr>
              <w:t xml:space="preserve"> for subsequent doses </w:t>
            </w:r>
            <w:r>
              <w:rPr>
                <w:rFonts w:ascii="Arial Narrow" w:hAnsi="Arial Narrow"/>
                <w:i/>
                <w:snapToGrid/>
                <w:sz w:val="20"/>
                <w:szCs w:val="20"/>
              </w:rPr>
              <w:t xml:space="preserve">(Days 8 and 15) </w:t>
            </w:r>
            <w:r w:rsidRPr="000F40FA">
              <w:rPr>
                <w:rFonts w:ascii="Arial Narrow" w:hAnsi="Arial Narrow"/>
                <w:i/>
                <w:snapToGrid/>
                <w:sz w:val="20"/>
                <w:szCs w:val="20"/>
              </w:rPr>
              <w:t xml:space="preserve">within a treatment cycle. </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1155F">
            <w:pPr>
              <w:keepNext/>
              <w:keepLines/>
              <w:widowControl/>
              <w:snapToGrid w:val="0"/>
              <w:rPr>
                <w:rFonts w:ascii="Arial Narrow" w:hAnsi="Arial Narrow"/>
                <w:i/>
                <w:snapToGrid/>
                <w:sz w:val="20"/>
                <w:szCs w:val="20"/>
              </w:rPr>
            </w:pPr>
            <w:r w:rsidRPr="000F40FA">
              <w:rPr>
                <w:rFonts w:ascii="Arial Narrow" w:hAnsi="Arial Narrow"/>
                <w:i/>
                <w:snapToGrid/>
                <w:sz w:val="20"/>
                <w:szCs w:val="20"/>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04474D" w:rsidRDefault="0004474D" w:rsidP="00877713">
            <w:pPr>
              <w:keepNext/>
              <w:keepLines/>
              <w:widowControl/>
              <w:snapToGrid w:val="0"/>
              <w:rPr>
                <w:rFonts w:ascii="Arial Narrow" w:hAnsi="Arial Narrow"/>
                <w:i/>
                <w:snapToGrid/>
                <w:sz w:val="20"/>
                <w:szCs w:val="20"/>
              </w:rPr>
            </w:pPr>
            <w:r w:rsidRPr="003F3B57">
              <w:rPr>
                <w:rFonts w:ascii="Arial Narrow" w:hAnsi="Arial Narrow"/>
                <w:i/>
                <w:snapToGrid/>
                <w:sz w:val="20"/>
                <w:szCs w:val="20"/>
              </w:rPr>
              <w:t>Once a patient achieves complete remission or complete remission with partial haematological recovery, a new prescription must be written under the con</w:t>
            </w:r>
            <w:r w:rsidR="00877713">
              <w:rPr>
                <w:rFonts w:ascii="Arial Narrow" w:hAnsi="Arial Narrow"/>
                <w:i/>
                <w:snapToGrid/>
                <w:sz w:val="20"/>
                <w:szCs w:val="20"/>
              </w:rPr>
              <w:t>solidation</w:t>
            </w:r>
            <w:r w:rsidRPr="003F3B57">
              <w:rPr>
                <w:rFonts w:ascii="Arial Narrow" w:hAnsi="Arial Narrow"/>
                <w:i/>
                <w:snapToGrid/>
                <w:sz w:val="20"/>
                <w:szCs w:val="20"/>
              </w:rPr>
              <w:t xml:space="preserve"> treatment phase.</w:t>
            </w:r>
          </w:p>
          <w:p w:rsidR="0004474D" w:rsidRDefault="0004474D" w:rsidP="0001155F">
            <w:pPr>
              <w:keepNext/>
              <w:keepLines/>
              <w:widowControl/>
              <w:snapToGrid w:val="0"/>
              <w:jc w:val="left"/>
              <w:rPr>
                <w:rFonts w:ascii="Arial Narrow" w:hAnsi="Arial Narrow"/>
                <w:i/>
                <w:snapToGrid/>
                <w:sz w:val="20"/>
                <w:szCs w:val="20"/>
              </w:rPr>
            </w:pPr>
          </w:p>
          <w:p w:rsidR="0004474D" w:rsidRPr="000F40FA" w:rsidRDefault="0004474D" w:rsidP="0001155F">
            <w:pPr>
              <w:keepNext/>
              <w:keepLines/>
              <w:widowControl/>
              <w:snapToGrid w:val="0"/>
              <w:rPr>
                <w:rFonts w:ascii="Arial Narrow" w:hAnsi="Arial Narrow"/>
                <w:i/>
                <w:snapToGrid/>
                <w:sz w:val="20"/>
                <w:szCs w:val="20"/>
              </w:rPr>
            </w:pPr>
            <w:r w:rsidRPr="000F40FA">
              <w:rPr>
                <w:rFonts w:ascii="Arial Narrow" w:hAnsi="Arial Narrow"/>
                <w:i/>
                <w:snapToGrid/>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04474D" w:rsidRPr="000F40FA" w:rsidRDefault="0004474D" w:rsidP="0001155F">
            <w:pPr>
              <w:keepNext/>
              <w:keepLines/>
              <w:widowControl/>
              <w:snapToGrid w:val="0"/>
              <w:rPr>
                <w:rFonts w:ascii="Arial Narrow" w:hAnsi="Arial Narrow"/>
                <w:i/>
                <w:snapToGrid/>
                <w:sz w:val="20"/>
                <w:szCs w:val="20"/>
              </w:rPr>
            </w:pPr>
          </w:p>
          <w:p w:rsidR="0004474D" w:rsidRPr="000F40FA" w:rsidRDefault="0004474D" w:rsidP="0001155F">
            <w:pPr>
              <w:keepNext/>
              <w:keepLines/>
              <w:widowControl/>
              <w:snapToGrid w:val="0"/>
              <w:rPr>
                <w:rFonts w:ascii="Arial Narrow" w:hAnsi="Arial Narrow"/>
                <w:i/>
                <w:snapToGrid/>
                <w:sz w:val="20"/>
                <w:szCs w:val="20"/>
              </w:rPr>
            </w:pPr>
            <w:r w:rsidRPr="000F40FA">
              <w:rPr>
                <w:rFonts w:ascii="Arial Narrow" w:hAnsi="Arial Narrow"/>
                <w:i/>
                <w:snapToGrid/>
                <w:sz w:val="20"/>
                <w:szCs w:val="20"/>
              </w:rPr>
              <w:t xml:space="preserve">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 </w:t>
            </w:r>
          </w:p>
          <w:p w:rsidR="0004474D" w:rsidRPr="000F40FA" w:rsidRDefault="0004474D" w:rsidP="0001155F">
            <w:pPr>
              <w:keepNext/>
              <w:keepLines/>
              <w:widowControl/>
              <w:snapToGrid w:val="0"/>
              <w:rPr>
                <w:rFonts w:ascii="Arial Narrow" w:hAnsi="Arial Narrow"/>
                <w:i/>
                <w:snapToGrid/>
                <w:sz w:val="20"/>
                <w:szCs w:val="20"/>
              </w:rPr>
            </w:pPr>
          </w:p>
          <w:p w:rsidR="0004474D" w:rsidRPr="000F40FA" w:rsidRDefault="0004474D" w:rsidP="0001155F">
            <w:pPr>
              <w:keepNext/>
              <w:keepLines/>
              <w:widowControl/>
              <w:snapToGrid w:val="0"/>
              <w:rPr>
                <w:rFonts w:ascii="Arial Narrow" w:hAnsi="Arial Narrow"/>
                <w:i/>
                <w:snapToGrid/>
                <w:sz w:val="20"/>
                <w:szCs w:val="20"/>
              </w:rPr>
            </w:pPr>
            <w:r w:rsidRPr="000F40FA">
              <w:rPr>
                <w:rFonts w:ascii="Arial Narrow" w:hAnsi="Arial Narrow"/>
                <w:i/>
                <w:snapToGrid/>
                <w:sz w:val="20"/>
                <w:szCs w:val="20"/>
              </w:rPr>
              <w:t xml:space="preserve">Patients who fail to demonstrate a response to PBS-subsidised treatment with this agent at the time when an assessment is required must cease PBS-subsidised therapy with this agent. </w:t>
            </w:r>
          </w:p>
          <w:p w:rsidR="0004474D" w:rsidRDefault="0004474D" w:rsidP="0001155F">
            <w:pPr>
              <w:keepNext/>
              <w:keepLines/>
              <w:widowControl/>
              <w:snapToGrid w:val="0"/>
              <w:jc w:val="left"/>
              <w:rPr>
                <w:rFonts w:ascii="Arial Narrow" w:hAnsi="Arial Narrow"/>
                <w:i/>
                <w:snapToGrid/>
                <w:sz w:val="20"/>
                <w:szCs w:val="20"/>
              </w:rPr>
            </w:pPr>
          </w:p>
          <w:p w:rsid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 xml:space="preserve">Any queries concerning the arrangements to prescribe may be directed to the Department of Human Services on 1800 700 270 (hours of operation 8 a.m. to 5 p.m. EST Monday to Friday). </w:t>
            </w:r>
          </w:p>
          <w:p w:rsidR="009714DF" w:rsidRPr="000F40FA" w:rsidRDefault="009714DF" w:rsidP="0001155F">
            <w:pPr>
              <w:keepNext/>
              <w:keepLines/>
              <w:widowControl/>
              <w:snapToGrid w:val="0"/>
              <w:jc w:val="left"/>
              <w:rPr>
                <w:rFonts w:ascii="Arial Narrow" w:hAnsi="Arial Narrow"/>
                <w:i/>
                <w:snapToGrid/>
                <w:sz w:val="20"/>
                <w:szCs w:val="20"/>
              </w:rPr>
            </w:pP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 xml:space="preserve">Prescribing information (including Authority Application forms and other relevant documentation as applicable) is available on the Department of Human Services website at www.humanservices.gov.au </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Applications for authority to prescribe should be forwarded to:</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Department of Human Services</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Complex Drugs Programs</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Reply Paid 9826</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HOBART TAS 7001</w:t>
            </w:r>
          </w:p>
          <w:p w:rsidR="000F40FA" w:rsidRDefault="000F40FA" w:rsidP="0001155F">
            <w:pPr>
              <w:keepNext/>
              <w:keepLines/>
              <w:widowControl/>
              <w:snapToGrid w:val="0"/>
              <w:jc w:val="left"/>
              <w:rPr>
                <w:rFonts w:ascii="Arial Narrow" w:hAnsi="Arial Narrow"/>
                <w:i/>
                <w:snapToGrid/>
                <w:sz w:val="20"/>
                <w:szCs w:val="20"/>
              </w:rPr>
            </w:pP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No increase in the maximum quantity or number of units may be authorised.</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No increase in the maximum number of repeats may be authorised.</w:t>
            </w:r>
          </w:p>
          <w:p w:rsidR="000F40FA" w:rsidRPr="000F40FA" w:rsidRDefault="000F40FA" w:rsidP="0001155F">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Special Pricing Arrangements apply.</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3F3B57">
            <w:pPr>
              <w:widowControl/>
              <w:snapToGrid w:val="0"/>
              <w:jc w:val="left"/>
              <w:rPr>
                <w:rFonts w:ascii="Arial Narrow" w:hAnsi="Arial Narrow"/>
                <w:i/>
                <w:snapToGrid/>
                <w:sz w:val="20"/>
                <w:szCs w:val="20"/>
              </w:rPr>
            </w:pPr>
            <w:r w:rsidRPr="000F40FA">
              <w:rPr>
                <w:rFonts w:ascii="Arial Narrow" w:hAnsi="Arial Narrow"/>
                <w:i/>
                <w:snapToGrid/>
                <w:sz w:val="20"/>
                <w:szCs w:val="20"/>
              </w:rPr>
              <w:t xml:space="preserve">Careful monitoring of patients is required due to risk of developing hepatotoxicity, including life-threatening hepatic </w:t>
            </w:r>
            <w:proofErr w:type="spellStart"/>
            <w:r w:rsidRPr="000F40FA">
              <w:rPr>
                <w:rFonts w:ascii="Arial Narrow" w:hAnsi="Arial Narrow"/>
                <w:i/>
                <w:snapToGrid/>
                <w:sz w:val="20"/>
                <w:szCs w:val="20"/>
              </w:rPr>
              <w:t>veno</w:t>
            </w:r>
            <w:proofErr w:type="spellEnd"/>
            <w:r w:rsidRPr="000F40FA">
              <w:rPr>
                <w:rFonts w:ascii="Arial Narrow" w:hAnsi="Arial Narrow"/>
                <w:i/>
                <w:snapToGrid/>
                <w:sz w:val="20"/>
                <w:szCs w:val="20"/>
              </w:rPr>
              <w:t>-occlusive disease, and the increased risk of post-</w:t>
            </w:r>
            <w:r w:rsidRPr="000F40FA">
              <w:rPr>
                <w:snapToGrid/>
              </w:rPr>
              <w:t xml:space="preserve"> </w:t>
            </w:r>
            <w:r w:rsidRPr="000F40FA">
              <w:rPr>
                <w:rFonts w:ascii="Arial Narrow" w:hAnsi="Arial Narrow"/>
                <w:i/>
                <w:snapToGrid/>
                <w:sz w:val="20"/>
                <w:szCs w:val="20"/>
              </w:rPr>
              <w:t>haematopoietic stem cell transplant non-relapse mortality observed in patients treated with inotuzumab</w:t>
            </w:r>
            <w:r w:rsidRPr="000F40FA">
              <w:rPr>
                <w:i/>
                <w:snapToGrid/>
                <w:sz w:val="22"/>
              </w:rPr>
              <w:t>.</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tcPr>
          <w:p w:rsidR="000F40FA" w:rsidRPr="000F40FA" w:rsidRDefault="000F40FA" w:rsidP="000F40FA">
            <w:pPr>
              <w:widowControl/>
              <w:snapToGrid w:val="0"/>
              <w:rPr>
                <w:rFonts w:ascii="Arial Narrow" w:hAnsi="Arial Narrow"/>
                <w:snapToGrid/>
                <w:sz w:val="2"/>
                <w:szCs w:val="2"/>
              </w:rPr>
            </w:pPr>
          </w:p>
        </w:tc>
        <w:tc>
          <w:tcPr>
            <w:tcW w:w="3748" w:type="pct"/>
            <w:gridSpan w:val="6"/>
            <w:tcBorders>
              <w:top w:val="single" w:sz="4" w:space="0" w:color="auto"/>
              <w:left w:val="single" w:sz="4" w:space="0" w:color="auto"/>
              <w:bottom w:val="single" w:sz="4" w:space="0" w:color="auto"/>
              <w:right w:val="single" w:sz="4" w:space="0" w:color="auto"/>
            </w:tcBorders>
          </w:tcPr>
          <w:p w:rsidR="000F40FA" w:rsidRPr="000F40FA" w:rsidRDefault="000F40FA" w:rsidP="000F40FA">
            <w:pPr>
              <w:widowControl/>
              <w:snapToGrid w:val="0"/>
              <w:rPr>
                <w:rFonts w:ascii="Arial Narrow" w:hAnsi="Arial Narrow"/>
                <w:snapToGrid/>
                <w:color w:val="000000"/>
                <w:sz w:val="2"/>
                <w:szCs w:val="2"/>
              </w:rPr>
            </w:pPr>
          </w:p>
        </w:tc>
      </w:tr>
    </w:tbl>
    <w:p w:rsidR="000F40FA" w:rsidRPr="000F40FA" w:rsidRDefault="000F40FA" w:rsidP="000F40FA">
      <w:pPr>
        <w:widowControl/>
        <w:snapToGrid w:val="0"/>
        <w:rPr>
          <w:snapToGrid/>
        </w:rPr>
      </w:pPr>
    </w:p>
    <w:p w:rsidR="000F40FA" w:rsidRPr="004C6031" w:rsidRDefault="000F40FA" w:rsidP="000F40FA">
      <w:pPr>
        <w:widowControl/>
        <w:snapToGrid w:val="0"/>
        <w:rPr>
          <w:snapToGrid/>
        </w:rPr>
      </w:pPr>
      <w:r w:rsidRPr="004C6031">
        <w:rPr>
          <w:b/>
          <w:snapToGrid/>
        </w:rPr>
        <w:t>Continuing</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852"/>
        <w:gridCol w:w="2286"/>
        <w:gridCol w:w="1069"/>
        <w:gridCol w:w="1405"/>
      </w:tblGrid>
      <w:tr w:rsidR="000F40FA" w:rsidRPr="000F40FA" w:rsidTr="000F40FA">
        <w:trPr>
          <w:cantSplit/>
          <w:trHeight w:val="463"/>
        </w:trPr>
        <w:tc>
          <w:tcPr>
            <w:tcW w:w="1405" w:type="pct"/>
            <w:gridSpan w:val="2"/>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rPr>
                <w:rFonts w:ascii="Arial Narrow" w:hAnsi="Arial Narrow"/>
                <w:b/>
                <w:snapToGrid/>
                <w:sz w:val="20"/>
              </w:rPr>
            </w:pPr>
            <w:r w:rsidRPr="000F40FA">
              <w:rPr>
                <w:rFonts w:ascii="Arial Narrow" w:hAnsi="Arial Narrow"/>
                <w:b/>
                <w:snapToGrid/>
                <w:sz w:val="20"/>
              </w:rPr>
              <w:t>Name, Restriction,</w:t>
            </w:r>
          </w:p>
          <w:p w:rsidR="000F40FA" w:rsidRPr="000F40FA" w:rsidRDefault="000F40FA" w:rsidP="000F40FA">
            <w:pPr>
              <w:keepNext/>
              <w:widowControl/>
              <w:snapToGrid w:val="0"/>
              <w:rPr>
                <w:rFonts w:ascii="Arial Narrow" w:hAnsi="Arial Narrow"/>
                <w:b/>
                <w:snapToGrid/>
                <w:sz w:val="20"/>
              </w:rPr>
            </w:pPr>
            <w:r w:rsidRPr="000F40FA">
              <w:rPr>
                <w:rFonts w:ascii="Arial Narrow" w:hAnsi="Arial Narrow"/>
                <w:b/>
                <w:snapToGrid/>
                <w:sz w:val="20"/>
              </w:rPr>
              <w:t>Manner of administration and form</w:t>
            </w:r>
          </w:p>
        </w:tc>
        <w:tc>
          <w:tcPr>
            <w:tcW w:w="472" w:type="pct"/>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Max.</w:t>
            </w:r>
          </w:p>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Amt</w:t>
            </w:r>
          </w:p>
        </w:tc>
        <w:tc>
          <w:tcPr>
            <w:tcW w:w="474" w:type="pct"/>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№.of</w:t>
            </w:r>
          </w:p>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Rpts</w:t>
            </w:r>
          </w:p>
        </w:tc>
        <w:tc>
          <w:tcPr>
            <w:tcW w:w="1272" w:type="pct"/>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rPr>
            </w:pPr>
            <w:r w:rsidRPr="000F40FA">
              <w:rPr>
                <w:rFonts w:ascii="Arial Narrow" w:hAnsi="Arial Narrow"/>
                <w:b/>
                <w:snapToGrid/>
                <w:sz w:val="20"/>
              </w:rPr>
              <w:t>Dispensed Price Max Amt</w:t>
            </w:r>
          </w:p>
        </w:tc>
        <w:tc>
          <w:tcPr>
            <w:tcW w:w="1377" w:type="pct"/>
            <w:gridSpan w:val="2"/>
            <w:tcBorders>
              <w:top w:val="single" w:sz="4" w:space="0" w:color="auto"/>
              <w:left w:val="nil"/>
              <w:bottom w:val="single" w:sz="4" w:space="0" w:color="auto"/>
              <w:right w:val="nil"/>
            </w:tcBorders>
            <w:vAlign w:val="center"/>
            <w:hideMark/>
          </w:tcPr>
          <w:p w:rsidR="000F40FA" w:rsidRPr="000F40FA" w:rsidRDefault="000F40FA" w:rsidP="000F40FA">
            <w:pPr>
              <w:keepNext/>
              <w:widowControl/>
              <w:snapToGrid w:val="0"/>
              <w:jc w:val="center"/>
              <w:rPr>
                <w:rFonts w:ascii="Arial Narrow" w:hAnsi="Arial Narrow"/>
                <w:b/>
                <w:snapToGrid/>
                <w:sz w:val="20"/>
                <w:lang w:val="fr-FR"/>
              </w:rPr>
            </w:pPr>
            <w:r w:rsidRPr="000F40FA">
              <w:rPr>
                <w:rFonts w:ascii="Arial Narrow" w:hAnsi="Arial Narrow"/>
                <w:b/>
                <w:snapToGrid/>
                <w:sz w:val="20"/>
              </w:rPr>
              <w:t>Proprietary Name and Manufacturer</w:t>
            </w:r>
          </w:p>
        </w:tc>
      </w:tr>
      <w:tr w:rsidR="000F40FA" w:rsidRPr="000F40FA" w:rsidTr="000F40FA">
        <w:trPr>
          <w:cantSplit/>
          <w:trHeight w:val="71"/>
        </w:trPr>
        <w:tc>
          <w:tcPr>
            <w:tcW w:w="1405" w:type="pct"/>
            <w:gridSpan w:val="2"/>
            <w:hideMark/>
          </w:tcPr>
          <w:p w:rsidR="000F40FA" w:rsidRPr="000F40FA" w:rsidRDefault="000F40FA" w:rsidP="000F40FA">
            <w:pPr>
              <w:keepNext/>
              <w:widowControl/>
              <w:snapToGrid w:val="0"/>
              <w:rPr>
                <w:rFonts w:ascii="Arial Narrow" w:hAnsi="Arial Narrow"/>
                <w:snapToGrid/>
                <w:sz w:val="20"/>
              </w:rPr>
            </w:pPr>
            <w:r w:rsidRPr="000F40FA">
              <w:rPr>
                <w:rFonts w:ascii="Arial Narrow" w:hAnsi="Arial Narrow"/>
                <w:smallCaps/>
                <w:snapToGrid/>
                <w:sz w:val="20"/>
              </w:rPr>
              <w:t>INOTUZUMAB OZOGAMICIN</w:t>
            </w:r>
          </w:p>
        </w:tc>
        <w:tc>
          <w:tcPr>
            <w:tcW w:w="472" w:type="pct"/>
            <w:vAlign w:val="center"/>
          </w:tcPr>
          <w:p w:rsidR="000F40FA" w:rsidRPr="000F40FA" w:rsidRDefault="000F40FA" w:rsidP="000F40FA">
            <w:pPr>
              <w:keepNext/>
              <w:widowControl/>
              <w:snapToGrid w:val="0"/>
              <w:rPr>
                <w:rFonts w:ascii="Arial Narrow" w:hAnsi="Arial Narrow"/>
                <w:snapToGrid/>
                <w:sz w:val="20"/>
              </w:rPr>
            </w:pPr>
          </w:p>
        </w:tc>
        <w:tc>
          <w:tcPr>
            <w:tcW w:w="474" w:type="pct"/>
            <w:vAlign w:val="center"/>
          </w:tcPr>
          <w:p w:rsidR="000F40FA" w:rsidRPr="000F40FA" w:rsidRDefault="000F40FA" w:rsidP="000F40FA">
            <w:pPr>
              <w:keepNext/>
              <w:widowControl/>
              <w:snapToGrid w:val="0"/>
              <w:rPr>
                <w:rFonts w:ascii="Arial Narrow" w:hAnsi="Arial Narrow"/>
                <w:snapToGrid/>
                <w:sz w:val="20"/>
              </w:rPr>
            </w:pPr>
          </w:p>
        </w:tc>
        <w:tc>
          <w:tcPr>
            <w:tcW w:w="1272" w:type="pct"/>
            <w:vAlign w:val="center"/>
          </w:tcPr>
          <w:p w:rsidR="000F40FA" w:rsidRPr="000F40FA" w:rsidRDefault="000F40FA" w:rsidP="000F40FA">
            <w:pPr>
              <w:keepNext/>
              <w:widowControl/>
              <w:snapToGrid w:val="0"/>
              <w:rPr>
                <w:rFonts w:ascii="Arial Narrow" w:hAnsi="Arial Narrow"/>
                <w:snapToGrid/>
                <w:sz w:val="20"/>
              </w:rPr>
            </w:pPr>
          </w:p>
        </w:tc>
        <w:tc>
          <w:tcPr>
            <w:tcW w:w="595" w:type="pct"/>
            <w:vAlign w:val="center"/>
          </w:tcPr>
          <w:p w:rsidR="000F40FA" w:rsidRPr="000F40FA" w:rsidRDefault="000F40FA" w:rsidP="000F40FA">
            <w:pPr>
              <w:keepNext/>
              <w:widowControl/>
              <w:snapToGrid w:val="0"/>
              <w:jc w:val="center"/>
              <w:rPr>
                <w:rFonts w:ascii="Arial Narrow" w:hAnsi="Arial Narrow"/>
                <w:snapToGrid/>
                <w:sz w:val="20"/>
              </w:rPr>
            </w:pPr>
          </w:p>
        </w:tc>
        <w:tc>
          <w:tcPr>
            <w:tcW w:w="782" w:type="pct"/>
            <w:vAlign w:val="center"/>
          </w:tcPr>
          <w:p w:rsidR="000F40FA" w:rsidRPr="000F40FA" w:rsidRDefault="000F40FA" w:rsidP="000F40FA">
            <w:pPr>
              <w:keepNext/>
              <w:widowControl/>
              <w:snapToGrid w:val="0"/>
              <w:rPr>
                <w:rFonts w:ascii="Arial Narrow" w:hAnsi="Arial Narrow"/>
                <w:snapToGrid/>
                <w:sz w:val="20"/>
              </w:rPr>
            </w:pPr>
          </w:p>
        </w:tc>
      </w:tr>
      <w:tr w:rsidR="000F40FA" w:rsidRPr="000F40FA" w:rsidTr="000F40FA">
        <w:trPr>
          <w:cantSplit/>
          <w:trHeight w:val="588"/>
        </w:trPr>
        <w:tc>
          <w:tcPr>
            <w:tcW w:w="1405" w:type="pct"/>
            <w:gridSpan w:val="2"/>
            <w:vAlign w:val="center"/>
            <w:hideMark/>
          </w:tcPr>
          <w:p w:rsidR="000F40FA" w:rsidRPr="000F40FA" w:rsidRDefault="000F40FA" w:rsidP="000F40FA">
            <w:pPr>
              <w:widowControl/>
              <w:snapToGrid w:val="0"/>
              <w:rPr>
                <w:rFonts w:ascii="Arial Narrow" w:hAnsi="Arial Narrow"/>
                <w:snapToGrid/>
                <w:sz w:val="20"/>
              </w:rPr>
            </w:pPr>
            <w:r w:rsidRPr="000F40FA">
              <w:rPr>
                <w:rFonts w:ascii="Arial Narrow" w:hAnsi="Arial Narrow"/>
                <w:snapToGrid/>
                <w:sz w:val="20"/>
              </w:rPr>
              <w:t>1 mg vial powder for injection</w:t>
            </w:r>
          </w:p>
        </w:tc>
        <w:tc>
          <w:tcPr>
            <w:tcW w:w="472" w:type="pct"/>
            <w:vAlign w:val="center"/>
            <w:hideMark/>
          </w:tcPr>
          <w:p w:rsidR="000F40FA" w:rsidRPr="000F40FA" w:rsidRDefault="000F40FA" w:rsidP="000F40FA">
            <w:pPr>
              <w:widowControl/>
              <w:snapToGrid w:val="0"/>
              <w:jc w:val="center"/>
              <w:rPr>
                <w:rFonts w:ascii="Arial Narrow" w:hAnsi="Arial Narrow"/>
                <w:strike/>
                <w:snapToGrid/>
                <w:sz w:val="20"/>
              </w:rPr>
            </w:pPr>
            <w:r w:rsidRPr="000F40FA">
              <w:rPr>
                <w:rFonts w:ascii="Arial Narrow" w:hAnsi="Arial Narrow"/>
                <w:strike/>
                <w:snapToGrid/>
                <w:sz w:val="20"/>
              </w:rPr>
              <w:t>3</w:t>
            </w:r>
          </w:p>
          <w:p w:rsidR="000F40FA" w:rsidRPr="000F40FA" w:rsidRDefault="000F40FA" w:rsidP="000F40FA">
            <w:pPr>
              <w:widowControl/>
              <w:snapToGrid w:val="0"/>
              <w:jc w:val="center"/>
              <w:rPr>
                <w:rFonts w:ascii="Arial Narrow" w:hAnsi="Arial Narrow"/>
                <w:i/>
                <w:snapToGrid/>
                <w:sz w:val="20"/>
              </w:rPr>
            </w:pPr>
            <w:r w:rsidRPr="000F40FA">
              <w:rPr>
                <w:rFonts w:ascii="Arial Narrow" w:hAnsi="Arial Narrow"/>
                <w:i/>
                <w:snapToGrid/>
                <w:sz w:val="20"/>
              </w:rPr>
              <w:t>2820 mcg</w:t>
            </w:r>
          </w:p>
        </w:tc>
        <w:tc>
          <w:tcPr>
            <w:tcW w:w="474" w:type="pct"/>
            <w:vAlign w:val="center"/>
            <w:hideMark/>
          </w:tcPr>
          <w:p w:rsidR="000F40FA" w:rsidRPr="00052094" w:rsidRDefault="00461A78" w:rsidP="008645D5">
            <w:pPr>
              <w:widowControl/>
              <w:snapToGrid w:val="0"/>
              <w:jc w:val="center"/>
              <w:rPr>
                <w:rFonts w:ascii="Arial Narrow" w:hAnsi="Arial Narrow"/>
                <w:snapToGrid/>
                <w:sz w:val="20"/>
              </w:rPr>
            </w:pPr>
            <w:r w:rsidRPr="00052094">
              <w:rPr>
                <w:rFonts w:ascii="Arial Narrow" w:hAnsi="Arial Narrow"/>
                <w:snapToGrid/>
                <w:sz w:val="20"/>
              </w:rPr>
              <w:t xml:space="preserve"> </w:t>
            </w:r>
            <w:r w:rsidR="000F40FA" w:rsidRPr="00052094">
              <w:rPr>
                <w:rFonts w:ascii="Arial Narrow" w:hAnsi="Arial Narrow"/>
                <w:snapToGrid/>
                <w:sz w:val="20"/>
              </w:rPr>
              <w:t>4</w:t>
            </w:r>
            <w:r w:rsidRPr="00052094">
              <w:rPr>
                <w:rFonts w:ascii="Arial Narrow" w:hAnsi="Arial Narrow"/>
                <w:snapToGrid/>
                <w:sz w:val="20"/>
              </w:rPr>
              <w:t xml:space="preserve"> </w:t>
            </w:r>
          </w:p>
          <w:p w:rsidR="00461A78" w:rsidRPr="00347F43" w:rsidRDefault="00461A78" w:rsidP="008645D5">
            <w:pPr>
              <w:widowControl/>
              <w:snapToGrid w:val="0"/>
              <w:jc w:val="center"/>
              <w:rPr>
                <w:rFonts w:ascii="Arial Narrow" w:hAnsi="Arial Narrow"/>
                <w:i/>
                <w:strike/>
                <w:snapToGrid/>
                <w:sz w:val="20"/>
              </w:rPr>
            </w:pPr>
          </w:p>
        </w:tc>
        <w:tc>
          <w:tcPr>
            <w:tcW w:w="1272" w:type="pct"/>
            <w:hideMark/>
          </w:tcPr>
          <w:p w:rsidR="000F40FA" w:rsidRPr="000F40FA" w:rsidRDefault="000F40FA" w:rsidP="000F40FA">
            <w:pPr>
              <w:widowControl/>
              <w:snapToGrid w:val="0"/>
              <w:rPr>
                <w:rFonts w:ascii="Arial Narrow" w:hAnsi="Arial Narrow"/>
                <w:snapToGrid/>
                <w:sz w:val="20"/>
              </w:rPr>
            </w:pPr>
            <w:r w:rsidRPr="000F40FA">
              <w:rPr>
                <w:rFonts w:ascii="Arial Narrow" w:hAnsi="Arial Narrow"/>
                <w:snapToGrid/>
                <w:sz w:val="20"/>
              </w:rPr>
              <w:t>$</w:t>
            </w:r>
            <w:r w:rsidR="00B0555B">
              <w:rPr>
                <w:rFonts w:ascii="Arial Narrow" w:hAnsi="Arial Narrow"/>
                <w:noProof/>
                <w:snapToGrid/>
                <w:color w:val="000000"/>
                <w:sz w:val="20"/>
                <w:highlight w:val="black"/>
              </w:rPr>
              <w:t>''''''''''''''''''''''''</w:t>
            </w:r>
            <w:r w:rsidRPr="000F40FA">
              <w:rPr>
                <w:rFonts w:ascii="Arial Narrow" w:hAnsi="Arial Narrow"/>
                <w:snapToGrid/>
                <w:sz w:val="20"/>
              </w:rPr>
              <w:t xml:space="preserve"> (Public hospital)</w:t>
            </w:r>
          </w:p>
          <w:p w:rsidR="000F40FA" w:rsidRPr="000F40FA" w:rsidRDefault="000F40FA" w:rsidP="000F40FA">
            <w:pPr>
              <w:keepNext/>
              <w:widowControl/>
              <w:snapToGrid w:val="0"/>
              <w:rPr>
                <w:rFonts w:ascii="Arial Narrow" w:hAnsi="Arial Narrow"/>
                <w:snapToGrid/>
                <w:sz w:val="20"/>
              </w:rPr>
            </w:pPr>
            <w:r w:rsidRPr="000F40FA">
              <w:rPr>
                <w:rFonts w:ascii="Arial Narrow" w:hAnsi="Arial Narrow"/>
                <w:snapToGrid/>
                <w:sz w:val="20"/>
              </w:rPr>
              <w:t>$</w:t>
            </w:r>
            <w:r w:rsidR="00B0555B">
              <w:rPr>
                <w:rFonts w:ascii="Arial Narrow" w:hAnsi="Arial Narrow"/>
                <w:noProof/>
                <w:snapToGrid/>
                <w:color w:val="000000"/>
                <w:sz w:val="20"/>
                <w:highlight w:val="black"/>
              </w:rPr>
              <w:t>''''''''''''''''''''''</w:t>
            </w:r>
            <w:r w:rsidRPr="000F40FA">
              <w:rPr>
                <w:rFonts w:ascii="Arial Narrow" w:hAnsi="Arial Narrow"/>
                <w:snapToGrid/>
                <w:sz w:val="20"/>
              </w:rPr>
              <w:t xml:space="preserve"> (Private hospital)</w:t>
            </w:r>
          </w:p>
        </w:tc>
        <w:tc>
          <w:tcPr>
            <w:tcW w:w="595" w:type="pct"/>
            <w:vAlign w:val="center"/>
            <w:hideMark/>
          </w:tcPr>
          <w:p w:rsidR="000F40FA" w:rsidRPr="000F40FA" w:rsidRDefault="000F40FA" w:rsidP="000F40FA">
            <w:pPr>
              <w:keepNext/>
              <w:widowControl/>
              <w:snapToGrid w:val="0"/>
              <w:jc w:val="center"/>
              <w:rPr>
                <w:rFonts w:ascii="Arial Narrow" w:hAnsi="Arial Narrow"/>
                <w:snapToGrid/>
                <w:sz w:val="20"/>
              </w:rPr>
            </w:pPr>
            <w:proofErr w:type="spellStart"/>
            <w:r w:rsidRPr="000F40FA">
              <w:rPr>
                <w:rFonts w:ascii="Arial Narrow" w:hAnsi="Arial Narrow"/>
                <w:snapToGrid/>
                <w:sz w:val="20"/>
              </w:rPr>
              <w:t>Besponsa</w:t>
            </w:r>
            <w:proofErr w:type="spellEnd"/>
            <w:r w:rsidRPr="000F40FA">
              <w:rPr>
                <w:rFonts w:ascii="Arial Narrow" w:hAnsi="Arial Narrow"/>
                <w:snapToGrid/>
                <w:sz w:val="20"/>
              </w:rPr>
              <w:t>®</w:t>
            </w:r>
          </w:p>
        </w:tc>
        <w:tc>
          <w:tcPr>
            <w:tcW w:w="782" w:type="pct"/>
            <w:vAlign w:val="center"/>
            <w:hideMark/>
          </w:tcPr>
          <w:p w:rsidR="000F40FA" w:rsidRPr="000F40FA" w:rsidRDefault="000F40FA" w:rsidP="000F40FA">
            <w:pPr>
              <w:keepNext/>
              <w:widowControl/>
              <w:snapToGrid w:val="0"/>
              <w:jc w:val="center"/>
              <w:rPr>
                <w:rFonts w:ascii="Arial Narrow" w:hAnsi="Arial Narrow"/>
                <w:snapToGrid/>
                <w:sz w:val="20"/>
              </w:rPr>
            </w:pPr>
            <w:r w:rsidRPr="000F40FA">
              <w:rPr>
                <w:rFonts w:ascii="Arial Narrow" w:hAnsi="Arial Narrow"/>
                <w:snapToGrid/>
                <w:sz w:val="20"/>
              </w:rPr>
              <w:t xml:space="preserve">Pfizer Australia </w:t>
            </w:r>
          </w:p>
          <w:p w:rsidR="000F40FA" w:rsidRPr="000F40FA" w:rsidRDefault="000F40FA" w:rsidP="000F40FA">
            <w:pPr>
              <w:keepNext/>
              <w:widowControl/>
              <w:snapToGrid w:val="0"/>
              <w:jc w:val="center"/>
              <w:rPr>
                <w:rFonts w:ascii="Arial Narrow" w:hAnsi="Arial Narrow"/>
                <w:snapToGrid/>
                <w:sz w:val="20"/>
              </w:rPr>
            </w:pPr>
            <w:r w:rsidRPr="000F40FA">
              <w:rPr>
                <w:rFonts w:ascii="Arial Narrow" w:hAnsi="Arial Narrow"/>
                <w:snapToGrid/>
                <w:sz w:val="20"/>
              </w:rPr>
              <w:t>P/L</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color w:val="000000"/>
                <w:sz w:val="20"/>
                <w:szCs w:val="20"/>
              </w:rPr>
            </w:pPr>
            <w:r w:rsidRPr="000F40FA">
              <w:rPr>
                <w:rFonts w:ascii="Arial Narrow" w:hAnsi="Arial Narrow"/>
                <w:snapToGrid/>
                <w:color w:val="000000"/>
                <w:sz w:val="20"/>
                <w:szCs w:val="20"/>
              </w:rPr>
              <w:t>S100 – Efficient Funding of Chemotherapy (EFC)</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5E49CA" w:rsidP="000F40FA">
            <w:pPr>
              <w:widowControl/>
              <w:snapToGrid w:val="0"/>
              <w:rPr>
                <w:rFonts w:ascii="Arial Narrow" w:hAnsi="Arial Narrow"/>
                <w:snapToGrid/>
                <w:color w:val="000000"/>
                <w:sz w:val="20"/>
                <w:szCs w:val="20"/>
              </w:rPr>
            </w:pPr>
            <w:r>
              <w:rPr>
                <w:rFonts w:ascii="Arial Narrow" w:hAnsi="Arial Narrow"/>
                <w:snapToGrid/>
                <w:color w:val="000000"/>
                <w:sz w:val="20"/>
                <w:szCs w:val="20"/>
              </w:rPr>
              <w:t>A</w:t>
            </w:r>
            <w:r w:rsidR="000F40FA" w:rsidRPr="000F40FA">
              <w:rPr>
                <w:rFonts w:ascii="Arial Narrow" w:hAnsi="Arial Narrow"/>
                <w:snapToGrid/>
                <w:color w:val="000000"/>
                <w:sz w:val="20"/>
                <w:szCs w:val="20"/>
              </w:rPr>
              <w:t>cute lymphoblastic leukaemia (ALL)</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4C6031" w:rsidRDefault="000F40FA" w:rsidP="000F40FA">
            <w:pPr>
              <w:widowControl/>
              <w:snapToGrid w:val="0"/>
              <w:rPr>
                <w:rFonts w:ascii="Arial Narrow" w:hAnsi="Arial Narrow"/>
                <w:snapToGrid/>
                <w:sz w:val="20"/>
                <w:szCs w:val="20"/>
              </w:rPr>
            </w:pPr>
            <w:r w:rsidRPr="004C6031">
              <w:rPr>
                <w:rFonts w:ascii="Arial Narrow" w:hAnsi="Arial Narrow"/>
                <w:snapToGrid/>
                <w:sz w:val="20"/>
                <w:szCs w:val="20"/>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4C6031" w:rsidRDefault="000F40FA" w:rsidP="00DB416F">
            <w:pPr>
              <w:widowControl/>
              <w:snapToGrid w:val="0"/>
              <w:rPr>
                <w:rFonts w:ascii="Arial Narrow" w:hAnsi="Arial Narrow"/>
                <w:snapToGrid/>
                <w:color w:val="000000"/>
                <w:sz w:val="20"/>
                <w:szCs w:val="20"/>
              </w:rPr>
            </w:pPr>
            <w:r w:rsidRPr="004C6031">
              <w:rPr>
                <w:rFonts w:ascii="Arial Narrow" w:hAnsi="Arial Narrow"/>
                <w:snapToGrid/>
                <w:color w:val="000000"/>
                <w:sz w:val="20"/>
                <w:szCs w:val="20"/>
              </w:rPr>
              <w:t>Con</w:t>
            </w:r>
            <w:r w:rsidR="00DB416F">
              <w:rPr>
                <w:rFonts w:ascii="Arial Narrow" w:hAnsi="Arial Narrow"/>
                <w:snapToGrid/>
                <w:color w:val="000000"/>
                <w:sz w:val="20"/>
                <w:szCs w:val="20"/>
              </w:rPr>
              <w:t>solidation</w:t>
            </w:r>
            <w:r w:rsidRPr="004C6031">
              <w:rPr>
                <w:snapToGrid/>
              </w:rPr>
              <w:t xml:space="preserve"> </w:t>
            </w:r>
            <w:r w:rsidRPr="004C6031">
              <w:rPr>
                <w:rFonts w:ascii="Arial Narrow" w:hAnsi="Arial Narrow"/>
                <w:snapToGrid/>
                <w:color w:val="000000"/>
                <w:sz w:val="20"/>
                <w:szCs w:val="20"/>
              </w:rPr>
              <w:t>treatment</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i/>
                <w:snapToGrid/>
                <w:color w:val="000000"/>
                <w:sz w:val="20"/>
                <w:szCs w:val="20"/>
              </w:rPr>
            </w:pPr>
            <w:r w:rsidRPr="000F40FA">
              <w:rPr>
                <w:rFonts w:ascii="Arial Narrow" w:hAnsi="Arial Narrow"/>
                <w:snapToGrid/>
                <w:color w:val="000000"/>
                <w:sz w:val="20"/>
                <w:szCs w:val="20"/>
              </w:rPr>
              <w:t xml:space="preserve">Authority Required - </w:t>
            </w:r>
            <w:r w:rsidRPr="0001155F">
              <w:rPr>
                <w:rFonts w:ascii="Arial Narrow" w:hAnsi="Arial Narrow"/>
                <w:strike/>
                <w:snapToGrid/>
                <w:color w:val="000000"/>
                <w:sz w:val="20"/>
                <w:szCs w:val="20"/>
              </w:rPr>
              <w:t>I</w:t>
            </w:r>
            <w:r w:rsidRPr="000F40FA">
              <w:rPr>
                <w:rFonts w:ascii="Arial Narrow" w:hAnsi="Arial Narrow"/>
                <w:strike/>
                <w:snapToGrid/>
                <w:color w:val="000000"/>
                <w:sz w:val="20"/>
                <w:szCs w:val="20"/>
              </w:rPr>
              <w:t>n Writing</w:t>
            </w:r>
            <w:r w:rsidRPr="000F40FA">
              <w:rPr>
                <w:rFonts w:ascii="Arial Narrow" w:hAnsi="Arial Narrow"/>
                <w:snapToGrid/>
                <w:color w:val="000000"/>
                <w:sz w:val="20"/>
                <w:szCs w:val="20"/>
              </w:rPr>
              <w:t xml:space="preserve"> </w:t>
            </w:r>
            <w:r w:rsidRPr="000F40FA">
              <w:rPr>
                <w:rFonts w:ascii="Arial Narrow" w:hAnsi="Arial Narrow"/>
                <w:i/>
                <w:snapToGrid/>
                <w:color w:val="000000"/>
                <w:sz w:val="20"/>
                <w:szCs w:val="20"/>
              </w:rPr>
              <w:t>Telephone</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Treatment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trike/>
                <w:snapToGrid/>
                <w:color w:val="000000"/>
                <w:sz w:val="20"/>
                <w:szCs w:val="20"/>
              </w:rPr>
            </w:pPr>
            <w:r w:rsidRPr="000F40FA">
              <w:rPr>
                <w:rFonts w:ascii="Arial Narrow" w:hAnsi="Arial Narrow"/>
                <w:strike/>
                <w:snapToGrid/>
                <w:color w:val="000000"/>
                <w:sz w:val="20"/>
                <w:szCs w:val="20"/>
              </w:rPr>
              <w:t>Inotuzumab is not PBS-subsidised if it is administered to an in-patient in a public hospital setting.</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lastRenderedPageBreak/>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Patient must have previously received PBS-subsidised </w:t>
            </w:r>
            <w:r w:rsidRPr="000F40FA">
              <w:rPr>
                <w:rFonts w:ascii="Arial Narrow" w:hAnsi="Arial Narrow"/>
                <w:i/>
                <w:snapToGrid/>
                <w:sz w:val="20"/>
                <w:szCs w:val="20"/>
              </w:rPr>
              <w:t xml:space="preserve">induction </w:t>
            </w:r>
            <w:r w:rsidRPr="000F40FA">
              <w:rPr>
                <w:rFonts w:ascii="Arial Narrow" w:hAnsi="Arial Narrow"/>
                <w:snapToGrid/>
                <w:sz w:val="20"/>
                <w:szCs w:val="20"/>
              </w:rPr>
              <w:t xml:space="preserve">treatment with this drug for this condition, </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Patient must have achieved a complete remission </w:t>
            </w:r>
            <w:r w:rsidRPr="000F40FA">
              <w:rPr>
                <w:rFonts w:ascii="Arial Narrow" w:hAnsi="Arial Narrow"/>
                <w:strike/>
                <w:snapToGrid/>
                <w:sz w:val="20"/>
                <w:szCs w:val="20"/>
              </w:rPr>
              <w:t>(CR)</w:t>
            </w:r>
            <w:r w:rsidRPr="000F40FA">
              <w:rPr>
                <w:rFonts w:ascii="Arial Narrow" w:hAnsi="Arial Narrow"/>
                <w:snapToGrid/>
                <w:sz w:val="20"/>
                <w:szCs w:val="20"/>
              </w:rPr>
              <w:t xml:space="preserve"> </w:t>
            </w:r>
            <w:r w:rsidRPr="000F40FA">
              <w:rPr>
                <w:rFonts w:ascii="Arial Narrow" w:hAnsi="Arial Narrow"/>
                <w:strike/>
                <w:snapToGrid/>
                <w:sz w:val="20"/>
                <w:szCs w:val="20"/>
              </w:rPr>
              <w:t>or complete remission</w:t>
            </w:r>
            <w:r w:rsidRPr="000F40FA">
              <w:rPr>
                <w:rFonts w:ascii="Arial Narrow" w:hAnsi="Arial Narrow"/>
                <w:snapToGrid/>
                <w:sz w:val="20"/>
                <w:szCs w:val="20"/>
              </w:rPr>
              <w:t>; OR</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Patient must have achieved a complete remission with partial haematological recovery </w:t>
            </w:r>
            <w:r w:rsidRPr="000F40FA">
              <w:rPr>
                <w:rFonts w:ascii="Arial Narrow" w:hAnsi="Arial Narrow"/>
                <w:strike/>
                <w:snapToGrid/>
                <w:sz w:val="20"/>
                <w:szCs w:val="20"/>
              </w:rPr>
              <w:t>(</w:t>
            </w:r>
            <w:proofErr w:type="spellStart"/>
            <w:r w:rsidRPr="000F40FA">
              <w:rPr>
                <w:rFonts w:ascii="Arial Narrow" w:hAnsi="Arial Narrow"/>
                <w:strike/>
                <w:snapToGrid/>
                <w:sz w:val="20"/>
                <w:szCs w:val="20"/>
              </w:rPr>
              <w:t>CRi</w:t>
            </w:r>
            <w:proofErr w:type="spellEnd"/>
            <w:r w:rsidRPr="000F40FA">
              <w:rPr>
                <w:rFonts w:ascii="Arial Narrow" w:hAnsi="Arial Narrow"/>
                <w:strike/>
                <w:snapToGrid/>
                <w:sz w:val="20"/>
                <w:szCs w:val="20"/>
              </w:rPr>
              <w:t>)</w:t>
            </w:r>
            <w:r w:rsidRPr="000F40FA">
              <w:rPr>
                <w:rFonts w:ascii="Arial Narrow" w:hAnsi="Arial Narrow"/>
                <w:snapToGrid/>
                <w:sz w:val="20"/>
                <w:szCs w:val="20"/>
              </w:rPr>
              <w:t>,</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AND</w:t>
            </w:r>
          </w:p>
          <w:p w:rsidR="00877713" w:rsidRPr="009835E2" w:rsidRDefault="000F40FA" w:rsidP="00877713">
            <w:pPr>
              <w:widowControl/>
              <w:snapToGrid w:val="0"/>
              <w:rPr>
                <w:rFonts w:ascii="Arial Narrow" w:hAnsi="Arial Narrow"/>
                <w:i/>
                <w:snapToGrid/>
                <w:sz w:val="20"/>
                <w:szCs w:val="20"/>
              </w:rPr>
            </w:pPr>
            <w:r w:rsidRPr="000F40FA">
              <w:rPr>
                <w:rFonts w:ascii="Arial Narrow" w:hAnsi="Arial Narrow"/>
                <w:snapToGrid/>
                <w:sz w:val="20"/>
                <w:szCs w:val="20"/>
              </w:rPr>
              <w:t xml:space="preserve">The treatment must not be more than </w:t>
            </w:r>
            <w:r w:rsidRPr="008645D5">
              <w:rPr>
                <w:rFonts w:ascii="Arial Narrow" w:hAnsi="Arial Narrow"/>
                <w:snapToGrid/>
                <w:sz w:val="20"/>
                <w:szCs w:val="20"/>
              </w:rPr>
              <w:t>5</w:t>
            </w:r>
            <w:r w:rsidRPr="000F40FA">
              <w:rPr>
                <w:rFonts w:ascii="Arial Narrow" w:hAnsi="Arial Narrow"/>
                <w:snapToGrid/>
                <w:sz w:val="20"/>
                <w:szCs w:val="20"/>
              </w:rPr>
              <w:t xml:space="preserve"> treatment cycles under this restriction in a lifetime</w:t>
            </w:r>
            <w:r w:rsidR="00877713">
              <w:rPr>
                <w:rFonts w:ascii="Arial Narrow" w:hAnsi="Arial Narrow"/>
                <w:snapToGrid/>
                <w:sz w:val="20"/>
                <w:szCs w:val="20"/>
              </w:rPr>
              <w:t>,</w:t>
            </w:r>
            <w:r w:rsidR="00877713" w:rsidRPr="009835E2">
              <w:rPr>
                <w:rFonts w:ascii="Arial Narrow" w:hAnsi="Arial Narrow"/>
                <w:i/>
                <w:snapToGrid/>
                <w:sz w:val="20"/>
                <w:szCs w:val="20"/>
              </w:rPr>
              <w:t xml:space="preserve"> AND </w:t>
            </w:r>
          </w:p>
          <w:p w:rsidR="000F40FA" w:rsidRPr="000F40FA" w:rsidRDefault="00877713" w:rsidP="00877713">
            <w:pPr>
              <w:widowControl/>
              <w:snapToGrid w:val="0"/>
              <w:rPr>
                <w:rFonts w:ascii="Arial Narrow" w:hAnsi="Arial Narrow"/>
                <w:snapToGrid/>
                <w:color w:val="000000"/>
                <w:sz w:val="20"/>
                <w:szCs w:val="20"/>
              </w:rPr>
            </w:pPr>
            <w:r w:rsidRPr="00D22074">
              <w:rPr>
                <w:rFonts w:ascii="Arial Narrow" w:hAnsi="Arial Narrow"/>
                <w:i/>
                <w:snapToGrid/>
                <w:sz w:val="20"/>
                <w:szCs w:val="20"/>
              </w:rPr>
              <w:t>Patient must not receive PBS-subsidised treatment with this drug if progressive disease develops while on this drug</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Prescriber instruction:</w:t>
            </w:r>
          </w:p>
        </w:tc>
        <w:tc>
          <w:tcPr>
            <w:tcW w:w="3748" w:type="pct"/>
            <w:gridSpan w:val="6"/>
            <w:tcBorders>
              <w:top w:val="single" w:sz="4" w:space="0" w:color="auto"/>
              <w:left w:val="single" w:sz="4" w:space="0" w:color="auto"/>
              <w:bottom w:val="single" w:sz="4" w:space="0" w:color="auto"/>
              <w:right w:val="single" w:sz="4" w:space="0" w:color="auto"/>
            </w:tcBorders>
          </w:tcPr>
          <w:p w:rsid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Treatment with </w:t>
            </w:r>
            <w:r w:rsidRPr="00461A78">
              <w:rPr>
                <w:rFonts w:ascii="Arial Narrow" w:hAnsi="Arial Narrow"/>
                <w:strike/>
                <w:snapToGrid/>
                <w:sz w:val="20"/>
                <w:szCs w:val="20"/>
              </w:rPr>
              <w:t xml:space="preserve">inotuzumab </w:t>
            </w:r>
            <w:proofErr w:type="spellStart"/>
            <w:r w:rsidRPr="00461A78">
              <w:rPr>
                <w:rFonts w:ascii="Arial Narrow" w:hAnsi="Arial Narrow"/>
                <w:strike/>
                <w:snapToGrid/>
                <w:sz w:val="20"/>
                <w:szCs w:val="20"/>
              </w:rPr>
              <w:t>ozogamicin</w:t>
            </w:r>
            <w:proofErr w:type="spellEnd"/>
            <w:r w:rsidRPr="00461A78">
              <w:rPr>
                <w:rFonts w:ascii="Arial Narrow" w:hAnsi="Arial Narrow"/>
                <w:strike/>
                <w:snapToGrid/>
                <w:sz w:val="20"/>
                <w:szCs w:val="20"/>
              </w:rPr>
              <w:t xml:space="preserve"> for ALL</w:t>
            </w:r>
            <w:r w:rsidRPr="000F40FA">
              <w:rPr>
                <w:rFonts w:ascii="Arial Narrow" w:hAnsi="Arial Narrow"/>
                <w:snapToGrid/>
                <w:sz w:val="20"/>
                <w:szCs w:val="20"/>
              </w:rPr>
              <w:t xml:space="preserve"> </w:t>
            </w:r>
            <w:r w:rsidRPr="000F40FA">
              <w:rPr>
                <w:rFonts w:ascii="Arial Narrow" w:hAnsi="Arial Narrow"/>
                <w:i/>
                <w:snapToGrid/>
                <w:sz w:val="20"/>
                <w:szCs w:val="20"/>
              </w:rPr>
              <w:t xml:space="preserve">this drug for this condition </w:t>
            </w:r>
            <w:r w:rsidRPr="000F40FA">
              <w:rPr>
                <w:rFonts w:ascii="Arial Narrow" w:hAnsi="Arial Narrow"/>
                <w:snapToGrid/>
                <w:sz w:val="20"/>
                <w:szCs w:val="20"/>
              </w:rPr>
              <w:t xml:space="preserve">must not exceed 6 treatment cycles in a lifetime. </w:t>
            </w:r>
          </w:p>
          <w:p w:rsidR="000F40FA" w:rsidRPr="000F40FA" w:rsidRDefault="000F40FA" w:rsidP="000F40FA">
            <w:pPr>
              <w:widowControl/>
              <w:snapToGrid w:val="0"/>
              <w:rPr>
                <w:rFonts w:ascii="Arial Narrow" w:hAnsi="Arial Narrow"/>
                <w:snapToGrid/>
                <w:sz w:val="20"/>
                <w:szCs w:val="20"/>
              </w:rPr>
            </w:pPr>
          </w:p>
          <w:p w:rsidR="000F40FA" w:rsidRPr="0001155F" w:rsidRDefault="000F40FA" w:rsidP="000F40FA">
            <w:pPr>
              <w:widowControl/>
              <w:snapToGrid w:val="0"/>
              <w:rPr>
                <w:rFonts w:ascii="Arial Narrow" w:hAnsi="Arial Narrow"/>
                <w:strike/>
                <w:snapToGrid/>
                <w:color w:val="000000"/>
                <w:sz w:val="20"/>
                <w:szCs w:val="20"/>
              </w:rPr>
            </w:pPr>
            <w:r w:rsidRPr="0001155F">
              <w:rPr>
                <w:rFonts w:ascii="Arial Narrow" w:hAnsi="Arial Narrow"/>
                <w:strike/>
                <w:snapToGrid/>
                <w:sz w:val="20"/>
                <w:szCs w:val="20"/>
              </w:rPr>
              <w:t>Patients who fail to demonstrate a complete remission (CR) or complete remission with incomplete haematological recovery (</w:t>
            </w:r>
            <w:proofErr w:type="spellStart"/>
            <w:r w:rsidRPr="0001155F">
              <w:rPr>
                <w:rFonts w:ascii="Arial Narrow" w:hAnsi="Arial Narrow"/>
                <w:strike/>
                <w:snapToGrid/>
                <w:sz w:val="20"/>
                <w:szCs w:val="20"/>
              </w:rPr>
              <w:t>CRi</w:t>
            </w:r>
            <w:proofErr w:type="spellEnd"/>
            <w:r w:rsidRPr="0001155F">
              <w:rPr>
                <w:rFonts w:ascii="Arial Narrow" w:hAnsi="Arial Narrow"/>
                <w:strike/>
                <w:snapToGrid/>
                <w:sz w:val="20"/>
                <w:szCs w:val="20"/>
              </w:rPr>
              <w:t>) after 3 cycles of PBS-subsidised treatment with this agent must cease PBS-subsidised treatment with this agent.</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0F40FA" w:rsidRPr="000F40FA" w:rsidRDefault="000F40FA" w:rsidP="000F40FA">
            <w:pPr>
              <w:widowControl/>
              <w:snapToGrid w:val="0"/>
              <w:rPr>
                <w:rFonts w:ascii="Arial Narrow" w:hAnsi="Arial Narrow"/>
                <w:i/>
                <w:snapToGrid/>
                <w:sz w:val="20"/>
                <w:szCs w:val="20"/>
              </w:rPr>
            </w:pP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 </w:t>
            </w:r>
          </w:p>
          <w:p w:rsidR="000F40FA" w:rsidRPr="000F40FA" w:rsidRDefault="000F40FA" w:rsidP="000F40FA">
            <w:pPr>
              <w:widowControl/>
              <w:snapToGrid w:val="0"/>
              <w:rPr>
                <w:rFonts w:ascii="Arial Narrow" w:hAnsi="Arial Narrow"/>
                <w:i/>
                <w:snapToGrid/>
                <w:sz w:val="20"/>
                <w:szCs w:val="20"/>
              </w:rPr>
            </w:pP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Patients who fail to demonstrate a response to PBS-subsidised treatment with this agent at the time when an assessment is required must cease PBS-subsidised therapy with this agent. </w:t>
            </w:r>
          </w:p>
          <w:p w:rsidR="00293442" w:rsidRDefault="00293442" w:rsidP="000F40FA">
            <w:pPr>
              <w:widowControl/>
              <w:snapToGrid w:val="0"/>
              <w:rPr>
                <w:rFonts w:ascii="Arial Narrow" w:hAnsi="Arial Narrow"/>
                <w:i/>
                <w:snapToGrid/>
                <w:sz w:val="20"/>
                <w:szCs w:val="20"/>
              </w:rPr>
            </w:pPr>
          </w:p>
          <w:p w:rsid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No increase in the maximum quantity or number of units may be authorised.</w:t>
            </w:r>
          </w:p>
          <w:p w:rsidR="00D22074" w:rsidRDefault="00D22074" w:rsidP="00D22074">
            <w:pPr>
              <w:keepNext/>
              <w:keepLines/>
              <w:widowControl/>
              <w:snapToGrid w:val="0"/>
              <w:jc w:val="left"/>
              <w:rPr>
                <w:rFonts w:ascii="Arial Narrow" w:hAnsi="Arial Narrow"/>
                <w:i/>
                <w:snapToGrid/>
                <w:sz w:val="20"/>
                <w:szCs w:val="20"/>
              </w:rPr>
            </w:pPr>
            <w:r w:rsidRPr="000F40FA">
              <w:rPr>
                <w:rFonts w:ascii="Arial Narrow" w:hAnsi="Arial Narrow"/>
                <w:i/>
                <w:snapToGrid/>
                <w:sz w:val="20"/>
                <w:szCs w:val="20"/>
              </w:rPr>
              <w:t>No increase in the maximum number of repeats may be authorised.</w:t>
            </w:r>
          </w:p>
          <w:p w:rsidR="00293442" w:rsidRPr="000F40FA" w:rsidRDefault="00293442" w:rsidP="000F40FA">
            <w:pPr>
              <w:widowControl/>
              <w:snapToGrid w:val="0"/>
              <w:rPr>
                <w:rFonts w:ascii="Arial Narrow" w:hAnsi="Arial Narrow"/>
                <w:i/>
                <w:snapToGrid/>
                <w:sz w:val="20"/>
                <w:szCs w:val="20"/>
              </w:rPr>
            </w:pP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Applications for authorisation under this criterion may be made by telephone by contacting the Department of Human Services on 1800 700 270 (hours of operation 8 a.m. to 5 p.m. EST Monday to Friday).</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i/>
                <w:snapToGrid/>
                <w:sz w:val="20"/>
                <w:szCs w:val="20"/>
              </w:rPr>
              <w:t>Special Pricing Arrangements apply</w:t>
            </w:r>
            <w:r w:rsidRPr="000F40FA">
              <w:rPr>
                <w:rFonts w:ascii="Arial Narrow" w:hAnsi="Arial Narrow"/>
                <w:snapToGrid/>
                <w:sz w:val="20"/>
                <w:szCs w:val="20"/>
              </w:rPr>
              <w:t>.</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b/>
                <w:i/>
                <w:snapToGrid/>
                <w:sz w:val="20"/>
                <w:szCs w:val="20"/>
              </w:rPr>
            </w:pPr>
            <w:r w:rsidRPr="000F40FA">
              <w:rPr>
                <w:rFonts w:ascii="Arial Narrow" w:hAnsi="Arial Narrow"/>
                <w:i/>
                <w:snapToGrid/>
                <w:sz w:val="20"/>
                <w:szCs w:val="20"/>
              </w:rPr>
              <w:t xml:space="preserve">Careful monitoring of patients is required due to risk of developing hepatotoxicity, including life-threatening hepatic </w:t>
            </w:r>
            <w:proofErr w:type="spellStart"/>
            <w:r w:rsidRPr="000F40FA">
              <w:rPr>
                <w:rFonts w:ascii="Arial Narrow" w:hAnsi="Arial Narrow"/>
                <w:i/>
                <w:snapToGrid/>
                <w:sz w:val="20"/>
                <w:szCs w:val="20"/>
              </w:rPr>
              <w:t>veno</w:t>
            </w:r>
            <w:proofErr w:type="spellEnd"/>
            <w:r w:rsidRPr="000F40FA">
              <w:rPr>
                <w:rFonts w:ascii="Arial Narrow" w:hAnsi="Arial Narrow"/>
                <w:i/>
                <w:snapToGrid/>
                <w:sz w:val="20"/>
                <w:szCs w:val="20"/>
              </w:rPr>
              <w:t>-occlusive disease, and the increased risk of post-</w:t>
            </w:r>
            <w:r w:rsidRPr="000F40FA">
              <w:rPr>
                <w:snapToGrid/>
              </w:rPr>
              <w:t xml:space="preserve"> </w:t>
            </w:r>
            <w:r w:rsidRPr="000F40FA">
              <w:rPr>
                <w:rFonts w:ascii="Arial Narrow" w:hAnsi="Arial Narrow"/>
                <w:i/>
                <w:snapToGrid/>
                <w:sz w:val="20"/>
                <w:szCs w:val="20"/>
              </w:rPr>
              <w:t xml:space="preserve">haematopoietic stem cell transplant non-relapse mortality observed in patients treated with inotuzumab. </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tcPr>
          <w:p w:rsidR="000F40FA" w:rsidRPr="000F40FA" w:rsidRDefault="000F40FA" w:rsidP="000F40FA">
            <w:pPr>
              <w:widowControl/>
              <w:snapToGrid w:val="0"/>
              <w:rPr>
                <w:rFonts w:ascii="Arial Narrow" w:hAnsi="Arial Narrow"/>
                <w:snapToGrid/>
                <w:sz w:val="2"/>
                <w:szCs w:val="2"/>
              </w:rPr>
            </w:pPr>
          </w:p>
        </w:tc>
        <w:tc>
          <w:tcPr>
            <w:tcW w:w="3748" w:type="pct"/>
            <w:gridSpan w:val="6"/>
            <w:tcBorders>
              <w:top w:val="single" w:sz="4" w:space="0" w:color="auto"/>
              <w:left w:val="single" w:sz="4" w:space="0" w:color="auto"/>
              <w:bottom w:val="single" w:sz="4" w:space="0" w:color="auto"/>
              <w:right w:val="single" w:sz="4" w:space="0" w:color="auto"/>
            </w:tcBorders>
          </w:tcPr>
          <w:p w:rsidR="000F40FA" w:rsidRPr="000F40FA" w:rsidRDefault="000F40FA" w:rsidP="000F40FA">
            <w:pPr>
              <w:widowControl/>
              <w:snapToGrid w:val="0"/>
              <w:rPr>
                <w:rFonts w:ascii="Arial Narrow" w:hAnsi="Arial Narrow"/>
                <w:snapToGrid/>
                <w:sz w:val="2"/>
                <w:szCs w:val="2"/>
              </w:rPr>
            </w:pPr>
          </w:p>
        </w:tc>
      </w:tr>
    </w:tbl>
    <w:p w:rsidR="000F40FA" w:rsidRPr="000F40FA" w:rsidRDefault="000F40FA" w:rsidP="000F40FA">
      <w:pPr>
        <w:widowControl/>
        <w:snapToGrid w:val="0"/>
        <w:rPr>
          <w:snapToGrid/>
        </w:rPr>
      </w:pPr>
    </w:p>
    <w:p w:rsidR="000F40FA" w:rsidRPr="000F40FA" w:rsidRDefault="000F40FA" w:rsidP="000F40FA">
      <w:pPr>
        <w:widowControl/>
        <w:snapToGrid w:val="0"/>
        <w:rPr>
          <w:snapToGrid/>
        </w:rPr>
      </w:pPr>
    </w:p>
    <w:p w:rsidR="000F40FA" w:rsidRPr="000F40FA" w:rsidRDefault="000F40FA" w:rsidP="00877713">
      <w:pPr>
        <w:keepNext/>
        <w:keepLines/>
        <w:widowControl/>
        <w:snapToGrid w:val="0"/>
        <w:rPr>
          <w:snapToGrid/>
        </w:rPr>
      </w:pPr>
      <w:r w:rsidRPr="000F40FA">
        <w:rPr>
          <w:b/>
          <w:snapToGrid/>
        </w:rPr>
        <w:lastRenderedPageBreak/>
        <w:t>Grandfathering</w:t>
      </w:r>
    </w:p>
    <w:tbl>
      <w:tblPr>
        <w:tblW w:w="4977" w:type="pct"/>
        <w:tblInd w:w="28" w:type="dxa"/>
        <w:tblCellMar>
          <w:left w:w="28" w:type="dxa"/>
          <w:right w:w="28" w:type="dxa"/>
        </w:tblCellMar>
        <w:tblLook w:val="04A0" w:firstRow="1" w:lastRow="0" w:firstColumn="1" w:lastColumn="0" w:noHBand="0" w:noVBand="1"/>
      </w:tblPr>
      <w:tblGrid>
        <w:gridCol w:w="2525"/>
        <w:gridCol w:w="848"/>
        <w:gridCol w:w="852"/>
        <w:gridCol w:w="2286"/>
        <w:gridCol w:w="1069"/>
        <w:gridCol w:w="1405"/>
      </w:tblGrid>
      <w:tr w:rsidR="000F40FA" w:rsidRPr="000F40FA" w:rsidTr="000F40FA">
        <w:trPr>
          <w:cantSplit/>
          <w:trHeight w:val="463"/>
        </w:trPr>
        <w:tc>
          <w:tcPr>
            <w:tcW w:w="1405" w:type="pct"/>
            <w:tcBorders>
              <w:top w:val="single" w:sz="4" w:space="0" w:color="auto"/>
              <w:left w:val="nil"/>
              <w:bottom w:val="single" w:sz="4" w:space="0" w:color="auto"/>
              <w:right w:val="nil"/>
            </w:tcBorders>
            <w:vAlign w:val="center"/>
            <w:hideMark/>
          </w:tcPr>
          <w:p w:rsidR="000F40FA" w:rsidRPr="000F40FA" w:rsidRDefault="000F40FA" w:rsidP="00877713">
            <w:pPr>
              <w:keepNext/>
              <w:keepLines/>
              <w:widowControl/>
              <w:snapToGrid w:val="0"/>
              <w:rPr>
                <w:rFonts w:ascii="Arial Narrow" w:hAnsi="Arial Narrow"/>
                <w:b/>
                <w:snapToGrid/>
                <w:sz w:val="20"/>
              </w:rPr>
            </w:pPr>
            <w:r w:rsidRPr="000F40FA">
              <w:rPr>
                <w:rFonts w:ascii="Arial Narrow" w:hAnsi="Arial Narrow"/>
                <w:b/>
                <w:snapToGrid/>
                <w:sz w:val="20"/>
              </w:rPr>
              <w:t>Name, Restriction,</w:t>
            </w:r>
          </w:p>
          <w:p w:rsidR="000F40FA" w:rsidRPr="000F40FA" w:rsidRDefault="000F40FA" w:rsidP="00877713">
            <w:pPr>
              <w:keepNext/>
              <w:keepLines/>
              <w:widowControl/>
              <w:snapToGrid w:val="0"/>
              <w:rPr>
                <w:rFonts w:ascii="Arial Narrow" w:hAnsi="Arial Narrow"/>
                <w:b/>
                <w:snapToGrid/>
                <w:sz w:val="20"/>
              </w:rPr>
            </w:pPr>
            <w:r w:rsidRPr="000F40FA">
              <w:rPr>
                <w:rFonts w:ascii="Arial Narrow" w:hAnsi="Arial Narrow"/>
                <w:b/>
                <w:snapToGrid/>
                <w:sz w:val="20"/>
              </w:rPr>
              <w:t>Manner of administration and form</w:t>
            </w:r>
          </w:p>
        </w:tc>
        <w:tc>
          <w:tcPr>
            <w:tcW w:w="472" w:type="pct"/>
            <w:tcBorders>
              <w:top w:val="single" w:sz="4" w:space="0" w:color="auto"/>
              <w:left w:val="nil"/>
              <w:bottom w:val="single" w:sz="4" w:space="0" w:color="auto"/>
              <w:right w:val="nil"/>
            </w:tcBorders>
            <w:vAlign w:val="center"/>
            <w:hideMark/>
          </w:tcPr>
          <w:p w:rsidR="000F40FA" w:rsidRPr="000F40FA" w:rsidRDefault="000F40FA" w:rsidP="00877713">
            <w:pPr>
              <w:keepNext/>
              <w:keepLines/>
              <w:widowControl/>
              <w:snapToGrid w:val="0"/>
              <w:jc w:val="center"/>
              <w:rPr>
                <w:rFonts w:ascii="Arial Narrow" w:hAnsi="Arial Narrow"/>
                <w:b/>
                <w:snapToGrid/>
                <w:sz w:val="20"/>
              </w:rPr>
            </w:pPr>
            <w:r w:rsidRPr="000F40FA">
              <w:rPr>
                <w:rFonts w:ascii="Arial Narrow" w:hAnsi="Arial Narrow"/>
                <w:b/>
                <w:snapToGrid/>
                <w:sz w:val="20"/>
              </w:rPr>
              <w:t>Max.</w:t>
            </w:r>
          </w:p>
          <w:p w:rsidR="000F40FA" w:rsidRPr="000F40FA" w:rsidRDefault="000F40FA" w:rsidP="00877713">
            <w:pPr>
              <w:keepNext/>
              <w:keepLines/>
              <w:widowControl/>
              <w:snapToGrid w:val="0"/>
              <w:jc w:val="center"/>
              <w:rPr>
                <w:rFonts w:ascii="Arial Narrow" w:hAnsi="Arial Narrow"/>
                <w:b/>
                <w:snapToGrid/>
                <w:sz w:val="20"/>
              </w:rPr>
            </w:pPr>
            <w:r w:rsidRPr="000F40FA">
              <w:rPr>
                <w:rFonts w:ascii="Arial Narrow" w:hAnsi="Arial Narrow"/>
                <w:b/>
                <w:snapToGrid/>
                <w:sz w:val="20"/>
              </w:rPr>
              <w:t>Amt</w:t>
            </w:r>
          </w:p>
        </w:tc>
        <w:tc>
          <w:tcPr>
            <w:tcW w:w="474" w:type="pct"/>
            <w:tcBorders>
              <w:top w:val="single" w:sz="4" w:space="0" w:color="auto"/>
              <w:left w:val="nil"/>
              <w:bottom w:val="single" w:sz="4" w:space="0" w:color="auto"/>
              <w:right w:val="nil"/>
            </w:tcBorders>
            <w:vAlign w:val="center"/>
            <w:hideMark/>
          </w:tcPr>
          <w:p w:rsidR="000F40FA" w:rsidRPr="000F40FA" w:rsidRDefault="000F40FA" w:rsidP="00877713">
            <w:pPr>
              <w:keepNext/>
              <w:keepLines/>
              <w:widowControl/>
              <w:snapToGrid w:val="0"/>
              <w:jc w:val="center"/>
              <w:rPr>
                <w:rFonts w:ascii="Arial Narrow" w:hAnsi="Arial Narrow"/>
                <w:b/>
                <w:snapToGrid/>
                <w:sz w:val="20"/>
              </w:rPr>
            </w:pPr>
            <w:r w:rsidRPr="000F40FA">
              <w:rPr>
                <w:rFonts w:ascii="Arial Narrow" w:hAnsi="Arial Narrow"/>
                <w:b/>
                <w:snapToGrid/>
                <w:sz w:val="20"/>
              </w:rPr>
              <w:t>№.of</w:t>
            </w:r>
          </w:p>
          <w:p w:rsidR="000F40FA" w:rsidRPr="000F40FA" w:rsidRDefault="000F40FA" w:rsidP="00877713">
            <w:pPr>
              <w:keepNext/>
              <w:keepLines/>
              <w:widowControl/>
              <w:snapToGrid w:val="0"/>
              <w:jc w:val="center"/>
              <w:rPr>
                <w:rFonts w:ascii="Arial Narrow" w:hAnsi="Arial Narrow"/>
                <w:b/>
                <w:snapToGrid/>
                <w:sz w:val="20"/>
              </w:rPr>
            </w:pPr>
            <w:r w:rsidRPr="000F40FA">
              <w:rPr>
                <w:rFonts w:ascii="Arial Narrow" w:hAnsi="Arial Narrow"/>
                <w:b/>
                <w:snapToGrid/>
                <w:sz w:val="20"/>
              </w:rPr>
              <w:t>Rpts</w:t>
            </w:r>
          </w:p>
        </w:tc>
        <w:tc>
          <w:tcPr>
            <w:tcW w:w="1272" w:type="pct"/>
            <w:tcBorders>
              <w:top w:val="single" w:sz="4" w:space="0" w:color="auto"/>
              <w:left w:val="nil"/>
              <w:bottom w:val="single" w:sz="4" w:space="0" w:color="auto"/>
              <w:right w:val="nil"/>
            </w:tcBorders>
            <w:vAlign w:val="center"/>
            <w:hideMark/>
          </w:tcPr>
          <w:p w:rsidR="000F40FA" w:rsidRPr="000F40FA" w:rsidRDefault="000F40FA" w:rsidP="00877713">
            <w:pPr>
              <w:keepNext/>
              <w:keepLines/>
              <w:widowControl/>
              <w:snapToGrid w:val="0"/>
              <w:jc w:val="center"/>
              <w:rPr>
                <w:rFonts w:ascii="Arial Narrow" w:hAnsi="Arial Narrow"/>
                <w:b/>
                <w:snapToGrid/>
                <w:sz w:val="20"/>
              </w:rPr>
            </w:pPr>
            <w:r w:rsidRPr="000F40FA">
              <w:rPr>
                <w:rFonts w:ascii="Arial Narrow" w:hAnsi="Arial Narrow"/>
                <w:b/>
                <w:snapToGrid/>
                <w:sz w:val="20"/>
              </w:rPr>
              <w:t>Dispensed Price Max Amt</w:t>
            </w:r>
          </w:p>
        </w:tc>
        <w:tc>
          <w:tcPr>
            <w:tcW w:w="1377" w:type="pct"/>
            <w:gridSpan w:val="2"/>
            <w:tcBorders>
              <w:top w:val="single" w:sz="4" w:space="0" w:color="auto"/>
              <w:left w:val="nil"/>
              <w:bottom w:val="single" w:sz="4" w:space="0" w:color="auto"/>
              <w:right w:val="nil"/>
            </w:tcBorders>
            <w:vAlign w:val="center"/>
            <w:hideMark/>
          </w:tcPr>
          <w:p w:rsidR="000F40FA" w:rsidRPr="000F40FA" w:rsidRDefault="000F40FA" w:rsidP="00877713">
            <w:pPr>
              <w:keepNext/>
              <w:keepLines/>
              <w:widowControl/>
              <w:snapToGrid w:val="0"/>
              <w:jc w:val="center"/>
              <w:rPr>
                <w:rFonts w:ascii="Arial Narrow" w:hAnsi="Arial Narrow"/>
                <w:b/>
                <w:snapToGrid/>
                <w:sz w:val="20"/>
                <w:lang w:val="fr-FR"/>
              </w:rPr>
            </w:pPr>
            <w:r w:rsidRPr="000F40FA">
              <w:rPr>
                <w:rFonts w:ascii="Arial Narrow" w:hAnsi="Arial Narrow"/>
                <w:b/>
                <w:snapToGrid/>
                <w:sz w:val="20"/>
              </w:rPr>
              <w:t>Proprietary Name and Manufacturer</w:t>
            </w:r>
          </w:p>
        </w:tc>
      </w:tr>
      <w:tr w:rsidR="000F40FA" w:rsidRPr="000F40FA" w:rsidTr="000F40FA">
        <w:trPr>
          <w:cantSplit/>
          <w:trHeight w:val="71"/>
        </w:trPr>
        <w:tc>
          <w:tcPr>
            <w:tcW w:w="1405" w:type="pct"/>
            <w:hideMark/>
          </w:tcPr>
          <w:p w:rsidR="000F40FA" w:rsidRPr="000F40FA" w:rsidRDefault="000F40FA" w:rsidP="00877713">
            <w:pPr>
              <w:keepNext/>
              <w:keepLines/>
              <w:widowControl/>
              <w:snapToGrid w:val="0"/>
              <w:rPr>
                <w:rFonts w:ascii="Arial Narrow" w:hAnsi="Arial Narrow"/>
                <w:snapToGrid/>
                <w:sz w:val="20"/>
              </w:rPr>
            </w:pPr>
            <w:r w:rsidRPr="000F40FA">
              <w:rPr>
                <w:rFonts w:ascii="Arial Narrow" w:hAnsi="Arial Narrow"/>
                <w:smallCaps/>
                <w:snapToGrid/>
                <w:sz w:val="20"/>
              </w:rPr>
              <w:t>INOTUZUMAB OZOGAMICIN</w:t>
            </w:r>
          </w:p>
        </w:tc>
        <w:tc>
          <w:tcPr>
            <w:tcW w:w="472" w:type="pct"/>
            <w:vAlign w:val="center"/>
          </w:tcPr>
          <w:p w:rsidR="000F40FA" w:rsidRPr="000F40FA" w:rsidRDefault="000F40FA" w:rsidP="00877713">
            <w:pPr>
              <w:keepNext/>
              <w:keepLines/>
              <w:widowControl/>
              <w:snapToGrid w:val="0"/>
              <w:rPr>
                <w:rFonts w:ascii="Arial Narrow" w:hAnsi="Arial Narrow"/>
                <w:snapToGrid/>
                <w:sz w:val="20"/>
              </w:rPr>
            </w:pPr>
          </w:p>
        </w:tc>
        <w:tc>
          <w:tcPr>
            <w:tcW w:w="474" w:type="pct"/>
            <w:vAlign w:val="center"/>
          </w:tcPr>
          <w:p w:rsidR="000F40FA" w:rsidRPr="000F40FA" w:rsidRDefault="000F40FA" w:rsidP="00877713">
            <w:pPr>
              <w:keepNext/>
              <w:keepLines/>
              <w:widowControl/>
              <w:snapToGrid w:val="0"/>
              <w:rPr>
                <w:rFonts w:ascii="Arial Narrow" w:hAnsi="Arial Narrow"/>
                <w:snapToGrid/>
                <w:sz w:val="20"/>
              </w:rPr>
            </w:pPr>
          </w:p>
        </w:tc>
        <w:tc>
          <w:tcPr>
            <w:tcW w:w="1272" w:type="pct"/>
            <w:vAlign w:val="center"/>
          </w:tcPr>
          <w:p w:rsidR="000F40FA" w:rsidRPr="000F40FA" w:rsidRDefault="000F40FA" w:rsidP="00877713">
            <w:pPr>
              <w:keepNext/>
              <w:keepLines/>
              <w:widowControl/>
              <w:snapToGrid w:val="0"/>
              <w:rPr>
                <w:rFonts w:ascii="Arial Narrow" w:hAnsi="Arial Narrow"/>
                <w:snapToGrid/>
                <w:sz w:val="20"/>
              </w:rPr>
            </w:pPr>
          </w:p>
        </w:tc>
        <w:tc>
          <w:tcPr>
            <w:tcW w:w="595" w:type="pct"/>
            <w:vAlign w:val="center"/>
          </w:tcPr>
          <w:p w:rsidR="000F40FA" w:rsidRPr="000F40FA" w:rsidRDefault="000F40FA" w:rsidP="00877713">
            <w:pPr>
              <w:keepNext/>
              <w:keepLines/>
              <w:widowControl/>
              <w:snapToGrid w:val="0"/>
              <w:jc w:val="center"/>
              <w:rPr>
                <w:rFonts w:ascii="Arial Narrow" w:hAnsi="Arial Narrow"/>
                <w:snapToGrid/>
                <w:sz w:val="20"/>
              </w:rPr>
            </w:pPr>
          </w:p>
        </w:tc>
        <w:tc>
          <w:tcPr>
            <w:tcW w:w="782" w:type="pct"/>
            <w:vAlign w:val="center"/>
          </w:tcPr>
          <w:p w:rsidR="000F40FA" w:rsidRPr="000F40FA" w:rsidRDefault="000F40FA" w:rsidP="00877713">
            <w:pPr>
              <w:keepNext/>
              <w:keepLines/>
              <w:widowControl/>
              <w:snapToGrid w:val="0"/>
              <w:rPr>
                <w:rFonts w:ascii="Arial Narrow" w:hAnsi="Arial Narrow"/>
                <w:snapToGrid/>
                <w:sz w:val="20"/>
              </w:rPr>
            </w:pPr>
          </w:p>
        </w:tc>
      </w:tr>
      <w:tr w:rsidR="000F40FA" w:rsidRPr="000F40FA" w:rsidTr="000F40FA">
        <w:trPr>
          <w:cantSplit/>
          <w:trHeight w:val="588"/>
        </w:trPr>
        <w:tc>
          <w:tcPr>
            <w:tcW w:w="1405" w:type="pct"/>
            <w:vAlign w:val="center"/>
            <w:hideMark/>
          </w:tcPr>
          <w:p w:rsidR="000F40FA" w:rsidRPr="000F40FA" w:rsidRDefault="000F40FA" w:rsidP="00877713">
            <w:pPr>
              <w:keepNext/>
              <w:keepLines/>
              <w:widowControl/>
              <w:snapToGrid w:val="0"/>
              <w:rPr>
                <w:rFonts w:ascii="Arial Narrow" w:hAnsi="Arial Narrow"/>
                <w:snapToGrid/>
                <w:sz w:val="20"/>
              </w:rPr>
            </w:pPr>
            <w:r w:rsidRPr="000F40FA">
              <w:rPr>
                <w:rFonts w:ascii="Arial Narrow" w:hAnsi="Arial Narrow"/>
                <w:snapToGrid/>
                <w:sz w:val="20"/>
              </w:rPr>
              <w:t>1 mg vial powder for injection</w:t>
            </w:r>
          </w:p>
        </w:tc>
        <w:tc>
          <w:tcPr>
            <w:tcW w:w="472" w:type="pct"/>
            <w:vAlign w:val="center"/>
            <w:hideMark/>
          </w:tcPr>
          <w:p w:rsidR="000F40FA" w:rsidRPr="000F40FA" w:rsidRDefault="000F40FA" w:rsidP="00877713">
            <w:pPr>
              <w:keepNext/>
              <w:keepLines/>
              <w:widowControl/>
              <w:snapToGrid w:val="0"/>
              <w:jc w:val="center"/>
              <w:rPr>
                <w:rFonts w:ascii="Arial Narrow" w:hAnsi="Arial Narrow"/>
                <w:i/>
                <w:snapToGrid/>
                <w:sz w:val="20"/>
              </w:rPr>
            </w:pPr>
            <w:r w:rsidRPr="000F40FA">
              <w:rPr>
                <w:rFonts w:ascii="Arial Narrow" w:hAnsi="Arial Narrow"/>
                <w:i/>
                <w:snapToGrid/>
                <w:sz w:val="20"/>
              </w:rPr>
              <w:t>3384 mcg</w:t>
            </w:r>
          </w:p>
        </w:tc>
        <w:tc>
          <w:tcPr>
            <w:tcW w:w="474" w:type="pct"/>
            <w:vAlign w:val="center"/>
            <w:hideMark/>
          </w:tcPr>
          <w:p w:rsidR="000F40FA" w:rsidRPr="000F40FA" w:rsidRDefault="000F40FA" w:rsidP="00877713">
            <w:pPr>
              <w:keepNext/>
              <w:keepLines/>
              <w:widowControl/>
              <w:snapToGrid w:val="0"/>
              <w:jc w:val="center"/>
              <w:rPr>
                <w:rFonts w:ascii="Arial Narrow" w:hAnsi="Arial Narrow"/>
                <w:snapToGrid/>
                <w:sz w:val="20"/>
              </w:rPr>
            </w:pPr>
            <w:r w:rsidRPr="000F40FA">
              <w:rPr>
                <w:rFonts w:ascii="Arial Narrow" w:hAnsi="Arial Narrow"/>
                <w:snapToGrid/>
                <w:sz w:val="20"/>
              </w:rPr>
              <w:t>1</w:t>
            </w:r>
          </w:p>
        </w:tc>
        <w:tc>
          <w:tcPr>
            <w:tcW w:w="1272" w:type="pct"/>
            <w:hideMark/>
          </w:tcPr>
          <w:p w:rsidR="000F40FA" w:rsidRPr="000F40FA" w:rsidRDefault="000F40FA" w:rsidP="00877713">
            <w:pPr>
              <w:keepNext/>
              <w:keepLines/>
              <w:widowControl/>
              <w:snapToGrid w:val="0"/>
              <w:rPr>
                <w:rFonts w:ascii="Arial Narrow" w:hAnsi="Arial Narrow"/>
                <w:i/>
                <w:snapToGrid/>
                <w:sz w:val="20"/>
              </w:rPr>
            </w:pPr>
            <w:r w:rsidRPr="000F40FA">
              <w:rPr>
                <w:rFonts w:ascii="Arial Narrow" w:hAnsi="Arial Narrow"/>
                <w:i/>
                <w:snapToGrid/>
                <w:sz w:val="20"/>
              </w:rPr>
              <w:t>$</w:t>
            </w:r>
            <w:r w:rsidR="00B0555B">
              <w:rPr>
                <w:rFonts w:ascii="Arial Narrow" w:hAnsi="Arial Narrow"/>
                <w:i/>
                <w:noProof/>
                <w:snapToGrid/>
                <w:color w:val="000000"/>
                <w:sz w:val="20"/>
                <w:highlight w:val="black"/>
              </w:rPr>
              <w:t>'''''''''''''''''''''''''</w:t>
            </w:r>
            <w:r w:rsidRPr="000F40FA">
              <w:rPr>
                <w:rFonts w:ascii="Arial Narrow" w:hAnsi="Arial Narrow"/>
                <w:i/>
                <w:snapToGrid/>
                <w:sz w:val="20"/>
              </w:rPr>
              <w:t xml:space="preserve"> (Public hospital)</w:t>
            </w:r>
          </w:p>
          <w:p w:rsidR="000F40FA" w:rsidRPr="000F40FA" w:rsidRDefault="000F40FA" w:rsidP="00877713">
            <w:pPr>
              <w:keepNext/>
              <w:keepLines/>
              <w:widowControl/>
              <w:snapToGrid w:val="0"/>
              <w:rPr>
                <w:rFonts w:ascii="Arial Narrow" w:hAnsi="Arial Narrow"/>
                <w:snapToGrid/>
                <w:sz w:val="20"/>
              </w:rPr>
            </w:pPr>
            <w:r w:rsidRPr="000F40FA">
              <w:rPr>
                <w:rFonts w:ascii="Arial Narrow" w:hAnsi="Arial Narrow"/>
                <w:i/>
                <w:snapToGrid/>
                <w:sz w:val="20"/>
              </w:rPr>
              <w:t>$</w:t>
            </w:r>
            <w:r w:rsidR="00B0555B">
              <w:rPr>
                <w:rFonts w:ascii="Arial Narrow" w:hAnsi="Arial Narrow"/>
                <w:i/>
                <w:noProof/>
                <w:snapToGrid/>
                <w:color w:val="000000"/>
                <w:sz w:val="20"/>
                <w:highlight w:val="black"/>
              </w:rPr>
              <w:t xml:space="preserve">'''''''''''''''''''''''''' </w:t>
            </w:r>
            <w:r w:rsidRPr="000F40FA">
              <w:rPr>
                <w:rFonts w:ascii="Arial Narrow" w:hAnsi="Arial Narrow"/>
                <w:i/>
                <w:snapToGrid/>
                <w:sz w:val="20"/>
              </w:rPr>
              <w:t>(Private hospital)</w:t>
            </w:r>
          </w:p>
        </w:tc>
        <w:tc>
          <w:tcPr>
            <w:tcW w:w="595" w:type="pct"/>
            <w:vAlign w:val="center"/>
            <w:hideMark/>
          </w:tcPr>
          <w:p w:rsidR="000F40FA" w:rsidRPr="000F40FA" w:rsidRDefault="000F40FA" w:rsidP="00877713">
            <w:pPr>
              <w:keepNext/>
              <w:keepLines/>
              <w:widowControl/>
              <w:snapToGrid w:val="0"/>
              <w:jc w:val="center"/>
              <w:rPr>
                <w:rFonts w:ascii="Arial Narrow" w:hAnsi="Arial Narrow"/>
                <w:snapToGrid/>
                <w:sz w:val="20"/>
              </w:rPr>
            </w:pPr>
            <w:proofErr w:type="spellStart"/>
            <w:r w:rsidRPr="000F40FA">
              <w:rPr>
                <w:rFonts w:ascii="Arial Narrow" w:hAnsi="Arial Narrow"/>
                <w:snapToGrid/>
                <w:sz w:val="20"/>
              </w:rPr>
              <w:t>Besponsa</w:t>
            </w:r>
            <w:proofErr w:type="spellEnd"/>
            <w:r w:rsidRPr="000F40FA">
              <w:rPr>
                <w:rFonts w:ascii="Arial Narrow" w:hAnsi="Arial Narrow"/>
                <w:snapToGrid/>
                <w:sz w:val="20"/>
              </w:rPr>
              <w:t>®</w:t>
            </w:r>
          </w:p>
        </w:tc>
        <w:tc>
          <w:tcPr>
            <w:tcW w:w="782" w:type="pct"/>
            <w:vAlign w:val="center"/>
            <w:hideMark/>
          </w:tcPr>
          <w:p w:rsidR="000F40FA" w:rsidRPr="000F40FA" w:rsidRDefault="000F40FA" w:rsidP="00877713">
            <w:pPr>
              <w:keepNext/>
              <w:keepLines/>
              <w:widowControl/>
              <w:snapToGrid w:val="0"/>
              <w:jc w:val="center"/>
              <w:rPr>
                <w:rFonts w:ascii="Arial Narrow" w:hAnsi="Arial Narrow"/>
                <w:snapToGrid/>
                <w:sz w:val="20"/>
              </w:rPr>
            </w:pPr>
            <w:r w:rsidRPr="000F40FA">
              <w:rPr>
                <w:rFonts w:ascii="Arial Narrow" w:hAnsi="Arial Narrow"/>
                <w:snapToGrid/>
                <w:sz w:val="20"/>
              </w:rPr>
              <w:t xml:space="preserve">Pfizer Australia </w:t>
            </w:r>
          </w:p>
          <w:p w:rsidR="000F40FA" w:rsidRPr="000F40FA" w:rsidRDefault="000F40FA" w:rsidP="00877713">
            <w:pPr>
              <w:keepNext/>
              <w:keepLines/>
              <w:widowControl/>
              <w:snapToGrid w:val="0"/>
              <w:jc w:val="center"/>
              <w:rPr>
                <w:rFonts w:ascii="Arial Narrow" w:hAnsi="Arial Narrow"/>
                <w:snapToGrid/>
                <w:sz w:val="20"/>
              </w:rPr>
            </w:pPr>
            <w:r w:rsidRPr="000F40FA">
              <w:rPr>
                <w:rFonts w:ascii="Arial Narrow" w:hAnsi="Arial Narrow"/>
                <w:snapToGrid/>
                <w:sz w:val="20"/>
              </w:rPr>
              <w:t>P/L</w:t>
            </w:r>
          </w:p>
        </w:tc>
      </w:tr>
    </w:tbl>
    <w:p w:rsidR="000F40FA" w:rsidRPr="000F40FA" w:rsidRDefault="000F40FA" w:rsidP="00877713">
      <w:pPr>
        <w:keepNext/>
        <w:keepLines/>
        <w:widowControl/>
        <w:snapToGrid w:val="0"/>
        <w:rPr>
          <w:snapToGrid/>
        </w:rPr>
      </w:pP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8"/>
        <w:gridCol w:w="6728"/>
      </w:tblGrid>
      <w:tr w:rsidR="009714DF" w:rsidRPr="000F40FA" w:rsidTr="009714DF">
        <w:trPr>
          <w:trHeight w:val="20"/>
        </w:trPr>
        <w:tc>
          <w:tcPr>
            <w:tcW w:w="1252" w:type="pct"/>
            <w:tcBorders>
              <w:top w:val="single" w:sz="4" w:space="0" w:color="auto"/>
              <w:left w:val="single" w:sz="4" w:space="0" w:color="auto"/>
              <w:bottom w:val="single" w:sz="4" w:space="0" w:color="auto"/>
              <w:right w:val="single" w:sz="4" w:space="0" w:color="auto"/>
            </w:tcBorders>
          </w:tcPr>
          <w:p w:rsidR="009714DF" w:rsidRPr="000F40FA" w:rsidRDefault="009714DF" w:rsidP="00877713">
            <w:pPr>
              <w:keepNext/>
              <w:keepLines/>
              <w:widowControl/>
              <w:snapToGrid w:val="0"/>
              <w:rPr>
                <w:rFonts w:ascii="Arial Narrow" w:hAnsi="Arial Narrow"/>
                <w:snapToGrid/>
                <w:sz w:val="20"/>
                <w:szCs w:val="20"/>
              </w:rPr>
            </w:pPr>
            <w:r w:rsidRPr="000F40FA">
              <w:rPr>
                <w:rFonts w:ascii="Arial Narrow" w:hAnsi="Arial Narrow"/>
                <w:snapToGrid/>
                <w:sz w:val="20"/>
                <w:szCs w:val="20"/>
              </w:rPr>
              <w:t>Category/Program:</w:t>
            </w:r>
          </w:p>
        </w:tc>
        <w:tc>
          <w:tcPr>
            <w:tcW w:w="3748" w:type="pct"/>
            <w:tcBorders>
              <w:top w:val="single" w:sz="4" w:space="0" w:color="auto"/>
              <w:left w:val="single" w:sz="4" w:space="0" w:color="auto"/>
              <w:bottom w:val="single" w:sz="4" w:space="0" w:color="auto"/>
              <w:right w:val="single" w:sz="4" w:space="0" w:color="auto"/>
            </w:tcBorders>
          </w:tcPr>
          <w:p w:rsidR="009714DF" w:rsidRPr="000F40FA" w:rsidRDefault="009714DF" w:rsidP="00877713">
            <w:pPr>
              <w:keepNext/>
              <w:keepLines/>
              <w:widowControl/>
              <w:snapToGrid w:val="0"/>
              <w:rPr>
                <w:rFonts w:ascii="Arial Narrow" w:hAnsi="Arial Narrow"/>
                <w:snapToGrid/>
                <w:sz w:val="20"/>
                <w:szCs w:val="20"/>
              </w:rPr>
            </w:pPr>
            <w:r w:rsidRPr="000F40FA">
              <w:rPr>
                <w:rFonts w:ascii="Arial Narrow" w:hAnsi="Arial Narrow"/>
                <w:snapToGrid/>
                <w:color w:val="000000"/>
                <w:sz w:val="20"/>
                <w:szCs w:val="20"/>
              </w:rPr>
              <w:t>S100 – Efficient Funding of Chemotherapy (EFC)</w:t>
            </w:r>
          </w:p>
        </w:tc>
      </w:tr>
      <w:tr w:rsidR="009714DF" w:rsidRPr="000F40FA" w:rsidTr="009714DF">
        <w:trPr>
          <w:trHeight w:val="20"/>
        </w:trPr>
        <w:tc>
          <w:tcPr>
            <w:tcW w:w="1252" w:type="pct"/>
            <w:tcBorders>
              <w:top w:val="single" w:sz="4" w:space="0" w:color="auto"/>
              <w:left w:val="single" w:sz="4" w:space="0" w:color="auto"/>
              <w:bottom w:val="single" w:sz="4" w:space="0" w:color="auto"/>
              <w:right w:val="single" w:sz="4" w:space="0" w:color="auto"/>
            </w:tcBorders>
          </w:tcPr>
          <w:p w:rsidR="009714DF" w:rsidRPr="000F40FA" w:rsidRDefault="009714DF" w:rsidP="00877713">
            <w:pPr>
              <w:keepNext/>
              <w:keepLines/>
              <w:widowControl/>
              <w:snapToGrid w:val="0"/>
              <w:rPr>
                <w:rFonts w:ascii="Arial Narrow" w:hAnsi="Arial Narrow"/>
                <w:snapToGrid/>
                <w:sz w:val="20"/>
                <w:szCs w:val="20"/>
              </w:rPr>
            </w:pPr>
            <w:r w:rsidRPr="000F40FA">
              <w:rPr>
                <w:rFonts w:ascii="Arial Narrow" w:hAnsi="Arial Narrow"/>
                <w:snapToGrid/>
                <w:sz w:val="20"/>
                <w:szCs w:val="20"/>
              </w:rPr>
              <w:t>PBS indication:</w:t>
            </w:r>
          </w:p>
        </w:tc>
        <w:tc>
          <w:tcPr>
            <w:tcW w:w="3748" w:type="pct"/>
            <w:tcBorders>
              <w:top w:val="single" w:sz="4" w:space="0" w:color="auto"/>
              <w:left w:val="single" w:sz="4" w:space="0" w:color="auto"/>
              <w:bottom w:val="single" w:sz="4" w:space="0" w:color="auto"/>
              <w:right w:val="single" w:sz="4" w:space="0" w:color="auto"/>
            </w:tcBorders>
          </w:tcPr>
          <w:p w:rsidR="009714DF" w:rsidRPr="000F40FA" w:rsidRDefault="009714DF" w:rsidP="00877713">
            <w:pPr>
              <w:keepNext/>
              <w:keepLines/>
              <w:widowControl/>
              <w:snapToGrid w:val="0"/>
              <w:rPr>
                <w:rFonts w:ascii="Arial Narrow" w:hAnsi="Arial Narrow"/>
                <w:snapToGrid/>
                <w:sz w:val="20"/>
                <w:szCs w:val="20"/>
              </w:rPr>
            </w:pPr>
            <w:r>
              <w:rPr>
                <w:rFonts w:ascii="Arial Narrow" w:hAnsi="Arial Narrow"/>
                <w:snapToGrid/>
                <w:color w:val="000000"/>
                <w:sz w:val="20"/>
                <w:szCs w:val="20"/>
              </w:rPr>
              <w:t>A</w:t>
            </w:r>
            <w:r w:rsidRPr="000F40FA">
              <w:rPr>
                <w:rFonts w:ascii="Arial Narrow" w:hAnsi="Arial Narrow"/>
                <w:snapToGrid/>
                <w:color w:val="000000"/>
                <w:sz w:val="20"/>
                <w:szCs w:val="20"/>
              </w:rPr>
              <w:t>cute lymphoblastic leukaemia (ALL)</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877713">
            <w:pPr>
              <w:keepNext/>
              <w:keepLines/>
              <w:widowControl/>
              <w:snapToGrid w:val="0"/>
              <w:rPr>
                <w:rFonts w:ascii="Arial Narrow" w:hAnsi="Arial Narrow"/>
                <w:snapToGrid/>
                <w:sz w:val="20"/>
                <w:szCs w:val="20"/>
              </w:rPr>
            </w:pPr>
            <w:r w:rsidRPr="000F40FA">
              <w:rPr>
                <w:rFonts w:ascii="Arial Narrow" w:hAnsi="Arial Narrow"/>
                <w:snapToGrid/>
                <w:sz w:val="20"/>
                <w:szCs w:val="20"/>
              </w:rPr>
              <w:t>Treatment phase:</w:t>
            </w:r>
          </w:p>
        </w:tc>
        <w:tc>
          <w:tcPr>
            <w:tcW w:w="3748" w:type="pct"/>
            <w:tcBorders>
              <w:top w:val="single" w:sz="4" w:space="0" w:color="auto"/>
              <w:left w:val="single" w:sz="4" w:space="0" w:color="auto"/>
              <w:bottom w:val="single" w:sz="4" w:space="0" w:color="auto"/>
              <w:right w:val="single" w:sz="4" w:space="0" w:color="auto"/>
            </w:tcBorders>
            <w:hideMark/>
          </w:tcPr>
          <w:p w:rsidR="000F40FA" w:rsidRPr="000F40FA" w:rsidRDefault="000F40FA" w:rsidP="00877713">
            <w:pPr>
              <w:keepNext/>
              <w:keepLines/>
              <w:widowControl/>
              <w:snapToGrid w:val="0"/>
              <w:rPr>
                <w:rFonts w:ascii="Arial Narrow" w:hAnsi="Arial Narrow"/>
                <w:i/>
                <w:snapToGrid/>
                <w:sz w:val="20"/>
                <w:szCs w:val="20"/>
              </w:rPr>
            </w:pPr>
            <w:r w:rsidRPr="000F40FA">
              <w:rPr>
                <w:rFonts w:ascii="Arial Narrow" w:hAnsi="Arial Narrow"/>
                <w:strike/>
                <w:snapToGrid/>
                <w:sz w:val="20"/>
                <w:szCs w:val="20"/>
              </w:rPr>
              <w:t xml:space="preserve">Induction treatment </w:t>
            </w:r>
            <w:r w:rsidRPr="000F40FA">
              <w:rPr>
                <w:rFonts w:ascii="Arial Narrow" w:hAnsi="Arial Narrow"/>
                <w:i/>
                <w:snapToGrid/>
                <w:sz w:val="20"/>
                <w:szCs w:val="20"/>
              </w:rPr>
              <w:t xml:space="preserve">Grandfathering treatment </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877713">
            <w:pPr>
              <w:keepNext/>
              <w:keepLines/>
              <w:widowControl/>
              <w:snapToGrid w:val="0"/>
              <w:rPr>
                <w:rFonts w:ascii="Arial Narrow" w:hAnsi="Arial Narrow"/>
                <w:snapToGrid/>
                <w:sz w:val="20"/>
                <w:szCs w:val="20"/>
              </w:rPr>
            </w:pPr>
            <w:r w:rsidRPr="000F40FA">
              <w:rPr>
                <w:rFonts w:ascii="Arial Narrow" w:hAnsi="Arial Narrow"/>
                <w:snapToGrid/>
                <w:sz w:val="20"/>
                <w:szCs w:val="20"/>
              </w:rPr>
              <w:t>Restriction:</w:t>
            </w:r>
          </w:p>
        </w:tc>
        <w:tc>
          <w:tcPr>
            <w:tcW w:w="3748" w:type="pct"/>
            <w:tcBorders>
              <w:top w:val="single" w:sz="4" w:space="0" w:color="auto"/>
              <w:left w:val="single" w:sz="4" w:space="0" w:color="auto"/>
              <w:bottom w:val="single" w:sz="4" w:space="0" w:color="auto"/>
              <w:right w:val="single" w:sz="4" w:space="0" w:color="auto"/>
            </w:tcBorders>
            <w:hideMark/>
          </w:tcPr>
          <w:p w:rsidR="000F40FA" w:rsidRPr="000F40FA" w:rsidRDefault="000F40FA" w:rsidP="00877713">
            <w:pPr>
              <w:keepNext/>
              <w:keepLines/>
              <w:widowControl/>
              <w:snapToGrid w:val="0"/>
              <w:rPr>
                <w:rFonts w:ascii="Arial Narrow" w:hAnsi="Arial Narrow"/>
                <w:snapToGrid/>
                <w:sz w:val="20"/>
                <w:szCs w:val="20"/>
              </w:rPr>
            </w:pPr>
            <w:r w:rsidRPr="000F40FA">
              <w:rPr>
                <w:rFonts w:ascii="Arial Narrow" w:hAnsi="Arial Narrow"/>
                <w:snapToGrid/>
                <w:sz w:val="20"/>
                <w:szCs w:val="20"/>
              </w:rPr>
              <w:t>S100 – Efficient Funding of Chemotherapy (EFC)</w:t>
            </w:r>
          </w:p>
          <w:p w:rsidR="000F40FA" w:rsidRPr="000F40FA" w:rsidRDefault="000F40FA" w:rsidP="00877713">
            <w:pPr>
              <w:keepNext/>
              <w:keepLines/>
              <w:widowControl/>
              <w:snapToGrid w:val="0"/>
              <w:rPr>
                <w:rFonts w:ascii="Arial Narrow" w:hAnsi="Arial Narrow"/>
                <w:snapToGrid/>
                <w:sz w:val="20"/>
                <w:szCs w:val="20"/>
              </w:rPr>
            </w:pPr>
            <w:r w:rsidRPr="000F40FA">
              <w:rPr>
                <w:rFonts w:ascii="Arial Narrow" w:hAnsi="Arial Narrow"/>
                <w:snapToGrid/>
                <w:sz w:val="20"/>
                <w:szCs w:val="20"/>
              </w:rPr>
              <w:fldChar w:fldCharType="begin">
                <w:ffData>
                  <w:name w:val=""/>
                  <w:enabled/>
                  <w:calcOnExit w:val="0"/>
                  <w:entryMacro w:val="ENToggleCategorizeReferences"/>
                  <w:checkBox>
                    <w:sizeAuto/>
                    <w:default w:val="1"/>
                  </w:checkBox>
                </w:ffData>
              </w:fldChar>
            </w:r>
            <w:r w:rsidRPr="000F40FA">
              <w:rPr>
                <w:rFonts w:ascii="Arial Narrow" w:hAnsi="Arial Narrow"/>
                <w:snapToGrid/>
                <w:sz w:val="20"/>
                <w:szCs w:val="20"/>
              </w:rPr>
              <w:instrText xml:space="preserve"> FORMCHECKBOX </w:instrText>
            </w:r>
            <w:r w:rsidR="00815794">
              <w:rPr>
                <w:rFonts w:ascii="Arial Narrow" w:hAnsi="Arial Narrow"/>
                <w:snapToGrid/>
                <w:sz w:val="20"/>
                <w:szCs w:val="20"/>
              </w:rPr>
            </w:r>
            <w:r w:rsidR="00815794">
              <w:rPr>
                <w:rFonts w:ascii="Arial Narrow" w:hAnsi="Arial Narrow"/>
                <w:snapToGrid/>
                <w:sz w:val="20"/>
                <w:szCs w:val="20"/>
              </w:rPr>
              <w:fldChar w:fldCharType="separate"/>
            </w:r>
            <w:r w:rsidRPr="000F40FA">
              <w:rPr>
                <w:rFonts w:ascii="Arial Narrow" w:hAnsi="Arial Narrow"/>
                <w:snapToGrid/>
                <w:sz w:val="20"/>
                <w:szCs w:val="20"/>
              </w:rPr>
              <w:fldChar w:fldCharType="end"/>
            </w:r>
            <w:r w:rsidRPr="000F40FA">
              <w:rPr>
                <w:rFonts w:ascii="Arial Narrow" w:hAnsi="Arial Narrow"/>
                <w:snapToGrid/>
                <w:sz w:val="20"/>
                <w:szCs w:val="20"/>
              </w:rPr>
              <w:t>Authority Required - In Writing</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trike/>
                <w:snapToGrid/>
                <w:sz w:val="20"/>
                <w:szCs w:val="20"/>
              </w:rPr>
            </w:pPr>
            <w:r w:rsidRPr="000F40FA">
              <w:rPr>
                <w:rFonts w:ascii="Arial Narrow" w:hAnsi="Arial Narrow"/>
                <w:strike/>
                <w:snapToGrid/>
                <w:sz w:val="20"/>
                <w:szCs w:val="20"/>
              </w:rPr>
              <w:t>Treatment criteria:</w:t>
            </w:r>
          </w:p>
        </w:tc>
        <w:tc>
          <w:tcPr>
            <w:tcW w:w="3748"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trike/>
                <w:snapToGrid/>
                <w:sz w:val="20"/>
                <w:szCs w:val="20"/>
              </w:rPr>
            </w:pPr>
            <w:r w:rsidRPr="000F40FA">
              <w:rPr>
                <w:rFonts w:ascii="Arial Narrow" w:hAnsi="Arial Narrow"/>
                <w:strike/>
                <w:snapToGrid/>
                <w:sz w:val="20"/>
                <w:szCs w:val="20"/>
              </w:rPr>
              <w:t>Inotuzumab is not PBS-subsidised if it is administered to an in-patient in a public hospital setting.</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Clinical criteria:</w:t>
            </w:r>
          </w:p>
        </w:tc>
        <w:tc>
          <w:tcPr>
            <w:tcW w:w="3748"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i/>
                <w:snapToGrid/>
                <w:sz w:val="20"/>
                <w:szCs w:val="20"/>
              </w:rPr>
              <w:t>Patient must have a documented history of</w:t>
            </w:r>
            <w:r w:rsidRPr="000F40FA">
              <w:rPr>
                <w:rFonts w:ascii="Arial Narrow" w:hAnsi="Arial Narrow"/>
                <w:snapToGrid/>
                <w:sz w:val="20"/>
                <w:szCs w:val="20"/>
              </w:rPr>
              <w:t xml:space="preserve"> </w:t>
            </w:r>
            <w:r w:rsidRPr="000F40FA">
              <w:rPr>
                <w:rFonts w:ascii="Arial Narrow" w:hAnsi="Arial Narrow"/>
                <w:strike/>
                <w:snapToGrid/>
                <w:sz w:val="20"/>
                <w:szCs w:val="20"/>
              </w:rPr>
              <w:t>The condition must be</w:t>
            </w:r>
            <w:r w:rsidRPr="000F40FA">
              <w:rPr>
                <w:rFonts w:ascii="Arial Narrow" w:hAnsi="Arial Narrow"/>
                <w:snapToGrid/>
                <w:sz w:val="20"/>
                <w:szCs w:val="20"/>
              </w:rPr>
              <w:t xml:space="preserve"> relapsed or refractory B-precursor cell ALL, with an Eastern Cooperative Oncology Group (ECOG) performance status of </w:t>
            </w:r>
            <w:r w:rsidRPr="00A72040">
              <w:rPr>
                <w:rFonts w:ascii="Arial Narrow" w:hAnsi="Arial Narrow"/>
                <w:strike/>
                <w:snapToGrid/>
                <w:sz w:val="20"/>
                <w:szCs w:val="20"/>
              </w:rPr>
              <w:t>less than</w:t>
            </w:r>
            <w:r w:rsidRPr="000F40FA">
              <w:rPr>
                <w:rFonts w:ascii="Arial Narrow" w:hAnsi="Arial Narrow"/>
                <w:snapToGrid/>
                <w:sz w:val="20"/>
                <w:szCs w:val="20"/>
              </w:rPr>
              <w:t xml:space="preserve"> 2</w:t>
            </w:r>
            <w:r w:rsidR="00A72040">
              <w:rPr>
                <w:rFonts w:ascii="Arial Narrow" w:hAnsi="Arial Narrow"/>
                <w:snapToGrid/>
                <w:sz w:val="20"/>
                <w:szCs w:val="20"/>
              </w:rPr>
              <w:t xml:space="preserve"> </w:t>
            </w:r>
            <w:r w:rsidR="00A72040">
              <w:rPr>
                <w:rFonts w:ascii="Arial Narrow" w:hAnsi="Arial Narrow"/>
                <w:i/>
                <w:snapToGrid/>
                <w:sz w:val="20"/>
                <w:szCs w:val="20"/>
              </w:rPr>
              <w:t>or less</w:t>
            </w:r>
            <w:r w:rsidRPr="000F40FA">
              <w:rPr>
                <w:rFonts w:ascii="Arial Narrow" w:hAnsi="Arial Narrow"/>
                <w:snapToGrid/>
                <w:sz w:val="20"/>
                <w:szCs w:val="20"/>
              </w:rPr>
              <w:t>,</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trike/>
                <w:snapToGrid/>
                <w:sz w:val="20"/>
                <w:szCs w:val="20"/>
              </w:rPr>
              <w:t xml:space="preserve">The </w:t>
            </w:r>
            <w:proofErr w:type="spellStart"/>
            <w:r w:rsidRPr="000F40FA">
              <w:rPr>
                <w:rFonts w:ascii="Arial Narrow" w:hAnsi="Arial Narrow"/>
                <w:strike/>
                <w:snapToGrid/>
                <w:sz w:val="20"/>
                <w:szCs w:val="20"/>
              </w:rPr>
              <w:t>p</w:t>
            </w:r>
            <w:r w:rsidRPr="000F40FA">
              <w:rPr>
                <w:rFonts w:ascii="Arial Narrow" w:hAnsi="Arial Narrow"/>
                <w:snapToGrid/>
                <w:sz w:val="20"/>
                <w:szCs w:val="20"/>
              </w:rPr>
              <w:t>Patient</w:t>
            </w:r>
            <w:proofErr w:type="spellEnd"/>
            <w:r w:rsidRPr="000F40FA">
              <w:rPr>
                <w:rFonts w:ascii="Arial Narrow" w:hAnsi="Arial Narrow"/>
                <w:snapToGrid/>
                <w:sz w:val="20"/>
                <w:szCs w:val="20"/>
              </w:rPr>
              <w:t xml:space="preserve"> must have </w:t>
            </w:r>
            <w:r w:rsidRPr="000F40FA">
              <w:rPr>
                <w:rFonts w:ascii="Arial Narrow" w:hAnsi="Arial Narrow"/>
                <w:i/>
                <w:snapToGrid/>
                <w:sz w:val="20"/>
                <w:szCs w:val="20"/>
              </w:rPr>
              <w:t xml:space="preserve">a documented history of receiving </w:t>
            </w:r>
            <w:r w:rsidRPr="000F40FA">
              <w:rPr>
                <w:rFonts w:ascii="Arial Narrow" w:hAnsi="Arial Narrow"/>
                <w:strike/>
                <w:snapToGrid/>
                <w:sz w:val="20"/>
                <w:szCs w:val="20"/>
              </w:rPr>
              <w:t>received</w:t>
            </w:r>
            <w:r w:rsidRPr="000F40FA">
              <w:rPr>
                <w:rFonts w:ascii="Arial Narrow" w:hAnsi="Arial Narrow"/>
                <w:snapToGrid/>
                <w:sz w:val="20"/>
                <w:szCs w:val="20"/>
              </w:rPr>
              <w:t xml:space="preserve"> intensive combination chemotherapy for initial treatment of ALL or </w:t>
            </w:r>
            <w:r w:rsidRPr="000F40FA">
              <w:rPr>
                <w:rFonts w:ascii="Arial Narrow" w:hAnsi="Arial Narrow"/>
                <w:strike/>
                <w:snapToGrid/>
                <w:sz w:val="20"/>
                <w:szCs w:val="20"/>
              </w:rPr>
              <w:t xml:space="preserve">for </w:t>
            </w:r>
            <w:r w:rsidRPr="000F40FA">
              <w:rPr>
                <w:rFonts w:ascii="Arial Narrow" w:hAnsi="Arial Narrow"/>
                <w:snapToGrid/>
                <w:sz w:val="20"/>
                <w:szCs w:val="20"/>
              </w:rPr>
              <w:t>subsequent salvage therapy,</w:t>
            </w:r>
          </w:p>
          <w:p w:rsidR="00A72040" w:rsidRPr="000F40FA" w:rsidRDefault="00A72040" w:rsidP="00A72040">
            <w:pPr>
              <w:widowControl/>
              <w:snapToGrid w:val="0"/>
              <w:rPr>
                <w:rFonts w:ascii="Arial Narrow" w:hAnsi="Arial Narrow"/>
                <w:i/>
                <w:snapToGrid/>
                <w:sz w:val="20"/>
                <w:szCs w:val="20"/>
              </w:rPr>
            </w:pPr>
            <w:r w:rsidRPr="000F40FA">
              <w:rPr>
                <w:rFonts w:ascii="Arial Narrow" w:hAnsi="Arial Narrow"/>
                <w:i/>
                <w:snapToGrid/>
                <w:sz w:val="20"/>
                <w:szCs w:val="20"/>
              </w:rPr>
              <w:t>AND</w:t>
            </w:r>
          </w:p>
          <w:p w:rsidR="00A72040" w:rsidRPr="000F40FA" w:rsidRDefault="00A72040" w:rsidP="00A72040">
            <w:pPr>
              <w:widowControl/>
              <w:snapToGrid w:val="0"/>
              <w:rPr>
                <w:rFonts w:ascii="Arial Narrow" w:hAnsi="Arial Narrow"/>
                <w:i/>
                <w:snapToGrid/>
                <w:sz w:val="20"/>
                <w:szCs w:val="20"/>
              </w:rPr>
            </w:pPr>
            <w:r>
              <w:rPr>
                <w:rFonts w:ascii="Arial Narrow" w:hAnsi="Arial Narrow"/>
                <w:i/>
                <w:snapToGrid/>
                <w:sz w:val="20"/>
                <w:szCs w:val="20"/>
              </w:rPr>
              <w:t>Patient must n</w:t>
            </w:r>
            <w:r w:rsidRPr="000F40FA">
              <w:rPr>
                <w:rFonts w:ascii="Arial Narrow" w:hAnsi="Arial Narrow"/>
                <w:i/>
                <w:snapToGrid/>
                <w:sz w:val="20"/>
                <w:szCs w:val="20"/>
              </w:rPr>
              <w:t xml:space="preserve">ot </w:t>
            </w:r>
            <w:r>
              <w:rPr>
                <w:rFonts w:ascii="Arial Narrow" w:hAnsi="Arial Narrow"/>
                <w:i/>
                <w:snapToGrid/>
                <w:sz w:val="20"/>
                <w:szCs w:val="20"/>
              </w:rPr>
              <w:t xml:space="preserve">have </w:t>
            </w:r>
            <w:r w:rsidRPr="000F40FA">
              <w:rPr>
                <w:rFonts w:ascii="Arial Narrow" w:hAnsi="Arial Narrow"/>
                <w:i/>
                <w:snapToGrid/>
                <w:sz w:val="20"/>
                <w:szCs w:val="20"/>
              </w:rPr>
              <w:t>received more than 2 lines of salvage therapy</w:t>
            </w:r>
          </w:p>
          <w:p w:rsidR="00A72040" w:rsidRDefault="00A72040" w:rsidP="000F40FA">
            <w:pPr>
              <w:widowControl/>
              <w:snapToGrid w:val="0"/>
              <w:rPr>
                <w:rFonts w:ascii="Arial Narrow" w:hAnsi="Arial Narrow"/>
                <w:snapToGrid/>
                <w:sz w:val="20"/>
                <w:szCs w:val="20"/>
              </w:rPr>
            </w:pPr>
            <w:r>
              <w:rPr>
                <w:rFonts w:ascii="Arial Narrow" w:hAnsi="Arial Narrow"/>
                <w:snapToGrid/>
                <w:sz w:val="20"/>
                <w:szCs w:val="20"/>
              </w:rPr>
              <w:t>AND</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The condition must be Philadelphia chromosome negative,</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AND</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The condition must be CD22 positive, </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AND</w:t>
            </w:r>
          </w:p>
          <w:p w:rsidR="000F40FA" w:rsidRPr="00565F55" w:rsidRDefault="000F40FA" w:rsidP="000F40FA">
            <w:pPr>
              <w:widowControl/>
              <w:snapToGrid w:val="0"/>
              <w:rPr>
                <w:rFonts w:ascii="Arial Narrow" w:hAnsi="Arial Narrow"/>
                <w:i/>
                <w:snapToGrid/>
                <w:sz w:val="20"/>
                <w:szCs w:val="20"/>
              </w:rPr>
            </w:pPr>
            <w:r w:rsidRPr="000F40FA">
              <w:rPr>
                <w:rFonts w:ascii="Arial Narrow" w:hAnsi="Arial Narrow"/>
                <w:strike/>
                <w:snapToGrid/>
                <w:sz w:val="20"/>
                <w:szCs w:val="20"/>
              </w:rPr>
              <w:t>The condition</w:t>
            </w:r>
            <w:r w:rsidRPr="000F40FA">
              <w:rPr>
                <w:rFonts w:ascii="Arial Narrow" w:hAnsi="Arial Narrow"/>
                <w:snapToGrid/>
                <w:sz w:val="20"/>
                <w:szCs w:val="20"/>
              </w:rPr>
              <w:t xml:space="preserve"> </w:t>
            </w:r>
            <w:r w:rsidRPr="000F40FA">
              <w:rPr>
                <w:rFonts w:ascii="Arial Narrow" w:hAnsi="Arial Narrow"/>
                <w:i/>
                <w:snapToGrid/>
                <w:sz w:val="20"/>
                <w:szCs w:val="20"/>
              </w:rPr>
              <w:t xml:space="preserve">Patient </w:t>
            </w:r>
            <w:r w:rsidRPr="000F40FA">
              <w:rPr>
                <w:rFonts w:ascii="Arial Narrow" w:hAnsi="Arial Narrow"/>
                <w:snapToGrid/>
                <w:sz w:val="20"/>
                <w:szCs w:val="20"/>
              </w:rPr>
              <w:t xml:space="preserve">must have </w:t>
            </w:r>
            <w:r w:rsidRPr="000F40FA">
              <w:rPr>
                <w:rFonts w:ascii="Arial Narrow" w:hAnsi="Arial Narrow"/>
                <w:i/>
                <w:snapToGrid/>
                <w:sz w:val="20"/>
                <w:szCs w:val="20"/>
              </w:rPr>
              <w:t>a documented history of</w:t>
            </w:r>
            <w:r w:rsidRPr="000F40FA">
              <w:rPr>
                <w:rFonts w:ascii="Arial Narrow" w:hAnsi="Arial Narrow"/>
                <w:snapToGrid/>
                <w:sz w:val="20"/>
                <w:szCs w:val="20"/>
              </w:rPr>
              <w:t xml:space="preserve"> more than 5% blasts in bone marrow</w:t>
            </w:r>
            <w:r w:rsidR="00565F55">
              <w:rPr>
                <w:rFonts w:ascii="Arial Narrow" w:hAnsi="Arial Narrow"/>
                <w:i/>
                <w:snapToGrid/>
                <w:sz w:val="20"/>
                <w:szCs w:val="20"/>
              </w:rPr>
              <w:t xml:space="preserve"> prior to when the</w:t>
            </w:r>
            <w:r w:rsidR="00E27AB1">
              <w:rPr>
                <w:rFonts w:ascii="Arial Narrow" w:hAnsi="Arial Narrow"/>
                <w:i/>
                <w:snapToGrid/>
                <w:sz w:val="20"/>
                <w:szCs w:val="20"/>
              </w:rPr>
              <w:t xml:space="preserve"> patient</w:t>
            </w:r>
            <w:r w:rsidR="00565F55">
              <w:rPr>
                <w:rFonts w:ascii="Arial Narrow" w:hAnsi="Arial Narrow"/>
                <w:i/>
                <w:snapToGrid/>
                <w:sz w:val="20"/>
                <w:szCs w:val="20"/>
              </w:rPr>
              <w:t xml:space="preserve"> commenced inotuzumab</w:t>
            </w:r>
            <w:r w:rsidR="00877713">
              <w:rPr>
                <w:rFonts w:ascii="Arial Narrow" w:hAnsi="Arial Narrow"/>
                <w:i/>
                <w:snapToGrid/>
                <w:sz w:val="20"/>
                <w:szCs w:val="20"/>
              </w:rPr>
              <w:t>,</w:t>
            </w:r>
            <w:r w:rsidR="00565F55">
              <w:rPr>
                <w:rFonts w:ascii="Arial Narrow" w:hAnsi="Arial Narrow"/>
                <w:i/>
                <w:snapToGrid/>
                <w:sz w:val="20"/>
                <w:szCs w:val="20"/>
              </w:rPr>
              <w:t xml:space="preserve"> </w:t>
            </w:r>
          </w:p>
          <w:p w:rsidR="000F40FA" w:rsidRPr="000F40FA" w:rsidRDefault="000F40FA" w:rsidP="000F40FA">
            <w:pPr>
              <w:widowControl/>
              <w:snapToGrid w:val="0"/>
              <w:rPr>
                <w:rFonts w:ascii="Arial Narrow" w:hAnsi="Arial Narrow"/>
                <w:strike/>
                <w:snapToGrid/>
                <w:sz w:val="20"/>
                <w:szCs w:val="20"/>
              </w:rPr>
            </w:pPr>
            <w:r w:rsidRPr="000F40FA">
              <w:rPr>
                <w:rFonts w:ascii="Arial Narrow" w:hAnsi="Arial Narrow"/>
                <w:strike/>
                <w:snapToGrid/>
                <w:sz w:val="20"/>
                <w:szCs w:val="20"/>
              </w:rPr>
              <w:t>AND</w:t>
            </w:r>
          </w:p>
          <w:p w:rsidR="000F40FA" w:rsidRPr="000F40FA" w:rsidRDefault="000F40FA" w:rsidP="000F40FA">
            <w:pPr>
              <w:widowControl/>
              <w:snapToGrid w:val="0"/>
              <w:rPr>
                <w:rFonts w:ascii="Arial Narrow" w:hAnsi="Arial Narrow"/>
                <w:strike/>
                <w:snapToGrid/>
                <w:sz w:val="20"/>
                <w:szCs w:val="20"/>
              </w:rPr>
            </w:pPr>
            <w:r w:rsidRPr="000F40FA">
              <w:rPr>
                <w:rFonts w:ascii="Arial Narrow" w:hAnsi="Arial Narrow"/>
                <w:strike/>
                <w:snapToGrid/>
                <w:sz w:val="20"/>
                <w:szCs w:val="20"/>
              </w:rPr>
              <w:t>The treatment must not be more than 2 treatment cycles under this restriction in a lifetime.</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AND</w:t>
            </w:r>
          </w:p>
          <w:p w:rsidR="000F40FA" w:rsidRDefault="000F40FA" w:rsidP="000F40FA">
            <w:pPr>
              <w:widowControl/>
              <w:snapToGrid w:val="0"/>
              <w:rPr>
                <w:rFonts w:ascii="Arial Narrow" w:hAnsi="Arial Narrow"/>
                <w:snapToGrid/>
                <w:sz w:val="20"/>
                <w:szCs w:val="20"/>
              </w:rPr>
            </w:pPr>
            <w:r w:rsidRPr="000F40FA">
              <w:rPr>
                <w:rFonts w:ascii="Arial Narrow" w:hAnsi="Arial Narrow"/>
                <w:strike/>
                <w:snapToGrid/>
                <w:sz w:val="20"/>
                <w:szCs w:val="20"/>
              </w:rPr>
              <w:t>The</w:t>
            </w:r>
            <w:r w:rsidRPr="000F40FA">
              <w:rPr>
                <w:rFonts w:ascii="Arial Narrow" w:hAnsi="Arial Narrow"/>
                <w:snapToGrid/>
                <w:sz w:val="20"/>
                <w:szCs w:val="20"/>
              </w:rPr>
              <w:t xml:space="preserve"> </w:t>
            </w:r>
            <w:proofErr w:type="spellStart"/>
            <w:r w:rsidRPr="000F40FA">
              <w:rPr>
                <w:rFonts w:ascii="Arial Narrow" w:hAnsi="Arial Narrow"/>
                <w:i/>
                <w:strike/>
                <w:snapToGrid/>
                <w:sz w:val="20"/>
                <w:szCs w:val="20"/>
              </w:rPr>
              <w:t>p</w:t>
            </w:r>
            <w:r w:rsidRPr="000F40FA">
              <w:rPr>
                <w:rFonts w:ascii="Arial Narrow" w:hAnsi="Arial Narrow"/>
                <w:i/>
                <w:snapToGrid/>
                <w:sz w:val="20"/>
                <w:szCs w:val="20"/>
              </w:rPr>
              <w:t>Patient</w:t>
            </w:r>
            <w:proofErr w:type="spellEnd"/>
            <w:r w:rsidRPr="000F40FA">
              <w:rPr>
                <w:rFonts w:ascii="Arial Narrow" w:hAnsi="Arial Narrow"/>
                <w:snapToGrid/>
                <w:sz w:val="20"/>
                <w:szCs w:val="20"/>
              </w:rPr>
              <w:t xml:space="preserve"> must have received treatment with this drug for this condition prior to [DATE OF PBS-LISTING]</w:t>
            </w:r>
            <w:r w:rsidR="00877713">
              <w:rPr>
                <w:rFonts w:ascii="Arial Narrow" w:hAnsi="Arial Narrow"/>
                <w:snapToGrid/>
                <w:sz w:val="20"/>
                <w:szCs w:val="20"/>
              </w:rPr>
              <w:t>,</w:t>
            </w:r>
          </w:p>
          <w:p w:rsidR="00D22074" w:rsidRPr="009835E2" w:rsidRDefault="00D22074" w:rsidP="00D22074">
            <w:pPr>
              <w:widowControl/>
              <w:snapToGrid w:val="0"/>
              <w:rPr>
                <w:rFonts w:ascii="Arial Narrow" w:hAnsi="Arial Narrow"/>
                <w:i/>
                <w:snapToGrid/>
                <w:sz w:val="20"/>
                <w:szCs w:val="20"/>
              </w:rPr>
            </w:pPr>
            <w:r w:rsidRPr="009835E2">
              <w:rPr>
                <w:rFonts w:ascii="Arial Narrow" w:hAnsi="Arial Narrow"/>
                <w:i/>
                <w:snapToGrid/>
                <w:sz w:val="20"/>
                <w:szCs w:val="20"/>
              </w:rPr>
              <w:t xml:space="preserve">AND </w:t>
            </w:r>
          </w:p>
          <w:p w:rsidR="00D22074" w:rsidRPr="000F40FA" w:rsidRDefault="00D22074" w:rsidP="00D22074">
            <w:pPr>
              <w:widowControl/>
              <w:snapToGrid w:val="0"/>
              <w:rPr>
                <w:rFonts w:ascii="Arial Narrow" w:hAnsi="Arial Narrow"/>
                <w:snapToGrid/>
                <w:sz w:val="20"/>
                <w:szCs w:val="20"/>
              </w:rPr>
            </w:pPr>
            <w:r w:rsidRPr="00D22074">
              <w:rPr>
                <w:rFonts w:ascii="Arial Narrow" w:hAnsi="Arial Narrow"/>
                <w:i/>
                <w:snapToGrid/>
                <w:sz w:val="20"/>
                <w:szCs w:val="20"/>
              </w:rPr>
              <w:t>Patient must not receive PBS-subsidised treatment with this drug if progressive disease develops while on this drug</w:t>
            </w:r>
            <w:r w:rsidR="00877713">
              <w:rPr>
                <w:rFonts w:ascii="Arial Narrow" w:hAnsi="Arial Narrow"/>
                <w:i/>
                <w:snapToGrid/>
                <w:sz w:val="20"/>
                <w:szCs w:val="20"/>
              </w:rPr>
              <w:t>.</w:t>
            </w:r>
          </w:p>
        </w:tc>
      </w:tr>
      <w:tr w:rsidR="00D5438B"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tcPr>
          <w:p w:rsidR="00D5438B" w:rsidRPr="00D5438B" w:rsidRDefault="00D5438B" w:rsidP="000F40FA">
            <w:pPr>
              <w:widowControl/>
              <w:snapToGrid w:val="0"/>
              <w:rPr>
                <w:rFonts w:ascii="Arial Narrow" w:hAnsi="Arial Narrow"/>
                <w:strike/>
                <w:snapToGrid/>
                <w:sz w:val="20"/>
                <w:szCs w:val="20"/>
              </w:rPr>
            </w:pPr>
            <w:r w:rsidRPr="00D5438B">
              <w:rPr>
                <w:rFonts w:ascii="Arial Narrow" w:hAnsi="Arial Narrow"/>
                <w:strike/>
                <w:snapToGrid/>
                <w:sz w:val="20"/>
                <w:szCs w:val="20"/>
              </w:rPr>
              <w:t>Population criteria</w:t>
            </w:r>
          </w:p>
        </w:tc>
        <w:tc>
          <w:tcPr>
            <w:tcW w:w="3748" w:type="pct"/>
            <w:tcBorders>
              <w:top w:val="single" w:sz="4" w:space="0" w:color="auto"/>
              <w:left w:val="single" w:sz="4" w:space="0" w:color="auto"/>
              <w:bottom w:val="single" w:sz="4" w:space="0" w:color="auto"/>
              <w:right w:val="single" w:sz="4" w:space="0" w:color="auto"/>
            </w:tcBorders>
          </w:tcPr>
          <w:p w:rsidR="00D5438B" w:rsidRPr="00D5438B" w:rsidRDefault="00D5438B" w:rsidP="000F40FA">
            <w:pPr>
              <w:widowControl/>
              <w:snapToGrid w:val="0"/>
              <w:rPr>
                <w:rFonts w:ascii="Arial Narrow" w:hAnsi="Arial Narrow"/>
                <w:strike/>
                <w:snapToGrid/>
                <w:sz w:val="20"/>
                <w:szCs w:val="20"/>
              </w:rPr>
            </w:pPr>
            <w:r w:rsidRPr="00D5438B">
              <w:rPr>
                <w:rFonts w:ascii="Arial Narrow" w:hAnsi="Arial Narrow"/>
                <w:strike/>
                <w:snapToGrid/>
                <w:sz w:val="20"/>
                <w:szCs w:val="20"/>
              </w:rPr>
              <w:t>The patient must be 18 years or over.</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Prescriber Instructions:</w:t>
            </w:r>
          </w:p>
        </w:tc>
        <w:tc>
          <w:tcPr>
            <w:tcW w:w="3748" w:type="pct"/>
            <w:tcBorders>
              <w:top w:val="single" w:sz="4" w:space="0" w:color="auto"/>
              <w:left w:val="single" w:sz="4" w:space="0" w:color="auto"/>
              <w:bottom w:val="single" w:sz="4" w:space="0" w:color="auto"/>
              <w:right w:val="single" w:sz="4" w:space="0" w:color="auto"/>
            </w:tcBorders>
          </w:tcPr>
          <w:p w:rsidR="0094716A" w:rsidRDefault="0094716A" w:rsidP="000F40FA">
            <w:pPr>
              <w:widowControl/>
              <w:snapToGrid w:val="0"/>
              <w:rPr>
                <w:rFonts w:ascii="Arial Narrow" w:hAnsi="Arial Narrow"/>
                <w:i/>
                <w:snapToGrid/>
                <w:sz w:val="20"/>
                <w:szCs w:val="20"/>
              </w:rPr>
            </w:pPr>
            <w:r w:rsidRPr="005E0F55">
              <w:rPr>
                <w:rFonts w:ascii="Arial Narrow" w:hAnsi="Arial Narrow"/>
                <w:i/>
                <w:snapToGrid/>
                <w:sz w:val="20"/>
                <w:szCs w:val="20"/>
              </w:rPr>
              <w:t>This drug is not PBS-subsidised if it is prescribed to an in-patient in a public hospital setting</w:t>
            </w:r>
            <w:r>
              <w:rPr>
                <w:rFonts w:ascii="Arial Narrow" w:hAnsi="Arial Narrow"/>
                <w:i/>
                <w:snapToGrid/>
                <w:sz w:val="20"/>
                <w:szCs w:val="20"/>
              </w:rPr>
              <w:t>.</w:t>
            </w:r>
          </w:p>
          <w:p w:rsidR="000F40FA" w:rsidRPr="000F40FA" w:rsidRDefault="0094716A" w:rsidP="000F40FA">
            <w:pPr>
              <w:widowControl/>
              <w:snapToGrid w:val="0"/>
              <w:rPr>
                <w:rFonts w:ascii="Arial Narrow" w:hAnsi="Arial Narrow"/>
                <w:snapToGrid/>
                <w:sz w:val="20"/>
                <w:szCs w:val="20"/>
              </w:rPr>
            </w:pPr>
            <w:r w:rsidRPr="000F40FA" w:rsidDel="0094716A">
              <w:rPr>
                <w:rFonts w:ascii="Arial Narrow" w:hAnsi="Arial Narrow"/>
                <w:i/>
                <w:snapToGrid/>
                <w:sz w:val="20"/>
                <w:szCs w:val="20"/>
              </w:rPr>
              <w:t xml:space="preserve"> </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 patient may qualify for PBS-subsidised treatment under this restriction once only.</w:t>
            </w:r>
          </w:p>
          <w:p w:rsidR="000F40FA" w:rsidRPr="000F40FA" w:rsidRDefault="000F40FA" w:rsidP="000F40FA">
            <w:pPr>
              <w:widowControl/>
              <w:snapToGrid w:val="0"/>
              <w:rPr>
                <w:rFonts w:ascii="Arial Narrow" w:hAnsi="Arial Narrow"/>
                <w:snapToGrid/>
                <w:sz w:val="20"/>
                <w:szCs w:val="20"/>
              </w:rPr>
            </w:pPr>
          </w:p>
          <w:p w:rsid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Treatment with </w:t>
            </w:r>
            <w:r w:rsidRPr="00E27AB1">
              <w:rPr>
                <w:rFonts w:ascii="Arial Narrow" w:hAnsi="Arial Narrow"/>
                <w:strike/>
                <w:snapToGrid/>
                <w:sz w:val="20"/>
                <w:szCs w:val="20"/>
              </w:rPr>
              <w:t>inotuzumab for ALL</w:t>
            </w:r>
            <w:r w:rsidRPr="000F40FA">
              <w:rPr>
                <w:rFonts w:ascii="Arial Narrow" w:hAnsi="Arial Narrow"/>
                <w:snapToGrid/>
                <w:sz w:val="20"/>
                <w:szCs w:val="20"/>
              </w:rPr>
              <w:t xml:space="preserve"> </w:t>
            </w:r>
            <w:r w:rsidR="00E27AB1" w:rsidRPr="00E27AB1">
              <w:rPr>
                <w:rFonts w:ascii="Arial Narrow" w:hAnsi="Arial Narrow"/>
                <w:i/>
                <w:snapToGrid/>
                <w:sz w:val="20"/>
                <w:szCs w:val="20"/>
              </w:rPr>
              <w:t>this drug for this condition</w:t>
            </w:r>
            <w:r w:rsidR="00E27AB1">
              <w:rPr>
                <w:i/>
                <w:snapToGrid/>
                <w:szCs w:val="20"/>
              </w:rPr>
              <w:t xml:space="preserve"> </w:t>
            </w:r>
            <w:r w:rsidRPr="000F40FA">
              <w:rPr>
                <w:rFonts w:ascii="Arial Narrow" w:hAnsi="Arial Narrow"/>
                <w:snapToGrid/>
                <w:sz w:val="20"/>
                <w:szCs w:val="20"/>
              </w:rPr>
              <w:t xml:space="preserve">must not exceed 6 treatment cycles in a lifetime. </w:t>
            </w:r>
          </w:p>
          <w:p w:rsidR="00D5438B" w:rsidRPr="000F40FA" w:rsidRDefault="00D5438B" w:rsidP="000F40FA">
            <w:pPr>
              <w:widowControl/>
              <w:snapToGrid w:val="0"/>
              <w:rPr>
                <w:rFonts w:ascii="Arial Narrow" w:hAnsi="Arial Narrow"/>
                <w:snapToGrid/>
                <w:sz w:val="20"/>
                <w:szCs w:val="20"/>
              </w:rPr>
            </w:pP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 xml:space="preserve">Patients who have received </w:t>
            </w:r>
            <w:r w:rsidR="00D5438B">
              <w:rPr>
                <w:rFonts w:ascii="Arial Narrow" w:hAnsi="Arial Narrow"/>
                <w:i/>
                <w:snapToGrid/>
                <w:sz w:val="20"/>
                <w:szCs w:val="20"/>
              </w:rPr>
              <w:t xml:space="preserve">up to </w:t>
            </w:r>
            <w:r w:rsidRPr="000F40FA">
              <w:rPr>
                <w:rFonts w:ascii="Arial Narrow" w:hAnsi="Arial Narrow"/>
                <w:snapToGrid/>
                <w:sz w:val="20"/>
                <w:szCs w:val="20"/>
              </w:rPr>
              <w:t xml:space="preserve">three treatment cycles as induction therapy with this drug for this condition prior to [DATE OF PBS LISTING] must have achieved a complete remission, or a complete remission with partial haematological recovery in order to continue with PBS-subsidised treatment with this drug. </w:t>
            </w:r>
          </w:p>
          <w:p w:rsidR="000F40FA" w:rsidRPr="000F40FA" w:rsidRDefault="000F40FA" w:rsidP="000F40FA">
            <w:pPr>
              <w:widowControl/>
              <w:snapToGrid w:val="0"/>
              <w:rPr>
                <w:rFonts w:ascii="Arial Narrow" w:hAnsi="Arial Narrow"/>
                <w:snapToGrid/>
                <w:sz w:val="20"/>
                <w:szCs w:val="20"/>
              </w:rPr>
            </w:pP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lastRenderedPageBreak/>
              <w:t>Patients who have received at least one treatment cycle as consolidation therapy with this drug for this condition prior to [DATE OF PBS LISTING] must have achieved a complete remission, or a complete remission with partial haematological recovery in order to continue with PBS-subsidised treatment with this drug.</w:t>
            </w:r>
          </w:p>
          <w:p w:rsidR="000F40FA" w:rsidRPr="000F40FA" w:rsidRDefault="000F40FA" w:rsidP="000F40FA">
            <w:pPr>
              <w:widowControl/>
              <w:snapToGrid w:val="0"/>
              <w:rPr>
                <w:rFonts w:ascii="Arial Narrow" w:hAnsi="Arial Narrow"/>
                <w:snapToGrid/>
                <w:sz w:val="20"/>
                <w:szCs w:val="20"/>
              </w:rPr>
            </w:pP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Patients who fail to demonstrate a complete remission (CR) or complete remission with incomplete haematological recovery (</w:t>
            </w:r>
            <w:proofErr w:type="spellStart"/>
            <w:r w:rsidRPr="000F40FA">
              <w:rPr>
                <w:rFonts w:ascii="Arial Narrow" w:hAnsi="Arial Narrow"/>
                <w:snapToGrid/>
                <w:sz w:val="20"/>
                <w:szCs w:val="20"/>
              </w:rPr>
              <w:t>CRi</w:t>
            </w:r>
            <w:proofErr w:type="spellEnd"/>
            <w:r w:rsidRPr="000F40FA">
              <w:rPr>
                <w:rFonts w:ascii="Arial Narrow" w:hAnsi="Arial Narrow"/>
                <w:snapToGrid/>
                <w:sz w:val="20"/>
                <w:szCs w:val="20"/>
              </w:rPr>
              <w:t>) after 3 cycles of PBS-subsidised treatment with this agent must cease PBS-subsidised treatment with this agent.</w:t>
            </w:r>
          </w:p>
          <w:p w:rsidR="000F40FA" w:rsidRPr="000F40FA" w:rsidRDefault="000F40FA" w:rsidP="000F40FA">
            <w:pPr>
              <w:widowControl/>
              <w:snapToGrid w:val="0"/>
              <w:rPr>
                <w:rFonts w:ascii="Arial Narrow" w:hAnsi="Arial Narrow"/>
                <w:strike/>
                <w:snapToGrid/>
                <w:sz w:val="20"/>
                <w:szCs w:val="20"/>
              </w:rPr>
            </w:pP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The authority application must be made in writing and must include:</w:t>
            </w: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(1) a completed authority prescription form;</w:t>
            </w: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(2) a completed Acute Lymphoblastic Leukaemia PBS Authority Application - Supporting Information Form; and </w:t>
            </w: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(3) evidence that the condition is CD22-positive; and</w:t>
            </w: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(4) date of most recent inotuzumab </w:t>
            </w:r>
            <w:proofErr w:type="spellStart"/>
            <w:r w:rsidRPr="000F40FA">
              <w:rPr>
                <w:rFonts w:ascii="Arial Narrow" w:hAnsi="Arial Narrow"/>
                <w:i/>
                <w:snapToGrid/>
                <w:sz w:val="20"/>
                <w:szCs w:val="20"/>
              </w:rPr>
              <w:t>ozogamicin</w:t>
            </w:r>
            <w:proofErr w:type="spellEnd"/>
            <w:r w:rsidRPr="000F40FA">
              <w:rPr>
                <w:rFonts w:ascii="Arial Narrow" w:hAnsi="Arial Narrow"/>
                <w:i/>
                <w:snapToGrid/>
                <w:sz w:val="20"/>
                <w:szCs w:val="20"/>
              </w:rPr>
              <w:t xml:space="preserve"> dose, if this was for induction or consolidation therapy, and how many treatment cycle(s) of PBS-subsidised inotuzumab </w:t>
            </w:r>
            <w:proofErr w:type="spellStart"/>
            <w:r w:rsidRPr="000F40FA">
              <w:rPr>
                <w:rFonts w:ascii="Arial Narrow" w:hAnsi="Arial Narrow"/>
                <w:i/>
                <w:snapToGrid/>
                <w:sz w:val="20"/>
                <w:szCs w:val="20"/>
              </w:rPr>
              <w:t>ozogamicin</w:t>
            </w:r>
            <w:proofErr w:type="spellEnd"/>
            <w:r w:rsidRPr="000F40FA">
              <w:rPr>
                <w:rFonts w:ascii="Arial Narrow" w:hAnsi="Arial Narrow"/>
                <w:i/>
                <w:snapToGrid/>
                <w:sz w:val="20"/>
                <w:szCs w:val="20"/>
              </w:rPr>
              <w:t xml:space="preserve"> will be required for completion of induction or consolidation therapy; and </w:t>
            </w:r>
          </w:p>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(5) date of latest chemotherapy prior to receiving non-PBS subsidised inotuzumab </w:t>
            </w:r>
            <w:proofErr w:type="spellStart"/>
            <w:r w:rsidRPr="000F40FA">
              <w:rPr>
                <w:rFonts w:ascii="Arial Narrow" w:hAnsi="Arial Narrow"/>
                <w:i/>
                <w:snapToGrid/>
                <w:sz w:val="20"/>
                <w:szCs w:val="20"/>
              </w:rPr>
              <w:t>ozogamicin</w:t>
            </w:r>
            <w:proofErr w:type="spellEnd"/>
            <w:r w:rsidRPr="000F40FA">
              <w:rPr>
                <w:rFonts w:ascii="Arial Narrow" w:hAnsi="Arial Narrow"/>
                <w:i/>
                <w:snapToGrid/>
                <w:sz w:val="20"/>
                <w:szCs w:val="20"/>
              </w:rPr>
              <w:t>, and if it was the initial chemotherapy regimen or for salvage therapy</w:t>
            </w:r>
            <w:r w:rsidR="000C404A">
              <w:rPr>
                <w:rFonts w:ascii="Arial Narrow" w:hAnsi="Arial Narrow"/>
                <w:i/>
                <w:snapToGrid/>
                <w:sz w:val="20"/>
                <w:szCs w:val="20"/>
              </w:rPr>
              <w:t xml:space="preserve"> and what line of salvage</w:t>
            </w:r>
            <w:r w:rsidRPr="000F40FA">
              <w:rPr>
                <w:rFonts w:ascii="Arial Narrow" w:hAnsi="Arial Narrow"/>
                <w:i/>
                <w:snapToGrid/>
                <w:sz w:val="20"/>
                <w:szCs w:val="20"/>
              </w:rPr>
              <w:t xml:space="preserve">; and </w:t>
            </w: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i/>
                <w:snapToGrid/>
                <w:sz w:val="20"/>
                <w:szCs w:val="20"/>
              </w:rPr>
              <w:t xml:space="preserve">(6) </w:t>
            </w:r>
            <w:proofErr w:type="gramStart"/>
            <w:r w:rsidRPr="000F40FA">
              <w:rPr>
                <w:rFonts w:ascii="Arial Narrow" w:hAnsi="Arial Narrow"/>
                <w:i/>
                <w:snapToGrid/>
                <w:sz w:val="20"/>
                <w:szCs w:val="20"/>
              </w:rPr>
              <w:t>a</w:t>
            </w:r>
            <w:proofErr w:type="gramEnd"/>
            <w:r w:rsidRPr="000F40FA">
              <w:rPr>
                <w:rFonts w:ascii="Arial Narrow" w:hAnsi="Arial Narrow"/>
                <w:i/>
                <w:snapToGrid/>
                <w:sz w:val="20"/>
                <w:szCs w:val="20"/>
              </w:rPr>
              <w:t xml:space="preserve"> copy of bone marrow biopsy report prior to receiving non-PBS subsidised inotuzumab </w:t>
            </w:r>
            <w:proofErr w:type="spellStart"/>
            <w:r w:rsidRPr="000F40FA">
              <w:rPr>
                <w:rFonts w:ascii="Arial Narrow" w:hAnsi="Arial Narrow"/>
                <w:i/>
                <w:snapToGrid/>
                <w:sz w:val="20"/>
                <w:szCs w:val="20"/>
              </w:rPr>
              <w:t>ozogamicin</w:t>
            </w:r>
            <w:proofErr w:type="spellEnd"/>
            <w:r w:rsidRPr="000F40FA">
              <w:rPr>
                <w:rFonts w:ascii="Arial Narrow" w:hAnsi="Arial Narrow"/>
                <w:i/>
                <w:snapToGrid/>
                <w:sz w:val="20"/>
                <w:szCs w:val="20"/>
              </w:rPr>
              <w:t>.</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lastRenderedPageBreak/>
              <w:t>Definitions</w:t>
            </w:r>
          </w:p>
        </w:tc>
        <w:tc>
          <w:tcPr>
            <w:tcW w:w="3748"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trike/>
                <w:snapToGrid/>
                <w:sz w:val="20"/>
                <w:szCs w:val="20"/>
              </w:rPr>
            </w:pPr>
            <w:r w:rsidRPr="000F40FA">
              <w:rPr>
                <w:rFonts w:ascii="Arial Narrow" w:hAnsi="Arial Narrow"/>
                <w:i/>
                <w:snapToGrid/>
                <w:sz w:val="20"/>
                <w:szCs w:val="20"/>
              </w:rPr>
              <w:t>A complete</w:t>
            </w:r>
            <w:r w:rsidRPr="000F40FA">
              <w:rPr>
                <w:rFonts w:ascii="Arial Narrow" w:hAnsi="Arial Narrow"/>
                <w:snapToGrid/>
                <w:sz w:val="20"/>
                <w:szCs w:val="20"/>
              </w:rPr>
              <w:t xml:space="preserve"> </w:t>
            </w:r>
            <w:proofErr w:type="spellStart"/>
            <w:r w:rsidRPr="000F40FA">
              <w:rPr>
                <w:rFonts w:ascii="Arial Narrow" w:hAnsi="Arial Narrow"/>
                <w:i/>
                <w:snapToGrid/>
                <w:sz w:val="20"/>
                <w:szCs w:val="20"/>
              </w:rPr>
              <w:t>remission</w:t>
            </w:r>
            <w:r w:rsidRPr="000F40FA">
              <w:rPr>
                <w:rFonts w:ascii="Arial Narrow" w:hAnsi="Arial Narrow"/>
                <w:strike/>
                <w:snapToGrid/>
                <w:sz w:val="20"/>
                <w:szCs w:val="20"/>
              </w:rPr>
              <w:t>CR</w:t>
            </w:r>
            <w:proofErr w:type="spellEnd"/>
            <w:r w:rsidRPr="000F40FA">
              <w:rPr>
                <w:rFonts w:ascii="Arial Narrow" w:hAnsi="Arial Narrow"/>
                <w:snapToGrid/>
                <w:sz w:val="20"/>
                <w:szCs w:val="20"/>
              </w:rPr>
              <w:t xml:space="preserve"> is defined as </w:t>
            </w:r>
            <w:r w:rsidRPr="000F40FA">
              <w:rPr>
                <w:rFonts w:ascii="Arial Narrow" w:hAnsi="Arial Narrow"/>
                <w:i/>
                <w:snapToGrid/>
                <w:sz w:val="20"/>
                <w:szCs w:val="20"/>
              </w:rPr>
              <w:t xml:space="preserve">bone marrow blasts of less than or equal to 5%, </w:t>
            </w:r>
            <w:r w:rsidRPr="000F40FA">
              <w:rPr>
                <w:rFonts w:ascii="Arial Narrow" w:hAnsi="Arial Narrow"/>
                <w:strike/>
                <w:snapToGrid/>
                <w:sz w:val="20"/>
                <w:szCs w:val="20"/>
              </w:rPr>
              <w:t>&lt;5% blasts in the bone marrow</w:t>
            </w:r>
            <w:r w:rsidRPr="000F40FA">
              <w:rPr>
                <w:rFonts w:ascii="Arial Narrow" w:hAnsi="Arial Narrow"/>
                <w:snapToGrid/>
                <w:sz w:val="20"/>
                <w:szCs w:val="20"/>
              </w:rPr>
              <w:t xml:space="preserve"> </w:t>
            </w:r>
            <w:r w:rsidRPr="000F40FA">
              <w:rPr>
                <w:rFonts w:ascii="Arial Narrow" w:hAnsi="Arial Narrow"/>
                <w:i/>
                <w:snapToGrid/>
                <w:sz w:val="20"/>
                <w:szCs w:val="20"/>
              </w:rPr>
              <w:t>no</w:t>
            </w:r>
            <w:r w:rsidR="00565F55">
              <w:rPr>
                <w:rFonts w:ascii="Arial Narrow" w:hAnsi="Arial Narrow"/>
                <w:i/>
                <w:snapToGrid/>
                <w:sz w:val="20"/>
                <w:szCs w:val="20"/>
              </w:rPr>
              <w:t xml:space="preserve"> </w:t>
            </w:r>
            <w:r w:rsidRPr="000F40FA">
              <w:rPr>
                <w:rFonts w:ascii="Arial Narrow" w:hAnsi="Arial Narrow"/>
                <w:i/>
                <w:snapToGrid/>
                <w:sz w:val="20"/>
                <w:szCs w:val="20"/>
              </w:rPr>
              <w:t>evidence of disease and a full recovery of peripheral blood counts with platelets of greater than 100,000 per microliter, and absolute neutrophil count (ANC) of greater than 1,000 per microliter</w:t>
            </w:r>
            <w:r w:rsidRPr="000F40FA">
              <w:rPr>
                <w:rFonts w:ascii="Arial Narrow" w:hAnsi="Arial Narrow"/>
                <w:snapToGrid/>
                <w:sz w:val="20"/>
                <w:szCs w:val="20"/>
              </w:rPr>
              <w:t xml:space="preserve">. </w:t>
            </w:r>
            <w:proofErr w:type="gramStart"/>
            <w:r w:rsidRPr="000F40FA">
              <w:rPr>
                <w:rFonts w:ascii="Arial Narrow" w:hAnsi="Arial Narrow"/>
                <w:strike/>
                <w:snapToGrid/>
                <w:sz w:val="20"/>
                <w:szCs w:val="20"/>
              </w:rPr>
              <w:t>and</w:t>
            </w:r>
            <w:proofErr w:type="gramEnd"/>
            <w:r w:rsidRPr="000F40FA">
              <w:rPr>
                <w:rFonts w:ascii="Arial Narrow" w:hAnsi="Arial Narrow"/>
                <w:strike/>
                <w:snapToGrid/>
                <w:sz w:val="20"/>
                <w:szCs w:val="20"/>
              </w:rPr>
              <w:t xml:space="preserve"> the absence of peripheral blood </w:t>
            </w:r>
            <w:proofErr w:type="spellStart"/>
            <w:r w:rsidRPr="000F40FA">
              <w:rPr>
                <w:rFonts w:ascii="Arial Narrow" w:hAnsi="Arial Narrow"/>
                <w:strike/>
                <w:snapToGrid/>
                <w:sz w:val="20"/>
                <w:szCs w:val="20"/>
              </w:rPr>
              <w:t>leukaemic</w:t>
            </w:r>
            <w:proofErr w:type="spellEnd"/>
            <w:r w:rsidRPr="000F40FA">
              <w:rPr>
                <w:rFonts w:ascii="Arial Narrow" w:hAnsi="Arial Narrow"/>
                <w:strike/>
                <w:snapToGrid/>
                <w:sz w:val="20"/>
                <w:szCs w:val="20"/>
              </w:rPr>
              <w:t xml:space="preserve"> blasts, full recovery of peripheral blood counts (platelets ≥100 × 109/L and absolute neutrophil counts [ANC] ≥1 × 109/L) and resolution of any </w:t>
            </w:r>
            <w:proofErr w:type="spellStart"/>
            <w:r w:rsidRPr="000F40FA">
              <w:rPr>
                <w:rFonts w:ascii="Arial Narrow" w:hAnsi="Arial Narrow"/>
                <w:strike/>
                <w:snapToGrid/>
                <w:sz w:val="20"/>
                <w:szCs w:val="20"/>
              </w:rPr>
              <w:t>extramedullary</w:t>
            </w:r>
            <w:proofErr w:type="spellEnd"/>
            <w:r w:rsidRPr="000F40FA">
              <w:rPr>
                <w:rFonts w:ascii="Arial Narrow" w:hAnsi="Arial Narrow"/>
                <w:strike/>
                <w:snapToGrid/>
                <w:sz w:val="20"/>
                <w:szCs w:val="20"/>
              </w:rPr>
              <w:t xml:space="preserve"> disease. </w:t>
            </w:r>
          </w:p>
          <w:p w:rsidR="00F64FCD" w:rsidRDefault="00F64FCD" w:rsidP="000F40FA">
            <w:pPr>
              <w:widowControl/>
              <w:snapToGrid w:val="0"/>
              <w:rPr>
                <w:rFonts w:ascii="Arial Narrow" w:hAnsi="Arial Narrow"/>
                <w:i/>
                <w:snapToGrid/>
                <w:sz w:val="20"/>
                <w:szCs w:val="20"/>
              </w:rPr>
            </w:pP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i/>
                <w:snapToGrid/>
                <w:sz w:val="20"/>
                <w:szCs w:val="20"/>
              </w:rPr>
              <w:t xml:space="preserve">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 </w:t>
            </w:r>
            <w:proofErr w:type="spellStart"/>
            <w:r w:rsidRPr="000F40FA">
              <w:rPr>
                <w:rFonts w:ascii="Arial Narrow" w:hAnsi="Arial Narrow"/>
                <w:strike/>
                <w:snapToGrid/>
                <w:sz w:val="20"/>
                <w:szCs w:val="20"/>
              </w:rPr>
              <w:t>CRi</w:t>
            </w:r>
            <w:proofErr w:type="spellEnd"/>
            <w:r w:rsidRPr="000F40FA">
              <w:rPr>
                <w:rFonts w:ascii="Arial Narrow" w:hAnsi="Arial Narrow"/>
                <w:strike/>
                <w:snapToGrid/>
                <w:sz w:val="20"/>
                <w:szCs w:val="20"/>
              </w:rPr>
              <w:t xml:space="preserve"> is defined as &lt;5% blasts in the bone marrow and the absence of peripheral blood </w:t>
            </w:r>
            <w:proofErr w:type="spellStart"/>
            <w:r w:rsidRPr="000F40FA">
              <w:rPr>
                <w:rFonts w:ascii="Arial Narrow" w:hAnsi="Arial Narrow"/>
                <w:strike/>
                <w:snapToGrid/>
                <w:sz w:val="20"/>
                <w:szCs w:val="20"/>
              </w:rPr>
              <w:t>leukaemic</w:t>
            </w:r>
            <w:proofErr w:type="spellEnd"/>
            <w:r w:rsidRPr="000F40FA">
              <w:rPr>
                <w:rFonts w:ascii="Arial Narrow" w:hAnsi="Arial Narrow"/>
                <w:strike/>
                <w:snapToGrid/>
                <w:sz w:val="20"/>
                <w:szCs w:val="20"/>
              </w:rPr>
              <w:t xml:space="preserve"> blasts, incomplete recovery of peripheral blood counts (platelets &lt;100 × 109/L and/or ANC &lt;1 × 109/L) and resolution of any </w:t>
            </w:r>
            <w:proofErr w:type="spellStart"/>
            <w:r w:rsidRPr="000F40FA">
              <w:rPr>
                <w:rFonts w:ascii="Arial Narrow" w:hAnsi="Arial Narrow"/>
                <w:strike/>
                <w:snapToGrid/>
                <w:sz w:val="20"/>
                <w:szCs w:val="20"/>
              </w:rPr>
              <w:t>extramedullary</w:t>
            </w:r>
            <w:proofErr w:type="spellEnd"/>
            <w:r w:rsidRPr="000F40FA">
              <w:rPr>
                <w:rFonts w:ascii="Arial Narrow" w:hAnsi="Arial Narrow"/>
                <w:strike/>
                <w:snapToGrid/>
                <w:sz w:val="20"/>
                <w:szCs w:val="20"/>
              </w:rPr>
              <w:t xml:space="preserve"> disease.</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Administrative Advice:</w:t>
            </w:r>
          </w:p>
        </w:tc>
        <w:tc>
          <w:tcPr>
            <w:tcW w:w="3748" w:type="pct"/>
            <w:tcBorders>
              <w:top w:val="single" w:sz="4" w:space="0" w:color="auto"/>
              <w:left w:val="single" w:sz="4" w:space="0" w:color="auto"/>
              <w:bottom w:val="single" w:sz="4" w:space="0" w:color="auto"/>
              <w:right w:val="single" w:sz="4" w:space="0" w:color="auto"/>
            </w:tcBorders>
          </w:tcPr>
          <w:p w:rsidR="000F40FA" w:rsidRP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www.humanservices.gov.au Applications for authority to prescribe should be forwarded to: Department of Human Services Complex Drugs Programs Reply Paid 9826 HOBART TAS 7001 </w:t>
            </w:r>
          </w:p>
          <w:p w:rsidR="000F40FA" w:rsidRPr="000F40FA" w:rsidRDefault="000F40FA" w:rsidP="000F40FA">
            <w:pPr>
              <w:widowControl/>
              <w:snapToGrid w:val="0"/>
              <w:rPr>
                <w:rFonts w:ascii="Arial Narrow" w:hAnsi="Arial Narrow"/>
                <w:snapToGrid/>
                <w:sz w:val="20"/>
                <w:szCs w:val="20"/>
              </w:rPr>
            </w:pP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No increase in the maximum quantity or number of units may be authorised.</w:t>
            </w:r>
          </w:p>
          <w:p w:rsidR="000F40FA" w:rsidRPr="000F40FA" w:rsidRDefault="000F40FA" w:rsidP="000F40FA">
            <w:pPr>
              <w:widowControl/>
              <w:snapToGrid w:val="0"/>
              <w:rPr>
                <w:rFonts w:ascii="Arial Narrow" w:hAnsi="Arial Narrow"/>
                <w:strike/>
                <w:snapToGrid/>
                <w:sz w:val="20"/>
                <w:szCs w:val="20"/>
              </w:rPr>
            </w:pPr>
            <w:r w:rsidRPr="000F40FA">
              <w:rPr>
                <w:rFonts w:ascii="Arial Narrow" w:hAnsi="Arial Narrow"/>
                <w:strike/>
                <w:snapToGrid/>
                <w:sz w:val="20"/>
                <w:szCs w:val="20"/>
              </w:rPr>
              <w:t xml:space="preserve">No increase in the maximum number of repeats may be authorised. </w:t>
            </w:r>
          </w:p>
          <w:p w:rsidR="00197288" w:rsidRPr="0001155F" w:rsidRDefault="00197288" w:rsidP="000F40FA">
            <w:pPr>
              <w:widowControl/>
              <w:snapToGrid w:val="0"/>
              <w:rPr>
                <w:rFonts w:ascii="Arial Narrow" w:hAnsi="Arial Narrow"/>
                <w:i/>
                <w:snapToGrid/>
                <w:sz w:val="20"/>
                <w:szCs w:val="20"/>
              </w:rPr>
            </w:pPr>
            <w:r w:rsidRPr="0001155F">
              <w:rPr>
                <w:rFonts w:ascii="Arial Narrow" w:hAnsi="Arial Narrow"/>
                <w:i/>
                <w:snapToGrid/>
                <w:sz w:val="20"/>
                <w:szCs w:val="20"/>
              </w:rPr>
              <w:t xml:space="preserve">An increase in the maximum number of repeats of up to 2 will be allowed for completion of induction therapy. </w:t>
            </w:r>
          </w:p>
          <w:p w:rsidR="00197288" w:rsidRPr="0001155F" w:rsidRDefault="00197288" w:rsidP="000F40FA">
            <w:pPr>
              <w:widowControl/>
              <w:snapToGrid w:val="0"/>
              <w:rPr>
                <w:rFonts w:ascii="Arial Narrow" w:hAnsi="Arial Narrow"/>
                <w:i/>
                <w:snapToGrid/>
                <w:sz w:val="20"/>
                <w:szCs w:val="20"/>
              </w:rPr>
            </w:pPr>
          </w:p>
          <w:p w:rsidR="00197288" w:rsidRPr="0001155F" w:rsidRDefault="00197288" w:rsidP="000F40FA">
            <w:pPr>
              <w:widowControl/>
              <w:snapToGrid w:val="0"/>
              <w:rPr>
                <w:rFonts w:ascii="Arial Narrow" w:hAnsi="Arial Narrow"/>
                <w:i/>
                <w:snapToGrid/>
                <w:sz w:val="20"/>
                <w:szCs w:val="20"/>
              </w:rPr>
            </w:pPr>
            <w:r w:rsidRPr="0001155F">
              <w:rPr>
                <w:rFonts w:ascii="Arial Narrow" w:hAnsi="Arial Narrow"/>
                <w:i/>
                <w:snapToGrid/>
                <w:sz w:val="20"/>
                <w:szCs w:val="20"/>
              </w:rPr>
              <w:t>An increase in the maximum number of repeats of up to 4 will be allowed for completion of con</w:t>
            </w:r>
            <w:r w:rsidR="004D14C4">
              <w:rPr>
                <w:rFonts w:ascii="Arial Narrow" w:hAnsi="Arial Narrow"/>
                <w:i/>
                <w:snapToGrid/>
                <w:sz w:val="20"/>
                <w:szCs w:val="20"/>
              </w:rPr>
              <w:t>solidation</w:t>
            </w:r>
            <w:r w:rsidRPr="0001155F">
              <w:rPr>
                <w:rFonts w:ascii="Arial Narrow" w:hAnsi="Arial Narrow"/>
                <w:i/>
                <w:snapToGrid/>
                <w:sz w:val="20"/>
                <w:szCs w:val="20"/>
              </w:rPr>
              <w:t xml:space="preserve"> therapy. </w:t>
            </w:r>
          </w:p>
          <w:p w:rsidR="00197288" w:rsidRDefault="00197288" w:rsidP="000F40FA">
            <w:pPr>
              <w:widowControl/>
              <w:snapToGrid w:val="0"/>
              <w:rPr>
                <w:rFonts w:ascii="Arial Narrow" w:hAnsi="Arial Narrow"/>
                <w:snapToGrid/>
                <w:sz w:val="20"/>
                <w:szCs w:val="20"/>
              </w:rPr>
            </w:pPr>
          </w:p>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t>Special Pricing Arrangements apply.</w:t>
            </w:r>
          </w:p>
        </w:tc>
      </w:tr>
      <w:tr w:rsidR="000F40FA" w:rsidRPr="000F40FA" w:rsidTr="000F40FA">
        <w:trPr>
          <w:trHeight w:val="20"/>
        </w:trPr>
        <w:tc>
          <w:tcPr>
            <w:tcW w:w="1252" w:type="pct"/>
            <w:tcBorders>
              <w:top w:val="single" w:sz="4" w:space="0" w:color="auto"/>
              <w:left w:val="single" w:sz="4" w:space="0" w:color="auto"/>
              <w:bottom w:val="single" w:sz="4" w:space="0" w:color="auto"/>
              <w:right w:val="single" w:sz="4" w:space="0" w:color="auto"/>
            </w:tcBorders>
            <w:hideMark/>
          </w:tcPr>
          <w:p w:rsidR="000F40FA" w:rsidRPr="000F40FA" w:rsidRDefault="000F40FA" w:rsidP="000F40FA">
            <w:pPr>
              <w:widowControl/>
              <w:snapToGrid w:val="0"/>
              <w:rPr>
                <w:rFonts w:ascii="Arial Narrow" w:hAnsi="Arial Narrow"/>
                <w:snapToGrid/>
                <w:sz w:val="20"/>
                <w:szCs w:val="20"/>
              </w:rPr>
            </w:pPr>
            <w:r w:rsidRPr="000F40FA">
              <w:rPr>
                <w:rFonts w:ascii="Arial Narrow" w:hAnsi="Arial Narrow"/>
                <w:snapToGrid/>
                <w:sz w:val="20"/>
                <w:szCs w:val="20"/>
              </w:rPr>
              <w:lastRenderedPageBreak/>
              <w:t>Cautions:</w:t>
            </w:r>
          </w:p>
        </w:tc>
        <w:tc>
          <w:tcPr>
            <w:tcW w:w="3748" w:type="pct"/>
            <w:tcBorders>
              <w:top w:val="single" w:sz="4" w:space="0" w:color="auto"/>
              <w:left w:val="single" w:sz="4" w:space="0" w:color="auto"/>
              <w:bottom w:val="single" w:sz="4" w:space="0" w:color="auto"/>
              <w:right w:val="single" w:sz="4" w:space="0" w:color="auto"/>
            </w:tcBorders>
            <w:hideMark/>
          </w:tcPr>
          <w:p w:rsidR="000F40FA" w:rsidRDefault="000F40FA" w:rsidP="000F40FA">
            <w:pPr>
              <w:widowControl/>
              <w:snapToGrid w:val="0"/>
              <w:rPr>
                <w:rFonts w:ascii="Arial Narrow" w:hAnsi="Arial Narrow"/>
                <w:i/>
                <w:snapToGrid/>
                <w:sz w:val="20"/>
                <w:szCs w:val="20"/>
              </w:rPr>
            </w:pPr>
            <w:r w:rsidRPr="000F40FA">
              <w:rPr>
                <w:rFonts w:ascii="Arial Narrow" w:hAnsi="Arial Narrow"/>
                <w:i/>
                <w:snapToGrid/>
                <w:sz w:val="20"/>
                <w:szCs w:val="20"/>
              </w:rPr>
              <w:t xml:space="preserve">Careful monitoring of patients is required due to risk of developing hepatotoxicity, including life-threatening hepatic </w:t>
            </w:r>
            <w:proofErr w:type="spellStart"/>
            <w:r w:rsidRPr="000F40FA">
              <w:rPr>
                <w:rFonts w:ascii="Arial Narrow" w:hAnsi="Arial Narrow"/>
                <w:i/>
                <w:snapToGrid/>
                <w:sz w:val="20"/>
                <w:szCs w:val="20"/>
              </w:rPr>
              <w:t>veno</w:t>
            </w:r>
            <w:proofErr w:type="spellEnd"/>
            <w:r w:rsidR="00490803">
              <w:rPr>
                <w:rFonts w:ascii="Arial Narrow" w:hAnsi="Arial Narrow"/>
                <w:i/>
                <w:snapToGrid/>
                <w:sz w:val="20"/>
                <w:szCs w:val="20"/>
              </w:rPr>
              <w:t>-</w:t>
            </w:r>
            <w:r w:rsidRPr="000F40FA">
              <w:rPr>
                <w:rFonts w:ascii="Arial Narrow" w:hAnsi="Arial Narrow"/>
                <w:i/>
                <w:snapToGrid/>
                <w:sz w:val="20"/>
                <w:szCs w:val="20"/>
              </w:rPr>
              <w:t>occlusive disease, and the increased risk of post-</w:t>
            </w:r>
            <w:r w:rsidRPr="000F40FA">
              <w:rPr>
                <w:snapToGrid/>
              </w:rPr>
              <w:t xml:space="preserve"> </w:t>
            </w:r>
            <w:r w:rsidRPr="000F40FA">
              <w:rPr>
                <w:rFonts w:ascii="Arial Narrow" w:hAnsi="Arial Narrow"/>
                <w:i/>
                <w:snapToGrid/>
                <w:sz w:val="20"/>
                <w:szCs w:val="20"/>
              </w:rPr>
              <w:t xml:space="preserve">haematopoietic stem cell transplant non-relapse mortality observed in patients treated with inotuzumab. </w:t>
            </w:r>
          </w:p>
          <w:p w:rsidR="00D5438B" w:rsidRPr="000F40FA" w:rsidRDefault="00D5438B" w:rsidP="000F40FA">
            <w:pPr>
              <w:widowControl/>
              <w:snapToGrid w:val="0"/>
              <w:rPr>
                <w:rFonts w:ascii="Arial Narrow" w:hAnsi="Arial Narrow"/>
                <w:strike/>
                <w:snapToGrid/>
                <w:sz w:val="20"/>
                <w:szCs w:val="20"/>
              </w:rPr>
            </w:pPr>
            <w:r w:rsidRPr="00D5438B">
              <w:rPr>
                <w:rFonts w:ascii="Arial Narrow" w:hAnsi="Arial Narrow"/>
                <w:strike/>
                <w:snapToGrid/>
                <w:sz w:val="20"/>
                <w:szCs w:val="20"/>
              </w:rPr>
              <w:t xml:space="preserve">Careful monitoring of patients is required due to risk of developing </w:t>
            </w:r>
            <w:proofErr w:type="spellStart"/>
            <w:r w:rsidRPr="00D5438B">
              <w:rPr>
                <w:rFonts w:ascii="Arial Narrow" w:hAnsi="Arial Narrow"/>
                <w:strike/>
                <w:snapToGrid/>
                <w:sz w:val="20"/>
                <w:szCs w:val="20"/>
              </w:rPr>
              <w:t>veno</w:t>
            </w:r>
            <w:proofErr w:type="spellEnd"/>
            <w:r w:rsidRPr="00D5438B">
              <w:rPr>
                <w:rFonts w:ascii="Arial Narrow" w:hAnsi="Arial Narrow"/>
                <w:strike/>
                <w:snapToGrid/>
                <w:sz w:val="20"/>
                <w:szCs w:val="20"/>
              </w:rPr>
              <w:t>-occlusive disorder (VOD) / sinusoidal obstructive syndrome (SOS).</w:t>
            </w:r>
          </w:p>
        </w:tc>
      </w:tr>
    </w:tbl>
    <w:p w:rsidR="000F40FA" w:rsidRPr="002A7CC6" w:rsidRDefault="000F40FA" w:rsidP="00DD02B3">
      <w:pPr>
        <w:pStyle w:val="TableFooter"/>
      </w:pPr>
    </w:p>
    <w:p w:rsidR="006955B3" w:rsidRPr="002A7CC6" w:rsidRDefault="006955B3" w:rsidP="00007D60">
      <w:pPr>
        <w:pStyle w:val="ListParagraph"/>
        <w:widowControl/>
        <w:numPr>
          <w:ilvl w:val="1"/>
          <w:numId w:val="1"/>
        </w:numPr>
      </w:pPr>
      <w:r w:rsidRPr="002A7CC6">
        <w:t xml:space="preserve">The submission acknowledged that a special pricing arrangement applies to blinatumomab, and </w:t>
      </w:r>
      <w:r w:rsidR="00C67728" w:rsidRPr="002A7CC6">
        <w:t>requested</w:t>
      </w:r>
      <w:r w:rsidR="009A73F2" w:rsidRPr="002A7CC6">
        <w:t xml:space="preserve"> </w:t>
      </w:r>
      <w:r w:rsidRPr="002A7CC6">
        <w:t xml:space="preserve">that a similar special pricing arrangement </w:t>
      </w:r>
      <w:r w:rsidR="00C67728" w:rsidRPr="002A7CC6">
        <w:t>be</w:t>
      </w:r>
      <w:r w:rsidRPr="002A7CC6">
        <w:t xml:space="preserve"> </w:t>
      </w:r>
      <w:r w:rsidR="00CF3F05" w:rsidRPr="002A7CC6">
        <w:t xml:space="preserve">applied </w:t>
      </w:r>
      <w:r w:rsidRPr="002A7CC6">
        <w:t xml:space="preserve">to inotuzumab. </w:t>
      </w:r>
    </w:p>
    <w:p w:rsidR="006955B3" w:rsidRPr="002A7CC6" w:rsidRDefault="006955B3" w:rsidP="00007D60">
      <w:pPr>
        <w:pStyle w:val="ListParagraph"/>
        <w:widowControl/>
        <w:numPr>
          <w:ilvl w:val="1"/>
          <w:numId w:val="1"/>
        </w:numPr>
      </w:pPr>
      <w:r w:rsidRPr="002A7CC6">
        <w:t>The requested restriction limit</w:t>
      </w:r>
      <w:r w:rsidR="00750FFF">
        <w:t>ed</w:t>
      </w:r>
      <w:r w:rsidRPr="002A7CC6">
        <w:t xml:space="preserve"> the number of treatment cycles to a maximum of three cycles of initial therapy</w:t>
      </w:r>
      <w:r w:rsidR="0018476A">
        <w:t xml:space="preserve"> and</w:t>
      </w:r>
      <w:r w:rsidRPr="002A7CC6">
        <w:t xml:space="preserve"> five cycles of con</w:t>
      </w:r>
      <w:r w:rsidR="004D14C4">
        <w:t>solidation</w:t>
      </w:r>
      <w:r w:rsidRPr="002A7CC6">
        <w:t xml:space="preserve"> therapy,</w:t>
      </w:r>
      <w:r w:rsidR="008645D5">
        <w:t xml:space="preserve"> but</w:t>
      </w:r>
      <w:r w:rsidRPr="002A7CC6">
        <w:t xml:space="preserve"> with a maximum of six cycles in a lifetime.</w:t>
      </w:r>
      <w:r w:rsidR="001064C2">
        <w:t xml:space="preserve"> </w:t>
      </w:r>
      <w:r w:rsidR="0018476A">
        <w:t xml:space="preserve">This </w:t>
      </w:r>
      <w:r w:rsidR="001064C2" w:rsidRPr="00EE604E">
        <w:t>was b</w:t>
      </w:r>
      <w:r w:rsidR="0018476A">
        <w:t xml:space="preserve">ecause some patients may only </w:t>
      </w:r>
      <w:r w:rsidR="001064C2" w:rsidRPr="00EE604E">
        <w:t>requir</w:t>
      </w:r>
      <w:r w:rsidR="0018476A">
        <w:t>e</w:t>
      </w:r>
      <w:r w:rsidR="001064C2" w:rsidRPr="00EE604E">
        <w:t xml:space="preserve"> one cycle in the initial setting</w:t>
      </w:r>
      <w:r w:rsidR="0018476A">
        <w:t xml:space="preserve"> </w:t>
      </w:r>
      <w:r w:rsidR="00192FA4">
        <w:t xml:space="preserve">before </w:t>
      </w:r>
      <w:r w:rsidR="001064C2" w:rsidRPr="00EE604E">
        <w:t>achiev</w:t>
      </w:r>
      <w:r w:rsidR="00192FA4">
        <w:t>ing</w:t>
      </w:r>
      <w:r w:rsidR="001064C2" w:rsidRPr="00EE604E">
        <w:t xml:space="preserve"> </w:t>
      </w:r>
      <w:r w:rsidR="0018476A">
        <w:t xml:space="preserve">a </w:t>
      </w:r>
      <w:r w:rsidR="001064C2" w:rsidRPr="00EE604E">
        <w:t xml:space="preserve">CR or </w:t>
      </w:r>
      <w:proofErr w:type="spellStart"/>
      <w:r w:rsidR="001064C2" w:rsidRPr="00EE604E">
        <w:t>CRi</w:t>
      </w:r>
      <w:proofErr w:type="spellEnd"/>
      <w:r w:rsidR="00192FA4">
        <w:t xml:space="preserve"> and moving</w:t>
      </w:r>
      <w:r w:rsidR="0018476A">
        <w:t xml:space="preserve"> onto the con</w:t>
      </w:r>
      <w:r w:rsidR="004D14C4">
        <w:t>solidation</w:t>
      </w:r>
      <w:r w:rsidR="0018476A">
        <w:t xml:space="preserve"> dosing regimen. The proposed maximum number of cycles in each setting was appropriate g</w:t>
      </w:r>
      <w:r w:rsidR="00EE604E" w:rsidRPr="00EE604E">
        <w:t>iven the differences in dosing between the induction and con</w:t>
      </w:r>
      <w:r w:rsidR="004D14C4">
        <w:t>solidation</w:t>
      </w:r>
      <w:r w:rsidR="00EE604E" w:rsidRPr="00EE604E">
        <w:t xml:space="preserve"> settings</w:t>
      </w:r>
      <w:r w:rsidR="0018476A">
        <w:t>.</w:t>
      </w:r>
      <w:r w:rsidR="00EE604E" w:rsidRPr="00EE604E">
        <w:t xml:space="preserve"> </w:t>
      </w:r>
      <w:r w:rsidR="0018476A" w:rsidRPr="00EE604E">
        <w:t>To</w:t>
      </w:r>
      <w:r w:rsidR="0018476A">
        <w:t xml:space="preserve"> clarify the intent</w:t>
      </w:r>
      <w:r w:rsidR="00E342ED">
        <w:t>,</w:t>
      </w:r>
      <w:r w:rsidR="0018476A" w:rsidRPr="00EE604E">
        <w:t xml:space="preserve"> </w:t>
      </w:r>
      <w:r w:rsidR="00192FA4">
        <w:t xml:space="preserve">administrative advice has been included in </w:t>
      </w:r>
      <w:r w:rsidR="0018476A">
        <w:t xml:space="preserve">the initial restriction </w:t>
      </w:r>
      <w:r w:rsidR="00192FA4">
        <w:t>to</w:t>
      </w:r>
      <w:r w:rsidR="0018476A">
        <w:t xml:space="preserve"> outlin</w:t>
      </w:r>
      <w:r w:rsidR="00192FA4">
        <w:t>e</w:t>
      </w:r>
      <w:r w:rsidR="0018476A">
        <w:t xml:space="preserve"> that o</w:t>
      </w:r>
      <w:r w:rsidR="00EE604E" w:rsidRPr="00EE604E">
        <w:t xml:space="preserve">nce a patient achieves </w:t>
      </w:r>
      <w:r w:rsidR="0018476A" w:rsidRPr="00EE604E">
        <w:t xml:space="preserve">CR or </w:t>
      </w:r>
      <w:proofErr w:type="spellStart"/>
      <w:r w:rsidR="0018476A" w:rsidRPr="00EE604E">
        <w:t>CRi</w:t>
      </w:r>
      <w:proofErr w:type="spellEnd"/>
      <w:r w:rsidR="00EE604E" w:rsidRPr="00EE604E">
        <w:t>, a new prescription must be written under the con</w:t>
      </w:r>
      <w:r w:rsidR="004D14C4">
        <w:t>solidation</w:t>
      </w:r>
      <w:r w:rsidR="00EE604E" w:rsidRPr="00EE604E">
        <w:t xml:space="preserve"> treatment phase</w:t>
      </w:r>
      <w:r w:rsidR="008645D5" w:rsidRPr="00EE604E">
        <w:t>.</w:t>
      </w:r>
      <w:r w:rsidR="001064C2" w:rsidRPr="00EE604E">
        <w:t xml:space="preserve"> </w:t>
      </w:r>
    </w:p>
    <w:p w:rsidR="008F733D" w:rsidRDefault="008F733D" w:rsidP="007D583E">
      <w:pPr>
        <w:pStyle w:val="ListParagraph"/>
        <w:widowControl/>
        <w:numPr>
          <w:ilvl w:val="1"/>
          <w:numId w:val="1"/>
        </w:numPr>
        <w:spacing w:after="120"/>
        <w:rPr>
          <w:szCs w:val="24"/>
        </w:rPr>
      </w:pPr>
      <w:r>
        <w:t>The PBAC considered that the inotuzumab restriction should be consistent with the</w:t>
      </w:r>
      <w:r w:rsidR="00193B30">
        <w:t xml:space="preserve"> existing</w:t>
      </w:r>
      <w:r>
        <w:t xml:space="preserve"> blinatumomab restriction</w:t>
      </w:r>
      <w:r w:rsidR="00193B30">
        <w:t xml:space="preserve"> </w:t>
      </w:r>
      <w:r w:rsidR="0050185D">
        <w:t>where</w:t>
      </w:r>
      <w:r w:rsidR="00193B30">
        <w:t xml:space="preserve"> possible. In particular, the PBAC considered the two restrictions should be consistent or parallel </w:t>
      </w:r>
      <w:r>
        <w:t>regarding:</w:t>
      </w:r>
      <w:r w:rsidRPr="008F733D">
        <w:rPr>
          <w:szCs w:val="24"/>
        </w:rPr>
        <w:t xml:space="preserve"> </w:t>
      </w:r>
    </w:p>
    <w:p w:rsidR="008F733D" w:rsidRDefault="0050185D" w:rsidP="002F52BF">
      <w:pPr>
        <w:pStyle w:val="ListParagraph"/>
        <w:widowControl/>
        <w:numPr>
          <w:ilvl w:val="0"/>
          <w:numId w:val="9"/>
        </w:numPr>
        <w:snapToGrid w:val="0"/>
        <w:spacing w:after="0"/>
        <w:ind w:left="1077" w:hanging="357"/>
        <w:rPr>
          <w:szCs w:val="24"/>
        </w:rPr>
      </w:pPr>
      <w:r>
        <w:rPr>
          <w:szCs w:val="24"/>
        </w:rPr>
        <w:t xml:space="preserve">Age criteria. </w:t>
      </w:r>
      <w:r w:rsidR="008F733D" w:rsidRPr="002A7CC6">
        <w:rPr>
          <w:szCs w:val="24"/>
        </w:rPr>
        <w:t xml:space="preserve">The blinatumomab listing does not specify an age criterion while the requested inotuzumab restriction </w:t>
      </w:r>
      <w:r w:rsidR="008F733D" w:rsidRPr="002F52BF">
        <w:t>limit</w:t>
      </w:r>
      <w:r w:rsidR="002F52BF">
        <w:t>ed</w:t>
      </w:r>
      <w:r w:rsidR="008F733D" w:rsidRPr="002A7CC6">
        <w:rPr>
          <w:szCs w:val="24"/>
        </w:rPr>
        <w:t xml:space="preserve"> use to patients aged 18 years and over. </w:t>
      </w:r>
      <w:r w:rsidR="002F52BF" w:rsidRPr="002F52BF">
        <w:rPr>
          <w:szCs w:val="24"/>
        </w:rPr>
        <w:t xml:space="preserve">This difference was based on: the TGA-registered indication for inotuzumab, which states that it is for the treatment of adults; and the </w:t>
      </w:r>
      <w:r w:rsidR="007D7344">
        <w:rPr>
          <w:szCs w:val="24"/>
        </w:rPr>
        <w:t>INO-VATE ALL</w:t>
      </w:r>
      <w:r w:rsidR="002F52BF" w:rsidRPr="002F52BF">
        <w:rPr>
          <w:szCs w:val="24"/>
        </w:rPr>
        <w:t xml:space="preserve"> trial of inotuzumab, which was conducted in patients aged 18 years and over. However</w:t>
      </w:r>
      <w:r w:rsidR="0087039F">
        <w:rPr>
          <w:szCs w:val="24"/>
        </w:rPr>
        <w:t>, t</w:t>
      </w:r>
      <w:r w:rsidR="008F733D">
        <w:rPr>
          <w:szCs w:val="24"/>
        </w:rPr>
        <w:t xml:space="preserve">he PBAC considered that there may be a clinical role for inotuzumab in patients aged </w:t>
      </w:r>
      <w:r w:rsidR="00082F8A">
        <w:rPr>
          <w:szCs w:val="24"/>
        </w:rPr>
        <w:t xml:space="preserve">less than </w:t>
      </w:r>
      <w:r w:rsidR="008F733D">
        <w:rPr>
          <w:szCs w:val="24"/>
        </w:rPr>
        <w:t>18 years and considered that the restriction should not specify an age criteria.</w:t>
      </w:r>
    </w:p>
    <w:p w:rsidR="008F733D" w:rsidRDefault="00193B30" w:rsidP="000C404A">
      <w:pPr>
        <w:pStyle w:val="ListParagraph"/>
        <w:widowControl/>
        <w:numPr>
          <w:ilvl w:val="0"/>
          <w:numId w:val="9"/>
        </w:numPr>
        <w:snapToGrid w:val="0"/>
        <w:spacing w:after="0"/>
        <w:ind w:left="1077" w:hanging="357"/>
      </w:pPr>
      <w:r>
        <w:t>T</w:t>
      </w:r>
      <w:r w:rsidR="008F733D" w:rsidRPr="008F733D">
        <w:t xml:space="preserve">he definitions of CR or </w:t>
      </w:r>
      <w:proofErr w:type="spellStart"/>
      <w:r w:rsidR="008F733D" w:rsidRPr="008F733D">
        <w:t>CRi</w:t>
      </w:r>
      <w:proofErr w:type="spellEnd"/>
      <w:r w:rsidR="008F733D" w:rsidRPr="008F733D">
        <w:t xml:space="preserve"> </w:t>
      </w:r>
      <w:r w:rsidR="007D583E">
        <w:t xml:space="preserve">in the proposed inotuzumab restriction </w:t>
      </w:r>
      <w:r w:rsidR="0087039F">
        <w:t xml:space="preserve">should </w:t>
      </w:r>
      <w:r w:rsidR="008F733D" w:rsidRPr="008F733D">
        <w:t>be amended to align with those included in the blinatumomab restriction.</w:t>
      </w:r>
    </w:p>
    <w:p w:rsidR="00B87732" w:rsidRPr="002A7CC6" w:rsidRDefault="00B87732" w:rsidP="000C404A">
      <w:pPr>
        <w:pStyle w:val="ListParagraph"/>
        <w:widowControl/>
        <w:numPr>
          <w:ilvl w:val="0"/>
          <w:numId w:val="9"/>
        </w:numPr>
        <w:snapToGrid w:val="0"/>
        <w:spacing w:after="0"/>
        <w:ind w:left="1077" w:hanging="357"/>
        <w:rPr>
          <w:szCs w:val="24"/>
        </w:rPr>
      </w:pPr>
      <w:r w:rsidRPr="002A7CC6">
        <w:rPr>
          <w:szCs w:val="24"/>
        </w:rPr>
        <w:t xml:space="preserve">The blinatumomab restriction cautions that careful monitoring of patients is required due to </w:t>
      </w:r>
      <w:r w:rsidR="0087039F">
        <w:rPr>
          <w:szCs w:val="24"/>
        </w:rPr>
        <w:t xml:space="preserve">the </w:t>
      </w:r>
      <w:r w:rsidRPr="002A7CC6">
        <w:rPr>
          <w:szCs w:val="24"/>
        </w:rPr>
        <w:t xml:space="preserve">risk of developing life-threatening Cytokine Release Syndrome, </w:t>
      </w:r>
      <w:r w:rsidRPr="0087039F">
        <w:rPr>
          <w:szCs w:val="24"/>
        </w:rPr>
        <w:t xml:space="preserve">neurological toxicities and reactivation of John Cunningham virus (JC) infection. The PBAC considered that a parallel caution is required in the inotuzumab restriction regarding the risk of hepatotoxicity, including fatal and life‐threatening hepatic </w:t>
      </w:r>
      <w:proofErr w:type="spellStart"/>
      <w:r w:rsidRPr="0087039F">
        <w:rPr>
          <w:szCs w:val="24"/>
        </w:rPr>
        <w:t>veno</w:t>
      </w:r>
      <w:proofErr w:type="spellEnd"/>
      <w:r w:rsidRPr="0087039F">
        <w:rPr>
          <w:szCs w:val="24"/>
        </w:rPr>
        <w:t>-occlusive disease</w:t>
      </w:r>
      <w:r w:rsidR="00490803">
        <w:rPr>
          <w:szCs w:val="24"/>
        </w:rPr>
        <w:t xml:space="preserve"> (VOD)</w:t>
      </w:r>
      <w:r w:rsidRPr="0087039F">
        <w:rPr>
          <w:szCs w:val="24"/>
        </w:rPr>
        <w:t xml:space="preserve">, </w:t>
      </w:r>
      <w:r w:rsidR="0087039F" w:rsidRPr="0087039F">
        <w:rPr>
          <w:szCs w:val="24"/>
        </w:rPr>
        <w:t>and the increased risk of post-HSCT non-relapse mortality</w:t>
      </w:r>
      <w:r w:rsidR="0087039F">
        <w:rPr>
          <w:szCs w:val="24"/>
        </w:rPr>
        <w:t>, f</w:t>
      </w:r>
      <w:r w:rsidRPr="0087039F">
        <w:rPr>
          <w:szCs w:val="24"/>
        </w:rPr>
        <w:t xml:space="preserve">or which there </w:t>
      </w:r>
      <w:r w:rsidR="0087039F">
        <w:rPr>
          <w:szCs w:val="24"/>
        </w:rPr>
        <w:t>are</w:t>
      </w:r>
      <w:r w:rsidRPr="0087039F">
        <w:rPr>
          <w:szCs w:val="24"/>
        </w:rPr>
        <w:t xml:space="preserve"> black box warning</w:t>
      </w:r>
      <w:r w:rsidR="0087039F">
        <w:rPr>
          <w:szCs w:val="24"/>
        </w:rPr>
        <w:t>s</w:t>
      </w:r>
      <w:r w:rsidRPr="0087039F">
        <w:rPr>
          <w:szCs w:val="24"/>
        </w:rPr>
        <w:t xml:space="preserve"> in the inotuzumab Product Information. </w:t>
      </w:r>
    </w:p>
    <w:p w:rsidR="00B87732" w:rsidRDefault="00193B30" w:rsidP="00C2389F">
      <w:pPr>
        <w:pStyle w:val="ListParagraph"/>
        <w:widowControl/>
        <w:numPr>
          <w:ilvl w:val="0"/>
          <w:numId w:val="9"/>
        </w:numPr>
        <w:snapToGrid w:val="0"/>
        <w:spacing w:after="0"/>
        <w:ind w:left="1077" w:hanging="357"/>
      </w:pPr>
      <w:r>
        <w:t xml:space="preserve">The PBAC </w:t>
      </w:r>
      <w:r w:rsidRPr="00B87732">
        <w:t>consider</w:t>
      </w:r>
      <w:r>
        <w:t>ed that</w:t>
      </w:r>
      <w:r w:rsidRPr="00B87732">
        <w:t xml:space="preserve"> a note explaining the recommended dosing</w:t>
      </w:r>
      <w:r w:rsidR="00AE0989">
        <w:t xml:space="preserve"> of inotuzumab </w:t>
      </w:r>
      <w:r w:rsidRPr="00B87732">
        <w:t>should be included in the Prescriber Instructions</w:t>
      </w:r>
      <w:r w:rsidR="00AE0989" w:rsidRPr="00AE0989">
        <w:t xml:space="preserve"> </w:t>
      </w:r>
      <w:r w:rsidR="00AE0989">
        <w:t xml:space="preserve">in the initial setting. </w:t>
      </w:r>
      <w:r w:rsidR="00B87732" w:rsidRPr="00B87732">
        <w:lastRenderedPageBreak/>
        <w:t>The recommended dose of inotuzumab</w:t>
      </w:r>
      <w:r w:rsidR="00AE0989">
        <w:t xml:space="preserve"> </w:t>
      </w:r>
      <w:r w:rsidR="00B87732" w:rsidRPr="00B87732">
        <w:t>is 0.5 mg/m</w:t>
      </w:r>
      <w:r w:rsidR="00B87732" w:rsidRPr="00AE0989">
        <w:rPr>
          <w:vertAlign w:val="superscript"/>
        </w:rPr>
        <w:t>2</w:t>
      </w:r>
      <w:r w:rsidR="00B87732" w:rsidRPr="00B87732">
        <w:t xml:space="preserve"> per dose, except a higher dose (0.8 mg/m</w:t>
      </w:r>
      <w:r w:rsidR="00B87732" w:rsidRPr="00AE0989">
        <w:rPr>
          <w:vertAlign w:val="superscript"/>
        </w:rPr>
        <w:t>2</w:t>
      </w:r>
      <w:r w:rsidR="00B87732" w:rsidRPr="00B87732">
        <w:t xml:space="preserve">) is recommended on Day 1 of Cycle 1, and also on Day 1 of Cycles 2 and 3 if CR or </w:t>
      </w:r>
      <w:proofErr w:type="spellStart"/>
      <w:r w:rsidR="00B87732" w:rsidRPr="00B87732">
        <w:t>CRi</w:t>
      </w:r>
      <w:proofErr w:type="spellEnd"/>
      <w:r w:rsidR="00B87732" w:rsidRPr="00B87732">
        <w:t xml:space="preserve"> is not achieved. </w:t>
      </w:r>
    </w:p>
    <w:p w:rsidR="00C2389F" w:rsidRDefault="00C2389F" w:rsidP="0087039F">
      <w:pPr>
        <w:pStyle w:val="ListParagraph"/>
        <w:widowControl/>
        <w:numPr>
          <w:ilvl w:val="0"/>
          <w:numId w:val="9"/>
        </w:numPr>
        <w:snapToGrid w:val="0"/>
        <w:spacing w:after="120"/>
        <w:ind w:left="1077" w:hanging="357"/>
      </w:pPr>
      <w:r>
        <w:t xml:space="preserve">Each drug should only be permitted to be used for one course per lifetime. </w:t>
      </w:r>
    </w:p>
    <w:p w:rsidR="00C67728" w:rsidRDefault="00C67728" w:rsidP="00007D60">
      <w:pPr>
        <w:pStyle w:val="ListParagraph"/>
        <w:widowControl/>
        <w:numPr>
          <w:ilvl w:val="1"/>
          <w:numId w:val="1"/>
        </w:numPr>
      </w:pPr>
      <w:r w:rsidRPr="002A7CC6">
        <w:t xml:space="preserve">The requested restriction for initiation of inotuzumab requires </w:t>
      </w:r>
      <w:r w:rsidR="003764FF">
        <w:t xml:space="preserve">patients to have </w:t>
      </w:r>
      <w:r w:rsidRPr="002A7CC6">
        <w:t>a</w:t>
      </w:r>
      <w:r w:rsidR="00121BE3" w:rsidRPr="002A7CC6">
        <w:t>n</w:t>
      </w:r>
      <w:r w:rsidRPr="002A7CC6">
        <w:t xml:space="preserve"> ECOG </w:t>
      </w:r>
      <w:r w:rsidR="006370E1" w:rsidRPr="002A7CC6">
        <w:t>status</w:t>
      </w:r>
      <w:r w:rsidR="002E3752" w:rsidRPr="002A7CC6">
        <w:t xml:space="preserve"> of ≤ 2, </w:t>
      </w:r>
      <w:r w:rsidRPr="002A7CC6">
        <w:t>consistent with the inclusion criteria of the</w:t>
      </w:r>
      <w:r w:rsidR="002E3752" w:rsidRPr="002A7CC6">
        <w:t xml:space="preserve"> </w:t>
      </w:r>
      <w:r w:rsidR="007D7344">
        <w:t>INO-VATE ALL</w:t>
      </w:r>
      <w:r w:rsidR="002E3752" w:rsidRPr="002A7CC6">
        <w:t xml:space="preserve"> and TOWER trials.</w:t>
      </w:r>
      <w:r w:rsidRPr="002A7CC6">
        <w:t xml:space="preserve"> </w:t>
      </w:r>
      <w:r w:rsidR="00B12BCA" w:rsidRPr="002A7CC6">
        <w:t>However, t</w:t>
      </w:r>
      <w:r w:rsidRPr="002A7CC6">
        <w:t xml:space="preserve">he </w:t>
      </w:r>
      <w:r w:rsidR="002E3752" w:rsidRPr="002A7CC6">
        <w:t xml:space="preserve">current </w:t>
      </w:r>
      <w:r w:rsidRPr="002A7CC6">
        <w:t xml:space="preserve">blinatumomab listing </w:t>
      </w:r>
      <w:r w:rsidR="006370E1" w:rsidRPr="002A7CC6">
        <w:t>require</w:t>
      </w:r>
      <w:r w:rsidR="00556B1B" w:rsidRPr="002A7CC6">
        <w:t>s</w:t>
      </w:r>
      <w:r w:rsidRPr="002A7CC6">
        <w:t xml:space="preserve"> an ECOG </w:t>
      </w:r>
      <w:r w:rsidR="006370E1" w:rsidRPr="002A7CC6">
        <w:t>status</w:t>
      </w:r>
      <w:r w:rsidRPr="002A7CC6">
        <w:t xml:space="preserve"> of &lt; 2</w:t>
      </w:r>
      <w:r w:rsidR="0050185D">
        <w:t xml:space="preserve"> (i.e. </w:t>
      </w:r>
      <w:r w:rsidR="007D583E">
        <w:t xml:space="preserve">it </w:t>
      </w:r>
      <w:r w:rsidR="0050185D">
        <w:t>does not include patients with an ECOG status of 2)</w:t>
      </w:r>
      <w:r w:rsidR="002E3752" w:rsidRPr="002A7CC6">
        <w:t>, reflecting a narrower population with less severe</w:t>
      </w:r>
      <w:r w:rsidR="00121BE3" w:rsidRPr="002A7CC6">
        <w:t>/</w:t>
      </w:r>
      <w:r w:rsidR="002E3752" w:rsidRPr="002A7CC6">
        <w:t>progressed disease</w:t>
      </w:r>
      <w:r w:rsidR="00E86B2D" w:rsidRPr="002A7CC6">
        <w:t>.</w:t>
      </w:r>
      <w:r w:rsidRPr="002A7CC6">
        <w:t xml:space="preserve"> </w:t>
      </w:r>
      <w:r w:rsidR="00432779" w:rsidRPr="002A7CC6">
        <w:t xml:space="preserve">The </w:t>
      </w:r>
      <w:r w:rsidR="00276E99" w:rsidRPr="002A7CC6">
        <w:t xml:space="preserve">PSCR </w:t>
      </w:r>
      <w:r w:rsidR="00432779" w:rsidRPr="002A7CC6">
        <w:t xml:space="preserve">re-iterated that listing was requested for </w:t>
      </w:r>
      <w:r w:rsidR="00276E99" w:rsidRPr="002A7CC6">
        <w:t>patients with ECOG status of ≤ 2, stating that 13% to 15% of patients in the</w:t>
      </w:r>
      <w:r w:rsidR="00432779" w:rsidRPr="002A7CC6">
        <w:t xml:space="preserve"> key</w:t>
      </w:r>
      <w:r w:rsidR="00276E99" w:rsidRPr="002A7CC6">
        <w:t xml:space="preserve"> trial</w:t>
      </w:r>
      <w:r w:rsidR="00432779" w:rsidRPr="002A7CC6">
        <w:t>s</w:t>
      </w:r>
      <w:r w:rsidR="00276E99" w:rsidRPr="002A7CC6">
        <w:t xml:space="preserve"> had an ECOG</w:t>
      </w:r>
      <w:r w:rsidR="00432779" w:rsidRPr="002A7CC6">
        <w:t xml:space="preserve"> status</w:t>
      </w:r>
      <w:r w:rsidR="00276E99" w:rsidRPr="002A7CC6">
        <w:t xml:space="preserve"> of 2. The ESC considered</w:t>
      </w:r>
      <w:r w:rsidR="00432779" w:rsidRPr="002A7CC6">
        <w:t xml:space="preserve"> that assessment of</w:t>
      </w:r>
      <w:r w:rsidR="00276E99" w:rsidRPr="002A7CC6">
        <w:t xml:space="preserve"> </w:t>
      </w:r>
      <w:r w:rsidR="00432779" w:rsidRPr="002A7CC6">
        <w:t xml:space="preserve">ECOG status could be subjective </w:t>
      </w:r>
      <w:r w:rsidR="00174C8A" w:rsidRPr="002A7CC6">
        <w:t>and, in clinical practice, this criterion was unlikely to restrict use</w:t>
      </w:r>
      <w:r w:rsidR="00276E99" w:rsidRPr="002A7CC6">
        <w:t>.</w:t>
      </w:r>
      <w:r w:rsidR="003764FF">
        <w:t xml:space="preserve"> The PBAC considered that it would be appropriate to allow inotuzumab </w:t>
      </w:r>
      <w:r w:rsidR="00E177C1">
        <w:t>and</w:t>
      </w:r>
      <w:r w:rsidR="003764FF">
        <w:t xml:space="preserve"> blinatumomab to be used in patients with ECOG status of </w:t>
      </w:r>
      <w:r w:rsidR="00B87732" w:rsidRPr="002A7CC6">
        <w:t xml:space="preserve">≤ </w:t>
      </w:r>
      <w:r w:rsidR="003764FF">
        <w:t xml:space="preserve">2, and noted that this would require </w:t>
      </w:r>
      <w:r w:rsidR="001E75CE">
        <w:t xml:space="preserve">an </w:t>
      </w:r>
      <w:r w:rsidR="003764FF">
        <w:t xml:space="preserve">amendment to </w:t>
      </w:r>
      <w:r w:rsidR="001E75CE">
        <w:t xml:space="preserve">extend </w:t>
      </w:r>
      <w:r w:rsidR="003764FF">
        <w:t xml:space="preserve">the existing restriction for blinatumomab. </w:t>
      </w:r>
    </w:p>
    <w:p w:rsidR="00B87732" w:rsidRDefault="0050185D" w:rsidP="002E6054">
      <w:pPr>
        <w:pStyle w:val="ListParagraph"/>
        <w:widowControl/>
        <w:numPr>
          <w:ilvl w:val="1"/>
          <w:numId w:val="1"/>
        </w:numPr>
      </w:pPr>
      <w:r>
        <w:t>T</w:t>
      </w:r>
      <w:r w:rsidR="00035737">
        <w:t xml:space="preserve">he </w:t>
      </w:r>
      <w:r>
        <w:t>PBAC considered that the inotuzumab restriction should only allow use in first or second salvage, consistent with the</w:t>
      </w:r>
      <w:r w:rsidR="001E75CE">
        <w:t xml:space="preserve"> inclusion criteria in the</w:t>
      </w:r>
      <w:r>
        <w:t xml:space="preserve"> </w:t>
      </w:r>
      <w:r w:rsidR="007D7344">
        <w:t>INO-VATE ALL</w:t>
      </w:r>
      <w:r w:rsidR="00035737">
        <w:t xml:space="preserve"> trial. </w:t>
      </w:r>
      <w:r w:rsidR="002E6054" w:rsidRPr="002E6054">
        <w:t>The PBAC noted that blinatumomab is currently subsidised for use in any line of salvage</w:t>
      </w:r>
      <w:r w:rsidR="002E6054">
        <w:t>.</w:t>
      </w:r>
      <w:r w:rsidR="002E6054" w:rsidRPr="002E6054">
        <w:t xml:space="preserve"> </w:t>
      </w:r>
      <w:r w:rsidR="00035737">
        <w:t xml:space="preserve">While the PBAC noted that </w:t>
      </w:r>
      <w:r w:rsidR="00022E51">
        <w:t>p</w:t>
      </w:r>
      <w:r w:rsidR="00035737">
        <w:t>atients in third or later salvage</w:t>
      </w:r>
      <w:r w:rsidR="00022E51">
        <w:t xml:space="preserve"> were</w:t>
      </w:r>
      <w:r w:rsidR="00035737">
        <w:t xml:space="preserve"> included in the TOWER trial of blinatumomab, it recalled that </w:t>
      </w:r>
      <w:r w:rsidR="00F82BDE">
        <w:t xml:space="preserve">pre-specified </w:t>
      </w:r>
      <w:r w:rsidR="00035737">
        <w:t xml:space="preserve">subgroup analyses had indicated </w:t>
      </w:r>
      <w:r w:rsidR="00E177C1">
        <w:t xml:space="preserve">that blinatumomab </w:t>
      </w:r>
      <w:r w:rsidR="00035737">
        <w:t xml:space="preserve">was </w:t>
      </w:r>
      <w:r w:rsidR="00E177C1">
        <w:t xml:space="preserve">associated with </w:t>
      </w:r>
      <w:r w:rsidR="007D583E">
        <w:t>an uncertain impact on</w:t>
      </w:r>
      <w:r w:rsidR="00E177C1">
        <w:t xml:space="preserve"> overall survival</w:t>
      </w:r>
      <w:r w:rsidR="00035737">
        <w:t xml:space="preserve"> </w:t>
      </w:r>
      <w:r w:rsidR="00E177C1">
        <w:t xml:space="preserve">when used </w:t>
      </w:r>
      <w:r w:rsidR="00035737">
        <w:t xml:space="preserve">in </w:t>
      </w:r>
      <w:r w:rsidR="00E177C1">
        <w:t xml:space="preserve">the </w:t>
      </w:r>
      <w:r w:rsidR="00035737">
        <w:t>third o</w:t>
      </w:r>
      <w:r w:rsidR="00F82BDE">
        <w:t>r</w:t>
      </w:r>
      <w:r w:rsidR="00035737">
        <w:t xml:space="preserve"> later salvage settings</w:t>
      </w:r>
      <w:r w:rsidR="00E20A02">
        <w:t xml:space="preserve"> (</w:t>
      </w:r>
      <w:proofErr w:type="spellStart"/>
      <w:r w:rsidR="00E20A02" w:rsidRPr="00E20A02">
        <w:t>Kantarjian</w:t>
      </w:r>
      <w:proofErr w:type="spellEnd"/>
      <w:r w:rsidR="00E20A02" w:rsidRPr="00E20A02">
        <w:t xml:space="preserve"> 2017)</w:t>
      </w:r>
      <w:r w:rsidR="00E20A02">
        <w:rPr>
          <w:rStyle w:val="FootnoteReference"/>
          <w:rFonts w:ascii="Arial Narrow" w:hAnsi="Arial Narrow"/>
          <w:sz w:val="20"/>
          <w:szCs w:val="20"/>
        </w:rPr>
        <w:footnoteReference w:id="1"/>
      </w:r>
      <w:r w:rsidR="00035737">
        <w:t>.</w:t>
      </w:r>
      <w:r w:rsidR="00F82BDE">
        <w:t xml:space="preserve"> Thus, the PBAC considered that the PBS restriction for blinatumomab should be updated to allow use </w:t>
      </w:r>
      <w:r w:rsidR="007D583E">
        <w:t xml:space="preserve">only </w:t>
      </w:r>
      <w:r w:rsidR="00F82BDE">
        <w:t>in first and second salvage, consistent with the restriction recommended for inotuzumab</w:t>
      </w:r>
      <w:r w:rsidR="00E177C1">
        <w:t>,</w:t>
      </w:r>
      <w:r w:rsidR="00F82BDE">
        <w:t xml:space="preserve"> and in line with the </w:t>
      </w:r>
      <w:r w:rsidR="008019BB">
        <w:t xml:space="preserve">population for whom the clinical evidence suggests there is likely to be the most benefit. </w:t>
      </w:r>
      <w:r w:rsidR="00607503">
        <w:t>The PBAC considered this change was necessary because, with a second agent available, the number of patients proceeding to third or later salvage will increase over time.</w:t>
      </w:r>
    </w:p>
    <w:p w:rsidR="00A72040" w:rsidRPr="002A7CC6" w:rsidRDefault="00A72040" w:rsidP="007D583E">
      <w:pPr>
        <w:pStyle w:val="ListParagraph"/>
        <w:widowControl/>
        <w:numPr>
          <w:ilvl w:val="1"/>
          <w:numId w:val="1"/>
        </w:numPr>
        <w:spacing w:after="120"/>
        <w:rPr>
          <w:szCs w:val="24"/>
        </w:rPr>
      </w:pPr>
      <w:r w:rsidRPr="002A7CC6">
        <w:rPr>
          <w:szCs w:val="24"/>
        </w:rPr>
        <w:t xml:space="preserve">The </w:t>
      </w:r>
      <w:r>
        <w:rPr>
          <w:szCs w:val="24"/>
        </w:rPr>
        <w:t xml:space="preserve">PBAC considered that the </w:t>
      </w:r>
      <w:r w:rsidR="00E177C1">
        <w:rPr>
          <w:szCs w:val="24"/>
        </w:rPr>
        <w:t xml:space="preserve">aspects of the </w:t>
      </w:r>
      <w:r>
        <w:rPr>
          <w:szCs w:val="24"/>
        </w:rPr>
        <w:t>inotuzumab</w:t>
      </w:r>
      <w:r w:rsidRPr="002A7CC6">
        <w:rPr>
          <w:szCs w:val="24"/>
        </w:rPr>
        <w:t xml:space="preserve"> restriction </w:t>
      </w:r>
      <w:r w:rsidR="00E177C1">
        <w:rPr>
          <w:szCs w:val="24"/>
        </w:rPr>
        <w:t xml:space="preserve">that </w:t>
      </w:r>
      <w:r w:rsidR="0047718C">
        <w:rPr>
          <w:szCs w:val="24"/>
        </w:rPr>
        <w:t xml:space="preserve">were </w:t>
      </w:r>
      <w:r w:rsidR="00B96190">
        <w:rPr>
          <w:szCs w:val="24"/>
        </w:rPr>
        <w:t xml:space="preserve">not </w:t>
      </w:r>
      <w:r w:rsidR="0047718C">
        <w:rPr>
          <w:szCs w:val="24"/>
        </w:rPr>
        <w:t>appropriate to align</w:t>
      </w:r>
      <w:r w:rsidRPr="002A7CC6">
        <w:rPr>
          <w:szCs w:val="24"/>
        </w:rPr>
        <w:t xml:space="preserve"> with the blinatumomab </w:t>
      </w:r>
      <w:r w:rsidR="00607503">
        <w:rPr>
          <w:szCs w:val="24"/>
        </w:rPr>
        <w:t>restriction</w:t>
      </w:r>
      <w:r w:rsidR="00E177C1">
        <w:rPr>
          <w:szCs w:val="24"/>
        </w:rPr>
        <w:t xml:space="preserve"> are</w:t>
      </w:r>
      <w:r w:rsidRPr="002A7CC6">
        <w:rPr>
          <w:szCs w:val="24"/>
        </w:rPr>
        <w:t>:</w:t>
      </w:r>
    </w:p>
    <w:p w:rsidR="00A72040" w:rsidRPr="002A7CC6" w:rsidRDefault="00B96190" w:rsidP="00A72040">
      <w:pPr>
        <w:pStyle w:val="ListParagraph"/>
        <w:widowControl/>
        <w:numPr>
          <w:ilvl w:val="0"/>
          <w:numId w:val="9"/>
        </w:numPr>
        <w:snapToGrid w:val="0"/>
        <w:spacing w:after="0"/>
        <w:ind w:left="1077" w:hanging="357"/>
        <w:rPr>
          <w:szCs w:val="24"/>
        </w:rPr>
      </w:pPr>
      <w:r>
        <w:rPr>
          <w:szCs w:val="24"/>
        </w:rPr>
        <w:t xml:space="preserve">Proof of target expression: </w:t>
      </w:r>
      <w:r w:rsidR="00A72040" w:rsidRPr="002A7CC6">
        <w:rPr>
          <w:szCs w:val="24"/>
        </w:rPr>
        <w:t>The inotuzumab restriction</w:t>
      </w:r>
      <w:r w:rsidR="00A72040">
        <w:rPr>
          <w:szCs w:val="24"/>
        </w:rPr>
        <w:t xml:space="preserve"> should</w:t>
      </w:r>
      <w:r w:rsidR="00A72040" w:rsidRPr="002A7CC6">
        <w:rPr>
          <w:szCs w:val="24"/>
        </w:rPr>
        <w:t xml:space="preserve"> limit treatment to patients with CD22 expression</w:t>
      </w:r>
      <w:r w:rsidR="00785D4A">
        <w:rPr>
          <w:szCs w:val="24"/>
        </w:rPr>
        <w:t xml:space="preserve">, </w:t>
      </w:r>
      <w:r w:rsidR="007D583E">
        <w:rPr>
          <w:szCs w:val="24"/>
        </w:rPr>
        <w:t xml:space="preserve">consistent with the mechanism of action of inotuzumab and the inclusion criteria in the </w:t>
      </w:r>
      <w:r w:rsidR="007D7344">
        <w:rPr>
          <w:szCs w:val="24"/>
        </w:rPr>
        <w:t>INO-VATE ALL</w:t>
      </w:r>
      <w:r w:rsidR="007D583E">
        <w:rPr>
          <w:szCs w:val="24"/>
        </w:rPr>
        <w:t xml:space="preserve"> trial. </w:t>
      </w:r>
      <w:r w:rsidR="007453CB">
        <w:rPr>
          <w:szCs w:val="24"/>
        </w:rPr>
        <w:t>T</w:t>
      </w:r>
      <w:r w:rsidR="00785D4A">
        <w:rPr>
          <w:szCs w:val="24"/>
        </w:rPr>
        <w:t>here is no such</w:t>
      </w:r>
      <w:r w:rsidR="007453CB">
        <w:rPr>
          <w:szCs w:val="24"/>
        </w:rPr>
        <w:t xml:space="preserve"> criterion</w:t>
      </w:r>
      <w:r w:rsidR="00785D4A">
        <w:rPr>
          <w:szCs w:val="24"/>
        </w:rPr>
        <w:t xml:space="preserve"> in the blinatumomab restriction</w:t>
      </w:r>
      <w:r w:rsidR="00A72040" w:rsidRPr="002A7CC6">
        <w:rPr>
          <w:szCs w:val="24"/>
        </w:rPr>
        <w:t>.</w:t>
      </w:r>
    </w:p>
    <w:p w:rsidR="00A72040" w:rsidRPr="002A7CC6" w:rsidRDefault="00B96190" w:rsidP="00A72040">
      <w:pPr>
        <w:pStyle w:val="ListParagraph"/>
        <w:widowControl/>
        <w:numPr>
          <w:ilvl w:val="0"/>
          <w:numId w:val="9"/>
        </w:numPr>
        <w:snapToGrid w:val="0"/>
        <w:spacing w:after="0"/>
        <w:ind w:left="1077" w:hanging="357"/>
        <w:rPr>
          <w:szCs w:val="24"/>
        </w:rPr>
      </w:pPr>
      <w:r>
        <w:rPr>
          <w:szCs w:val="24"/>
        </w:rPr>
        <w:t xml:space="preserve">Exclusion of patients with CNS and testicular leukaemia: </w:t>
      </w:r>
      <w:r w:rsidR="00A72040" w:rsidRPr="002A7CC6">
        <w:rPr>
          <w:szCs w:val="24"/>
        </w:rPr>
        <w:t xml:space="preserve">The blinatumomab restriction states that “the condition must not be present in the central nervous </w:t>
      </w:r>
      <w:r w:rsidR="00A72040" w:rsidRPr="002A7CC6">
        <w:rPr>
          <w:szCs w:val="24"/>
        </w:rPr>
        <w:lastRenderedPageBreak/>
        <w:t>system or testis”.</w:t>
      </w:r>
      <w:r w:rsidR="00A72040">
        <w:rPr>
          <w:szCs w:val="24"/>
        </w:rPr>
        <w:t xml:space="preserve"> T</w:t>
      </w:r>
      <w:r w:rsidR="00A72040" w:rsidRPr="00045196">
        <w:rPr>
          <w:szCs w:val="24"/>
        </w:rPr>
        <w:t>he ESC noted that inotuzumab is not contraindicated in patients with CNS disease, while the Product Information for blinatumomab includes a special warning/precaution about neurological events. Thus</w:t>
      </w:r>
      <w:r w:rsidR="00A72040">
        <w:rPr>
          <w:szCs w:val="24"/>
        </w:rPr>
        <w:t>,</w:t>
      </w:r>
      <w:r w:rsidR="00A72040" w:rsidRPr="00045196">
        <w:rPr>
          <w:szCs w:val="24"/>
        </w:rPr>
        <w:t xml:space="preserve"> the ESC </w:t>
      </w:r>
      <w:r w:rsidR="00A72040">
        <w:rPr>
          <w:szCs w:val="24"/>
        </w:rPr>
        <w:t xml:space="preserve">and the PBAC </w:t>
      </w:r>
      <w:r w:rsidR="00A72040" w:rsidRPr="00045196">
        <w:rPr>
          <w:szCs w:val="24"/>
        </w:rPr>
        <w:t>considered that a parallel criterion restricting use of inotuzumab in patients whose condition is present in the CNS or testis would not be required.</w:t>
      </w:r>
    </w:p>
    <w:p w:rsidR="00A72040" w:rsidRPr="007D583E" w:rsidRDefault="00B96190" w:rsidP="007D583E">
      <w:pPr>
        <w:pStyle w:val="ListParagraph"/>
        <w:widowControl/>
        <w:numPr>
          <w:ilvl w:val="0"/>
          <w:numId w:val="9"/>
        </w:numPr>
        <w:snapToGrid w:val="0"/>
        <w:spacing w:after="120"/>
        <w:ind w:left="1077" w:hanging="357"/>
        <w:rPr>
          <w:szCs w:val="24"/>
        </w:rPr>
      </w:pPr>
      <w:r>
        <w:rPr>
          <w:szCs w:val="24"/>
        </w:rPr>
        <w:t xml:space="preserve">Required hospitalisation: </w:t>
      </w:r>
      <w:r w:rsidR="00A72040" w:rsidRPr="003764FF">
        <w:rPr>
          <w:szCs w:val="24"/>
        </w:rPr>
        <w:t>The blinatumomab listing notes that administration requires patient hospitalisation for nine days in the first cycle of treatment and two days in every subsequent cycle, while the inotuzumab does not specify any hospitalisation requirements</w:t>
      </w:r>
      <w:r w:rsidR="00A72040">
        <w:rPr>
          <w:szCs w:val="24"/>
        </w:rPr>
        <w:t xml:space="preserve"> consistent with the respective Product Information of the two drugs</w:t>
      </w:r>
      <w:r w:rsidR="00A72040" w:rsidRPr="003764FF">
        <w:rPr>
          <w:szCs w:val="24"/>
        </w:rPr>
        <w:t xml:space="preserve">. While the ESC </w:t>
      </w:r>
      <w:r w:rsidR="007D583E">
        <w:rPr>
          <w:szCs w:val="24"/>
        </w:rPr>
        <w:t xml:space="preserve">and PBAC </w:t>
      </w:r>
      <w:r w:rsidR="007D583E" w:rsidRPr="003764FF">
        <w:rPr>
          <w:szCs w:val="24"/>
        </w:rPr>
        <w:t xml:space="preserve">advised that inotuzumab is often administered as an inpatient (at least initially) due to the </w:t>
      </w:r>
      <w:r>
        <w:rPr>
          <w:szCs w:val="24"/>
        </w:rPr>
        <w:t xml:space="preserve">nature of the disease and </w:t>
      </w:r>
      <w:r w:rsidR="007D583E" w:rsidRPr="003764FF">
        <w:rPr>
          <w:szCs w:val="24"/>
        </w:rPr>
        <w:t>associated toxicities</w:t>
      </w:r>
      <w:r w:rsidR="007D583E">
        <w:rPr>
          <w:szCs w:val="24"/>
        </w:rPr>
        <w:t>, the ESC and PBAC</w:t>
      </w:r>
      <w:r w:rsidR="007D583E" w:rsidRPr="003764FF">
        <w:rPr>
          <w:szCs w:val="24"/>
        </w:rPr>
        <w:t xml:space="preserve"> </w:t>
      </w:r>
      <w:r w:rsidR="00A72040" w:rsidRPr="003764FF">
        <w:rPr>
          <w:szCs w:val="24"/>
        </w:rPr>
        <w:t xml:space="preserve">noted that the Product </w:t>
      </w:r>
      <w:r w:rsidR="00A72040" w:rsidRPr="007D583E">
        <w:rPr>
          <w:szCs w:val="24"/>
        </w:rPr>
        <w:t xml:space="preserve">Information for inotuzumab does not specify a recommended hospitalisation period. </w:t>
      </w:r>
    </w:p>
    <w:p w:rsidR="005D125A" w:rsidRPr="007D583E" w:rsidRDefault="005D125A" w:rsidP="00007D60">
      <w:pPr>
        <w:pStyle w:val="ListParagraph"/>
        <w:widowControl/>
        <w:numPr>
          <w:ilvl w:val="1"/>
          <w:numId w:val="1"/>
        </w:numPr>
      </w:pPr>
      <w:r w:rsidRPr="007D583E">
        <w:t xml:space="preserve">The requested restriction would allow patients who have been treated with inotuzumab to receive blinatumomab in </w:t>
      </w:r>
      <w:r w:rsidR="00972682" w:rsidRPr="007D583E">
        <w:t xml:space="preserve">a </w:t>
      </w:r>
      <w:r w:rsidRPr="007D583E">
        <w:t xml:space="preserve">subsequent relapse, and vice versa. </w:t>
      </w:r>
    </w:p>
    <w:p w:rsidR="00D13435" w:rsidRPr="002A7CC6" w:rsidRDefault="00527EC1" w:rsidP="00D13435">
      <w:pPr>
        <w:pStyle w:val="ListParagraph"/>
        <w:widowControl/>
        <w:numPr>
          <w:ilvl w:val="1"/>
          <w:numId w:val="1"/>
        </w:numPr>
      </w:pPr>
      <w:r w:rsidRPr="007D583E">
        <w:t xml:space="preserve">The PSCR </w:t>
      </w:r>
      <w:r w:rsidR="00174C8A" w:rsidRPr="007D583E">
        <w:t xml:space="preserve">stated that </w:t>
      </w:r>
      <w:r w:rsidR="006C36A5" w:rsidRPr="007D583E">
        <w:t>the clinical management</w:t>
      </w:r>
      <w:r w:rsidR="006C36A5" w:rsidRPr="00B87732">
        <w:t xml:space="preserve"> algorithm proposed in the submission did not include sequential use of inotuzumab</w:t>
      </w:r>
      <w:r w:rsidR="00F75F6A">
        <w:t xml:space="preserve"> and blinatumomab</w:t>
      </w:r>
      <w:r w:rsidR="00725E56" w:rsidRPr="002A7CC6">
        <w:t>.</w:t>
      </w:r>
      <w:r w:rsidR="006C36A5" w:rsidRPr="002A7CC6">
        <w:t xml:space="preserve"> </w:t>
      </w:r>
      <w:r w:rsidR="00252F2F" w:rsidRPr="002A7CC6">
        <w:t xml:space="preserve">The ESC noted that sequential use was not assessed in the clinical trials and thus the impact on incremental effectiveness was unknown. </w:t>
      </w:r>
      <w:r w:rsidR="00D13435">
        <w:t>Notwithstanding this, t</w:t>
      </w:r>
      <w:r w:rsidR="00D13435" w:rsidRPr="002A7CC6">
        <w:t>he ESC considered that there may be a clinical place for sequential use of inotuzumab and blinatumomab in those patients who do not receive a HSCT or who do not achieve CR/</w:t>
      </w:r>
      <w:proofErr w:type="spellStart"/>
      <w:r w:rsidR="00D13435" w:rsidRPr="002A7CC6">
        <w:t>CRi</w:t>
      </w:r>
      <w:proofErr w:type="spellEnd"/>
      <w:r w:rsidR="00D13435" w:rsidRPr="002A7CC6">
        <w:t xml:space="preserve"> following a HSCT. The ESC considered that neither </w:t>
      </w:r>
      <w:r w:rsidR="0019695C">
        <w:t>inotuzumab no</w:t>
      </w:r>
      <w:r w:rsidR="001F3106">
        <w:t>r</w:t>
      </w:r>
      <w:r w:rsidR="0019695C">
        <w:t xml:space="preserve"> blinatumomab </w:t>
      </w:r>
      <w:r w:rsidR="00D13435" w:rsidRPr="002A7CC6">
        <w:t>are likely to be curative as stand-alone treatment, and patients are likely to use these agents as a bridge to HSCT, C</w:t>
      </w:r>
      <w:r w:rsidR="007453CB">
        <w:t>AR</w:t>
      </w:r>
      <w:r w:rsidR="00D13435" w:rsidRPr="002A7CC6">
        <w:t xml:space="preserve"> T-cell therapy or clinical trial therapy, or as sequential therapy to prolong life. </w:t>
      </w:r>
    </w:p>
    <w:p w:rsidR="00193B30" w:rsidRDefault="00193B30" w:rsidP="00007D60">
      <w:pPr>
        <w:pStyle w:val="ListParagraph"/>
        <w:widowControl/>
        <w:numPr>
          <w:ilvl w:val="1"/>
          <w:numId w:val="1"/>
        </w:numPr>
      </w:pPr>
      <w:r>
        <w:t xml:space="preserve">The PBAC </w:t>
      </w:r>
      <w:r w:rsidR="00F75F6A">
        <w:t>noted that no data had been provided regarding the impact of sequential use on incremental efficacy</w:t>
      </w:r>
      <w:r w:rsidR="00B96190">
        <w:t xml:space="preserve">. However, the PBAC </w:t>
      </w:r>
      <w:r>
        <w:t>considered that sequential use of blinatumomab and inotuzumab (in either order) was appropriate given the</w:t>
      </w:r>
      <w:r w:rsidR="00F75F6A">
        <w:t xml:space="preserve">ir differing mechanisms of action, </w:t>
      </w:r>
      <w:r w:rsidR="00372AAA">
        <w:t xml:space="preserve">and the clinical </w:t>
      </w:r>
      <w:r w:rsidR="00B96190">
        <w:t xml:space="preserve">need </w:t>
      </w:r>
      <w:r w:rsidR="00372AAA">
        <w:t>for</w:t>
      </w:r>
      <w:r w:rsidR="00F75F6A">
        <w:t xml:space="preserve"> </w:t>
      </w:r>
      <w:r w:rsidR="001F3106">
        <w:rPr>
          <w:rFonts w:asciiTheme="minorHAnsi" w:hAnsiTheme="minorHAnsi"/>
          <w:bCs/>
          <w:lang w:val="en-GB"/>
        </w:rPr>
        <w:t xml:space="preserve">additional therapeutic </w:t>
      </w:r>
      <w:r w:rsidR="001F3106">
        <w:t>options</w:t>
      </w:r>
      <w:r w:rsidR="00372AAA">
        <w:t xml:space="preserve"> for patients </w:t>
      </w:r>
      <w:r w:rsidR="0068709B">
        <w:t xml:space="preserve">who are </w:t>
      </w:r>
      <w:r w:rsidR="00372AAA">
        <w:t xml:space="preserve">unable to have a </w:t>
      </w:r>
      <w:r w:rsidR="00E20A02">
        <w:t>H</w:t>
      </w:r>
      <w:r w:rsidR="00372AAA">
        <w:t>SCT</w:t>
      </w:r>
      <w:r w:rsidR="001F3106">
        <w:t xml:space="preserve"> or who progress after a HSCT, as such patients are likely to cycle through all available therapies</w:t>
      </w:r>
      <w:r w:rsidR="00372AAA">
        <w:t xml:space="preserve">. </w:t>
      </w:r>
      <w:r>
        <w:t>The PBAC considered that each agent should only be used once per lifetime.</w:t>
      </w:r>
    </w:p>
    <w:p w:rsidR="00276E99" w:rsidRDefault="00155D79" w:rsidP="00007D60">
      <w:pPr>
        <w:pStyle w:val="ListParagraph"/>
        <w:widowControl/>
        <w:numPr>
          <w:ilvl w:val="1"/>
          <w:numId w:val="1"/>
        </w:numPr>
      </w:pPr>
      <w:r w:rsidRPr="002A7CC6">
        <w:t>The submission stated that a</w:t>
      </w:r>
      <w:r w:rsidR="006955B3" w:rsidRPr="002A7CC6">
        <w:t xml:space="preserve"> </w:t>
      </w:r>
      <w:r w:rsidR="005D125A" w:rsidRPr="002A7CC6">
        <w:t>‘</w:t>
      </w:r>
      <w:r w:rsidR="006955B3" w:rsidRPr="002A7CC6">
        <w:t>small number</w:t>
      </w:r>
      <w:r w:rsidR="005D125A" w:rsidRPr="002A7CC6">
        <w:t>’</w:t>
      </w:r>
      <w:r w:rsidR="006955B3" w:rsidRPr="002A7CC6">
        <w:t xml:space="preserve"> of patients receiving compassionate access to treatment with inotuzumab at the time of PBS-listing will require grandfathering onto PBS-listed treatment.</w:t>
      </w:r>
      <w:r w:rsidR="005D125A" w:rsidRPr="002A7CC6">
        <w:t xml:space="preserve"> The </w:t>
      </w:r>
      <w:r w:rsidR="006063A4" w:rsidRPr="002A7CC6">
        <w:t xml:space="preserve">financial estimates assumed that </w:t>
      </w:r>
      <w:r w:rsidR="00B0555B">
        <w:rPr>
          <w:noProof/>
          <w:color w:val="000000"/>
          <w:highlight w:val="black"/>
        </w:rPr>
        <w:t>'''''''</w:t>
      </w:r>
      <w:r w:rsidR="006063A4" w:rsidRPr="002A7CC6">
        <w:t xml:space="preserve"> grandfathered patients would require PBS-subsidised access to inotuzumab</w:t>
      </w:r>
      <w:r w:rsidR="005D125A" w:rsidRPr="002A7CC6">
        <w:t xml:space="preserve">. </w:t>
      </w:r>
      <w:r w:rsidR="00432779" w:rsidRPr="002A7CC6">
        <w:t>The PSCR stated that patients who require grandfathering onto PBS treatment will otherwise meet the proposed PBS restriction.</w:t>
      </w:r>
    </w:p>
    <w:p w:rsidR="005569B2" w:rsidRPr="005569B2" w:rsidRDefault="005569B2" w:rsidP="005569B2">
      <w:pPr>
        <w:pStyle w:val="ListParagraph"/>
        <w:widowControl/>
        <w:rPr>
          <w:i/>
        </w:rPr>
      </w:pPr>
      <w:r w:rsidRPr="005569B2">
        <w:rPr>
          <w:i/>
        </w:rPr>
        <w:t>For more detail on PBAC’s view, see section 7 PBAC outcome.</w:t>
      </w:r>
    </w:p>
    <w:p w:rsidR="006955B3" w:rsidRPr="002A7CC6" w:rsidRDefault="006955B3" w:rsidP="00DD02B3">
      <w:pPr>
        <w:pStyle w:val="Heading1"/>
      </w:pPr>
      <w:bookmarkStart w:id="4" w:name="_Toc521973897"/>
      <w:bookmarkStart w:id="5" w:name="_Toc524520428"/>
      <w:r w:rsidRPr="002A7CC6">
        <w:lastRenderedPageBreak/>
        <w:t>Background</w:t>
      </w:r>
      <w:bookmarkEnd w:id="4"/>
      <w:bookmarkEnd w:id="5"/>
    </w:p>
    <w:p w:rsidR="006955B3" w:rsidRPr="002A7CC6" w:rsidRDefault="006955B3" w:rsidP="00F96F7D">
      <w:pPr>
        <w:pStyle w:val="Heading2"/>
      </w:pPr>
      <w:bookmarkStart w:id="6" w:name="_Toc524520429"/>
      <w:r w:rsidRPr="002A7CC6">
        <w:t>Registration status</w:t>
      </w:r>
      <w:bookmarkEnd w:id="6"/>
    </w:p>
    <w:p w:rsidR="006955B3" w:rsidRDefault="006955B3" w:rsidP="00AC261A">
      <w:pPr>
        <w:pStyle w:val="ListParagraph"/>
        <w:widowControl/>
        <w:numPr>
          <w:ilvl w:val="1"/>
          <w:numId w:val="1"/>
        </w:numPr>
      </w:pPr>
      <w:r w:rsidRPr="002A7CC6">
        <w:t xml:space="preserve">Inotuzumab was listed on the Australian Register of Therapeutic Goods on May 17, 2018 for the treatment of adults with relapsed or refractory CD22‐positive B-cell precursor acute lymphoblastic leukaemia (ALL). </w:t>
      </w:r>
    </w:p>
    <w:p w:rsidR="006955B3" w:rsidRPr="002A7CC6" w:rsidRDefault="006955B3" w:rsidP="00DD02B3">
      <w:pPr>
        <w:pStyle w:val="Heading1"/>
      </w:pPr>
      <w:bookmarkStart w:id="7" w:name="_Toc521973898"/>
      <w:bookmarkStart w:id="8" w:name="_Toc524520430"/>
      <w:r w:rsidRPr="002A7CC6">
        <w:t>Population and disease</w:t>
      </w:r>
      <w:bookmarkEnd w:id="7"/>
      <w:bookmarkEnd w:id="8"/>
    </w:p>
    <w:p w:rsidR="006955B3" w:rsidRPr="002A7CC6" w:rsidRDefault="006955B3" w:rsidP="00007D60">
      <w:pPr>
        <w:pStyle w:val="ListParagraph"/>
        <w:widowControl/>
        <w:numPr>
          <w:ilvl w:val="1"/>
          <w:numId w:val="1"/>
        </w:numPr>
      </w:pPr>
      <w:r w:rsidRPr="002A7CC6">
        <w:t>ALL is a rare malignant disease of the bone marrow (approximately 1-1.5/100,000 of the general population) in which lymphoid precursor cells proliferate. The incidence of ALL is highest in children under 5 years of age, declines slowly until the mid-20s and then begins to rise again slowly after 50 years of age. ALL may be related to either B-cell or T-cell precursors, with approximately 76% of adult and 85-90% of paediatric diagnoses identified as B-cell precursor ALL (B-ALL). B-ALL is also classified by Philadelphia chromosome expression (</w:t>
      </w:r>
      <w:proofErr w:type="spellStart"/>
      <w:r w:rsidRPr="002A7CC6">
        <w:t>Ph</w:t>
      </w:r>
      <w:proofErr w:type="spellEnd"/>
      <w:r w:rsidRPr="002A7CC6">
        <w:t xml:space="preserve">+ or </w:t>
      </w:r>
      <w:proofErr w:type="spellStart"/>
      <w:r w:rsidRPr="002A7CC6">
        <w:t>Ph</w:t>
      </w:r>
      <w:proofErr w:type="spellEnd"/>
      <w:r w:rsidRPr="002A7CC6">
        <w:t>-) or other cytogenetic and molecular subtype prognostic factors.</w:t>
      </w:r>
      <w:r w:rsidR="002E3752" w:rsidRPr="002A7CC6">
        <w:t xml:space="preserve"> CD22 is a B cell co-receptor that regulates B cell signalling, proliferation, adhesion, migration, and survival, and is expressed on the outer membrane of both normal and malignant B-cells from early progenitors to the mature B lymphocytes.</w:t>
      </w:r>
    </w:p>
    <w:p w:rsidR="006955B3" w:rsidRPr="002A7CC6" w:rsidRDefault="006955B3" w:rsidP="00007D60">
      <w:pPr>
        <w:pStyle w:val="ListParagraph"/>
        <w:widowControl/>
        <w:numPr>
          <w:ilvl w:val="1"/>
          <w:numId w:val="1"/>
        </w:numPr>
      </w:pPr>
      <w:r w:rsidRPr="002A7CC6">
        <w:t>ALL is characterised by the emergence of haematological deficiencies, anaemia, thrombocytopenia and neutropenia that give rise to the distinctive symptoms of fatigue, bruising, bleeding, enlarged lymph nodes, fever, and infections. Hepatomegaly, splenomegaly, and lymphadenopathy may also be observed, as well as symptoms related to central nervous system or testicular involvement (headache, weakness, seizures, vomiting, testicular enlargement).</w:t>
      </w:r>
    </w:p>
    <w:p w:rsidR="002C2B3A" w:rsidRDefault="006955B3" w:rsidP="00007D60">
      <w:pPr>
        <w:pStyle w:val="ListParagraph"/>
        <w:widowControl/>
        <w:numPr>
          <w:ilvl w:val="1"/>
          <w:numId w:val="1"/>
        </w:numPr>
      </w:pPr>
      <w:r w:rsidRPr="002A7CC6">
        <w:t xml:space="preserve">The </w:t>
      </w:r>
      <w:r w:rsidR="00D26FDF" w:rsidRPr="002A7CC6">
        <w:t xml:space="preserve">key </w:t>
      </w:r>
      <w:r w:rsidRPr="002A7CC6">
        <w:t xml:space="preserve">aim of </w:t>
      </w:r>
      <w:r w:rsidR="00B47D67" w:rsidRPr="002A7CC6">
        <w:t xml:space="preserve">treatment of </w:t>
      </w:r>
      <w:r w:rsidRPr="002A7CC6">
        <w:t xml:space="preserve">adult patients with relapsed/refractory ALL is to </w:t>
      </w:r>
      <w:r w:rsidR="00B47D67" w:rsidRPr="002A7CC6">
        <w:t xml:space="preserve">achieve </w:t>
      </w:r>
      <w:r w:rsidRPr="002A7CC6">
        <w:t>complete remission (CR) or complete remission with incomplete haematological recovery (</w:t>
      </w:r>
      <w:proofErr w:type="spellStart"/>
      <w:r w:rsidRPr="002A7CC6">
        <w:t>CRi</w:t>
      </w:r>
      <w:proofErr w:type="spellEnd"/>
      <w:r w:rsidRPr="002A7CC6">
        <w:t xml:space="preserve">) </w:t>
      </w:r>
      <w:r w:rsidR="002B6DE8" w:rsidRPr="002A7CC6">
        <w:t>to facilitate</w:t>
      </w:r>
      <w:r w:rsidR="00B47D67" w:rsidRPr="002A7CC6">
        <w:t xml:space="preserve"> allogenic haematopoietic stem cell transplant (HSCT), which may represent a cure in </w:t>
      </w:r>
      <w:r w:rsidR="00F9333B">
        <w:t>some</w:t>
      </w:r>
      <w:r w:rsidR="00B47D67" w:rsidRPr="002A7CC6">
        <w:t xml:space="preserve"> patients. </w:t>
      </w:r>
      <w:r w:rsidR="001C2A3C" w:rsidRPr="002A7CC6">
        <w:t xml:space="preserve">Patients with CR or </w:t>
      </w:r>
      <w:proofErr w:type="spellStart"/>
      <w:r w:rsidR="001C2A3C" w:rsidRPr="002A7CC6">
        <w:t>CRi</w:t>
      </w:r>
      <w:proofErr w:type="spellEnd"/>
      <w:r w:rsidR="001C2A3C" w:rsidRPr="002A7CC6">
        <w:t xml:space="preserve"> who are unable to undergo HSCT will receive maintenance therapy or “watch and wait”. </w:t>
      </w:r>
      <w:r w:rsidRPr="002A7CC6">
        <w:t xml:space="preserve">Patients </w:t>
      </w:r>
      <w:r w:rsidR="005305E4" w:rsidRPr="002A7CC6">
        <w:t>who do not</w:t>
      </w:r>
      <w:r w:rsidRPr="002A7CC6">
        <w:t xml:space="preserve"> achieve CR/</w:t>
      </w:r>
      <w:proofErr w:type="spellStart"/>
      <w:r w:rsidRPr="002A7CC6">
        <w:t>CRi</w:t>
      </w:r>
      <w:proofErr w:type="spellEnd"/>
      <w:r w:rsidRPr="002A7CC6">
        <w:t xml:space="preserve"> typically have a poor outcome and shortened overall survival.</w:t>
      </w:r>
      <w:r w:rsidR="001C2A3C" w:rsidRPr="002A7CC6">
        <w:t xml:space="preserve"> The ESC considered that patients who do not undergo a HSCT or who relapse following HSCT will </w:t>
      </w:r>
      <w:r w:rsidR="00221202" w:rsidRPr="002A7CC6">
        <w:t xml:space="preserve">likely </w:t>
      </w:r>
      <w:r w:rsidR="001C2A3C" w:rsidRPr="002A7CC6">
        <w:t xml:space="preserve">cycle through the available therapies until remission or death. </w:t>
      </w:r>
    </w:p>
    <w:p w:rsidR="00785D4A" w:rsidRPr="002A7CC6" w:rsidRDefault="00F75F6A" w:rsidP="00785D4A">
      <w:pPr>
        <w:pStyle w:val="ListParagraph"/>
        <w:widowControl/>
        <w:numPr>
          <w:ilvl w:val="1"/>
          <w:numId w:val="1"/>
        </w:numPr>
      </w:pPr>
      <w:r>
        <w:t xml:space="preserve">The PBAC noted that inotuzumab and blinatumomab have different mechanisms of action. </w:t>
      </w:r>
      <w:r w:rsidR="00785D4A">
        <w:t xml:space="preserve">Inotuzumab is an </w:t>
      </w:r>
      <w:r w:rsidR="00785D4A" w:rsidRPr="00785D4A">
        <w:t>antibody-drug conjugate composed of an anti-CD22 antibody covalently bound to</w:t>
      </w:r>
      <w:r w:rsidR="00785D4A">
        <w:t xml:space="preserve"> a toxi</w:t>
      </w:r>
      <w:r w:rsidR="00003F45">
        <w:t xml:space="preserve">n. As an </w:t>
      </w:r>
      <w:r w:rsidR="00003F45" w:rsidRPr="00785D4A">
        <w:t>anti-CD22 antibody</w:t>
      </w:r>
      <w:r w:rsidR="00003F45">
        <w:t xml:space="preserve">, it targets B-cells including nearly all B-lineage ALL. On the other hand, </w:t>
      </w:r>
      <w:r w:rsidR="00785D4A">
        <w:t>b</w:t>
      </w:r>
      <w:r w:rsidR="00785D4A" w:rsidRPr="00785D4A">
        <w:t xml:space="preserve">linatumomab is a bispecific T </w:t>
      </w:r>
      <w:r w:rsidR="00785D4A">
        <w:t xml:space="preserve">cell engager </w:t>
      </w:r>
      <w:r w:rsidR="00785D4A" w:rsidRPr="00785D4A">
        <w:t>antibody construct that selectively binds with high affinity to CD19 (expressed on cells of B-lineage origin) and CD3 (expressed on T cells).</w:t>
      </w:r>
    </w:p>
    <w:p w:rsidR="006955B3" w:rsidRPr="002A7CC6" w:rsidRDefault="006955B3" w:rsidP="00DD02B3">
      <w:pPr>
        <w:pStyle w:val="Heading1"/>
      </w:pPr>
      <w:bookmarkStart w:id="9" w:name="_Toc521973899"/>
      <w:bookmarkStart w:id="10" w:name="_Toc524520431"/>
      <w:r w:rsidRPr="002A7CC6">
        <w:lastRenderedPageBreak/>
        <w:t>Comparator</w:t>
      </w:r>
      <w:bookmarkEnd w:id="9"/>
      <w:bookmarkEnd w:id="10"/>
    </w:p>
    <w:p w:rsidR="006955B3" w:rsidRPr="002A7CC6" w:rsidRDefault="006955B3"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The submission nominated blinatumomab as the main comparator. The main arguments provided in support of this nomination were that blinatumomab has become the standard of care treatment for patients with relapsed/refractory </w:t>
      </w:r>
      <w:proofErr w:type="spellStart"/>
      <w:r w:rsidRPr="002A7CC6">
        <w:rPr>
          <w:rFonts w:cs="Calibri"/>
          <w:snapToGrid/>
          <w:szCs w:val="24"/>
          <w:lang w:val="en-US" w:eastAsia="en-AU"/>
        </w:rPr>
        <w:t>Ph</w:t>
      </w:r>
      <w:proofErr w:type="spellEnd"/>
      <w:r w:rsidRPr="002A7CC6">
        <w:rPr>
          <w:rFonts w:cs="Calibri"/>
          <w:snapToGrid/>
          <w:szCs w:val="24"/>
          <w:lang w:val="en-US" w:eastAsia="en-AU"/>
        </w:rPr>
        <w:t xml:space="preserve">- B-ALL; blinatumomab has a PBS listing for relapsed/refractory </w:t>
      </w:r>
      <w:proofErr w:type="spellStart"/>
      <w:r w:rsidRPr="002A7CC6">
        <w:rPr>
          <w:rFonts w:cs="Calibri"/>
          <w:snapToGrid/>
          <w:szCs w:val="24"/>
          <w:lang w:val="en-US" w:eastAsia="en-AU"/>
        </w:rPr>
        <w:t>Ph</w:t>
      </w:r>
      <w:proofErr w:type="spellEnd"/>
      <w:r w:rsidRPr="002A7CC6">
        <w:rPr>
          <w:rFonts w:cs="Calibri"/>
          <w:snapToGrid/>
          <w:szCs w:val="24"/>
          <w:lang w:val="en-US" w:eastAsia="en-AU"/>
        </w:rPr>
        <w:t>- B-ALL; the place in therapy of inotuzumab is similar to that of blinatumomab; and blinatumomab is the medicine most likely to be replaced by inotuzumab in clinical practice.</w:t>
      </w:r>
    </w:p>
    <w:p w:rsidR="006955B3" w:rsidRDefault="00E54F7D"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The evaluation and the ESC considered that b</w:t>
      </w:r>
      <w:r w:rsidR="006955B3" w:rsidRPr="002A7CC6">
        <w:rPr>
          <w:rFonts w:cs="Calibri"/>
          <w:snapToGrid/>
          <w:szCs w:val="24"/>
          <w:lang w:val="en-US" w:eastAsia="en-AU"/>
        </w:rPr>
        <w:t xml:space="preserve">linatumomab is the appropriate main comparator. </w:t>
      </w:r>
    </w:p>
    <w:p w:rsidR="005569B2" w:rsidRPr="005569B2" w:rsidRDefault="005569B2" w:rsidP="005569B2">
      <w:pPr>
        <w:pStyle w:val="PBACHeading1"/>
        <w:numPr>
          <w:ilvl w:val="0"/>
          <w:numId w:val="0"/>
        </w:numPr>
        <w:ind w:left="720"/>
        <w:rPr>
          <w:rFonts w:cs="Calibri"/>
          <w:b w:val="0"/>
          <w:i/>
          <w:snapToGrid/>
          <w:sz w:val="24"/>
          <w:szCs w:val="24"/>
          <w:lang w:val="en-US" w:eastAsia="en-AU"/>
        </w:rPr>
      </w:pPr>
      <w:r w:rsidRPr="005569B2">
        <w:rPr>
          <w:rFonts w:cs="Calibri"/>
          <w:b w:val="0"/>
          <w:i/>
          <w:snapToGrid/>
          <w:sz w:val="24"/>
          <w:szCs w:val="24"/>
          <w:lang w:val="en-US" w:eastAsia="en-AU"/>
        </w:rPr>
        <w:t>For more detail on PBAC’s view, see section 7 PBAC outcome.</w:t>
      </w:r>
    </w:p>
    <w:p w:rsidR="006955B3" w:rsidRPr="002A7CC6" w:rsidRDefault="006955B3" w:rsidP="00DD02B3">
      <w:pPr>
        <w:pStyle w:val="Heading1"/>
      </w:pPr>
      <w:bookmarkStart w:id="11" w:name="_Toc521973900"/>
      <w:bookmarkStart w:id="12" w:name="_Toc524520432"/>
      <w:r w:rsidRPr="002A7CC6">
        <w:t>Consideration of the evidence</w:t>
      </w:r>
      <w:bookmarkEnd w:id="11"/>
      <w:bookmarkEnd w:id="12"/>
    </w:p>
    <w:p w:rsidR="008D5A44" w:rsidRPr="00F96F7D" w:rsidRDefault="008D5A44" w:rsidP="00F96F7D">
      <w:pPr>
        <w:pStyle w:val="Heading2"/>
      </w:pPr>
      <w:bookmarkStart w:id="13" w:name="_Toc521973901"/>
      <w:bookmarkStart w:id="14" w:name="_Toc524520433"/>
      <w:r w:rsidRPr="00F96F7D">
        <w:t>Sponsor hearing</w:t>
      </w:r>
    </w:p>
    <w:p w:rsidR="003B13D7" w:rsidRPr="002D5394" w:rsidRDefault="008D5A44" w:rsidP="00842FC6">
      <w:pPr>
        <w:pStyle w:val="ListParagraph"/>
        <w:numPr>
          <w:ilvl w:val="1"/>
          <w:numId w:val="1"/>
        </w:numPr>
        <w:rPr>
          <w:rFonts w:asciiTheme="minorHAnsi" w:hAnsiTheme="minorHAnsi"/>
          <w:bCs/>
        </w:rPr>
      </w:pPr>
      <w:r w:rsidRPr="002D5394">
        <w:rPr>
          <w:rFonts w:asciiTheme="minorHAnsi" w:hAnsiTheme="minorHAnsi"/>
          <w:bCs/>
        </w:rPr>
        <w:t>The sponsor requested a hearing for this item.</w:t>
      </w:r>
      <w:r w:rsidR="003B13D7" w:rsidRPr="002D5394">
        <w:rPr>
          <w:rFonts w:asciiTheme="minorHAnsi" w:hAnsiTheme="minorHAnsi"/>
          <w:bCs/>
        </w:rPr>
        <w:t xml:space="preserve"> The clinician outlined the </w:t>
      </w:r>
      <w:r w:rsidR="00003F45" w:rsidRPr="002D5394">
        <w:rPr>
          <w:rFonts w:asciiTheme="minorHAnsi" w:hAnsiTheme="minorHAnsi"/>
          <w:bCs/>
        </w:rPr>
        <w:t>clinical need</w:t>
      </w:r>
      <w:r w:rsidR="002D5394" w:rsidRPr="002D5394">
        <w:rPr>
          <w:rFonts w:asciiTheme="minorHAnsi" w:hAnsiTheme="minorHAnsi"/>
          <w:bCs/>
        </w:rPr>
        <w:t xml:space="preserve"> for effective therapies for </w:t>
      </w:r>
      <w:r w:rsidR="002D5394" w:rsidRPr="002D5394">
        <w:rPr>
          <w:rFonts w:asciiTheme="minorHAnsi" w:hAnsiTheme="minorHAnsi"/>
          <w:bCs/>
          <w:lang w:val="en-GB"/>
        </w:rPr>
        <w:t>relapsed or refractory B-ALL, and t</w:t>
      </w:r>
      <w:r w:rsidR="00F9333B" w:rsidRPr="002D5394">
        <w:rPr>
          <w:rFonts w:asciiTheme="minorHAnsi" w:hAnsiTheme="minorHAnsi"/>
          <w:bCs/>
        </w:rPr>
        <w:t xml:space="preserve">he potential for cure if patients </w:t>
      </w:r>
      <w:r w:rsidR="002D5394">
        <w:rPr>
          <w:rFonts w:asciiTheme="minorHAnsi" w:hAnsiTheme="minorHAnsi"/>
          <w:bCs/>
        </w:rPr>
        <w:t xml:space="preserve">go on to </w:t>
      </w:r>
      <w:r w:rsidR="00F9333B" w:rsidRPr="002D5394">
        <w:rPr>
          <w:rFonts w:asciiTheme="minorHAnsi" w:hAnsiTheme="minorHAnsi"/>
          <w:bCs/>
        </w:rPr>
        <w:t>receive an allo</w:t>
      </w:r>
      <w:r w:rsidR="002D5394" w:rsidRPr="002D5394">
        <w:rPr>
          <w:rFonts w:asciiTheme="minorHAnsi" w:hAnsiTheme="minorHAnsi"/>
          <w:bCs/>
        </w:rPr>
        <w:t>geneic H</w:t>
      </w:r>
      <w:r w:rsidR="00F9333B" w:rsidRPr="002D5394">
        <w:rPr>
          <w:rFonts w:asciiTheme="minorHAnsi" w:hAnsiTheme="minorHAnsi"/>
          <w:bCs/>
        </w:rPr>
        <w:t>SCT</w:t>
      </w:r>
      <w:r w:rsidR="002D5394" w:rsidRPr="002D5394">
        <w:rPr>
          <w:rFonts w:asciiTheme="minorHAnsi" w:hAnsiTheme="minorHAnsi"/>
          <w:bCs/>
        </w:rPr>
        <w:t xml:space="preserve">. The clinician outlined </w:t>
      </w:r>
      <w:r w:rsidR="00F9333B" w:rsidRPr="002D5394">
        <w:rPr>
          <w:rFonts w:asciiTheme="minorHAnsi" w:hAnsiTheme="minorHAnsi"/>
          <w:bCs/>
        </w:rPr>
        <w:t xml:space="preserve">the higher rates of VOD associated with inotuzumab, but noted this was a known risk associated with HSCT and there were some modifiable risk factors. </w:t>
      </w:r>
      <w:r w:rsidR="003B13D7" w:rsidRPr="002D5394">
        <w:rPr>
          <w:rFonts w:asciiTheme="minorHAnsi" w:hAnsiTheme="minorHAnsi"/>
          <w:bCs/>
        </w:rPr>
        <w:t xml:space="preserve">The clinician </w:t>
      </w:r>
      <w:r w:rsidR="002D5394">
        <w:rPr>
          <w:rFonts w:asciiTheme="minorHAnsi" w:hAnsiTheme="minorHAnsi"/>
          <w:bCs/>
        </w:rPr>
        <w:t xml:space="preserve">also advised </w:t>
      </w:r>
      <w:r w:rsidR="003B13D7" w:rsidRPr="002D5394">
        <w:rPr>
          <w:rFonts w:asciiTheme="minorHAnsi" w:hAnsiTheme="minorHAnsi"/>
          <w:bCs/>
        </w:rPr>
        <w:t xml:space="preserve">that approximately </w:t>
      </w:r>
      <w:r w:rsidR="002D5394">
        <w:rPr>
          <w:rFonts w:asciiTheme="minorHAnsi" w:hAnsiTheme="minorHAnsi"/>
          <w:bCs/>
        </w:rPr>
        <w:t>50%</w:t>
      </w:r>
      <w:r w:rsidR="003B13D7" w:rsidRPr="002D5394">
        <w:rPr>
          <w:rFonts w:asciiTheme="minorHAnsi" w:hAnsiTheme="minorHAnsi"/>
          <w:bCs/>
        </w:rPr>
        <w:t xml:space="preserve"> of patients would be hospitalised for administration of inotuzumab</w:t>
      </w:r>
      <w:r w:rsidR="002D5394">
        <w:rPr>
          <w:rFonts w:asciiTheme="minorHAnsi" w:hAnsiTheme="minorHAnsi"/>
          <w:bCs/>
        </w:rPr>
        <w:t>.</w:t>
      </w:r>
      <w:r w:rsidR="003B13D7" w:rsidRPr="002D5394">
        <w:rPr>
          <w:rFonts w:asciiTheme="minorHAnsi" w:hAnsiTheme="minorHAnsi"/>
          <w:bCs/>
        </w:rPr>
        <w:t xml:space="preserve"> </w:t>
      </w:r>
    </w:p>
    <w:p w:rsidR="00842FC6" w:rsidRPr="002D5394" w:rsidRDefault="00842FC6" w:rsidP="00842FC6">
      <w:pPr>
        <w:pStyle w:val="ListParagraph"/>
        <w:numPr>
          <w:ilvl w:val="1"/>
          <w:numId w:val="1"/>
        </w:numPr>
        <w:rPr>
          <w:rFonts w:asciiTheme="minorHAnsi" w:hAnsiTheme="minorHAnsi"/>
          <w:bCs/>
        </w:rPr>
      </w:pPr>
      <w:r>
        <w:rPr>
          <w:rFonts w:asciiTheme="minorHAnsi" w:hAnsiTheme="minorHAnsi"/>
          <w:bCs/>
        </w:rPr>
        <w:t xml:space="preserve">The clinician outlined </w:t>
      </w:r>
      <w:r w:rsidR="003B13D7">
        <w:rPr>
          <w:rFonts w:asciiTheme="minorHAnsi" w:hAnsiTheme="minorHAnsi"/>
          <w:bCs/>
        </w:rPr>
        <w:t>that, if sequential use were allowed, many clinicians would use blinatumomab first due to the risk of VOD</w:t>
      </w:r>
      <w:r w:rsidR="002D5394">
        <w:rPr>
          <w:rFonts w:asciiTheme="minorHAnsi" w:hAnsiTheme="minorHAnsi"/>
          <w:bCs/>
        </w:rPr>
        <w:t xml:space="preserve"> </w:t>
      </w:r>
      <w:r w:rsidR="002D5394" w:rsidRPr="002D5394">
        <w:rPr>
          <w:rFonts w:asciiTheme="minorHAnsi" w:hAnsiTheme="minorHAnsi"/>
          <w:bCs/>
        </w:rPr>
        <w:t>with inotuzumab</w:t>
      </w:r>
      <w:r w:rsidR="00F9333B" w:rsidRPr="002D5394">
        <w:rPr>
          <w:rFonts w:asciiTheme="minorHAnsi" w:hAnsiTheme="minorHAnsi"/>
          <w:bCs/>
        </w:rPr>
        <w:t xml:space="preserve">. </w:t>
      </w:r>
      <w:r w:rsidR="002D5394" w:rsidRPr="002D5394">
        <w:rPr>
          <w:rFonts w:asciiTheme="minorHAnsi" w:hAnsiTheme="minorHAnsi"/>
          <w:bCs/>
        </w:rPr>
        <w:t>T</w:t>
      </w:r>
      <w:r w:rsidRPr="002D5394">
        <w:rPr>
          <w:rFonts w:asciiTheme="minorHAnsi" w:hAnsiTheme="minorHAnsi"/>
          <w:bCs/>
        </w:rPr>
        <w:t xml:space="preserve">he patient groups for whom inotuzumab may be used in preference to blinatumomab included patients without high risk </w:t>
      </w:r>
      <w:r w:rsidR="002D5394">
        <w:rPr>
          <w:rFonts w:asciiTheme="minorHAnsi" w:hAnsiTheme="minorHAnsi"/>
          <w:bCs/>
        </w:rPr>
        <w:t>factors</w:t>
      </w:r>
      <w:r w:rsidRPr="002D5394">
        <w:rPr>
          <w:rFonts w:asciiTheme="minorHAnsi" w:hAnsiTheme="minorHAnsi"/>
          <w:bCs/>
        </w:rPr>
        <w:t xml:space="preserve"> f</w:t>
      </w:r>
      <w:r w:rsidR="002D5394">
        <w:rPr>
          <w:rFonts w:asciiTheme="minorHAnsi" w:hAnsiTheme="minorHAnsi"/>
          <w:bCs/>
        </w:rPr>
        <w:t>or</w:t>
      </w:r>
      <w:r w:rsidRPr="002D5394">
        <w:rPr>
          <w:rFonts w:asciiTheme="minorHAnsi" w:hAnsiTheme="minorHAnsi"/>
          <w:bCs/>
        </w:rPr>
        <w:t xml:space="preserve"> liver disease but with: CNS disease, prior failure with blinatumomab, loss of CD19 on ALL cells, </w:t>
      </w:r>
      <w:r w:rsidR="002D5394" w:rsidRPr="002D5394">
        <w:rPr>
          <w:rFonts w:asciiTheme="minorHAnsi" w:hAnsiTheme="minorHAnsi"/>
          <w:bCs/>
        </w:rPr>
        <w:t>Philadelphia</w:t>
      </w:r>
      <w:r w:rsidRPr="002D5394">
        <w:rPr>
          <w:rFonts w:asciiTheme="minorHAnsi" w:hAnsiTheme="minorHAnsi"/>
          <w:bCs/>
        </w:rPr>
        <w:t xml:space="preserve"> chromosome positive</w:t>
      </w:r>
      <w:r w:rsidR="002D5394">
        <w:rPr>
          <w:rFonts w:asciiTheme="minorHAnsi" w:hAnsiTheme="minorHAnsi"/>
          <w:bCs/>
        </w:rPr>
        <w:t xml:space="preserve"> disease</w:t>
      </w:r>
      <w:r w:rsidRPr="002D5394">
        <w:rPr>
          <w:rFonts w:asciiTheme="minorHAnsi" w:hAnsiTheme="minorHAnsi"/>
          <w:bCs/>
        </w:rPr>
        <w:t xml:space="preserve">, or </w:t>
      </w:r>
      <w:r w:rsidR="002D5394" w:rsidRPr="002D5394">
        <w:rPr>
          <w:rFonts w:asciiTheme="minorHAnsi" w:hAnsiTheme="minorHAnsi"/>
          <w:bCs/>
        </w:rPr>
        <w:t xml:space="preserve">with </w:t>
      </w:r>
      <w:r w:rsidRPr="002D5394">
        <w:rPr>
          <w:rFonts w:asciiTheme="minorHAnsi" w:hAnsiTheme="minorHAnsi"/>
          <w:bCs/>
        </w:rPr>
        <w:t>social factors that make hospital admission for blinatumomab administration difficult</w:t>
      </w:r>
      <w:r w:rsidR="003B13D7" w:rsidRPr="002D5394">
        <w:rPr>
          <w:rFonts w:asciiTheme="minorHAnsi" w:hAnsiTheme="minorHAnsi"/>
          <w:bCs/>
        </w:rPr>
        <w:t>.</w:t>
      </w:r>
    </w:p>
    <w:p w:rsidR="003B13D7" w:rsidRPr="00842FC6" w:rsidRDefault="003B13D7" w:rsidP="003B13D7">
      <w:pPr>
        <w:pStyle w:val="ListParagraph"/>
        <w:numPr>
          <w:ilvl w:val="1"/>
          <w:numId w:val="1"/>
        </w:numPr>
        <w:rPr>
          <w:rFonts w:asciiTheme="minorHAnsi" w:hAnsiTheme="minorHAnsi"/>
          <w:bCs/>
        </w:rPr>
      </w:pPr>
      <w:r>
        <w:rPr>
          <w:rFonts w:asciiTheme="minorHAnsi" w:hAnsiTheme="minorHAnsi"/>
          <w:bCs/>
        </w:rPr>
        <w:t xml:space="preserve">The clinician outlined that there may be important benefits of inotuzumab in patients with Philadelphia chromosome positive disease, particularly given it was generally associated with a poorer prognosis, however the sponsor confirmed that listing had not been requested in this group of patients in this application. </w:t>
      </w:r>
    </w:p>
    <w:p w:rsidR="008D5A44" w:rsidRPr="00525B39" w:rsidRDefault="008D5A44" w:rsidP="00F96F7D">
      <w:pPr>
        <w:pStyle w:val="Heading2"/>
      </w:pPr>
      <w:r w:rsidRPr="00525B39">
        <w:t>Consumer comments</w:t>
      </w:r>
    </w:p>
    <w:p w:rsidR="008D5A44" w:rsidRPr="008D5A44" w:rsidRDefault="008D5A44" w:rsidP="008D5A44">
      <w:pPr>
        <w:pStyle w:val="ListParagraph"/>
        <w:numPr>
          <w:ilvl w:val="1"/>
          <w:numId w:val="1"/>
        </w:numPr>
        <w:rPr>
          <w:rFonts w:asciiTheme="minorHAnsi" w:hAnsiTheme="minorHAnsi"/>
          <w:bCs/>
        </w:rPr>
      </w:pPr>
      <w:r w:rsidRPr="008D5A44">
        <w:rPr>
          <w:rFonts w:asciiTheme="minorHAnsi" w:hAnsiTheme="minorHAnsi"/>
          <w:bCs/>
        </w:rPr>
        <w:t xml:space="preserve">The PBAC </w:t>
      </w:r>
      <w:r w:rsidRPr="00C03C5E">
        <w:rPr>
          <w:rFonts w:asciiTheme="minorHAnsi" w:hAnsiTheme="minorHAnsi"/>
          <w:bCs/>
        </w:rPr>
        <w:t xml:space="preserve">noted and welcomed the input from a health professional via the Consumer Comments facility on the PBS website. The comments described the benefits of inotuzumab for patients with very high risk childhood </w:t>
      </w:r>
      <w:r w:rsidR="00F9333B" w:rsidRPr="00C03C5E">
        <w:rPr>
          <w:rFonts w:asciiTheme="minorHAnsi" w:hAnsiTheme="minorHAnsi"/>
          <w:bCs/>
        </w:rPr>
        <w:t>ALL</w:t>
      </w:r>
      <w:r w:rsidRPr="00C03C5E">
        <w:rPr>
          <w:rFonts w:asciiTheme="minorHAnsi" w:hAnsiTheme="minorHAnsi"/>
          <w:bCs/>
        </w:rPr>
        <w:t xml:space="preserve"> primarily as a bridge to HSCT. </w:t>
      </w:r>
    </w:p>
    <w:p w:rsidR="006955B3" w:rsidRPr="002A7CC6" w:rsidRDefault="006955B3" w:rsidP="00F96F7D">
      <w:pPr>
        <w:pStyle w:val="Heading2"/>
      </w:pPr>
      <w:r w:rsidRPr="002A7CC6">
        <w:lastRenderedPageBreak/>
        <w:t>Clinical trials</w:t>
      </w:r>
      <w:bookmarkEnd w:id="13"/>
      <w:bookmarkEnd w:id="14"/>
    </w:p>
    <w:p w:rsidR="006955B3" w:rsidRPr="002A7CC6" w:rsidRDefault="006955B3" w:rsidP="00007D60">
      <w:pPr>
        <w:pStyle w:val="ListParagraph"/>
        <w:widowControl/>
        <w:numPr>
          <w:ilvl w:val="1"/>
          <w:numId w:val="1"/>
        </w:numPr>
      </w:pPr>
      <w:r w:rsidRPr="002A7CC6">
        <w:t>The submission was based on a</w:t>
      </w:r>
      <w:r w:rsidR="00023E82" w:rsidRPr="002A7CC6">
        <w:t>n</w:t>
      </w:r>
      <w:r w:rsidRPr="002A7CC6">
        <w:t xml:space="preserve"> indirect comparison of inotuzumab (</w:t>
      </w:r>
      <w:r w:rsidR="007D7344">
        <w:t>INO-VATE ALL</w:t>
      </w:r>
      <w:r w:rsidRPr="002A7CC6">
        <w:t xml:space="preserve"> trial) and blinatumomab (TOWER trial) in relapsed/refractory Philadelphia chromosome negative B-cell precursor acute lymphoblastic leukaemia, using standard of care chemotherapy as a common reference. </w:t>
      </w:r>
      <w:r w:rsidR="00023E82" w:rsidRPr="002A7CC6">
        <w:t>A</w:t>
      </w:r>
      <w:r w:rsidRPr="002A7CC6">
        <w:t>n anchored matching-adjusted indirect comparison (MAIC) and a supporting</w:t>
      </w:r>
      <w:r w:rsidR="002B5FD5" w:rsidRPr="002A7CC6">
        <w:t>/supplementary</w:t>
      </w:r>
      <w:r w:rsidRPr="002A7CC6">
        <w:t xml:space="preserve"> anchored simulated treatment comparison (STC) were also presented.</w:t>
      </w:r>
      <w:r w:rsidR="002B5FD5" w:rsidRPr="002A7CC6">
        <w:t xml:space="preserve"> The methodology, approach and results of the STC analysis were similar to the MAIC.</w:t>
      </w:r>
    </w:p>
    <w:p w:rsidR="006955B3" w:rsidRPr="002A7CC6" w:rsidRDefault="006955B3" w:rsidP="00007D60">
      <w:pPr>
        <w:pStyle w:val="ListParagraph"/>
        <w:widowControl/>
        <w:numPr>
          <w:ilvl w:val="1"/>
          <w:numId w:val="1"/>
        </w:numPr>
      </w:pPr>
      <w:r w:rsidRPr="002A7CC6">
        <w:rPr>
          <w:rFonts w:cs="Calibri"/>
          <w:snapToGrid/>
          <w:szCs w:val="24"/>
          <w:lang w:val="en-US" w:eastAsia="en-AU"/>
        </w:rPr>
        <w:t xml:space="preserve">Details of the trials presented in the submission are provided in the table below. </w:t>
      </w:r>
    </w:p>
    <w:p w:rsidR="006955B3" w:rsidRPr="002A7CC6" w:rsidRDefault="006955B3" w:rsidP="001D48D7">
      <w:pPr>
        <w:keepNext/>
        <w:widowControl/>
        <w:rPr>
          <w:rStyle w:val="CommentReference"/>
        </w:rPr>
      </w:pPr>
      <w:r w:rsidRPr="002A7CC6">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080"/>
        <w:gridCol w:w="2501"/>
      </w:tblGrid>
      <w:tr w:rsidR="006955B3" w:rsidRPr="002A7CC6" w:rsidTr="006955B3">
        <w:trPr>
          <w:tblHeader/>
        </w:trPr>
        <w:tc>
          <w:tcPr>
            <w:tcW w:w="796" w:type="pct"/>
            <w:vAlign w:val="center"/>
          </w:tcPr>
          <w:p w:rsidR="006955B3" w:rsidRPr="002A7CC6" w:rsidRDefault="006955B3" w:rsidP="001D48D7">
            <w:pPr>
              <w:pStyle w:val="Tabletext"/>
              <w:rPr>
                <w:b/>
              </w:rPr>
            </w:pPr>
            <w:r w:rsidRPr="002A7CC6">
              <w:rPr>
                <w:b/>
              </w:rPr>
              <w:t>Trial ID</w:t>
            </w:r>
          </w:p>
        </w:tc>
        <w:tc>
          <w:tcPr>
            <w:tcW w:w="2817" w:type="pct"/>
            <w:vAlign w:val="center"/>
          </w:tcPr>
          <w:p w:rsidR="006955B3" w:rsidRPr="002A7CC6" w:rsidRDefault="006955B3" w:rsidP="001D48D7">
            <w:pPr>
              <w:pStyle w:val="Tabletext"/>
              <w:jc w:val="center"/>
              <w:rPr>
                <w:b/>
              </w:rPr>
            </w:pPr>
            <w:r w:rsidRPr="002A7CC6">
              <w:rPr>
                <w:b/>
              </w:rPr>
              <w:t>Protocol title/ Publication title</w:t>
            </w:r>
          </w:p>
        </w:tc>
        <w:tc>
          <w:tcPr>
            <w:tcW w:w="1387" w:type="pct"/>
            <w:vAlign w:val="center"/>
          </w:tcPr>
          <w:p w:rsidR="006955B3" w:rsidRPr="002A7CC6" w:rsidRDefault="006955B3" w:rsidP="001D48D7">
            <w:pPr>
              <w:pStyle w:val="Tabletext"/>
              <w:jc w:val="center"/>
              <w:rPr>
                <w:b/>
              </w:rPr>
            </w:pPr>
            <w:r w:rsidRPr="002A7CC6">
              <w:rPr>
                <w:b/>
              </w:rPr>
              <w:t>Publication citation</w:t>
            </w:r>
          </w:p>
        </w:tc>
      </w:tr>
      <w:tr w:rsidR="006955B3" w:rsidRPr="002A7CC6" w:rsidTr="006955B3">
        <w:tc>
          <w:tcPr>
            <w:tcW w:w="796" w:type="pct"/>
            <w:tcBorders>
              <w:bottom w:val="nil"/>
            </w:tcBorders>
          </w:tcPr>
          <w:p w:rsidR="006955B3" w:rsidRPr="002A7CC6" w:rsidRDefault="007D7344" w:rsidP="001D48D7">
            <w:pPr>
              <w:pStyle w:val="Tabletext"/>
            </w:pPr>
            <w:r>
              <w:t>INO-VATE ALL</w:t>
            </w:r>
          </w:p>
          <w:p w:rsidR="006955B3" w:rsidRPr="002A7CC6" w:rsidRDefault="006955B3" w:rsidP="001D48D7">
            <w:pPr>
              <w:pStyle w:val="Tabletext"/>
            </w:pPr>
            <w:r w:rsidRPr="002A7CC6">
              <w:t>(B1931022)</w:t>
            </w:r>
          </w:p>
          <w:p w:rsidR="006955B3" w:rsidRPr="002A7CC6" w:rsidRDefault="006955B3" w:rsidP="001D48D7">
            <w:pPr>
              <w:pStyle w:val="Tabletext"/>
              <w:rPr>
                <w:rFonts w:ascii="Times" w:hAnsi="Times"/>
              </w:rPr>
            </w:pPr>
            <w:r w:rsidRPr="002A7CC6">
              <w:t>(NCT01564784)</w:t>
            </w:r>
          </w:p>
        </w:tc>
        <w:tc>
          <w:tcPr>
            <w:tcW w:w="2817" w:type="pct"/>
            <w:tcBorders>
              <w:bottom w:val="nil"/>
            </w:tcBorders>
          </w:tcPr>
          <w:p w:rsidR="006955B3" w:rsidRPr="002A7CC6" w:rsidRDefault="006955B3" w:rsidP="001D48D7">
            <w:pPr>
              <w:pStyle w:val="Tabletext"/>
            </w:pPr>
            <w:r w:rsidRPr="002A7CC6">
              <w:t xml:space="preserve">An open-label, randomised phase 3 study of inotuzumab </w:t>
            </w:r>
            <w:proofErr w:type="spellStart"/>
            <w:r w:rsidRPr="002A7CC6">
              <w:t>ozogamicin</w:t>
            </w:r>
            <w:proofErr w:type="spellEnd"/>
            <w:r w:rsidRPr="002A7CC6">
              <w:t xml:space="preserve"> compared to a defined investigator’s choice in adult patients with relapsed or refractory CD22 positive acute lymphoblastic leukaemia (ALL).</w:t>
            </w:r>
          </w:p>
          <w:p w:rsidR="006955B3" w:rsidRPr="002A7CC6" w:rsidRDefault="006955B3" w:rsidP="001D48D7">
            <w:pPr>
              <w:pStyle w:val="Tabletext"/>
              <w:rPr>
                <w:szCs w:val="18"/>
              </w:rPr>
            </w:pPr>
          </w:p>
        </w:tc>
        <w:tc>
          <w:tcPr>
            <w:tcW w:w="1387" w:type="pct"/>
            <w:tcBorders>
              <w:bottom w:val="nil"/>
            </w:tcBorders>
          </w:tcPr>
          <w:p w:rsidR="006955B3" w:rsidRPr="002A7CC6" w:rsidRDefault="006955B3" w:rsidP="001D48D7">
            <w:pPr>
              <w:pStyle w:val="Tabletext"/>
              <w:rPr>
                <w:rFonts w:ascii="Times" w:hAnsi="Times"/>
              </w:rPr>
            </w:pPr>
            <w:r w:rsidRPr="002A7CC6">
              <w:t>7 October 2016.</w:t>
            </w:r>
          </w:p>
        </w:tc>
      </w:tr>
      <w:tr w:rsidR="006955B3" w:rsidRPr="002A7CC6" w:rsidTr="006955B3">
        <w:tc>
          <w:tcPr>
            <w:tcW w:w="796" w:type="pct"/>
            <w:tcBorders>
              <w:top w:val="nil"/>
              <w:bottom w:val="nil"/>
            </w:tcBorders>
          </w:tcPr>
          <w:p w:rsidR="006955B3" w:rsidRPr="002A7CC6" w:rsidRDefault="006955B3" w:rsidP="001D48D7">
            <w:pPr>
              <w:pStyle w:val="Tabletext"/>
            </w:pPr>
          </w:p>
        </w:tc>
        <w:tc>
          <w:tcPr>
            <w:tcW w:w="2817" w:type="pct"/>
            <w:tcBorders>
              <w:top w:val="nil"/>
              <w:bottom w:val="nil"/>
            </w:tcBorders>
          </w:tcPr>
          <w:p w:rsidR="006955B3" w:rsidRPr="002A7CC6" w:rsidRDefault="006955B3" w:rsidP="001D48D7">
            <w:pPr>
              <w:pStyle w:val="Tabletext"/>
              <w:rPr>
                <w:szCs w:val="18"/>
                <w:lang w:eastAsia="en-AU"/>
              </w:rPr>
            </w:pPr>
            <w:proofErr w:type="spellStart"/>
            <w:r w:rsidRPr="002A7CC6">
              <w:rPr>
                <w:szCs w:val="18"/>
                <w:lang w:eastAsia="en-AU"/>
              </w:rPr>
              <w:t>Kantarjian</w:t>
            </w:r>
            <w:proofErr w:type="spellEnd"/>
            <w:r w:rsidRPr="002A7CC6">
              <w:rPr>
                <w:szCs w:val="18"/>
                <w:lang w:eastAsia="en-AU"/>
              </w:rPr>
              <w:t xml:space="preserve"> H, et al. Inotuzumab </w:t>
            </w:r>
            <w:proofErr w:type="spellStart"/>
            <w:r w:rsidRPr="002A7CC6">
              <w:rPr>
                <w:szCs w:val="18"/>
                <w:lang w:eastAsia="en-AU"/>
              </w:rPr>
              <w:t>ozogamicin</w:t>
            </w:r>
            <w:proofErr w:type="spellEnd"/>
            <w:r w:rsidRPr="002A7CC6">
              <w:rPr>
                <w:szCs w:val="18"/>
                <w:lang w:eastAsia="en-AU"/>
              </w:rPr>
              <w:t xml:space="preserve"> versus standard therapy for acute lymphoblastic leukaemia.</w:t>
            </w:r>
          </w:p>
          <w:p w:rsidR="006955B3" w:rsidRPr="002A7CC6" w:rsidRDefault="006955B3" w:rsidP="001D48D7">
            <w:pPr>
              <w:pStyle w:val="Tabletext"/>
              <w:rPr>
                <w:szCs w:val="18"/>
                <w:lang w:eastAsia="en-AU"/>
              </w:rPr>
            </w:pPr>
          </w:p>
        </w:tc>
        <w:tc>
          <w:tcPr>
            <w:tcW w:w="1387" w:type="pct"/>
            <w:tcBorders>
              <w:top w:val="nil"/>
              <w:bottom w:val="nil"/>
            </w:tcBorders>
          </w:tcPr>
          <w:p w:rsidR="006955B3" w:rsidRPr="002A7CC6" w:rsidRDefault="006955B3" w:rsidP="001D48D7">
            <w:pPr>
              <w:pStyle w:val="Tabletext"/>
              <w:rPr>
                <w:szCs w:val="18"/>
                <w:lang w:eastAsia="en-AU"/>
              </w:rPr>
            </w:pPr>
            <w:r w:rsidRPr="002A7CC6">
              <w:rPr>
                <w:rFonts w:eastAsia="Calibri"/>
                <w:color w:val="000000" w:themeColor="text1" w:themeShade="80"/>
                <w:lang w:val="en-US"/>
              </w:rPr>
              <w:t>New England Journal of Medicine 2016; 375 (8):740-753.</w:t>
            </w:r>
          </w:p>
        </w:tc>
      </w:tr>
      <w:tr w:rsidR="006955B3" w:rsidRPr="002A7CC6" w:rsidTr="006955B3">
        <w:tc>
          <w:tcPr>
            <w:tcW w:w="796" w:type="pct"/>
            <w:tcBorders>
              <w:top w:val="nil"/>
              <w:bottom w:val="nil"/>
            </w:tcBorders>
          </w:tcPr>
          <w:p w:rsidR="006955B3" w:rsidRPr="002A7CC6" w:rsidRDefault="006955B3" w:rsidP="001D48D7">
            <w:pPr>
              <w:pStyle w:val="Tabletext"/>
            </w:pPr>
          </w:p>
        </w:tc>
        <w:tc>
          <w:tcPr>
            <w:tcW w:w="2817" w:type="pct"/>
            <w:tcBorders>
              <w:top w:val="nil"/>
              <w:bottom w:val="nil"/>
            </w:tcBorders>
          </w:tcPr>
          <w:p w:rsidR="006955B3" w:rsidRPr="002A7CC6" w:rsidRDefault="006955B3" w:rsidP="001D48D7">
            <w:pPr>
              <w:pStyle w:val="Tabletext"/>
              <w:rPr>
                <w:szCs w:val="18"/>
                <w:lang w:val="en-US" w:eastAsia="en-AU"/>
              </w:rPr>
            </w:pPr>
            <w:proofErr w:type="spellStart"/>
            <w:r w:rsidRPr="002A7CC6">
              <w:rPr>
                <w:rFonts w:eastAsia="Calibri"/>
                <w:color w:val="000000" w:themeColor="text1" w:themeShade="80"/>
                <w:lang w:val="en-US"/>
              </w:rPr>
              <w:t>Kantarjian</w:t>
            </w:r>
            <w:proofErr w:type="spellEnd"/>
            <w:r w:rsidRPr="002A7CC6">
              <w:rPr>
                <w:rFonts w:eastAsia="Calibri"/>
                <w:color w:val="000000" w:themeColor="text1" w:themeShade="80"/>
                <w:lang w:val="en-US"/>
              </w:rPr>
              <w:t xml:space="preserve"> H, et al. Hepatic adverse event profile of inotuzumab </w:t>
            </w:r>
            <w:proofErr w:type="spellStart"/>
            <w:r w:rsidRPr="002A7CC6">
              <w:rPr>
                <w:rFonts w:eastAsia="Calibri"/>
                <w:color w:val="000000" w:themeColor="text1" w:themeShade="80"/>
                <w:lang w:val="en-US"/>
              </w:rPr>
              <w:t>ozogamicin</w:t>
            </w:r>
            <w:proofErr w:type="spellEnd"/>
            <w:r w:rsidRPr="002A7CC6">
              <w:rPr>
                <w:rFonts w:eastAsia="Calibri"/>
                <w:color w:val="000000" w:themeColor="text1" w:themeShade="80"/>
                <w:lang w:val="en-US"/>
              </w:rPr>
              <w:t xml:space="preserve"> in adult patients with relapsed or refractory acute lymphoblastic </w:t>
            </w:r>
            <w:proofErr w:type="spellStart"/>
            <w:r w:rsidRPr="002A7CC6">
              <w:rPr>
                <w:rFonts w:eastAsia="Calibri"/>
                <w:color w:val="000000" w:themeColor="text1" w:themeShade="80"/>
                <w:lang w:val="en-US"/>
              </w:rPr>
              <w:t>leukaemia</w:t>
            </w:r>
            <w:proofErr w:type="spellEnd"/>
            <w:r w:rsidRPr="002A7CC6">
              <w:rPr>
                <w:rFonts w:eastAsia="Calibri"/>
                <w:color w:val="000000" w:themeColor="text1" w:themeShade="80"/>
                <w:lang w:val="en-US"/>
              </w:rPr>
              <w:t xml:space="preserve">: results from the open-label, </w:t>
            </w:r>
            <w:proofErr w:type="spellStart"/>
            <w:r w:rsidRPr="002A7CC6">
              <w:rPr>
                <w:rFonts w:eastAsia="Calibri"/>
                <w:color w:val="000000" w:themeColor="text1" w:themeShade="80"/>
                <w:lang w:val="en-US"/>
              </w:rPr>
              <w:t>randomised</w:t>
            </w:r>
            <w:proofErr w:type="spellEnd"/>
            <w:r w:rsidRPr="002A7CC6">
              <w:rPr>
                <w:rFonts w:eastAsia="Calibri"/>
                <w:color w:val="000000" w:themeColor="text1" w:themeShade="80"/>
                <w:lang w:val="en-US"/>
              </w:rPr>
              <w:t>, phase 3 INO-VATE study</w:t>
            </w:r>
            <w:r w:rsidRPr="002A7CC6">
              <w:rPr>
                <w:szCs w:val="18"/>
                <w:lang w:val="en-US" w:eastAsia="en-AU"/>
              </w:rPr>
              <w:t>.</w:t>
            </w:r>
          </w:p>
        </w:tc>
        <w:tc>
          <w:tcPr>
            <w:tcW w:w="1387" w:type="pct"/>
            <w:tcBorders>
              <w:top w:val="nil"/>
              <w:bottom w:val="nil"/>
            </w:tcBorders>
          </w:tcPr>
          <w:p w:rsidR="006955B3" w:rsidRPr="002A7CC6" w:rsidRDefault="006955B3" w:rsidP="001D48D7">
            <w:pPr>
              <w:pStyle w:val="Tabletext"/>
              <w:rPr>
                <w:szCs w:val="18"/>
                <w:lang w:val="en-US" w:eastAsia="en-AU"/>
              </w:rPr>
            </w:pPr>
            <w:r w:rsidRPr="002A7CC6">
              <w:rPr>
                <w:rFonts w:eastAsia="Calibri"/>
                <w:color w:val="000000" w:themeColor="text1" w:themeShade="80"/>
                <w:lang w:val="en-US"/>
              </w:rPr>
              <w:t xml:space="preserve">The Lancet </w:t>
            </w:r>
            <w:proofErr w:type="spellStart"/>
            <w:r w:rsidRPr="002A7CC6">
              <w:rPr>
                <w:rFonts w:eastAsia="Calibri"/>
                <w:color w:val="000000" w:themeColor="text1" w:themeShade="80"/>
                <w:lang w:val="en-US"/>
              </w:rPr>
              <w:t>Haematology</w:t>
            </w:r>
            <w:proofErr w:type="spellEnd"/>
            <w:r w:rsidRPr="002A7CC6">
              <w:rPr>
                <w:rFonts w:eastAsia="Calibri"/>
                <w:color w:val="000000" w:themeColor="text1" w:themeShade="80"/>
                <w:lang w:val="en-US"/>
              </w:rPr>
              <w:t xml:space="preserve"> 2017; 4(8):e387-e398.</w:t>
            </w:r>
          </w:p>
        </w:tc>
      </w:tr>
      <w:tr w:rsidR="006955B3" w:rsidRPr="002A7CC6" w:rsidTr="006955B3">
        <w:tc>
          <w:tcPr>
            <w:tcW w:w="796" w:type="pct"/>
            <w:tcBorders>
              <w:top w:val="nil"/>
              <w:bottom w:val="nil"/>
            </w:tcBorders>
          </w:tcPr>
          <w:p w:rsidR="006955B3" w:rsidRPr="002A7CC6" w:rsidRDefault="006955B3" w:rsidP="001D48D7">
            <w:pPr>
              <w:pStyle w:val="Tabletext"/>
            </w:pPr>
          </w:p>
        </w:tc>
        <w:tc>
          <w:tcPr>
            <w:tcW w:w="2817" w:type="pct"/>
            <w:tcBorders>
              <w:top w:val="nil"/>
              <w:bottom w:val="nil"/>
            </w:tcBorders>
          </w:tcPr>
          <w:p w:rsidR="006955B3" w:rsidRPr="002A7CC6" w:rsidRDefault="006955B3" w:rsidP="001D48D7">
            <w:pPr>
              <w:pStyle w:val="Tabletext"/>
              <w:rPr>
                <w:szCs w:val="18"/>
                <w:lang w:eastAsia="en-AU"/>
              </w:rPr>
            </w:pPr>
          </w:p>
        </w:tc>
        <w:tc>
          <w:tcPr>
            <w:tcW w:w="1387" w:type="pct"/>
            <w:tcBorders>
              <w:top w:val="nil"/>
              <w:bottom w:val="nil"/>
            </w:tcBorders>
          </w:tcPr>
          <w:p w:rsidR="006955B3" w:rsidRPr="002A7CC6" w:rsidRDefault="006955B3" w:rsidP="001D48D7">
            <w:pPr>
              <w:pStyle w:val="Tabletext"/>
              <w:rPr>
                <w:rFonts w:eastAsia="Calibri"/>
                <w:color w:val="000000" w:themeColor="text1" w:themeShade="80"/>
                <w:lang w:val="en-US"/>
              </w:rPr>
            </w:pPr>
          </w:p>
        </w:tc>
      </w:tr>
      <w:tr w:rsidR="006955B3" w:rsidRPr="002A7CC6" w:rsidTr="006955B3">
        <w:tc>
          <w:tcPr>
            <w:tcW w:w="796" w:type="pct"/>
            <w:tcBorders>
              <w:top w:val="nil"/>
              <w:bottom w:val="nil"/>
            </w:tcBorders>
          </w:tcPr>
          <w:p w:rsidR="006955B3" w:rsidRPr="002A7CC6" w:rsidRDefault="006955B3" w:rsidP="001D48D7">
            <w:pPr>
              <w:pStyle w:val="Tabletext"/>
            </w:pPr>
          </w:p>
        </w:tc>
        <w:tc>
          <w:tcPr>
            <w:tcW w:w="2817" w:type="pct"/>
            <w:tcBorders>
              <w:top w:val="nil"/>
              <w:bottom w:val="nil"/>
            </w:tcBorders>
          </w:tcPr>
          <w:p w:rsidR="006955B3" w:rsidRPr="002A7CC6" w:rsidRDefault="006955B3" w:rsidP="001D48D7">
            <w:pPr>
              <w:pStyle w:val="Tabletext"/>
              <w:rPr>
                <w:rFonts w:eastAsia="Calibri"/>
                <w:color w:val="000000" w:themeColor="text1" w:themeShade="80"/>
                <w:lang w:val="en-US"/>
              </w:rPr>
            </w:pPr>
            <w:proofErr w:type="spellStart"/>
            <w:r w:rsidRPr="002A7CC6">
              <w:rPr>
                <w:rFonts w:eastAsia="Calibri"/>
                <w:color w:val="000000" w:themeColor="text1" w:themeShade="80"/>
                <w:lang w:val="en-US"/>
              </w:rPr>
              <w:t>Kantarjian</w:t>
            </w:r>
            <w:proofErr w:type="spellEnd"/>
            <w:r w:rsidRPr="002A7CC6">
              <w:rPr>
                <w:rFonts w:eastAsia="Calibri"/>
                <w:color w:val="000000" w:themeColor="text1" w:themeShade="80"/>
                <w:lang w:val="en-US"/>
              </w:rPr>
              <w:t xml:space="preserve"> H, et al. Patient-reported outcomes from a phase 3 randomized controlled trial of inotuzumab </w:t>
            </w:r>
            <w:proofErr w:type="spellStart"/>
            <w:r w:rsidRPr="002A7CC6">
              <w:rPr>
                <w:rFonts w:eastAsia="Calibri"/>
                <w:color w:val="000000" w:themeColor="text1" w:themeShade="80"/>
                <w:lang w:val="en-US"/>
              </w:rPr>
              <w:t>ozogamicin</w:t>
            </w:r>
            <w:proofErr w:type="spellEnd"/>
            <w:r w:rsidRPr="002A7CC6">
              <w:rPr>
                <w:rFonts w:eastAsia="Calibri"/>
                <w:color w:val="000000" w:themeColor="text1" w:themeShade="80"/>
                <w:lang w:val="en-US"/>
              </w:rPr>
              <w:t xml:space="preserve"> versus standard therapy for relapsed/refractory acute lymphoblastic leukemia.</w:t>
            </w:r>
          </w:p>
          <w:p w:rsidR="006955B3" w:rsidRPr="002A7CC6" w:rsidRDefault="006955B3" w:rsidP="001D48D7">
            <w:pPr>
              <w:pStyle w:val="Tabletext"/>
              <w:rPr>
                <w:szCs w:val="18"/>
                <w:lang w:eastAsia="en-AU"/>
              </w:rPr>
            </w:pPr>
          </w:p>
        </w:tc>
        <w:tc>
          <w:tcPr>
            <w:tcW w:w="1387" w:type="pct"/>
            <w:tcBorders>
              <w:top w:val="nil"/>
              <w:bottom w:val="nil"/>
            </w:tcBorders>
          </w:tcPr>
          <w:p w:rsidR="006955B3" w:rsidRPr="002A7CC6" w:rsidRDefault="006955B3" w:rsidP="001D48D7">
            <w:pPr>
              <w:pStyle w:val="Tabletext"/>
              <w:rPr>
                <w:rFonts w:eastAsia="Calibri"/>
                <w:color w:val="000000" w:themeColor="text1" w:themeShade="80"/>
                <w:lang w:val="en-US"/>
              </w:rPr>
            </w:pPr>
            <w:r w:rsidRPr="002A7CC6">
              <w:rPr>
                <w:rFonts w:eastAsia="Calibri"/>
                <w:color w:val="000000" w:themeColor="text1" w:themeShade="80"/>
                <w:lang w:val="en-US"/>
              </w:rPr>
              <w:t xml:space="preserve">Cancer 2018 Mar 6. </w:t>
            </w:r>
          </w:p>
          <w:p w:rsidR="006955B3" w:rsidRPr="002A7CC6" w:rsidRDefault="006955B3" w:rsidP="001D48D7">
            <w:pPr>
              <w:pStyle w:val="Tabletext"/>
              <w:rPr>
                <w:rFonts w:eastAsia="Calibri"/>
                <w:color w:val="000000" w:themeColor="text1" w:themeShade="80"/>
                <w:lang w:val="en-US"/>
              </w:rPr>
            </w:pPr>
            <w:r w:rsidRPr="002A7CC6">
              <w:rPr>
                <w:rFonts w:eastAsia="Calibri"/>
                <w:color w:val="000000" w:themeColor="text1" w:themeShade="80"/>
                <w:lang w:val="en-US"/>
              </w:rPr>
              <w:t>[</w:t>
            </w:r>
            <w:proofErr w:type="spellStart"/>
            <w:r w:rsidRPr="002A7CC6">
              <w:rPr>
                <w:rFonts w:eastAsia="Calibri"/>
                <w:color w:val="000000" w:themeColor="text1" w:themeShade="80"/>
                <w:lang w:val="en-US"/>
              </w:rPr>
              <w:t>Epub</w:t>
            </w:r>
            <w:proofErr w:type="spellEnd"/>
            <w:r w:rsidRPr="002A7CC6">
              <w:rPr>
                <w:rFonts w:eastAsia="Calibri"/>
                <w:color w:val="000000" w:themeColor="text1" w:themeShade="80"/>
                <w:lang w:val="en-US"/>
              </w:rPr>
              <w:t xml:space="preserve"> ahead of print]</w:t>
            </w:r>
          </w:p>
        </w:tc>
      </w:tr>
      <w:tr w:rsidR="006955B3" w:rsidRPr="002A7CC6" w:rsidTr="006955B3">
        <w:tc>
          <w:tcPr>
            <w:tcW w:w="796" w:type="pct"/>
            <w:tcBorders>
              <w:top w:val="nil"/>
              <w:bottom w:val="nil"/>
            </w:tcBorders>
          </w:tcPr>
          <w:p w:rsidR="006955B3" w:rsidRPr="002A7CC6" w:rsidRDefault="006955B3" w:rsidP="001D48D7">
            <w:pPr>
              <w:pStyle w:val="Tabletext"/>
            </w:pPr>
          </w:p>
        </w:tc>
        <w:tc>
          <w:tcPr>
            <w:tcW w:w="2817" w:type="pct"/>
            <w:tcBorders>
              <w:top w:val="nil"/>
              <w:bottom w:val="nil"/>
            </w:tcBorders>
          </w:tcPr>
          <w:p w:rsidR="006955B3" w:rsidRPr="002A7CC6" w:rsidRDefault="006955B3" w:rsidP="001D48D7">
            <w:pPr>
              <w:pStyle w:val="Tabletext"/>
              <w:rPr>
                <w:rFonts w:eastAsia="Calibri"/>
                <w:color w:val="000000" w:themeColor="text1" w:themeShade="80"/>
                <w:lang w:val="en-US"/>
              </w:rPr>
            </w:pPr>
            <w:proofErr w:type="spellStart"/>
            <w:r w:rsidRPr="002A7CC6">
              <w:rPr>
                <w:rFonts w:eastAsia="Calibri"/>
                <w:color w:val="000000" w:themeColor="text1" w:themeShade="80"/>
                <w:lang w:val="en-US"/>
              </w:rPr>
              <w:t>Jabbour</w:t>
            </w:r>
            <w:proofErr w:type="spellEnd"/>
            <w:r w:rsidRPr="002A7CC6">
              <w:rPr>
                <w:rFonts w:eastAsia="Calibri"/>
                <w:color w:val="000000" w:themeColor="text1" w:themeShade="80"/>
                <w:lang w:val="en-US"/>
              </w:rPr>
              <w:t xml:space="preserve"> E.J. et. </w:t>
            </w:r>
            <w:proofErr w:type="gramStart"/>
            <w:r w:rsidRPr="002A7CC6">
              <w:rPr>
                <w:rFonts w:eastAsia="Calibri"/>
                <w:color w:val="000000" w:themeColor="text1" w:themeShade="80"/>
                <w:lang w:val="en-US"/>
              </w:rPr>
              <w:t>al</w:t>
            </w:r>
            <w:proofErr w:type="gramEnd"/>
            <w:r w:rsidRPr="002A7CC6">
              <w:rPr>
                <w:rFonts w:eastAsia="Calibri"/>
                <w:color w:val="000000" w:themeColor="text1" w:themeShade="80"/>
                <w:lang w:val="en-US"/>
              </w:rPr>
              <w:t xml:space="preserve">. Efficacy and Safety Analysis by Age Cohort of Inotuzumab </w:t>
            </w:r>
            <w:proofErr w:type="spellStart"/>
            <w:r w:rsidRPr="002A7CC6">
              <w:rPr>
                <w:rFonts w:eastAsia="Calibri"/>
                <w:color w:val="000000" w:themeColor="text1" w:themeShade="80"/>
                <w:lang w:val="en-US"/>
              </w:rPr>
              <w:t>Ozogamicin</w:t>
            </w:r>
            <w:proofErr w:type="spellEnd"/>
            <w:r w:rsidRPr="002A7CC6">
              <w:rPr>
                <w:rFonts w:eastAsia="Calibri"/>
                <w:color w:val="000000" w:themeColor="text1" w:themeShade="80"/>
                <w:lang w:val="en-US"/>
              </w:rPr>
              <w:t xml:space="preserve"> in Patients With Relapsed or Refractory Acute Lymphoblastic Leukemia Enrolled in INO-VATE.</w:t>
            </w:r>
          </w:p>
          <w:p w:rsidR="006955B3" w:rsidRPr="002A7CC6" w:rsidRDefault="006955B3" w:rsidP="001D48D7">
            <w:pPr>
              <w:pStyle w:val="Tabletext"/>
              <w:rPr>
                <w:rFonts w:eastAsia="Calibri"/>
                <w:color w:val="000000" w:themeColor="text1" w:themeShade="80"/>
                <w:lang w:val="en-US"/>
              </w:rPr>
            </w:pPr>
          </w:p>
        </w:tc>
        <w:tc>
          <w:tcPr>
            <w:tcW w:w="1387" w:type="pct"/>
            <w:tcBorders>
              <w:top w:val="nil"/>
              <w:bottom w:val="nil"/>
            </w:tcBorders>
          </w:tcPr>
          <w:p w:rsidR="006955B3" w:rsidRPr="002A7CC6" w:rsidRDefault="006955B3" w:rsidP="001D48D7">
            <w:pPr>
              <w:pStyle w:val="Tabletext"/>
              <w:rPr>
                <w:rFonts w:eastAsia="Calibri"/>
                <w:color w:val="000000" w:themeColor="text1" w:themeShade="80"/>
                <w:lang w:val="en-US"/>
              </w:rPr>
            </w:pPr>
            <w:r w:rsidRPr="002A7CC6">
              <w:rPr>
                <w:rFonts w:eastAsia="Calibri"/>
                <w:color w:val="000000" w:themeColor="text1" w:themeShade="80"/>
                <w:lang w:val="en-US"/>
              </w:rPr>
              <w:t>Cancer 2018 Jan 30</w:t>
            </w:r>
          </w:p>
          <w:p w:rsidR="006955B3" w:rsidRPr="002A7CC6" w:rsidRDefault="006955B3" w:rsidP="001D48D7">
            <w:pPr>
              <w:pStyle w:val="Tabletext"/>
              <w:rPr>
                <w:rFonts w:eastAsia="Calibri"/>
                <w:color w:val="000000" w:themeColor="text1" w:themeShade="80"/>
                <w:lang w:val="en-US"/>
              </w:rPr>
            </w:pPr>
            <w:r w:rsidRPr="002A7CC6">
              <w:rPr>
                <w:rFonts w:eastAsia="Calibri"/>
                <w:color w:val="000000" w:themeColor="text1" w:themeShade="80"/>
                <w:lang w:val="en-US"/>
              </w:rPr>
              <w:t>[</w:t>
            </w:r>
            <w:proofErr w:type="spellStart"/>
            <w:r w:rsidRPr="002A7CC6">
              <w:rPr>
                <w:rFonts w:eastAsia="Calibri"/>
                <w:color w:val="000000" w:themeColor="text1" w:themeShade="80"/>
                <w:lang w:val="en-US"/>
              </w:rPr>
              <w:t>Epub</w:t>
            </w:r>
            <w:proofErr w:type="spellEnd"/>
            <w:r w:rsidRPr="002A7CC6">
              <w:rPr>
                <w:rFonts w:eastAsia="Calibri"/>
                <w:color w:val="000000" w:themeColor="text1" w:themeShade="80"/>
                <w:lang w:val="en-US"/>
              </w:rPr>
              <w:t xml:space="preserve"> ahead of print]</w:t>
            </w:r>
          </w:p>
        </w:tc>
      </w:tr>
      <w:tr w:rsidR="006955B3" w:rsidRPr="002A7CC6" w:rsidTr="006955B3">
        <w:tc>
          <w:tcPr>
            <w:tcW w:w="796" w:type="pct"/>
            <w:tcBorders>
              <w:top w:val="nil"/>
              <w:bottom w:val="single" w:sz="4" w:space="0" w:color="auto"/>
            </w:tcBorders>
          </w:tcPr>
          <w:p w:rsidR="006955B3" w:rsidRPr="002A7CC6" w:rsidRDefault="006955B3" w:rsidP="001D48D7">
            <w:pPr>
              <w:pStyle w:val="Tabletext"/>
            </w:pPr>
          </w:p>
        </w:tc>
        <w:tc>
          <w:tcPr>
            <w:tcW w:w="2817" w:type="pct"/>
            <w:tcBorders>
              <w:top w:val="nil"/>
              <w:bottom w:val="single" w:sz="4" w:space="0" w:color="auto"/>
            </w:tcBorders>
          </w:tcPr>
          <w:p w:rsidR="006955B3" w:rsidRPr="002A7CC6" w:rsidRDefault="006955B3" w:rsidP="001D48D7">
            <w:pPr>
              <w:pStyle w:val="Tabletext"/>
              <w:rPr>
                <w:szCs w:val="18"/>
                <w:lang w:val="en-US" w:eastAsia="en-AU"/>
              </w:rPr>
            </w:pPr>
            <w:proofErr w:type="spellStart"/>
            <w:r w:rsidRPr="002A7CC6">
              <w:rPr>
                <w:rFonts w:eastAsia="Calibri"/>
                <w:color w:val="000000" w:themeColor="text1" w:themeShade="80"/>
                <w:lang w:val="en-US"/>
              </w:rPr>
              <w:t>Stelljes</w:t>
            </w:r>
            <w:proofErr w:type="spellEnd"/>
            <w:r w:rsidRPr="002A7CC6">
              <w:rPr>
                <w:rFonts w:eastAsia="Calibri"/>
                <w:color w:val="000000" w:themeColor="text1" w:themeShade="80"/>
                <w:lang w:val="en-US"/>
              </w:rPr>
              <w:t xml:space="preserve"> M. et al., 2017. Indirect treatment comparison (ITC) of inotuzumab </w:t>
            </w:r>
            <w:proofErr w:type="spellStart"/>
            <w:r w:rsidRPr="002A7CC6">
              <w:rPr>
                <w:rFonts w:eastAsia="Calibri"/>
                <w:color w:val="000000" w:themeColor="text1" w:themeShade="80"/>
                <w:lang w:val="en-US"/>
              </w:rPr>
              <w:t>ozogamicin</w:t>
            </w:r>
            <w:proofErr w:type="spellEnd"/>
            <w:r w:rsidRPr="002A7CC6">
              <w:rPr>
                <w:rFonts w:eastAsia="Calibri"/>
                <w:color w:val="000000" w:themeColor="text1" w:themeShade="80"/>
                <w:lang w:val="en-US"/>
              </w:rPr>
              <w:t xml:space="preserve"> (</w:t>
            </w:r>
            <w:proofErr w:type="spellStart"/>
            <w:r w:rsidRPr="002A7CC6">
              <w:rPr>
                <w:rFonts w:eastAsia="Calibri"/>
                <w:color w:val="000000" w:themeColor="text1" w:themeShade="80"/>
                <w:lang w:val="en-US"/>
              </w:rPr>
              <w:t>InO</w:t>
            </w:r>
            <w:proofErr w:type="spellEnd"/>
            <w:r w:rsidRPr="002A7CC6">
              <w:rPr>
                <w:rFonts w:eastAsia="Calibri"/>
                <w:color w:val="000000" w:themeColor="text1" w:themeShade="80"/>
                <w:lang w:val="en-US"/>
              </w:rPr>
              <w:t>) and blinatumomab (</w:t>
            </w:r>
            <w:proofErr w:type="spellStart"/>
            <w:r w:rsidRPr="002A7CC6">
              <w:rPr>
                <w:rFonts w:eastAsia="Calibri"/>
                <w:color w:val="000000" w:themeColor="text1" w:themeShade="80"/>
                <w:lang w:val="en-US"/>
              </w:rPr>
              <w:t>Blina</w:t>
            </w:r>
            <w:proofErr w:type="spellEnd"/>
            <w:r w:rsidRPr="002A7CC6">
              <w:rPr>
                <w:rFonts w:eastAsia="Calibri"/>
                <w:color w:val="000000" w:themeColor="text1" w:themeShade="80"/>
                <w:lang w:val="en-US"/>
              </w:rPr>
              <w:t>) for relapsed or refractory (RR) acute lymphoblastic leukemia (ALL).</w:t>
            </w:r>
          </w:p>
        </w:tc>
        <w:tc>
          <w:tcPr>
            <w:tcW w:w="1387" w:type="pct"/>
            <w:tcBorders>
              <w:top w:val="nil"/>
              <w:bottom w:val="single" w:sz="4" w:space="0" w:color="auto"/>
            </w:tcBorders>
          </w:tcPr>
          <w:p w:rsidR="006955B3" w:rsidRPr="002A7CC6" w:rsidRDefault="006955B3" w:rsidP="001D48D7">
            <w:pPr>
              <w:pStyle w:val="Tabletext"/>
              <w:rPr>
                <w:rFonts w:eastAsia="Calibri"/>
                <w:color w:val="000000" w:themeColor="text1" w:themeShade="80"/>
                <w:lang w:val="en-US"/>
              </w:rPr>
            </w:pPr>
            <w:r w:rsidRPr="002A7CC6">
              <w:rPr>
                <w:rFonts w:eastAsia="Calibri"/>
                <w:color w:val="000000" w:themeColor="text1" w:themeShade="80"/>
                <w:lang w:val="en-US"/>
              </w:rPr>
              <w:t xml:space="preserve">Blood 2017. </w:t>
            </w:r>
          </w:p>
          <w:p w:rsidR="006955B3" w:rsidRPr="002A7CC6" w:rsidRDefault="006955B3" w:rsidP="001D48D7">
            <w:pPr>
              <w:pStyle w:val="Tabletext"/>
              <w:rPr>
                <w:rFonts w:eastAsia="Calibri"/>
                <w:color w:val="000000" w:themeColor="text1" w:themeShade="80"/>
                <w:lang w:val="en-US"/>
              </w:rPr>
            </w:pPr>
            <w:r w:rsidRPr="002A7CC6">
              <w:rPr>
                <w:rFonts w:eastAsia="Calibri"/>
                <w:color w:val="000000" w:themeColor="text1" w:themeShade="80"/>
                <w:lang w:val="en-US"/>
              </w:rPr>
              <w:t>130 (Suppl-1):2558.</w:t>
            </w:r>
          </w:p>
        </w:tc>
      </w:tr>
      <w:tr w:rsidR="006955B3" w:rsidRPr="002A7CC6" w:rsidTr="006955B3">
        <w:trPr>
          <w:cantSplit/>
        </w:trPr>
        <w:tc>
          <w:tcPr>
            <w:tcW w:w="796" w:type="pct"/>
            <w:tcBorders>
              <w:top w:val="single" w:sz="4" w:space="0" w:color="auto"/>
              <w:bottom w:val="single" w:sz="4" w:space="0" w:color="auto"/>
            </w:tcBorders>
          </w:tcPr>
          <w:p w:rsidR="006955B3" w:rsidRPr="002A7CC6" w:rsidRDefault="006955B3" w:rsidP="001D48D7">
            <w:pPr>
              <w:pStyle w:val="Tabletext"/>
              <w:rPr>
                <w:szCs w:val="20"/>
              </w:rPr>
            </w:pPr>
            <w:r w:rsidRPr="002A7CC6">
              <w:rPr>
                <w:szCs w:val="20"/>
              </w:rPr>
              <w:t>TOWER</w:t>
            </w:r>
          </w:p>
          <w:p w:rsidR="006955B3" w:rsidRPr="002A7CC6" w:rsidRDefault="006955B3" w:rsidP="001D48D7">
            <w:pPr>
              <w:pStyle w:val="Tabletext"/>
              <w:rPr>
                <w:rFonts w:ascii="Times" w:hAnsi="Times"/>
                <w:szCs w:val="20"/>
              </w:rPr>
            </w:pPr>
            <w:r w:rsidRPr="002A7CC6">
              <w:rPr>
                <w:szCs w:val="20"/>
              </w:rPr>
              <w:t>(NCT02013167)</w:t>
            </w:r>
          </w:p>
        </w:tc>
        <w:tc>
          <w:tcPr>
            <w:tcW w:w="2817" w:type="pct"/>
            <w:tcBorders>
              <w:top w:val="single" w:sz="4" w:space="0" w:color="auto"/>
              <w:bottom w:val="single" w:sz="4" w:space="0" w:color="auto"/>
            </w:tcBorders>
          </w:tcPr>
          <w:p w:rsidR="006955B3" w:rsidRPr="002A7CC6" w:rsidRDefault="006955B3" w:rsidP="001D48D7">
            <w:pPr>
              <w:pStyle w:val="Tabletext"/>
              <w:rPr>
                <w:szCs w:val="20"/>
              </w:rPr>
            </w:pPr>
            <w:proofErr w:type="spellStart"/>
            <w:r w:rsidRPr="002A7CC6">
              <w:rPr>
                <w:szCs w:val="20"/>
              </w:rPr>
              <w:t>Kantarjian</w:t>
            </w:r>
            <w:proofErr w:type="spellEnd"/>
            <w:r w:rsidRPr="002A7CC6">
              <w:rPr>
                <w:szCs w:val="20"/>
              </w:rPr>
              <w:t xml:space="preserve"> H, et al. Blinatumomab versus chemotherapy for advanced acute lymphoblastic leukaemia. </w:t>
            </w:r>
          </w:p>
        </w:tc>
        <w:tc>
          <w:tcPr>
            <w:tcW w:w="1387" w:type="pct"/>
            <w:tcBorders>
              <w:top w:val="single" w:sz="4" w:space="0" w:color="auto"/>
              <w:bottom w:val="single" w:sz="4" w:space="0" w:color="auto"/>
            </w:tcBorders>
          </w:tcPr>
          <w:p w:rsidR="006955B3" w:rsidRPr="002A7CC6" w:rsidRDefault="006955B3" w:rsidP="001D48D7">
            <w:pPr>
              <w:pStyle w:val="Tabletext"/>
              <w:rPr>
                <w:szCs w:val="20"/>
              </w:rPr>
            </w:pPr>
            <w:r w:rsidRPr="002A7CC6">
              <w:rPr>
                <w:rFonts w:eastAsia="Calibri"/>
                <w:color w:val="000000" w:themeColor="text1" w:themeShade="80"/>
                <w:lang w:val="en-US"/>
              </w:rPr>
              <w:t xml:space="preserve">New England Journal of Medicine </w:t>
            </w:r>
            <w:r w:rsidRPr="002A7CC6">
              <w:rPr>
                <w:szCs w:val="20"/>
              </w:rPr>
              <w:t>2017; 376:836-847.</w:t>
            </w:r>
          </w:p>
        </w:tc>
      </w:tr>
      <w:tr w:rsidR="006955B3" w:rsidRPr="002A7CC6" w:rsidTr="006955B3">
        <w:tc>
          <w:tcPr>
            <w:tcW w:w="5000" w:type="pct"/>
            <w:gridSpan w:val="3"/>
            <w:tcBorders>
              <w:top w:val="single" w:sz="4" w:space="0" w:color="auto"/>
              <w:bottom w:val="nil"/>
            </w:tcBorders>
          </w:tcPr>
          <w:p w:rsidR="006955B3" w:rsidRPr="002A7CC6" w:rsidRDefault="006955B3" w:rsidP="001D48D7">
            <w:pPr>
              <w:pStyle w:val="Tabletext"/>
              <w:rPr>
                <w:b/>
              </w:rPr>
            </w:pPr>
            <w:r w:rsidRPr="002A7CC6">
              <w:rPr>
                <w:b/>
              </w:rPr>
              <w:t>Supportive studies for inotuzumab</w:t>
            </w:r>
          </w:p>
        </w:tc>
      </w:tr>
      <w:tr w:rsidR="006955B3" w:rsidRPr="002A7CC6" w:rsidTr="006955B3">
        <w:tc>
          <w:tcPr>
            <w:tcW w:w="796" w:type="pct"/>
            <w:tcBorders>
              <w:bottom w:val="single" w:sz="4" w:space="0" w:color="auto"/>
            </w:tcBorders>
          </w:tcPr>
          <w:p w:rsidR="006955B3" w:rsidRPr="002A7CC6" w:rsidRDefault="006955B3" w:rsidP="001D48D7">
            <w:pPr>
              <w:pStyle w:val="Tabletext"/>
            </w:pPr>
            <w:r w:rsidRPr="002A7CC6">
              <w:t>B1931010</w:t>
            </w:r>
          </w:p>
          <w:p w:rsidR="006955B3" w:rsidRPr="002A7CC6" w:rsidRDefault="006955B3" w:rsidP="001D48D7">
            <w:pPr>
              <w:pStyle w:val="Tabletext"/>
            </w:pPr>
            <w:r w:rsidRPr="002A7CC6">
              <w:t>(NCT01363297)</w:t>
            </w:r>
          </w:p>
        </w:tc>
        <w:tc>
          <w:tcPr>
            <w:tcW w:w="2817" w:type="pct"/>
            <w:tcBorders>
              <w:bottom w:val="single" w:sz="4" w:space="0" w:color="auto"/>
            </w:tcBorders>
          </w:tcPr>
          <w:p w:rsidR="006955B3" w:rsidRPr="002A7CC6" w:rsidRDefault="006955B3" w:rsidP="001D48D7">
            <w:pPr>
              <w:pStyle w:val="Tabletext"/>
              <w:rPr>
                <w:szCs w:val="20"/>
              </w:rPr>
            </w:pPr>
            <w:r w:rsidRPr="002A7CC6">
              <w:rPr>
                <w:szCs w:val="20"/>
              </w:rPr>
              <w:t xml:space="preserve">An open-label, phase 1/2 study of inotuzumab </w:t>
            </w:r>
            <w:proofErr w:type="spellStart"/>
            <w:r w:rsidRPr="002A7CC6">
              <w:rPr>
                <w:szCs w:val="20"/>
              </w:rPr>
              <w:t>ozogamicin</w:t>
            </w:r>
            <w:proofErr w:type="spellEnd"/>
          </w:p>
          <w:p w:rsidR="006955B3" w:rsidRPr="002A7CC6" w:rsidRDefault="006955B3" w:rsidP="001D48D7">
            <w:pPr>
              <w:pStyle w:val="Tabletext"/>
              <w:rPr>
                <w:szCs w:val="20"/>
              </w:rPr>
            </w:pPr>
            <w:proofErr w:type="gramStart"/>
            <w:r w:rsidRPr="002A7CC6">
              <w:rPr>
                <w:szCs w:val="20"/>
              </w:rPr>
              <w:t>in</w:t>
            </w:r>
            <w:proofErr w:type="gramEnd"/>
            <w:r w:rsidRPr="002A7CC6">
              <w:rPr>
                <w:szCs w:val="20"/>
              </w:rPr>
              <w:t xml:space="preserve"> subjects with relapsed or refractory CD22 positive acute lymphocytic leukaemia.</w:t>
            </w:r>
          </w:p>
        </w:tc>
        <w:tc>
          <w:tcPr>
            <w:tcW w:w="1387" w:type="pct"/>
            <w:tcBorders>
              <w:bottom w:val="single" w:sz="4" w:space="0" w:color="auto"/>
            </w:tcBorders>
          </w:tcPr>
          <w:p w:rsidR="006955B3" w:rsidRPr="002A7CC6" w:rsidRDefault="006955B3" w:rsidP="001D48D7">
            <w:pPr>
              <w:pStyle w:val="Tabletext"/>
              <w:rPr>
                <w:rFonts w:ascii="Times" w:hAnsi="Times"/>
              </w:rPr>
            </w:pPr>
            <w:r w:rsidRPr="002A7CC6">
              <w:t>31 October 2016.</w:t>
            </w:r>
          </w:p>
        </w:tc>
      </w:tr>
      <w:tr w:rsidR="006955B3" w:rsidRPr="002A7CC6" w:rsidTr="006955B3">
        <w:tc>
          <w:tcPr>
            <w:tcW w:w="796" w:type="pct"/>
            <w:tcBorders>
              <w:top w:val="single" w:sz="4" w:space="0" w:color="auto"/>
              <w:bottom w:val="nil"/>
            </w:tcBorders>
          </w:tcPr>
          <w:p w:rsidR="006955B3" w:rsidRPr="002A7CC6" w:rsidRDefault="006955B3" w:rsidP="001D48D7">
            <w:pPr>
              <w:pStyle w:val="Tabletext"/>
              <w:rPr>
                <w:szCs w:val="20"/>
              </w:rPr>
            </w:pPr>
            <w:r w:rsidRPr="002A7CC6">
              <w:rPr>
                <w:szCs w:val="20"/>
              </w:rPr>
              <w:t>2009-0872</w:t>
            </w:r>
          </w:p>
          <w:p w:rsidR="006955B3" w:rsidRPr="002A7CC6" w:rsidRDefault="006955B3" w:rsidP="001D48D7">
            <w:pPr>
              <w:pStyle w:val="Tabletext"/>
              <w:rPr>
                <w:szCs w:val="20"/>
              </w:rPr>
            </w:pPr>
            <w:r w:rsidRPr="002A7CC6">
              <w:rPr>
                <w:szCs w:val="20"/>
              </w:rPr>
              <w:t>(NCT01134575)</w:t>
            </w:r>
          </w:p>
        </w:tc>
        <w:tc>
          <w:tcPr>
            <w:tcW w:w="2817" w:type="pct"/>
            <w:tcBorders>
              <w:top w:val="single" w:sz="4" w:space="0" w:color="auto"/>
              <w:bottom w:val="nil"/>
            </w:tcBorders>
          </w:tcPr>
          <w:p w:rsidR="006955B3" w:rsidRPr="002A7CC6" w:rsidRDefault="006955B3" w:rsidP="001D48D7">
            <w:pPr>
              <w:pStyle w:val="Tabletext"/>
              <w:rPr>
                <w:szCs w:val="20"/>
              </w:rPr>
            </w:pPr>
            <w:proofErr w:type="spellStart"/>
            <w:r w:rsidRPr="002A7CC6">
              <w:rPr>
                <w:szCs w:val="20"/>
              </w:rPr>
              <w:t>Kantarjian</w:t>
            </w:r>
            <w:proofErr w:type="spellEnd"/>
            <w:r w:rsidRPr="002A7CC6">
              <w:rPr>
                <w:szCs w:val="20"/>
              </w:rPr>
              <w:t xml:space="preserve"> H, et al. Inotuzumab </w:t>
            </w:r>
            <w:proofErr w:type="spellStart"/>
            <w:r w:rsidRPr="002A7CC6">
              <w:rPr>
                <w:szCs w:val="20"/>
              </w:rPr>
              <w:t>ozogamicin</w:t>
            </w:r>
            <w:proofErr w:type="spellEnd"/>
            <w:r w:rsidRPr="002A7CC6">
              <w:rPr>
                <w:szCs w:val="20"/>
              </w:rPr>
              <w:t xml:space="preserve">, an anti-CD22-calecheamicin conjugate, for refractory and relapsed acute lymphocytic leukaemia: a phase 2 study. </w:t>
            </w:r>
          </w:p>
          <w:p w:rsidR="006955B3" w:rsidRPr="002A7CC6" w:rsidRDefault="006955B3" w:rsidP="001D48D7">
            <w:pPr>
              <w:pStyle w:val="Tabletext"/>
              <w:rPr>
                <w:szCs w:val="20"/>
              </w:rPr>
            </w:pPr>
          </w:p>
        </w:tc>
        <w:tc>
          <w:tcPr>
            <w:tcW w:w="1387" w:type="pct"/>
            <w:tcBorders>
              <w:top w:val="single" w:sz="4" w:space="0" w:color="auto"/>
              <w:bottom w:val="nil"/>
            </w:tcBorders>
          </w:tcPr>
          <w:p w:rsidR="006955B3" w:rsidRPr="002A7CC6" w:rsidRDefault="006955B3" w:rsidP="001D48D7">
            <w:pPr>
              <w:pStyle w:val="Tabletext"/>
              <w:rPr>
                <w:szCs w:val="20"/>
              </w:rPr>
            </w:pPr>
            <w:r w:rsidRPr="002A7CC6">
              <w:rPr>
                <w:szCs w:val="20"/>
              </w:rPr>
              <w:t>Lancet Oncology 2012; 13(4):403–411.</w:t>
            </w:r>
          </w:p>
        </w:tc>
      </w:tr>
      <w:tr w:rsidR="006955B3" w:rsidRPr="002A7CC6" w:rsidTr="006955B3">
        <w:tc>
          <w:tcPr>
            <w:tcW w:w="796" w:type="pct"/>
            <w:tcBorders>
              <w:top w:val="nil"/>
              <w:bottom w:val="single" w:sz="4" w:space="0" w:color="auto"/>
            </w:tcBorders>
          </w:tcPr>
          <w:p w:rsidR="006955B3" w:rsidRPr="002A7CC6" w:rsidRDefault="006955B3" w:rsidP="001D48D7">
            <w:pPr>
              <w:pStyle w:val="Tabletext"/>
              <w:rPr>
                <w:szCs w:val="20"/>
              </w:rPr>
            </w:pPr>
          </w:p>
        </w:tc>
        <w:tc>
          <w:tcPr>
            <w:tcW w:w="2817" w:type="pct"/>
            <w:tcBorders>
              <w:top w:val="nil"/>
              <w:bottom w:val="single" w:sz="4" w:space="0" w:color="auto"/>
            </w:tcBorders>
          </w:tcPr>
          <w:p w:rsidR="006955B3" w:rsidRPr="002A7CC6" w:rsidRDefault="006955B3" w:rsidP="001D48D7">
            <w:pPr>
              <w:pStyle w:val="Tabletext"/>
              <w:rPr>
                <w:szCs w:val="20"/>
              </w:rPr>
            </w:pPr>
            <w:proofErr w:type="spellStart"/>
            <w:r w:rsidRPr="002A7CC6">
              <w:rPr>
                <w:szCs w:val="20"/>
              </w:rPr>
              <w:t>Kantarjian</w:t>
            </w:r>
            <w:proofErr w:type="spellEnd"/>
            <w:r w:rsidRPr="002A7CC6">
              <w:rPr>
                <w:szCs w:val="20"/>
              </w:rPr>
              <w:t xml:space="preserve"> H, et al. Results of inotuzumab </w:t>
            </w:r>
            <w:proofErr w:type="spellStart"/>
            <w:r w:rsidRPr="002A7CC6">
              <w:rPr>
                <w:szCs w:val="20"/>
              </w:rPr>
              <w:t>ozogamicin</w:t>
            </w:r>
            <w:proofErr w:type="spellEnd"/>
            <w:r w:rsidRPr="002A7CC6">
              <w:rPr>
                <w:szCs w:val="20"/>
              </w:rPr>
              <w:t>, a CD22 monoclonal antibody, in refractory and relapsed acute lymphocytic leukaemia.</w:t>
            </w:r>
          </w:p>
        </w:tc>
        <w:tc>
          <w:tcPr>
            <w:tcW w:w="1387" w:type="pct"/>
            <w:tcBorders>
              <w:top w:val="nil"/>
              <w:bottom w:val="single" w:sz="4" w:space="0" w:color="auto"/>
            </w:tcBorders>
          </w:tcPr>
          <w:p w:rsidR="006955B3" w:rsidRPr="002A7CC6" w:rsidRDefault="006955B3" w:rsidP="001D48D7">
            <w:pPr>
              <w:pStyle w:val="Tabletext"/>
              <w:rPr>
                <w:szCs w:val="20"/>
              </w:rPr>
            </w:pPr>
            <w:r w:rsidRPr="002A7CC6">
              <w:rPr>
                <w:szCs w:val="20"/>
              </w:rPr>
              <w:t>Cancer 2013; 119(15):2728 – 2736.</w:t>
            </w:r>
          </w:p>
        </w:tc>
      </w:tr>
      <w:tr w:rsidR="006955B3" w:rsidRPr="002A7CC6" w:rsidTr="006955B3">
        <w:tc>
          <w:tcPr>
            <w:tcW w:w="5000" w:type="pct"/>
            <w:gridSpan w:val="3"/>
            <w:tcBorders>
              <w:top w:val="single" w:sz="4" w:space="0" w:color="auto"/>
              <w:bottom w:val="nil"/>
            </w:tcBorders>
          </w:tcPr>
          <w:p w:rsidR="006955B3" w:rsidRPr="002A7CC6" w:rsidRDefault="006955B3" w:rsidP="001D48D7">
            <w:pPr>
              <w:pStyle w:val="Tabletext"/>
              <w:rPr>
                <w:b/>
              </w:rPr>
            </w:pPr>
            <w:r w:rsidRPr="002A7CC6">
              <w:rPr>
                <w:b/>
              </w:rPr>
              <w:lastRenderedPageBreak/>
              <w:t>Supportive studies for blinatumomab</w:t>
            </w:r>
          </w:p>
        </w:tc>
      </w:tr>
      <w:tr w:rsidR="006955B3" w:rsidRPr="002A7CC6" w:rsidTr="00A45E9B">
        <w:trPr>
          <w:cantSplit/>
        </w:trPr>
        <w:tc>
          <w:tcPr>
            <w:tcW w:w="796" w:type="pct"/>
            <w:tcBorders>
              <w:top w:val="single" w:sz="4" w:space="0" w:color="auto"/>
              <w:bottom w:val="nil"/>
            </w:tcBorders>
          </w:tcPr>
          <w:p w:rsidR="006955B3" w:rsidRPr="002A7CC6" w:rsidRDefault="006955B3" w:rsidP="001D48D7">
            <w:pPr>
              <w:pStyle w:val="Tabletext"/>
              <w:rPr>
                <w:szCs w:val="20"/>
              </w:rPr>
            </w:pPr>
            <w:r w:rsidRPr="002A7CC6">
              <w:rPr>
                <w:szCs w:val="20"/>
              </w:rPr>
              <w:t>MT103-206</w:t>
            </w:r>
          </w:p>
          <w:p w:rsidR="006955B3" w:rsidRPr="002A7CC6" w:rsidRDefault="006955B3" w:rsidP="001D48D7">
            <w:pPr>
              <w:pStyle w:val="Tabletext"/>
              <w:rPr>
                <w:szCs w:val="20"/>
              </w:rPr>
            </w:pPr>
            <w:r w:rsidRPr="002A7CC6">
              <w:rPr>
                <w:szCs w:val="20"/>
              </w:rPr>
              <w:t>(NCT01209286)</w:t>
            </w:r>
          </w:p>
        </w:tc>
        <w:tc>
          <w:tcPr>
            <w:tcW w:w="2817" w:type="pct"/>
            <w:tcBorders>
              <w:top w:val="single" w:sz="4" w:space="0" w:color="auto"/>
              <w:bottom w:val="nil"/>
            </w:tcBorders>
          </w:tcPr>
          <w:p w:rsidR="006955B3" w:rsidRPr="002A7CC6" w:rsidRDefault="006955B3" w:rsidP="001D48D7">
            <w:pPr>
              <w:pStyle w:val="Tabletext"/>
              <w:rPr>
                <w:szCs w:val="18"/>
              </w:rPr>
            </w:pPr>
            <w:proofErr w:type="spellStart"/>
            <w:r w:rsidRPr="002A7CC6">
              <w:rPr>
                <w:szCs w:val="18"/>
              </w:rPr>
              <w:t>Topp</w:t>
            </w:r>
            <w:proofErr w:type="spellEnd"/>
            <w:r w:rsidRPr="002A7CC6">
              <w:rPr>
                <w:szCs w:val="18"/>
              </w:rPr>
              <w:t xml:space="preserve"> MS, et al. Phase II trial of the anti-CD19 bispecific T cell-engager blinatumomab shows hematologic and molecular remissions in patients with relapsed or refractory b-precursor acute lymphoblastic leukaemia. </w:t>
            </w:r>
          </w:p>
          <w:p w:rsidR="006955B3" w:rsidRPr="002A7CC6" w:rsidRDefault="006955B3" w:rsidP="001D48D7">
            <w:pPr>
              <w:pStyle w:val="Tabletext"/>
              <w:rPr>
                <w:szCs w:val="18"/>
              </w:rPr>
            </w:pPr>
          </w:p>
        </w:tc>
        <w:tc>
          <w:tcPr>
            <w:tcW w:w="1387" w:type="pct"/>
            <w:tcBorders>
              <w:top w:val="single" w:sz="4" w:space="0" w:color="auto"/>
              <w:bottom w:val="nil"/>
            </w:tcBorders>
          </w:tcPr>
          <w:p w:rsidR="006955B3" w:rsidRPr="002A7CC6" w:rsidRDefault="006955B3" w:rsidP="001D48D7">
            <w:pPr>
              <w:pStyle w:val="Tabletext"/>
              <w:rPr>
                <w:szCs w:val="18"/>
              </w:rPr>
            </w:pPr>
            <w:r w:rsidRPr="002A7CC6">
              <w:rPr>
                <w:szCs w:val="18"/>
              </w:rPr>
              <w:t>Journal of Clinical Oncology 2014; 32(36):4134-4142.</w:t>
            </w:r>
          </w:p>
        </w:tc>
      </w:tr>
      <w:tr w:rsidR="006955B3" w:rsidRPr="002A7CC6" w:rsidTr="006955B3">
        <w:tc>
          <w:tcPr>
            <w:tcW w:w="796" w:type="pct"/>
            <w:tcBorders>
              <w:top w:val="nil"/>
              <w:bottom w:val="single" w:sz="4" w:space="0" w:color="auto"/>
            </w:tcBorders>
          </w:tcPr>
          <w:p w:rsidR="006955B3" w:rsidRPr="002A7CC6" w:rsidRDefault="006955B3" w:rsidP="001D48D7">
            <w:pPr>
              <w:pStyle w:val="Tabletext"/>
              <w:rPr>
                <w:szCs w:val="20"/>
              </w:rPr>
            </w:pPr>
          </w:p>
        </w:tc>
        <w:tc>
          <w:tcPr>
            <w:tcW w:w="2817" w:type="pct"/>
            <w:tcBorders>
              <w:top w:val="nil"/>
              <w:bottom w:val="single" w:sz="4" w:space="0" w:color="auto"/>
            </w:tcBorders>
          </w:tcPr>
          <w:p w:rsidR="006955B3" w:rsidRPr="002A7CC6" w:rsidRDefault="006955B3" w:rsidP="001D48D7">
            <w:pPr>
              <w:pStyle w:val="Tabletext"/>
              <w:rPr>
                <w:szCs w:val="18"/>
              </w:rPr>
            </w:pPr>
            <w:proofErr w:type="spellStart"/>
            <w:r w:rsidRPr="002A7CC6">
              <w:rPr>
                <w:szCs w:val="18"/>
              </w:rPr>
              <w:t>Zugmaier</w:t>
            </w:r>
            <w:proofErr w:type="spellEnd"/>
            <w:r w:rsidRPr="002A7CC6">
              <w:rPr>
                <w:szCs w:val="18"/>
              </w:rPr>
              <w:t xml:space="preserve"> G, et al. Long-term survival and T-cell kinetics in relapsed/refractory ALL patients who achieved MRD response after blinatumomab treatment. </w:t>
            </w:r>
          </w:p>
        </w:tc>
        <w:tc>
          <w:tcPr>
            <w:tcW w:w="1387" w:type="pct"/>
            <w:tcBorders>
              <w:top w:val="nil"/>
              <w:bottom w:val="single" w:sz="4" w:space="0" w:color="auto"/>
            </w:tcBorders>
          </w:tcPr>
          <w:p w:rsidR="006955B3" w:rsidRPr="002A7CC6" w:rsidRDefault="006955B3" w:rsidP="001D48D7">
            <w:pPr>
              <w:pStyle w:val="Tabletext"/>
              <w:rPr>
                <w:szCs w:val="18"/>
              </w:rPr>
            </w:pPr>
            <w:r w:rsidRPr="002A7CC6">
              <w:rPr>
                <w:szCs w:val="18"/>
              </w:rPr>
              <w:t xml:space="preserve">American Society of </w:t>
            </w:r>
            <w:proofErr w:type="spellStart"/>
            <w:r w:rsidRPr="002A7CC6">
              <w:rPr>
                <w:szCs w:val="18"/>
              </w:rPr>
              <w:t>Hematology</w:t>
            </w:r>
            <w:proofErr w:type="spellEnd"/>
            <w:r w:rsidRPr="002A7CC6">
              <w:rPr>
                <w:szCs w:val="18"/>
              </w:rPr>
              <w:t xml:space="preserve"> 2015; 126 (24): 2578 – 2584.</w:t>
            </w:r>
          </w:p>
        </w:tc>
      </w:tr>
      <w:tr w:rsidR="006955B3" w:rsidRPr="002A7CC6" w:rsidTr="006955B3">
        <w:tc>
          <w:tcPr>
            <w:tcW w:w="796" w:type="pct"/>
            <w:tcBorders>
              <w:top w:val="single" w:sz="4" w:space="0" w:color="auto"/>
              <w:bottom w:val="single" w:sz="4" w:space="0" w:color="auto"/>
            </w:tcBorders>
          </w:tcPr>
          <w:p w:rsidR="006955B3" w:rsidRPr="002A7CC6" w:rsidRDefault="006955B3" w:rsidP="001D48D7">
            <w:pPr>
              <w:pStyle w:val="Tabletext"/>
            </w:pPr>
            <w:r w:rsidRPr="002A7CC6">
              <w:t>MT103-211</w:t>
            </w:r>
          </w:p>
          <w:p w:rsidR="006955B3" w:rsidRPr="002A7CC6" w:rsidRDefault="006955B3" w:rsidP="001D48D7">
            <w:pPr>
              <w:pStyle w:val="Tabletext"/>
            </w:pPr>
            <w:r w:rsidRPr="002A7CC6">
              <w:t>(NCT01466179)</w:t>
            </w:r>
          </w:p>
        </w:tc>
        <w:tc>
          <w:tcPr>
            <w:tcW w:w="2817" w:type="pct"/>
            <w:tcBorders>
              <w:top w:val="single" w:sz="4" w:space="0" w:color="auto"/>
              <w:bottom w:val="single" w:sz="4" w:space="0" w:color="auto"/>
            </w:tcBorders>
          </w:tcPr>
          <w:p w:rsidR="006955B3" w:rsidRPr="002A7CC6" w:rsidRDefault="006955B3" w:rsidP="001D48D7">
            <w:pPr>
              <w:pStyle w:val="Tabletext"/>
              <w:rPr>
                <w:szCs w:val="18"/>
              </w:rPr>
            </w:pPr>
            <w:proofErr w:type="spellStart"/>
            <w:r w:rsidRPr="002A7CC6">
              <w:t>Topp</w:t>
            </w:r>
            <w:proofErr w:type="spellEnd"/>
            <w:r w:rsidRPr="002A7CC6">
              <w:t xml:space="preserve"> MS et al. Safety and activity of blinatumomab for adult patient with relapsed or refractory B-precursor acute lymphoblastic leukaemia: A multicentre, single-arm, Phase 2 study. </w:t>
            </w:r>
          </w:p>
        </w:tc>
        <w:tc>
          <w:tcPr>
            <w:tcW w:w="1387" w:type="pct"/>
            <w:tcBorders>
              <w:top w:val="single" w:sz="4" w:space="0" w:color="auto"/>
              <w:bottom w:val="single" w:sz="4" w:space="0" w:color="auto"/>
            </w:tcBorders>
          </w:tcPr>
          <w:p w:rsidR="006955B3" w:rsidRPr="002A7CC6" w:rsidRDefault="006955B3" w:rsidP="001D48D7">
            <w:pPr>
              <w:pStyle w:val="Tabletext"/>
              <w:rPr>
                <w:szCs w:val="18"/>
              </w:rPr>
            </w:pPr>
            <w:r w:rsidRPr="002A7CC6">
              <w:t>Lancet Oncology 2015; 16; 57-66.</w:t>
            </w:r>
          </w:p>
        </w:tc>
      </w:tr>
    </w:tbl>
    <w:p w:rsidR="006955B3" w:rsidRPr="002A7CC6" w:rsidRDefault="006955B3" w:rsidP="00007D60">
      <w:pPr>
        <w:pStyle w:val="TableFooter"/>
        <w:keepNext/>
        <w:keepLines/>
        <w:widowControl/>
      </w:pPr>
      <w:r w:rsidRPr="002A7CC6">
        <w:t>Source: Table 2.2.1, pp.63-66 of the submission.</w:t>
      </w:r>
    </w:p>
    <w:p w:rsidR="006955B3" w:rsidRPr="002A7CC6" w:rsidRDefault="006955B3" w:rsidP="00007D60">
      <w:pPr>
        <w:pStyle w:val="TableFooter"/>
        <w:keepNext/>
        <w:keepLines/>
        <w:widowControl/>
        <w:rPr>
          <w:sz w:val="20"/>
        </w:rPr>
      </w:pPr>
      <w:r w:rsidRPr="002A7CC6">
        <w:t>Abbreviations: MRD, minimal residual disease.</w:t>
      </w:r>
    </w:p>
    <w:p w:rsidR="006955B3" w:rsidRPr="002A7CC6" w:rsidRDefault="006955B3" w:rsidP="00F96F7D">
      <w:pPr>
        <w:pStyle w:val="TableFooter"/>
      </w:pPr>
    </w:p>
    <w:p w:rsidR="006955B3" w:rsidRPr="002A7CC6" w:rsidRDefault="006955B3" w:rsidP="00007D60">
      <w:pPr>
        <w:pStyle w:val="ListParagraph"/>
        <w:widowControl/>
        <w:numPr>
          <w:ilvl w:val="1"/>
          <w:numId w:val="1"/>
        </w:numPr>
      </w:pPr>
      <w:r w:rsidRPr="002A7CC6">
        <w:t xml:space="preserve">The key features of the randomised trials included in the submission are summarised in the table below. </w:t>
      </w:r>
    </w:p>
    <w:p w:rsidR="006955B3" w:rsidRPr="002A7CC6" w:rsidRDefault="006955B3" w:rsidP="001D48D7">
      <w:pPr>
        <w:keepNext/>
        <w:keepLines/>
        <w:widowControl/>
        <w:rPr>
          <w:rStyle w:val="CommentReference"/>
        </w:rPr>
      </w:pPr>
      <w:r w:rsidRPr="002A7CC6">
        <w:rPr>
          <w:rStyle w:val="CommentReference"/>
        </w:rPr>
        <w:lastRenderedPageBreak/>
        <w:t>Table 3: Key features of the included evidence</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813"/>
        <w:gridCol w:w="986"/>
        <w:gridCol w:w="930"/>
        <w:gridCol w:w="1881"/>
        <w:gridCol w:w="1514"/>
        <w:gridCol w:w="2002"/>
      </w:tblGrid>
      <w:tr w:rsidR="006955B3" w:rsidRPr="002A7CC6" w:rsidTr="006955B3">
        <w:trPr>
          <w:cantSplit/>
          <w:tblHeader/>
        </w:trPr>
        <w:tc>
          <w:tcPr>
            <w:tcW w:w="491" w:type="pct"/>
            <w:shd w:val="clear" w:color="auto" w:fill="auto"/>
          </w:tcPr>
          <w:p w:rsidR="006955B3" w:rsidRPr="002A7CC6" w:rsidRDefault="006955B3" w:rsidP="001D48D7">
            <w:pPr>
              <w:pStyle w:val="Tabletext"/>
              <w:keepNext/>
              <w:keepLines/>
              <w:rPr>
                <w:b/>
                <w:lang w:val="en-US"/>
              </w:rPr>
            </w:pPr>
            <w:r w:rsidRPr="002A7CC6">
              <w:rPr>
                <w:b/>
                <w:lang w:val="en-US"/>
              </w:rPr>
              <w:t>Trial</w:t>
            </w:r>
          </w:p>
        </w:tc>
        <w:tc>
          <w:tcPr>
            <w:tcW w:w="451" w:type="pct"/>
            <w:shd w:val="clear" w:color="auto" w:fill="auto"/>
          </w:tcPr>
          <w:p w:rsidR="006955B3" w:rsidRPr="002A7CC6" w:rsidRDefault="006955B3" w:rsidP="001D48D7">
            <w:pPr>
              <w:pStyle w:val="Tabletext"/>
              <w:keepNext/>
              <w:keepLines/>
              <w:ind w:right="8"/>
              <w:jc w:val="center"/>
              <w:rPr>
                <w:b/>
                <w:lang w:val="en-US"/>
              </w:rPr>
            </w:pPr>
            <w:r w:rsidRPr="002A7CC6">
              <w:rPr>
                <w:b/>
                <w:lang w:val="en-US"/>
              </w:rPr>
              <w:t>N</w:t>
            </w:r>
          </w:p>
        </w:tc>
        <w:tc>
          <w:tcPr>
            <w:tcW w:w="547" w:type="pct"/>
            <w:shd w:val="clear" w:color="auto" w:fill="auto"/>
          </w:tcPr>
          <w:p w:rsidR="006955B3" w:rsidRPr="002A7CC6" w:rsidRDefault="006955B3" w:rsidP="001D48D7">
            <w:pPr>
              <w:pStyle w:val="Tabletext"/>
              <w:keepNext/>
              <w:keepLines/>
              <w:ind w:left="12" w:right="8"/>
              <w:jc w:val="center"/>
              <w:rPr>
                <w:b/>
                <w:lang w:val="en-US"/>
              </w:rPr>
            </w:pPr>
            <w:r w:rsidRPr="002A7CC6">
              <w:rPr>
                <w:b/>
                <w:lang w:val="en-US"/>
              </w:rPr>
              <w:t>Design</w:t>
            </w:r>
          </w:p>
        </w:tc>
        <w:tc>
          <w:tcPr>
            <w:tcW w:w="516" w:type="pct"/>
            <w:shd w:val="clear" w:color="auto" w:fill="auto"/>
          </w:tcPr>
          <w:p w:rsidR="006955B3" w:rsidRPr="002A7CC6" w:rsidRDefault="006955B3" w:rsidP="001D48D7">
            <w:pPr>
              <w:pStyle w:val="Tabletext"/>
              <w:keepNext/>
              <w:keepLines/>
              <w:ind w:left="12" w:right="8"/>
              <w:jc w:val="center"/>
              <w:rPr>
                <w:b/>
                <w:lang w:val="en-US"/>
              </w:rPr>
            </w:pPr>
            <w:r w:rsidRPr="002A7CC6">
              <w:rPr>
                <w:b/>
                <w:lang w:val="en-US"/>
              </w:rPr>
              <w:t>Risk of bias</w:t>
            </w:r>
          </w:p>
        </w:tc>
        <w:tc>
          <w:tcPr>
            <w:tcW w:w="1044" w:type="pct"/>
          </w:tcPr>
          <w:p w:rsidR="006955B3" w:rsidRPr="002A7CC6" w:rsidRDefault="006955B3" w:rsidP="001D48D7">
            <w:pPr>
              <w:pStyle w:val="Tabletext"/>
              <w:keepNext/>
              <w:keepLines/>
              <w:ind w:left="12" w:right="8"/>
              <w:jc w:val="center"/>
              <w:rPr>
                <w:b/>
                <w:lang w:val="en-US"/>
              </w:rPr>
            </w:pPr>
            <w:r w:rsidRPr="002A7CC6">
              <w:rPr>
                <w:b/>
                <w:lang w:val="en-US"/>
              </w:rPr>
              <w:t>Intervention</w:t>
            </w:r>
          </w:p>
        </w:tc>
        <w:tc>
          <w:tcPr>
            <w:tcW w:w="840" w:type="pct"/>
            <w:shd w:val="clear" w:color="auto" w:fill="auto"/>
          </w:tcPr>
          <w:p w:rsidR="006955B3" w:rsidRPr="002A7CC6" w:rsidRDefault="006955B3" w:rsidP="001D48D7">
            <w:pPr>
              <w:pStyle w:val="Tabletext"/>
              <w:keepNext/>
              <w:keepLines/>
              <w:ind w:left="12" w:right="8"/>
              <w:jc w:val="center"/>
              <w:rPr>
                <w:b/>
                <w:lang w:val="en-US"/>
              </w:rPr>
            </w:pPr>
            <w:r w:rsidRPr="002A7CC6">
              <w:rPr>
                <w:b/>
                <w:lang w:val="en-US"/>
              </w:rPr>
              <w:t>Patient population</w:t>
            </w:r>
          </w:p>
        </w:tc>
        <w:tc>
          <w:tcPr>
            <w:tcW w:w="1111" w:type="pct"/>
            <w:shd w:val="clear" w:color="auto" w:fill="auto"/>
          </w:tcPr>
          <w:p w:rsidR="006955B3" w:rsidRPr="002A7CC6" w:rsidRDefault="006955B3" w:rsidP="001D48D7">
            <w:pPr>
              <w:pStyle w:val="Tabletext"/>
              <w:keepNext/>
              <w:keepLines/>
              <w:ind w:left="12" w:right="8"/>
              <w:jc w:val="center"/>
              <w:rPr>
                <w:b/>
                <w:lang w:val="en-US"/>
              </w:rPr>
            </w:pPr>
            <w:r w:rsidRPr="002A7CC6">
              <w:rPr>
                <w:b/>
                <w:lang w:val="en-US"/>
              </w:rPr>
              <w:t>Outcomes</w:t>
            </w:r>
          </w:p>
        </w:tc>
      </w:tr>
      <w:tr w:rsidR="006955B3" w:rsidRPr="002A7CC6" w:rsidTr="006955B3">
        <w:trPr>
          <w:cantSplit/>
        </w:trPr>
        <w:tc>
          <w:tcPr>
            <w:tcW w:w="5000" w:type="pct"/>
            <w:gridSpan w:val="7"/>
            <w:shd w:val="clear" w:color="auto" w:fill="auto"/>
          </w:tcPr>
          <w:p w:rsidR="006955B3" w:rsidRPr="002A7CC6" w:rsidRDefault="006955B3" w:rsidP="001D48D7">
            <w:pPr>
              <w:pStyle w:val="TableText0"/>
              <w:keepNext/>
              <w:keepLines/>
              <w:spacing w:before="0" w:after="0"/>
              <w:ind w:left="12" w:right="8"/>
              <w:rPr>
                <w:rFonts w:ascii="Arial Narrow" w:hAnsi="Arial Narrow"/>
                <w:b/>
                <w:sz w:val="20"/>
              </w:rPr>
            </w:pPr>
            <w:r w:rsidRPr="002A7CC6">
              <w:rPr>
                <w:rFonts w:ascii="Arial Narrow" w:hAnsi="Arial Narrow"/>
                <w:b/>
                <w:sz w:val="20"/>
              </w:rPr>
              <w:t>Inotuzumab trial</w:t>
            </w:r>
          </w:p>
        </w:tc>
      </w:tr>
      <w:tr w:rsidR="006955B3" w:rsidRPr="002A7CC6" w:rsidTr="006955B3">
        <w:trPr>
          <w:cantSplit/>
        </w:trPr>
        <w:tc>
          <w:tcPr>
            <w:tcW w:w="491" w:type="pct"/>
            <w:shd w:val="clear" w:color="auto" w:fill="auto"/>
          </w:tcPr>
          <w:p w:rsidR="006955B3" w:rsidRPr="002A7CC6" w:rsidRDefault="007D7344" w:rsidP="001D48D7">
            <w:pPr>
              <w:pStyle w:val="Tabletext"/>
              <w:keepNext/>
              <w:keepLines/>
              <w:rPr>
                <w:szCs w:val="20"/>
                <w:lang w:val="en-US"/>
              </w:rPr>
            </w:pPr>
            <w:r>
              <w:rPr>
                <w:szCs w:val="20"/>
                <w:shd w:val="clear" w:color="auto" w:fill="FFFFFF"/>
              </w:rPr>
              <w:t>INO-VATE ALL</w:t>
            </w:r>
          </w:p>
        </w:tc>
        <w:tc>
          <w:tcPr>
            <w:tcW w:w="451" w:type="pct"/>
            <w:shd w:val="clear" w:color="auto" w:fill="auto"/>
          </w:tcPr>
          <w:p w:rsidR="006955B3" w:rsidRPr="002A7CC6" w:rsidRDefault="006955B3" w:rsidP="001D48D7">
            <w:pPr>
              <w:pStyle w:val="Tabletext"/>
              <w:keepNext/>
              <w:keepLines/>
              <w:ind w:right="8"/>
              <w:jc w:val="center"/>
              <w:rPr>
                <w:szCs w:val="20"/>
                <w:lang w:val="en-US"/>
              </w:rPr>
            </w:pPr>
            <w:r w:rsidRPr="002A7CC6">
              <w:rPr>
                <w:szCs w:val="20"/>
                <w:lang w:val="en-US"/>
              </w:rPr>
              <w:t>109/109</w:t>
            </w:r>
          </w:p>
          <w:p w:rsidR="006955B3" w:rsidRPr="002A7CC6" w:rsidRDefault="006955B3" w:rsidP="001D48D7">
            <w:pPr>
              <w:pStyle w:val="Tabletext"/>
              <w:keepNext/>
              <w:keepLines/>
              <w:ind w:right="8"/>
              <w:jc w:val="center"/>
              <w:rPr>
                <w:szCs w:val="20"/>
                <w:lang w:val="en-US"/>
              </w:rPr>
            </w:pPr>
            <w:r w:rsidRPr="002A7CC6">
              <w:rPr>
                <w:szCs w:val="20"/>
                <w:lang w:val="en-US"/>
              </w:rPr>
              <w:t>(ITT-218</w:t>
            </w:r>
            <w:r w:rsidR="0018297D" w:rsidRPr="002A7CC6">
              <w:rPr>
                <w:szCs w:val="20"/>
                <w:vertAlign w:val="superscript"/>
                <w:lang w:val="en-US"/>
              </w:rPr>
              <w:t>a</w:t>
            </w:r>
            <w:r w:rsidRPr="002A7CC6">
              <w:rPr>
                <w:szCs w:val="20"/>
                <w:lang w:val="en-US"/>
              </w:rPr>
              <w:t>)</w:t>
            </w:r>
          </w:p>
          <w:p w:rsidR="006955B3" w:rsidRPr="002A7CC6" w:rsidRDefault="006955B3" w:rsidP="001D48D7">
            <w:pPr>
              <w:pStyle w:val="Tabletext"/>
              <w:keepNext/>
              <w:keepLines/>
              <w:ind w:right="8"/>
              <w:jc w:val="center"/>
              <w:rPr>
                <w:szCs w:val="20"/>
                <w:lang w:val="en-US"/>
              </w:rPr>
            </w:pPr>
          </w:p>
          <w:p w:rsidR="006955B3" w:rsidRPr="002A7CC6" w:rsidRDefault="006955B3" w:rsidP="001D48D7">
            <w:pPr>
              <w:pStyle w:val="Tabletext"/>
              <w:keepNext/>
              <w:keepLines/>
              <w:ind w:right="8"/>
              <w:jc w:val="center"/>
              <w:rPr>
                <w:szCs w:val="20"/>
                <w:lang w:val="en-US"/>
              </w:rPr>
            </w:pPr>
            <w:r w:rsidRPr="002A7CC6">
              <w:rPr>
                <w:szCs w:val="20"/>
                <w:lang w:val="en-US"/>
              </w:rPr>
              <w:t>164/162</w:t>
            </w:r>
          </w:p>
          <w:p w:rsidR="006955B3" w:rsidRPr="002A7CC6" w:rsidRDefault="006955B3" w:rsidP="001D48D7">
            <w:pPr>
              <w:pStyle w:val="Tabletext"/>
              <w:keepNext/>
              <w:keepLines/>
              <w:ind w:right="8"/>
              <w:jc w:val="center"/>
              <w:rPr>
                <w:szCs w:val="20"/>
                <w:lang w:val="en-US"/>
              </w:rPr>
            </w:pPr>
            <w:r w:rsidRPr="002A7CC6">
              <w:rPr>
                <w:szCs w:val="20"/>
                <w:lang w:val="en-US"/>
              </w:rPr>
              <w:t>(ITT)</w:t>
            </w:r>
          </w:p>
          <w:p w:rsidR="006A5FE2" w:rsidRPr="002A7CC6" w:rsidRDefault="006A5FE2" w:rsidP="001D48D7">
            <w:pPr>
              <w:pStyle w:val="Tabletext"/>
              <w:keepNext/>
              <w:keepLines/>
              <w:ind w:right="8"/>
              <w:jc w:val="center"/>
              <w:rPr>
                <w:szCs w:val="20"/>
                <w:lang w:val="en-US"/>
              </w:rPr>
            </w:pPr>
          </w:p>
          <w:p w:rsidR="006A5FE2" w:rsidRPr="002A7CC6" w:rsidRDefault="006A5FE2" w:rsidP="001D48D7">
            <w:pPr>
              <w:pStyle w:val="Tabletext"/>
              <w:keepNext/>
              <w:keepLines/>
              <w:ind w:right="8"/>
              <w:jc w:val="center"/>
              <w:rPr>
                <w:szCs w:val="20"/>
                <w:lang w:val="en-US"/>
              </w:rPr>
            </w:pPr>
            <w:r w:rsidRPr="002A7CC6">
              <w:rPr>
                <w:szCs w:val="20"/>
                <w:lang w:val="en-US"/>
              </w:rPr>
              <w:t>164/162</w:t>
            </w:r>
          </w:p>
          <w:p w:rsidR="006A5FE2" w:rsidRPr="002A7CC6" w:rsidRDefault="006A5FE2" w:rsidP="001D48D7">
            <w:pPr>
              <w:pStyle w:val="Tabletext"/>
              <w:keepNext/>
              <w:keepLines/>
              <w:ind w:right="8"/>
              <w:jc w:val="center"/>
              <w:rPr>
                <w:szCs w:val="20"/>
                <w:lang w:val="en-US"/>
              </w:rPr>
            </w:pPr>
            <w:r w:rsidRPr="002A7CC6">
              <w:rPr>
                <w:szCs w:val="20"/>
                <w:lang w:val="en-US"/>
              </w:rPr>
              <w:t>(LPLV)</w:t>
            </w:r>
          </w:p>
        </w:tc>
        <w:tc>
          <w:tcPr>
            <w:tcW w:w="547" w:type="pct"/>
            <w:shd w:val="clear" w:color="auto" w:fill="auto"/>
          </w:tcPr>
          <w:p w:rsidR="006955B3" w:rsidRPr="002A7CC6" w:rsidRDefault="006955B3" w:rsidP="001D48D7">
            <w:pPr>
              <w:pStyle w:val="Tabletext"/>
              <w:keepNext/>
              <w:keepLines/>
              <w:ind w:left="12" w:right="8"/>
              <w:rPr>
                <w:szCs w:val="20"/>
                <w:shd w:val="clear" w:color="auto" w:fill="FFFFFF"/>
              </w:rPr>
            </w:pPr>
            <w:r w:rsidRPr="002A7CC6">
              <w:rPr>
                <w:szCs w:val="20"/>
                <w:shd w:val="clear" w:color="auto" w:fill="FFFFFF"/>
              </w:rPr>
              <w:t>Phase III,</w:t>
            </w:r>
          </w:p>
          <w:p w:rsidR="006955B3" w:rsidRPr="002A7CC6" w:rsidRDefault="006955B3" w:rsidP="001D48D7">
            <w:pPr>
              <w:pStyle w:val="Tabletext"/>
              <w:keepNext/>
              <w:keepLines/>
              <w:ind w:left="12" w:right="8"/>
              <w:rPr>
                <w:szCs w:val="20"/>
                <w:lang w:val="en-US"/>
              </w:rPr>
            </w:pPr>
            <w:r w:rsidRPr="002A7CC6">
              <w:rPr>
                <w:szCs w:val="20"/>
                <w:shd w:val="clear" w:color="auto" w:fill="FFFFFF"/>
              </w:rPr>
              <w:t xml:space="preserve">open label, randomised, controlled, multicentre, international trial </w:t>
            </w:r>
          </w:p>
        </w:tc>
        <w:tc>
          <w:tcPr>
            <w:tcW w:w="516" w:type="pct"/>
            <w:shd w:val="clear" w:color="auto" w:fill="auto"/>
          </w:tcPr>
          <w:p w:rsidR="006955B3" w:rsidRPr="002A7CC6" w:rsidRDefault="006955B3" w:rsidP="001D48D7">
            <w:pPr>
              <w:pStyle w:val="Tabletext"/>
              <w:keepNext/>
              <w:keepLines/>
              <w:ind w:left="12" w:right="8"/>
              <w:jc w:val="center"/>
              <w:rPr>
                <w:szCs w:val="20"/>
                <w:lang w:val="en-US"/>
              </w:rPr>
            </w:pPr>
            <w:r w:rsidRPr="002A7CC6">
              <w:rPr>
                <w:szCs w:val="20"/>
                <w:lang w:val="en-US"/>
              </w:rPr>
              <w:t>High</w:t>
            </w:r>
          </w:p>
        </w:tc>
        <w:tc>
          <w:tcPr>
            <w:tcW w:w="1044" w:type="pct"/>
          </w:tcPr>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u w:val="single"/>
              </w:rPr>
              <w:t>Inotuzumab</w:t>
            </w:r>
            <w:r w:rsidRPr="002A7CC6">
              <w:rPr>
                <w:rFonts w:ascii="Arial Narrow" w:hAnsi="Arial Narrow"/>
                <w:sz w:val="20"/>
              </w:rPr>
              <w:t>: IV infusion,</w:t>
            </w:r>
          </w:p>
          <w:p w:rsidR="006955B3" w:rsidRPr="002A7CC6" w:rsidRDefault="006955B3" w:rsidP="001D48D7">
            <w:pPr>
              <w:pStyle w:val="TableText0"/>
              <w:keepNext/>
              <w:keepLines/>
              <w:spacing w:before="0" w:after="0"/>
              <w:ind w:left="12" w:right="8"/>
              <w:rPr>
                <w:rFonts w:ascii="Arial Narrow" w:hAnsi="Arial Narrow"/>
                <w:sz w:val="20"/>
                <w:vertAlign w:val="superscript"/>
              </w:rPr>
            </w:pPr>
            <w:r w:rsidRPr="002A7CC6">
              <w:rPr>
                <w:rFonts w:ascii="Arial Narrow" w:hAnsi="Arial Narrow"/>
                <w:sz w:val="20"/>
              </w:rPr>
              <w:t>1.8 mg/m</w:t>
            </w:r>
            <w:r w:rsidRPr="002A7CC6">
              <w:rPr>
                <w:rFonts w:ascii="Arial Narrow" w:hAnsi="Arial Narrow"/>
                <w:sz w:val="20"/>
                <w:vertAlign w:val="superscript"/>
              </w:rPr>
              <w:t>2</w:t>
            </w:r>
            <w:r w:rsidRPr="002A7CC6">
              <w:rPr>
                <w:rFonts w:ascii="Arial Narrow" w:hAnsi="Arial Narrow"/>
                <w:sz w:val="20"/>
              </w:rPr>
              <w:t xml:space="preserve"> per </w:t>
            </w:r>
            <w:proofErr w:type="spellStart"/>
            <w:r w:rsidRPr="002A7CC6">
              <w:rPr>
                <w:rFonts w:ascii="Arial Narrow" w:hAnsi="Arial Narrow"/>
                <w:sz w:val="20"/>
              </w:rPr>
              <w:t>cycle,</w:t>
            </w:r>
            <w:r w:rsidR="0018297D" w:rsidRPr="002A7CC6">
              <w:rPr>
                <w:rFonts w:ascii="Arial Narrow" w:hAnsi="Arial Narrow"/>
                <w:sz w:val="20"/>
                <w:vertAlign w:val="superscript"/>
              </w:rPr>
              <w:t>b</w:t>
            </w:r>
            <w:proofErr w:type="spellEnd"/>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0.8 mg/m</w:t>
            </w:r>
            <w:r w:rsidRPr="002A7CC6">
              <w:rPr>
                <w:rFonts w:ascii="Arial Narrow" w:hAnsi="Arial Narrow"/>
                <w:sz w:val="20"/>
                <w:vertAlign w:val="superscript"/>
              </w:rPr>
              <w:t>2</w:t>
            </w:r>
            <w:r w:rsidRPr="002A7CC6">
              <w:rPr>
                <w:rFonts w:ascii="Arial Narrow" w:hAnsi="Arial Narrow"/>
                <w:sz w:val="20"/>
              </w:rPr>
              <w:t xml:space="preserve"> on Day 1</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0.5 mg/m</w:t>
            </w:r>
            <w:r w:rsidRPr="002A7CC6">
              <w:rPr>
                <w:rFonts w:ascii="Arial Narrow" w:hAnsi="Arial Narrow"/>
                <w:sz w:val="20"/>
                <w:vertAlign w:val="superscript"/>
              </w:rPr>
              <w:t>2</w:t>
            </w:r>
            <w:r w:rsidRPr="002A7CC6">
              <w:rPr>
                <w:rFonts w:ascii="Arial Narrow" w:hAnsi="Arial Narrow"/>
                <w:sz w:val="20"/>
              </w:rPr>
              <w:t xml:space="preserve"> on Day 8 and Day 15.</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First cycle 21 days, then</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 xml:space="preserve">28 days, treatment free Day 16 to Day 28. </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 xml:space="preserve">Maximum of 6 cycles. </w:t>
            </w:r>
            <w:r w:rsidRPr="002A7CC6">
              <w:rPr>
                <w:rFonts w:ascii="Arial Narrow" w:hAnsi="Arial Narrow"/>
                <w:sz w:val="20"/>
                <w:u w:val="single"/>
              </w:rPr>
              <w:t>SOC chemotherapy</w:t>
            </w:r>
            <w:r w:rsidRPr="002A7CC6">
              <w:rPr>
                <w:rFonts w:ascii="Arial Narrow" w:hAnsi="Arial Narrow"/>
                <w:sz w:val="20"/>
              </w:rPr>
              <w:t>:</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Investigator’s choice of FLAG, MXN/</w:t>
            </w:r>
            <w:proofErr w:type="spellStart"/>
            <w:r w:rsidRPr="002A7CC6">
              <w:rPr>
                <w:rFonts w:ascii="Arial Narrow" w:hAnsi="Arial Narrow"/>
                <w:sz w:val="20"/>
              </w:rPr>
              <w:t>Ara</w:t>
            </w:r>
            <w:proofErr w:type="spellEnd"/>
            <w:r w:rsidRPr="002A7CC6">
              <w:rPr>
                <w:rFonts w:ascii="Arial Narrow" w:hAnsi="Arial Narrow"/>
                <w:sz w:val="20"/>
              </w:rPr>
              <w:t xml:space="preserve">-C, or </w:t>
            </w:r>
            <w:proofErr w:type="spellStart"/>
            <w:r w:rsidRPr="002A7CC6">
              <w:rPr>
                <w:rFonts w:ascii="Arial Narrow" w:hAnsi="Arial Narrow"/>
                <w:sz w:val="20"/>
              </w:rPr>
              <w:t>HiDAC</w:t>
            </w:r>
            <w:proofErr w:type="spellEnd"/>
            <w:r w:rsidRPr="002A7CC6">
              <w:rPr>
                <w:rFonts w:ascii="Arial Narrow" w:hAnsi="Arial Narrow"/>
                <w:sz w:val="20"/>
              </w:rPr>
              <w:t>.</w:t>
            </w:r>
          </w:p>
        </w:tc>
        <w:tc>
          <w:tcPr>
            <w:tcW w:w="840" w:type="pct"/>
            <w:shd w:val="clear" w:color="auto" w:fill="auto"/>
          </w:tcPr>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 xml:space="preserve">Relapsed/refractory CD22 positive, </w:t>
            </w:r>
            <w:r w:rsidRPr="002A7CC6">
              <w:rPr>
                <w:rFonts w:ascii="Arial Narrow" w:hAnsi="Arial Narrow"/>
                <w:sz w:val="20"/>
              </w:rPr>
              <w:br/>
              <w:t>B-ALL, ≥ 18 years.</w:t>
            </w:r>
          </w:p>
          <w:p w:rsidR="006955B3" w:rsidRPr="002A7CC6" w:rsidRDefault="006955B3" w:rsidP="001D48D7">
            <w:pPr>
              <w:pStyle w:val="Tabletext"/>
              <w:keepNext/>
              <w:keepLines/>
              <w:ind w:left="12" w:right="8"/>
              <w:rPr>
                <w:szCs w:val="20"/>
                <w:vertAlign w:val="superscript"/>
              </w:rPr>
            </w:pPr>
            <w:r w:rsidRPr="002A7CC6">
              <w:rPr>
                <w:szCs w:val="20"/>
              </w:rPr>
              <w:t xml:space="preserve">Eligible for first or second line salvage </w:t>
            </w:r>
            <w:proofErr w:type="spellStart"/>
            <w:r w:rsidRPr="002A7CC6">
              <w:rPr>
                <w:szCs w:val="20"/>
              </w:rPr>
              <w:t>therapy.</w:t>
            </w:r>
            <w:r w:rsidR="0018297D" w:rsidRPr="002A7CC6">
              <w:rPr>
                <w:szCs w:val="20"/>
                <w:vertAlign w:val="superscript"/>
              </w:rPr>
              <w:t>c</w:t>
            </w:r>
            <w:proofErr w:type="spellEnd"/>
          </w:p>
          <w:p w:rsidR="006955B3" w:rsidRPr="002A7CC6" w:rsidRDefault="006955B3" w:rsidP="001D48D7">
            <w:pPr>
              <w:pStyle w:val="Tabletext"/>
              <w:keepNext/>
              <w:keepLines/>
              <w:ind w:left="12" w:right="8"/>
              <w:rPr>
                <w:szCs w:val="20"/>
                <w:lang w:val="en-US"/>
              </w:rPr>
            </w:pPr>
            <w:r w:rsidRPr="002A7CC6">
              <w:rPr>
                <w:szCs w:val="20"/>
              </w:rPr>
              <w:t>ECOG ≤ 2.</w:t>
            </w:r>
          </w:p>
        </w:tc>
        <w:tc>
          <w:tcPr>
            <w:tcW w:w="1111" w:type="pct"/>
            <w:shd w:val="clear" w:color="auto" w:fill="auto"/>
          </w:tcPr>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Rate of complete remission or complete remission with incomplete haematological recovery.</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Overall survival;</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Progression free survival.</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Duration of response; HSCT rate.</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EQ-5D, EORTC-QLQ-C30.</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Safety.</w:t>
            </w:r>
          </w:p>
        </w:tc>
      </w:tr>
      <w:tr w:rsidR="006955B3" w:rsidRPr="002A7CC6" w:rsidTr="006955B3">
        <w:trPr>
          <w:cantSplit/>
        </w:trPr>
        <w:tc>
          <w:tcPr>
            <w:tcW w:w="5000" w:type="pct"/>
            <w:gridSpan w:val="7"/>
            <w:shd w:val="clear" w:color="auto" w:fill="auto"/>
          </w:tcPr>
          <w:p w:rsidR="006955B3" w:rsidRPr="002A7CC6" w:rsidRDefault="006955B3" w:rsidP="001D48D7">
            <w:pPr>
              <w:pStyle w:val="TableText0"/>
              <w:keepNext/>
              <w:keepLines/>
              <w:spacing w:before="0" w:after="0"/>
              <w:ind w:left="12" w:right="8"/>
              <w:rPr>
                <w:rFonts w:ascii="Arial Narrow" w:hAnsi="Arial Narrow"/>
                <w:b/>
                <w:sz w:val="20"/>
              </w:rPr>
            </w:pPr>
            <w:r w:rsidRPr="002A7CC6">
              <w:rPr>
                <w:rFonts w:ascii="Arial Narrow" w:hAnsi="Arial Narrow"/>
                <w:b/>
                <w:sz w:val="20"/>
              </w:rPr>
              <w:t>Blinatumomab trial</w:t>
            </w:r>
          </w:p>
        </w:tc>
      </w:tr>
      <w:tr w:rsidR="006955B3" w:rsidRPr="002A7CC6" w:rsidTr="006955B3">
        <w:trPr>
          <w:cantSplit/>
        </w:trPr>
        <w:tc>
          <w:tcPr>
            <w:tcW w:w="491" w:type="pct"/>
            <w:shd w:val="clear" w:color="auto" w:fill="auto"/>
          </w:tcPr>
          <w:p w:rsidR="006955B3" w:rsidRPr="002A7CC6" w:rsidRDefault="006955B3" w:rsidP="001D48D7">
            <w:pPr>
              <w:pStyle w:val="Tabletext"/>
              <w:keepNext/>
              <w:keepLines/>
              <w:rPr>
                <w:szCs w:val="20"/>
                <w:lang w:val="en-US"/>
              </w:rPr>
            </w:pPr>
            <w:r w:rsidRPr="002A7CC6">
              <w:rPr>
                <w:szCs w:val="20"/>
                <w:shd w:val="clear" w:color="auto" w:fill="FFFFFF"/>
              </w:rPr>
              <w:t>TOWER</w:t>
            </w:r>
          </w:p>
        </w:tc>
        <w:tc>
          <w:tcPr>
            <w:tcW w:w="451" w:type="pct"/>
            <w:shd w:val="clear" w:color="auto" w:fill="auto"/>
          </w:tcPr>
          <w:p w:rsidR="006955B3" w:rsidRPr="002A7CC6" w:rsidRDefault="006955B3" w:rsidP="001D48D7">
            <w:pPr>
              <w:pStyle w:val="Tabletext"/>
              <w:keepNext/>
              <w:keepLines/>
              <w:ind w:right="8"/>
              <w:jc w:val="center"/>
              <w:rPr>
                <w:szCs w:val="20"/>
                <w:lang w:val="en-US"/>
              </w:rPr>
            </w:pPr>
            <w:r w:rsidRPr="002A7CC6">
              <w:rPr>
                <w:szCs w:val="20"/>
                <w:lang w:val="en-US"/>
              </w:rPr>
              <w:t>271/134</w:t>
            </w:r>
          </w:p>
          <w:p w:rsidR="006955B3" w:rsidRPr="002A7CC6" w:rsidRDefault="006955B3" w:rsidP="001D48D7">
            <w:pPr>
              <w:pStyle w:val="Tabletext"/>
              <w:keepNext/>
              <w:keepLines/>
              <w:ind w:right="8"/>
              <w:jc w:val="center"/>
              <w:rPr>
                <w:szCs w:val="20"/>
                <w:lang w:val="en-US"/>
              </w:rPr>
            </w:pPr>
            <w:r w:rsidRPr="002A7CC6">
              <w:rPr>
                <w:szCs w:val="20"/>
                <w:lang w:val="en-US"/>
              </w:rPr>
              <w:t>ITT</w:t>
            </w:r>
          </w:p>
        </w:tc>
        <w:tc>
          <w:tcPr>
            <w:tcW w:w="547" w:type="pct"/>
            <w:shd w:val="clear" w:color="auto" w:fill="auto"/>
          </w:tcPr>
          <w:p w:rsidR="006955B3" w:rsidRPr="002A7CC6" w:rsidRDefault="006955B3" w:rsidP="001D48D7">
            <w:pPr>
              <w:pStyle w:val="Tabletext"/>
              <w:keepNext/>
              <w:keepLines/>
              <w:ind w:left="12" w:right="8"/>
              <w:rPr>
                <w:szCs w:val="20"/>
                <w:shd w:val="clear" w:color="auto" w:fill="FFFFFF"/>
              </w:rPr>
            </w:pPr>
            <w:r w:rsidRPr="002A7CC6">
              <w:rPr>
                <w:szCs w:val="20"/>
                <w:shd w:val="clear" w:color="auto" w:fill="FFFFFF"/>
              </w:rPr>
              <w:t>Phase III,</w:t>
            </w:r>
          </w:p>
          <w:p w:rsidR="006955B3" w:rsidRPr="002A7CC6" w:rsidRDefault="006955B3" w:rsidP="001D48D7">
            <w:pPr>
              <w:pStyle w:val="Tabletext"/>
              <w:keepNext/>
              <w:keepLines/>
              <w:ind w:left="12" w:right="8"/>
              <w:rPr>
                <w:szCs w:val="20"/>
                <w:shd w:val="clear" w:color="auto" w:fill="FFFFFF"/>
              </w:rPr>
            </w:pPr>
            <w:r w:rsidRPr="002A7CC6">
              <w:rPr>
                <w:szCs w:val="20"/>
                <w:shd w:val="clear" w:color="auto" w:fill="FFFFFF"/>
              </w:rPr>
              <w:t>open label, randomised, controlled, multicentre,</w:t>
            </w:r>
          </w:p>
          <w:p w:rsidR="006955B3" w:rsidRPr="002A7CC6" w:rsidRDefault="006955B3" w:rsidP="001D48D7">
            <w:pPr>
              <w:pStyle w:val="Tabletext"/>
              <w:keepNext/>
              <w:keepLines/>
              <w:ind w:left="12" w:right="8"/>
              <w:rPr>
                <w:szCs w:val="20"/>
                <w:lang w:val="en-US"/>
              </w:rPr>
            </w:pPr>
            <w:r w:rsidRPr="002A7CC6">
              <w:rPr>
                <w:szCs w:val="20"/>
                <w:shd w:val="clear" w:color="auto" w:fill="FFFFFF"/>
              </w:rPr>
              <w:t xml:space="preserve">international trial </w:t>
            </w:r>
          </w:p>
        </w:tc>
        <w:tc>
          <w:tcPr>
            <w:tcW w:w="516" w:type="pct"/>
            <w:shd w:val="clear" w:color="auto" w:fill="auto"/>
          </w:tcPr>
          <w:p w:rsidR="006955B3" w:rsidRPr="002A7CC6" w:rsidRDefault="006955B3" w:rsidP="001D48D7">
            <w:pPr>
              <w:pStyle w:val="Tabletext"/>
              <w:keepNext/>
              <w:keepLines/>
              <w:ind w:left="12" w:right="8"/>
              <w:jc w:val="center"/>
              <w:rPr>
                <w:szCs w:val="20"/>
                <w:lang w:val="en-US"/>
              </w:rPr>
            </w:pPr>
            <w:r w:rsidRPr="002A7CC6">
              <w:rPr>
                <w:szCs w:val="20"/>
                <w:lang w:val="en-US"/>
              </w:rPr>
              <w:t>High</w:t>
            </w:r>
          </w:p>
        </w:tc>
        <w:tc>
          <w:tcPr>
            <w:tcW w:w="1044" w:type="pct"/>
          </w:tcPr>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u w:val="single"/>
              </w:rPr>
              <w:t>Blinatumomab</w:t>
            </w:r>
            <w:r w:rsidRPr="002A7CC6">
              <w:rPr>
                <w:rFonts w:ascii="Arial Narrow" w:hAnsi="Arial Narrow"/>
                <w:sz w:val="20"/>
              </w:rPr>
              <w:t>: IV continuous infusion over 28 days followed by 14 days treatment free interval.</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9 mcg/m</w:t>
            </w:r>
            <w:r w:rsidRPr="002A7CC6">
              <w:rPr>
                <w:rFonts w:ascii="Arial Narrow" w:hAnsi="Arial Narrow"/>
                <w:sz w:val="20"/>
                <w:vertAlign w:val="superscript"/>
              </w:rPr>
              <w:t>2</w:t>
            </w:r>
            <w:r w:rsidRPr="002A7CC6">
              <w:rPr>
                <w:rFonts w:ascii="Arial Narrow" w:hAnsi="Arial Narrow"/>
                <w:sz w:val="20"/>
              </w:rPr>
              <w:t>/day for the first 7 days of Cycle 1, then 28 mcg/m</w:t>
            </w:r>
            <w:r w:rsidRPr="002A7CC6">
              <w:rPr>
                <w:rFonts w:ascii="Arial Narrow" w:hAnsi="Arial Narrow"/>
                <w:sz w:val="20"/>
                <w:vertAlign w:val="superscript"/>
              </w:rPr>
              <w:t>2</w:t>
            </w:r>
            <w:r w:rsidRPr="002A7CC6">
              <w:rPr>
                <w:rFonts w:ascii="Arial Narrow" w:hAnsi="Arial Narrow"/>
                <w:sz w:val="20"/>
              </w:rPr>
              <w:t>/day for remainder of Cycle 1 and all subsequent cycles.</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Maximum of 4 cycles.</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u w:val="single"/>
              </w:rPr>
              <w:t>SOC chemotherapy</w:t>
            </w:r>
            <w:r w:rsidRPr="002A7CC6">
              <w:rPr>
                <w:rFonts w:ascii="Arial Narrow" w:hAnsi="Arial Narrow"/>
                <w:sz w:val="20"/>
              </w:rPr>
              <w:t>:</w:t>
            </w:r>
          </w:p>
          <w:p w:rsidR="006955B3" w:rsidRPr="002A7CC6" w:rsidRDefault="006955B3" w:rsidP="001D48D7">
            <w:pPr>
              <w:pStyle w:val="TableText0"/>
              <w:keepNext/>
              <w:keepLines/>
              <w:ind w:left="12" w:right="8"/>
              <w:rPr>
                <w:rFonts w:ascii="Arial Narrow" w:hAnsi="Arial Narrow"/>
                <w:sz w:val="20"/>
              </w:rPr>
            </w:pPr>
            <w:r w:rsidRPr="002A7CC6">
              <w:rPr>
                <w:rFonts w:ascii="Arial Narrow" w:hAnsi="Arial Narrow"/>
                <w:sz w:val="20"/>
              </w:rPr>
              <w:t xml:space="preserve">Investigator’s choice of FLAG-IDA, </w:t>
            </w:r>
            <w:proofErr w:type="spellStart"/>
            <w:r w:rsidRPr="002A7CC6">
              <w:rPr>
                <w:rFonts w:ascii="Arial Narrow" w:hAnsi="Arial Narrow"/>
                <w:sz w:val="20"/>
              </w:rPr>
              <w:t>HiDAC</w:t>
            </w:r>
            <w:proofErr w:type="spellEnd"/>
            <w:r w:rsidRPr="002A7CC6">
              <w:rPr>
                <w:rFonts w:ascii="Arial Narrow" w:hAnsi="Arial Narrow"/>
                <w:sz w:val="20"/>
              </w:rPr>
              <w:t xml:space="preserve">; high-dose methotrexate; or </w:t>
            </w:r>
            <w:proofErr w:type="spellStart"/>
            <w:r w:rsidRPr="002A7CC6">
              <w:rPr>
                <w:rFonts w:ascii="Arial Narrow" w:hAnsi="Arial Narrow"/>
                <w:sz w:val="20"/>
              </w:rPr>
              <w:t>clofarabine</w:t>
            </w:r>
            <w:proofErr w:type="spellEnd"/>
            <w:r w:rsidRPr="002A7CC6">
              <w:rPr>
                <w:rFonts w:ascii="Arial Narrow" w:hAnsi="Arial Narrow"/>
                <w:sz w:val="20"/>
              </w:rPr>
              <w:t>.</w:t>
            </w:r>
          </w:p>
        </w:tc>
        <w:tc>
          <w:tcPr>
            <w:tcW w:w="840" w:type="pct"/>
            <w:shd w:val="clear" w:color="auto" w:fill="auto"/>
          </w:tcPr>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 xml:space="preserve">Relapsed/refractory </w:t>
            </w:r>
            <w:proofErr w:type="spellStart"/>
            <w:r w:rsidRPr="002A7CC6">
              <w:rPr>
                <w:rFonts w:ascii="Arial Narrow" w:hAnsi="Arial Narrow"/>
                <w:sz w:val="20"/>
              </w:rPr>
              <w:t>Ph</w:t>
            </w:r>
            <w:proofErr w:type="spellEnd"/>
            <w:r w:rsidRPr="002A7CC6">
              <w:rPr>
                <w:rFonts w:ascii="Arial Narrow" w:hAnsi="Arial Narrow"/>
                <w:sz w:val="20"/>
              </w:rPr>
              <w:t xml:space="preserve">- B-ALL, </w:t>
            </w:r>
            <w:r w:rsidRPr="002A7CC6">
              <w:rPr>
                <w:rFonts w:ascii="Arial Narrow" w:hAnsi="Arial Narrow"/>
                <w:sz w:val="20"/>
              </w:rPr>
              <w:br/>
              <w:t>≥ 18 years,</w:t>
            </w:r>
          </w:p>
          <w:p w:rsidR="006955B3" w:rsidRPr="002A7CC6" w:rsidRDefault="006955B3" w:rsidP="001D48D7">
            <w:pPr>
              <w:pStyle w:val="Tabletext"/>
              <w:keepNext/>
              <w:keepLines/>
              <w:ind w:left="12" w:right="8"/>
              <w:rPr>
                <w:szCs w:val="20"/>
                <w:vertAlign w:val="superscript"/>
              </w:rPr>
            </w:pPr>
            <w:r w:rsidRPr="002A7CC6">
              <w:rPr>
                <w:szCs w:val="20"/>
              </w:rPr>
              <w:t>Eligible for salvage therapy following: induction therapy; relapse from first remission if duration ≤ 12 months; second or subsequent remission; or remission following HSCT.</w:t>
            </w:r>
          </w:p>
          <w:p w:rsidR="006955B3" w:rsidRPr="002A7CC6" w:rsidRDefault="006955B3" w:rsidP="001D48D7">
            <w:pPr>
              <w:pStyle w:val="Tabletext"/>
              <w:keepNext/>
              <w:keepLines/>
              <w:ind w:left="12" w:right="8"/>
              <w:rPr>
                <w:szCs w:val="20"/>
              </w:rPr>
            </w:pPr>
            <w:r w:rsidRPr="002A7CC6">
              <w:rPr>
                <w:szCs w:val="20"/>
              </w:rPr>
              <w:t>&gt; 5% blasts in bone marrow.</w:t>
            </w:r>
          </w:p>
          <w:p w:rsidR="006955B3" w:rsidRPr="002A7CC6" w:rsidRDefault="006955B3" w:rsidP="001D48D7">
            <w:pPr>
              <w:pStyle w:val="Tabletext"/>
              <w:keepNext/>
              <w:keepLines/>
              <w:ind w:left="12" w:right="8"/>
              <w:rPr>
                <w:szCs w:val="20"/>
                <w:vertAlign w:val="superscript"/>
              </w:rPr>
            </w:pPr>
            <w:r w:rsidRPr="002A7CC6">
              <w:rPr>
                <w:szCs w:val="20"/>
              </w:rPr>
              <w:t>ECOG ≤ 2.</w:t>
            </w:r>
          </w:p>
        </w:tc>
        <w:tc>
          <w:tcPr>
            <w:tcW w:w="1111" w:type="pct"/>
            <w:shd w:val="clear" w:color="auto" w:fill="auto"/>
          </w:tcPr>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Overall survival.</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 xml:space="preserve">Rate of complete remission or complete remission with partial or incomplete haematological recovery. </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Relapse free survival.</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Event free survival.</w:t>
            </w:r>
          </w:p>
          <w:p w:rsidR="006955B3" w:rsidRPr="002A7CC6" w:rsidRDefault="006955B3" w:rsidP="001D48D7">
            <w:pPr>
              <w:pStyle w:val="TableText0"/>
              <w:keepNext/>
              <w:keepLines/>
              <w:spacing w:before="0" w:after="0"/>
              <w:ind w:left="12" w:right="8"/>
              <w:rPr>
                <w:rFonts w:ascii="Arial Narrow" w:hAnsi="Arial Narrow"/>
                <w:sz w:val="20"/>
              </w:rPr>
            </w:pPr>
            <w:r w:rsidRPr="002A7CC6">
              <w:rPr>
                <w:rFonts w:ascii="Arial Narrow" w:hAnsi="Arial Narrow"/>
                <w:sz w:val="20"/>
              </w:rPr>
              <w:t xml:space="preserve">MRD rate; HSCT rate. </w:t>
            </w:r>
          </w:p>
          <w:p w:rsidR="006955B3" w:rsidRPr="002A7CC6" w:rsidRDefault="006955B3" w:rsidP="001D48D7">
            <w:pPr>
              <w:pStyle w:val="Tabletext"/>
              <w:keepNext/>
              <w:keepLines/>
              <w:ind w:left="12" w:right="8"/>
              <w:rPr>
                <w:szCs w:val="20"/>
                <w:lang w:val="en-US"/>
              </w:rPr>
            </w:pPr>
            <w:r w:rsidRPr="002A7CC6">
              <w:rPr>
                <w:szCs w:val="20"/>
              </w:rPr>
              <w:t>EORTC-QLQ-C30</w:t>
            </w:r>
            <w:r w:rsidRPr="002A7CC6">
              <w:t>.</w:t>
            </w:r>
          </w:p>
        </w:tc>
      </w:tr>
    </w:tbl>
    <w:p w:rsidR="006955B3" w:rsidRPr="002A7CC6" w:rsidRDefault="006955B3" w:rsidP="00007D60">
      <w:pPr>
        <w:pStyle w:val="TableFooter"/>
        <w:widowControl/>
        <w:rPr>
          <w:szCs w:val="18"/>
        </w:rPr>
      </w:pPr>
      <w:r w:rsidRPr="002A7CC6">
        <w:rPr>
          <w:szCs w:val="18"/>
        </w:rPr>
        <w:t>Source: Table 2.2.2, pp.72-74 of the submission.</w:t>
      </w:r>
    </w:p>
    <w:p w:rsidR="006955B3" w:rsidRPr="002A7CC6" w:rsidRDefault="006955B3" w:rsidP="00007D60">
      <w:pPr>
        <w:pStyle w:val="TableFooter"/>
        <w:widowControl/>
        <w:rPr>
          <w:szCs w:val="18"/>
        </w:rPr>
      </w:pPr>
      <w:r w:rsidRPr="002A7CC6">
        <w:rPr>
          <w:szCs w:val="18"/>
        </w:rPr>
        <w:t xml:space="preserve">Abbreviations: B-ALL, B-cell precursor acute lymphoblastic leukaemia; ECOG, Eastern Cooperative Oncology Group; EORTC QLQ-C30, European Organization for Research and Treatment of Cancer quality of life questionnaire; EQ-5D, EuroQoL-5 dimension questionnaire; FLAG, </w:t>
      </w:r>
      <w:proofErr w:type="spellStart"/>
      <w:r w:rsidRPr="002A7CC6">
        <w:rPr>
          <w:szCs w:val="18"/>
        </w:rPr>
        <w:t>fludarabine</w:t>
      </w:r>
      <w:proofErr w:type="spellEnd"/>
      <w:r w:rsidRPr="002A7CC6">
        <w:rPr>
          <w:szCs w:val="18"/>
        </w:rPr>
        <w:t xml:space="preserve">, </w:t>
      </w:r>
      <w:proofErr w:type="spellStart"/>
      <w:r w:rsidRPr="002A7CC6">
        <w:rPr>
          <w:szCs w:val="18"/>
        </w:rPr>
        <w:t>cytarabine</w:t>
      </w:r>
      <w:proofErr w:type="spellEnd"/>
      <w:r w:rsidRPr="002A7CC6">
        <w:rPr>
          <w:szCs w:val="18"/>
        </w:rPr>
        <w:t xml:space="preserve"> (</w:t>
      </w:r>
      <w:proofErr w:type="spellStart"/>
      <w:r w:rsidRPr="002A7CC6">
        <w:rPr>
          <w:szCs w:val="18"/>
        </w:rPr>
        <w:t>Ara</w:t>
      </w:r>
      <w:proofErr w:type="spellEnd"/>
      <w:r w:rsidRPr="002A7CC6">
        <w:rPr>
          <w:szCs w:val="18"/>
        </w:rPr>
        <w:t xml:space="preserve">-C) and granulocyte-colony stimulating factor; FLAG-IDA, </w:t>
      </w:r>
      <w:proofErr w:type="spellStart"/>
      <w:r w:rsidRPr="002A7CC6">
        <w:rPr>
          <w:szCs w:val="18"/>
        </w:rPr>
        <w:t>fludarabine</w:t>
      </w:r>
      <w:proofErr w:type="spellEnd"/>
      <w:r w:rsidRPr="002A7CC6">
        <w:rPr>
          <w:szCs w:val="18"/>
        </w:rPr>
        <w:t xml:space="preserve">, </w:t>
      </w:r>
      <w:proofErr w:type="spellStart"/>
      <w:r w:rsidRPr="002A7CC6">
        <w:rPr>
          <w:szCs w:val="18"/>
        </w:rPr>
        <w:t>cytarabine</w:t>
      </w:r>
      <w:proofErr w:type="spellEnd"/>
      <w:r w:rsidRPr="002A7CC6">
        <w:rPr>
          <w:szCs w:val="18"/>
        </w:rPr>
        <w:t xml:space="preserve"> (</w:t>
      </w:r>
      <w:proofErr w:type="spellStart"/>
      <w:r w:rsidRPr="002A7CC6">
        <w:rPr>
          <w:szCs w:val="18"/>
        </w:rPr>
        <w:t>Ara</w:t>
      </w:r>
      <w:proofErr w:type="spellEnd"/>
      <w:r w:rsidRPr="002A7CC6">
        <w:rPr>
          <w:szCs w:val="18"/>
        </w:rPr>
        <w:t xml:space="preserve">-C), granulocyte-colony stimulating factor and </w:t>
      </w:r>
      <w:proofErr w:type="spellStart"/>
      <w:r w:rsidRPr="002A7CC6">
        <w:rPr>
          <w:szCs w:val="18"/>
        </w:rPr>
        <w:t>idarubicin</w:t>
      </w:r>
      <w:proofErr w:type="spellEnd"/>
      <w:r w:rsidRPr="002A7CC6">
        <w:rPr>
          <w:szCs w:val="18"/>
        </w:rPr>
        <w:t xml:space="preserve"> ; </w:t>
      </w:r>
      <w:proofErr w:type="spellStart"/>
      <w:r w:rsidRPr="002A7CC6">
        <w:rPr>
          <w:szCs w:val="18"/>
        </w:rPr>
        <w:t>HiDAC</w:t>
      </w:r>
      <w:proofErr w:type="spellEnd"/>
      <w:r w:rsidRPr="002A7CC6">
        <w:rPr>
          <w:szCs w:val="18"/>
        </w:rPr>
        <w:t xml:space="preserve">, high-dose </w:t>
      </w:r>
      <w:proofErr w:type="spellStart"/>
      <w:r w:rsidRPr="002A7CC6">
        <w:rPr>
          <w:szCs w:val="18"/>
        </w:rPr>
        <w:t>cytarabine</w:t>
      </w:r>
      <w:proofErr w:type="spellEnd"/>
      <w:r w:rsidRPr="002A7CC6">
        <w:rPr>
          <w:szCs w:val="18"/>
        </w:rPr>
        <w:t xml:space="preserve">; HSCT, haematopoietic stem cell transplantation; </w:t>
      </w:r>
      <w:r w:rsidR="009D4006" w:rsidRPr="002A7CC6">
        <w:rPr>
          <w:szCs w:val="18"/>
        </w:rPr>
        <w:t xml:space="preserve">LPLV, last patient last visit; </w:t>
      </w:r>
      <w:r w:rsidRPr="002A7CC6">
        <w:rPr>
          <w:szCs w:val="18"/>
        </w:rPr>
        <w:t>MRD, minimal residual disease; MXN/</w:t>
      </w:r>
      <w:proofErr w:type="spellStart"/>
      <w:r w:rsidRPr="002A7CC6">
        <w:rPr>
          <w:szCs w:val="18"/>
        </w:rPr>
        <w:t>Ara</w:t>
      </w:r>
      <w:proofErr w:type="spellEnd"/>
      <w:r w:rsidRPr="002A7CC6">
        <w:rPr>
          <w:szCs w:val="18"/>
        </w:rPr>
        <w:t xml:space="preserve">-C, </w:t>
      </w:r>
      <w:proofErr w:type="spellStart"/>
      <w:r w:rsidRPr="002A7CC6">
        <w:rPr>
          <w:szCs w:val="18"/>
        </w:rPr>
        <w:t>mitoxantrone</w:t>
      </w:r>
      <w:proofErr w:type="spellEnd"/>
      <w:r w:rsidRPr="002A7CC6">
        <w:rPr>
          <w:szCs w:val="18"/>
        </w:rPr>
        <w:t xml:space="preserve"> and </w:t>
      </w:r>
      <w:proofErr w:type="spellStart"/>
      <w:r w:rsidRPr="002A7CC6">
        <w:rPr>
          <w:szCs w:val="18"/>
        </w:rPr>
        <w:t>cytarabine</w:t>
      </w:r>
      <w:proofErr w:type="spellEnd"/>
      <w:r w:rsidRPr="002A7CC6">
        <w:rPr>
          <w:szCs w:val="18"/>
        </w:rPr>
        <w:t xml:space="preserve">; </w:t>
      </w:r>
      <w:proofErr w:type="spellStart"/>
      <w:r w:rsidRPr="002A7CC6">
        <w:rPr>
          <w:szCs w:val="18"/>
        </w:rPr>
        <w:t>Ph</w:t>
      </w:r>
      <w:proofErr w:type="spellEnd"/>
      <w:r w:rsidRPr="002A7CC6">
        <w:rPr>
          <w:szCs w:val="18"/>
        </w:rPr>
        <w:t xml:space="preserve">-, Philadelphia chromosome negative; </w:t>
      </w:r>
      <w:proofErr w:type="spellStart"/>
      <w:r w:rsidRPr="002A7CC6">
        <w:rPr>
          <w:szCs w:val="18"/>
        </w:rPr>
        <w:t>Ph</w:t>
      </w:r>
      <w:proofErr w:type="spellEnd"/>
      <w:r w:rsidRPr="002A7CC6">
        <w:rPr>
          <w:szCs w:val="18"/>
        </w:rPr>
        <w:t>+, Philadelphia chromosome positive; SOC, standard of care (chemotherapy); TKI, tyrosine kinase inhibitor.</w:t>
      </w:r>
    </w:p>
    <w:p w:rsidR="0018297D" w:rsidRPr="002A7CC6" w:rsidRDefault="0018297D" w:rsidP="00007D60">
      <w:pPr>
        <w:pStyle w:val="TableFooter"/>
        <w:widowControl/>
        <w:rPr>
          <w:szCs w:val="18"/>
        </w:rPr>
      </w:pPr>
      <w:r w:rsidRPr="002A7CC6">
        <w:rPr>
          <w:szCs w:val="18"/>
          <w:vertAlign w:val="superscript"/>
        </w:rPr>
        <w:t xml:space="preserve">a </w:t>
      </w:r>
      <w:r w:rsidRPr="002A7CC6">
        <w:rPr>
          <w:szCs w:val="18"/>
        </w:rPr>
        <w:t xml:space="preserve">Results from 3 populations/time-points were reported in the </w:t>
      </w:r>
      <w:r w:rsidR="007D7344">
        <w:rPr>
          <w:szCs w:val="18"/>
        </w:rPr>
        <w:t>INO-VATE ALL</w:t>
      </w:r>
      <w:r w:rsidRPr="002A7CC6">
        <w:rPr>
          <w:szCs w:val="18"/>
        </w:rPr>
        <w:t xml:space="preserve"> trial: (1) the ITT-218 population was the primary outcome, and was based on the first 109 patients in each arm; (2) the full ITT population; and (3) the LPLV which included data from the ITT population collected post-hoc, after all patients had discontinued treatment.</w:t>
      </w:r>
    </w:p>
    <w:p w:rsidR="006955B3" w:rsidRPr="002A7CC6" w:rsidRDefault="0018297D" w:rsidP="00007D60">
      <w:pPr>
        <w:pStyle w:val="TableFooter"/>
        <w:widowControl/>
        <w:rPr>
          <w:szCs w:val="18"/>
        </w:rPr>
      </w:pPr>
      <w:proofErr w:type="gramStart"/>
      <w:r w:rsidRPr="002A7CC6">
        <w:rPr>
          <w:szCs w:val="18"/>
          <w:vertAlign w:val="superscript"/>
        </w:rPr>
        <w:t>b</w:t>
      </w:r>
      <w:proofErr w:type="gramEnd"/>
      <w:r w:rsidR="006955B3" w:rsidRPr="002A7CC6">
        <w:rPr>
          <w:szCs w:val="18"/>
        </w:rPr>
        <w:t xml:space="preserve"> Dose reduced to 1.5 mg/m</w:t>
      </w:r>
      <w:r w:rsidR="006955B3" w:rsidRPr="002A7CC6">
        <w:rPr>
          <w:szCs w:val="18"/>
          <w:vertAlign w:val="superscript"/>
        </w:rPr>
        <w:t>2</w:t>
      </w:r>
      <w:r w:rsidR="006955B3" w:rsidRPr="002A7CC6">
        <w:rPr>
          <w:szCs w:val="18"/>
        </w:rPr>
        <w:t xml:space="preserve"> per cycle if complete remission or complete remission with incomplete haematological recovery achieved.</w:t>
      </w:r>
    </w:p>
    <w:p w:rsidR="006955B3" w:rsidRPr="002A7CC6" w:rsidRDefault="0018297D" w:rsidP="00007D60">
      <w:pPr>
        <w:pStyle w:val="TableFooter"/>
        <w:widowControl/>
        <w:rPr>
          <w:szCs w:val="18"/>
        </w:rPr>
      </w:pPr>
      <w:proofErr w:type="gramStart"/>
      <w:r w:rsidRPr="002A7CC6">
        <w:rPr>
          <w:szCs w:val="18"/>
          <w:vertAlign w:val="superscript"/>
        </w:rPr>
        <w:t>c</w:t>
      </w:r>
      <w:proofErr w:type="gramEnd"/>
      <w:r w:rsidR="006955B3" w:rsidRPr="002A7CC6">
        <w:rPr>
          <w:szCs w:val="18"/>
        </w:rPr>
        <w:t xml:space="preserve"> </w:t>
      </w:r>
      <w:proofErr w:type="spellStart"/>
      <w:r w:rsidR="006955B3" w:rsidRPr="002A7CC6">
        <w:rPr>
          <w:szCs w:val="18"/>
        </w:rPr>
        <w:t>Ph</w:t>
      </w:r>
      <w:proofErr w:type="spellEnd"/>
      <w:r w:rsidR="006955B3" w:rsidRPr="002A7CC6">
        <w:rPr>
          <w:szCs w:val="18"/>
        </w:rPr>
        <w:t>+ patients must have failed treatment with at least one second or third generation TKI and standard multi-agent induction chemotherapy.</w:t>
      </w:r>
    </w:p>
    <w:p w:rsidR="006955B3" w:rsidRPr="002A7CC6" w:rsidRDefault="006955B3" w:rsidP="00007D60">
      <w:pPr>
        <w:widowControl/>
        <w:rPr>
          <w:rStyle w:val="CommentReference"/>
        </w:rPr>
      </w:pPr>
    </w:p>
    <w:p w:rsidR="006955B3" w:rsidRPr="002A7CC6" w:rsidRDefault="00A45E9B" w:rsidP="00007D60">
      <w:pPr>
        <w:pStyle w:val="ListParagraph"/>
        <w:widowControl/>
        <w:numPr>
          <w:ilvl w:val="1"/>
          <w:numId w:val="1"/>
        </w:numPr>
      </w:pPr>
      <w:r w:rsidRPr="002A7CC6">
        <w:t xml:space="preserve">The ESC noted that both trials were open-label and considered this was reasonable given the </w:t>
      </w:r>
      <w:r w:rsidR="006634A8" w:rsidRPr="002A7CC6">
        <w:t xml:space="preserve">distinctive </w:t>
      </w:r>
      <w:r w:rsidRPr="002A7CC6">
        <w:t xml:space="preserve">adverse event profiles of the therapies. </w:t>
      </w:r>
      <w:r w:rsidR="00D521BF" w:rsidRPr="002A7CC6">
        <w:t xml:space="preserve">The submission acknowledged that the open label designs of the </w:t>
      </w:r>
      <w:r w:rsidR="007D7344">
        <w:t>INO-VATE ALL</w:t>
      </w:r>
      <w:r w:rsidR="00D521BF" w:rsidRPr="002A7CC6">
        <w:t xml:space="preserve"> and TOWER trials allowed for outcomes to be affected by participant or investigator knowledge of treatment allocation.</w:t>
      </w:r>
      <w:r w:rsidR="00D521BF">
        <w:t xml:space="preserve"> </w:t>
      </w:r>
      <w:r w:rsidR="006955B3" w:rsidRPr="002A7CC6">
        <w:t xml:space="preserve">The </w:t>
      </w:r>
      <w:r w:rsidRPr="002A7CC6">
        <w:t xml:space="preserve">evaluation considered that the </w:t>
      </w:r>
      <w:r w:rsidR="006955B3" w:rsidRPr="002A7CC6">
        <w:t xml:space="preserve">open label design of the </w:t>
      </w:r>
      <w:r w:rsidR="006955B3" w:rsidRPr="002A7CC6">
        <w:lastRenderedPageBreak/>
        <w:t xml:space="preserve">trials </w:t>
      </w:r>
      <w:r w:rsidR="00D521BF">
        <w:t xml:space="preserve">also </w:t>
      </w:r>
      <w:r w:rsidR="006955B3" w:rsidRPr="002A7CC6">
        <w:t>allowed for treatment options to be influenced by treatment allocation (e.g. HSCT), and may have influenced</w:t>
      </w:r>
      <w:r w:rsidR="006634A8" w:rsidRPr="002A7CC6">
        <w:t xml:space="preserve"> decisions around treatment continuation</w:t>
      </w:r>
      <w:r w:rsidR="006955B3" w:rsidRPr="002A7CC6">
        <w:t xml:space="preserve">. Treatment discontinuations prior to the first dose of trial drug in both trials were substantially larger in the standard of care chemotherapy treatment arm compared to the inotuzumab or blinatumomab treatment arms. </w:t>
      </w:r>
      <w:r w:rsidR="009A469F" w:rsidRPr="002A7CC6">
        <w:t xml:space="preserve">The ESC considered that high drop-out rates in standard of care chemotherapy arms are expected in this condition. </w:t>
      </w:r>
    </w:p>
    <w:p w:rsidR="00003F45" w:rsidRDefault="006955B3" w:rsidP="00007D60">
      <w:pPr>
        <w:pStyle w:val="ListParagraph"/>
        <w:widowControl/>
        <w:numPr>
          <w:ilvl w:val="1"/>
          <w:numId w:val="1"/>
        </w:numPr>
      </w:pPr>
      <w:r w:rsidRPr="002A7CC6">
        <w:t xml:space="preserve">In both the </w:t>
      </w:r>
      <w:r w:rsidR="007D7344">
        <w:t>INO-VATE ALL</w:t>
      </w:r>
      <w:r w:rsidRPr="002A7CC6">
        <w:t xml:space="preserve"> and TOWER trials</w:t>
      </w:r>
      <w:r w:rsidR="00427EE6" w:rsidRPr="002A7CC6">
        <w:t>,</w:t>
      </w:r>
      <w:r w:rsidRPr="002A7CC6">
        <w:t xml:space="preserve"> protocol-specified therapy was discontinued at any time after the first treatment cycle on progression to HSCT. Suitability for HSCT was not determined by pre-specified criteria, but was investigator determined on a patient-by-patient basis, and was dependent on availability of a suitable donor. </w:t>
      </w:r>
      <w:r w:rsidR="005C4219" w:rsidRPr="002A7CC6">
        <w:t xml:space="preserve">The ESC considered that this was appropriate and reflective of clinical practice. </w:t>
      </w:r>
      <w:r w:rsidRPr="002A7CC6">
        <w:t>Patients progressing to HSCT were included in the analyses.</w:t>
      </w:r>
    </w:p>
    <w:p w:rsidR="0068709B" w:rsidRDefault="00003F45" w:rsidP="00490803">
      <w:pPr>
        <w:pStyle w:val="ListParagraph"/>
        <w:widowControl/>
        <w:numPr>
          <w:ilvl w:val="1"/>
          <w:numId w:val="1"/>
        </w:numPr>
      </w:pPr>
      <w:r>
        <w:t xml:space="preserve">The PBAC noted that </w:t>
      </w:r>
      <w:r w:rsidR="0068709B">
        <w:t xml:space="preserve">both </w:t>
      </w:r>
      <w:r w:rsidR="0068709B" w:rsidRPr="002A7CC6">
        <w:t>the INO-VATE</w:t>
      </w:r>
      <w:r w:rsidR="0068709B">
        <w:t xml:space="preserve"> </w:t>
      </w:r>
      <w:r w:rsidR="0068709B" w:rsidRPr="002A7CC6">
        <w:t>ALL and TOWER trials</w:t>
      </w:r>
      <w:r w:rsidR="0068709B">
        <w:t xml:space="preserve"> had </w:t>
      </w:r>
      <w:r w:rsidR="0068709B" w:rsidRPr="004506D7">
        <w:t>stopped after meeting pre-</w:t>
      </w:r>
      <w:r w:rsidR="0068709B" w:rsidRPr="003256A9">
        <w:t>specified</w:t>
      </w:r>
      <w:r w:rsidR="0068709B" w:rsidRPr="004506D7">
        <w:t xml:space="preserve"> stopping criteria</w:t>
      </w:r>
      <w:r w:rsidR="00490803">
        <w:t>, and the median duration of follow-up was</w:t>
      </w:r>
      <w:r w:rsidR="00490803" w:rsidRPr="00490803">
        <w:t xml:space="preserve"> 33 months in the </w:t>
      </w:r>
      <w:r w:rsidR="007D7344">
        <w:t>INO-VATE ALL</w:t>
      </w:r>
      <w:r w:rsidR="00490803" w:rsidRPr="00490803">
        <w:t xml:space="preserve"> trial; and 11.7 months in the TOWER trial</w:t>
      </w:r>
      <w:r w:rsidR="00490803">
        <w:t xml:space="preserve">. </w:t>
      </w:r>
      <w:r w:rsidR="0068709B">
        <w:t xml:space="preserve">As such, </w:t>
      </w:r>
      <w:r w:rsidR="00ED7267">
        <w:t xml:space="preserve">the PBAC noted that </w:t>
      </w:r>
      <w:r w:rsidR="0068709B">
        <w:t>no</w:t>
      </w:r>
      <w:r w:rsidR="0068709B" w:rsidRPr="00003F45">
        <w:t xml:space="preserve"> further</w:t>
      </w:r>
      <w:r w:rsidR="0068709B">
        <w:t xml:space="preserve"> more mature</w:t>
      </w:r>
      <w:r w:rsidR="0068709B" w:rsidRPr="00003F45">
        <w:t xml:space="preserve"> </w:t>
      </w:r>
      <w:r w:rsidR="0068709B">
        <w:t>results would be available fr</w:t>
      </w:r>
      <w:r w:rsidR="00000FB8">
        <w:t>om</w:t>
      </w:r>
      <w:r w:rsidR="0068709B">
        <w:t xml:space="preserve"> either trial.</w:t>
      </w:r>
    </w:p>
    <w:p w:rsidR="006955B3" w:rsidRPr="002A7CC6" w:rsidRDefault="008831BC" w:rsidP="00007D60">
      <w:pPr>
        <w:pStyle w:val="ListParagraph"/>
        <w:widowControl/>
        <w:numPr>
          <w:ilvl w:val="1"/>
          <w:numId w:val="1"/>
        </w:numPr>
      </w:pPr>
      <w:r w:rsidRPr="002A7CC6">
        <w:t xml:space="preserve">The table below </w:t>
      </w:r>
      <w:r w:rsidR="005C4219" w:rsidRPr="002A7CC6">
        <w:t>outlines some of</w:t>
      </w:r>
      <w:r w:rsidRPr="002A7CC6">
        <w:t xml:space="preserve"> the differences in baseline characteristics between patients in the </w:t>
      </w:r>
      <w:r w:rsidR="007D7344">
        <w:t>INO-VATE ALL</w:t>
      </w:r>
      <w:r w:rsidRPr="002A7CC6">
        <w:t xml:space="preserve"> and TOWER trials. </w:t>
      </w:r>
    </w:p>
    <w:p w:rsidR="009B31DA" w:rsidRPr="002A7CC6" w:rsidRDefault="009B31DA" w:rsidP="00007D60">
      <w:pPr>
        <w:keepNext/>
        <w:keepLines/>
        <w:widowControl/>
        <w:rPr>
          <w:rStyle w:val="CommentReference"/>
        </w:rPr>
      </w:pPr>
      <w:r w:rsidRPr="002A7CC6">
        <w:rPr>
          <w:rFonts w:ascii="Arial Narrow" w:hAnsi="Arial Narrow"/>
          <w:b/>
          <w:sz w:val="20"/>
          <w:szCs w:val="20"/>
        </w:rPr>
        <w:lastRenderedPageBreak/>
        <w:t xml:space="preserve">Table </w:t>
      </w:r>
      <w:r w:rsidR="009A469F" w:rsidRPr="002A7CC6">
        <w:rPr>
          <w:rFonts w:ascii="Arial Narrow" w:hAnsi="Arial Narrow"/>
          <w:b/>
          <w:sz w:val="20"/>
          <w:szCs w:val="20"/>
        </w:rPr>
        <w:t>4</w:t>
      </w:r>
      <w:r w:rsidRPr="002A7CC6">
        <w:rPr>
          <w:rFonts w:ascii="Arial Narrow" w:hAnsi="Arial Narrow"/>
          <w:b/>
          <w:sz w:val="20"/>
          <w:szCs w:val="20"/>
        </w:rPr>
        <w:t xml:space="preserve">: </w:t>
      </w:r>
      <w:r w:rsidRPr="002A7CC6">
        <w:rPr>
          <w:rStyle w:val="CommentReference"/>
        </w:rPr>
        <w:t xml:space="preserve">Baseline demographic and disease characteristics of participants in </w:t>
      </w:r>
      <w:r w:rsidR="007D7344">
        <w:rPr>
          <w:rStyle w:val="CommentReference"/>
        </w:rPr>
        <w:t>INO-VATE ALL</w:t>
      </w:r>
      <w:r w:rsidRPr="002A7CC6">
        <w:rPr>
          <w:rStyle w:val="CommentReference"/>
        </w:rPr>
        <w:t xml:space="preserve"> and TOWER</w:t>
      </w:r>
    </w:p>
    <w:tbl>
      <w:tblPr>
        <w:tblStyle w:val="TableGrid"/>
        <w:tblW w:w="5000" w:type="pct"/>
        <w:tblLook w:val="04A0" w:firstRow="1" w:lastRow="0" w:firstColumn="1" w:lastColumn="0" w:noHBand="0" w:noVBand="1"/>
        <w:tblCaption w:val="Baseline demographic and disease characteristics of participants in INO-VATE ALL and TOWER"/>
      </w:tblPr>
      <w:tblGrid>
        <w:gridCol w:w="3285"/>
        <w:gridCol w:w="1432"/>
        <w:gridCol w:w="1434"/>
        <w:gridCol w:w="1434"/>
        <w:gridCol w:w="1432"/>
      </w:tblGrid>
      <w:tr w:rsidR="009B31DA" w:rsidRPr="002A7CC6" w:rsidTr="00872E39">
        <w:trPr>
          <w:cantSplit/>
          <w:trHeight w:val="102"/>
          <w:tblHeader/>
        </w:trPr>
        <w:tc>
          <w:tcPr>
            <w:tcW w:w="1822" w:type="pct"/>
            <w:vMerge w:val="restart"/>
            <w:vAlign w:val="center"/>
          </w:tcPr>
          <w:p w:rsidR="009B31DA" w:rsidRPr="002A7CC6" w:rsidRDefault="009B31DA" w:rsidP="00007D60">
            <w:pPr>
              <w:pStyle w:val="Tabletext"/>
              <w:keepNext/>
              <w:keepLines/>
              <w:rPr>
                <w:b/>
                <w:szCs w:val="20"/>
              </w:rPr>
            </w:pPr>
          </w:p>
        </w:tc>
        <w:tc>
          <w:tcPr>
            <w:tcW w:w="1589" w:type="pct"/>
            <w:gridSpan w:val="2"/>
            <w:tcBorders>
              <w:right w:val="double" w:sz="4" w:space="0" w:color="auto"/>
            </w:tcBorders>
            <w:vAlign w:val="center"/>
          </w:tcPr>
          <w:p w:rsidR="009B31DA" w:rsidRPr="002A7CC6" w:rsidRDefault="007D7344" w:rsidP="00007D60">
            <w:pPr>
              <w:keepNext/>
              <w:keepLines/>
              <w:widowControl/>
              <w:ind w:left="-92" w:right="-83"/>
              <w:jc w:val="center"/>
              <w:rPr>
                <w:rFonts w:ascii="Arial Narrow" w:hAnsi="Arial Narrow"/>
                <w:b/>
                <w:sz w:val="20"/>
                <w:szCs w:val="20"/>
              </w:rPr>
            </w:pPr>
            <w:r>
              <w:rPr>
                <w:rFonts w:ascii="Arial Narrow" w:hAnsi="Arial Narrow"/>
                <w:b/>
                <w:sz w:val="20"/>
                <w:szCs w:val="20"/>
              </w:rPr>
              <w:t>INO-VATE ALL</w:t>
            </w:r>
            <w:r w:rsidR="009B31DA" w:rsidRPr="002A7CC6">
              <w:rPr>
                <w:rFonts w:ascii="Arial Narrow" w:hAnsi="Arial Narrow"/>
                <w:b/>
                <w:sz w:val="20"/>
                <w:szCs w:val="20"/>
              </w:rPr>
              <w:t xml:space="preserve"> (ITT) </w:t>
            </w:r>
          </w:p>
        </w:tc>
        <w:tc>
          <w:tcPr>
            <w:tcW w:w="1589" w:type="pct"/>
            <w:gridSpan w:val="2"/>
            <w:tcBorders>
              <w:left w:val="double" w:sz="4" w:space="0" w:color="auto"/>
              <w:bottom w:val="nil"/>
            </w:tcBorders>
            <w:vAlign w:val="center"/>
          </w:tcPr>
          <w:p w:rsidR="009B31DA" w:rsidRPr="002A7CC6" w:rsidRDefault="009B31DA" w:rsidP="00007D60">
            <w:pPr>
              <w:keepNext/>
              <w:keepLines/>
              <w:widowControl/>
              <w:ind w:left="-92" w:right="-83"/>
              <w:jc w:val="center"/>
              <w:rPr>
                <w:rFonts w:ascii="Arial Narrow" w:hAnsi="Arial Narrow"/>
                <w:b/>
                <w:sz w:val="20"/>
                <w:szCs w:val="20"/>
              </w:rPr>
            </w:pPr>
            <w:r w:rsidRPr="002A7CC6">
              <w:rPr>
                <w:rFonts w:ascii="Arial Narrow" w:hAnsi="Arial Narrow"/>
                <w:b/>
                <w:sz w:val="20"/>
                <w:szCs w:val="20"/>
              </w:rPr>
              <w:t>TOWER (ITT)</w:t>
            </w:r>
          </w:p>
        </w:tc>
      </w:tr>
      <w:tr w:rsidR="009B31DA" w:rsidRPr="002A7CC6" w:rsidTr="003042AB">
        <w:tc>
          <w:tcPr>
            <w:tcW w:w="1822" w:type="pct"/>
            <w:vMerge/>
            <w:vAlign w:val="center"/>
          </w:tcPr>
          <w:p w:rsidR="009B31DA" w:rsidRPr="002A7CC6" w:rsidRDefault="009B31DA" w:rsidP="00007D60">
            <w:pPr>
              <w:pStyle w:val="Tabletext"/>
              <w:keepNext/>
              <w:keepLines/>
              <w:rPr>
                <w:szCs w:val="20"/>
              </w:rPr>
            </w:pP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b/>
                <w:szCs w:val="20"/>
              </w:rPr>
            </w:pPr>
            <w:r w:rsidRPr="002A7CC6">
              <w:rPr>
                <w:b/>
                <w:szCs w:val="20"/>
              </w:rPr>
              <w:t>Inotuzumab</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b/>
                <w:sz w:val="20"/>
              </w:rPr>
            </w:pPr>
            <w:r w:rsidRPr="002A7CC6">
              <w:rPr>
                <w:rFonts w:ascii="Arial Narrow" w:hAnsi="Arial Narrow"/>
                <w:b/>
                <w:sz w:val="20"/>
              </w:rPr>
              <w:t xml:space="preserve">SOC </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b/>
                <w:sz w:val="20"/>
              </w:rPr>
            </w:pPr>
            <w:r w:rsidRPr="002A7CC6">
              <w:rPr>
                <w:rFonts w:ascii="Arial Narrow" w:hAnsi="Arial Narrow"/>
                <w:b/>
                <w:sz w:val="20"/>
              </w:rPr>
              <w:t>Blinatumomab</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b/>
                <w:sz w:val="20"/>
              </w:rPr>
            </w:pPr>
            <w:r w:rsidRPr="002A7CC6">
              <w:rPr>
                <w:rFonts w:ascii="Arial Narrow" w:hAnsi="Arial Narrow"/>
                <w:b/>
                <w:sz w:val="20"/>
              </w:rPr>
              <w:t xml:space="preserve">SOC </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 xml:space="preserve">N </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164</w:t>
            </w:r>
          </w:p>
        </w:tc>
        <w:tc>
          <w:tcPr>
            <w:tcW w:w="795" w:type="pct"/>
            <w:tcBorders>
              <w:righ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162</w:t>
            </w:r>
          </w:p>
        </w:tc>
        <w:tc>
          <w:tcPr>
            <w:tcW w:w="795" w:type="pct"/>
            <w:tcBorders>
              <w:left w:val="double" w:sz="4" w:space="0" w:color="auto"/>
            </w:tcBorders>
            <w:vAlign w:val="center"/>
          </w:tcPr>
          <w:p w:rsidR="009B31DA" w:rsidRPr="002A7CC6" w:rsidRDefault="009B31DA" w:rsidP="00007D60">
            <w:pPr>
              <w:keepNext/>
              <w:keepLines/>
              <w:widowControl/>
              <w:ind w:left="-92" w:right="-83"/>
              <w:jc w:val="center"/>
              <w:rPr>
                <w:rFonts w:ascii="Arial Narrow" w:hAnsi="Arial Narrow"/>
                <w:sz w:val="20"/>
                <w:szCs w:val="20"/>
              </w:rPr>
            </w:pPr>
            <w:r w:rsidRPr="002A7CC6">
              <w:rPr>
                <w:rFonts w:ascii="Arial Narrow" w:hAnsi="Arial Narrow"/>
                <w:sz w:val="20"/>
                <w:szCs w:val="20"/>
              </w:rPr>
              <w:t>271</w:t>
            </w:r>
          </w:p>
        </w:tc>
        <w:tc>
          <w:tcPr>
            <w:tcW w:w="795" w:type="pct"/>
            <w:vAlign w:val="center"/>
          </w:tcPr>
          <w:p w:rsidR="009B31DA" w:rsidRPr="002A7CC6" w:rsidRDefault="009B31DA" w:rsidP="00007D60">
            <w:pPr>
              <w:keepNext/>
              <w:keepLines/>
              <w:widowControl/>
              <w:ind w:left="-92" w:right="-83"/>
              <w:jc w:val="center"/>
              <w:rPr>
                <w:rFonts w:ascii="Arial Narrow" w:hAnsi="Arial Narrow"/>
                <w:sz w:val="20"/>
                <w:szCs w:val="20"/>
              </w:rPr>
            </w:pPr>
            <w:r w:rsidRPr="002A7CC6">
              <w:rPr>
                <w:rFonts w:ascii="Arial Narrow" w:hAnsi="Arial Narrow"/>
                <w:sz w:val="20"/>
                <w:szCs w:val="20"/>
              </w:rPr>
              <w:t>134</w:t>
            </w:r>
          </w:p>
        </w:tc>
      </w:tr>
      <w:tr w:rsidR="009B31DA" w:rsidRPr="002A7CC6" w:rsidTr="003042AB">
        <w:tc>
          <w:tcPr>
            <w:tcW w:w="1822" w:type="pct"/>
            <w:vAlign w:val="center"/>
          </w:tcPr>
          <w:p w:rsidR="00BF3771" w:rsidRDefault="009B31DA" w:rsidP="00872E39">
            <w:pPr>
              <w:pStyle w:val="Tabletext"/>
              <w:keepNext/>
              <w:keepLines/>
              <w:ind w:right="-57"/>
              <w:rPr>
                <w:szCs w:val="20"/>
              </w:rPr>
            </w:pPr>
            <w:r w:rsidRPr="002A7CC6">
              <w:rPr>
                <w:szCs w:val="20"/>
              </w:rPr>
              <w:t>Age, years</w:t>
            </w:r>
          </w:p>
          <w:p w:rsidR="009B31DA" w:rsidRPr="002A7CC6" w:rsidRDefault="009B31DA" w:rsidP="00872E39">
            <w:pPr>
              <w:pStyle w:val="Tabletext"/>
              <w:keepNext/>
              <w:keepLines/>
              <w:ind w:right="-57"/>
              <w:rPr>
                <w:szCs w:val="20"/>
              </w:rPr>
            </w:pPr>
            <w:r w:rsidRPr="002A7CC6">
              <w:rPr>
                <w:szCs w:val="20"/>
              </w:rPr>
              <w:t>mean (SD)</w:t>
            </w:r>
          </w:p>
          <w:p w:rsidR="009B31DA" w:rsidRPr="002A7CC6" w:rsidRDefault="009B31DA" w:rsidP="00007D60">
            <w:pPr>
              <w:pStyle w:val="Tabletext"/>
              <w:keepNext/>
              <w:keepLines/>
              <w:ind w:right="-57"/>
              <w:rPr>
                <w:szCs w:val="20"/>
              </w:rPr>
            </w:pPr>
            <w:r w:rsidRPr="002A7CC6">
              <w:rPr>
                <w:szCs w:val="20"/>
              </w:rPr>
              <w:t xml:space="preserve">  median</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p>
          <w:p w:rsidR="009B31DA" w:rsidRPr="002A7CC6" w:rsidRDefault="009B31DA" w:rsidP="00007D60">
            <w:pPr>
              <w:pStyle w:val="Tabletext"/>
              <w:keepNext/>
              <w:keepLines/>
              <w:ind w:left="-92" w:right="-83"/>
              <w:jc w:val="center"/>
              <w:rPr>
                <w:szCs w:val="20"/>
              </w:rPr>
            </w:pPr>
            <w:r w:rsidRPr="002A7CC6">
              <w:rPr>
                <w:szCs w:val="20"/>
              </w:rPr>
              <w:t>45.9 (17.07)</w:t>
            </w:r>
          </w:p>
          <w:p w:rsidR="009B31DA" w:rsidRPr="002A7CC6" w:rsidRDefault="009B31DA" w:rsidP="00007D60">
            <w:pPr>
              <w:pStyle w:val="Tabletext"/>
              <w:keepNext/>
              <w:keepLines/>
              <w:ind w:left="-92" w:right="-83"/>
              <w:jc w:val="center"/>
              <w:rPr>
                <w:szCs w:val="20"/>
              </w:rPr>
            </w:pPr>
            <w:r w:rsidRPr="002A7CC6">
              <w:rPr>
                <w:szCs w:val="20"/>
              </w:rPr>
              <w:t>46.5</w:t>
            </w:r>
          </w:p>
        </w:tc>
        <w:tc>
          <w:tcPr>
            <w:tcW w:w="795" w:type="pct"/>
            <w:tcBorders>
              <w:righ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46.0 (16.60)</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47.5</w:t>
            </w:r>
          </w:p>
        </w:tc>
        <w:tc>
          <w:tcPr>
            <w:tcW w:w="795" w:type="pct"/>
            <w:tcBorders>
              <w:left w:val="double" w:sz="4" w:space="0" w:color="auto"/>
            </w:tcBorders>
            <w:vAlign w:val="center"/>
          </w:tcPr>
          <w:p w:rsidR="009B31DA" w:rsidRPr="002A7CC6" w:rsidRDefault="009B31DA" w:rsidP="00007D60">
            <w:pPr>
              <w:keepNext/>
              <w:keepLines/>
              <w:widowControl/>
              <w:ind w:left="-92" w:right="-83"/>
              <w:jc w:val="center"/>
              <w:rPr>
                <w:rFonts w:ascii="Arial Narrow" w:hAnsi="Arial Narrow"/>
                <w:sz w:val="20"/>
                <w:szCs w:val="20"/>
              </w:rPr>
            </w:pPr>
          </w:p>
          <w:p w:rsidR="009B31DA" w:rsidRPr="002A7CC6" w:rsidRDefault="009B31DA" w:rsidP="00007D60">
            <w:pPr>
              <w:keepNext/>
              <w:keepLines/>
              <w:widowControl/>
              <w:ind w:left="-92" w:right="-83"/>
              <w:jc w:val="center"/>
              <w:rPr>
                <w:rFonts w:ascii="Arial Narrow" w:hAnsi="Arial Narrow"/>
                <w:sz w:val="20"/>
                <w:szCs w:val="20"/>
              </w:rPr>
            </w:pPr>
            <w:r w:rsidRPr="002A7CC6">
              <w:rPr>
                <w:rFonts w:ascii="Arial Narrow" w:hAnsi="Arial Narrow"/>
                <w:sz w:val="20"/>
                <w:szCs w:val="20"/>
              </w:rPr>
              <w:t>40.8 (17.1)</w:t>
            </w:r>
          </w:p>
          <w:p w:rsidR="009B31DA" w:rsidRPr="002A7CC6" w:rsidRDefault="009B31DA" w:rsidP="00007D60">
            <w:pPr>
              <w:keepNext/>
              <w:keepLines/>
              <w:widowControl/>
              <w:ind w:left="-92" w:right="-83"/>
              <w:jc w:val="center"/>
              <w:rPr>
                <w:rFonts w:ascii="Arial Narrow" w:hAnsi="Arial Narrow"/>
                <w:sz w:val="20"/>
                <w:szCs w:val="20"/>
              </w:rPr>
            </w:pPr>
            <w:r w:rsidRPr="002A7CC6">
              <w:rPr>
                <w:rFonts w:ascii="Arial Narrow" w:hAnsi="Arial Narrow"/>
                <w:sz w:val="20"/>
                <w:szCs w:val="20"/>
              </w:rPr>
              <w:t>37.0</w:t>
            </w:r>
          </w:p>
        </w:tc>
        <w:tc>
          <w:tcPr>
            <w:tcW w:w="795" w:type="pct"/>
            <w:vAlign w:val="center"/>
          </w:tcPr>
          <w:p w:rsidR="009B31DA" w:rsidRPr="002A7CC6" w:rsidRDefault="009B31DA" w:rsidP="00007D60">
            <w:pPr>
              <w:keepNext/>
              <w:keepLines/>
              <w:widowControl/>
              <w:ind w:left="-92" w:right="-83"/>
              <w:jc w:val="center"/>
              <w:rPr>
                <w:rFonts w:ascii="Arial Narrow" w:hAnsi="Arial Narrow"/>
                <w:sz w:val="20"/>
                <w:szCs w:val="20"/>
              </w:rPr>
            </w:pPr>
          </w:p>
          <w:p w:rsidR="009B31DA" w:rsidRPr="002A7CC6" w:rsidRDefault="009B31DA" w:rsidP="00007D60">
            <w:pPr>
              <w:keepNext/>
              <w:keepLines/>
              <w:widowControl/>
              <w:ind w:left="-92" w:right="-83"/>
              <w:jc w:val="center"/>
              <w:rPr>
                <w:rFonts w:ascii="Arial Narrow" w:hAnsi="Arial Narrow"/>
                <w:sz w:val="20"/>
                <w:szCs w:val="20"/>
              </w:rPr>
            </w:pPr>
            <w:r w:rsidRPr="002A7CC6">
              <w:rPr>
                <w:rFonts w:ascii="Arial Narrow" w:hAnsi="Arial Narrow"/>
                <w:sz w:val="20"/>
                <w:szCs w:val="20"/>
              </w:rPr>
              <w:t>41.1 (17.3)</w:t>
            </w:r>
          </w:p>
          <w:p w:rsidR="009B31DA" w:rsidRPr="002A7CC6" w:rsidRDefault="009B31DA" w:rsidP="00007D60">
            <w:pPr>
              <w:keepNext/>
              <w:keepLines/>
              <w:widowControl/>
              <w:ind w:left="-92" w:right="-83"/>
              <w:jc w:val="center"/>
              <w:rPr>
                <w:rFonts w:ascii="Arial Narrow" w:hAnsi="Arial Narrow"/>
                <w:sz w:val="20"/>
                <w:szCs w:val="20"/>
              </w:rPr>
            </w:pPr>
            <w:r w:rsidRPr="002A7CC6">
              <w:rPr>
                <w:rFonts w:ascii="Arial Narrow" w:hAnsi="Arial Narrow"/>
                <w:sz w:val="20"/>
                <w:szCs w:val="20"/>
              </w:rPr>
              <w:t>37.0</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Gender male, n (%)</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91 (55.5%)</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102 (63.0%)</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162 (59.8%)</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77 (57.5%)</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Race, n (%)</w:t>
            </w:r>
          </w:p>
          <w:p w:rsidR="009B31DA" w:rsidRPr="002A7CC6" w:rsidRDefault="009B31DA" w:rsidP="00007D60">
            <w:pPr>
              <w:pStyle w:val="Tabletext"/>
              <w:keepNext/>
              <w:keepLines/>
              <w:ind w:right="-57"/>
              <w:rPr>
                <w:szCs w:val="20"/>
              </w:rPr>
            </w:pPr>
            <w:r w:rsidRPr="002A7CC6">
              <w:rPr>
                <w:szCs w:val="20"/>
              </w:rPr>
              <w:t xml:space="preserve">  Caucasian</w:t>
            </w:r>
          </w:p>
          <w:p w:rsidR="009B31DA" w:rsidRPr="002A7CC6" w:rsidRDefault="009B31DA" w:rsidP="00007D60">
            <w:pPr>
              <w:pStyle w:val="Tabletext"/>
              <w:keepNext/>
              <w:keepLines/>
              <w:ind w:right="-57"/>
              <w:rPr>
                <w:szCs w:val="20"/>
              </w:rPr>
            </w:pPr>
            <w:r w:rsidRPr="002A7CC6">
              <w:rPr>
                <w:szCs w:val="20"/>
              </w:rPr>
              <w:t xml:space="preserve">  Asian</w:t>
            </w:r>
          </w:p>
          <w:p w:rsidR="009B31DA" w:rsidRPr="002A7CC6" w:rsidRDefault="009B31DA" w:rsidP="00007D60">
            <w:pPr>
              <w:pStyle w:val="Tabletext"/>
              <w:keepNext/>
              <w:keepLines/>
              <w:ind w:right="-57"/>
              <w:rPr>
                <w:szCs w:val="20"/>
              </w:rPr>
            </w:pPr>
            <w:r w:rsidRPr="002A7CC6">
              <w:rPr>
                <w:szCs w:val="20"/>
              </w:rPr>
              <w:t xml:space="preserve">  African American</w:t>
            </w:r>
          </w:p>
          <w:p w:rsidR="009B31DA" w:rsidRPr="002A7CC6" w:rsidRDefault="009B31DA" w:rsidP="00007D60">
            <w:pPr>
              <w:pStyle w:val="Tabletext"/>
              <w:keepNext/>
              <w:keepLines/>
              <w:ind w:right="-57"/>
              <w:rPr>
                <w:szCs w:val="20"/>
              </w:rPr>
            </w:pPr>
            <w:r w:rsidRPr="002A7CC6">
              <w:rPr>
                <w:szCs w:val="20"/>
              </w:rPr>
              <w:t xml:space="preserve">  Other</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p>
          <w:p w:rsidR="009B31DA" w:rsidRPr="002A7CC6" w:rsidRDefault="009B31DA" w:rsidP="00007D60">
            <w:pPr>
              <w:pStyle w:val="Tabletext"/>
              <w:keepNext/>
              <w:keepLines/>
              <w:ind w:left="-92" w:right="-83"/>
              <w:jc w:val="center"/>
              <w:rPr>
                <w:szCs w:val="20"/>
              </w:rPr>
            </w:pPr>
            <w:r w:rsidRPr="002A7CC6">
              <w:rPr>
                <w:szCs w:val="20"/>
              </w:rPr>
              <w:t>112 (68.3%)</w:t>
            </w:r>
          </w:p>
          <w:p w:rsidR="009B31DA" w:rsidRPr="002A7CC6" w:rsidRDefault="009B31DA" w:rsidP="00007D60">
            <w:pPr>
              <w:pStyle w:val="Tabletext"/>
              <w:keepNext/>
              <w:keepLines/>
              <w:ind w:left="-92" w:right="-83"/>
              <w:jc w:val="center"/>
              <w:rPr>
                <w:szCs w:val="20"/>
              </w:rPr>
            </w:pPr>
            <w:r w:rsidRPr="002A7CC6">
              <w:rPr>
                <w:szCs w:val="20"/>
              </w:rPr>
              <w:t>31 (18.9%)</w:t>
            </w:r>
          </w:p>
          <w:p w:rsidR="009B31DA" w:rsidRPr="002A7CC6" w:rsidRDefault="009B31DA" w:rsidP="00007D60">
            <w:pPr>
              <w:pStyle w:val="Tabletext"/>
              <w:keepNext/>
              <w:keepLines/>
              <w:ind w:left="-92" w:right="-83"/>
              <w:jc w:val="center"/>
              <w:rPr>
                <w:szCs w:val="20"/>
              </w:rPr>
            </w:pPr>
            <w:r w:rsidRPr="002A7CC6">
              <w:rPr>
                <w:szCs w:val="20"/>
              </w:rPr>
              <w:t>4 (2.4%)</w:t>
            </w:r>
          </w:p>
          <w:p w:rsidR="009B31DA" w:rsidRPr="002A7CC6" w:rsidRDefault="009B31DA" w:rsidP="00007D60">
            <w:pPr>
              <w:pStyle w:val="Tabletext"/>
              <w:keepNext/>
              <w:keepLines/>
              <w:ind w:left="-92" w:right="-83"/>
              <w:jc w:val="center"/>
              <w:rPr>
                <w:szCs w:val="20"/>
              </w:rPr>
            </w:pPr>
            <w:r w:rsidRPr="002A7CC6">
              <w:rPr>
                <w:szCs w:val="20"/>
              </w:rPr>
              <w:t>17 (10.4</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120 (74.1%)</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24 (14.8%)</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3 (1.9%)</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15 (9.3%)</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p>
          <w:p w:rsidR="009B31DA" w:rsidRPr="002A7CC6" w:rsidRDefault="009B31DA" w:rsidP="00007D60">
            <w:pPr>
              <w:pStyle w:val="TableText0"/>
              <w:keepNext/>
              <w:keepLines/>
              <w:spacing w:before="0" w:after="0"/>
              <w:ind w:left="-92" w:right="-83"/>
              <w:jc w:val="center"/>
              <w:rPr>
                <w:rFonts w:ascii="Arial Narrow" w:eastAsia="OTNEJMScalaSansLF" w:hAnsi="Arial Narrow" w:cs="OTNEJMScalaSansLF"/>
                <w:sz w:val="20"/>
              </w:rPr>
            </w:pPr>
            <w:r w:rsidRPr="002A7CC6">
              <w:rPr>
                <w:rFonts w:ascii="Arial Narrow" w:eastAsia="OTNEJMScalaSansLF" w:hAnsi="Arial Narrow" w:cs="OTNEJMScalaSansLF"/>
                <w:sz w:val="20"/>
              </w:rPr>
              <w:t>228 (84.1%)</w:t>
            </w:r>
          </w:p>
          <w:p w:rsidR="009B31DA" w:rsidRPr="002A7CC6" w:rsidRDefault="009B31DA" w:rsidP="00007D60">
            <w:pPr>
              <w:pStyle w:val="TableText0"/>
              <w:keepNext/>
              <w:keepLines/>
              <w:spacing w:before="0" w:after="0"/>
              <w:ind w:left="-92" w:right="-83"/>
              <w:jc w:val="center"/>
              <w:rPr>
                <w:rFonts w:ascii="Arial Narrow" w:eastAsia="OTNEJMScalaSansLF" w:hAnsi="Arial Narrow" w:cs="OTNEJMScalaSansLF"/>
                <w:sz w:val="20"/>
              </w:rPr>
            </w:pPr>
            <w:r w:rsidRPr="002A7CC6">
              <w:rPr>
                <w:rFonts w:ascii="Arial Narrow" w:hAnsi="Arial Narrow"/>
                <w:sz w:val="20"/>
              </w:rPr>
              <w:t>19 (7.0%)</w:t>
            </w:r>
          </w:p>
          <w:p w:rsidR="009B31DA" w:rsidRPr="002A7CC6" w:rsidRDefault="009B31DA" w:rsidP="00007D60">
            <w:pPr>
              <w:pStyle w:val="TableText0"/>
              <w:keepNext/>
              <w:keepLines/>
              <w:spacing w:before="0" w:after="0"/>
              <w:ind w:left="-92" w:right="-83"/>
              <w:jc w:val="center"/>
              <w:rPr>
                <w:rFonts w:ascii="Arial Narrow" w:eastAsia="OTNEJMScalaSansLF" w:hAnsi="Arial Narrow" w:cs="OTNEJMScalaSansLF"/>
                <w:sz w:val="20"/>
              </w:rPr>
            </w:pPr>
            <w:r w:rsidRPr="002A7CC6">
              <w:rPr>
                <w:rFonts w:ascii="Arial Narrow" w:hAnsi="Arial Narrow"/>
                <w:sz w:val="20"/>
              </w:rPr>
              <w:t>5 (1.9%)</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19 (7.0%)</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p>
          <w:p w:rsidR="009B31DA" w:rsidRPr="002A7CC6" w:rsidRDefault="009B31DA" w:rsidP="00007D60">
            <w:pPr>
              <w:pStyle w:val="TableText0"/>
              <w:keepNext/>
              <w:keepLines/>
              <w:spacing w:before="0" w:after="0"/>
              <w:ind w:left="-92" w:right="-83"/>
              <w:jc w:val="center"/>
              <w:rPr>
                <w:rFonts w:ascii="Arial Narrow" w:eastAsia="OTNEJMScalaSansLF" w:hAnsi="Arial Narrow" w:cs="OTNEJMScalaSansLF"/>
                <w:sz w:val="20"/>
              </w:rPr>
            </w:pPr>
            <w:r w:rsidRPr="002A7CC6">
              <w:rPr>
                <w:rFonts w:ascii="Arial Narrow" w:eastAsia="OTNEJMScalaSansLF" w:hAnsi="Arial Narrow" w:cs="OTNEJMScalaSansLF"/>
                <w:sz w:val="20"/>
              </w:rPr>
              <w:t>112 (83.6%)</w:t>
            </w:r>
          </w:p>
          <w:p w:rsidR="009B31DA" w:rsidRPr="002A7CC6" w:rsidRDefault="009B31DA" w:rsidP="00007D60">
            <w:pPr>
              <w:pStyle w:val="TableText0"/>
              <w:keepNext/>
              <w:keepLines/>
              <w:spacing w:before="0" w:after="0"/>
              <w:ind w:left="-92" w:right="-83"/>
              <w:jc w:val="center"/>
              <w:rPr>
                <w:rFonts w:ascii="Arial Narrow" w:eastAsia="OTNEJMScalaSansLF" w:hAnsi="Arial Narrow" w:cs="OTNEJMScalaSansLF"/>
                <w:sz w:val="20"/>
              </w:rPr>
            </w:pPr>
            <w:r w:rsidRPr="002A7CC6">
              <w:rPr>
                <w:rFonts w:ascii="Arial Narrow" w:hAnsi="Arial Narrow"/>
                <w:sz w:val="20"/>
              </w:rPr>
              <w:t>9 (6.7%)</w:t>
            </w:r>
          </w:p>
          <w:p w:rsidR="009B31DA" w:rsidRPr="002A7CC6" w:rsidRDefault="009B31DA" w:rsidP="00007D60">
            <w:pPr>
              <w:pStyle w:val="TableText0"/>
              <w:keepNext/>
              <w:keepLines/>
              <w:spacing w:before="0" w:after="0"/>
              <w:ind w:left="-92" w:right="-83"/>
              <w:jc w:val="center"/>
              <w:rPr>
                <w:rFonts w:ascii="Arial Narrow" w:eastAsia="OTNEJMScalaSansLF" w:hAnsi="Arial Narrow" w:cs="OTNEJMScalaSansLF"/>
                <w:sz w:val="20"/>
              </w:rPr>
            </w:pPr>
            <w:r w:rsidRPr="002A7CC6">
              <w:rPr>
                <w:rFonts w:ascii="Arial Narrow" w:hAnsi="Arial Narrow"/>
                <w:sz w:val="20"/>
              </w:rPr>
              <w:t>3 (2.2%)</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10 (7.5%)</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Site region, n (%)</w:t>
            </w:r>
          </w:p>
          <w:p w:rsidR="009B31DA" w:rsidRPr="002A7CC6" w:rsidRDefault="009B31DA" w:rsidP="00007D60">
            <w:pPr>
              <w:pStyle w:val="Tabletext"/>
              <w:keepNext/>
              <w:keepLines/>
              <w:ind w:right="-57"/>
              <w:rPr>
                <w:szCs w:val="20"/>
              </w:rPr>
            </w:pPr>
            <w:r w:rsidRPr="002A7CC6">
              <w:rPr>
                <w:szCs w:val="20"/>
              </w:rPr>
              <w:t xml:space="preserve">  Europe</w:t>
            </w:r>
          </w:p>
          <w:p w:rsidR="009B31DA" w:rsidRPr="002A7CC6" w:rsidRDefault="009B31DA" w:rsidP="00007D60">
            <w:pPr>
              <w:pStyle w:val="Tabletext"/>
              <w:keepNext/>
              <w:keepLines/>
              <w:ind w:right="-57"/>
              <w:rPr>
                <w:szCs w:val="20"/>
              </w:rPr>
            </w:pPr>
            <w:r w:rsidRPr="002A7CC6">
              <w:rPr>
                <w:szCs w:val="20"/>
              </w:rPr>
              <w:t xml:space="preserve">  US or Canada</w:t>
            </w:r>
          </w:p>
          <w:p w:rsidR="009B31DA" w:rsidRPr="002A7CC6" w:rsidRDefault="009B31DA" w:rsidP="00007D60">
            <w:pPr>
              <w:pStyle w:val="Tabletext"/>
              <w:keepNext/>
              <w:keepLines/>
              <w:ind w:right="-57"/>
              <w:rPr>
                <w:szCs w:val="20"/>
              </w:rPr>
            </w:pPr>
            <w:r w:rsidRPr="002A7CC6">
              <w:rPr>
                <w:szCs w:val="20"/>
              </w:rPr>
              <w:t xml:space="preserve">  Other</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p>
          <w:p w:rsidR="009B31DA" w:rsidRPr="002A7CC6" w:rsidRDefault="009B31DA" w:rsidP="00007D60">
            <w:pPr>
              <w:pStyle w:val="Tabletext"/>
              <w:keepNext/>
              <w:keepLines/>
              <w:ind w:left="-92" w:right="-83"/>
              <w:jc w:val="center"/>
              <w:rPr>
                <w:szCs w:val="20"/>
              </w:rPr>
            </w:pPr>
            <w:r w:rsidRPr="002A7CC6">
              <w:rPr>
                <w:szCs w:val="20"/>
              </w:rPr>
              <w:t>61 (37.2%)</w:t>
            </w:r>
          </w:p>
          <w:p w:rsidR="009B31DA" w:rsidRPr="002A7CC6" w:rsidRDefault="009B31DA" w:rsidP="00007D60">
            <w:pPr>
              <w:pStyle w:val="Tabletext"/>
              <w:keepNext/>
              <w:keepLines/>
              <w:ind w:left="-92" w:right="-83"/>
              <w:jc w:val="center"/>
              <w:rPr>
                <w:szCs w:val="20"/>
              </w:rPr>
            </w:pPr>
            <w:r w:rsidRPr="002A7CC6">
              <w:rPr>
                <w:szCs w:val="20"/>
              </w:rPr>
              <w:t>75 (45.7%)</w:t>
            </w:r>
          </w:p>
          <w:p w:rsidR="009B31DA" w:rsidRPr="002A7CC6" w:rsidRDefault="009B31DA" w:rsidP="00007D60">
            <w:pPr>
              <w:pStyle w:val="Tabletext"/>
              <w:keepNext/>
              <w:keepLines/>
              <w:ind w:left="-92" w:right="-83"/>
              <w:jc w:val="center"/>
              <w:rPr>
                <w:szCs w:val="20"/>
              </w:rPr>
            </w:pPr>
            <w:r w:rsidRPr="002A7CC6">
              <w:rPr>
                <w:szCs w:val="20"/>
              </w:rPr>
              <w:t>28 (17.1%)</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66 (40.7%)</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79 (48.8%)</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17 (10.5%)</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180 (66.4%)</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41 (15.1%)</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50 (18.5%)</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85 (63.4%)</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23 (17.2%)</w:t>
            </w:r>
          </w:p>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26 (19.4%)</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proofErr w:type="spellStart"/>
            <w:r w:rsidRPr="002A7CC6">
              <w:rPr>
                <w:szCs w:val="20"/>
              </w:rPr>
              <w:t>Ph</w:t>
            </w:r>
            <w:proofErr w:type="spellEnd"/>
            <w:r w:rsidRPr="002A7CC6">
              <w:rPr>
                <w:szCs w:val="20"/>
              </w:rPr>
              <w:t xml:space="preserve"> +, n (%)</w:t>
            </w:r>
          </w:p>
        </w:tc>
        <w:tc>
          <w:tcPr>
            <w:tcW w:w="794" w:type="pct"/>
            <w:tcBorders>
              <w:left w:val="double" w:sz="4" w:space="0" w:color="auto"/>
            </w:tcBorders>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22 (13.4%)</w:t>
            </w:r>
          </w:p>
        </w:tc>
        <w:tc>
          <w:tcPr>
            <w:tcW w:w="795" w:type="pct"/>
            <w:tcBorders>
              <w:right w:val="double" w:sz="4" w:space="0" w:color="auto"/>
            </w:tcBorders>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28 (17.3%)</w:t>
            </w:r>
          </w:p>
        </w:tc>
        <w:tc>
          <w:tcPr>
            <w:tcW w:w="795" w:type="pct"/>
            <w:tcBorders>
              <w:left w:val="double" w:sz="4" w:space="0" w:color="auto"/>
            </w:tcBorders>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 xml:space="preserve">0 </w:t>
            </w:r>
          </w:p>
        </w:tc>
        <w:tc>
          <w:tcPr>
            <w:tcW w:w="795" w:type="pct"/>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 xml:space="preserve">0 </w:t>
            </w:r>
          </w:p>
        </w:tc>
      </w:tr>
      <w:tr w:rsidR="009B31DA" w:rsidRPr="002A7CC6" w:rsidTr="003042AB">
        <w:tc>
          <w:tcPr>
            <w:tcW w:w="1822" w:type="pct"/>
          </w:tcPr>
          <w:p w:rsidR="009B31DA" w:rsidRPr="002A7CC6" w:rsidRDefault="009B31DA" w:rsidP="00007D60">
            <w:pPr>
              <w:pStyle w:val="TableText1"/>
              <w:keepNext/>
              <w:keepLines/>
              <w:spacing w:before="0" w:after="0"/>
              <w:ind w:right="-57"/>
              <w:contextualSpacing/>
              <w:rPr>
                <w:rFonts w:ascii="Arial Narrow" w:hAnsi="Arial Narrow"/>
                <w:sz w:val="20"/>
                <w:szCs w:val="20"/>
              </w:rPr>
            </w:pPr>
            <w:r w:rsidRPr="002A7CC6">
              <w:rPr>
                <w:rFonts w:ascii="Arial Narrow" w:hAnsi="Arial Narrow"/>
                <w:sz w:val="20"/>
                <w:szCs w:val="20"/>
              </w:rPr>
              <w:t>Salvage phase, n (%)</w:t>
            </w:r>
          </w:p>
          <w:p w:rsidR="009B31DA" w:rsidRPr="002A7CC6" w:rsidRDefault="009B31DA" w:rsidP="00007D60">
            <w:pPr>
              <w:pStyle w:val="TableText1"/>
              <w:keepNext/>
              <w:keepLines/>
              <w:spacing w:before="0" w:after="0"/>
              <w:ind w:left="22" w:right="-57"/>
              <w:contextualSpacing/>
              <w:rPr>
                <w:rFonts w:ascii="Arial Narrow" w:hAnsi="Arial Narrow"/>
                <w:sz w:val="20"/>
                <w:szCs w:val="20"/>
              </w:rPr>
            </w:pPr>
            <w:r w:rsidRPr="002A7CC6">
              <w:rPr>
                <w:rFonts w:ascii="Arial Narrow" w:hAnsi="Arial Narrow"/>
                <w:sz w:val="20"/>
                <w:szCs w:val="20"/>
              </w:rPr>
              <w:t xml:space="preserve">  First</w:t>
            </w:r>
          </w:p>
          <w:p w:rsidR="009B31DA" w:rsidRPr="002A7CC6" w:rsidRDefault="009B31DA" w:rsidP="00007D60">
            <w:pPr>
              <w:pStyle w:val="TableText1"/>
              <w:keepNext/>
              <w:keepLines/>
              <w:spacing w:before="0" w:after="0"/>
              <w:ind w:left="22" w:right="-57"/>
              <w:contextualSpacing/>
              <w:rPr>
                <w:rFonts w:ascii="Arial Narrow" w:hAnsi="Arial Narrow"/>
                <w:sz w:val="20"/>
                <w:szCs w:val="20"/>
              </w:rPr>
            </w:pPr>
            <w:r w:rsidRPr="002A7CC6">
              <w:rPr>
                <w:rFonts w:ascii="Arial Narrow" w:hAnsi="Arial Narrow"/>
                <w:sz w:val="20"/>
                <w:szCs w:val="20"/>
              </w:rPr>
              <w:t xml:space="preserve">  Second</w:t>
            </w:r>
          </w:p>
          <w:p w:rsidR="009B31DA" w:rsidRPr="002A7CC6" w:rsidRDefault="009B31DA" w:rsidP="00007D60">
            <w:pPr>
              <w:pStyle w:val="TableText1"/>
              <w:keepNext/>
              <w:keepLines/>
              <w:spacing w:before="0" w:after="0"/>
              <w:ind w:left="22" w:right="-57"/>
              <w:contextualSpacing/>
              <w:rPr>
                <w:rFonts w:ascii="Arial Narrow" w:hAnsi="Arial Narrow"/>
                <w:sz w:val="20"/>
                <w:szCs w:val="20"/>
              </w:rPr>
            </w:pPr>
            <w:r w:rsidRPr="002A7CC6">
              <w:rPr>
                <w:rFonts w:ascii="Arial Narrow" w:hAnsi="Arial Narrow"/>
                <w:sz w:val="20"/>
                <w:szCs w:val="20"/>
              </w:rPr>
              <w:t xml:space="preserve">  Third</w:t>
            </w:r>
          </w:p>
          <w:p w:rsidR="009B31DA" w:rsidRPr="002A7CC6" w:rsidRDefault="009B31DA" w:rsidP="00007D60">
            <w:pPr>
              <w:pStyle w:val="TableText1"/>
              <w:keepNext/>
              <w:keepLines/>
              <w:spacing w:before="0" w:after="0"/>
              <w:ind w:left="22" w:right="-57"/>
              <w:contextualSpacing/>
              <w:rPr>
                <w:rFonts w:ascii="Arial Narrow" w:hAnsi="Arial Narrow"/>
                <w:sz w:val="20"/>
                <w:szCs w:val="20"/>
              </w:rPr>
            </w:pPr>
            <w:r w:rsidRPr="002A7CC6">
              <w:rPr>
                <w:rFonts w:ascii="Arial Narrow" w:hAnsi="Arial Narrow"/>
                <w:sz w:val="20"/>
                <w:szCs w:val="20"/>
              </w:rPr>
              <w:t xml:space="preserve">  Fourth or later</w:t>
            </w:r>
          </w:p>
          <w:p w:rsidR="009B31DA" w:rsidRPr="002A7CC6" w:rsidRDefault="009B31DA" w:rsidP="00007D60">
            <w:pPr>
              <w:pStyle w:val="TableText1"/>
              <w:keepNext/>
              <w:keepLines/>
              <w:spacing w:before="0" w:after="0"/>
              <w:ind w:left="22" w:right="-57"/>
              <w:contextualSpacing/>
              <w:rPr>
                <w:rFonts w:ascii="Arial Narrow" w:hAnsi="Arial Narrow"/>
                <w:sz w:val="20"/>
                <w:szCs w:val="20"/>
              </w:rPr>
            </w:pPr>
            <w:r w:rsidRPr="002A7CC6">
              <w:rPr>
                <w:rFonts w:ascii="Arial Narrow" w:hAnsi="Arial Narrow"/>
                <w:sz w:val="20"/>
                <w:szCs w:val="20"/>
              </w:rPr>
              <w:t xml:space="preserve">  Not known</w:t>
            </w:r>
          </w:p>
        </w:tc>
        <w:tc>
          <w:tcPr>
            <w:tcW w:w="794" w:type="pct"/>
            <w:tcBorders>
              <w:left w:val="double" w:sz="4" w:space="0" w:color="auto"/>
            </w:tcBorders>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111 (67.7%)</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51 (31.1%)</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0</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0</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2 (1.2%)</w:t>
            </w:r>
          </w:p>
        </w:tc>
        <w:tc>
          <w:tcPr>
            <w:tcW w:w="795" w:type="pct"/>
            <w:tcBorders>
              <w:right w:val="double" w:sz="4" w:space="0" w:color="auto"/>
            </w:tcBorders>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104 (64.2%)</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57 (35.2%)</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0</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0</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 (0.6%)</w:t>
            </w:r>
          </w:p>
        </w:tc>
        <w:tc>
          <w:tcPr>
            <w:tcW w:w="795" w:type="pct"/>
            <w:tcBorders>
              <w:left w:val="double" w:sz="4" w:space="0" w:color="auto"/>
            </w:tcBorders>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114 (42.1%)</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91 (33.6%)</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45 (16.6%)</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21 (7.8%)</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NR</w:t>
            </w:r>
          </w:p>
        </w:tc>
        <w:tc>
          <w:tcPr>
            <w:tcW w:w="795" w:type="pct"/>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65 (48.5%)</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43 (32.1%)</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16 (11.9%)</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10 (7.4%)</w:t>
            </w:r>
          </w:p>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NR</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 xml:space="preserve">Duration of first remission &lt;12 </w:t>
            </w:r>
            <w:proofErr w:type="spellStart"/>
            <w:r w:rsidRPr="002A7CC6">
              <w:rPr>
                <w:szCs w:val="20"/>
              </w:rPr>
              <w:t>mths</w:t>
            </w:r>
            <w:proofErr w:type="spellEnd"/>
            <w:r w:rsidRPr="002A7CC6">
              <w:rPr>
                <w:szCs w:val="20"/>
              </w:rPr>
              <w:t>, n (%)</w:t>
            </w:r>
          </w:p>
        </w:tc>
        <w:tc>
          <w:tcPr>
            <w:tcW w:w="794" w:type="pct"/>
            <w:tcBorders>
              <w:lef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98 (56.8%)</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108 (66.7%)</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109 (40.2%)</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49 (36.6%)</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Maximum central/local bone marrow blasts ≥ 50% (%)</w:t>
            </w:r>
          </w:p>
        </w:tc>
        <w:tc>
          <w:tcPr>
            <w:tcW w:w="794" w:type="pct"/>
            <w:tcBorders>
              <w:lef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66.5%</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69.8%</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77.6%</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74.2%</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Platelets (10</w:t>
            </w:r>
            <w:r w:rsidRPr="002A7CC6">
              <w:rPr>
                <w:szCs w:val="20"/>
                <w:vertAlign w:val="superscript"/>
              </w:rPr>
              <w:t>9</w:t>
            </w:r>
            <w:r w:rsidRPr="002A7CC6">
              <w:rPr>
                <w:szCs w:val="20"/>
              </w:rPr>
              <w:t xml:space="preserve"> /L) mean (SD)</w:t>
            </w:r>
          </w:p>
        </w:tc>
        <w:tc>
          <w:tcPr>
            <w:tcW w:w="794" w:type="pct"/>
            <w:tcBorders>
              <w:lef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80.0 (71.0)</w:t>
            </w:r>
          </w:p>
        </w:tc>
        <w:tc>
          <w:tcPr>
            <w:tcW w:w="795" w:type="pct"/>
            <w:tcBorders>
              <w:righ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81.8 (72.2)</w:t>
            </w:r>
          </w:p>
        </w:tc>
        <w:tc>
          <w:tcPr>
            <w:tcW w:w="795" w:type="pct"/>
            <w:tcBorders>
              <w:left w:val="double" w:sz="4" w:space="0" w:color="auto"/>
            </w:tcBorders>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93.5 (96.6)</w:t>
            </w:r>
          </w:p>
        </w:tc>
        <w:tc>
          <w:tcPr>
            <w:tcW w:w="795" w:type="pct"/>
            <w:vAlign w:val="center"/>
          </w:tcPr>
          <w:p w:rsidR="009B31DA" w:rsidRPr="002A7CC6" w:rsidRDefault="009B31DA" w:rsidP="00007D60">
            <w:pPr>
              <w:pStyle w:val="TableText0"/>
              <w:keepNext/>
              <w:keepLines/>
              <w:spacing w:before="0" w:after="0"/>
              <w:ind w:left="-92" w:right="-83"/>
              <w:jc w:val="center"/>
              <w:rPr>
                <w:rFonts w:ascii="Arial Narrow" w:hAnsi="Arial Narrow"/>
                <w:sz w:val="20"/>
              </w:rPr>
            </w:pPr>
            <w:r w:rsidRPr="002A7CC6">
              <w:rPr>
                <w:rFonts w:ascii="Arial Narrow" w:hAnsi="Arial Narrow"/>
                <w:sz w:val="20"/>
              </w:rPr>
              <w:t>71.6 (66.9)</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Previous SCT, n (%)</w:t>
            </w:r>
          </w:p>
        </w:tc>
        <w:tc>
          <w:tcPr>
            <w:tcW w:w="794" w:type="pct"/>
            <w:tcBorders>
              <w:lef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29 (17.7%)</w:t>
            </w:r>
          </w:p>
        </w:tc>
        <w:tc>
          <w:tcPr>
            <w:tcW w:w="795" w:type="pct"/>
            <w:tcBorders>
              <w:righ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32 (19.8%)</w:t>
            </w:r>
          </w:p>
        </w:tc>
        <w:tc>
          <w:tcPr>
            <w:tcW w:w="795" w:type="pct"/>
            <w:tcBorders>
              <w:left w:val="double" w:sz="4" w:space="0" w:color="auto"/>
            </w:tcBorders>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94 (34.7%)</w:t>
            </w:r>
          </w:p>
        </w:tc>
        <w:tc>
          <w:tcPr>
            <w:tcW w:w="795" w:type="pct"/>
            <w:vAlign w:val="center"/>
          </w:tcPr>
          <w:p w:rsidR="009B31DA" w:rsidRPr="002A7CC6" w:rsidRDefault="009B31DA" w:rsidP="00007D60">
            <w:pPr>
              <w:pStyle w:val="TableText1"/>
              <w:keepNext/>
              <w:keepLines/>
              <w:spacing w:before="0" w:after="0"/>
              <w:ind w:left="-92" w:right="-83"/>
              <w:contextualSpacing/>
              <w:jc w:val="center"/>
              <w:rPr>
                <w:rFonts w:ascii="Arial Narrow" w:hAnsi="Arial Narrow"/>
                <w:sz w:val="20"/>
                <w:szCs w:val="20"/>
              </w:rPr>
            </w:pPr>
            <w:r w:rsidRPr="002A7CC6">
              <w:rPr>
                <w:rFonts w:ascii="Arial Narrow" w:hAnsi="Arial Narrow"/>
                <w:sz w:val="20"/>
                <w:szCs w:val="20"/>
              </w:rPr>
              <w:t>46 (34.3%)</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Primary refractory, n (%)</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27 (16.5%)</w:t>
            </w:r>
          </w:p>
        </w:tc>
        <w:tc>
          <w:tcPr>
            <w:tcW w:w="795" w:type="pct"/>
            <w:tcBorders>
              <w:righ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32 (19.8%)</w:t>
            </w:r>
          </w:p>
        </w:tc>
        <w:tc>
          <w:tcPr>
            <w:tcW w:w="795"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46 (17.0%)</w:t>
            </w:r>
          </w:p>
        </w:tc>
        <w:tc>
          <w:tcPr>
            <w:tcW w:w="795" w:type="pct"/>
            <w:vAlign w:val="center"/>
          </w:tcPr>
          <w:p w:rsidR="009B31DA" w:rsidRPr="002A7CC6" w:rsidRDefault="009B31DA" w:rsidP="00007D60">
            <w:pPr>
              <w:pStyle w:val="Tabletext"/>
              <w:keepNext/>
              <w:keepLines/>
              <w:ind w:left="-92" w:right="-83"/>
              <w:jc w:val="center"/>
              <w:rPr>
                <w:szCs w:val="20"/>
              </w:rPr>
            </w:pPr>
            <w:r w:rsidRPr="002A7CC6">
              <w:rPr>
                <w:szCs w:val="20"/>
              </w:rPr>
              <w:t>27 (20.1%)</w:t>
            </w:r>
          </w:p>
        </w:tc>
      </w:tr>
      <w:tr w:rsidR="009B31DA" w:rsidRPr="002A7CC6" w:rsidTr="003042AB">
        <w:tc>
          <w:tcPr>
            <w:tcW w:w="1822" w:type="pct"/>
            <w:vAlign w:val="center"/>
          </w:tcPr>
          <w:p w:rsidR="009B31DA" w:rsidRPr="002A7CC6" w:rsidRDefault="009B31DA" w:rsidP="00007D60">
            <w:pPr>
              <w:pStyle w:val="Tabletext"/>
              <w:keepNext/>
              <w:keepLines/>
              <w:ind w:right="-57"/>
              <w:rPr>
                <w:szCs w:val="20"/>
              </w:rPr>
            </w:pPr>
            <w:r w:rsidRPr="002A7CC6">
              <w:rPr>
                <w:szCs w:val="20"/>
              </w:rPr>
              <w:t xml:space="preserve">Refractory to salvage, n (%) </w:t>
            </w:r>
          </w:p>
        </w:tc>
        <w:tc>
          <w:tcPr>
            <w:tcW w:w="794"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28 (17%)</w:t>
            </w:r>
          </w:p>
        </w:tc>
        <w:tc>
          <w:tcPr>
            <w:tcW w:w="795" w:type="pct"/>
            <w:tcBorders>
              <w:righ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30 (19%)</w:t>
            </w:r>
          </w:p>
        </w:tc>
        <w:tc>
          <w:tcPr>
            <w:tcW w:w="795" w:type="pct"/>
            <w:tcBorders>
              <w:left w:val="double" w:sz="4" w:space="0" w:color="auto"/>
            </w:tcBorders>
            <w:vAlign w:val="center"/>
          </w:tcPr>
          <w:p w:rsidR="009B31DA" w:rsidRPr="002A7CC6" w:rsidRDefault="009B31DA" w:rsidP="00007D60">
            <w:pPr>
              <w:pStyle w:val="Tabletext"/>
              <w:keepNext/>
              <w:keepLines/>
              <w:ind w:left="-92" w:right="-83"/>
              <w:jc w:val="center"/>
              <w:rPr>
                <w:szCs w:val="20"/>
              </w:rPr>
            </w:pPr>
            <w:r w:rsidRPr="002A7CC6">
              <w:rPr>
                <w:szCs w:val="20"/>
              </w:rPr>
              <w:t>87 (32.1%)</w:t>
            </w:r>
          </w:p>
        </w:tc>
        <w:tc>
          <w:tcPr>
            <w:tcW w:w="795" w:type="pct"/>
            <w:vAlign w:val="center"/>
          </w:tcPr>
          <w:p w:rsidR="009B31DA" w:rsidRPr="002A7CC6" w:rsidRDefault="009B31DA" w:rsidP="00007D60">
            <w:pPr>
              <w:pStyle w:val="Tabletext"/>
              <w:keepNext/>
              <w:keepLines/>
              <w:ind w:left="-92" w:right="-83"/>
              <w:jc w:val="center"/>
              <w:rPr>
                <w:szCs w:val="20"/>
              </w:rPr>
            </w:pPr>
            <w:r w:rsidRPr="002A7CC6">
              <w:rPr>
                <w:szCs w:val="20"/>
              </w:rPr>
              <w:t>34 (25.4%)</w:t>
            </w:r>
          </w:p>
        </w:tc>
      </w:tr>
    </w:tbl>
    <w:p w:rsidR="009B31DA" w:rsidRPr="002A7CC6" w:rsidRDefault="009B31DA" w:rsidP="00007D60">
      <w:pPr>
        <w:keepNext/>
        <w:keepLines/>
        <w:widowControl/>
        <w:rPr>
          <w:rFonts w:ascii="Arial Narrow" w:hAnsi="Arial Narrow"/>
          <w:sz w:val="18"/>
          <w:szCs w:val="18"/>
        </w:rPr>
      </w:pPr>
      <w:r w:rsidRPr="002A7CC6">
        <w:rPr>
          <w:rFonts w:ascii="Arial Narrow" w:hAnsi="Arial Narrow"/>
          <w:sz w:val="18"/>
          <w:szCs w:val="18"/>
        </w:rPr>
        <w:t xml:space="preserve">Source: Table 2.4.2, p.97 of the submission; </w:t>
      </w:r>
      <w:proofErr w:type="spellStart"/>
      <w:r w:rsidRPr="002A7CC6">
        <w:rPr>
          <w:rFonts w:ascii="Arial Narrow" w:hAnsi="Arial Narrow"/>
          <w:sz w:val="18"/>
          <w:szCs w:val="18"/>
        </w:rPr>
        <w:t>Kantarjian</w:t>
      </w:r>
      <w:proofErr w:type="spellEnd"/>
      <w:r w:rsidRPr="002A7CC6">
        <w:rPr>
          <w:rFonts w:ascii="Arial Narrow" w:hAnsi="Arial Narrow"/>
          <w:sz w:val="18"/>
          <w:szCs w:val="18"/>
        </w:rPr>
        <w:t xml:space="preserve"> et al. 2017; Table 5, pp.20-22 of the MAIC and STC Technical Report, Appendix 4.</w:t>
      </w:r>
    </w:p>
    <w:p w:rsidR="009B31DA" w:rsidRDefault="009B31DA" w:rsidP="00007D60">
      <w:pPr>
        <w:keepNext/>
        <w:keepLines/>
        <w:widowControl/>
        <w:rPr>
          <w:rFonts w:ascii="Arial Narrow" w:hAnsi="Arial Narrow"/>
          <w:sz w:val="18"/>
          <w:szCs w:val="18"/>
        </w:rPr>
      </w:pPr>
      <w:r w:rsidRPr="002A7CC6">
        <w:rPr>
          <w:rFonts w:ascii="Arial Narrow" w:hAnsi="Arial Narrow"/>
          <w:sz w:val="18"/>
          <w:szCs w:val="18"/>
        </w:rPr>
        <w:t xml:space="preserve">Abbreviations: ITT, intention-to-treat; NR, not reported; </w:t>
      </w:r>
      <w:proofErr w:type="spellStart"/>
      <w:r w:rsidRPr="002A7CC6">
        <w:rPr>
          <w:rFonts w:ascii="Arial Narrow" w:hAnsi="Arial Narrow"/>
          <w:sz w:val="18"/>
          <w:szCs w:val="18"/>
        </w:rPr>
        <w:t>Ph</w:t>
      </w:r>
      <w:proofErr w:type="spellEnd"/>
      <w:r w:rsidRPr="002A7CC6">
        <w:rPr>
          <w:rFonts w:ascii="Arial Narrow" w:hAnsi="Arial Narrow"/>
          <w:sz w:val="18"/>
          <w:szCs w:val="18"/>
        </w:rPr>
        <w:t>+, Philadelphia chromosome positive; SCT, stem cell transplant; SD, standard deviation.</w:t>
      </w:r>
    </w:p>
    <w:p w:rsidR="00F96F7D" w:rsidRPr="002A7CC6" w:rsidRDefault="00F96F7D" w:rsidP="00007D60">
      <w:pPr>
        <w:keepNext/>
        <w:keepLines/>
        <w:widowControl/>
        <w:rPr>
          <w:rFonts w:ascii="Arial Narrow" w:hAnsi="Arial Narrow"/>
          <w:sz w:val="18"/>
          <w:szCs w:val="18"/>
        </w:rPr>
      </w:pPr>
    </w:p>
    <w:p w:rsidR="008831BC" w:rsidRPr="002A7CC6" w:rsidRDefault="008831BC" w:rsidP="00007D60">
      <w:pPr>
        <w:pStyle w:val="ListParagraph"/>
        <w:widowControl/>
        <w:numPr>
          <w:ilvl w:val="1"/>
          <w:numId w:val="1"/>
        </w:numPr>
      </w:pPr>
      <w:r w:rsidRPr="002A7CC6">
        <w:t xml:space="preserve">Overall, there were differences between the </w:t>
      </w:r>
      <w:r w:rsidR="009A469F" w:rsidRPr="002A7CC6">
        <w:t xml:space="preserve">characteristics of patients enrolled in the </w:t>
      </w:r>
      <w:r w:rsidRPr="002A7CC6">
        <w:t xml:space="preserve">blinatumomab and inotuzumab studies in terms of </w:t>
      </w:r>
      <w:r w:rsidR="005C4219" w:rsidRPr="002A7CC6">
        <w:t>Philadelphia chromosome expression</w:t>
      </w:r>
      <w:r w:rsidR="00B12D2E" w:rsidRPr="002A7CC6">
        <w:t>,</w:t>
      </w:r>
      <w:r w:rsidRPr="002A7CC6">
        <w:t xml:space="preserve"> baseline risk (e.g. peripheral blast counts), disease status (e.g. number of prior salvage therapies and </w:t>
      </w:r>
      <w:r w:rsidR="004379C0" w:rsidRPr="002A7CC6">
        <w:t xml:space="preserve">the </w:t>
      </w:r>
      <w:r w:rsidRPr="002A7CC6">
        <w:t xml:space="preserve">proportion of patients </w:t>
      </w:r>
      <w:r w:rsidR="00C7282A" w:rsidRPr="002A7CC6">
        <w:t>with a prior</w:t>
      </w:r>
      <w:r w:rsidRPr="002A7CC6">
        <w:t xml:space="preserve"> HSCT) and </w:t>
      </w:r>
      <w:r w:rsidR="004379C0" w:rsidRPr="002A7CC6">
        <w:t xml:space="preserve">the </w:t>
      </w:r>
      <w:r w:rsidRPr="002A7CC6">
        <w:t>duration of first remission.</w:t>
      </w:r>
    </w:p>
    <w:p w:rsidR="005978C9" w:rsidRDefault="003042AB" w:rsidP="00007D60">
      <w:pPr>
        <w:pStyle w:val="ListParagraph"/>
        <w:widowControl/>
        <w:numPr>
          <w:ilvl w:val="1"/>
          <w:numId w:val="1"/>
        </w:numPr>
      </w:pPr>
      <w:r w:rsidRPr="002A7CC6">
        <w:t xml:space="preserve">The evaluation considered that the blinatumomab studies included patients </w:t>
      </w:r>
      <w:r w:rsidR="00F64FCD">
        <w:t>with a worse prognosis</w:t>
      </w:r>
      <w:r w:rsidRPr="002A7CC6">
        <w:t xml:space="preserve"> compared to the inotuzumab studies. </w:t>
      </w:r>
      <w:r w:rsidR="005C4219" w:rsidRPr="005978C9">
        <w:t>However, t</w:t>
      </w:r>
      <w:r w:rsidRPr="005978C9">
        <w:t>he ESC considered that many of the differences were unlikely to be treatment effect modifiers</w:t>
      </w:r>
      <w:r w:rsidR="00305F53" w:rsidRPr="005978C9">
        <w:t>. The ESC considered that</w:t>
      </w:r>
      <w:r w:rsidRPr="005978C9">
        <w:t xml:space="preserve"> the key differences </w:t>
      </w:r>
      <w:r w:rsidR="00305F53" w:rsidRPr="005978C9">
        <w:t>likely to have an impact were</w:t>
      </w:r>
      <w:r w:rsidRPr="005978C9">
        <w:t xml:space="preserve"> that the TOWER (blinatumomab) trial included </w:t>
      </w:r>
      <w:proofErr w:type="gramStart"/>
      <w:r w:rsidRPr="005978C9">
        <w:t>patients</w:t>
      </w:r>
      <w:proofErr w:type="gramEnd"/>
      <w:r w:rsidRPr="005978C9">
        <w:t xml:space="preserve"> post-second line salvage therapy (who would likely have a worse prognosis) and </w:t>
      </w:r>
      <w:r w:rsidR="00C7282A" w:rsidRPr="005978C9">
        <w:t xml:space="preserve">patients </w:t>
      </w:r>
      <w:r w:rsidRPr="005978C9">
        <w:t xml:space="preserve">with a longer duration of first remission (who would likely have a more favourable prognosis). The ESC considered that the overall direction of bias was </w:t>
      </w:r>
      <w:r w:rsidR="009A469F" w:rsidRPr="005978C9">
        <w:t xml:space="preserve">difficult to determine but </w:t>
      </w:r>
      <w:r w:rsidR="00427EE6" w:rsidRPr="005978C9">
        <w:t>un</w:t>
      </w:r>
      <w:r w:rsidR="00E54F7D" w:rsidRPr="005978C9">
        <w:t>likely</w:t>
      </w:r>
      <w:r w:rsidR="00427EE6" w:rsidRPr="005978C9">
        <w:t xml:space="preserve"> to be large</w:t>
      </w:r>
      <w:r w:rsidR="00E54F7D" w:rsidRPr="005978C9">
        <w:t xml:space="preserve"> </w:t>
      </w:r>
      <w:r w:rsidRPr="005978C9">
        <w:t>with some factors favouring blinatumomab and others favouring inotuzumab.</w:t>
      </w:r>
      <w:r w:rsidR="005D1FE6">
        <w:t xml:space="preserve"> </w:t>
      </w:r>
    </w:p>
    <w:p w:rsidR="003042AB" w:rsidRDefault="005D1FE6" w:rsidP="00007D60">
      <w:pPr>
        <w:pStyle w:val="ListParagraph"/>
        <w:widowControl/>
        <w:numPr>
          <w:ilvl w:val="1"/>
          <w:numId w:val="1"/>
        </w:numPr>
      </w:pPr>
      <w:r>
        <w:lastRenderedPageBreak/>
        <w:t xml:space="preserve">The PBAC </w:t>
      </w:r>
      <w:r w:rsidR="005978C9">
        <w:t xml:space="preserve">agreed with the evaluation and </w:t>
      </w:r>
      <w:r>
        <w:t xml:space="preserve">considered that the TOWER (blinatumomab) </w:t>
      </w:r>
      <w:r w:rsidR="00490803">
        <w:t>trial</w:t>
      </w:r>
      <w:r>
        <w:t xml:space="preserve"> included patients with </w:t>
      </w:r>
      <w:r w:rsidR="00490803">
        <w:t>a worse prognosis</w:t>
      </w:r>
      <w:r>
        <w:t xml:space="preserve"> because it included patients in third </w:t>
      </w:r>
      <w:r w:rsidR="005978C9">
        <w:t>or later salvage</w:t>
      </w:r>
      <w:r>
        <w:t xml:space="preserve">, more </w:t>
      </w:r>
      <w:r w:rsidR="005978C9">
        <w:t xml:space="preserve">patients who were </w:t>
      </w:r>
      <w:r>
        <w:t>refracto</w:t>
      </w:r>
      <w:r w:rsidR="004C6031">
        <w:t>r</w:t>
      </w:r>
      <w:r>
        <w:t xml:space="preserve">y </w:t>
      </w:r>
      <w:r w:rsidR="005978C9">
        <w:t xml:space="preserve">to </w:t>
      </w:r>
      <w:r w:rsidR="006E043E">
        <w:t xml:space="preserve">prior </w:t>
      </w:r>
      <w:r w:rsidR="005978C9">
        <w:t xml:space="preserve">salvage </w:t>
      </w:r>
      <w:r w:rsidR="006E043E">
        <w:t xml:space="preserve">therapy </w:t>
      </w:r>
      <w:r>
        <w:t xml:space="preserve">and more </w:t>
      </w:r>
      <w:r w:rsidR="004C6031">
        <w:t>patients</w:t>
      </w:r>
      <w:r w:rsidR="005978C9">
        <w:t xml:space="preserve"> with a previous</w:t>
      </w:r>
      <w:r w:rsidR="006E043E">
        <w:t xml:space="preserve"> H</w:t>
      </w:r>
      <w:r w:rsidR="005978C9">
        <w:t>SCT</w:t>
      </w:r>
      <w:r>
        <w:t>. The PBAC considered th</w:t>
      </w:r>
      <w:r w:rsidR="005978C9">
        <w:t xml:space="preserve">at these three factors </w:t>
      </w:r>
      <w:r>
        <w:t xml:space="preserve">would likely </w:t>
      </w:r>
      <w:r w:rsidR="005978C9">
        <w:t>confound</w:t>
      </w:r>
      <w:r>
        <w:t xml:space="preserve"> the </w:t>
      </w:r>
      <w:r w:rsidR="003745AF">
        <w:t>indirect comparison</w:t>
      </w:r>
      <w:r>
        <w:t xml:space="preserve"> and favour inotuzumab. </w:t>
      </w:r>
    </w:p>
    <w:p w:rsidR="006955B3" w:rsidRPr="002A7CC6" w:rsidRDefault="006955B3" w:rsidP="00007D60">
      <w:pPr>
        <w:pStyle w:val="ListParagraph"/>
        <w:widowControl/>
        <w:numPr>
          <w:ilvl w:val="1"/>
          <w:numId w:val="1"/>
        </w:numPr>
      </w:pPr>
      <w:r w:rsidRPr="002A7CC6">
        <w:t xml:space="preserve">Chemotherapy regimens used in the standard of care treatment arms varied between the TOWER and </w:t>
      </w:r>
      <w:r w:rsidR="007D7344">
        <w:t>INO-VATE ALL</w:t>
      </w:r>
      <w:r w:rsidRPr="002A7CC6">
        <w:t xml:space="preserve"> trials, but </w:t>
      </w:r>
      <w:r w:rsidR="006E043E">
        <w:t xml:space="preserve">the evaluation considered that </w:t>
      </w:r>
      <w:r w:rsidRPr="002A7CC6">
        <w:t>more aggressive chemotherapy may have been used in the TOWER trial consistent with a younger population with more progressed disease. Chemotherapy treatment regimens used in the standard of care treatment arms in both trials also varied by site and investigator’s discretion.</w:t>
      </w:r>
    </w:p>
    <w:p w:rsidR="006955B3" w:rsidRPr="002A7CC6" w:rsidRDefault="006955B3" w:rsidP="00007D60">
      <w:pPr>
        <w:pStyle w:val="ListParagraph"/>
        <w:widowControl/>
        <w:numPr>
          <w:ilvl w:val="1"/>
          <w:numId w:val="1"/>
        </w:numPr>
      </w:pPr>
      <w:r w:rsidRPr="002A7CC6">
        <w:t>The primary outcome</w:t>
      </w:r>
      <w:r w:rsidR="00601A98" w:rsidRPr="002A7CC6">
        <w:t>s</w:t>
      </w:r>
      <w:r w:rsidRPr="002A7CC6">
        <w:t xml:space="preserve"> of the </w:t>
      </w:r>
      <w:r w:rsidR="007D7344">
        <w:t>INO-VATE ALL</w:t>
      </w:r>
      <w:r w:rsidRPr="002A7CC6">
        <w:t xml:space="preserve"> trial w</w:t>
      </w:r>
      <w:r w:rsidR="00601A98" w:rsidRPr="002A7CC6">
        <w:t>ere</w:t>
      </w:r>
      <w:r w:rsidRPr="002A7CC6">
        <w:t xml:space="preserve"> complete remission </w:t>
      </w:r>
      <w:r w:rsidR="00601A98" w:rsidRPr="002A7CC6">
        <w:t>and overall survival</w:t>
      </w:r>
      <w:r w:rsidR="00B12D2E" w:rsidRPr="002A7CC6">
        <w:t>,</w:t>
      </w:r>
      <w:r w:rsidR="00601A98" w:rsidRPr="002A7CC6">
        <w:t xml:space="preserve"> </w:t>
      </w:r>
      <w:r w:rsidRPr="002A7CC6">
        <w:t xml:space="preserve">and the primary outcome of the TOWER trial was overall survival. The submission acknowledged differences between the INO-VATE ALL and TOWER trials in terms of outcomes </w:t>
      </w:r>
      <w:r w:rsidR="00FF5F31" w:rsidRPr="002A7CC6">
        <w:t xml:space="preserve">reported </w:t>
      </w:r>
      <w:r w:rsidRPr="002A7CC6">
        <w:t>and definitions for complete remission (CR), progression free survival and HSCT rate</w:t>
      </w:r>
      <w:r w:rsidR="002E70E6" w:rsidRPr="002A7CC6">
        <w:t xml:space="preserve"> (these differences are discussed further below for each relevant outcome)</w:t>
      </w:r>
      <w:r w:rsidRPr="002A7CC6">
        <w:t>.</w:t>
      </w:r>
    </w:p>
    <w:p w:rsidR="006A3245" w:rsidRPr="002A7CC6" w:rsidRDefault="00B41C71" w:rsidP="00007D60">
      <w:pPr>
        <w:pStyle w:val="ListParagraph"/>
        <w:widowControl/>
        <w:numPr>
          <w:ilvl w:val="1"/>
          <w:numId w:val="1"/>
        </w:numPr>
        <w:rPr>
          <w:rFonts w:cs="Calibri"/>
          <w:snapToGrid/>
          <w:szCs w:val="24"/>
          <w:lang w:val="en-US" w:eastAsia="en-AU"/>
        </w:rPr>
      </w:pPr>
      <w:r w:rsidRPr="002A7CC6">
        <w:t xml:space="preserve">The MAIC used individual patient data from the </w:t>
      </w:r>
      <w:r w:rsidR="007D7344">
        <w:t>INO-VATE ALL</w:t>
      </w:r>
      <w:r w:rsidRPr="002A7CC6">
        <w:t xml:space="preserve"> trial (inotuzumab) to match baseline summary statistics reported from the TOWER trial (blinatumomab). </w:t>
      </w:r>
      <w:r w:rsidRPr="002A7CC6">
        <w:rPr>
          <w:szCs w:val="24"/>
        </w:rPr>
        <w:t xml:space="preserve">A list of potential treatment effect modifiers was identified for each outcome from available baseline patient and disease characteristics, using results from the </w:t>
      </w:r>
      <w:r w:rsidRPr="002A7CC6">
        <w:t xml:space="preserve">literature, stratified analyses in the </w:t>
      </w:r>
      <w:r w:rsidR="007D7344">
        <w:t>INO-VATE ALL</w:t>
      </w:r>
      <w:r w:rsidRPr="002A7CC6">
        <w:t xml:space="preserve"> and TOWER trials (not provided for evaluation), and clinical expert </w:t>
      </w:r>
      <w:r w:rsidR="009D4006" w:rsidRPr="002A7CC6">
        <w:t>opinion</w:t>
      </w:r>
      <w:r w:rsidRPr="002A7CC6">
        <w:rPr>
          <w:szCs w:val="24"/>
        </w:rPr>
        <w:t xml:space="preserve">. </w:t>
      </w:r>
      <w:r w:rsidR="004506D7">
        <w:rPr>
          <w:szCs w:val="24"/>
        </w:rPr>
        <w:t xml:space="preserve">The PBAC considered that the stratified analyses would have been </w:t>
      </w:r>
      <w:r w:rsidR="003F466C">
        <w:rPr>
          <w:szCs w:val="24"/>
        </w:rPr>
        <w:t>informative</w:t>
      </w:r>
      <w:r w:rsidR="004506D7">
        <w:rPr>
          <w:szCs w:val="24"/>
        </w:rPr>
        <w:t xml:space="preserve"> and should have been included in the submission.  </w:t>
      </w:r>
    </w:p>
    <w:p w:rsidR="00FF5F31" w:rsidRPr="002A7CC6" w:rsidRDefault="00FF5F31" w:rsidP="00007D60">
      <w:pPr>
        <w:pStyle w:val="BodyText"/>
        <w:keepNext/>
        <w:keepLines/>
        <w:widowControl/>
        <w:rPr>
          <w:rFonts w:ascii="Arial Narrow" w:hAnsi="Arial Narrow"/>
          <w:b/>
          <w:sz w:val="20"/>
          <w:szCs w:val="20"/>
        </w:rPr>
      </w:pPr>
      <w:r w:rsidRPr="002A7CC6">
        <w:rPr>
          <w:rFonts w:ascii="Arial Narrow" w:hAnsi="Arial Narrow"/>
          <w:b/>
          <w:sz w:val="20"/>
          <w:szCs w:val="20"/>
        </w:rPr>
        <w:lastRenderedPageBreak/>
        <w:t xml:space="preserve">Table </w:t>
      </w:r>
      <w:r w:rsidR="009A469F" w:rsidRPr="002A7CC6">
        <w:rPr>
          <w:rFonts w:ascii="Arial Narrow" w:hAnsi="Arial Narrow"/>
          <w:b/>
          <w:sz w:val="20"/>
          <w:szCs w:val="20"/>
        </w:rPr>
        <w:t>5</w:t>
      </w:r>
      <w:r w:rsidRPr="002A7CC6">
        <w:rPr>
          <w:rFonts w:ascii="Arial Narrow" w:hAnsi="Arial Narrow"/>
          <w:b/>
          <w:sz w:val="20"/>
          <w:szCs w:val="20"/>
        </w:rPr>
        <w:t>: Treatment effect modifiers by outcome identified in the submission</w:t>
      </w:r>
    </w:p>
    <w:tbl>
      <w:tblPr>
        <w:tblW w:w="5030" w:type="pct"/>
        <w:tblInd w:w="-5" w:type="dxa"/>
        <w:tblLayout w:type="fixed"/>
        <w:tblLook w:val="0000" w:firstRow="0" w:lastRow="0" w:firstColumn="0" w:lastColumn="0" w:noHBand="0" w:noVBand="0"/>
      </w:tblPr>
      <w:tblGrid>
        <w:gridCol w:w="1384"/>
        <w:gridCol w:w="3762"/>
        <w:gridCol w:w="3925"/>
      </w:tblGrid>
      <w:tr w:rsidR="00FF5F31" w:rsidRPr="002A7CC6" w:rsidTr="00C45611">
        <w:trPr>
          <w:cantSplit/>
          <w:trHeight w:val="188"/>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FF5F31" w:rsidRPr="00C45611" w:rsidRDefault="00FF5F31" w:rsidP="00007D60">
            <w:pPr>
              <w:pStyle w:val="TableText1"/>
              <w:keepNext/>
              <w:keepLines/>
              <w:spacing w:before="0" w:after="0"/>
              <w:ind w:left="-43" w:right="-65"/>
              <w:rPr>
                <w:rFonts w:ascii="Arial Narrow" w:hAnsi="Arial Narrow"/>
                <w:b/>
                <w:sz w:val="20"/>
                <w:szCs w:val="20"/>
              </w:rPr>
            </w:pPr>
            <w:r w:rsidRPr="00C45611">
              <w:rPr>
                <w:rFonts w:ascii="Arial Narrow" w:hAnsi="Arial Narrow"/>
                <w:b/>
                <w:sz w:val="20"/>
                <w:szCs w:val="20"/>
              </w:rPr>
              <w:t>Outcome</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keepLines/>
              <w:spacing w:before="0" w:after="0"/>
              <w:ind w:left="-60" w:right="-57"/>
              <w:jc w:val="center"/>
              <w:rPr>
                <w:rFonts w:ascii="Arial Narrow" w:hAnsi="Arial Narrow"/>
                <w:b/>
                <w:sz w:val="20"/>
                <w:szCs w:val="20"/>
              </w:rPr>
            </w:pPr>
            <w:r w:rsidRPr="00C45611">
              <w:rPr>
                <w:rFonts w:ascii="Arial Narrow" w:hAnsi="Arial Narrow"/>
                <w:b/>
                <w:sz w:val="20"/>
                <w:szCs w:val="20"/>
              </w:rPr>
              <w:t>Restricted set of potential modifiers</w:t>
            </w:r>
          </w:p>
        </w:tc>
        <w:tc>
          <w:tcPr>
            <w:tcW w:w="3925"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keepLines/>
              <w:spacing w:before="0" w:after="0"/>
              <w:ind w:left="-60" w:right="-57"/>
              <w:jc w:val="center"/>
              <w:rPr>
                <w:rFonts w:ascii="Arial Narrow" w:hAnsi="Arial Narrow"/>
                <w:b/>
                <w:sz w:val="20"/>
                <w:szCs w:val="20"/>
              </w:rPr>
            </w:pPr>
            <w:r w:rsidRPr="00C45611">
              <w:rPr>
                <w:rFonts w:ascii="Arial Narrow" w:hAnsi="Arial Narrow"/>
                <w:b/>
                <w:sz w:val="20"/>
                <w:szCs w:val="20"/>
              </w:rPr>
              <w:t xml:space="preserve">Full set of potential modifiers </w:t>
            </w:r>
          </w:p>
        </w:tc>
      </w:tr>
      <w:tr w:rsidR="00FF5F31" w:rsidRPr="002A7CC6" w:rsidTr="00C45611">
        <w:trPr>
          <w:cantSplit/>
          <w:trHeight w:val="188"/>
        </w:trPr>
        <w:tc>
          <w:tcPr>
            <w:tcW w:w="1385"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keepLines/>
              <w:spacing w:before="0" w:after="0"/>
              <w:ind w:left="-43" w:right="-65"/>
              <w:rPr>
                <w:rFonts w:ascii="Arial Narrow" w:hAnsi="Arial Narrow"/>
                <w:sz w:val="20"/>
                <w:szCs w:val="20"/>
              </w:rPr>
            </w:pPr>
            <w:r w:rsidRPr="00C45611">
              <w:rPr>
                <w:rFonts w:ascii="Arial Narrow" w:hAnsi="Arial Narrow"/>
                <w:sz w:val="20"/>
                <w:szCs w:val="20"/>
              </w:rPr>
              <w:t>Overall survival</w:t>
            </w:r>
          </w:p>
          <w:p w:rsidR="00FF5F31" w:rsidRPr="00C45611" w:rsidRDefault="00FF5F31" w:rsidP="00007D60">
            <w:pPr>
              <w:pStyle w:val="TableText1"/>
              <w:keepNext/>
              <w:keepLines/>
              <w:spacing w:before="0" w:after="0"/>
              <w:ind w:left="-43" w:right="-65"/>
              <w:rPr>
                <w:rFonts w:ascii="Arial Narrow" w:hAnsi="Arial Narrow"/>
                <w:sz w:val="20"/>
                <w:szCs w:val="20"/>
              </w:rPr>
            </w:pPr>
            <w:r w:rsidRPr="00C45611">
              <w:rPr>
                <w:rFonts w:ascii="Arial Narrow" w:hAnsi="Arial Narrow"/>
                <w:sz w:val="20"/>
                <w:szCs w:val="20"/>
              </w:rPr>
              <w:t>Event free survival</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keepLines/>
              <w:spacing w:before="0" w:after="0"/>
              <w:ind w:left="-54" w:right="-36"/>
              <w:rPr>
                <w:rFonts w:ascii="Arial Narrow" w:hAnsi="Arial Narrow"/>
                <w:sz w:val="20"/>
                <w:szCs w:val="20"/>
              </w:rPr>
            </w:pPr>
            <w:r w:rsidRPr="00C45611">
              <w:rPr>
                <w:rFonts w:ascii="Arial Narrow" w:hAnsi="Arial Narrow"/>
                <w:sz w:val="20"/>
                <w:szCs w:val="20"/>
              </w:rPr>
              <w:t>Age; Philadelphia chromosome status; prior HSCT; hepatic comorbidities; region.</w:t>
            </w:r>
          </w:p>
        </w:tc>
        <w:tc>
          <w:tcPr>
            <w:tcW w:w="3925" w:type="dxa"/>
            <w:tcBorders>
              <w:top w:val="single" w:sz="4" w:space="0" w:color="auto"/>
              <w:left w:val="single" w:sz="4" w:space="0" w:color="auto"/>
              <w:bottom w:val="single" w:sz="4" w:space="0" w:color="auto"/>
              <w:right w:val="single" w:sz="4" w:space="0" w:color="auto"/>
            </w:tcBorders>
            <w:shd w:val="clear" w:color="auto" w:fill="auto"/>
          </w:tcPr>
          <w:p w:rsidR="00FF5F31" w:rsidRPr="00B0555B" w:rsidRDefault="00B0555B" w:rsidP="00007D60">
            <w:pPr>
              <w:pStyle w:val="TableText1"/>
              <w:keepNext/>
              <w:keepLines/>
              <w:spacing w:before="0" w:after="0"/>
              <w:ind w:left="-54" w:right="-36"/>
              <w:rPr>
                <w:rFonts w:ascii="Arial Narrow" w:hAnsi="Arial Narrow"/>
                <w:sz w:val="20"/>
                <w:szCs w:val="20"/>
                <w:highlight w:val="black"/>
              </w:rPr>
            </w:pPr>
            <w:r>
              <w:rPr>
                <w:rFonts w:ascii="Arial Narrow" w:hAnsi="Arial Narrow"/>
                <w:noProof/>
                <w:color w:val="000000"/>
                <w:sz w:val="20"/>
                <w:szCs w:val="20"/>
                <w:highlight w:val="black"/>
              </w:rPr>
              <w:t>''''''''''''''''''''' '''' ''''''''' '''''''''''''''''''''' '''' '''''' ''''''''''''''''''' ''''''''''' ''''''''''''''''' ''''' '''''''''''''''''' ''''''''''''''''''''''' '''''''''''''''''''''' '''' '''''''''''''''''''''''''''' '''''''''''' ''''''''''''''''''' ''''''''''' '''''''''''''''' ''''''''' ''' '''''''''''''' '''''''''''''''''''' '''''''''''''''''''''''''''''''''' ''''''''''''''''''''' '''''''''''''''''''''''</w:t>
            </w:r>
          </w:p>
        </w:tc>
      </w:tr>
      <w:tr w:rsidR="00FF5F31" w:rsidRPr="002A7CC6" w:rsidTr="00C45611">
        <w:trPr>
          <w:cantSplit/>
          <w:trHeight w:val="188"/>
        </w:trPr>
        <w:tc>
          <w:tcPr>
            <w:tcW w:w="1385"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spacing w:before="0" w:after="0"/>
              <w:ind w:left="-43" w:right="-65"/>
              <w:rPr>
                <w:rFonts w:ascii="Arial Narrow" w:hAnsi="Arial Narrow"/>
                <w:sz w:val="20"/>
                <w:szCs w:val="20"/>
              </w:rPr>
            </w:pPr>
            <w:r w:rsidRPr="00C45611">
              <w:rPr>
                <w:rFonts w:ascii="Arial Narrow" w:hAnsi="Arial Narrow"/>
                <w:sz w:val="20"/>
                <w:szCs w:val="20"/>
              </w:rPr>
              <w:t>Complete remission rates (CR/</w:t>
            </w:r>
            <w:proofErr w:type="spellStart"/>
            <w:r w:rsidRPr="00C45611">
              <w:rPr>
                <w:rFonts w:ascii="Arial Narrow" w:hAnsi="Arial Narrow"/>
                <w:sz w:val="20"/>
                <w:szCs w:val="20"/>
              </w:rPr>
              <w:t>CRi</w:t>
            </w:r>
            <w:proofErr w:type="spellEnd"/>
            <w:r w:rsidRPr="00C45611">
              <w:rPr>
                <w:rFonts w:ascii="Arial Narrow" w:hAnsi="Arial Narrow"/>
                <w:sz w:val="20"/>
                <w:szCs w:val="20"/>
              </w:rPr>
              <w:t>)</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spacing w:before="0" w:after="0"/>
              <w:ind w:left="-54" w:right="-36"/>
              <w:rPr>
                <w:rFonts w:ascii="Arial Narrow" w:hAnsi="Arial Narrow"/>
                <w:sz w:val="20"/>
                <w:szCs w:val="20"/>
              </w:rPr>
            </w:pPr>
            <w:r w:rsidRPr="00C45611">
              <w:rPr>
                <w:rFonts w:ascii="Arial Narrow" w:hAnsi="Arial Narrow"/>
                <w:sz w:val="20"/>
                <w:szCs w:val="20"/>
              </w:rPr>
              <w:t>Age; Philadelphia chromosome status; prior HSCT; duration of first remission (&lt; 12 months); prior number of salvage therapies; maximum of central/local bone marrow blast (&lt; 50% and ≥ 50%).</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tcPr>
          <w:p w:rsidR="00FF5F31" w:rsidRPr="00C45611" w:rsidRDefault="00FF5F31" w:rsidP="00007D60">
            <w:pPr>
              <w:pStyle w:val="TableText1"/>
              <w:keepNext/>
              <w:spacing w:before="0" w:after="0"/>
              <w:ind w:left="-54" w:right="-36"/>
              <w:jc w:val="center"/>
              <w:rPr>
                <w:rFonts w:ascii="Arial Narrow" w:hAnsi="Arial Narrow"/>
                <w:sz w:val="20"/>
                <w:szCs w:val="20"/>
              </w:rPr>
            </w:pPr>
            <w:r w:rsidRPr="00C45611">
              <w:rPr>
                <w:rFonts w:ascii="Arial Narrow" w:hAnsi="Arial Narrow"/>
                <w:sz w:val="20"/>
                <w:szCs w:val="20"/>
              </w:rPr>
              <w:t>-</w:t>
            </w:r>
          </w:p>
        </w:tc>
      </w:tr>
      <w:tr w:rsidR="00FF5F31" w:rsidRPr="002A7CC6" w:rsidTr="00C45611">
        <w:trPr>
          <w:cantSplit/>
          <w:trHeight w:val="188"/>
        </w:trPr>
        <w:tc>
          <w:tcPr>
            <w:tcW w:w="1385"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spacing w:before="0" w:after="0"/>
              <w:ind w:left="-43" w:right="-65"/>
              <w:rPr>
                <w:rFonts w:ascii="Arial Narrow" w:hAnsi="Arial Narrow"/>
                <w:sz w:val="20"/>
                <w:szCs w:val="20"/>
              </w:rPr>
            </w:pPr>
            <w:r w:rsidRPr="00C45611">
              <w:rPr>
                <w:rFonts w:ascii="Arial Narrow" w:hAnsi="Arial Narrow"/>
                <w:sz w:val="20"/>
                <w:szCs w:val="20"/>
              </w:rPr>
              <w:t>HSCT rate</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FF5F31" w:rsidRPr="00C45611" w:rsidRDefault="00FF5F31" w:rsidP="00007D60">
            <w:pPr>
              <w:pStyle w:val="TableText1"/>
              <w:keepNext/>
              <w:spacing w:before="0" w:after="0"/>
              <w:ind w:left="-54" w:right="-36"/>
              <w:rPr>
                <w:rFonts w:ascii="Arial Narrow" w:hAnsi="Arial Narrow"/>
                <w:sz w:val="20"/>
                <w:szCs w:val="20"/>
              </w:rPr>
            </w:pPr>
            <w:r w:rsidRPr="00C45611">
              <w:rPr>
                <w:rFonts w:ascii="Arial Narrow" w:hAnsi="Arial Narrow"/>
                <w:sz w:val="20"/>
                <w:szCs w:val="20"/>
              </w:rPr>
              <w:t>Age; prior HSCT; region.</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tcPr>
          <w:p w:rsidR="00FF5F31" w:rsidRPr="00C45611" w:rsidRDefault="00FF5F31" w:rsidP="00007D60">
            <w:pPr>
              <w:pStyle w:val="TableText1"/>
              <w:keepNext/>
              <w:spacing w:before="0" w:after="0"/>
              <w:ind w:left="-54" w:right="-36"/>
              <w:jc w:val="center"/>
              <w:rPr>
                <w:rFonts w:ascii="Arial Narrow" w:hAnsi="Arial Narrow"/>
                <w:sz w:val="20"/>
                <w:szCs w:val="20"/>
              </w:rPr>
            </w:pPr>
            <w:r w:rsidRPr="00C45611">
              <w:rPr>
                <w:rFonts w:ascii="Arial Narrow" w:hAnsi="Arial Narrow"/>
                <w:sz w:val="20"/>
                <w:szCs w:val="20"/>
              </w:rPr>
              <w:t>-</w:t>
            </w:r>
          </w:p>
        </w:tc>
      </w:tr>
      <w:tr w:rsidR="00FF5F31" w:rsidRPr="002A7CC6" w:rsidTr="00C45611">
        <w:trPr>
          <w:cantSplit/>
          <w:trHeight w:val="188"/>
        </w:trPr>
        <w:tc>
          <w:tcPr>
            <w:tcW w:w="1385" w:type="dxa"/>
            <w:tcBorders>
              <w:top w:val="single" w:sz="4" w:space="0" w:color="auto"/>
              <w:left w:val="single" w:sz="4" w:space="0" w:color="auto"/>
              <w:bottom w:val="single" w:sz="4" w:space="0" w:color="auto"/>
              <w:right w:val="single" w:sz="4" w:space="0" w:color="auto"/>
            </w:tcBorders>
            <w:shd w:val="clear" w:color="auto" w:fill="auto"/>
          </w:tcPr>
          <w:p w:rsidR="00FF5F31" w:rsidRPr="00C45611" w:rsidRDefault="00FF5F31" w:rsidP="00007D60">
            <w:pPr>
              <w:pStyle w:val="TableText1"/>
              <w:keepNext/>
              <w:spacing w:before="0" w:after="0"/>
              <w:ind w:left="-43" w:right="-65"/>
              <w:rPr>
                <w:rFonts w:ascii="Arial Narrow" w:hAnsi="Arial Narrow"/>
                <w:sz w:val="20"/>
                <w:szCs w:val="20"/>
              </w:rPr>
            </w:pPr>
            <w:r w:rsidRPr="00C45611">
              <w:rPr>
                <w:rFonts w:ascii="Arial Narrow" w:hAnsi="Arial Narrow"/>
                <w:sz w:val="20"/>
                <w:szCs w:val="20"/>
              </w:rPr>
              <w:t>Adverse events</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FF5F31" w:rsidRPr="00B0555B" w:rsidRDefault="00B0555B" w:rsidP="00007D60">
            <w:pPr>
              <w:pStyle w:val="TableText1"/>
              <w:keepNext/>
              <w:spacing w:before="0" w:after="0"/>
              <w:ind w:left="-54" w:right="-36"/>
              <w:rPr>
                <w:rFonts w:ascii="Arial Narrow" w:hAnsi="Arial Narrow"/>
                <w:sz w:val="20"/>
                <w:szCs w:val="20"/>
                <w:highlight w:val="black"/>
              </w:rPr>
            </w:pPr>
            <w:r>
              <w:rPr>
                <w:rFonts w:ascii="Arial Narrow" w:hAnsi="Arial Narrow"/>
                <w:noProof/>
                <w:color w:val="000000"/>
                <w:sz w:val="20"/>
                <w:szCs w:val="20"/>
                <w:highlight w:val="black"/>
              </w:rPr>
              <w:t>''''''''''' ''''''''''''''''''''''''''' '''''''''''''''''''''''''''''''' ''''''''''''''''' '''''''''' '''''''''''''''' ''''''''''''''''''''' '''' '''''''''' '''''''''''''''''''' ''''' ''''''' '''''''''''''''''''' '''''''''' '''''''''''''''''' '''' '''''''''''''''''''' ''''''''''''''''''''''''' ''''''''''''''''''''' ''''' ''''''''''''''''''''''''''' ''''''''''' '''''''''''''''' ''''''''''''' '''''''''''''''' '''''''''' '''' ''''''''''''''</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tcPr>
          <w:p w:rsidR="00FF5F31" w:rsidRPr="00C45611" w:rsidRDefault="00FF5F31" w:rsidP="00007D60">
            <w:pPr>
              <w:pStyle w:val="TableText1"/>
              <w:keepNext/>
              <w:spacing w:before="0" w:after="0"/>
              <w:ind w:left="-54" w:right="-36"/>
              <w:jc w:val="center"/>
              <w:rPr>
                <w:rFonts w:ascii="Arial Narrow" w:hAnsi="Arial Narrow"/>
                <w:sz w:val="20"/>
                <w:szCs w:val="20"/>
              </w:rPr>
            </w:pPr>
            <w:r w:rsidRPr="00C45611">
              <w:rPr>
                <w:rFonts w:ascii="Arial Narrow" w:hAnsi="Arial Narrow"/>
                <w:sz w:val="20"/>
                <w:szCs w:val="20"/>
              </w:rPr>
              <w:t>-</w:t>
            </w:r>
          </w:p>
        </w:tc>
      </w:tr>
    </w:tbl>
    <w:p w:rsidR="00FF5F31" w:rsidRPr="002A7CC6" w:rsidRDefault="00FF5F31" w:rsidP="00007D60">
      <w:pPr>
        <w:keepNext/>
        <w:widowControl/>
        <w:rPr>
          <w:rFonts w:ascii="Arial Narrow" w:hAnsi="Arial Narrow"/>
          <w:sz w:val="18"/>
          <w:szCs w:val="18"/>
        </w:rPr>
      </w:pPr>
      <w:r w:rsidRPr="002A7CC6">
        <w:rPr>
          <w:rFonts w:ascii="Arial Narrow" w:hAnsi="Arial Narrow"/>
          <w:sz w:val="18"/>
          <w:szCs w:val="18"/>
        </w:rPr>
        <w:t>Source: Table 2.6.3, p.212 of the submission; Table 6, p.24 of the MAIC and STC Technical Report,</w:t>
      </w:r>
      <w:r w:rsidRPr="002A7CC6">
        <w:rPr>
          <w:rFonts w:ascii="Arial Narrow" w:hAnsi="Arial Narrow" w:cs="Times New Roman"/>
          <w:bCs/>
          <w:sz w:val="18"/>
          <w:szCs w:val="18"/>
          <w:lang w:eastAsia="en-AU"/>
        </w:rPr>
        <w:t xml:space="preserve"> Appendix 4 to the submission.</w:t>
      </w:r>
    </w:p>
    <w:p w:rsidR="00FF5F31" w:rsidRPr="002A7CC6" w:rsidRDefault="00FF5F31" w:rsidP="00007D60">
      <w:pPr>
        <w:keepNext/>
        <w:widowControl/>
        <w:rPr>
          <w:szCs w:val="24"/>
        </w:rPr>
      </w:pPr>
      <w:r w:rsidRPr="002A7CC6">
        <w:rPr>
          <w:rFonts w:ascii="Arial Narrow" w:hAnsi="Arial Narrow"/>
          <w:sz w:val="18"/>
          <w:szCs w:val="18"/>
        </w:rPr>
        <w:t xml:space="preserve">Abbreviations: CR, complete remission; </w:t>
      </w:r>
      <w:proofErr w:type="spellStart"/>
      <w:r w:rsidRPr="002A7CC6">
        <w:rPr>
          <w:rFonts w:ascii="Arial Narrow" w:hAnsi="Arial Narrow"/>
          <w:sz w:val="18"/>
          <w:szCs w:val="18"/>
        </w:rPr>
        <w:t>CRi</w:t>
      </w:r>
      <w:proofErr w:type="spellEnd"/>
      <w:r w:rsidRPr="002A7CC6">
        <w:rPr>
          <w:rFonts w:ascii="Arial Narrow" w:hAnsi="Arial Narrow"/>
          <w:sz w:val="18"/>
          <w:szCs w:val="18"/>
        </w:rPr>
        <w:t>, complete remission with incomplete haematological recovery; HSCT, haematopoietic stem cell transplant.</w:t>
      </w:r>
    </w:p>
    <w:p w:rsidR="00FF5F31" w:rsidRPr="002A7CC6" w:rsidRDefault="00FF5F31" w:rsidP="00F96F7D">
      <w:pPr>
        <w:pStyle w:val="TableFooter"/>
        <w:rPr>
          <w:snapToGrid/>
          <w:lang w:val="en-US" w:eastAsia="en-AU"/>
        </w:rPr>
      </w:pPr>
    </w:p>
    <w:p w:rsidR="006A3245" w:rsidRDefault="006A3245" w:rsidP="00007D60">
      <w:pPr>
        <w:pStyle w:val="ListParagraph"/>
        <w:widowControl/>
        <w:numPr>
          <w:ilvl w:val="1"/>
          <w:numId w:val="1"/>
        </w:numPr>
      </w:pPr>
      <w:r w:rsidRPr="002A7CC6">
        <w:t xml:space="preserve">Baseline patient and disease characteristics considered to be treatment effect modifiers were presented for the </w:t>
      </w:r>
      <w:r w:rsidR="007D7344">
        <w:t>INO-VATE ALL</w:t>
      </w:r>
      <w:r w:rsidRPr="002A7CC6">
        <w:t xml:space="preserve"> populations before and after matching to the TOWER trial population for each outcome and were the same or similar between trials after weighting. However, the remaining sample sizes of the </w:t>
      </w:r>
      <w:r w:rsidR="007D7344">
        <w:t>INO-VATE ALL</w:t>
      </w:r>
      <w:r w:rsidRPr="002A7CC6">
        <w:t xml:space="preserve"> matched </w:t>
      </w:r>
      <w:r w:rsidRPr="00C45611">
        <w:t xml:space="preserve">datasets were small (&lt; </w:t>
      </w:r>
      <w:r w:rsidR="00B0555B">
        <w:rPr>
          <w:noProof/>
          <w:color w:val="000000"/>
          <w:highlight w:val="black"/>
        </w:rPr>
        <w:t>'''''</w:t>
      </w:r>
      <w:r w:rsidRPr="00C45611">
        <w:t>% in overall survival full covariate set; &lt; 50% in overall survival restricted</w:t>
      </w:r>
      <w:r w:rsidRPr="002A7CC6">
        <w:t xml:space="preserve"> covariate set). Patient characteristics before and after weighting were only reported for</w:t>
      </w:r>
      <w:r w:rsidR="00507001" w:rsidRPr="002A7CC6">
        <w:t xml:space="preserve"> the</w:t>
      </w:r>
      <w:r w:rsidRPr="002A7CC6">
        <w:t xml:space="preserve"> identified treatment effect modifiers</w:t>
      </w:r>
      <w:r w:rsidR="00447A42" w:rsidRPr="002A7CC6">
        <w:t xml:space="preserve"> (i.e. thus it was not possible to determine</w:t>
      </w:r>
      <w:r w:rsidR="00FC3047" w:rsidRPr="002A7CC6">
        <w:t>:</w:t>
      </w:r>
      <w:r w:rsidR="00447A42" w:rsidRPr="002A7CC6">
        <w:t xml:space="preserve"> </w:t>
      </w:r>
      <w:r w:rsidR="00FC3047" w:rsidRPr="002A7CC6">
        <w:t xml:space="preserve">whether </w:t>
      </w:r>
      <w:r w:rsidR="00447A42" w:rsidRPr="002A7CC6">
        <w:t xml:space="preserve">each individual potential effect modifier had an unexpected effect on </w:t>
      </w:r>
      <w:r w:rsidR="008A1B0E" w:rsidRPr="002A7CC6">
        <w:t xml:space="preserve">the </w:t>
      </w:r>
      <w:r w:rsidR="00447A42" w:rsidRPr="002A7CC6">
        <w:t>matching</w:t>
      </w:r>
      <w:r w:rsidR="00FC3047" w:rsidRPr="002A7CC6">
        <w:t xml:space="preserve">; </w:t>
      </w:r>
      <w:r w:rsidR="00791E61" w:rsidRPr="002A7CC6">
        <w:t>or whether there were differences between samples in terms of unknown/unidentified treatment effect modifiers</w:t>
      </w:r>
      <w:r w:rsidR="00447A42" w:rsidRPr="002A7CC6">
        <w:t>)</w:t>
      </w:r>
      <w:r w:rsidR="001608E2" w:rsidRPr="002A7CC6">
        <w:t>.</w:t>
      </w:r>
      <w:r w:rsidRPr="002A7CC6">
        <w:t xml:space="preserve"> </w:t>
      </w:r>
      <w:r w:rsidR="001608E2" w:rsidRPr="002A7CC6">
        <w:t>C</w:t>
      </w:r>
      <w:r w:rsidRPr="002A7CC6">
        <w:t>onfounding of other trial characteristics</w:t>
      </w:r>
      <w:r w:rsidR="002E3752" w:rsidRPr="002A7CC6">
        <w:t xml:space="preserve"> and the applicability of the matched samples to the Australian setting</w:t>
      </w:r>
      <w:r w:rsidRPr="002A7CC6">
        <w:t xml:space="preserve"> could not be assessed.</w:t>
      </w:r>
      <w:r w:rsidR="002B5FD5" w:rsidRPr="002A7CC6">
        <w:t xml:space="preserve"> </w:t>
      </w:r>
    </w:p>
    <w:p w:rsidR="00F7323F" w:rsidRPr="002A7CC6" w:rsidRDefault="00BB436A" w:rsidP="00B60DB2">
      <w:pPr>
        <w:pStyle w:val="ListParagraph"/>
        <w:widowControl/>
        <w:numPr>
          <w:ilvl w:val="1"/>
          <w:numId w:val="1"/>
        </w:numPr>
      </w:pPr>
      <w:r>
        <w:t>T</w:t>
      </w:r>
      <w:r w:rsidR="00F7323F">
        <w:t xml:space="preserve">he PBAC noted that the MAIC analysis did not adjust for </w:t>
      </w:r>
      <w:r w:rsidR="00DA51D7">
        <w:t xml:space="preserve">the TOWER trial including more </w:t>
      </w:r>
      <w:r w:rsidR="00F7323F" w:rsidRPr="00F7323F">
        <w:t>patients who were refractory to prior salvage therapy</w:t>
      </w:r>
      <w:r w:rsidR="00F7323F">
        <w:t xml:space="preserve">, and also </w:t>
      </w:r>
      <w:r w:rsidR="00490803">
        <w:t>could</w:t>
      </w:r>
      <w:r w:rsidR="00F7323F">
        <w:t xml:space="preserve"> not adequately adjust for </w:t>
      </w:r>
      <w:r w:rsidR="00B60DB2">
        <w:t xml:space="preserve">the </w:t>
      </w:r>
      <w:r w:rsidR="00B60DB2" w:rsidRPr="00B60DB2">
        <w:t xml:space="preserve">inclusion of third and later salvage in the TOWER trial </w:t>
      </w:r>
      <w:r w:rsidR="0091609E">
        <w:t xml:space="preserve">(it only rebalanced the </w:t>
      </w:r>
      <w:r w:rsidR="00B60DB2">
        <w:t xml:space="preserve">inotuzumab </w:t>
      </w:r>
      <w:r w:rsidR="0091609E">
        <w:t>sample for the distribution of patients in first and second salvage, but could not adjust for the TOWER trial including patients in third or later salvage).</w:t>
      </w:r>
      <w:r w:rsidR="003745AF" w:rsidRPr="003745AF">
        <w:t xml:space="preserve"> </w:t>
      </w:r>
      <w:r w:rsidR="003745AF">
        <w:t xml:space="preserve">The PBAC considered that these two </w:t>
      </w:r>
      <w:r w:rsidR="003745AF" w:rsidRPr="003745AF">
        <w:t xml:space="preserve">factors would likely confound the </w:t>
      </w:r>
      <w:r w:rsidR="003745AF">
        <w:t xml:space="preserve">MAIC </w:t>
      </w:r>
      <w:r w:rsidR="003745AF" w:rsidRPr="003745AF">
        <w:t>analysis and favour inotuzumab</w:t>
      </w:r>
      <w:r w:rsidR="003745AF">
        <w:t>.</w:t>
      </w:r>
    </w:p>
    <w:p w:rsidR="00CE4495" w:rsidRPr="002A7CC6" w:rsidRDefault="00CE4495" w:rsidP="00007D60">
      <w:pPr>
        <w:pStyle w:val="ListParagraph"/>
        <w:widowControl/>
        <w:numPr>
          <w:ilvl w:val="1"/>
          <w:numId w:val="1"/>
        </w:numPr>
      </w:pPr>
      <w:r w:rsidRPr="002A7CC6">
        <w:rPr>
          <w:szCs w:val="24"/>
        </w:rPr>
        <w:t xml:space="preserve">To account for potential violation of the proportional hazard assumption due to differences in short term and long term performance against standard of care chemotherapy, and in addition to standard analyses, time-dependent Cox regression (&lt; 15 months or </w:t>
      </w:r>
      <w:r w:rsidRPr="002A7CC6">
        <w:rPr>
          <w:rFonts w:cs="Calibri"/>
          <w:szCs w:val="24"/>
        </w:rPr>
        <w:t>≥</w:t>
      </w:r>
      <w:r w:rsidRPr="002A7CC6">
        <w:rPr>
          <w:szCs w:val="24"/>
        </w:rPr>
        <w:t xml:space="preserve"> 15 months), and restricted mean survival time (RMST) analyses were used to quantify differences in overall survival and event free survival treatment effect </w:t>
      </w:r>
      <w:r w:rsidRPr="002A7CC6">
        <w:rPr>
          <w:szCs w:val="24"/>
        </w:rPr>
        <w:lastRenderedPageBreak/>
        <w:t>in the indirect comparisons. T</w:t>
      </w:r>
      <w:r w:rsidR="0079224C">
        <w:rPr>
          <w:szCs w:val="24"/>
        </w:rPr>
        <w:t>he t</w:t>
      </w:r>
      <w:r w:rsidRPr="002A7CC6">
        <w:rPr>
          <w:szCs w:val="24"/>
        </w:rPr>
        <w:t>runcation time for the event free survival RMST analysis was not adequately justified.</w:t>
      </w:r>
    </w:p>
    <w:p w:rsidR="00601A98" w:rsidRPr="002A7CC6" w:rsidRDefault="006955B3" w:rsidP="00007D60">
      <w:pPr>
        <w:pStyle w:val="ListParagraph"/>
        <w:widowControl/>
        <w:numPr>
          <w:ilvl w:val="1"/>
          <w:numId w:val="1"/>
        </w:numPr>
      </w:pPr>
      <w:r w:rsidRPr="002A7CC6">
        <w:rPr>
          <w:rFonts w:asciiTheme="minorHAnsi" w:hAnsiTheme="minorHAnsi" w:cstheme="minorHAnsi"/>
          <w:szCs w:val="24"/>
        </w:rPr>
        <w:t xml:space="preserve">Non-inferiority margins for the key outcomes were not identified. </w:t>
      </w:r>
      <w:r w:rsidRPr="002A7CC6">
        <w:t>The submission suggested that absence of statistically significant difference could be equated with non</w:t>
      </w:r>
      <w:r w:rsidR="00B12D2E" w:rsidRPr="002A7CC6">
        <w:t>-</w:t>
      </w:r>
      <w:r w:rsidRPr="002A7CC6">
        <w:t>inferiority in comparative analyses.</w:t>
      </w:r>
      <w:r w:rsidR="00601A98" w:rsidRPr="002A7CC6">
        <w:t xml:space="preserve"> </w:t>
      </w:r>
      <w:r w:rsidR="00503FF5">
        <w:t>However, the evaluation considered that t</w:t>
      </w:r>
      <w:r w:rsidR="00601A98" w:rsidRPr="002A7CC6">
        <w:t xml:space="preserve">he lack of a statistically significant difference is not a robust method for determining non-inferiority, as the wide confidence intervals may not exclude clinically important differences. </w:t>
      </w:r>
    </w:p>
    <w:p w:rsidR="00B60939" w:rsidRPr="002A7CC6" w:rsidRDefault="00B60939" w:rsidP="00F96F7D">
      <w:pPr>
        <w:pStyle w:val="Heading2"/>
      </w:pPr>
      <w:bookmarkStart w:id="15" w:name="_Toc524520434"/>
      <w:r w:rsidRPr="002A7CC6">
        <w:t>Comparative effectiveness</w:t>
      </w:r>
      <w:bookmarkEnd w:id="15"/>
    </w:p>
    <w:p w:rsidR="00CB372F" w:rsidRPr="002A7CC6" w:rsidRDefault="00CB372F" w:rsidP="00007D60">
      <w:pPr>
        <w:pStyle w:val="ListParagraph"/>
        <w:widowControl/>
        <w:numPr>
          <w:ilvl w:val="1"/>
          <w:numId w:val="1"/>
        </w:numPr>
      </w:pPr>
      <w:r w:rsidRPr="002A7CC6">
        <w:t>Figure 1 summarise</w:t>
      </w:r>
      <w:r w:rsidR="007162AC" w:rsidRPr="002A7CC6">
        <w:t>s</w:t>
      </w:r>
      <w:r w:rsidRPr="002A7CC6">
        <w:t xml:space="preserve"> the results for </w:t>
      </w:r>
      <w:r w:rsidR="005C2D51" w:rsidRPr="002A7CC6">
        <w:t>overall survival in the</w:t>
      </w:r>
      <w:r w:rsidRPr="002A7CC6">
        <w:t xml:space="preserve"> </w:t>
      </w:r>
      <w:r w:rsidR="007D7344">
        <w:t>INO-VATE ALL</w:t>
      </w:r>
      <w:r w:rsidRPr="002A7CC6">
        <w:t xml:space="preserve"> trial, in the ITT population at</w:t>
      </w:r>
      <w:r w:rsidR="00C849CA" w:rsidRPr="002A7CC6">
        <w:t xml:space="preserve"> the</w:t>
      </w:r>
      <w:r w:rsidRPr="002A7CC6">
        <w:t xml:space="preserve"> 8 March 2016</w:t>
      </w:r>
      <w:r w:rsidR="00C849CA" w:rsidRPr="002A7CC6">
        <w:t xml:space="preserve"> </w:t>
      </w:r>
      <w:r w:rsidR="0087098E" w:rsidRPr="002A7CC6">
        <w:t>data cut</w:t>
      </w:r>
      <w:r w:rsidRPr="002A7CC6">
        <w:t>.</w:t>
      </w:r>
    </w:p>
    <w:p w:rsidR="00CB372F" w:rsidRPr="002A7CC6" w:rsidRDefault="00CB372F" w:rsidP="00007D60">
      <w:pPr>
        <w:keepNext/>
        <w:keepLines/>
        <w:widowControl/>
        <w:rPr>
          <w:rStyle w:val="CommentReference"/>
        </w:rPr>
      </w:pPr>
      <w:r w:rsidRPr="002A7CC6">
        <w:rPr>
          <w:rStyle w:val="CommentReference"/>
        </w:rPr>
        <w:t xml:space="preserve">Figure 1: </w:t>
      </w:r>
      <w:r w:rsidR="007D7344">
        <w:rPr>
          <w:rStyle w:val="CommentReference"/>
        </w:rPr>
        <w:t>INO-VATE ALL</w:t>
      </w:r>
      <w:r w:rsidRPr="002A7CC6">
        <w:rPr>
          <w:rStyle w:val="CommentReference"/>
        </w:rPr>
        <w:t xml:space="preserve"> Kaplan-Meier plot of overall survival (ITT)</w:t>
      </w:r>
    </w:p>
    <w:p w:rsidR="00CB372F" w:rsidRPr="002A7CC6" w:rsidRDefault="00CB372F" w:rsidP="00007D60">
      <w:pPr>
        <w:pStyle w:val="BodyText"/>
        <w:widowControl/>
        <w:rPr>
          <w:szCs w:val="20"/>
        </w:rPr>
      </w:pPr>
      <w:r w:rsidRPr="002A7CC6">
        <w:rPr>
          <w:noProof/>
          <w:lang w:eastAsia="en-AU"/>
        </w:rPr>
        <w:drawing>
          <wp:inline distT="0" distB="0" distL="0" distR="0" wp14:anchorId="7FBF1E96" wp14:editId="620569C2">
            <wp:extent cx="5732145" cy="2660369"/>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2660369"/>
                    </a:xfrm>
                    <a:prstGeom prst="rect">
                      <a:avLst/>
                    </a:prstGeom>
                    <a:noFill/>
                  </pic:spPr>
                </pic:pic>
              </a:graphicData>
            </a:graphic>
          </wp:inline>
        </w:drawing>
      </w:r>
    </w:p>
    <w:p w:rsidR="00CB372F" w:rsidRPr="002A7CC6" w:rsidRDefault="00CB372F" w:rsidP="00007D60">
      <w:pPr>
        <w:widowControl/>
        <w:rPr>
          <w:rFonts w:ascii="Arial Narrow" w:eastAsia="Calibri" w:hAnsi="Arial Narrow"/>
          <w:sz w:val="18"/>
        </w:rPr>
      </w:pPr>
      <w:r w:rsidRPr="002A7CC6">
        <w:rPr>
          <w:rFonts w:ascii="Arial Narrow" w:hAnsi="Arial Narrow"/>
          <w:sz w:val="18"/>
        </w:rPr>
        <w:t>Source: Figure 2.5.3, p.135 of the submission.</w:t>
      </w:r>
      <w:r w:rsidRPr="002A7CC6">
        <w:rPr>
          <w:rFonts w:ascii="Arial Narrow" w:eastAsia="Calibri" w:hAnsi="Arial Narrow"/>
          <w:sz w:val="18"/>
        </w:rPr>
        <w:t xml:space="preserve"> </w:t>
      </w:r>
    </w:p>
    <w:p w:rsidR="00CB372F" w:rsidRPr="002A7CC6" w:rsidRDefault="00CB372F" w:rsidP="00007D60">
      <w:pPr>
        <w:widowControl/>
        <w:rPr>
          <w:rFonts w:ascii="Arial Narrow" w:hAnsi="Arial Narrow"/>
          <w:sz w:val="18"/>
        </w:rPr>
      </w:pPr>
      <w:r w:rsidRPr="002A7CC6">
        <w:rPr>
          <w:rFonts w:ascii="Arial Narrow" w:hAnsi="Arial Narrow"/>
          <w:sz w:val="18"/>
        </w:rPr>
        <w:t xml:space="preserve">Abbreviations: CI, confidence interval; HR, hazard ratio; ITT, intention-to-treat. </w:t>
      </w:r>
    </w:p>
    <w:p w:rsidR="00CB372F" w:rsidRPr="002A7CC6" w:rsidRDefault="00CB372F" w:rsidP="00007D60">
      <w:pPr>
        <w:widowControl/>
        <w:rPr>
          <w:rFonts w:ascii="Arial Narrow" w:hAnsi="Arial Narrow"/>
          <w:sz w:val="18"/>
        </w:rPr>
      </w:pPr>
      <w:r w:rsidRPr="002A7CC6">
        <w:rPr>
          <w:rFonts w:ascii="Arial Narrow" w:hAnsi="Arial Narrow"/>
          <w:sz w:val="18"/>
        </w:rPr>
        <w:t>Note: Investigator’s choice refers to standard of care chemotherapy.</w:t>
      </w:r>
    </w:p>
    <w:p w:rsidR="00CB372F" w:rsidRPr="002A7CC6" w:rsidRDefault="00CB372F" w:rsidP="00007D60">
      <w:pPr>
        <w:widowControl/>
      </w:pPr>
    </w:p>
    <w:p w:rsidR="00CB372F" w:rsidRPr="002A7CC6" w:rsidRDefault="00CB372F" w:rsidP="00007D60">
      <w:pPr>
        <w:pStyle w:val="ListParagraph"/>
        <w:widowControl/>
        <w:numPr>
          <w:ilvl w:val="1"/>
          <w:numId w:val="1"/>
        </w:numPr>
      </w:pPr>
      <w:r w:rsidRPr="002A7CC6">
        <w:t xml:space="preserve">Median overall survival was 7.7 months for inotuzumab and 6.7 months for standard of care chemotherapy for the ITT population. The </w:t>
      </w:r>
      <w:r w:rsidR="002F3EF7" w:rsidRPr="002A7CC6">
        <w:t xml:space="preserve">hazard ratio for the </w:t>
      </w:r>
      <w:r w:rsidRPr="002A7CC6">
        <w:t xml:space="preserve">difference in overall survival between the inotuzumab and standard of care chemotherapy (ITT population) was not statistically significant as the p value of 0.0203 (stratified log‐rank test, 1‐sided) exceeded the pre‐specified 1‐sided p‐value boundary of 0.0104 (adjusted for interim analyses). </w:t>
      </w:r>
    </w:p>
    <w:p w:rsidR="00BF579A" w:rsidRPr="002A7CC6" w:rsidRDefault="002F3EF7" w:rsidP="00007D60">
      <w:pPr>
        <w:pStyle w:val="ListParagraph"/>
        <w:widowControl/>
        <w:numPr>
          <w:ilvl w:val="1"/>
          <w:numId w:val="1"/>
        </w:numPr>
      </w:pPr>
      <w:r w:rsidRPr="002A7CC6">
        <w:t xml:space="preserve">The PSCR stated that the overall survival curves reported in the INO-VATE study </w:t>
      </w:r>
      <w:r w:rsidR="00725E56" w:rsidRPr="002A7CC6">
        <w:t xml:space="preserve">violate </w:t>
      </w:r>
      <w:r w:rsidRPr="002A7CC6">
        <w:t>the proportional hazards assumption, with minimal differences observed during the early study period, followed by separation of the survival curves</w:t>
      </w:r>
      <w:r w:rsidR="00725E56" w:rsidRPr="002A7CC6">
        <w:t xml:space="preserve"> later in the study period</w:t>
      </w:r>
      <w:r w:rsidR="004379C0" w:rsidRPr="002A7CC6">
        <w:t xml:space="preserve"> (i.e. after 15 months)</w:t>
      </w:r>
      <w:r w:rsidRPr="002A7CC6">
        <w:t>. Th</w:t>
      </w:r>
      <w:r w:rsidR="00725E56" w:rsidRPr="002A7CC6">
        <w:t xml:space="preserve">e </w:t>
      </w:r>
      <w:r w:rsidR="00D56205" w:rsidRPr="002A7CC6">
        <w:t>PSCR referred to</w:t>
      </w:r>
      <w:r w:rsidR="00725E56" w:rsidRPr="002A7CC6">
        <w:t xml:space="preserve"> an </w:t>
      </w:r>
      <w:r w:rsidRPr="002A7CC6">
        <w:t xml:space="preserve">exploratory post hoc analysis of </w:t>
      </w:r>
      <w:r w:rsidRPr="002A7CC6">
        <w:lastRenderedPageBreak/>
        <w:t>RMST</w:t>
      </w:r>
      <w:r w:rsidR="00D56205" w:rsidRPr="002A7CC6">
        <w:t xml:space="preserve"> (as outlined in Paragraph 6.</w:t>
      </w:r>
      <w:r w:rsidR="00490803">
        <w:t>20</w:t>
      </w:r>
      <w:r w:rsidRPr="002A7CC6">
        <w:t>) which</w:t>
      </w:r>
      <w:r w:rsidR="00D56205" w:rsidRPr="002A7CC6">
        <w:t xml:space="preserve"> it stated had found </w:t>
      </w:r>
      <w:r w:rsidRPr="002A7CC6">
        <w:t xml:space="preserve">that restricted mean </w:t>
      </w:r>
      <w:r w:rsidR="00D56205" w:rsidRPr="002A7CC6">
        <w:t>overall survival was statistically</w:t>
      </w:r>
      <w:r w:rsidRPr="002A7CC6">
        <w:t xml:space="preserve"> significantly longer in the inotuzumab group </w:t>
      </w:r>
      <w:r w:rsidR="00D56205" w:rsidRPr="002A7CC6">
        <w:t xml:space="preserve">versus the </w:t>
      </w:r>
      <w:r w:rsidRPr="002A7CC6">
        <w:t>standard</w:t>
      </w:r>
      <w:r w:rsidR="00D56205" w:rsidRPr="002A7CC6">
        <w:t xml:space="preserve"> of care chemo</w:t>
      </w:r>
      <w:r w:rsidRPr="002A7CC6">
        <w:t>therapy group.</w:t>
      </w:r>
    </w:p>
    <w:p w:rsidR="007162AC" w:rsidRPr="002A7CC6" w:rsidRDefault="007162AC" w:rsidP="00007D60">
      <w:pPr>
        <w:pStyle w:val="ListParagraph"/>
        <w:widowControl/>
        <w:numPr>
          <w:ilvl w:val="1"/>
          <w:numId w:val="1"/>
        </w:numPr>
      </w:pPr>
      <w:r w:rsidRPr="002A7CC6">
        <w:t xml:space="preserve">The indirect analysis was based on the last patient last visit (LPLV) updated dataset (4 Jan 2017) rather than the ITT population of the </w:t>
      </w:r>
      <w:r w:rsidR="007D7344">
        <w:t>INO-VATE ALL</w:t>
      </w:r>
      <w:r w:rsidRPr="002A7CC6">
        <w:t xml:space="preserve"> trial.</w:t>
      </w:r>
      <w:r w:rsidR="002F55EA" w:rsidRPr="002A7CC6">
        <w:t xml:space="preserve"> This was a post hoc analysis undertaken after all patients had permanently discontinued from the trial.</w:t>
      </w:r>
    </w:p>
    <w:p w:rsidR="007162AC" w:rsidRPr="002A7CC6" w:rsidRDefault="007162AC" w:rsidP="00007D60">
      <w:pPr>
        <w:pStyle w:val="ListParagraph"/>
        <w:widowControl/>
        <w:numPr>
          <w:ilvl w:val="1"/>
          <w:numId w:val="1"/>
        </w:numPr>
      </w:pPr>
      <w:r w:rsidRPr="002A7CC6">
        <w:rPr>
          <w:rFonts w:cs="Calibri"/>
          <w:snapToGrid/>
          <w:szCs w:val="24"/>
          <w:lang w:val="en-US" w:eastAsia="en-AU"/>
        </w:rPr>
        <w:t xml:space="preserve">Table </w:t>
      </w:r>
      <w:r w:rsidR="009A469F" w:rsidRPr="002A7CC6">
        <w:rPr>
          <w:rFonts w:cs="Calibri"/>
          <w:snapToGrid/>
          <w:szCs w:val="24"/>
          <w:lang w:val="en-US" w:eastAsia="en-AU"/>
        </w:rPr>
        <w:t>6</w:t>
      </w:r>
      <w:r w:rsidRPr="002A7CC6">
        <w:rPr>
          <w:rFonts w:cs="Calibri"/>
          <w:snapToGrid/>
          <w:szCs w:val="24"/>
          <w:lang w:val="en-US" w:eastAsia="en-AU"/>
        </w:rPr>
        <w:t xml:space="preserve"> </w:t>
      </w:r>
      <w:r w:rsidRPr="002A7CC6">
        <w:rPr>
          <w:rFonts w:cs="Calibri"/>
          <w:snapToGrid/>
          <w:szCs w:val="24"/>
          <w:lang w:eastAsia="en-AU"/>
        </w:rPr>
        <w:t>summarises</w:t>
      </w:r>
      <w:r w:rsidRPr="002A7CC6">
        <w:rPr>
          <w:rFonts w:cs="Calibri"/>
          <w:snapToGrid/>
          <w:szCs w:val="24"/>
          <w:lang w:val="en-US" w:eastAsia="en-AU"/>
        </w:rPr>
        <w:t xml:space="preserve"> the overall survival outcomes from the </w:t>
      </w:r>
      <w:r w:rsidR="007D7344">
        <w:rPr>
          <w:rFonts w:cs="Calibri"/>
          <w:snapToGrid/>
          <w:szCs w:val="24"/>
          <w:lang w:val="en-US" w:eastAsia="en-AU"/>
        </w:rPr>
        <w:t>INO-VATE ALL</w:t>
      </w:r>
      <w:r w:rsidRPr="002A7CC6">
        <w:rPr>
          <w:rFonts w:cs="Calibri"/>
          <w:snapToGrid/>
          <w:szCs w:val="24"/>
          <w:lang w:val="en-US" w:eastAsia="en-AU"/>
        </w:rPr>
        <w:t xml:space="preserve"> and TOWER trials</w:t>
      </w:r>
      <w:r w:rsidR="006A3245" w:rsidRPr="002A7CC6">
        <w:rPr>
          <w:rFonts w:cs="Calibri"/>
          <w:snapToGrid/>
          <w:szCs w:val="24"/>
          <w:lang w:val="en-US" w:eastAsia="en-AU"/>
        </w:rPr>
        <w:t>,</w:t>
      </w:r>
      <w:r w:rsidRPr="002A7CC6">
        <w:rPr>
          <w:rFonts w:cs="Calibri"/>
          <w:snapToGrid/>
          <w:szCs w:val="24"/>
          <w:lang w:val="en-US" w:eastAsia="en-AU"/>
        </w:rPr>
        <w:t xml:space="preserve"> </w:t>
      </w:r>
      <w:r w:rsidR="006A3245" w:rsidRPr="002A7CC6">
        <w:rPr>
          <w:rFonts w:cs="Calibri"/>
          <w:snapToGrid/>
          <w:szCs w:val="24"/>
          <w:lang w:val="en-US" w:eastAsia="en-AU"/>
        </w:rPr>
        <w:t>and the results of the indirect comparisons, including the</w:t>
      </w:r>
      <w:r w:rsidR="001C4301" w:rsidRPr="002A7CC6">
        <w:rPr>
          <w:rFonts w:cs="Calibri"/>
          <w:snapToGrid/>
          <w:szCs w:val="24"/>
          <w:lang w:val="en-US" w:eastAsia="en-AU"/>
        </w:rPr>
        <w:t xml:space="preserve"> </w:t>
      </w:r>
      <w:r w:rsidR="00C849CA" w:rsidRPr="002A7CC6">
        <w:rPr>
          <w:rFonts w:cs="Calibri"/>
          <w:snapToGrid/>
          <w:szCs w:val="24"/>
          <w:lang w:val="en-US" w:eastAsia="en-AU"/>
        </w:rPr>
        <w:t>MAICs</w:t>
      </w:r>
      <w:r w:rsidR="006A3245" w:rsidRPr="002A7CC6">
        <w:rPr>
          <w:rFonts w:cs="Calibri"/>
          <w:snapToGrid/>
          <w:szCs w:val="24"/>
          <w:lang w:val="en-US" w:eastAsia="en-AU"/>
        </w:rPr>
        <w:t>. Two MAIC analyses were presented</w:t>
      </w:r>
      <w:r w:rsidR="005C2D51" w:rsidRPr="002A7CC6">
        <w:rPr>
          <w:rFonts w:cs="Calibri"/>
          <w:snapToGrid/>
          <w:szCs w:val="24"/>
          <w:lang w:val="en-US" w:eastAsia="en-AU"/>
        </w:rPr>
        <w:t>, based on a restricted set of potential treatment effect modifiers</w:t>
      </w:r>
      <w:r w:rsidRPr="002A7CC6">
        <w:rPr>
          <w:rFonts w:cs="Calibri"/>
          <w:snapToGrid/>
          <w:szCs w:val="24"/>
          <w:lang w:val="en-US" w:eastAsia="en-AU"/>
        </w:rPr>
        <w:t xml:space="preserve"> (restricted set)</w:t>
      </w:r>
      <w:r w:rsidR="005C2D51" w:rsidRPr="002A7CC6">
        <w:rPr>
          <w:rFonts w:cs="Calibri"/>
          <w:snapToGrid/>
          <w:szCs w:val="24"/>
          <w:lang w:val="en-US" w:eastAsia="en-AU"/>
        </w:rPr>
        <w:t>; and based on a full set of potential treatment effect modifiers</w:t>
      </w:r>
      <w:r w:rsidRPr="002A7CC6">
        <w:rPr>
          <w:rFonts w:cs="Calibri"/>
          <w:snapToGrid/>
          <w:szCs w:val="24"/>
          <w:lang w:val="en-US" w:eastAsia="en-AU"/>
        </w:rPr>
        <w:t xml:space="preserve"> (full set).</w:t>
      </w:r>
    </w:p>
    <w:p w:rsidR="002968F2" w:rsidRPr="002A7CC6" w:rsidRDefault="006A3245" w:rsidP="00007D60">
      <w:pPr>
        <w:keepNext/>
        <w:keepLines/>
        <w:widowControl/>
        <w:rPr>
          <w:rFonts w:ascii="Arial Narrow" w:hAnsi="Arial Narrow"/>
          <w:b/>
          <w:sz w:val="20"/>
          <w:szCs w:val="20"/>
        </w:rPr>
      </w:pPr>
      <w:r w:rsidRPr="002A7CC6">
        <w:rPr>
          <w:rFonts w:ascii="Arial Narrow" w:hAnsi="Arial Narrow"/>
          <w:b/>
          <w:sz w:val="20"/>
          <w:szCs w:val="20"/>
        </w:rPr>
        <w:t xml:space="preserve">Table </w:t>
      </w:r>
      <w:r w:rsidR="009A469F" w:rsidRPr="002A7CC6">
        <w:rPr>
          <w:rFonts w:ascii="Arial Narrow" w:hAnsi="Arial Narrow"/>
          <w:b/>
          <w:sz w:val="20"/>
          <w:szCs w:val="20"/>
        </w:rPr>
        <w:t>6</w:t>
      </w:r>
      <w:r w:rsidRPr="002A7CC6">
        <w:rPr>
          <w:rFonts w:ascii="Arial Narrow" w:hAnsi="Arial Narrow"/>
          <w:b/>
          <w:sz w:val="20"/>
          <w:szCs w:val="20"/>
        </w:rPr>
        <w:t xml:space="preserve">: Indirect comparison </w:t>
      </w:r>
      <w:r w:rsidR="00FE491F" w:rsidRPr="002A7CC6">
        <w:rPr>
          <w:rFonts w:ascii="Arial Narrow" w:hAnsi="Arial Narrow"/>
          <w:b/>
          <w:sz w:val="20"/>
          <w:szCs w:val="20"/>
        </w:rPr>
        <w:t>of</w:t>
      </w:r>
      <w:r w:rsidRPr="002A7CC6">
        <w:rPr>
          <w:rFonts w:ascii="Arial Narrow" w:hAnsi="Arial Narrow"/>
          <w:b/>
          <w:sz w:val="20"/>
          <w:szCs w:val="20"/>
        </w:rPr>
        <w:t xml:space="preserve"> overall survival – inotuzumab versus blinatumomab (standard of care chemotherapy as common reference)</w:t>
      </w:r>
    </w:p>
    <w:tbl>
      <w:tblPr>
        <w:tblStyle w:val="TableGrid"/>
        <w:tblW w:w="0" w:type="auto"/>
        <w:tblLook w:val="04A0" w:firstRow="1" w:lastRow="0" w:firstColumn="1" w:lastColumn="0" w:noHBand="0" w:noVBand="1"/>
        <w:tblCaption w:val="Indirect comparison of overall survival – inotuzumab versus blinatumomab (standard of care chemotherapy as common reference)"/>
      </w:tblPr>
      <w:tblGrid>
        <w:gridCol w:w="2660"/>
        <w:gridCol w:w="1559"/>
        <w:gridCol w:w="1843"/>
        <w:gridCol w:w="1559"/>
        <w:gridCol w:w="1395"/>
      </w:tblGrid>
      <w:tr w:rsidR="002968F2" w:rsidRPr="002A7CC6" w:rsidTr="00872E39">
        <w:trPr>
          <w:cantSplit/>
          <w:tblHeader/>
        </w:trPr>
        <w:tc>
          <w:tcPr>
            <w:tcW w:w="2660" w:type="dxa"/>
            <w:vAlign w:val="center"/>
          </w:tcPr>
          <w:p w:rsidR="002968F2" w:rsidRPr="002A7CC6" w:rsidRDefault="002968F2" w:rsidP="00007D60">
            <w:pPr>
              <w:keepNext/>
              <w:keepLines/>
              <w:widowControl/>
              <w:jc w:val="left"/>
              <w:rPr>
                <w:rFonts w:ascii="Arial Narrow" w:hAnsi="Arial Narrow"/>
                <w:b/>
                <w:sz w:val="20"/>
              </w:rPr>
            </w:pPr>
            <w:r w:rsidRPr="002A7CC6">
              <w:rPr>
                <w:rFonts w:ascii="Arial Narrow" w:hAnsi="Arial Narrow"/>
                <w:b/>
                <w:sz w:val="20"/>
              </w:rPr>
              <w:t>Trial (analysis)</w:t>
            </w:r>
          </w:p>
        </w:tc>
        <w:tc>
          <w:tcPr>
            <w:tcW w:w="1559" w:type="dxa"/>
            <w:vAlign w:val="center"/>
          </w:tcPr>
          <w:p w:rsidR="002968F2" w:rsidRPr="002A7CC6" w:rsidRDefault="002968F2" w:rsidP="00007D60">
            <w:pPr>
              <w:keepNext/>
              <w:keepLines/>
              <w:widowControl/>
              <w:jc w:val="center"/>
              <w:rPr>
                <w:rFonts w:ascii="Arial Narrow" w:hAnsi="Arial Narrow"/>
                <w:b/>
                <w:sz w:val="20"/>
              </w:rPr>
            </w:pPr>
            <w:r w:rsidRPr="002A7CC6">
              <w:rPr>
                <w:rFonts w:ascii="Arial Narrow" w:hAnsi="Arial Narrow"/>
                <w:b/>
                <w:sz w:val="20"/>
              </w:rPr>
              <w:t>Inotuzumab</w:t>
            </w:r>
          </w:p>
        </w:tc>
        <w:tc>
          <w:tcPr>
            <w:tcW w:w="1843" w:type="dxa"/>
            <w:vAlign w:val="center"/>
          </w:tcPr>
          <w:p w:rsidR="002968F2" w:rsidRPr="002A7CC6" w:rsidRDefault="002968F2" w:rsidP="00007D60">
            <w:pPr>
              <w:keepNext/>
              <w:keepLines/>
              <w:widowControl/>
              <w:jc w:val="center"/>
              <w:rPr>
                <w:rFonts w:ascii="Arial Narrow" w:hAnsi="Arial Narrow"/>
                <w:b/>
                <w:sz w:val="20"/>
              </w:rPr>
            </w:pPr>
            <w:r w:rsidRPr="002A7CC6">
              <w:rPr>
                <w:rFonts w:ascii="Arial Narrow" w:hAnsi="Arial Narrow"/>
                <w:b/>
                <w:sz w:val="20"/>
              </w:rPr>
              <w:t>SOC chemotherapy</w:t>
            </w:r>
          </w:p>
        </w:tc>
        <w:tc>
          <w:tcPr>
            <w:tcW w:w="1559" w:type="dxa"/>
            <w:vAlign w:val="center"/>
          </w:tcPr>
          <w:p w:rsidR="002968F2" w:rsidRPr="002A7CC6" w:rsidRDefault="002968F2" w:rsidP="00007D60">
            <w:pPr>
              <w:keepNext/>
              <w:keepLines/>
              <w:widowControl/>
              <w:jc w:val="center"/>
              <w:rPr>
                <w:rFonts w:ascii="Arial Narrow" w:hAnsi="Arial Narrow"/>
                <w:b/>
                <w:sz w:val="20"/>
              </w:rPr>
            </w:pPr>
            <w:r w:rsidRPr="002A7CC6">
              <w:rPr>
                <w:rFonts w:ascii="Arial Narrow" w:hAnsi="Arial Narrow"/>
                <w:b/>
                <w:sz w:val="20"/>
              </w:rPr>
              <w:t>Blinatumomab</w:t>
            </w:r>
          </w:p>
        </w:tc>
        <w:tc>
          <w:tcPr>
            <w:tcW w:w="1395" w:type="dxa"/>
            <w:vAlign w:val="center"/>
          </w:tcPr>
          <w:p w:rsidR="002968F2" w:rsidRPr="002A7CC6" w:rsidRDefault="002968F2" w:rsidP="00007D60">
            <w:pPr>
              <w:keepNext/>
              <w:keepLines/>
              <w:widowControl/>
              <w:jc w:val="center"/>
              <w:rPr>
                <w:rFonts w:ascii="Arial Narrow" w:hAnsi="Arial Narrow"/>
                <w:b/>
                <w:sz w:val="20"/>
              </w:rPr>
            </w:pPr>
            <w:r w:rsidRPr="002A7CC6">
              <w:rPr>
                <w:rFonts w:ascii="Arial Narrow" w:hAnsi="Arial Narrow"/>
                <w:b/>
                <w:sz w:val="20"/>
              </w:rPr>
              <w:t>HR</w:t>
            </w:r>
            <w:r w:rsidR="00A23B0B" w:rsidRPr="002A7CC6">
              <w:rPr>
                <w:rFonts w:ascii="Arial Narrow" w:hAnsi="Arial Narrow"/>
                <w:b/>
                <w:sz w:val="20"/>
              </w:rPr>
              <w:t xml:space="preserve"> (95% CI)</w:t>
            </w:r>
          </w:p>
        </w:tc>
      </w:tr>
      <w:tr w:rsidR="002968F2" w:rsidRPr="002A7CC6" w:rsidTr="00052663">
        <w:tc>
          <w:tcPr>
            <w:tcW w:w="9016" w:type="dxa"/>
            <w:gridSpan w:val="5"/>
            <w:vAlign w:val="center"/>
          </w:tcPr>
          <w:p w:rsidR="002968F2" w:rsidRPr="002A7CC6" w:rsidRDefault="00891B09" w:rsidP="00007D60">
            <w:pPr>
              <w:keepNext/>
              <w:keepLines/>
              <w:widowControl/>
              <w:jc w:val="left"/>
              <w:rPr>
                <w:rFonts w:ascii="Arial Narrow" w:hAnsi="Arial Narrow"/>
                <w:b/>
                <w:sz w:val="20"/>
              </w:rPr>
            </w:pPr>
            <w:r w:rsidRPr="002A7CC6">
              <w:rPr>
                <w:rFonts w:ascii="Arial Narrow" w:hAnsi="Arial Narrow"/>
                <w:b/>
                <w:sz w:val="20"/>
              </w:rPr>
              <w:t xml:space="preserve">Formal indirect analysis median </w:t>
            </w:r>
            <w:r w:rsidR="002968F2" w:rsidRPr="002A7CC6">
              <w:rPr>
                <w:rFonts w:ascii="Arial Narrow" w:hAnsi="Arial Narrow"/>
                <w:b/>
                <w:sz w:val="20"/>
              </w:rPr>
              <w:t>survival (95% CI)</w:t>
            </w:r>
          </w:p>
        </w:tc>
      </w:tr>
      <w:tr w:rsidR="002968F2" w:rsidRPr="002A7CC6" w:rsidTr="007A3F2A">
        <w:tc>
          <w:tcPr>
            <w:tcW w:w="2660" w:type="dxa"/>
            <w:vAlign w:val="center"/>
          </w:tcPr>
          <w:p w:rsidR="002968F2" w:rsidRPr="002A7CC6" w:rsidRDefault="007D7344" w:rsidP="007A3F2A">
            <w:pPr>
              <w:keepNext/>
              <w:keepLines/>
              <w:widowControl/>
              <w:jc w:val="left"/>
              <w:rPr>
                <w:rFonts w:ascii="Arial Narrow" w:hAnsi="Arial Narrow"/>
                <w:sz w:val="20"/>
              </w:rPr>
            </w:pPr>
            <w:r>
              <w:rPr>
                <w:rFonts w:ascii="Arial Narrow" w:hAnsi="Arial Narrow"/>
                <w:sz w:val="20"/>
              </w:rPr>
              <w:t>INO-VATE ALL</w:t>
            </w:r>
            <w:r w:rsidR="007A3F2A">
              <w:rPr>
                <w:rFonts w:ascii="Arial Narrow" w:hAnsi="Arial Narrow"/>
                <w:sz w:val="20"/>
              </w:rPr>
              <w:t xml:space="preserve"> </w:t>
            </w:r>
            <w:r w:rsidR="002968F2" w:rsidRPr="002A7CC6">
              <w:rPr>
                <w:rFonts w:ascii="Arial Narrow" w:hAnsi="Arial Narrow"/>
                <w:sz w:val="20"/>
              </w:rPr>
              <w:t>(LPLV)</w:t>
            </w:r>
            <w:r w:rsidR="002C3EE9">
              <w:rPr>
                <w:rFonts w:ascii="Arial Narrow" w:hAnsi="Arial Narrow"/>
                <w:sz w:val="20"/>
              </w:rPr>
              <w:t>, months (95% CI)</w:t>
            </w:r>
          </w:p>
        </w:tc>
        <w:tc>
          <w:tcPr>
            <w:tcW w:w="1559"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N=164</w:t>
            </w:r>
          </w:p>
          <w:p w:rsidR="002968F2" w:rsidRPr="002A7CC6" w:rsidRDefault="002968F2"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7.66 (6.01, 9.17)</w:t>
            </w:r>
          </w:p>
        </w:tc>
        <w:tc>
          <w:tcPr>
            <w:tcW w:w="1843"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N=162</w:t>
            </w:r>
          </w:p>
          <w:p w:rsidR="002968F2" w:rsidRPr="002A7CC6" w:rsidRDefault="002968F2"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6.21 (4.73, 8.35)</w:t>
            </w:r>
          </w:p>
        </w:tc>
        <w:tc>
          <w:tcPr>
            <w:tcW w:w="1559" w:type="dxa"/>
            <w:vAlign w:val="center"/>
          </w:tcPr>
          <w:p w:rsidR="002968F2" w:rsidRPr="002A7CC6" w:rsidRDefault="002968F2" w:rsidP="00007D60">
            <w:pPr>
              <w:keepNext/>
              <w:keepLines/>
              <w:widowControl/>
              <w:jc w:val="center"/>
              <w:rPr>
                <w:rFonts w:ascii="Arial Narrow" w:hAnsi="Arial Narrow"/>
                <w:sz w:val="20"/>
              </w:rPr>
            </w:pPr>
            <w:r w:rsidRPr="002A7CC6">
              <w:rPr>
                <w:rFonts w:ascii="Arial Narrow" w:hAnsi="Arial Narrow"/>
                <w:sz w:val="20"/>
              </w:rPr>
              <w:t>-</w:t>
            </w:r>
          </w:p>
        </w:tc>
        <w:tc>
          <w:tcPr>
            <w:tcW w:w="1395" w:type="dxa"/>
            <w:vAlign w:val="center"/>
          </w:tcPr>
          <w:p w:rsidR="002968F2" w:rsidRPr="002A7CC6" w:rsidRDefault="002968F2"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0.75 (0.59, 0.96)</w:t>
            </w:r>
          </w:p>
        </w:tc>
      </w:tr>
      <w:tr w:rsidR="002968F2" w:rsidRPr="002A7CC6" w:rsidTr="007A3F2A">
        <w:tc>
          <w:tcPr>
            <w:tcW w:w="2660" w:type="dxa"/>
            <w:vAlign w:val="center"/>
          </w:tcPr>
          <w:p w:rsidR="002968F2" w:rsidRPr="002A7CC6" w:rsidRDefault="002968F2" w:rsidP="00007D60">
            <w:pPr>
              <w:keepNext/>
              <w:keepLines/>
              <w:widowControl/>
              <w:jc w:val="left"/>
              <w:rPr>
                <w:rFonts w:ascii="Arial Narrow" w:hAnsi="Arial Narrow"/>
                <w:sz w:val="20"/>
              </w:rPr>
            </w:pPr>
            <w:r w:rsidRPr="002A7CC6">
              <w:rPr>
                <w:rFonts w:ascii="Arial Narrow" w:hAnsi="Arial Narrow"/>
                <w:sz w:val="20"/>
              </w:rPr>
              <w:t>TOWER (ITT)</w:t>
            </w:r>
            <w:r w:rsidR="002C3EE9">
              <w:rPr>
                <w:rFonts w:ascii="Arial Narrow" w:hAnsi="Arial Narrow"/>
                <w:sz w:val="20"/>
              </w:rPr>
              <w:t>, months</w:t>
            </w:r>
            <w:r w:rsidR="00490803">
              <w:rPr>
                <w:rFonts w:ascii="Arial Narrow" w:hAnsi="Arial Narrow"/>
                <w:sz w:val="20"/>
              </w:rPr>
              <w:t xml:space="preserve"> (95% CI)</w:t>
            </w:r>
          </w:p>
        </w:tc>
        <w:tc>
          <w:tcPr>
            <w:tcW w:w="1559" w:type="dxa"/>
            <w:vAlign w:val="center"/>
          </w:tcPr>
          <w:p w:rsidR="002968F2" w:rsidRPr="002A7CC6" w:rsidRDefault="002968F2" w:rsidP="00007D60">
            <w:pPr>
              <w:keepNext/>
              <w:keepLines/>
              <w:widowControl/>
              <w:jc w:val="center"/>
              <w:rPr>
                <w:rFonts w:ascii="Arial Narrow" w:hAnsi="Arial Narrow"/>
                <w:sz w:val="20"/>
              </w:rPr>
            </w:pPr>
            <w:r w:rsidRPr="002A7CC6">
              <w:rPr>
                <w:rFonts w:ascii="Arial Narrow" w:hAnsi="Arial Narrow"/>
                <w:sz w:val="20"/>
              </w:rPr>
              <w:t>-</w:t>
            </w:r>
          </w:p>
        </w:tc>
        <w:tc>
          <w:tcPr>
            <w:tcW w:w="1843"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N=134</w:t>
            </w:r>
          </w:p>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4.0 (2.9, 5.3)</w:t>
            </w:r>
          </w:p>
        </w:tc>
        <w:tc>
          <w:tcPr>
            <w:tcW w:w="1559"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N=271</w:t>
            </w:r>
          </w:p>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7.7 (5.6, 9.6)</w:t>
            </w:r>
          </w:p>
        </w:tc>
        <w:tc>
          <w:tcPr>
            <w:tcW w:w="1395"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0.71 (0.55, 0.93)</w:t>
            </w:r>
          </w:p>
        </w:tc>
      </w:tr>
      <w:tr w:rsidR="002968F2" w:rsidRPr="002A7CC6" w:rsidTr="00490803">
        <w:tc>
          <w:tcPr>
            <w:tcW w:w="7621" w:type="dxa"/>
            <w:gridSpan w:val="4"/>
            <w:tcBorders>
              <w:bottom w:val="double" w:sz="4" w:space="0" w:color="auto"/>
            </w:tcBorders>
            <w:vAlign w:val="center"/>
          </w:tcPr>
          <w:p w:rsidR="002968F2" w:rsidRPr="002A7CC6" w:rsidRDefault="002968F2" w:rsidP="00490803">
            <w:pPr>
              <w:keepNext/>
              <w:keepLines/>
              <w:widowControl/>
              <w:jc w:val="left"/>
              <w:rPr>
                <w:rFonts w:ascii="Arial Narrow" w:hAnsi="Arial Narrow"/>
                <w:sz w:val="20"/>
              </w:rPr>
            </w:pPr>
            <w:r w:rsidRPr="002A7CC6">
              <w:rPr>
                <w:rFonts w:ascii="Arial Narrow" w:hAnsi="Arial Narrow"/>
                <w:sz w:val="20"/>
              </w:rPr>
              <w:t>Indirect analysis of inotuzumab vs. blinatumomab</w:t>
            </w:r>
          </w:p>
        </w:tc>
        <w:tc>
          <w:tcPr>
            <w:tcW w:w="1395" w:type="dxa"/>
            <w:tcBorders>
              <w:bottom w:val="double" w:sz="4" w:space="0" w:color="auto"/>
            </w:tcBorders>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1.06 (0.73, 1.52)</w:t>
            </w:r>
          </w:p>
        </w:tc>
      </w:tr>
      <w:tr w:rsidR="007A7B9C" w:rsidRPr="002A7CC6" w:rsidTr="00450F53">
        <w:tc>
          <w:tcPr>
            <w:tcW w:w="9016" w:type="dxa"/>
            <w:gridSpan w:val="5"/>
            <w:tcBorders>
              <w:top w:val="double" w:sz="4" w:space="0" w:color="auto"/>
            </w:tcBorders>
            <w:vAlign w:val="center"/>
          </w:tcPr>
          <w:p w:rsidR="007A7B9C" w:rsidRPr="002A7CC6" w:rsidRDefault="00450F53" w:rsidP="00007D60">
            <w:pPr>
              <w:pStyle w:val="NoSpacing"/>
              <w:keepNext/>
              <w:keepLines/>
              <w:widowControl/>
              <w:ind w:left="-74" w:right="-81"/>
              <w:jc w:val="left"/>
              <w:rPr>
                <w:rFonts w:ascii="Arial Narrow" w:hAnsi="Arial Narrow"/>
                <w:b/>
                <w:kern w:val="24"/>
                <w:sz w:val="20"/>
              </w:rPr>
            </w:pPr>
            <w:r w:rsidRPr="002A7CC6">
              <w:rPr>
                <w:rFonts w:ascii="Arial Narrow" w:hAnsi="Arial Narrow"/>
                <w:b/>
                <w:kern w:val="24"/>
                <w:sz w:val="20"/>
              </w:rPr>
              <w:t xml:space="preserve">MAIC </w:t>
            </w:r>
            <w:r w:rsidRPr="002A7CC6">
              <w:rPr>
                <w:rFonts w:ascii="Arial Narrow" w:hAnsi="Arial Narrow"/>
                <w:b/>
                <w:sz w:val="20"/>
              </w:rPr>
              <w:t>(</w:t>
            </w:r>
            <w:r w:rsidR="007D7344">
              <w:rPr>
                <w:rFonts w:ascii="Arial Narrow" w:hAnsi="Arial Narrow"/>
                <w:b/>
                <w:sz w:val="20"/>
              </w:rPr>
              <w:t>INO-VATE ALL</w:t>
            </w:r>
            <w:r w:rsidRPr="002A7CC6">
              <w:rPr>
                <w:rFonts w:ascii="Arial Narrow" w:hAnsi="Arial Narrow"/>
                <w:b/>
                <w:sz w:val="20"/>
              </w:rPr>
              <w:t xml:space="preserve"> restricted set)</w:t>
            </w:r>
            <w:r w:rsidR="00E23148" w:rsidRPr="002A7CC6">
              <w:rPr>
                <w:rFonts w:ascii="Arial Narrow" w:hAnsi="Arial Narrow"/>
                <w:b/>
                <w:sz w:val="20"/>
              </w:rPr>
              <w:t xml:space="preserve"> median survival (95% CI)</w:t>
            </w:r>
          </w:p>
        </w:tc>
      </w:tr>
      <w:tr w:rsidR="002968F2" w:rsidRPr="002A7CC6" w:rsidTr="007A3F2A">
        <w:tc>
          <w:tcPr>
            <w:tcW w:w="2660" w:type="dxa"/>
            <w:vAlign w:val="center"/>
          </w:tcPr>
          <w:p w:rsidR="002968F2" w:rsidRPr="002A7CC6" w:rsidRDefault="007D7344" w:rsidP="00490803">
            <w:pPr>
              <w:keepNext/>
              <w:keepLines/>
              <w:widowControl/>
              <w:jc w:val="left"/>
              <w:rPr>
                <w:rFonts w:ascii="Arial Narrow" w:hAnsi="Arial Narrow"/>
                <w:sz w:val="20"/>
              </w:rPr>
            </w:pPr>
            <w:r>
              <w:rPr>
                <w:rFonts w:ascii="Arial Narrow" w:hAnsi="Arial Narrow"/>
                <w:sz w:val="20"/>
              </w:rPr>
              <w:t>INO-VATE ALL</w:t>
            </w:r>
            <w:r w:rsidR="00490803">
              <w:rPr>
                <w:rFonts w:ascii="Arial Narrow" w:hAnsi="Arial Narrow"/>
                <w:sz w:val="20"/>
              </w:rPr>
              <w:t xml:space="preserve"> </w:t>
            </w:r>
            <w:r w:rsidR="002968F2" w:rsidRPr="002A7CC6">
              <w:rPr>
                <w:rFonts w:ascii="Arial Narrow" w:hAnsi="Arial Narrow"/>
                <w:sz w:val="20"/>
              </w:rPr>
              <w:t>(MAIC restricted set)</w:t>
            </w:r>
            <w:r w:rsidR="00490803">
              <w:rPr>
                <w:rFonts w:ascii="Arial Narrow" w:hAnsi="Arial Narrow"/>
                <w:sz w:val="20"/>
              </w:rPr>
              <w:t>, months (95% CI)</w:t>
            </w:r>
          </w:p>
        </w:tc>
        <w:tc>
          <w:tcPr>
            <w:tcW w:w="1559"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N=83</w:t>
            </w:r>
          </w:p>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7.95 (6.14, 10.78)</w:t>
            </w:r>
          </w:p>
        </w:tc>
        <w:tc>
          <w:tcPr>
            <w:tcW w:w="1843" w:type="dxa"/>
            <w:vAlign w:val="center"/>
          </w:tcPr>
          <w:p w:rsidR="002968F2" w:rsidRPr="002A7CC6" w:rsidRDefault="002968F2" w:rsidP="00007D60">
            <w:pPr>
              <w:keepNext/>
              <w:keepLines/>
              <w:widowControl/>
              <w:jc w:val="center"/>
              <w:rPr>
                <w:rFonts w:ascii="Arial Narrow" w:hAnsi="Arial Narrow"/>
                <w:sz w:val="20"/>
              </w:rPr>
            </w:pPr>
            <w:r w:rsidRPr="002A7CC6">
              <w:rPr>
                <w:rFonts w:ascii="Arial Narrow" w:hAnsi="Arial Narrow"/>
                <w:sz w:val="20"/>
              </w:rPr>
              <w:t>N=75</w:t>
            </w:r>
          </w:p>
          <w:p w:rsidR="002968F2" w:rsidRPr="002A7CC6" w:rsidRDefault="002968F2" w:rsidP="00007D60">
            <w:pPr>
              <w:keepNext/>
              <w:keepLines/>
              <w:widowControl/>
              <w:jc w:val="center"/>
              <w:rPr>
                <w:rFonts w:ascii="Arial Narrow" w:hAnsi="Arial Narrow"/>
                <w:sz w:val="20"/>
              </w:rPr>
            </w:pPr>
            <w:r w:rsidRPr="002A7CC6">
              <w:rPr>
                <w:rFonts w:ascii="Arial Narrow" w:hAnsi="Arial Narrow"/>
                <w:kern w:val="24"/>
                <w:sz w:val="20"/>
              </w:rPr>
              <w:t>7.43 (3.78, 9.99)</w:t>
            </w:r>
          </w:p>
        </w:tc>
        <w:tc>
          <w:tcPr>
            <w:tcW w:w="1559" w:type="dxa"/>
            <w:vAlign w:val="center"/>
          </w:tcPr>
          <w:p w:rsidR="002968F2" w:rsidRPr="002A7CC6" w:rsidRDefault="002968F2" w:rsidP="00007D60">
            <w:pPr>
              <w:keepNext/>
              <w:keepLines/>
              <w:widowControl/>
              <w:jc w:val="center"/>
              <w:rPr>
                <w:rFonts w:ascii="Arial Narrow" w:hAnsi="Arial Narrow"/>
                <w:sz w:val="20"/>
              </w:rPr>
            </w:pPr>
            <w:r w:rsidRPr="002A7CC6">
              <w:rPr>
                <w:rFonts w:ascii="Arial Narrow" w:hAnsi="Arial Narrow"/>
                <w:sz w:val="20"/>
              </w:rPr>
              <w:t>-</w:t>
            </w:r>
          </w:p>
        </w:tc>
        <w:tc>
          <w:tcPr>
            <w:tcW w:w="1395"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0.68 (0.47, 0.97)</w:t>
            </w:r>
          </w:p>
        </w:tc>
      </w:tr>
      <w:tr w:rsidR="002968F2" w:rsidRPr="002A7CC6" w:rsidTr="007A3F2A">
        <w:tc>
          <w:tcPr>
            <w:tcW w:w="2660" w:type="dxa"/>
            <w:vAlign w:val="center"/>
          </w:tcPr>
          <w:p w:rsidR="002968F2" w:rsidRPr="002A7CC6" w:rsidRDefault="002968F2" w:rsidP="00007D60">
            <w:pPr>
              <w:keepNext/>
              <w:keepLines/>
              <w:widowControl/>
              <w:jc w:val="left"/>
              <w:rPr>
                <w:rFonts w:ascii="Arial Narrow" w:hAnsi="Arial Narrow"/>
                <w:sz w:val="20"/>
              </w:rPr>
            </w:pPr>
            <w:r w:rsidRPr="002A7CC6">
              <w:rPr>
                <w:rFonts w:ascii="Arial Narrow" w:hAnsi="Arial Narrow"/>
                <w:sz w:val="20"/>
              </w:rPr>
              <w:t>TOWER (ITT)</w:t>
            </w:r>
            <w:r w:rsidR="00490803">
              <w:rPr>
                <w:rFonts w:ascii="Arial Narrow" w:hAnsi="Arial Narrow"/>
                <w:sz w:val="20"/>
              </w:rPr>
              <w:t>, months (95% CI)</w:t>
            </w:r>
          </w:p>
        </w:tc>
        <w:tc>
          <w:tcPr>
            <w:tcW w:w="1559" w:type="dxa"/>
            <w:vAlign w:val="center"/>
          </w:tcPr>
          <w:p w:rsidR="002968F2" w:rsidRPr="002A7CC6" w:rsidRDefault="002968F2" w:rsidP="00007D60">
            <w:pPr>
              <w:keepNext/>
              <w:keepLines/>
              <w:widowControl/>
              <w:jc w:val="center"/>
              <w:rPr>
                <w:rFonts w:ascii="Arial Narrow" w:hAnsi="Arial Narrow"/>
                <w:sz w:val="20"/>
              </w:rPr>
            </w:pPr>
            <w:r w:rsidRPr="002A7CC6">
              <w:rPr>
                <w:rFonts w:ascii="Arial Narrow" w:hAnsi="Arial Narrow"/>
                <w:sz w:val="20"/>
              </w:rPr>
              <w:t>-</w:t>
            </w:r>
          </w:p>
        </w:tc>
        <w:tc>
          <w:tcPr>
            <w:tcW w:w="1843"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N=134</w:t>
            </w:r>
          </w:p>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4.0 (2.9, 5.3)</w:t>
            </w:r>
          </w:p>
        </w:tc>
        <w:tc>
          <w:tcPr>
            <w:tcW w:w="1559"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N=271</w:t>
            </w:r>
          </w:p>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7.7 (5.6, 9.6)</w:t>
            </w:r>
          </w:p>
        </w:tc>
        <w:tc>
          <w:tcPr>
            <w:tcW w:w="1395" w:type="dxa"/>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0.71 (0.55, 0.93)</w:t>
            </w:r>
          </w:p>
        </w:tc>
      </w:tr>
      <w:tr w:rsidR="002968F2" w:rsidRPr="002A7CC6" w:rsidTr="00490803">
        <w:tc>
          <w:tcPr>
            <w:tcW w:w="7621" w:type="dxa"/>
            <w:gridSpan w:val="4"/>
            <w:tcBorders>
              <w:bottom w:val="double" w:sz="4" w:space="0" w:color="auto"/>
            </w:tcBorders>
            <w:vAlign w:val="center"/>
          </w:tcPr>
          <w:p w:rsidR="002968F2" w:rsidRPr="002A7CC6" w:rsidRDefault="002968F2" w:rsidP="00007D60">
            <w:pPr>
              <w:keepNext/>
              <w:keepLines/>
              <w:widowControl/>
              <w:jc w:val="left"/>
              <w:rPr>
                <w:rFonts w:ascii="Arial Narrow" w:hAnsi="Arial Narrow"/>
                <w:sz w:val="20"/>
              </w:rPr>
            </w:pPr>
            <w:r w:rsidRPr="002A7CC6">
              <w:rPr>
                <w:rFonts w:ascii="Arial Narrow" w:hAnsi="Arial Narrow"/>
                <w:sz w:val="20"/>
              </w:rPr>
              <w:t>Matching adjusted indirect analysis of inotuzumab vs. blinatumomab (</w:t>
            </w:r>
            <w:r w:rsidR="007D7344">
              <w:rPr>
                <w:rFonts w:ascii="Arial Narrow" w:hAnsi="Arial Narrow"/>
                <w:sz w:val="20"/>
              </w:rPr>
              <w:t>INO-VATE ALL</w:t>
            </w:r>
            <w:r w:rsidRPr="002A7CC6">
              <w:rPr>
                <w:rFonts w:ascii="Arial Narrow" w:hAnsi="Arial Narrow"/>
                <w:sz w:val="20"/>
              </w:rPr>
              <w:t xml:space="preserve"> restricted set)</w:t>
            </w:r>
          </w:p>
        </w:tc>
        <w:tc>
          <w:tcPr>
            <w:tcW w:w="1395" w:type="dxa"/>
            <w:tcBorders>
              <w:bottom w:val="double" w:sz="4" w:space="0" w:color="auto"/>
            </w:tcBorders>
            <w:vAlign w:val="center"/>
          </w:tcPr>
          <w:p w:rsidR="002968F2" w:rsidRPr="002A7CC6" w:rsidRDefault="002968F2"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0.96 (0.61, 1.50)</w:t>
            </w:r>
          </w:p>
        </w:tc>
      </w:tr>
      <w:tr w:rsidR="007A7B9C" w:rsidRPr="002A7CC6" w:rsidTr="00450F53">
        <w:tc>
          <w:tcPr>
            <w:tcW w:w="9016" w:type="dxa"/>
            <w:gridSpan w:val="5"/>
            <w:tcBorders>
              <w:top w:val="double" w:sz="4" w:space="0" w:color="auto"/>
            </w:tcBorders>
            <w:vAlign w:val="center"/>
          </w:tcPr>
          <w:p w:rsidR="007A7B9C" w:rsidRPr="002A7CC6" w:rsidRDefault="00450F53" w:rsidP="00007D60">
            <w:pPr>
              <w:pStyle w:val="NoSpacing"/>
              <w:keepNext/>
              <w:keepLines/>
              <w:widowControl/>
              <w:ind w:left="-74" w:right="-81"/>
              <w:jc w:val="left"/>
              <w:rPr>
                <w:rFonts w:ascii="Arial Narrow" w:hAnsi="Arial Narrow"/>
                <w:kern w:val="24"/>
                <w:sz w:val="20"/>
              </w:rPr>
            </w:pPr>
            <w:r w:rsidRPr="002A7CC6">
              <w:rPr>
                <w:rFonts w:ascii="Arial Narrow" w:hAnsi="Arial Narrow"/>
                <w:b/>
                <w:kern w:val="24"/>
                <w:sz w:val="20"/>
              </w:rPr>
              <w:t xml:space="preserve">MAIC </w:t>
            </w:r>
            <w:r w:rsidRPr="002A7CC6">
              <w:rPr>
                <w:rFonts w:ascii="Arial Narrow" w:hAnsi="Arial Narrow"/>
                <w:b/>
                <w:sz w:val="20"/>
              </w:rPr>
              <w:t>(</w:t>
            </w:r>
            <w:r w:rsidR="007D7344">
              <w:rPr>
                <w:rFonts w:ascii="Arial Narrow" w:hAnsi="Arial Narrow"/>
                <w:b/>
                <w:sz w:val="20"/>
              </w:rPr>
              <w:t>INO-VATE ALL</w:t>
            </w:r>
            <w:r w:rsidRPr="002A7CC6">
              <w:rPr>
                <w:rFonts w:ascii="Arial Narrow" w:hAnsi="Arial Narrow"/>
                <w:b/>
                <w:sz w:val="20"/>
              </w:rPr>
              <w:t xml:space="preserve"> full set)</w:t>
            </w:r>
            <w:r w:rsidR="00E23148" w:rsidRPr="002A7CC6">
              <w:rPr>
                <w:rFonts w:ascii="Arial Narrow" w:hAnsi="Arial Narrow"/>
                <w:b/>
                <w:sz w:val="20"/>
              </w:rPr>
              <w:t xml:space="preserve"> median survival (95% CI)</w:t>
            </w:r>
          </w:p>
        </w:tc>
      </w:tr>
      <w:tr w:rsidR="00AB2306" w:rsidRPr="00C45611" w:rsidTr="007A3F2A">
        <w:tc>
          <w:tcPr>
            <w:tcW w:w="2660" w:type="dxa"/>
            <w:vAlign w:val="center"/>
          </w:tcPr>
          <w:p w:rsidR="00AB2306" w:rsidRPr="00C45611" w:rsidRDefault="007D7344" w:rsidP="007A3F2A">
            <w:pPr>
              <w:keepNext/>
              <w:keepLines/>
              <w:widowControl/>
              <w:jc w:val="left"/>
              <w:rPr>
                <w:rFonts w:ascii="Arial Narrow" w:hAnsi="Arial Narrow"/>
                <w:sz w:val="20"/>
              </w:rPr>
            </w:pPr>
            <w:r w:rsidRPr="00C45611">
              <w:rPr>
                <w:rFonts w:ascii="Arial Narrow" w:hAnsi="Arial Narrow"/>
                <w:sz w:val="20"/>
              </w:rPr>
              <w:t>INO-VATE ALL</w:t>
            </w:r>
            <w:r w:rsidR="007A3F2A" w:rsidRPr="00C45611">
              <w:rPr>
                <w:rFonts w:ascii="Arial Narrow" w:hAnsi="Arial Narrow"/>
                <w:sz w:val="20"/>
              </w:rPr>
              <w:t xml:space="preserve"> </w:t>
            </w:r>
            <w:r w:rsidR="00AB2306" w:rsidRPr="00C45611">
              <w:rPr>
                <w:rFonts w:ascii="Arial Narrow" w:hAnsi="Arial Narrow"/>
                <w:sz w:val="20"/>
              </w:rPr>
              <w:t>(MAIC full set)</w:t>
            </w:r>
            <w:r w:rsidR="00490803" w:rsidRPr="00C45611">
              <w:rPr>
                <w:rFonts w:ascii="Arial Narrow" w:hAnsi="Arial Narrow"/>
                <w:sz w:val="20"/>
              </w:rPr>
              <w:t>, months (95% CI)</w:t>
            </w:r>
          </w:p>
        </w:tc>
        <w:tc>
          <w:tcPr>
            <w:tcW w:w="1559" w:type="dxa"/>
            <w:vAlign w:val="center"/>
          </w:tcPr>
          <w:p w:rsidR="00AB2306" w:rsidRPr="00C45611" w:rsidRDefault="00AB2306" w:rsidP="00007D60">
            <w:pPr>
              <w:pStyle w:val="NoSpacing"/>
              <w:keepNext/>
              <w:keepLines/>
              <w:widowControl/>
              <w:ind w:left="-74" w:right="-81"/>
              <w:jc w:val="center"/>
              <w:rPr>
                <w:rFonts w:ascii="Arial Narrow" w:hAnsi="Arial Narrow"/>
                <w:kern w:val="24"/>
                <w:sz w:val="20"/>
              </w:rPr>
            </w:pPr>
            <w:r w:rsidRPr="00C45611">
              <w:rPr>
                <w:rFonts w:ascii="Arial Narrow" w:hAnsi="Arial Narrow"/>
                <w:kern w:val="24"/>
                <w:sz w:val="20"/>
              </w:rPr>
              <w:t>N=</w:t>
            </w:r>
            <w:r w:rsidR="00B0555B">
              <w:rPr>
                <w:rFonts w:ascii="Arial Narrow" w:hAnsi="Arial Narrow"/>
                <w:noProof/>
                <w:color w:val="000000"/>
                <w:kern w:val="24"/>
                <w:sz w:val="20"/>
                <w:highlight w:val="black"/>
              </w:rPr>
              <w:t>''''''</w:t>
            </w:r>
          </w:p>
          <w:p w:rsidR="00AB2306" w:rsidRPr="00C45611"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 '''''''''''''''</w:t>
            </w:r>
            <w:r w:rsidR="00AB2306" w:rsidRPr="00C45611">
              <w:rPr>
                <w:rFonts w:ascii="Arial Narrow" w:hAnsi="Arial Narrow"/>
                <w:kern w:val="24"/>
                <w:sz w:val="20"/>
              </w:rPr>
              <w:t>)</w:t>
            </w:r>
          </w:p>
        </w:tc>
        <w:tc>
          <w:tcPr>
            <w:tcW w:w="1843" w:type="dxa"/>
            <w:vAlign w:val="center"/>
          </w:tcPr>
          <w:p w:rsidR="00AB2306" w:rsidRPr="00C45611" w:rsidRDefault="00AB2306" w:rsidP="00007D60">
            <w:pPr>
              <w:keepNext/>
              <w:keepLines/>
              <w:widowControl/>
              <w:jc w:val="center"/>
              <w:rPr>
                <w:rFonts w:ascii="Arial Narrow" w:hAnsi="Arial Narrow"/>
                <w:sz w:val="20"/>
              </w:rPr>
            </w:pPr>
            <w:r w:rsidRPr="00C45611">
              <w:rPr>
                <w:rFonts w:ascii="Arial Narrow" w:hAnsi="Arial Narrow"/>
                <w:sz w:val="20"/>
              </w:rPr>
              <w:t>N=</w:t>
            </w:r>
            <w:r w:rsidR="00B0555B">
              <w:rPr>
                <w:rFonts w:ascii="Arial Narrow" w:hAnsi="Arial Narrow"/>
                <w:noProof/>
                <w:color w:val="000000"/>
                <w:sz w:val="20"/>
                <w:highlight w:val="black"/>
              </w:rPr>
              <w:t>''''''</w:t>
            </w:r>
          </w:p>
          <w:p w:rsidR="00AB2306" w:rsidRPr="00C45611" w:rsidRDefault="00B0555B" w:rsidP="00007D60">
            <w:pPr>
              <w:keepNext/>
              <w:keepLines/>
              <w:widowControl/>
              <w:jc w:val="center"/>
              <w:rPr>
                <w:rFonts w:ascii="Arial Narrow" w:hAnsi="Arial Narrow"/>
                <w:sz w:val="20"/>
              </w:rPr>
            </w:pP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w:t>
            </w:r>
            <w:r w:rsidR="00AB2306" w:rsidRPr="00C45611">
              <w:rPr>
                <w:rFonts w:ascii="Arial Narrow" w:hAnsi="Arial Narrow"/>
                <w:kern w:val="24"/>
                <w:sz w:val="20"/>
              </w:rPr>
              <w:t>)</w:t>
            </w:r>
          </w:p>
        </w:tc>
        <w:tc>
          <w:tcPr>
            <w:tcW w:w="1559" w:type="dxa"/>
            <w:vAlign w:val="center"/>
          </w:tcPr>
          <w:p w:rsidR="00AB2306" w:rsidRPr="00C45611" w:rsidRDefault="00AB2306" w:rsidP="00007D60">
            <w:pPr>
              <w:keepNext/>
              <w:keepLines/>
              <w:widowControl/>
              <w:jc w:val="center"/>
              <w:rPr>
                <w:rFonts w:ascii="Arial Narrow" w:hAnsi="Arial Narrow"/>
                <w:sz w:val="20"/>
              </w:rPr>
            </w:pPr>
            <w:r w:rsidRPr="00C45611">
              <w:rPr>
                <w:rFonts w:ascii="Arial Narrow" w:hAnsi="Arial Narrow"/>
                <w:sz w:val="20"/>
              </w:rPr>
              <w:t>-</w:t>
            </w:r>
          </w:p>
        </w:tc>
        <w:tc>
          <w:tcPr>
            <w:tcW w:w="1395" w:type="dxa"/>
            <w:vAlign w:val="center"/>
          </w:tcPr>
          <w:p w:rsidR="00AB2306" w:rsidRPr="00C45611"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w:t>
            </w:r>
            <w:r w:rsidR="00AB2306" w:rsidRPr="00C45611">
              <w:rPr>
                <w:rFonts w:ascii="Arial Narrow" w:hAnsi="Arial Narrow"/>
                <w:kern w:val="24"/>
                <w:sz w:val="20"/>
              </w:rPr>
              <w:t>)</w:t>
            </w:r>
          </w:p>
        </w:tc>
      </w:tr>
      <w:tr w:rsidR="00AB2306" w:rsidRPr="00C45611" w:rsidTr="007A3F2A">
        <w:tc>
          <w:tcPr>
            <w:tcW w:w="2660" w:type="dxa"/>
            <w:vAlign w:val="center"/>
          </w:tcPr>
          <w:p w:rsidR="00AB2306" w:rsidRPr="00C45611" w:rsidRDefault="00AB2306" w:rsidP="00007D60">
            <w:pPr>
              <w:keepNext/>
              <w:keepLines/>
              <w:widowControl/>
              <w:jc w:val="left"/>
              <w:rPr>
                <w:rFonts w:ascii="Arial Narrow" w:hAnsi="Arial Narrow"/>
                <w:sz w:val="20"/>
              </w:rPr>
            </w:pPr>
            <w:r w:rsidRPr="00C45611">
              <w:rPr>
                <w:rFonts w:ascii="Arial Narrow" w:hAnsi="Arial Narrow"/>
                <w:sz w:val="20"/>
              </w:rPr>
              <w:t>TOWER (ITT)</w:t>
            </w:r>
            <w:r w:rsidR="00490803" w:rsidRPr="00C45611">
              <w:rPr>
                <w:rFonts w:ascii="Arial Narrow" w:hAnsi="Arial Narrow"/>
                <w:sz w:val="20"/>
              </w:rPr>
              <w:t>, months (95% CI)</w:t>
            </w:r>
          </w:p>
        </w:tc>
        <w:tc>
          <w:tcPr>
            <w:tcW w:w="1559" w:type="dxa"/>
            <w:vAlign w:val="center"/>
          </w:tcPr>
          <w:p w:rsidR="00AB2306" w:rsidRPr="00C45611" w:rsidRDefault="00AB2306" w:rsidP="00007D60">
            <w:pPr>
              <w:keepNext/>
              <w:keepLines/>
              <w:widowControl/>
              <w:jc w:val="center"/>
              <w:rPr>
                <w:rFonts w:ascii="Arial Narrow" w:hAnsi="Arial Narrow"/>
                <w:sz w:val="20"/>
              </w:rPr>
            </w:pPr>
            <w:r w:rsidRPr="00C45611">
              <w:rPr>
                <w:rFonts w:ascii="Arial Narrow" w:hAnsi="Arial Narrow"/>
                <w:sz w:val="20"/>
              </w:rPr>
              <w:t>-</w:t>
            </w:r>
          </w:p>
        </w:tc>
        <w:tc>
          <w:tcPr>
            <w:tcW w:w="1843" w:type="dxa"/>
            <w:vAlign w:val="center"/>
          </w:tcPr>
          <w:p w:rsidR="00AB2306" w:rsidRPr="00C45611" w:rsidRDefault="00AB2306" w:rsidP="00007D60">
            <w:pPr>
              <w:pStyle w:val="NoSpacing"/>
              <w:keepNext/>
              <w:keepLines/>
              <w:widowControl/>
              <w:ind w:left="-74" w:right="-81"/>
              <w:jc w:val="center"/>
              <w:rPr>
                <w:rFonts w:ascii="Arial Narrow" w:hAnsi="Arial Narrow"/>
                <w:kern w:val="24"/>
                <w:sz w:val="20"/>
              </w:rPr>
            </w:pPr>
            <w:r w:rsidRPr="00C45611">
              <w:rPr>
                <w:rFonts w:ascii="Arial Narrow" w:hAnsi="Arial Narrow"/>
                <w:kern w:val="24"/>
                <w:sz w:val="20"/>
              </w:rPr>
              <w:t>N=134</w:t>
            </w:r>
          </w:p>
          <w:p w:rsidR="00AB2306" w:rsidRPr="00C45611" w:rsidRDefault="00AB2306" w:rsidP="00007D60">
            <w:pPr>
              <w:pStyle w:val="NoSpacing"/>
              <w:keepNext/>
              <w:keepLines/>
              <w:widowControl/>
              <w:ind w:left="-74" w:right="-81"/>
              <w:jc w:val="center"/>
              <w:rPr>
                <w:rFonts w:ascii="Arial Narrow" w:hAnsi="Arial Narrow"/>
                <w:kern w:val="24"/>
                <w:sz w:val="20"/>
              </w:rPr>
            </w:pPr>
            <w:r w:rsidRPr="00C45611">
              <w:rPr>
                <w:rFonts w:ascii="Arial Narrow" w:hAnsi="Arial Narrow"/>
                <w:kern w:val="24"/>
                <w:sz w:val="20"/>
              </w:rPr>
              <w:t>4.0 (2.9, 5.3)</w:t>
            </w:r>
          </w:p>
        </w:tc>
        <w:tc>
          <w:tcPr>
            <w:tcW w:w="1559" w:type="dxa"/>
            <w:vAlign w:val="center"/>
          </w:tcPr>
          <w:p w:rsidR="00AB2306" w:rsidRPr="00C45611" w:rsidRDefault="00AB2306" w:rsidP="00007D60">
            <w:pPr>
              <w:pStyle w:val="NoSpacing"/>
              <w:keepNext/>
              <w:keepLines/>
              <w:widowControl/>
              <w:ind w:left="-74" w:right="-81"/>
              <w:jc w:val="center"/>
              <w:rPr>
                <w:rFonts w:ascii="Arial Narrow" w:hAnsi="Arial Narrow"/>
                <w:kern w:val="24"/>
                <w:sz w:val="20"/>
              </w:rPr>
            </w:pPr>
            <w:r w:rsidRPr="00C45611">
              <w:rPr>
                <w:rFonts w:ascii="Arial Narrow" w:hAnsi="Arial Narrow"/>
                <w:kern w:val="24"/>
                <w:sz w:val="20"/>
              </w:rPr>
              <w:t>N=271</w:t>
            </w:r>
          </w:p>
          <w:p w:rsidR="00AB2306" w:rsidRPr="00C45611" w:rsidRDefault="00AB2306" w:rsidP="00007D60">
            <w:pPr>
              <w:pStyle w:val="NoSpacing"/>
              <w:keepNext/>
              <w:keepLines/>
              <w:widowControl/>
              <w:ind w:left="-74" w:right="-81"/>
              <w:jc w:val="center"/>
              <w:rPr>
                <w:rFonts w:ascii="Arial Narrow" w:hAnsi="Arial Narrow"/>
                <w:kern w:val="24"/>
                <w:sz w:val="20"/>
              </w:rPr>
            </w:pPr>
            <w:r w:rsidRPr="00C45611">
              <w:rPr>
                <w:rFonts w:ascii="Arial Narrow" w:hAnsi="Arial Narrow"/>
                <w:kern w:val="24"/>
                <w:sz w:val="20"/>
              </w:rPr>
              <w:t>7.7 (5.6, 9.6)</w:t>
            </w:r>
          </w:p>
        </w:tc>
        <w:tc>
          <w:tcPr>
            <w:tcW w:w="1395" w:type="dxa"/>
            <w:vAlign w:val="center"/>
          </w:tcPr>
          <w:p w:rsidR="00AB2306" w:rsidRPr="00C45611" w:rsidRDefault="00AB2306" w:rsidP="00007D60">
            <w:pPr>
              <w:pStyle w:val="NoSpacing"/>
              <w:keepNext/>
              <w:keepLines/>
              <w:widowControl/>
              <w:ind w:left="-74" w:right="-81"/>
              <w:jc w:val="center"/>
              <w:rPr>
                <w:rFonts w:ascii="Arial Narrow" w:hAnsi="Arial Narrow"/>
                <w:kern w:val="24"/>
                <w:sz w:val="20"/>
              </w:rPr>
            </w:pPr>
            <w:r w:rsidRPr="00C45611">
              <w:rPr>
                <w:rFonts w:ascii="Arial Narrow" w:hAnsi="Arial Narrow"/>
                <w:kern w:val="24"/>
                <w:sz w:val="20"/>
              </w:rPr>
              <w:t>0.71 (0.55, 0.93)</w:t>
            </w:r>
          </w:p>
        </w:tc>
      </w:tr>
      <w:tr w:rsidR="00AB2306" w:rsidRPr="002A7CC6" w:rsidTr="00490803">
        <w:tc>
          <w:tcPr>
            <w:tcW w:w="7621" w:type="dxa"/>
            <w:gridSpan w:val="4"/>
            <w:vAlign w:val="center"/>
          </w:tcPr>
          <w:p w:rsidR="00AB2306" w:rsidRPr="00C45611" w:rsidRDefault="00D40C7D" w:rsidP="00490803">
            <w:pPr>
              <w:keepNext/>
              <w:keepLines/>
              <w:widowControl/>
              <w:jc w:val="left"/>
              <w:rPr>
                <w:rFonts w:ascii="Arial Narrow" w:hAnsi="Arial Narrow"/>
                <w:sz w:val="20"/>
              </w:rPr>
            </w:pPr>
            <w:r w:rsidRPr="00C45611">
              <w:rPr>
                <w:rFonts w:ascii="Arial Narrow" w:hAnsi="Arial Narrow"/>
                <w:sz w:val="20"/>
              </w:rPr>
              <w:t>Matching adjusted indirect analysis of inotuzumab vs. blinatumomab (</w:t>
            </w:r>
            <w:r w:rsidR="007D7344" w:rsidRPr="00C45611">
              <w:rPr>
                <w:rFonts w:ascii="Arial Narrow" w:hAnsi="Arial Narrow"/>
                <w:sz w:val="20"/>
              </w:rPr>
              <w:t>INO-VATE ALL</w:t>
            </w:r>
            <w:r w:rsidRPr="00C45611">
              <w:rPr>
                <w:rFonts w:ascii="Arial Narrow" w:hAnsi="Arial Narrow"/>
                <w:sz w:val="20"/>
              </w:rPr>
              <w:t xml:space="preserve"> full set</w:t>
            </w:r>
            <w:r w:rsidR="00490803" w:rsidRPr="00C45611">
              <w:rPr>
                <w:rFonts w:ascii="Arial Narrow" w:hAnsi="Arial Narrow"/>
                <w:sz w:val="20"/>
              </w:rPr>
              <w:t xml:space="preserve">) </w:t>
            </w:r>
          </w:p>
        </w:tc>
        <w:tc>
          <w:tcPr>
            <w:tcW w:w="1395" w:type="dxa"/>
            <w:vAlign w:val="center"/>
          </w:tcPr>
          <w:p w:rsidR="00AB2306" w:rsidRPr="002A7CC6"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w:t>
            </w:r>
            <w:r w:rsidR="00AB2306" w:rsidRPr="00C45611">
              <w:rPr>
                <w:rFonts w:ascii="Arial Narrow" w:hAnsi="Arial Narrow"/>
                <w:kern w:val="24"/>
                <w:sz w:val="20"/>
              </w:rPr>
              <w:t xml:space="preserve">, </w:t>
            </w:r>
            <w:r>
              <w:rPr>
                <w:rFonts w:ascii="Arial Narrow" w:hAnsi="Arial Narrow"/>
                <w:noProof/>
                <w:color w:val="000000"/>
                <w:kern w:val="24"/>
                <w:sz w:val="20"/>
                <w:highlight w:val="black"/>
              </w:rPr>
              <w:t>''''''''''</w:t>
            </w:r>
            <w:r w:rsidR="00AB2306" w:rsidRPr="00C45611">
              <w:rPr>
                <w:rFonts w:ascii="Arial Narrow" w:hAnsi="Arial Narrow"/>
                <w:kern w:val="24"/>
                <w:sz w:val="20"/>
              </w:rPr>
              <w:t>)</w:t>
            </w:r>
          </w:p>
        </w:tc>
      </w:tr>
    </w:tbl>
    <w:p w:rsidR="002968F2" w:rsidRPr="002A7CC6" w:rsidRDefault="002968F2" w:rsidP="00007D60">
      <w:pPr>
        <w:pStyle w:val="MainBodyText"/>
        <w:keepNext/>
        <w:keepLines/>
        <w:spacing w:after="0" w:line="240" w:lineRule="auto"/>
        <w:rPr>
          <w:rFonts w:ascii="Arial Narrow" w:hAnsi="Arial Narrow"/>
          <w:sz w:val="18"/>
          <w:szCs w:val="18"/>
        </w:rPr>
      </w:pPr>
      <w:r w:rsidRPr="002A7CC6">
        <w:rPr>
          <w:rFonts w:ascii="Arial Narrow" w:hAnsi="Arial Narrow"/>
          <w:sz w:val="18"/>
          <w:szCs w:val="18"/>
        </w:rPr>
        <w:t>Source: Tables 2.6.4-2.6.5, p.220-221 of the submission.</w:t>
      </w:r>
    </w:p>
    <w:p w:rsidR="002968F2" w:rsidRPr="002A7CC6" w:rsidRDefault="002968F2" w:rsidP="00007D60">
      <w:pPr>
        <w:pStyle w:val="MainBodyText"/>
        <w:keepNext/>
        <w:keepLines/>
        <w:spacing w:after="0" w:line="240" w:lineRule="auto"/>
      </w:pPr>
      <w:r w:rsidRPr="002A7CC6">
        <w:rPr>
          <w:rFonts w:ascii="Arial Narrow" w:hAnsi="Arial Narrow"/>
          <w:sz w:val="18"/>
          <w:szCs w:val="18"/>
        </w:rPr>
        <w:t>Abbreviations: CI, confidence interval; ITT, intention-to-treat; LPLV, last patient last visit; MAIC, matching adjusted indirect comparison; SOC, standard of care chemotherapy.</w:t>
      </w:r>
    </w:p>
    <w:p w:rsidR="00424828" w:rsidRPr="002A7CC6" w:rsidRDefault="00424828" w:rsidP="00F96F7D">
      <w:pPr>
        <w:pStyle w:val="TableFooter"/>
      </w:pPr>
    </w:p>
    <w:p w:rsidR="007162AC" w:rsidRPr="002A7CC6" w:rsidRDefault="007162AC" w:rsidP="00007D60">
      <w:pPr>
        <w:pStyle w:val="ListParagraph"/>
        <w:widowControl/>
        <w:numPr>
          <w:ilvl w:val="1"/>
          <w:numId w:val="1"/>
        </w:numPr>
      </w:pPr>
      <w:r w:rsidRPr="002A7CC6">
        <w:t>For overall survival, the comparisons with standard of care chemotherapy generally statistically significantly favoured inotuzumab (</w:t>
      </w:r>
      <w:r w:rsidR="007D7344">
        <w:t>INO-VATE ALL</w:t>
      </w:r>
      <w:r w:rsidRPr="002A7CC6">
        <w:t xml:space="preserve">) and blinatumomab (TOWER). Results in the </w:t>
      </w:r>
      <w:r w:rsidR="007D7344">
        <w:t>INO-VATE ALL</w:t>
      </w:r>
      <w:r w:rsidRPr="002A7CC6">
        <w:t xml:space="preserve"> trial were more favourable to inotuzumab in the anchored MAIC (restricted covariate) analysis compared to the LPLV dataset. In the TOWER trial, median survival for the standard of care chemotherapy treatment arm (4.0 months) was substantially shorter than reported for standard of care in the </w:t>
      </w:r>
      <w:r w:rsidR="007D7344">
        <w:t>INO-VATE ALL</w:t>
      </w:r>
      <w:r w:rsidRPr="002A7CC6">
        <w:t xml:space="preserve"> trial</w:t>
      </w:r>
      <w:r w:rsidR="000A17B1" w:rsidRPr="002A7CC6">
        <w:t xml:space="preserve"> (6.2 months)</w:t>
      </w:r>
      <w:r w:rsidR="0057069B" w:rsidRPr="002A7CC6">
        <w:t xml:space="preserve">, indicating that the </w:t>
      </w:r>
      <w:r w:rsidR="0057069B" w:rsidRPr="002A7CC6">
        <w:rPr>
          <w:iCs/>
        </w:rPr>
        <w:t xml:space="preserve">common reference (standard of care chemotherapy) may not have been sufficiently similar between trials </w:t>
      </w:r>
      <w:r w:rsidR="007A3F2A">
        <w:rPr>
          <w:iCs/>
        </w:rPr>
        <w:t>and/or that there were imbalances in prognostic factors.</w:t>
      </w:r>
      <w:r w:rsidRPr="002A7CC6">
        <w:t xml:space="preserve"> </w:t>
      </w:r>
    </w:p>
    <w:p w:rsidR="00413640" w:rsidRPr="002A7CC6" w:rsidRDefault="006A3245" w:rsidP="00413640">
      <w:pPr>
        <w:pStyle w:val="ListParagraph"/>
        <w:widowControl/>
        <w:numPr>
          <w:ilvl w:val="1"/>
          <w:numId w:val="1"/>
        </w:numPr>
        <w:spacing w:after="120"/>
      </w:pPr>
      <w:r w:rsidRPr="002A7CC6">
        <w:lastRenderedPageBreak/>
        <w:t xml:space="preserve">In the indirect comparisons for overall survival, there were no statistically significant differences between inotuzumab and blinatumomab across all analyses. The </w:t>
      </w:r>
      <w:r w:rsidR="002F3EF7" w:rsidRPr="002A7CC6">
        <w:t xml:space="preserve">evaluation considered that the </w:t>
      </w:r>
      <w:r w:rsidRPr="002A7CC6">
        <w:t xml:space="preserve">lack of a statistically significant difference between treatments may not adequately justify a claim of non-inferiority given the wide confidence intervals, which indicate substantial uncertainty around the indirect estimates of effect. </w:t>
      </w:r>
    </w:p>
    <w:p w:rsidR="006A3245" w:rsidRDefault="00613902" w:rsidP="00007D60">
      <w:pPr>
        <w:pStyle w:val="ListParagraph"/>
        <w:widowControl/>
        <w:numPr>
          <w:ilvl w:val="1"/>
          <w:numId w:val="1"/>
        </w:numPr>
      </w:pPr>
      <w:r w:rsidRPr="002A7CC6">
        <w:t>In order to achieve l</w:t>
      </w:r>
      <w:r w:rsidR="002F3EF7" w:rsidRPr="002A7CC6">
        <w:t>ong</w:t>
      </w:r>
      <w:r w:rsidR="00E83ABC" w:rsidRPr="002A7CC6">
        <w:t>-</w:t>
      </w:r>
      <w:r w:rsidR="002F3EF7" w:rsidRPr="002A7CC6">
        <w:t>term survival</w:t>
      </w:r>
      <w:r w:rsidRPr="002A7CC6">
        <w:t xml:space="preserve">, patients with this condition </w:t>
      </w:r>
      <w:r w:rsidR="00CA60BB" w:rsidRPr="002A7CC6">
        <w:t>generally require</w:t>
      </w:r>
      <w:r w:rsidRPr="002A7CC6">
        <w:t xml:space="preserve"> </w:t>
      </w:r>
      <w:r w:rsidR="00CA60BB" w:rsidRPr="002A7CC6">
        <w:t xml:space="preserve">a </w:t>
      </w:r>
      <w:r w:rsidR="00527EC1" w:rsidRPr="002A7CC6">
        <w:t>HSCT</w:t>
      </w:r>
      <w:r w:rsidRPr="002A7CC6">
        <w:t xml:space="preserve">, </w:t>
      </w:r>
      <w:r w:rsidR="00527EC1" w:rsidRPr="002A7CC6">
        <w:t xml:space="preserve">and </w:t>
      </w:r>
      <w:r w:rsidRPr="002A7CC6">
        <w:t>t</w:t>
      </w:r>
      <w:r w:rsidR="005305E4" w:rsidRPr="002A7CC6">
        <w:t xml:space="preserve">he ESC </w:t>
      </w:r>
      <w:r w:rsidR="00527EC1" w:rsidRPr="002A7CC6">
        <w:t>noted there were higher rates of CR/</w:t>
      </w:r>
      <w:proofErr w:type="spellStart"/>
      <w:r w:rsidR="00527EC1" w:rsidRPr="002A7CC6">
        <w:t>CRi</w:t>
      </w:r>
      <w:proofErr w:type="spellEnd"/>
      <w:r w:rsidR="00527EC1" w:rsidRPr="002A7CC6">
        <w:t xml:space="preserve"> and subsequent HSCT in </w:t>
      </w:r>
      <w:r w:rsidR="006A3245" w:rsidRPr="002A7CC6">
        <w:t xml:space="preserve">the inotuzumab INO-VATE ALL trial </w:t>
      </w:r>
      <w:r w:rsidR="00527EC1" w:rsidRPr="002A7CC6">
        <w:t xml:space="preserve">compared with </w:t>
      </w:r>
      <w:r w:rsidR="006A3245" w:rsidRPr="002A7CC6">
        <w:t xml:space="preserve">the blinatumomab TOWER trial </w:t>
      </w:r>
      <w:r w:rsidR="00A0352A" w:rsidRPr="002A7CC6">
        <w:t>(</w:t>
      </w:r>
      <w:r w:rsidR="00527EC1" w:rsidRPr="002A7CC6">
        <w:t xml:space="preserve">HSCT rates of </w:t>
      </w:r>
      <w:r w:rsidR="00A0352A" w:rsidRPr="002A7CC6">
        <w:t>48% versus 24% in the inotuzumab and blinatumomab arms, respectively as outlined in Table</w:t>
      </w:r>
      <w:r w:rsidR="00904090" w:rsidRPr="002A7CC6">
        <w:t xml:space="preserve"> </w:t>
      </w:r>
      <w:r w:rsidR="009A469F" w:rsidRPr="002A7CC6">
        <w:t>9</w:t>
      </w:r>
      <w:r w:rsidR="00A0352A" w:rsidRPr="002A7CC6">
        <w:t>)</w:t>
      </w:r>
      <w:r w:rsidR="00527EC1" w:rsidRPr="002A7CC6">
        <w:t xml:space="preserve">. The ESC considered that the differential rates of HSCT </w:t>
      </w:r>
      <w:r w:rsidR="00380EA2" w:rsidRPr="002A7CC6">
        <w:t xml:space="preserve">were </w:t>
      </w:r>
      <w:r w:rsidR="00527EC1" w:rsidRPr="002A7CC6">
        <w:t>likely</w:t>
      </w:r>
      <w:r w:rsidR="00380EA2" w:rsidRPr="002A7CC6">
        <w:t xml:space="preserve"> to have</w:t>
      </w:r>
      <w:r w:rsidR="006A3245" w:rsidRPr="002A7CC6">
        <w:t xml:space="preserve"> affected </w:t>
      </w:r>
      <w:r w:rsidR="00527EC1" w:rsidRPr="002A7CC6">
        <w:t xml:space="preserve">the </w:t>
      </w:r>
      <w:r w:rsidR="006A3245" w:rsidRPr="002A7CC6">
        <w:t xml:space="preserve">comparative estimates of overall survival. </w:t>
      </w:r>
    </w:p>
    <w:p w:rsidR="00750E36" w:rsidRPr="00750E36" w:rsidRDefault="00750E36" w:rsidP="00750E36">
      <w:pPr>
        <w:pStyle w:val="ListParagraph"/>
        <w:numPr>
          <w:ilvl w:val="1"/>
          <w:numId w:val="1"/>
        </w:numPr>
      </w:pPr>
      <w:r w:rsidRPr="00750E36">
        <w:t>The PBAC re-iterated its previous view, from its July 2016 consideration of blinatumomab for this condition, that overall survival is the most relevant outcome to inform decision-making (Blinatumomab Public Summary Document, July 2016). In particular, the PBAC considered that long-term improvements in survival were particularly relevant and noted that the proportion of patients with likely long-term survival (represented in t</w:t>
      </w:r>
      <w:r>
        <w:t xml:space="preserve">he survival curves as a plateau) </w:t>
      </w:r>
      <w:r w:rsidRPr="00750E36">
        <w:t xml:space="preserve">for inotuzumab </w:t>
      </w:r>
      <w:r>
        <w:t xml:space="preserve">in the </w:t>
      </w:r>
      <w:r w:rsidRPr="00750E36">
        <w:t xml:space="preserve">INO-VATE ALL </w:t>
      </w:r>
      <w:r>
        <w:t xml:space="preserve">trial </w:t>
      </w:r>
      <w:r w:rsidRPr="00750E36">
        <w:t xml:space="preserve">and blinatumomab </w:t>
      </w:r>
      <w:r>
        <w:t>in the</w:t>
      </w:r>
      <w:r w:rsidRPr="00750E36">
        <w:t xml:space="preserve"> TOWER</w:t>
      </w:r>
      <w:r>
        <w:t xml:space="preserve"> trail </w:t>
      </w:r>
      <w:r w:rsidRPr="00750E36">
        <w:t xml:space="preserve">were similar, </w:t>
      </w:r>
      <w:r>
        <w:t>at around 25%</w:t>
      </w:r>
      <w:r w:rsidRPr="00750E36">
        <w:t xml:space="preserve">. </w:t>
      </w:r>
    </w:p>
    <w:p w:rsidR="00AB2306" w:rsidRPr="002A7CC6" w:rsidRDefault="00AB2306" w:rsidP="00007D60">
      <w:pPr>
        <w:pStyle w:val="ListParagraph"/>
        <w:widowControl/>
        <w:numPr>
          <w:ilvl w:val="1"/>
          <w:numId w:val="1"/>
        </w:numPr>
      </w:pPr>
      <w:r w:rsidRPr="002A7CC6">
        <w:rPr>
          <w:rFonts w:cs="Calibri"/>
          <w:snapToGrid/>
          <w:szCs w:val="24"/>
          <w:lang w:val="en-US" w:eastAsia="en-AU"/>
        </w:rPr>
        <w:t xml:space="preserve">Figure 2 shows the Kaplan Meier plot of </w:t>
      </w:r>
      <w:r w:rsidR="006C29A9" w:rsidRPr="002A7CC6">
        <w:rPr>
          <w:rFonts w:cs="Calibri"/>
          <w:snapToGrid/>
          <w:szCs w:val="24"/>
          <w:lang w:val="en-US" w:eastAsia="en-AU"/>
        </w:rPr>
        <w:t>progression</w:t>
      </w:r>
      <w:r w:rsidRPr="002A7CC6">
        <w:rPr>
          <w:rFonts w:cs="Calibri"/>
          <w:snapToGrid/>
          <w:szCs w:val="24"/>
          <w:lang w:val="en-US" w:eastAsia="en-AU"/>
        </w:rPr>
        <w:t xml:space="preserve"> free survival</w:t>
      </w:r>
      <w:r w:rsidR="002F2E75" w:rsidRPr="002A7CC6">
        <w:rPr>
          <w:rFonts w:cs="Calibri"/>
          <w:snapToGrid/>
          <w:szCs w:val="24"/>
          <w:lang w:val="en-US" w:eastAsia="en-AU"/>
        </w:rPr>
        <w:t xml:space="preserve"> (PFS)</w:t>
      </w:r>
      <w:r w:rsidRPr="002A7CC6">
        <w:rPr>
          <w:rFonts w:cs="Calibri"/>
          <w:snapToGrid/>
          <w:szCs w:val="24"/>
          <w:lang w:val="en-US" w:eastAsia="en-AU"/>
        </w:rPr>
        <w:t xml:space="preserve"> for the </w:t>
      </w:r>
      <w:r w:rsidR="007D7344">
        <w:rPr>
          <w:rFonts w:cs="Calibri"/>
          <w:snapToGrid/>
          <w:szCs w:val="24"/>
          <w:lang w:val="en-US" w:eastAsia="en-AU"/>
        </w:rPr>
        <w:t>INO-VATE ALL</w:t>
      </w:r>
      <w:r w:rsidRPr="002A7CC6">
        <w:rPr>
          <w:rFonts w:cs="Calibri"/>
          <w:snapToGrid/>
          <w:szCs w:val="24"/>
          <w:lang w:val="en-US" w:eastAsia="en-AU"/>
        </w:rPr>
        <w:t xml:space="preserve"> ITT population. </w:t>
      </w:r>
      <w:r w:rsidR="006C29A9" w:rsidRPr="002A7CC6">
        <w:rPr>
          <w:rFonts w:asciiTheme="minorHAnsi" w:hAnsiTheme="minorHAnsi" w:cstheme="minorHAnsi"/>
          <w:szCs w:val="24"/>
        </w:rPr>
        <w:t xml:space="preserve">The definition of PFS in the </w:t>
      </w:r>
      <w:r w:rsidR="007D7344">
        <w:rPr>
          <w:rFonts w:asciiTheme="minorHAnsi" w:hAnsiTheme="minorHAnsi" w:cstheme="minorHAnsi"/>
          <w:szCs w:val="24"/>
        </w:rPr>
        <w:t>INO-VATE ALL</w:t>
      </w:r>
      <w:r w:rsidR="006C29A9" w:rsidRPr="002A7CC6">
        <w:rPr>
          <w:rFonts w:asciiTheme="minorHAnsi" w:hAnsiTheme="minorHAnsi" w:cstheme="minorHAnsi"/>
          <w:szCs w:val="24"/>
        </w:rPr>
        <w:t xml:space="preserve"> trial was not conventional as it included starting new induction therapy or post-therapy HSCT without achieving CR/</w:t>
      </w:r>
      <w:proofErr w:type="spellStart"/>
      <w:r w:rsidR="006C29A9" w:rsidRPr="002A7CC6">
        <w:rPr>
          <w:rFonts w:asciiTheme="minorHAnsi" w:hAnsiTheme="minorHAnsi" w:cstheme="minorHAnsi"/>
          <w:szCs w:val="24"/>
        </w:rPr>
        <w:t>CRi</w:t>
      </w:r>
      <w:proofErr w:type="spellEnd"/>
      <w:r w:rsidR="006C29A9" w:rsidRPr="002A7CC6">
        <w:rPr>
          <w:rFonts w:asciiTheme="minorHAnsi" w:hAnsiTheme="minorHAnsi" w:cstheme="minorHAnsi"/>
          <w:szCs w:val="24"/>
        </w:rPr>
        <w:t xml:space="preserve">, in addition to death or disease progression. </w:t>
      </w:r>
    </w:p>
    <w:p w:rsidR="00AB2306" w:rsidRPr="002A7CC6" w:rsidRDefault="00AB2306" w:rsidP="00007D60">
      <w:pPr>
        <w:keepNext/>
        <w:keepLines/>
        <w:widowControl/>
      </w:pPr>
      <w:r w:rsidRPr="002A7CC6">
        <w:rPr>
          <w:rFonts w:ascii="Arial Narrow" w:hAnsi="Arial Narrow"/>
          <w:b/>
          <w:sz w:val="20"/>
          <w:szCs w:val="20"/>
        </w:rPr>
        <w:t xml:space="preserve">Figure 2: </w:t>
      </w:r>
      <w:r w:rsidR="007D7344">
        <w:rPr>
          <w:rFonts w:ascii="Arial Narrow" w:hAnsi="Arial Narrow"/>
          <w:b/>
          <w:sz w:val="20"/>
          <w:szCs w:val="20"/>
        </w:rPr>
        <w:t>INO-VATE ALL</w:t>
      </w:r>
      <w:r w:rsidRPr="002A7CC6">
        <w:rPr>
          <w:rFonts w:ascii="Arial Narrow" w:hAnsi="Arial Narrow"/>
          <w:b/>
          <w:sz w:val="20"/>
          <w:szCs w:val="20"/>
        </w:rPr>
        <w:t xml:space="preserve"> Kaplan-Meier plot of progression free survival (ITT, 8 Mar 2016)</w:t>
      </w:r>
    </w:p>
    <w:p w:rsidR="00AB2306" w:rsidRPr="002A7CC6" w:rsidRDefault="00AB2306" w:rsidP="00007D60">
      <w:pPr>
        <w:widowControl/>
        <w:rPr>
          <w:szCs w:val="20"/>
        </w:rPr>
      </w:pPr>
      <w:r w:rsidRPr="002A7CC6">
        <w:rPr>
          <w:noProof/>
          <w:lang w:eastAsia="en-AU"/>
        </w:rPr>
        <w:drawing>
          <wp:inline distT="0" distB="0" distL="0" distR="0" wp14:anchorId="1A58A08E" wp14:editId="55141BF6">
            <wp:extent cx="5732145" cy="255514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555145"/>
                    </a:xfrm>
                    <a:prstGeom prst="rect">
                      <a:avLst/>
                    </a:prstGeom>
                    <a:noFill/>
                  </pic:spPr>
                </pic:pic>
              </a:graphicData>
            </a:graphic>
          </wp:inline>
        </w:drawing>
      </w:r>
    </w:p>
    <w:p w:rsidR="00AB2306" w:rsidRPr="002A7CC6" w:rsidRDefault="00AB2306" w:rsidP="00007D60">
      <w:pPr>
        <w:widowControl/>
        <w:rPr>
          <w:rFonts w:ascii="Arial Narrow" w:hAnsi="Arial Narrow"/>
          <w:sz w:val="18"/>
          <w:szCs w:val="18"/>
        </w:rPr>
      </w:pPr>
      <w:r w:rsidRPr="002A7CC6">
        <w:rPr>
          <w:rFonts w:ascii="Arial Narrow" w:hAnsi="Arial Narrow"/>
          <w:sz w:val="18"/>
          <w:szCs w:val="18"/>
        </w:rPr>
        <w:t>Source: Figure 2.5.12, p.149 of the submission.</w:t>
      </w:r>
    </w:p>
    <w:p w:rsidR="00AB2306" w:rsidRPr="002A7CC6" w:rsidRDefault="00AB2306" w:rsidP="00007D60">
      <w:pPr>
        <w:widowControl/>
        <w:rPr>
          <w:rFonts w:ascii="Arial Narrow" w:hAnsi="Arial Narrow"/>
          <w:sz w:val="18"/>
          <w:szCs w:val="18"/>
        </w:rPr>
      </w:pPr>
      <w:r w:rsidRPr="002A7CC6">
        <w:rPr>
          <w:rFonts w:ascii="Arial Narrow" w:hAnsi="Arial Narrow"/>
          <w:sz w:val="18"/>
          <w:szCs w:val="18"/>
        </w:rPr>
        <w:t>Abbreviations: CI, confidence interval; ITT, intention-to-treat.</w:t>
      </w:r>
    </w:p>
    <w:p w:rsidR="00AB2306" w:rsidRPr="002A7CC6" w:rsidRDefault="00AB2306" w:rsidP="00007D60">
      <w:pPr>
        <w:pStyle w:val="TableFooter"/>
        <w:widowControl/>
        <w:rPr>
          <w:rFonts w:eastAsia="Calibri"/>
        </w:rPr>
      </w:pPr>
      <w:r w:rsidRPr="002A7CC6">
        <w:rPr>
          <w:rFonts w:eastAsia="Calibri"/>
        </w:rPr>
        <w:t>Note: Investigator’s choice refers to standard of care chemotherapy.</w:t>
      </w:r>
    </w:p>
    <w:p w:rsidR="00AB2306" w:rsidRPr="002A7CC6" w:rsidRDefault="00AB2306" w:rsidP="00F96F7D">
      <w:pPr>
        <w:pStyle w:val="TableFooter"/>
      </w:pPr>
    </w:p>
    <w:p w:rsidR="00AB2306" w:rsidRPr="002A7CC6" w:rsidRDefault="00AB2306" w:rsidP="00007D60">
      <w:pPr>
        <w:pStyle w:val="ListParagraph"/>
        <w:widowControl/>
        <w:numPr>
          <w:ilvl w:val="1"/>
          <w:numId w:val="1"/>
        </w:numPr>
      </w:pPr>
      <w:r w:rsidRPr="002A7CC6">
        <w:rPr>
          <w:rFonts w:asciiTheme="minorHAnsi" w:hAnsiTheme="minorHAnsi" w:cstheme="minorHAnsi"/>
          <w:szCs w:val="24"/>
        </w:rPr>
        <w:lastRenderedPageBreak/>
        <w:t xml:space="preserve">Median </w:t>
      </w:r>
      <w:r w:rsidR="002F2E75" w:rsidRPr="002A7CC6">
        <w:rPr>
          <w:rFonts w:asciiTheme="minorHAnsi" w:hAnsiTheme="minorHAnsi" w:cstheme="minorHAnsi"/>
          <w:szCs w:val="24"/>
        </w:rPr>
        <w:t>PFS</w:t>
      </w:r>
      <w:r w:rsidRPr="002A7CC6">
        <w:rPr>
          <w:rFonts w:asciiTheme="minorHAnsi" w:hAnsiTheme="minorHAnsi" w:cstheme="minorHAnsi"/>
          <w:szCs w:val="24"/>
        </w:rPr>
        <w:t xml:space="preserve"> was 5.0 months for inotuzumab and 1.8 months for standard of care </w:t>
      </w:r>
      <w:r w:rsidRPr="002A7CC6">
        <w:rPr>
          <w:rStyle w:val="MainBodyTextChar"/>
          <w:rFonts w:asciiTheme="minorHAnsi" w:hAnsiTheme="minorHAnsi" w:cstheme="minorHAnsi"/>
          <w:sz w:val="24"/>
          <w:szCs w:val="24"/>
        </w:rPr>
        <w:t xml:space="preserve">chemotherapy. Deaths and relapse represented a larger proportion of first events for inotuzumab compared to standard of care chemotherapy, with new therapy or HSCT representing a higher proportion of first events in the standard of care chemotherapy arm. Given the open label design of the </w:t>
      </w:r>
      <w:r w:rsidR="007D7344">
        <w:rPr>
          <w:rStyle w:val="MainBodyTextChar"/>
          <w:rFonts w:asciiTheme="minorHAnsi" w:hAnsiTheme="minorHAnsi" w:cstheme="minorHAnsi"/>
          <w:sz w:val="24"/>
          <w:szCs w:val="24"/>
        </w:rPr>
        <w:t>INO-VATE ALL</w:t>
      </w:r>
      <w:r w:rsidRPr="002A7CC6">
        <w:rPr>
          <w:rStyle w:val="MainBodyTextChar"/>
          <w:rFonts w:asciiTheme="minorHAnsi" w:hAnsiTheme="minorHAnsi" w:cstheme="minorHAnsi"/>
          <w:sz w:val="24"/>
          <w:szCs w:val="24"/>
        </w:rPr>
        <w:t xml:space="preserve"> trial and the risk of treatment allocation influencing patient progression to alternative treatment regimens, </w:t>
      </w:r>
      <w:r w:rsidR="002C2B3A" w:rsidRPr="002A7CC6">
        <w:rPr>
          <w:rStyle w:val="MainBodyTextChar"/>
          <w:rFonts w:asciiTheme="minorHAnsi" w:hAnsiTheme="minorHAnsi" w:cstheme="minorHAnsi"/>
          <w:sz w:val="24"/>
          <w:szCs w:val="24"/>
        </w:rPr>
        <w:t xml:space="preserve">the evaluation considered that </w:t>
      </w:r>
      <w:r w:rsidRPr="002A7CC6">
        <w:rPr>
          <w:rStyle w:val="MainBodyTextChar"/>
          <w:rFonts w:asciiTheme="minorHAnsi" w:hAnsiTheme="minorHAnsi" w:cstheme="minorHAnsi"/>
          <w:sz w:val="24"/>
          <w:szCs w:val="24"/>
        </w:rPr>
        <w:t>this result may not be reliable.</w:t>
      </w:r>
      <w:r w:rsidR="002C2B3A" w:rsidRPr="002A7CC6">
        <w:rPr>
          <w:rStyle w:val="MainBodyTextChar"/>
          <w:rFonts w:asciiTheme="minorHAnsi" w:hAnsiTheme="minorHAnsi" w:cstheme="minorHAnsi"/>
          <w:sz w:val="24"/>
          <w:szCs w:val="24"/>
        </w:rPr>
        <w:t xml:space="preserve"> The ESC further considered that the PFS may not be reliable due to the unconventional definition of PFS that was used in the </w:t>
      </w:r>
      <w:r w:rsidR="007D7344">
        <w:rPr>
          <w:rStyle w:val="MainBodyTextChar"/>
          <w:rFonts w:asciiTheme="minorHAnsi" w:hAnsiTheme="minorHAnsi" w:cstheme="minorHAnsi"/>
          <w:sz w:val="24"/>
          <w:szCs w:val="24"/>
        </w:rPr>
        <w:t>INO-VATE ALL</w:t>
      </w:r>
      <w:r w:rsidR="002C2B3A" w:rsidRPr="002A7CC6">
        <w:rPr>
          <w:rStyle w:val="MainBodyTextChar"/>
          <w:rFonts w:asciiTheme="minorHAnsi" w:hAnsiTheme="minorHAnsi" w:cstheme="minorHAnsi"/>
          <w:sz w:val="24"/>
          <w:szCs w:val="24"/>
        </w:rPr>
        <w:t xml:space="preserve"> trial. </w:t>
      </w:r>
    </w:p>
    <w:p w:rsidR="00AB2306" w:rsidRPr="002A7CC6" w:rsidRDefault="00AB2306" w:rsidP="00007D60">
      <w:pPr>
        <w:pStyle w:val="ListParagraph"/>
        <w:widowControl/>
        <w:numPr>
          <w:ilvl w:val="1"/>
          <w:numId w:val="1"/>
        </w:numPr>
      </w:pPr>
      <w:r w:rsidRPr="002A7CC6">
        <w:rPr>
          <w:rFonts w:asciiTheme="minorHAnsi" w:hAnsiTheme="minorHAnsi" w:cstheme="minorHAnsi"/>
          <w:szCs w:val="24"/>
        </w:rPr>
        <w:t xml:space="preserve">PFS was </w:t>
      </w:r>
      <w:r w:rsidR="002F2E75" w:rsidRPr="002A7CC6">
        <w:rPr>
          <w:rFonts w:asciiTheme="minorHAnsi" w:hAnsiTheme="minorHAnsi" w:cstheme="minorHAnsi"/>
          <w:szCs w:val="24"/>
        </w:rPr>
        <w:t xml:space="preserve">not </w:t>
      </w:r>
      <w:r w:rsidRPr="002A7CC6">
        <w:rPr>
          <w:rFonts w:asciiTheme="minorHAnsi" w:hAnsiTheme="minorHAnsi" w:cstheme="minorHAnsi"/>
          <w:szCs w:val="24"/>
        </w:rPr>
        <w:t xml:space="preserve">assessed in the TOWER trial. The closest outcome available in TOWER was event-free survival (EFS). </w:t>
      </w:r>
      <w:r w:rsidR="0017034C" w:rsidRPr="002A7CC6">
        <w:rPr>
          <w:rFonts w:asciiTheme="minorHAnsi" w:hAnsiTheme="minorHAnsi" w:cstheme="minorHAnsi"/>
          <w:szCs w:val="24"/>
        </w:rPr>
        <w:t>Given the unconventional definition of PFS used in the INO-VATE ALL, a</w:t>
      </w:r>
      <w:r w:rsidRPr="002A7CC6">
        <w:rPr>
          <w:rFonts w:asciiTheme="minorHAnsi" w:hAnsiTheme="minorHAnsi" w:cstheme="minorHAnsi"/>
          <w:szCs w:val="24"/>
        </w:rPr>
        <w:t xml:space="preserve">n alternative sensitivity PFS reported in the </w:t>
      </w:r>
      <w:r w:rsidR="007D7344">
        <w:rPr>
          <w:rFonts w:asciiTheme="minorHAnsi" w:hAnsiTheme="minorHAnsi" w:cstheme="minorHAnsi"/>
          <w:szCs w:val="24"/>
        </w:rPr>
        <w:t>INO-VATE ALL</w:t>
      </w:r>
      <w:r w:rsidRPr="002A7CC6">
        <w:rPr>
          <w:rFonts w:asciiTheme="minorHAnsi" w:hAnsiTheme="minorHAnsi" w:cstheme="minorHAnsi"/>
          <w:szCs w:val="24"/>
        </w:rPr>
        <w:t xml:space="preserve"> trial (not provided for evaluation) was used in the indirect analyses, as it was claimed to have a definition more consistent with EFS in the TOWER trial.</w:t>
      </w:r>
    </w:p>
    <w:p w:rsidR="00AB2306" w:rsidRPr="002A7CC6" w:rsidRDefault="00E23148" w:rsidP="00007D60">
      <w:pPr>
        <w:pStyle w:val="ListParagraph"/>
        <w:widowControl/>
        <w:numPr>
          <w:ilvl w:val="1"/>
          <w:numId w:val="1"/>
        </w:numPr>
      </w:pPr>
      <w:r w:rsidRPr="002A7CC6">
        <w:rPr>
          <w:rFonts w:cs="Calibri"/>
          <w:snapToGrid/>
          <w:szCs w:val="24"/>
          <w:lang w:val="en-US" w:eastAsia="en-AU"/>
        </w:rPr>
        <w:t xml:space="preserve">Table </w:t>
      </w:r>
      <w:r w:rsidR="009A469F" w:rsidRPr="002A7CC6">
        <w:rPr>
          <w:rFonts w:cs="Calibri"/>
          <w:snapToGrid/>
          <w:szCs w:val="24"/>
          <w:lang w:val="en-US" w:eastAsia="en-AU"/>
        </w:rPr>
        <w:t>7</w:t>
      </w:r>
      <w:r w:rsidR="00AB2306" w:rsidRPr="002A7CC6">
        <w:rPr>
          <w:rFonts w:cs="Calibri"/>
          <w:snapToGrid/>
          <w:szCs w:val="24"/>
          <w:lang w:val="en-US" w:eastAsia="en-AU"/>
        </w:rPr>
        <w:t xml:space="preserve"> </w:t>
      </w:r>
      <w:r w:rsidR="00AB2306" w:rsidRPr="002A7CC6">
        <w:rPr>
          <w:rFonts w:cs="Calibri"/>
          <w:snapToGrid/>
          <w:szCs w:val="24"/>
          <w:lang w:eastAsia="en-AU"/>
        </w:rPr>
        <w:t>summarises</w:t>
      </w:r>
      <w:r w:rsidR="00AB2306" w:rsidRPr="002A7CC6">
        <w:rPr>
          <w:rFonts w:cs="Calibri"/>
          <w:snapToGrid/>
          <w:szCs w:val="24"/>
          <w:lang w:val="en-US" w:eastAsia="en-AU"/>
        </w:rPr>
        <w:t xml:space="preserve"> the </w:t>
      </w:r>
      <w:r w:rsidR="002F2E75" w:rsidRPr="002A7CC6">
        <w:rPr>
          <w:rFonts w:cs="Calibri"/>
          <w:snapToGrid/>
          <w:szCs w:val="24"/>
          <w:lang w:val="en-US" w:eastAsia="en-AU"/>
        </w:rPr>
        <w:t>EFS</w:t>
      </w:r>
      <w:r w:rsidR="00AB2306" w:rsidRPr="002A7CC6">
        <w:rPr>
          <w:rFonts w:cs="Calibri"/>
          <w:snapToGrid/>
          <w:szCs w:val="24"/>
          <w:lang w:val="en-US" w:eastAsia="en-AU"/>
        </w:rPr>
        <w:t xml:space="preserve"> outcomes from the </w:t>
      </w:r>
      <w:r w:rsidR="007D7344">
        <w:rPr>
          <w:rFonts w:cs="Calibri"/>
          <w:snapToGrid/>
          <w:szCs w:val="24"/>
          <w:lang w:val="en-US" w:eastAsia="en-AU"/>
        </w:rPr>
        <w:t>INO-VATE ALL</w:t>
      </w:r>
      <w:r w:rsidR="00AB2306" w:rsidRPr="002A7CC6">
        <w:rPr>
          <w:rFonts w:cs="Calibri"/>
          <w:snapToGrid/>
          <w:szCs w:val="24"/>
          <w:lang w:val="en-US" w:eastAsia="en-AU"/>
        </w:rPr>
        <w:t xml:space="preserve"> </w:t>
      </w:r>
      <w:r w:rsidR="00FC3047" w:rsidRPr="002A7CC6">
        <w:rPr>
          <w:rFonts w:cs="Calibri"/>
          <w:snapToGrid/>
          <w:szCs w:val="24"/>
          <w:lang w:val="en-US" w:eastAsia="en-AU"/>
        </w:rPr>
        <w:t xml:space="preserve">trial (using the sensitivity PFS outcome outlined above) </w:t>
      </w:r>
      <w:r w:rsidR="00AB2306" w:rsidRPr="002A7CC6">
        <w:rPr>
          <w:rFonts w:cs="Calibri"/>
          <w:snapToGrid/>
          <w:szCs w:val="24"/>
          <w:lang w:val="en-US" w:eastAsia="en-AU"/>
        </w:rPr>
        <w:t xml:space="preserve">and </w:t>
      </w:r>
      <w:r w:rsidR="00FC3047" w:rsidRPr="002A7CC6">
        <w:rPr>
          <w:rFonts w:cs="Calibri"/>
          <w:snapToGrid/>
          <w:szCs w:val="24"/>
          <w:lang w:val="en-US" w:eastAsia="en-AU"/>
        </w:rPr>
        <w:t xml:space="preserve">the </w:t>
      </w:r>
      <w:r w:rsidR="00AB2306" w:rsidRPr="002A7CC6">
        <w:rPr>
          <w:rFonts w:cs="Calibri"/>
          <w:snapToGrid/>
          <w:szCs w:val="24"/>
          <w:lang w:val="en-US" w:eastAsia="en-AU"/>
        </w:rPr>
        <w:t xml:space="preserve">TOWER trial, and the results of the indirect comparisons, including the </w:t>
      </w:r>
      <w:r w:rsidR="00FC3047" w:rsidRPr="002A7CC6">
        <w:rPr>
          <w:rFonts w:cs="Calibri"/>
          <w:snapToGrid/>
          <w:szCs w:val="24"/>
          <w:lang w:val="en-US" w:eastAsia="en-AU"/>
        </w:rPr>
        <w:t>MAICs</w:t>
      </w:r>
      <w:r w:rsidR="00AB2306" w:rsidRPr="002A7CC6">
        <w:rPr>
          <w:rFonts w:cs="Calibri"/>
          <w:snapToGrid/>
          <w:szCs w:val="24"/>
          <w:lang w:val="en-US" w:eastAsia="en-AU"/>
        </w:rPr>
        <w:t xml:space="preserve">. </w:t>
      </w:r>
    </w:p>
    <w:p w:rsidR="00FE491F" w:rsidRPr="002A7CC6" w:rsidRDefault="00FE491F" w:rsidP="00007D60">
      <w:pPr>
        <w:pStyle w:val="BodyText"/>
        <w:keepNext/>
        <w:keepLines/>
        <w:widowControl/>
        <w:rPr>
          <w:rFonts w:ascii="Arial Narrow" w:hAnsi="Arial Narrow"/>
          <w:b/>
          <w:sz w:val="20"/>
          <w:szCs w:val="20"/>
        </w:rPr>
      </w:pPr>
      <w:r w:rsidRPr="002A7CC6">
        <w:rPr>
          <w:rFonts w:ascii="Arial Narrow" w:hAnsi="Arial Narrow"/>
          <w:b/>
          <w:sz w:val="20"/>
          <w:szCs w:val="20"/>
        </w:rPr>
        <w:t xml:space="preserve">Table </w:t>
      </w:r>
      <w:r w:rsidR="009A469F" w:rsidRPr="002A7CC6">
        <w:rPr>
          <w:rFonts w:ascii="Arial Narrow" w:hAnsi="Arial Narrow"/>
          <w:b/>
          <w:sz w:val="20"/>
          <w:szCs w:val="20"/>
        </w:rPr>
        <w:t>7</w:t>
      </w:r>
      <w:r w:rsidRPr="002A7CC6">
        <w:rPr>
          <w:rFonts w:ascii="Arial Narrow" w:hAnsi="Arial Narrow"/>
          <w:b/>
          <w:sz w:val="20"/>
          <w:szCs w:val="20"/>
        </w:rPr>
        <w:t xml:space="preserve">: Indirect comparison of </w:t>
      </w:r>
      <w:r w:rsidR="00891B09" w:rsidRPr="002A7CC6">
        <w:rPr>
          <w:rFonts w:ascii="Arial Narrow" w:hAnsi="Arial Narrow"/>
          <w:b/>
          <w:sz w:val="20"/>
          <w:szCs w:val="20"/>
        </w:rPr>
        <w:t xml:space="preserve">median </w:t>
      </w:r>
      <w:r w:rsidRPr="002A7CC6">
        <w:rPr>
          <w:rFonts w:ascii="Arial Narrow" w:hAnsi="Arial Narrow"/>
          <w:b/>
          <w:sz w:val="20"/>
          <w:szCs w:val="20"/>
        </w:rPr>
        <w:t>event-free survival – inotuzumab versus blinatumomab (standard of care chemotherapy as common reference)</w:t>
      </w:r>
      <w:r w:rsidR="00E23148" w:rsidRPr="002A7CC6">
        <w:rPr>
          <w:rFonts w:ascii="Arial Narrow" w:hAnsi="Arial Narrow"/>
          <w:b/>
          <w:sz w:val="20"/>
          <w:szCs w:val="20"/>
        </w:rPr>
        <w:t xml:space="preserve"> </w:t>
      </w:r>
    </w:p>
    <w:tbl>
      <w:tblPr>
        <w:tblStyle w:val="TableGrid"/>
        <w:tblW w:w="0" w:type="auto"/>
        <w:tblInd w:w="-5" w:type="dxa"/>
        <w:tblLook w:val="04A0" w:firstRow="1" w:lastRow="0" w:firstColumn="1" w:lastColumn="0" w:noHBand="0" w:noVBand="1"/>
        <w:tblCaption w:val=": Indirect comparison of median event-free survival – inotuzumab versus blinatumomab (standard of care chemotherapy as common reference) "/>
      </w:tblPr>
      <w:tblGrid>
        <w:gridCol w:w="2201"/>
        <w:gridCol w:w="1776"/>
        <w:gridCol w:w="1781"/>
        <w:gridCol w:w="1783"/>
        <w:gridCol w:w="1481"/>
      </w:tblGrid>
      <w:tr w:rsidR="00FE491F" w:rsidRPr="002A7CC6" w:rsidTr="00872E39">
        <w:trPr>
          <w:cantSplit/>
          <w:tblHeader/>
        </w:trPr>
        <w:tc>
          <w:tcPr>
            <w:tcW w:w="2201" w:type="dxa"/>
            <w:vAlign w:val="center"/>
          </w:tcPr>
          <w:p w:rsidR="00FE491F" w:rsidRPr="002A7CC6" w:rsidRDefault="00FE491F" w:rsidP="00007D60">
            <w:pPr>
              <w:keepNext/>
              <w:keepLines/>
              <w:widowControl/>
              <w:jc w:val="left"/>
              <w:rPr>
                <w:rFonts w:ascii="Arial Narrow" w:hAnsi="Arial Narrow"/>
                <w:b/>
                <w:sz w:val="20"/>
              </w:rPr>
            </w:pPr>
            <w:r w:rsidRPr="002A7CC6">
              <w:rPr>
                <w:rFonts w:ascii="Arial Narrow" w:hAnsi="Arial Narrow"/>
                <w:b/>
                <w:sz w:val="20"/>
              </w:rPr>
              <w:t>Trial (analysis)</w:t>
            </w:r>
          </w:p>
        </w:tc>
        <w:tc>
          <w:tcPr>
            <w:tcW w:w="1776" w:type="dxa"/>
            <w:vAlign w:val="center"/>
          </w:tcPr>
          <w:p w:rsidR="00FE491F" w:rsidRPr="002A7CC6" w:rsidRDefault="00FE491F" w:rsidP="00007D60">
            <w:pPr>
              <w:keepNext/>
              <w:keepLines/>
              <w:widowControl/>
              <w:jc w:val="center"/>
              <w:rPr>
                <w:rFonts w:ascii="Arial Narrow" w:hAnsi="Arial Narrow"/>
                <w:b/>
                <w:sz w:val="20"/>
              </w:rPr>
            </w:pPr>
            <w:r w:rsidRPr="002A7CC6">
              <w:rPr>
                <w:rFonts w:ascii="Arial Narrow" w:hAnsi="Arial Narrow"/>
                <w:b/>
                <w:sz w:val="20"/>
              </w:rPr>
              <w:t>Inotuzumab</w:t>
            </w:r>
          </w:p>
          <w:p w:rsidR="00E23148" w:rsidRPr="002A7CC6" w:rsidRDefault="00E23148" w:rsidP="00007D60">
            <w:pPr>
              <w:keepNext/>
              <w:keepLines/>
              <w:widowControl/>
              <w:jc w:val="center"/>
              <w:rPr>
                <w:rFonts w:ascii="Arial Narrow" w:hAnsi="Arial Narrow"/>
                <w:b/>
                <w:sz w:val="20"/>
              </w:rPr>
            </w:pPr>
            <w:r w:rsidRPr="002A7CC6">
              <w:rPr>
                <w:rFonts w:ascii="Arial Narrow" w:hAnsi="Arial Narrow"/>
                <w:b/>
                <w:sz w:val="20"/>
              </w:rPr>
              <w:t>(sensitivity PFS)</w:t>
            </w:r>
          </w:p>
        </w:tc>
        <w:tc>
          <w:tcPr>
            <w:tcW w:w="1781" w:type="dxa"/>
            <w:vAlign w:val="center"/>
          </w:tcPr>
          <w:p w:rsidR="00FE491F" w:rsidRPr="002A7CC6" w:rsidRDefault="00FE491F" w:rsidP="00007D60">
            <w:pPr>
              <w:keepNext/>
              <w:keepLines/>
              <w:widowControl/>
              <w:jc w:val="center"/>
              <w:rPr>
                <w:rFonts w:ascii="Arial Narrow" w:hAnsi="Arial Narrow"/>
                <w:b/>
                <w:sz w:val="20"/>
              </w:rPr>
            </w:pPr>
            <w:r w:rsidRPr="002A7CC6">
              <w:rPr>
                <w:rFonts w:ascii="Arial Narrow" w:hAnsi="Arial Narrow"/>
                <w:b/>
                <w:sz w:val="20"/>
              </w:rPr>
              <w:t>SOC chemotherapy</w:t>
            </w:r>
          </w:p>
        </w:tc>
        <w:tc>
          <w:tcPr>
            <w:tcW w:w="1783" w:type="dxa"/>
            <w:vAlign w:val="center"/>
          </w:tcPr>
          <w:p w:rsidR="00FE491F" w:rsidRPr="002A7CC6" w:rsidRDefault="00FE491F" w:rsidP="00007D60">
            <w:pPr>
              <w:keepNext/>
              <w:keepLines/>
              <w:widowControl/>
              <w:jc w:val="center"/>
              <w:rPr>
                <w:rFonts w:ascii="Arial Narrow" w:hAnsi="Arial Narrow"/>
                <w:b/>
                <w:sz w:val="20"/>
              </w:rPr>
            </w:pPr>
            <w:r w:rsidRPr="002A7CC6">
              <w:rPr>
                <w:rFonts w:ascii="Arial Narrow" w:hAnsi="Arial Narrow"/>
                <w:b/>
                <w:sz w:val="20"/>
              </w:rPr>
              <w:t>Blinatumomab</w:t>
            </w:r>
          </w:p>
          <w:p w:rsidR="00FC3047" w:rsidRPr="002A7CC6" w:rsidRDefault="00FC3047" w:rsidP="00007D60">
            <w:pPr>
              <w:keepNext/>
              <w:keepLines/>
              <w:widowControl/>
              <w:jc w:val="center"/>
              <w:rPr>
                <w:rFonts w:ascii="Arial Narrow" w:hAnsi="Arial Narrow"/>
                <w:b/>
                <w:sz w:val="20"/>
              </w:rPr>
            </w:pPr>
            <w:r w:rsidRPr="002A7CC6">
              <w:rPr>
                <w:rFonts w:ascii="Arial Narrow" w:hAnsi="Arial Narrow"/>
                <w:b/>
                <w:sz w:val="20"/>
              </w:rPr>
              <w:t>(event free survival)</w:t>
            </w:r>
          </w:p>
        </w:tc>
        <w:tc>
          <w:tcPr>
            <w:tcW w:w="1481" w:type="dxa"/>
            <w:vAlign w:val="center"/>
          </w:tcPr>
          <w:p w:rsidR="00FE491F" w:rsidRPr="002A7CC6" w:rsidRDefault="00FE491F" w:rsidP="00007D60">
            <w:pPr>
              <w:keepNext/>
              <w:keepLines/>
              <w:widowControl/>
              <w:jc w:val="center"/>
              <w:rPr>
                <w:rFonts w:ascii="Arial Narrow" w:hAnsi="Arial Narrow"/>
                <w:b/>
                <w:sz w:val="20"/>
              </w:rPr>
            </w:pPr>
            <w:r w:rsidRPr="002A7CC6">
              <w:rPr>
                <w:rFonts w:ascii="Arial Narrow" w:hAnsi="Arial Narrow"/>
                <w:b/>
                <w:sz w:val="20"/>
              </w:rPr>
              <w:t>HR</w:t>
            </w:r>
            <w:r w:rsidR="00A23B0B" w:rsidRPr="002A7CC6">
              <w:rPr>
                <w:rFonts w:ascii="Arial Narrow" w:hAnsi="Arial Narrow"/>
                <w:b/>
                <w:sz w:val="20"/>
              </w:rPr>
              <w:t xml:space="preserve"> (95% CI)</w:t>
            </w:r>
          </w:p>
        </w:tc>
      </w:tr>
      <w:tr w:rsidR="00FE491F" w:rsidRPr="002A7CC6" w:rsidTr="00891B09">
        <w:tc>
          <w:tcPr>
            <w:tcW w:w="9022" w:type="dxa"/>
            <w:gridSpan w:val="5"/>
            <w:vAlign w:val="center"/>
          </w:tcPr>
          <w:p w:rsidR="00891B09" w:rsidRPr="002A7CC6" w:rsidRDefault="00891B09" w:rsidP="00007D60">
            <w:pPr>
              <w:keepNext/>
              <w:keepLines/>
              <w:widowControl/>
              <w:jc w:val="left"/>
              <w:rPr>
                <w:rFonts w:ascii="Arial Narrow" w:hAnsi="Arial Narrow"/>
                <w:b/>
                <w:sz w:val="20"/>
              </w:rPr>
            </w:pPr>
            <w:r w:rsidRPr="002A7CC6">
              <w:rPr>
                <w:rFonts w:ascii="Arial Narrow" w:hAnsi="Arial Narrow"/>
                <w:b/>
                <w:sz w:val="20"/>
              </w:rPr>
              <w:t>Formal</w:t>
            </w:r>
            <w:r w:rsidR="006E7DCE" w:rsidRPr="002A7CC6">
              <w:rPr>
                <w:rFonts w:ascii="Arial Narrow" w:hAnsi="Arial Narrow"/>
                <w:b/>
                <w:sz w:val="20"/>
              </w:rPr>
              <w:t xml:space="preserve"> indirect analysis median event-</w:t>
            </w:r>
            <w:r w:rsidRPr="002A7CC6">
              <w:rPr>
                <w:rFonts w:ascii="Arial Narrow" w:hAnsi="Arial Narrow"/>
                <w:b/>
                <w:sz w:val="20"/>
              </w:rPr>
              <w:t>free survival</w:t>
            </w:r>
            <w:r w:rsidR="00E23148" w:rsidRPr="002A7CC6">
              <w:rPr>
                <w:rFonts w:ascii="Arial Narrow" w:hAnsi="Arial Narrow"/>
                <w:b/>
                <w:sz w:val="20"/>
              </w:rPr>
              <w:t xml:space="preserve"> (95% CI)</w:t>
            </w:r>
          </w:p>
        </w:tc>
      </w:tr>
      <w:tr w:rsidR="00FE491F" w:rsidRPr="002A7CC6" w:rsidTr="00891B09">
        <w:tc>
          <w:tcPr>
            <w:tcW w:w="2201" w:type="dxa"/>
            <w:vAlign w:val="center"/>
          </w:tcPr>
          <w:p w:rsidR="00FE491F" w:rsidRPr="002A7CC6" w:rsidRDefault="007D7344" w:rsidP="00007D60">
            <w:pPr>
              <w:keepNext/>
              <w:keepLines/>
              <w:widowControl/>
              <w:jc w:val="left"/>
              <w:rPr>
                <w:rFonts w:ascii="Arial Narrow" w:hAnsi="Arial Narrow"/>
                <w:sz w:val="20"/>
              </w:rPr>
            </w:pPr>
            <w:r>
              <w:rPr>
                <w:rFonts w:ascii="Arial Narrow" w:hAnsi="Arial Narrow"/>
                <w:sz w:val="20"/>
              </w:rPr>
              <w:t>INO-VATE ALL</w:t>
            </w:r>
          </w:p>
          <w:p w:rsidR="00FE491F" w:rsidRPr="002A7CC6" w:rsidRDefault="00FE491F" w:rsidP="00007D60">
            <w:pPr>
              <w:keepNext/>
              <w:keepLines/>
              <w:widowControl/>
              <w:jc w:val="left"/>
              <w:rPr>
                <w:rFonts w:ascii="Arial Narrow" w:hAnsi="Arial Narrow"/>
                <w:sz w:val="20"/>
              </w:rPr>
            </w:pPr>
            <w:r w:rsidRPr="002A7CC6">
              <w:rPr>
                <w:rFonts w:ascii="Arial Narrow" w:hAnsi="Arial Narrow"/>
                <w:sz w:val="20"/>
              </w:rPr>
              <w:t>(LPLV)</w:t>
            </w:r>
          </w:p>
        </w:tc>
        <w:tc>
          <w:tcPr>
            <w:tcW w:w="1776"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N=164</w:t>
            </w:r>
          </w:p>
          <w:p w:rsidR="00FE491F" w:rsidRPr="002A7CC6" w:rsidRDefault="00FE491F" w:rsidP="00007D60">
            <w:pPr>
              <w:pStyle w:val="NoSpacing"/>
              <w:keepNext/>
              <w:keepLines/>
              <w:widowControl/>
              <w:ind w:left="-74" w:right="-81"/>
              <w:jc w:val="center"/>
              <w:rPr>
                <w:rFonts w:ascii="Arial Narrow" w:hAnsi="Arial Narrow"/>
                <w:sz w:val="20"/>
              </w:rPr>
            </w:pPr>
            <w:r w:rsidRPr="002A7CC6">
              <w:rPr>
                <w:rFonts w:ascii="Arial Narrow" w:hAnsi="Arial Narrow"/>
                <w:sz w:val="20"/>
              </w:rPr>
              <w:t>Not estimable</w:t>
            </w:r>
          </w:p>
        </w:tc>
        <w:tc>
          <w:tcPr>
            <w:tcW w:w="1781"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N=162</w:t>
            </w:r>
          </w:p>
          <w:p w:rsidR="00FE491F" w:rsidRPr="002A7CC6" w:rsidRDefault="00FE491F" w:rsidP="00007D60">
            <w:pPr>
              <w:pStyle w:val="NoSpacing"/>
              <w:keepNext/>
              <w:keepLines/>
              <w:widowControl/>
              <w:ind w:left="-74" w:right="-81"/>
              <w:jc w:val="center"/>
              <w:rPr>
                <w:rFonts w:ascii="Arial Narrow" w:hAnsi="Arial Narrow"/>
                <w:sz w:val="20"/>
              </w:rPr>
            </w:pPr>
            <w:r w:rsidRPr="002A7CC6">
              <w:rPr>
                <w:rFonts w:ascii="Arial Narrow" w:hAnsi="Arial Narrow"/>
                <w:sz w:val="20"/>
              </w:rPr>
              <w:t>Not estimable</w:t>
            </w:r>
          </w:p>
        </w:tc>
        <w:tc>
          <w:tcPr>
            <w:tcW w:w="1783" w:type="dxa"/>
            <w:vAlign w:val="center"/>
          </w:tcPr>
          <w:p w:rsidR="00FE491F" w:rsidRPr="002A7CC6" w:rsidRDefault="00FE491F" w:rsidP="00007D60">
            <w:pPr>
              <w:keepNext/>
              <w:keepLines/>
              <w:widowControl/>
              <w:jc w:val="center"/>
              <w:rPr>
                <w:rFonts w:ascii="Arial Narrow" w:hAnsi="Arial Narrow"/>
                <w:sz w:val="20"/>
              </w:rPr>
            </w:pPr>
            <w:r w:rsidRPr="002A7CC6">
              <w:rPr>
                <w:rFonts w:ascii="Arial Narrow" w:hAnsi="Arial Narrow"/>
                <w:sz w:val="20"/>
              </w:rPr>
              <w:t>-</w:t>
            </w:r>
          </w:p>
        </w:tc>
        <w:tc>
          <w:tcPr>
            <w:tcW w:w="1481" w:type="dxa"/>
            <w:vAlign w:val="center"/>
          </w:tcPr>
          <w:p w:rsidR="00FE491F" w:rsidRPr="002A7CC6" w:rsidRDefault="00FE491F"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0.47 (0.36, 0.60)</w:t>
            </w:r>
          </w:p>
        </w:tc>
      </w:tr>
      <w:tr w:rsidR="00FE491F" w:rsidRPr="002A7CC6" w:rsidTr="00891B09">
        <w:tc>
          <w:tcPr>
            <w:tcW w:w="2201" w:type="dxa"/>
            <w:vAlign w:val="center"/>
          </w:tcPr>
          <w:p w:rsidR="00FE491F" w:rsidRPr="002A7CC6" w:rsidRDefault="00FE491F" w:rsidP="00007D60">
            <w:pPr>
              <w:keepNext/>
              <w:keepLines/>
              <w:widowControl/>
              <w:jc w:val="left"/>
              <w:rPr>
                <w:rFonts w:ascii="Arial Narrow" w:hAnsi="Arial Narrow"/>
                <w:sz w:val="20"/>
              </w:rPr>
            </w:pPr>
            <w:r w:rsidRPr="002A7CC6">
              <w:rPr>
                <w:rFonts w:ascii="Arial Narrow" w:hAnsi="Arial Narrow"/>
                <w:sz w:val="20"/>
              </w:rPr>
              <w:t>TOWER (ITT)</w:t>
            </w:r>
          </w:p>
        </w:tc>
        <w:tc>
          <w:tcPr>
            <w:tcW w:w="1776" w:type="dxa"/>
            <w:vAlign w:val="center"/>
          </w:tcPr>
          <w:p w:rsidR="00FE491F" w:rsidRPr="002A7CC6" w:rsidRDefault="00FE491F" w:rsidP="00007D60">
            <w:pPr>
              <w:keepNext/>
              <w:keepLines/>
              <w:widowControl/>
              <w:jc w:val="center"/>
              <w:rPr>
                <w:rFonts w:ascii="Arial Narrow" w:hAnsi="Arial Narrow"/>
                <w:sz w:val="20"/>
              </w:rPr>
            </w:pPr>
            <w:r w:rsidRPr="002A7CC6">
              <w:rPr>
                <w:rFonts w:ascii="Arial Narrow" w:hAnsi="Arial Narrow"/>
                <w:sz w:val="20"/>
              </w:rPr>
              <w:t>-</w:t>
            </w:r>
          </w:p>
        </w:tc>
        <w:tc>
          <w:tcPr>
            <w:tcW w:w="1781"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N=134</w:t>
            </w:r>
          </w:p>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Not estimable</w:t>
            </w:r>
          </w:p>
        </w:tc>
        <w:tc>
          <w:tcPr>
            <w:tcW w:w="1783"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N=271</w:t>
            </w:r>
          </w:p>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Not estimable</w:t>
            </w:r>
          </w:p>
        </w:tc>
        <w:tc>
          <w:tcPr>
            <w:tcW w:w="1481"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0.55 (0.43, 0.71)</w:t>
            </w:r>
          </w:p>
        </w:tc>
      </w:tr>
      <w:tr w:rsidR="00FE491F" w:rsidRPr="002A7CC6" w:rsidTr="00891B09">
        <w:tc>
          <w:tcPr>
            <w:tcW w:w="7541" w:type="dxa"/>
            <w:gridSpan w:val="4"/>
            <w:vAlign w:val="center"/>
          </w:tcPr>
          <w:p w:rsidR="00FE491F" w:rsidRPr="002A7CC6" w:rsidRDefault="00FE491F" w:rsidP="00007D60">
            <w:pPr>
              <w:keepNext/>
              <w:keepLines/>
              <w:widowControl/>
              <w:jc w:val="left"/>
              <w:rPr>
                <w:rFonts w:ascii="Arial Narrow" w:hAnsi="Arial Narrow"/>
                <w:sz w:val="20"/>
              </w:rPr>
            </w:pPr>
            <w:r w:rsidRPr="002A7CC6">
              <w:rPr>
                <w:rFonts w:ascii="Arial Narrow" w:hAnsi="Arial Narrow"/>
                <w:sz w:val="20"/>
              </w:rPr>
              <w:t>Indirect analysis of inotuzumab vs. blinatumomab</w:t>
            </w:r>
          </w:p>
        </w:tc>
        <w:tc>
          <w:tcPr>
            <w:tcW w:w="1481"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0.85 (0.60, 1.20)</w:t>
            </w:r>
          </w:p>
        </w:tc>
      </w:tr>
      <w:tr w:rsidR="00891B09" w:rsidRPr="002A7CC6" w:rsidTr="008E18D1">
        <w:tc>
          <w:tcPr>
            <w:tcW w:w="9022" w:type="dxa"/>
            <w:gridSpan w:val="5"/>
            <w:tcBorders>
              <w:top w:val="double" w:sz="4" w:space="0" w:color="auto"/>
            </w:tcBorders>
            <w:vAlign w:val="center"/>
          </w:tcPr>
          <w:p w:rsidR="00891B09" w:rsidRPr="002A7CC6" w:rsidRDefault="00891B09" w:rsidP="00007D60">
            <w:pPr>
              <w:pStyle w:val="NoSpacing"/>
              <w:keepNext/>
              <w:keepLines/>
              <w:widowControl/>
              <w:ind w:left="-74" w:right="-81"/>
              <w:jc w:val="left"/>
              <w:rPr>
                <w:rFonts w:ascii="Arial Narrow" w:hAnsi="Arial Narrow"/>
                <w:b/>
                <w:kern w:val="24"/>
                <w:sz w:val="20"/>
              </w:rPr>
            </w:pPr>
            <w:r w:rsidRPr="002A7CC6">
              <w:rPr>
                <w:rFonts w:ascii="Arial Narrow" w:hAnsi="Arial Narrow"/>
                <w:b/>
                <w:kern w:val="24"/>
                <w:sz w:val="20"/>
              </w:rPr>
              <w:t xml:space="preserve">MAIC </w:t>
            </w:r>
            <w:r w:rsidRPr="002A7CC6">
              <w:rPr>
                <w:rFonts w:ascii="Arial Narrow" w:hAnsi="Arial Narrow"/>
                <w:b/>
                <w:sz w:val="20"/>
              </w:rPr>
              <w:t>(</w:t>
            </w:r>
            <w:r w:rsidR="007D7344">
              <w:rPr>
                <w:rFonts w:ascii="Arial Narrow" w:hAnsi="Arial Narrow"/>
                <w:b/>
                <w:sz w:val="20"/>
              </w:rPr>
              <w:t>INO-VATE ALL</w:t>
            </w:r>
            <w:r w:rsidRPr="002A7CC6">
              <w:rPr>
                <w:rFonts w:ascii="Arial Narrow" w:hAnsi="Arial Narrow"/>
                <w:b/>
                <w:sz w:val="20"/>
              </w:rPr>
              <w:t xml:space="preserve"> restricted set)</w:t>
            </w:r>
            <w:r w:rsidR="006E7DCE" w:rsidRPr="002A7CC6">
              <w:rPr>
                <w:rFonts w:ascii="Arial Narrow" w:hAnsi="Arial Narrow"/>
                <w:b/>
                <w:sz w:val="20"/>
              </w:rPr>
              <w:t xml:space="preserve"> median event-</w:t>
            </w:r>
            <w:r w:rsidR="00E23148" w:rsidRPr="002A7CC6">
              <w:rPr>
                <w:rFonts w:ascii="Arial Narrow" w:hAnsi="Arial Narrow"/>
                <w:b/>
                <w:sz w:val="20"/>
              </w:rPr>
              <w:t>free survival (95% CI)</w:t>
            </w:r>
          </w:p>
        </w:tc>
      </w:tr>
      <w:tr w:rsidR="00FE491F" w:rsidRPr="002A7CC6" w:rsidTr="00891B09">
        <w:tc>
          <w:tcPr>
            <w:tcW w:w="2201" w:type="dxa"/>
            <w:vAlign w:val="center"/>
          </w:tcPr>
          <w:p w:rsidR="00FE491F" w:rsidRPr="002A7CC6" w:rsidRDefault="007D7344" w:rsidP="00007D60">
            <w:pPr>
              <w:keepNext/>
              <w:keepLines/>
              <w:widowControl/>
              <w:jc w:val="left"/>
              <w:rPr>
                <w:rFonts w:ascii="Arial Narrow" w:hAnsi="Arial Narrow"/>
                <w:sz w:val="20"/>
              </w:rPr>
            </w:pPr>
            <w:r>
              <w:rPr>
                <w:rFonts w:ascii="Arial Narrow" w:hAnsi="Arial Narrow"/>
                <w:sz w:val="20"/>
              </w:rPr>
              <w:t>INO-VATE ALL</w:t>
            </w:r>
          </w:p>
          <w:p w:rsidR="00FE491F" w:rsidRPr="002A7CC6" w:rsidRDefault="00FE491F" w:rsidP="00007D60">
            <w:pPr>
              <w:keepNext/>
              <w:keepLines/>
              <w:widowControl/>
              <w:jc w:val="left"/>
              <w:rPr>
                <w:rFonts w:ascii="Arial Narrow" w:hAnsi="Arial Narrow"/>
                <w:sz w:val="20"/>
              </w:rPr>
            </w:pPr>
            <w:r w:rsidRPr="002A7CC6">
              <w:rPr>
                <w:rFonts w:ascii="Arial Narrow" w:hAnsi="Arial Narrow"/>
                <w:sz w:val="20"/>
              </w:rPr>
              <w:t>(MAIC restricted set)</w:t>
            </w:r>
          </w:p>
        </w:tc>
        <w:tc>
          <w:tcPr>
            <w:tcW w:w="1776"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N=83</w:t>
            </w:r>
          </w:p>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Not estimable</w:t>
            </w:r>
          </w:p>
        </w:tc>
        <w:tc>
          <w:tcPr>
            <w:tcW w:w="1781" w:type="dxa"/>
            <w:vAlign w:val="center"/>
          </w:tcPr>
          <w:p w:rsidR="00FE491F" w:rsidRPr="002A7CC6" w:rsidRDefault="00FE491F" w:rsidP="00007D60">
            <w:pPr>
              <w:keepNext/>
              <w:keepLines/>
              <w:widowControl/>
              <w:jc w:val="center"/>
              <w:rPr>
                <w:rFonts w:ascii="Arial Narrow" w:hAnsi="Arial Narrow"/>
                <w:sz w:val="20"/>
              </w:rPr>
            </w:pPr>
            <w:r w:rsidRPr="002A7CC6">
              <w:rPr>
                <w:rFonts w:ascii="Arial Narrow" w:hAnsi="Arial Narrow"/>
                <w:sz w:val="20"/>
              </w:rPr>
              <w:t>N=75</w:t>
            </w:r>
          </w:p>
          <w:p w:rsidR="00FE491F" w:rsidRPr="002A7CC6" w:rsidRDefault="00FE491F" w:rsidP="00007D60">
            <w:pPr>
              <w:keepNext/>
              <w:keepLines/>
              <w:widowControl/>
              <w:jc w:val="center"/>
              <w:rPr>
                <w:rFonts w:ascii="Arial Narrow" w:hAnsi="Arial Narrow"/>
                <w:sz w:val="20"/>
              </w:rPr>
            </w:pPr>
            <w:r w:rsidRPr="002A7CC6">
              <w:rPr>
                <w:rFonts w:ascii="Arial Narrow" w:hAnsi="Arial Narrow"/>
                <w:sz w:val="20"/>
              </w:rPr>
              <w:t>Not estimable</w:t>
            </w:r>
          </w:p>
        </w:tc>
        <w:tc>
          <w:tcPr>
            <w:tcW w:w="1783" w:type="dxa"/>
            <w:vAlign w:val="center"/>
          </w:tcPr>
          <w:p w:rsidR="00FE491F" w:rsidRPr="002A7CC6" w:rsidRDefault="00FE491F" w:rsidP="00007D60">
            <w:pPr>
              <w:keepNext/>
              <w:keepLines/>
              <w:widowControl/>
              <w:jc w:val="center"/>
              <w:rPr>
                <w:rFonts w:ascii="Arial Narrow" w:hAnsi="Arial Narrow"/>
                <w:sz w:val="20"/>
              </w:rPr>
            </w:pPr>
            <w:r w:rsidRPr="002A7CC6">
              <w:rPr>
                <w:rFonts w:ascii="Arial Narrow" w:hAnsi="Arial Narrow"/>
                <w:sz w:val="20"/>
              </w:rPr>
              <w:t>-</w:t>
            </w:r>
          </w:p>
        </w:tc>
        <w:tc>
          <w:tcPr>
            <w:tcW w:w="1481"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0.40 (0.28, 0.57)</w:t>
            </w:r>
          </w:p>
        </w:tc>
      </w:tr>
      <w:tr w:rsidR="00D40C7D" w:rsidRPr="002A7CC6" w:rsidTr="00891B09">
        <w:tc>
          <w:tcPr>
            <w:tcW w:w="2201" w:type="dxa"/>
            <w:vAlign w:val="center"/>
          </w:tcPr>
          <w:p w:rsidR="00D40C7D" w:rsidRPr="002A7CC6" w:rsidRDefault="00D40C7D" w:rsidP="00007D60">
            <w:pPr>
              <w:keepNext/>
              <w:keepLines/>
              <w:widowControl/>
              <w:jc w:val="left"/>
              <w:rPr>
                <w:rFonts w:ascii="Arial Narrow" w:hAnsi="Arial Narrow"/>
                <w:sz w:val="20"/>
              </w:rPr>
            </w:pPr>
            <w:r w:rsidRPr="002A7CC6">
              <w:rPr>
                <w:rFonts w:ascii="Arial Narrow" w:hAnsi="Arial Narrow"/>
                <w:sz w:val="20"/>
              </w:rPr>
              <w:t>TOWER (ITT)</w:t>
            </w:r>
          </w:p>
        </w:tc>
        <w:tc>
          <w:tcPr>
            <w:tcW w:w="1776" w:type="dxa"/>
            <w:vAlign w:val="center"/>
          </w:tcPr>
          <w:p w:rsidR="00D40C7D" w:rsidRPr="002A7CC6" w:rsidRDefault="00D40C7D" w:rsidP="00007D60">
            <w:pPr>
              <w:keepNext/>
              <w:keepLines/>
              <w:widowControl/>
              <w:jc w:val="center"/>
              <w:rPr>
                <w:rFonts w:ascii="Arial Narrow" w:hAnsi="Arial Narrow"/>
                <w:sz w:val="20"/>
              </w:rPr>
            </w:pPr>
            <w:r w:rsidRPr="002A7CC6">
              <w:rPr>
                <w:rFonts w:ascii="Arial Narrow" w:hAnsi="Arial Narrow"/>
                <w:sz w:val="20"/>
              </w:rPr>
              <w:t>-</w:t>
            </w:r>
          </w:p>
        </w:tc>
        <w:tc>
          <w:tcPr>
            <w:tcW w:w="1781" w:type="dxa"/>
            <w:vAlign w:val="center"/>
          </w:tcPr>
          <w:p w:rsidR="00D40C7D" w:rsidRPr="002A7CC6" w:rsidRDefault="00D40C7D"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N=134</w:t>
            </w:r>
          </w:p>
          <w:p w:rsidR="00D40C7D" w:rsidRPr="002A7CC6" w:rsidRDefault="00D40C7D"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Not estimable</w:t>
            </w:r>
          </w:p>
        </w:tc>
        <w:tc>
          <w:tcPr>
            <w:tcW w:w="1783" w:type="dxa"/>
            <w:vAlign w:val="center"/>
          </w:tcPr>
          <w:p w:rsidR="00D40C7D" w:rsidRPr="002A7CC6" w:rsidRDefault="00D40C7D"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N=271</w:t>
            </w:r>
          </w:p>
          <w:p w:rsidR="00D40C7D" w:rsidRPr="002A7CC6" w:rsidRDefault="00D40C7D"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Not estimable</w:t>
            </w:r>
          </w:p>
        </w:tc>
        <w:tc>
          <w:tcPr>
            <w:tcW w:w="1481" w:type="dxa"/>
            <w:vAlign w:val="center"/>
          </w:tcPr>
          <w:p w:rsidR="00D40C7D" w:rsidRPr="002A7CC6" w:rsidRDefault="00D40C7D"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0.55 (0.43, 0.71)</w:t>
            </w:r>
          </w:p>
        </w:tc>
      </w:tr>
      <w:tr w:rsidR="00FE491F" w:rsidRPr="002A7CC6" w:rsidTr="00891B09">
        <w:tc>
          <w:tcPr>
            <w:tcW w:w="7541" w:type="dxa"/>
            <w:gridSpan w:val="4"/>
            <w:vAlign w:val="center"/>
          </w:tcPr>
          <w:p w:rsidR="00FE491F" w:rsidRPr="002A7CC6" w:rsidRDefault="00FE491F" w:rsidP="00007D60">
            <w:pPr>
              <w:keepNext/>
              <w:keepLines/>
              <w:widowControl/>
              <w:jc w:val="left"/>
              <w:rPr>
                <w:rFonts w:ascii="Arial Narrow" w:hAnsi="Arial Narrow"/>
                <w:sz w:val="20"/>
              </w:rPr>
            </w:pPr>
            <w:r w:rsidRPr="002A7CC6">
              <w:rPr>
                <w:rFonts w:ascii="Arial Narrow" w:hAnsi="Arial Narrow"/>
                <w:sz w:val="20"/>
              </w:rPr>
              <w:t>Matching adjusted indirect analysis of inotuzumab vs. blinatumomab (</w:t>
            </w:r>
            <w:r w:rsidR="007D7344">
              <w:rPr>
                <w:rFonts w:ascii="Arial Narrow" w:hAnsi="Arial Narrow"/>
                <w:sz w:val="20"/>
              </w:rPr>
              <w:t>INO-VATE ALL</w:t>
            </w:r>
            <w:r w:rsidRPr="002A7CC6">
              <w:rPr>
                <w:rFonts w:ascii="Arial Narrow" w:hAnsi="Arial Narrow"/>
                <w:sz w:val="20"/>
              </w:rPr>
              <w:t xml:space="preserve"> restricted set)</w:t>
            </w:r>
          </w:p>
        </w:tc>
        <w:tc>
          <w:tcPr>
            <w:tcW w:w="1481" w:type="dxa"/>
            <w:vAlign w:val="center"/>
          </w:tcPr>
          <w:p w:rsidR="00FE491F" w:rsidRPr="002A7CC6" w:rsidRDefault="00FE491F"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0.73 (0.47, 1.13)</w:t>
            </w:r>
          </w:p>
        </w:tc>
      </w:tr>
      <w:tr w:rsidR="00891B09" w:rsidRPr="002A7CC6" w:rsidTr="008E18D1">
        <w:tc>
          <w:tcPr>
            <w:tcW w:w="9022" w:type="dxa"/>
            <w:gridSpan w:val="5"/>
            <w:tcBorders>
              <w:top w:val="double" w:sz="4" w:space="0" w:color="auto"/>
            </w:tcBorders>
            <w:vAlign w:val="center"/>
          </w:tcPr>
          <w:p w:rsidR="00891B09" w:rsidRPr="002A7CC6" w:rsidRDefault="00891B09" w:rsidP="00007D60">
            <w:pPr>
              <w:pStyle w:val="NoSpacing"/>
              <w:keepNext/>
              <w:keepLines/>
              <w:widowControl/>
              <w:ind w:left="-74" w:right="-81"/>
              <w:jc w:val="left"/>
              <w:rPr>
                <w:rFonts w:ascii="Arial Narrow" w:hAnsi="Arial Narrow"/>
                <w:kern w:val="24"/>
                <w:sz w:val="20"/>
              </w:rPr>
            </w:pPr>
            <w:r w:rsidRPr="002A7CC6">
              <w:rPr>
                <w:rFonts w:ascii="Arial Narrow" w:hAnsi="Arial Narrow"/>
                <w:b/>
                <w:kern w:val="24"/>
                <w:sz w:val="20"/>
              </w:rPr>
              <w:t xml:space="preserve">MAIC </w:t>
            </w:r>
            <w:r w:rsidRPr="002A7CC6">
              <w:rPr>
                <w:rFonts w:ascii="Arial Narrow" w:hAnsi="Arial Narrow"/>
                <w:b/>
                <w:sz w:val="20"/>
              </w:rPr>
              <w:t>(</w:t>
            </w:r>
            <w:r w:rsidR="007D7344">
              <w:rPr>
                <w:rFonts w:ascii="Arial Narrow" w:hAnsi="Arial Narrow"/>
                <w:b/>
                <w:sz w:val="20"/>
              </w:rPr>
              <w:t>INO-VATE ALL</w:t>
            </w:r>
            <w:r w:rsidRPr="002A7CC6">
              <w:rPr>
                <w:rFonts w:ascii="Arial Narrow" w:hAnsi="Arial Narrow"/>
                <w:b/>
                <w:sz w:val="20"/>
              </w:rPr>
              <w:t xml:space="preserve"> full set)</w:t>
            </w:r>
            <w:r w:rsidR="006E7DCE" w:rsidRPr="002A7CC6">
              <w:rPr>
                <w:rFonts w:ascii="Arial Narrow" w:hAnsi="Arial Narrow"/>
                <w:b/>
                <w:sz w:val="20"/>
              </w:rPr>
              <w:t xml:space="preserve"> median event-</w:t>
            </w:r>
            <w:r w:rsidR="00E23148" w:rsidRPr="002A7CC6">
              <w:rPr>
                <w:rFonts w:ascii="Arial Narrow" w:hAnsi="Arial Narrow"/>
                <w:b/>
                <w:sz w:val="20"/>
              </w:rPr>
              <w:t>free survival (95% CI)</w:t>
            </w:r>
          </w:p>
        </w:tc>
      </w:tr>
      <w:tr w:rsidR="00FE491F" w:rsidRPr="0066255E" w:rsidTr="00891B09">
        <w:tc>
          <w:tcPr>
            <w:tcW w:w="2201" w:type="dxa"/>
            <w:vAlign w:val="center"/>
          </w:tcPr>
          <w:p w:rsidR="00FE491F" w:rsidRPr="0066255E" w:rsidRDefault="007D7344" w:rsidP="00007D60">
            <w:pPr>
              <w:keepNext/>
              <w:keepLines/>
              <w:widowControl/>
              <w:jc w:val="left"/>
              <w:rPr>
                <w:rFonts w:ascii="Arial Narrow" w:hAnsi="Arial Narrow"/>
                <w:sz w:val="20"/>
              </w:rPr>
            </w:pPr>
            <w:r w:rsidRPr="0066255E">
              <w:rPr>
                <w:rFonts w:ascii="Arial Narrow" w:hAnsi="Arial Narrow"/>
                <w:sz w:val="20"/>
              </w:rPr>
              <w:t>INO-VATE ALL</w:t>
            </w:r>
          </w:p>
          <w:p w:rsidR="00FE491F" w:rsidRPr="0066255E" w:rsidRDefault="00FE491F" w:rsidP="00007D60">
            <w:pPr>
              <w:keepNext/>
              <w:keepLines/>
              <w:widowControl/>
              <w:jc w:val="left"/>
              <w:rPr>
                <w:rFonts w:ascii="Arial Narrow" w:hAnsi="Arial Narrow"/>
                <w:sz w:val="20"/>
              </w:rPr>
            </w:pPr>
            <w:r w:rsidRPr="0066255E">
              <w:rPr>
                <w:rFonts w:ascii="Arial Narrow" w:hAnsi="Arial Narrow"/>
                <w:sz w:val="20"/>
              </w:rPr>
              <w:t>(MAIC full set)</w:t>
            </w:r>
          </w:p>
        </w:tc>
        <w:tc>
          <w:tcPr>
            <w:tcW w:w="1776" w:type="dxa"/>
            <w:vAlign w:val="center"/>
          </w:tcPr>
          <w:p w:rsidR="00FE491F" w:rsidRPr="0066255E" w:rsidRDefault="00FE491F" w:rsidP="00007D60">
            <w:pPr>
              <w:pStyle w:val="NoSpacing"/>
              <w:keepNext/>
              <w:keepLines/>
              <w:widowControl/>
              <w:ind w:left="-74" w:right="-81"/>
              <w:jc w:val="center"/>
              <w:rPr>
                <w:rFonts w:ascii="Arial Narrow" w:hAnsi="Arial Narrow"/>
                <w:kern w:val="24"/>
                <w:sz w:val="20"/>
              </w:rPr>
            </w:pPr>
            <w:r w:rsidRPr="0066255E">
              <w:rPr>
                <w:rFonts w:ascii="Arial Narrow" w:hAnsi="Arial Narrow"/>
                <w:kern w:val="24"/>
                <w:sz w:val="20"/>
              </w:rPr>
              <w:t>N=</w:t>
            </w:r>
            <w:r w:rsidR="00B0555B">
              <w:rPr>
                <w:rFonts w:ascii="Arial Narrow" w:hAnsi="Arial Narrow"/>
                <w:noProof/>
                <w:color w:val="000000"/>
                <w:kern w:val="24"/>
                <w:sz w:val="20"/>
                <w:highlight w:val="black"/>
              </w:rPr>
              <w:t>''''''</w:t>
            </w:r>
          </w:p>
          <w:p w:rsidR="00FE491F" w:rsidRPr="00B0555B" w:rsidRDefault="00B0555B" w:rsidP="00007D60">
            <w:pPr>
              <w:pStyle w:val="NoSpacing"/>
              <w:keepNext/>
              <w:keepLines/>
              <w:widowControl/>
              <w:ind w:left="-74" w:right="-81"/>
              <w:jc w:val="center"/>
              <w:rPr>
                <w:rFonts w:ascii="Arial Narrow" w:hAnsi="Arial Narrow"/>
                <w:kern w:val="24"/>
                <w:sz w:val="20"/>
                <w:highlight w:val="black"/>
              </w:rPr>
            </w:pPr>
            <w:r>
              <w:rPr>
                <w:rFonts w:ascii="Arial Narrow" w:hAnsi="Arial Narrow"/>
                <w:noProof/>
                <w:color w:val="000000"/>
                <w:kern w:val="24"/>
                <w:sz w:val="20"/>
                <w:highlight w:val="black"/>
              </w:rPr>
              <w:t>''''''''' '''''''''''''''''''''''</w:t>
            </w:r>
          </w:p>
        </w:tc>
        <w:tc>
          <w:tcPr>
            <w:tcW w:w="1781" w:type="dxa"/>
            <w:vAlign w:val="center"/>
          </w:tcPr>
          <w:p w:rsidR="00FE491F" w:rsidRPr="0066255E" w:rsidRDefault="00FE491F" w:rsidP="00007D60">
            <w:pPr>
              <w:keepNext/>
              <w:keepLines/>
              <w:widowControl/>
              <w:jc w:val="center"/>
              <w:rPr>
                <w:rFonts w:ascii="Arial Narrow" w:hAnsi="Arial Narrow"/>
                <w:sz w:val="20"/>
              </w:rPr>
            </w:pPr>
            <w:r w:rsidRPr="0066255E">
              <w:rPr>
                <w:rFonts w:ascii="Arial Narrow" w:hAnsi="Arial Narrow"/>
                <w:sz w:val="20"/>
              </w:rPr>
              <w:t>N=</w:t>
            </w:r>
            <w:r w:rsidR="00B0555B">
              <w:rPr>
                <w:rFonts w:ascii="Arial Narrow" w:hAnsi="Arial Narrow"/>
                <w:noProof/>
                <w:color w:val="000000"/>
                <w:sz w:val="20"/>
                <w:highlight w:val="black"/>
              </w:rPr>
              <w:t>'''''</w:t>
            </w:r>
          </w:p>
          <w:p w:rsidR="00FE491F" w:rsidRPr="00B0555B" w:rsidRDefault="00B0555B" w:rsidP="00007D60">
            <w:pPr>
              <w:keepNext/>
              <w:keepLines/>
              <w:widowControl/>
              <w:jc w:val="center"/>
              <w:rPr>
                <w:rFonts w:ascii="Arial Narrow" w:hAnsi="Arial Narrow"/>
                <w:sz w:val="20"/>
                <w:highlight w:val="black"/>
              </w:rPr>
            </w:pPr>
            <w:r>
              <w:rPr>
                <w:rFonts w:ascii="Arial Narrow" w:hAnsi="Arial Narrow"/>
                <w:noProof/>
                <w:color w:val="000000"/>
                <w:sz w:val="20"/>
                <w:highlight w:val="black"/>
              </w:rPr>
              <w:t>'''''''' ''''''''''''''''''''''</w:t>
            </w:r>
          </w:p>
        </w:tc>
        <w:tc>
          <w:tcPr>
            <w:tcW w:w="1783" w:type="dxa"/>
            <w:vAlign w:val="center"/>
          </w:tcPr>
          <w:p w:rsidR="00FE491F" w:rsidRPr="0066255E" w:rsidRDefault="00FE491F" w:rsidP="00007D60">
            <w:pPr>
              <w:keepNext/>
              <w:keepLines/>
              <w:widowControl/>
              <w:jc w:val="center"/>
              <w:rPr>
                <w:rFonts w:ascii="Arial Narrow" w:hAnsi="Arial Narrow"/>
                <w:sz w:val="20"/>
              </w:rPr>
            </w:pPr>
            <w:r w:rsidRPr="0066255E">
              <w:rPr>
                <w:rFonts w:ascii="Arial Narrow" w:hAnsi="Arial Narrow"/>
                <w:sz w:val="20"/>
              </w:rPr>
              <w:t>-</w:t>
            </w:r>
          </w:p>
        </w:tc>
        <w:tc>
          <w:tcPr>
            <w:tcW w:w="1481" w:type="dxa"/>
            <w:vAlign w:val="center"/>
          </w:tcPr>
          <w:p w:rsidR="00FE491F" w:rsidRPr="0066255E"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FE491F" w:rsidRPr="0066255E">
              <w:rPr>
                <w:rFonts w:ascii="Arial Narrow" w:hAnsi="Arial Narrow"/>
                <w:kern w:val="24"/>
                <w:sz w:val="20"/>
              </w:rPr>
              <w:t xml:space="preserve"> (</w:t>
            </w:r>
            <w:r>
              <w:rPr>
                <w:rFonts w:ascii="Arial Narrow" w:hAnsi="Arial Narrow"/>
                <w:noProof/>
                <w:color w:val="000000"/>
                <w:kern w:val="24"/>
                <w:sz w:val="20"/>
                <w:highlight w:val="black"/>
              </w:rPr>
              <w:t>''''''''''</w:t>
            </w:r>
            <w:r w:rsidR="00FE491F" w:rsidRPr="0066255E">
              <w:rPr>
                <w:rFonts w:ascii="Arial Narrow" w:hAnsi="Arial Narrow"/>
                <w:kern w:val="24"/>
                <w:sz w:val="20"/>
              </w:rPr>
              <w:t xml:space="preserve">, </w:t>
            </w:r>
            <w:r>
              <w:rPr>
                <w:rFonts w:ascii="Arial Narrow" w:hAnsi="Arial Narrow"/>
                <w:noProof/>
                <w:color w:val="000000"/>
                <w:kern w:val="24"/>
                <w:sz w:val="20"/>
                <w:highlight w:val="black"/>
              </w:rPr>
              <w:t>'''''''''''</w:t>
            </w:r>
            <w:r w:rsidR="00FE491F" w:rsidRPr="0066255E">
              <w:rPr>
                <w:rFonts w:ascii="Arial Narrow" w:hAnsi="Arial Narrow"/>
                <w:kern w:val="24"/>
                <w:sz w:val="20"/>
              </w:rPr>
              <w:t>)</w:t>
            </w:r>
          </w:p>
        </w:tc>
      </w:tr>
      <w:tr w:rsidR="00FE491F" w:rsidRPr="0066255E" w:rsidTr="00891B09">
        <w:tc>
          <w:tcPr>
            <w:tcW w:w="2201" w:type="dxa"/>
            <w:vAlign w:val="center"/>
          </w:tcPr>
          <w:p w:rsidR="00FE491F" w:rsidRPr="0066255E" w:rsidRDefault="00FE491F" w:rsidP="00007D60">
            <w:pPr>
              <w:keepNext/>
              <w:keepLines/>
              <w:widowControl/>
              <w:jc w:val="left"/>
              <w:rPr>
                <w:rFonts w:ascii="Arial Narrow" w:hAnsi="Arial Narrow"/>
                <w:sz w:val="20"/>
              </w:rPr>
            </w:pPr>
            <w:r w:rsidRPr="0066255E">
              <w:rPr>
                <w:rFonts w:ascii="Arial Narrow" w:hAnsi="Arial Narrow"/>
                <w:sz w:val="20"/>
              </w:rPr>
              <w:t>TOWER (ITT)</w:t>
            </w:r>
          </w:p>
        </w:tc>
        <w:tc>
          <w:tcPr>
            <w:tcW w:w="1776" w:type="dxa"/>
            <w:vAlign w:val="center"/>
          </w:tcPr>
          <w:p w:rsidR="00FE491F" w:rsidRPr="0066255E" w:rsidRDefault="00FE491F" w:rsidP="00007D60">
            <w:pPr>
              <w:keepNext/>
              <w:keepLines/>
              <w:widowControl/>
              <w:jc w:val="center"/>
              <w:rPr>
                <w:rFonts w:ascii="Arial Narrow" w:hAnsi="Arial Narrow"/>
                <w:sz w:val="20"/>
              </w:rPr>
            </w:pPr>
            <w:r w:rsidRPr="0066255E">
              <w:rPr>
                <w:rFonts w:ascii="Arial Narrow" w:hAnsi="Arial Narrow"/>
                <w:sz w:val="20"/>
              </w:rPr>
              <w:t>-</w:t>
            </w:r>
          </w:p>
        </w:tc>
        <w:tc>
          <w:tcPr>
            <w:tcW w:w="1781" w:type="dxa"/>
            <w:vAlign w:val="center"/>
          </w:tcPr>
          <w:p w:rsidR="00FE491F" w:rsidRPr="0066255E" w:rsidRDefault="00FE491F" w:rsidP="00007D60">
            <w:pPr>
              <w:pStyle w:val="NoSpacing"/>
              <w:keepNext/>
              <w:keepLines/>
              <w:widowControl/>
              <w:ind w:left="-74" w:right="-81"/>
              <w:jc w:val="center"/>
              <w:rPr>
                <w:rFonts w:ascii="Arial Narrow" w:hAnsi="Arial Narrow"/>
                <w:kern w:val="24"/>
                <w:sz w:val="20"/>
              </w:rPr>
            </w:pPr>
            <w:r w:rsidRPr="0066255E">
              <w:rPr>
                <w:rFonts w:ascii="Arial Narrow" w:hAnsi="Arial Narrow"/>
                <w:kern w:val="24"/>
                <w:sz w:val="20"/>
              </w:rPr>
              <w:t>N=134</w:t>
            </w:r>
          </w:p>
          <w:p w:rsidR="00FE491F" w:rsidRPr="0066255E" w:rsidRDefault="00FE491F" w:rsidP="00007D60">
            <w:pPr>
              <w:pStyle w:val="NoSpacing"/>
              <w:keepNext/>
              <w:keepLines/>
              <w:widowControl/>
              <w:ind w:left="-74" w:right="-81"/>
              <w:jc w:val="center"/>
              <w:rPr>
                <w:rFonts w:ascii="Arial Narrow" w:hAnsi="Arial Narrow"/>
                <w:kern w:val="24"/>
                <w:sz w:val="20"/>
              </w:rPr>
            </w:pPr>
            <w:r w:rsidRPr="0066255E">
              <w:rPr>
                <w:rFonts w:ascii="Arial Narrow" w:hAnsi="Arial Narrow"/>
                <w:kern w:val="24"/>
                <w:sz w:val="20"/>
              </w:rPr>
              <w:t>Not estimable</w:t>
            </w:r>
          </w:p>
        </w:tc>
        <w:tc>
          <w:tcPr>
            <w:tcW w:w="1783" w:type="dxa"/>
            <w:vAlign w:val="center"/>
          </w:tcPr>
          <w:p w:rsidR="00FE491F" w:rsidRPr="0066255E" w:rsidRDefault="00FE491F" w:rsidP="00007D60">
            <w:pPr>
              <w:pStyle w:val="NoSpacing"/>
              <w:keepNext/>
              <w:keepLines/>
              <w:widowControl/>
              <w:ind w:left="-74" w:right="-81"/>
              <w:jc w:val="center"/>
              <w:rPr>
                <w:rFonts w:ascii="Arial Narrow" w:hAnsi="Arial Narrow"/>
                <w:kern w:val="24"/>
                <w:sz w:val="20"/>
              </w:rPr>
            </w:pPr>
            <w:r w:rsidRPr="0066255E">
              <w:rPr>
                <w:rFonts w:ascii="Arial Narrow" w:hAnsi="Arial Narrow"/>
                <w:kern w:val="24"/>
                <w:sz w:val="20"/>
              </w:rPr>
              <w:t>N=271</w:t>
            </w:r>
          </w:p>
          <w:p w:rsidR="00FE491F" w:rsidRPr="0066255E" w:rsidRDefault="00FE491F" w:rsidP="00007D60">
            <w:pPr>
              <w:pStyle w:val="NoSpacing"/>
              <w:keepNext/>
              <w:keepLines/>
              <w:widowControl/>
              <w:ind w:left="-74" w:right="-81"/>
              <w:jc w:val="center"/>
              <w:rPr>
                <w:rFonts w:ascii="Arial Narrow" w:hAnsi="Arial Narrow"/>
                <w:kern w:val="24"/>
                <w:sz w:val="20"/>
              </w:rPr>
            </w:pPr>
            <w:r w:rsidRPr="0066255E">
              <w:rPr>
                <w:rFonts w:ascii="Arial Narrow" w:hAnsi="Arial Narrow"/>
                <w:kern w:val="24"/>
                <w:sz w:val="20"/>
              </w:rPr>
              <w:t>Not estimable</w:t>
            </w:r>
          </w:p>
        </w:tc>
        <w:tc>
          <w:tcPr>
            <w:tcW w:w="1481" w:type="dxa"/>
            <w:vAlign w:val="center"/>
          </w:tcPr>
          <w:p w:rsidR="00FE491F" w:rsidRPr="0066255E" w:rsidRDefault="00FE491F" w:rsidP="00007D60">
            <w:pPr>
              <w:pStyle w:val="NoSpacing"/>
              <w:keepNext/>
              <w:keepLines/>
              <w:widowControl/>
              <w:ind w:left="-74" w:right="-81"/>
              <w:jc w:val="center"/>
              <w:rPr>
                <w:rFonts w:ascii="Arial Narrow" w:hAnsi="Arial Narrow"/>
                <w:kern w:val="24"/>
                <w:sz w:val="20"/>
              </w:rPr>
            </w:pPr>
            <w:r w:rsidRPr="0066255E">
              <w:rPr>
                <w:rFonts w:ascii="Arial Narrow" w:hAnsi="Arial Narrow"/>
                <w:kern w:val="24"/>
                <w:sz w:val="20"/>
              </w:rPr>
              <w:t>0.55 (0.43, 0.71)</w:t>
            </w:r>
          </w:p>
        </w:tc>
      </w:tr>
      <w:tr w:rsidR="00FE491F" w:rsidRPr="002A7CC6" w:rsidTr="00891B09">
        <w:tc>
          <w:tcPr>
            <w:tcW w:w="7541" w:type="dxa"/>
            <w:gridSpan w:val="4"/>
            <w:vAlign w:val="center"/>
          </w:tcPr>
          <w:p w:rsidR="00FE491F" w:rsidRPr="0066255E" w:rsidRDefault="00FE491F" w:rsidP="00007D60">
            <w:pPr>
              <w:keepNext/>
              <w:keepLines/>
              <w:widowControl/>
              <w:jc w:val="left"/>
              <w:rPr>
                <w:rFonts w:ascii="Arial Narrow" w:hAnsi="Arial Narrow"/>
                <w:sz w:val="20"/>
              </w:rPr>
            </w:pPr>
            <w:r w:rsidRPr="0066255E">
              <w:rPr>
                <w:rFonts w:ascii="Arial Narrow" w:hAnsi="Arial Narrow"/>
                <w:sz w:val="20"/>
              </w:rPr>
              <w:t>Matching adjusted indirect analysis</w:t>
            </w:r>
            <w:r w:rsidR="00D40C7D" w:rsidRPr="0066255E">
              <w:rPr>
                <w:rFonts w:ascii="Arial Narrow" w:hAnsi="Arial Narrow"/>
                <w:sz w:val="20"/>
              </w:rPr>
              <w:t xml:space="preserve"> of inotuzumab vs. blinatumomab</w:t>
            </w:r>
            <w:r w:rsidRPr="0066255E">
              <w:rPr>
                <w:rFonts w:ascii="Arial Narrow" w:hAnsi="Arial Narrow"/>
                <w:sz w:val="20"/>
              </w:rPr>
              <w:t xml:space="preserve"> (</w:t>
            </w:r>
            <w:r w:rsidR="007D7344" w:rsidRPr="0066255E">
              <w:rPr>
                <w:rFonts w:ascii="Arial Narrow" w:hAnsi="Arial Narrow"/>
                <w:sz w:val="20"/>
              </w:rPr>
              <w:t>INO-VATE ALL</w:t>
            </w:r>
            <w:r w:rsidRPr="0066255E">
              <w:rPr>
                <w:rFonts w:ascii="Arial Narrow" w:hAnsi="Arial Narrow"/>
                <w:sz w:val="20"/>
              </w:rPr>
              <w:t xml:space="preserve"> </w:t>
            </w:r>
            <w:r w:rsidR="00D40C7D" w:rsidRPr="0066255E">
              <w:rPr>
                <w:rFonts w:ascii="Arial Narrow" w:hAnsi="Arial Narrow"/>
                <w:sz w:val="20"/>
              </w:rPr>
              <w:t>full</w:t>
            </w:r>
            <w:r w:rsidRPr="0066255E">
              <w:rPr>
                <w:rFonts w:ascii="Arial Narrow" w:hAnsi="Arial Narrow"/>
                <w:sz w:val="20"/>
              </w:rPr>
              <w:t xml:space="preserve"> set)</w:t>
            </w:r>
          </w:p>
        </w:tc>
        <w:tc>
          <w:tcPr>
            <w:tcW w:w="1481" w:type="dxa"/>
            <w:vAlign w:val="center"/>
          </w:tcPr>
          <w:p w:rsidR="00FE491F" w:rsidRPr="0066255E"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FE491F" w:rsidRPr="0066255E">
              <w:rPr>
                <w:rFonts w:ascii="Arial Narrow" w:hAnsi="Arial Narrow"/>
                <w:kern w:val="24"/>
                <w:sz w:val="20"/>
              </w:rPr>
              <w:t xml:space="preserve"> (</w:t>
            </w:r>
            <w:r>
              <w:rPr>
                <w:rFonts w:ascii="Arial Narrow" w:hAnsi="Arial Narrow"/>
                <w:noProof/>
                <w:color w:val="000000"/>
                <w:kern w:val="24"/>
                <w:sz w:val="20"/>
                <w:highlight w:val="black"/>
              </w:rPr>
              <w:t>''''''''''</w:t>
            </w:r>
            <w:r w:rsidR="00FE491F" w:rsidRPr="0066255E">
              <w:rPr>
                <w:rFonts w:ascii="Arial Narrow" w:hAnsi="Arial Narrow"/>
                <w:kern w:val="24"/>
                <w:sz w:val="20"/>
              </w:rPr>
              <w:t xml:space="preserve">, </w:t>
            </w:r>
            <w:r>
              <w:rPr>
                <w:rFonts w:ascii="Arial Narrow" w:hAnsi="Arial Narrow"/>
                <w:noProof/>
                <w:color w:val="000000"/>
                <w:kern w:val="24"/>
                <w:sz w:val="20"/>
                <w:highlight w:val="black"/>
              </w:rPr>
              <w:t>'''''''''''</w:t>
            </w:r>
            <w:r w:rsidR="00FE491F" w:rsidRPr="0066255E">
              <w:rPr>
                <w:rFonts w:ascii="Arial Narrow" w:hAnsi="Arial Narrow"/>
                <w:kern w:val="24"/>
                <w:sz w:val="20"/>
              </w:rPr>
              <w:t>)</w:t>
            </w:r>
          </w:p>
        </w:tc>
      </w:tr>
    </w:tbl>
    <w:p w:rsidR="00FE491F" w:rsidRPr="002A7CC6" w:rsidRDefault="00FE491F" w:rsidP="00007D60">
      <w:pPr>
        <w:pStyle w:val="BodyText"/>
        <w:keepNext/>
        <w:keepLines/>
        <w:widowControl/>
        <w:rPr>
          <w:rFonts w:ascii="Arial Narrow" w:hAnsi="Arial Narrow"/>
          <w:b/>
          <w:sz w:val="18"/>
          <w:szCs w:val="18"/>
        </w:rPr>
      </w:pPr>
      <w:r w:rsidRPr="002A7CC6">
        <w:rPr>
          <w:rFonts w:ascii="Arial Narrow" w:hAnsi="Arial Narrow"/>
          <w:sz w:val="18"/>
          <w:szCs w:val="18"/>
        </w:rPr>
        <w:t>Source: Table 2.6.6-2.6.7, p.225-226 of the submission.</w:t>
      </w:r>
    </w:p>
    <w:p w:rsidR="00FE491F" w:rsidRPr="002A7CC6" w:rsidRDefault="00FE491F" w:rsidP="00007D60">
      <w:pPr>
        <w:pStyle w:val="BodyText"/>
        <w:keepNext/>
        <w:keepLines/>
        <w:widowControl/>
        <w:rPr>
          <w:rFonts w:ascii="Arial Narrow" w:hAnsi="Arial Narrow"/>
          <w:b/>
          <w:sz w:val="18"/>
          <w:szCs w:val="18"/>
        </w:rPr>
      </w:pPr>
      <w:r w:rsidRPr="002A7CC6">
        <w:rPr>
          <w:rFonts w:ascii="Arial Narrow" w:hAnsi="Arial Narrow"/>
          <w:sz w:val="18"/>
          <w:szCs w:val="18"/>
        </w:rPr>
        <w:t>Abbreviations: CI, confidence interval; ITT, intention-to-treat; LPLV, last patient last visit; MAIC, matching adjusted indirect comparison; PFS, progression free survival; SOC, standard of care chemotherapy.</w:t>
      </w:r>
    </w:p>
    <w:p w:rsidR="006A3245" w:rsidRPr="002A7CC6" w:rsidRDefault="006A3245" w:rsidP="00F96F7D">
      <w:pPr>
        <w:pStyle w:val="TableFooter"/>
      </w:pPr>
    </w:p>
    <w:p w:rsidR="00FE491F" w:rsidRPr="002A7CC6" w:rsidRDefault="00FE491F"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For </w:t>
      </w:r>
      <w:r w:rsidR="002F2E75" w:rsidRPr="002A7CC6">
        <w:rPr>
          <w:rFonts w:cs="Calibri"/>
          <w:snapToGrid/>
          <w:szCs w:val="24"/>
          <w:lang w:val="en-US" w:eastAsia="en-AU"/>
        </w:rPr>
        <w:t>EFS</w:t>
      </w:r>
      <w:r w:rsidRPr="002A7CC6">
        <w:rPr>
          <w:rFonts w:cs="Calibri"/>
          <w:snapToGrid/>
          <w:szCs w:val="24"/>
          <w:lang w:val="en-US" w:eastAsia="en-AU"/>
        </w:rPr>
        <w:t xml:space="preserve">, the comparisons with standard of care chemotherapy statistically significantly </w:t>
      </w:r>
      <w:r w:rsidRPr="002A7CC6">
        <w:rPr>
          <w:rFonts w:cs="Calibri"/>
          <w:snapToGrid/>
          <w:szCs w:val="24"/>
          <w:lang w:eastAsia="en-AU"/>
        </w:rPr>
        <w:t>favoured</w:t>
      </w:r>
      <w:r w:rsidRPr="002A7CC6">
        <w:rPr>
          <w:rFonts w:cs="Calibri"/>
          <w:snapToGrid/>
          <w:szCs w:val="24"/>
          <w:lang w:val="en-US" w:eastAsia="en-AU"/>
        </w:rPr>
        <w:t xml:space="preserve"> inotuzumab (</w:t>
      </w:r>
      <w:r w:rsidR="007D7344">
        <w:rPr>
          <w:rFonts w:cs="Calibri"/>
          <w:snapToGrid/>
          <w:szCs w:val="24"/>
          <w:lang w:val="en-US" w:eastAsia="en-AU"/>
        </w:rPr>
        <w:t>INO-VATE ALL</w:t>
      </w:r>
      <w:r w:rsidRPr="002A7CC6">
        <w:rPr>
          <w:rFonts w:cs="Calibri"/>
          <w:snapToGrid/>
          <w:szCs w:val="24"/>
          <w:lang w:val="en-US" w:eastAsia="en-AU"/>
        </w:rPr>
        <w:t xml:space="preserve">) and blinatumomab (TOWER) in all analyses. The </w:t>
      </w:r>
      <w:r w:rsidR="007D7344">
        <w:rPr>
          <w:rFonts w:cs="Calibri"/>
          <w:snapToGrid/>
          <w:szCs w:val="24"/>
          <w:lang w:val="en-US" w:eastAsia="en-AU"/>
        </w:rPr>
        <w:t>INO-VATE ALL</w:t>
      </w:r>
      <w:r w:rsidRPr="002A7CC6">
        <w:rPr>
          <w:rFonts w:cs="Calibri"/>
          <w:snapToGrid/>
          <w:szCs w:val="24"/>
          <w:lang w:val="en-US" w:eastAsia="en-AU"/>
        </w:rPr>
        <w:t xml:space="preserve"> </w:t>
      </w:r>
      <w:r w:rsidR="002F2E75" w:rsidRPr="002A7CC6">
        <w:rPr>
          <w:rFonts w:cs="Calibri"/>
          <w:snapToGrid/>
          <w:szCs w:val="24"/>
          <w:lang w:val="en-US" w:eastAsia="en-AU"/>
        </w:rPr>
        <w:t>EFS</w:t>
      </w:r>
      <w:r w:rsidRPr="002A7CC6">
        <w:rPr>
          <w:rFonts w:cs="Calibri"/>
          <w:snapToGrid/>
          <w:szCs w:val="24"/>
          <w:lang w:val="en-US" w:eastAsia="en-AU"/>
        </w:rPr>
        <w:t xml:space="preserve"> comparisons based on the sensitivity PFS data were not presented </w:t>
      </w:r>
      <w:r w:rsidRPr="002A7CC6">
        <w:rPr>
          <w:rFonts w:cs="Calibri"/>
          <w:snapToGrid/>
          <w:szCs w:val="24"/>
          <w:lang w:val="en-US" w:eastAsia="en-AU"/>
        </w:rPr>
        <w:lastRenderedPageBreak/>
        <w:t xml:space="preserve">in the submission and could not be evaluated. However, results of the sensitivity PFS ITT comparison with standard of care chemotherapy appeared similar to those reported for the </w:t>
      </w:r>
      <w:r w:rsidR="007D7344">
        <w:rPr>
          <w:rFonts w:cs="Calibri"/>
          <w:snapToGrid/>
          <w:szCs w:val="24"/>
          <w:lang w:val="en-US" w:eastAsia="en-AU"/>
        </w:rPr>
        <w:t>INO-VATE ALL</w:t>
      </w:r>
      <w:r w:rsidRPr="002A7CC6">
        <w:rPr>
          <w:rFonts w:cs="Calibri"/>
          <w:snapToGrid/>
          <w:szCs w:val="24"/>
          <w:lang w:val="en-US" w:eastAsia="en-AU"/>
        </w:rPr>
        <w:t xml:space="preserve"> ITT comparison presented in Figure 2.</w:t>
      </w:r>
    </w:p>
    <w:p w:rsidR="00FE491F" w:rsidRPr="002A7CC6" w:rsidRDefault="00FE491F"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In the indirect comparisons for </w:t>
      </w:r>
      <w:r w:rsidR="002F2E75" w:rsidRPr="002A7CC6">
        <w:rPr>
          <w:rFonts w:cs="Calibri"/>
          <w:snapToGrid/>
          <w:szCs w:val="24"/>
          <w:lang w:val="en-US" w:eastAsia="en-AU"/>
        </w:rPr>
        <w:t>EFS</w:t>
      </w:r>
      <w:r w:rsidRPr="002A7CC6">
        <w:rPr>
          <w:rFonts w:cs="Calibri"/>
          <w:snapToGrid/>
          <w:szCs w:val="24"/>
          <w:lang w:val="en-US" w:eastAsia="en-AU"/>
        </w:rPr>
        <w:t>, there was no statistically significant difference between inotuzumab and blinatumomab in the formal indirect and anchored MAIC analyses. The</w:t>
      </w:r>
      <w:r w:rsidR="00A36E10">
        <w:rPr>
          <w:rFonts w:cs="Calibri"/>
          <w:snapToGrid/>
          <w:szCs w:val="24"/>
          <w:lang w:val="en-US" w:eastAsia="en-AU"/>
        </w:rPr>
        <w:t xml:space="preserve"> evaluation considered that this result should be interpreted with caution because the</w:t>
      </w:r>
      <w:r w:rsidRPr="002A7CC6">
        <w:rPr>
          <w:rFonts w:cs="Calibri"/>
          <w:snapToGrid/>
          <w:szCs w:val="24"/>
          <w:lang w:val="en-US" w:eastAsia="en-AU"/>
        </w:rPr>
        <w:t xml:space="preserve"> lack of a statistically significant difference may not adequately justify a claim of non-inferiority</w:t>
      </w:r>
      <w:r w:rsidR="00A36E10">
        <w:rPr>
          <w:rFonts w:cs="Calibri"/>
          <w:snapToGrid/>
          <w:szCs w:val="24"/>
          <w:lang w:val="en-US" w:eastAsia="en-AU"/>
        </w:rPr>
        <w:t xml:space="preserve">, and there was </w:t>
      </w:r>
      <w:r w:rsidRPr="002A7CC6">
        <w:rPr>
          <w:rFonts w:cs="Calibri"/>
          <w:snapToGrid/>
          <w:szCs w:val="24"/>
          <w:lang w:val="en-US" w:eastAsia="en-AU"/>
        </w:rPr>
        <w:t xml:space="preserve">uncertainty around the definition of </w:t>
      </w:r>
      <w:r w:rsidR="002F2E75" w:rsidRPr="002A7CC6">
        <w:rPr>
          <w:rFonts w:cs="Calibri"/>
          <w:snapToGrid/>
          <w:szCs w:val="24"/>
          <w:lang w:val="en-US" w:eastAsia="en-AU"/>
        </w:rPr>
        <w:t>PFS</w:t>
      </w:r>
      <w:r w:rsidRPr="002A7CC6">
        <w:rPr>
          <w:rFonts w:cs="Calibri"/>
          <w:snapToGrid/>
          <w:szCs w:val="24"/>
          <w:lang w:val="en-US" w:eastAsia="en-AU"/>
        </w:rPr>
        <w:t xml:space="preserve"> in the </w:t>
      </w:r>
      <w:r w:rsidR="007D7344">
        <w:rPr>
          <w:rFonts w:cs="Calibri"/>
          <w:snapToGrid/>
          <w:szCs w:val="24"/>
          <w:lang w:val="en-US" w:eastAsia="en-AU"/>
        </w:rPr>
        <w:t>INO-VATE ALL</w:t>
      </w:r>
      <w:r w:rsidRPr="002A7CC6">
        <w:rPr>
          <w:rFonts w:cs="Calibri"/>
          <w:snapToGrid/>
          <w:szCs w:val="24"/>
          <w:lang w:val="en-US" w:eastAsia="en-AU"/>
        </w:rPr>
        <w:t xml:space="preserve"> trial data (sensitivity PFS</w:t>
      </w:r>
      <w:r w:rsidR="00A36E10">
        <w:rPr>
          <w:rFonts w:cs="Calibri"/>
          <w:snapToGrid/>
          <w:szCs w:val="24"/>
          <w:lang w:val="en-US" w:eastAsia="en-AU"/>
        </w:rPr>
        <w:t>)</w:t>
      </w:r>
      <w:r w:rsidRPr="002A7CC6">
        <w:rPr>
          <w:rFonts w:cs="Calibri"/>
          <w:snapToGrid/>
          <w:szCs w:val="24"/>
          <w:lang w:val="en-US" w:eastAsia="en-AU"/>
        </w:rPr>
        <w:t>.</w:t>
      </w:r>
    </w:p>
    <w:p w:rsidR="00FE491F" w:rsidRPr="002A7CC6" w:rsidRDefault="00E23148" w:rsidP="00007D60">
      <w:pPr>
        <w:pStyle w:val="ListParagraph"/>
        <w:widowControl/>
        <w:numPr>
          <w:ilvl w:val="1"/>
          <w:numId w:val="1"/>
        </w:numPr>
      </w:pPr>
      <w:r w:rsidRPr="002A7CC6">
        <w:rPr>
          <w:rFonts w:cs="Calibri"/>
          <w:snapToGrid/>
          <w:szCs w:val="24"/>
          <w:lang w:val="en-US" w:eastAsia="en-AU"/>
        </w:rPr>
        <w:t xml:space="preserve">Table </w:t>
      </w:r>
      <w:r w:rsidR="009A469F" w:rsidRPr="002A7CC6">
        <w:rPr>
          <w:rFonts w:cs="Calibri"/>
          <w:snapToGrid/>
          <w:szCs w:val="24"/>
          <w:lang w:val="en-US" w:eastAsia="en-AU"/>
        </w:rPr>
        <w:t>8</w:t>
      </w:r>
      <w:r w:rsidR="00FE491F" w:rsidRPr="002A7CC6">
        <w:rPr>
          <w:rFonts w:cs="Calibri"/>
          <w:snapToGrid/>
          <w:szCs w:val="24"/>
          <w:lang w:val="en-US" w:eastAsia="en-AU"/>
        </w:rPr>
        <w:t xml:space="preserve"> </w:t>
      </w:r>
      <w:r w:rsidR="00FE491F" w:rsidRPr="002A7CC6">
        <w:rPr>
          <w:rFonts w:cs="Calibri"/>
          <w:snapToGrid/>
          <w:szCs w:val="24"/>
          <w:lang w:eastAsia="en-AU"/>
        </w:rPr>
        <w:t>summarises</w:t>
      </w:r>
      <w:r w:rsidR="00FE491F" w:rsidRPr="002A7CC6">
        <w:rPr>
          <w:rFonts w:cs="Calibri"/>
          <w:snapToGrid/>
          <w:szCs w:val="24"/>
          <w:lang w:val="en-US" w:eastAsia="en-AU"/>
        </w:rPr>
        <w:t xml:space="preserve"> the complete remission outcomes (CR/</w:t>
      </w:r>
      <w:proofErr w:type="spellStart"/>
      <w:r w:rsidR="00FE491F" w:rsidRPr="002A7CC6">
        <w:rPr>
          <w:rFonts w:cs="Calibri"/>
          <w:snapToGrid/>
          <w:szCs w:val="24"/>
          <w:lang w:val="en-US" w:eastAsia="en-AU"/>
        </w:rPr>
        <w:t>CRi</w:t>
      </w:r>
      <w:proofErr w:type="spellEnd"/>
      <w:r w:rsidR="00FE491F" w:rsidRPr="002A7CC6">
        <w:rPr>
          <w:rFonts w:cs="Calibri"/>
          <w:snapToGrid/>
          <w:szCs w:val="24"/>
          <w:lang w:val="en-US" w:eastAsia="en-AU"/>
        </w:rPr>
        <w:t>/</w:t>
      </w:r>
      <w:proofErr w:type="spellStart"/>
      <w:r w:rsidR="00FE491F" w:rsidRPr="002A7CC6">
        <w:rPr>
          <w:rFonts w:cs="Calibri"/>
          <w:snapToGrid/>
          <w:szCs w:val="24"/>
          <w:lang w:val="en-US" w:eastAsia="en-AU"/>
        </w:rPr>
        <w:t>CRh</w:t>
      </w:r>
      <w:proofErr w:type="spellEnd"/>
      <w:r w:rsidR="00FE491F" w:rsidRPr="002A7CC6">
        <w:rPr>
          <w:rFonts w:cs="Calibri"/>
          <w:snapToGrid/>
          <w:szCs w:val="24"/>
          <w:lang w:val="en-US" w:eastAsia="en-AU"/>
        </w:rPr>
        <w:t xml:space="preserve">) from the </w:t>
      </w:r>
      <w:r w:rsidR="007D7344">
        <w:rPr>
          <w:rFonts w:cs="Calibri"/>
          <w:snapToGrid/>
          <w:szCs w:val="24"/>
          <w:lang w:val="en-US" w:eastAsia="en-AU"/>
        </w:rPr>
        <w:t>INO-VATE ALL</w:t>
      </w:r>
      <w:r w:rsidR="00FE491F" w:rsidRPr="002A7CC6">
        <w:rPr>
          <w:rFonts w:cs="Calibri"/>
          <w:snapToGrid/>
          <w:szCs w:val="24"/>
          <w:lang w:val="en-US" w:eastAsia="en-AU"/>
        </w:rPr>
        <w:t xml:space="preserve"> and TOWER trials, and the results of the indirect comparisons, including the</w:t>
      </w:r>
      <w:r w:rsidR="0032598D" w:rsidRPr="002A7CC6">
        <w:rPr>
          <w:rFonts w:cs="Calibri"/>
          <w:snapToGrid/>
          <w:szCs w:val="24"/>
          <w:lang w:val="en-US" w:eastAsia="en-AU"/>
        </w:rPr>
        <w:t xml:space="preserve"> </w:t>
      </w:r>
      <w:r w:rsidR="00F07361" w:rsidRPr="002A7CC6">
        <w:rPr>
          <w:rFonts w:cs="Calibri"/>
          <w:snapToGrid/>
          <w:szCs w:val="24"/>
          <w:lang w:val="en-US" w:eastAsia="en-AU"/>
        </w:rPr>
        <w:t>MAICs</w:t>
      </w:r>
      <w:r w:rsidR="00FE491F" w:rsidRPr="002A7CC6">
        <w:rPr>
          <w:rFonts w:cs="Calibri"/>
          <w:snapToGrid/>
          <w:szCs w:val="24"/>
          <w:lang w:val="en-US" w:eastAsia="en-AU"/>
        </w:rPr>
        <w:t xml:space="preserve">. </w:t>
      </w:r>
      <w:r w:rsidR="00FE491F" w:rsidRPr="002A7CC6">
        <w:t>Complete remission with partial hematologic recovery (</w:t>
      </w:r>
      <w:proofErr w:type="spellStart"/>
      <w:r w:rsidR="00FE491F" w:rsidRPr="002A7CC6">
        <w:t>CRh</w:t>
      </w:r>
      <w:proofErr w:type="spellEnd"/>
      <w:r w:rsidR="00FE491F" w:rsidRPr="002A7CC6">
        <w:t>) was only reported in the TOWER trial and required a low</w:t>
      </w:r>
      <w:r w:rsidR="00E83ABC" w:rsidRPr="002A7CC6">
        <w:t>er absolute neutrophil count (&gt; </w:t>
      </w:r>
      <w:r w:rsidR="00FE491F" w:rsidRPr="002A7CC6">
        <w:t>500/</w:t>
      </w:r>
      <w:proofErr w:type="spellStart"/>
      <w:r w:rsidR="00FE491F" w:rsidRPr="002A7CC6">
        <w:t>mcL</w:t>
      </w:r>
      <w:proofErr w:type="spellEnd"/>
      <w:r w:rsidR="00FE491F" w:rsidRPr="002A7CC6">
        <w:t>) and platelets count (&gt; 50,000/</w:t>
      </w:r>
      <w:proofErr w:type="spellStart"/>
      <w:r w:rsidR="00FE491F" w:rsidRPr="002A7CC6">
        <w:t>mcL</w:t>
      </w:r>
      <w:proofErr w:type="spellEnd"/>
      <w:r w:rsidR="00FE491F" w:rsidRPr="002A7CC6">
        <w:t>) compared to complete remission with incomplete haematological recovery (</w:t>
      </w:r>
      <w:proofErr w:type="spellStart"/>
      <w:r w:rsidR="00FE491F" w:rsidRPr="002A7CC6">
        <w:t>CRi</w:t>
      </w:r>
      <w:proofErr w:type="spellEnd"/>
      <w:r w:rsidR="00FE491F" w:rsidRPr="002A7CC6">
        <w:t xml:space="preserve">) </w:t>
      </w:r>
      <w:r w:rsidR="000A2BB1" w:rsidRPr="002A7CC6">
        <w:t xml:space="preserve">reported </w:t>
      </w:r>
      <w:r w:rsidR="00FE491F" w:rsidRPr="002A7CC6">
        <w:t xml:space="preserve">in the </w:t>
      </w:r>
      <w:r w:rsidR="007D7344">
        <w:t>INO-VATE ALL</w:t>
      </w:r>
      <w:r w:rsidR="00FE491F" w:rsidRPr="002A7CC6">
        <w:t xml:space="preserve"> trial.</w:t>
      </w:r>
    </w:p>
    <w:p w:rsidR="00D40C7D" w:rsidRPr="002A7CC6" w:rsidRDefault="00E23148" w:rsidP="00007D60">
      <w:pPr>
        <w:pStyle w:val="BodyText"/>
        <w:keepNext/>
        <w:widowControl/>
        <w:rPr>
          <w:rFonts w:ascii="Arial Narrow" w:hAnsi="Arial Narrow"/>
          <w:b/>
          <w:sz w:val="20"/>
          <w:szCs w:val="20"/>
        </w:rPr>
      </w:pPr>
      <w:r w:rsidRPr="002A7CC6">
        <w:rPr>
          <w:rFonts w:ascii="Arial Narrow" w:hAnsi="Arial Narrow"/>
          <w:b/>
          <w:sz w:val="20"/>
          <w:szCs w:val="20"/>
        </w:rPr>
        <w:t xml:space="preserve">Table </w:t>
      </w:r>
      <w:r w:rsidR="009A469F" w:rsidRPr="002A7CC6">
        <w:rPr>
          <w:rFonts w:ascii="Arial Narrow" w:hAnsi="Arial Narrow"/>
          <w:b/>
          <w:sz w:val="20"/>
          <w:szCs w:val="20"/>
        </w:rPr>
        <w:t>8</w:t>
      </w:r>
      <w:r w:rsidR="00D40C7D" w:rsidRPr="002A7CC6">
        <w:rPr>
          <w:rFonts w:ascii="Arial Narrow" w:hAnsi="Arial Narrow"/>
          <w:b/>
          <w:sz w:val="20"/>
          <w:szCs w:val="20"/>
        </w:rPr>
        <w:t>: Indirect comparison of complete remission rate (CR/</w:t>
      </w:r>
      <w:proofErr w:type="spellStart"/>
      <w:r w:rsidR="00D40C7D" w:rsidRPr="002A7CC6">
        <w:rPr>
          <w:rFonts w:ascii="Arial Narrow" w:hAnsi="Arial Narrow"/>
          <w:b/>
          <w:sz w:val="20"/>
          <w:szCs w:val="20"/>
        </w:rPr>
        <w:t>CRi</w:t>
      </w:r>
      <w:proofErr w:type="spellEnd"/>
      <w:r w:rsidR="00D40C7D" w:rsidRPr="002A7CC6">
        <w:rPr>
          <w:rFonts w:ascii="Arial Narrow" w:hAnsi="Arial Narrow"/>
          <w:b/>
          <w:sz w:val="20"/>
          <w:szCs w:val="20"/>
        </w:rPr>
        <w:t>/</w:t>
      </w:r>
      <w:proofErr w:type="spellStart"/>
      <w:r w:rsidR="00D40C7D" w:rsidRPr="002A7CC6">
        <w:rPr>
          <w:rFonts w:ascii="Arial Narrow" w:hAnsi="Arial Narrow"/>
          <w:b/>
          <w:sz w:val="20"/>
          <w:szCs w:val="20"/>
        </w:rPr>
        <w:t>CRh</w:t>
      </w:r>
      <w:proofErr w:type="spellEnd"/>
      <w:r w:rsidR="00D40C7D" w:rsidRPr="002A7CC6">
        <w:rPr>
          <w:rFonts w:ascii="Arial Narrow" w:hAnsi="Arial Narrow"/>
          <w:b/>
          <w:sz w:val="20"/>
          <w:szCs w:val="20"/>
        </w:rPr>
        <w:t>) – inotuzumab versus blinatumomab (standard of care chemotherapy as common reference)</w:t>
      </w:r>
    </w:p>
    <w:tbl>
      <w:tblPr>
        <w:tblStyle w:val="TableGrid"/>
        <w:tblW w:w="0" w:type="auto"/>
        <w:tblInd w:w="108" w:type="dxa"/>
        <w:tblLook w:val="04A0" w:firstRow="1" w:lastRow="0" w:firstColumn="1" w:lastColumn="0" w:noHBand="0" w:noVBand="1"/>
        <w:tblCaption w:val="Indirect comparison of complete remission rate (CR/CRi/CRh) – inotuzumab versus blinatumomab (standard of care chemotherapy as common reference)"/>
      </w:tblPr>
      <w:tblGrid>
        <w:gridCol w:w="2088"/>
        <w:gridCol w:w="1775"/>
        <w:gridCol w:w="1781"/>
        <w:gridCol w:w="1783"/>
        <w:gridCol w:w="1482"/>
      </w:tblGrid>
      <w:tr w:rsidR="00D40C7D" w:rsidRPr="002A7CC6" w:rsidTr="00872E39">
        <w:trPr>
          <w:cantSplit/>
          <w:tblHeader/>
        </w:trPr>
        <w:tc>
          <w:tcPr>
            <w:tcW w:w="2122" w:type="dxa"/>
            <w:vAlign w:val="center"/>
          </w:tcPr>
          <w:p w:rsidR="00D40C7D" w:rsidRPr="002A7CC6" w:rsidRDefault="00D40C7D" w:rsidP="00007D60">
            <w:pPr>
              <w:keepNext/>
              <w:widowControl/>
              <w:jc w:val="left"/>
              <w:rPr>
                <w:rFonts w:ascii="Arial Narrow" w:hAnsi="Arial Narrow"/>
                <w:b/>
                <w:sz w:val="20"/>
              </w:rPr>
            </w:pPr>
            <w:r w:rsidRPr="002A7CC6">
              <w:rPr>
                <w:rFonts w:ascii="Arial Narrow" w:hAnsi="Arial Narrow"/>
                <w:b/>
                <w:sz w:val="20"/>
              </w:rPr>
              <w:t>Trial (analysis)</w:t>
            </w:r>
          </w:p>
        </w:tc>
        <w:tc>
          <w:tcPr>
            <w:tcW w:w="1795" w:type="dxa"/>
            <w:vAlign w:val="center"/>
          </w:tcPr>
          <w:p w:rsidR="00D40C7D" w:rsidRPr="002A7CC6" w:rsidRDefault="00D40C7D" w:rsidP="00007D60">
            <w:pPr>
              <w:keepNext/>
              <w:widowControl/>
              <w:jc w:val="center"/>
              <w:rPr>
                <w:rFonts w:ascii="Arial Narrow" w:hAnsi="Arial Narrow"/>
                <w:b/>
                <w:sz w:val="20"/>
              </w:rPr>
            </w:pPr>
            <w:r w:rsidRPr="002A7CC6">
              <w:rPr>
                <w:rFonts w:ascii="Arial Narrow" w:hAnsi="Arial Narrow"/>
                <w:b/>
                <w:sz w:val="20"/>
              </w:rPr>
              <w:t>Inotuzumab</w:t>
            </w:r>
          </w:p>
        </w:tc>
        <w:tc>
          <w:tcPr>
            <w:tcW w:w="1795" w:type="dxa"/>
            <w:vAlign w:val="center"/>
          </w:tcPr>
          <w:p w:rsidR="00D40C7D" w:rsidRPr="002A7CC6" w:rsidRDefault="00D40C7D" w:rsidP="00007D60">
            <w:pPr>
              <w:keepNext/>
              <w:widowControl/>
              <w:jc w:val="center"/>
              <w:rPr>
                <w:rFonts w:ascii="Arial Narrow" w:hAnsi="Arial Narrow"/>
                <w:b/>
                <w:sz w:val="20"/>
              </w:rPr>
            </w:pPr>
            <w:r w:rsidRPr="002A7CC6">
              <w:rPr>
                <w:rFonts w:ascii="Arial Narrow" w:hAnsi="Arial Narrow"/>
                <w:b/>
                <w:sz w:val="20"/>
              </w:rPr>
              <w:t>SOC chemotherapy</w:t>
            </w:r>
          </w:p>
        </w:tc>
        <w:tc>
          <w:tcPr>
            <w:tcW w:w="1796" w:type="dxa"/>
            <w:vAlign w:val="center"/>
          </w:tcPr>
          <w:p w:rsidR="00D40C7D" w:rsidRPr="002A7CC6" w:rsidRDefault="00D40C7D" w:rsidP="00007D60">
            <w:pPr>
              <w:keepNext/>
              <w:widowControl/>
              <w:jc w:val="center"/>
              <w:rPr>
                <w:rFonts w:ascii="Arial Narrow" w:hAnsi="Arial Narrow"/>
                <w:b/>
                <w:sz w:val="20"/>
              </w:rPr>
            </w:pPr>
            <w:r w:rsidRPr="002A7CC6">
              <w:rPr>
                <w:rFonts w:ascii="Arial Narrow" w:hAnsi="Arial Narrow"/>
                <w:b/>
                <w:sz w:val="20"/>
              </w:rPr>
              <w:t>Blinatumomab</w:t>
            </w:r>
          </w:p>
        </w:tc>
        <w:tc>
          <w:tcPr>
            <w:tcW w:w="1508" w:type="dxa"/>
            <w:vAlign w:val="center"/>
          </w:tcPr>
          <w:p w:rsidR="00D40C7D" w:rsidRPr="002A7CC6" w:rsidRDefault="00D40C7D" w:rsidP="00007D60">
            <w:pPr>
              <w:keepNext/>
              <w:widowControl/>
              <w:jc w:val="center"/>
              <w:rPr>
                <w:rFonts w:ascii="Arial Narrow" w:hAnsi="Arial Narrow"/>
                <w:b/>
                <w:sz w:val="20"/>
              </w:rPr>
            </w:pPr>
            <w:r w:rsidRPr="002A7CC6">
              <w:rPr>
                <w:rFonts w:ascii="Arial Narrow" w:hAnsi="Arial Narrow"/>
                <w:b/>
                <w:sz w:val="20"/>
              </w:rPr>
              <w:t>Odds Ratio (95% CI)</w:t>
            </w:r>
          </w:p>
        </w:tc>
      </w:tr>
      <w:tr w:rsidR="00D40C7D" w:rsidRPr="002A7CC6" w:rsidTr="0081282C">
        <w:tc>
          <w:tcPr>
            <w:tcW w:w="9016" w:type="dxa"/>
            <w:gridSpan w:val="5"/>
            <w:vAlign w:val="center"/>
          </w:tcPr>
          <w:p w:rsidR="00D40C7D" w:rsidRPr="002A7CC6" w:rsidRDefault="00D40C7D" w:rsidP="00007D60">
            <w:pPr>
              <w:keepNext/>
              <w:widowControl/>
              <w:jc w:val="left"/>
              <w:rPr>
                <w:rFonts w:ascii="Arial Narrow" w:hAnsi="Arial Narrow"/>
                <w:b/>
                <w:sz w:val="20"/>
              </w:rPr>
            </w:pPr>
            <w:r w:rsidRPr="002A7CC6">
              <w:rPr>
                <w:rFonts w:ascii="Arial Narrow" w:hAnsi="Arial Narrow"/>
                <w:b/>
                <w:sz w:val="20"/>
              </w:rPr>
              <w:t>Complete remission rate</w:t>
            </w:r>
            <w:r w:rsidR="0032598D" w:rsidRPr="002A7CC6">
              <w:rPr>
                <w:rFonts w:ascii="Arial Narrow" w:hAnsi="Arial Narrow"/>
                <w:b/>
                <w:sz w:val="20"/>
              </w:rPr>
              <w:t xml:space="preserve"> (CR/</w:t>
            </w:r>
            <w:proofErr w:type="spellStart"/>
            <w:r w:rsidR="0032598D" w:rsidRPr="002A7CC6">
              <w:rPr>
                <w:rFonts w:ascii="Arial Narrow" w:hAnsi="Arial Narrow"/>
                <w:b/>
                <w:sz w:val="20"/>
              </w:rPr>
              <w:t>CRi</w:t>
            </w:r>
            <w:proofErr w:type="spellEnd"/>
            <w:r w:rsidR="0032598D" w:rsidRPr="002A7CC6">
              <w:rPr>
                <w:rFonts w:ascii="Arial Narrow" w:hAnsi="Arial Narrow"/>
                <w:b/>
                <w:sz w:val="20"/>
              </w:rPr>
              <w:t>/</w:t>
            </w:r>
            <w:proofErr w:type="spellStart"/>
            <w:r w:rsidR="0032598D" w:rsidRPr="002A7CC6">
              <w:rPr>
                <w:rFonts w:ascii="Arial Narrow" w:hAnsi="Arial Narrow"/>
                <w:b/>
                <w:sz w:val="20"/>
              </w:rPr>
              <w:t>CRh</w:t>
            </w:r>
            <w:proofErr w:type="spellEnd"/>
            <w:r w:rsidR="0032598D" w:rsidRPr="002A7CC6">
              <w:rPr>
                <w:rFonts w:ascii="Arial Narrow" w:hAnsi="Arial Narrow"/>
                <w:b/>
                <w:sz w:val="20"/>
              </w:rPr>
              <w:t>)</w:t>
            </w:r>
            <w:r w:rsidRPr="002A7CC6">
              <w:rPr>
                <w:rFonts w:ascii="Arial Narrow" w:hAnsi="Arial Narrow"/>
                <w:b/>
                <w:sz w:val="20"/>
              </w:rPr>
              <w:t>, n (%)</w:t>
            </w:r>
          </w:p>
        </w:tc>
      </w:tr>
      <w:tr w:rsidR="00D40C7D" w:rsidRPr="002A7CC6" w:rsidTr="0081282C">
        <w:tc>
          <w:tcPr>
            <w:tcW w:w="2122" w:type="dxa"/>
            <w:vAlign w:val="center"/>
          </w:tcPr>
          <w:p w:rsidR="00D40C7D" w:rsidRPr="002A7CC6" w:rsidRDefault="007D7344" w:rsidP="00007D60">
            <w:pPr>
              <w:keepNext/>
              <w:widowControl/>
              <w:jc w:val="left"/>
              <w:rPr>
                <w:rFonts w:ascii="Arial Narrow" w:hAnsi="Arial Narrow"/>
                <w:sz w:val="20"/>
              </w:rPr>
            </w:pPr>
            <w:r>
              <w:rPr>
                <w:rFonts w:ascii="Arial Narrow" w:hAnsi="Arial Narrow"/>
                <w:sz w:val="20"/>
              </w:rPr>
              <w:t>INO-VATE ALL</w:t>
            </w:r>
          </w:p>
          <w:p w:rsidR="00D40C7D" w:rsidRPr="002A7CC6" w:rsidRDefault="00D40C7D" w:rsidP="00007D60">
            <w:pPr>
              <w:keepNext/>
              <w:widowControl/>
              <w:jc w:val="left"/>
              <w:rPr>
                <w:rFonts w:ascii="Arial Narrow" w:hAnsi="Arial Narrow"/>
                <w:sz w:val="20"/>
              </w:rPr>
            </w:pPr>
            <w:r w:rsidRPr="002A7CC6">
              <w:rPr>
                <w:rFonts w:ascii="Arial Narrow" w:hAnsi="Arial Narrow"/>
                <w:sz w:val="20"/>
              </w:rPr>
              <w:t>(LPLV)</w:t>
            </w:r>
          </w:p>
        </w:tc>
        <w:tc>
          <w:tcPr>
            <w:tcW w:w="1795" w:type="dxa"/>
            <w:vAlign w:val="center"/>
          </w:tcPr>
          <w:p w:rsidR="00D40C7D" w:rsidRPr="002A7CC6" w:rsidRDefault="00D40C7D" w:rsidP="00007D60">
            <w:pPr>
              <w:pStyle w:val="NoSpacing"/>
              <w:keepNext/>
              <w:widowControl/>
              <w:ind w:left="-74" w:right="-81"/>
              <w:jc w:val="center"/>
              <w:rPr>
                <w:rFonts w:ascii="Arial Narrow" w:hAnsi="Arial Narrow"/>
                <w:sz w:val="20"/>
              </w:rPr>
            </w:pPr>
            <w:r w:rsidRPr="002A7CC6">
              <w:rPr>
                <w:rFonts w:ascii="Arial Narrow" w:hAnsi="Arial Narrow"/>
                <w:kern w:val="24"/>
                <w:sz w:val="20"/>
              </w:rPr>
              <w:t>N=164</w:t>
            </w:r>
          </w:p>
          <w:p w:rsidR="00D40C7D" w:rsidRPr="002A7CC6" w:rsidRDefault="00D40C7D" w:rsidP="00007D60">
            <w:pPr>
              <w:pStyle w:val="NoSpacing"/>
              <w:keepNext/>
              <w:widowControl/>
              <w:ind w:left="-74" w:right="-81"/>
              <w:jc w:val="center"/>
              <w:rPr>
                <w:rFonts w:ascii="Arial Narrow" w:hAnsi="Arial Narrow"/>
                <w:sz w:val="20"/>
              </w:rPr>
            </w:pPr>
            <w:r w:rsidRPr="002A7CC6">
              <w:rPr>
                <w:rFonts w:ascii="Arial Narrow" w:hAnsi="Arial Narrow"/>
                <w:sz w:val="20"/>
              </w:rPr>
              <w:t>121 (73.8%)</w:t>
            </w:r>
          </w:p>
        </w:tc>
        <w:tc>
          <w:tcPr>
            <w:tcW w:w="1795" w:type="dxa"/>
            <w:vAlign w:val="center"/>
          </w:tcPr>
          <w:p w:rsidR="00D40C7D" w:rsidRPr="002A7CC6" w:rsidRDefault="00D40C7D" w:rsidP="00007D60">
            <w:pPr>
              <w:pStyle w:val="NoSpacing"/>
              <w:keepNext/>
              <w:widowControl/>
              <w:ind w:left="-74" w:right="-81"/>
              <w:jc w:val="center"/>
              <w:rPr>
                <w:rFonts w:ascii="Arial Narrow" w:hAnsi="Arial Narrow"/>
                <w:sz w:val="20"/>
              </w:rPr>
            </w:pPr>
            <w:r w:rsidRPr="002A7CC6">
              <w:rPr>
                <w:rFonts w:ascii="Arial Narrow" w:hAnsi="Arial Narrow"/>
                <w:kern w:val="24"/>
                <w:sz w:val="20"/>
              </w:rPr>
              <w:t>N=162</w:t>
            </w:r>
          </w:p>
          <w:p w:rsidR="00D40C7D" w:rsidRPr="002A7CC6" w:rsidRDefault="00D40C7D" w:rsidP="00007D60">
            <w:pPr>
              <w:pStyle w:val="NoSpacing"/>
              <w:keepNext/>
              <w:widowControl/>
              <w:ind w:left="-74" w:right="-81"/>
              <w:jc w:val="center"/>
              <w:rPr>
                <w:rFonts w:ascii="Arial Narrow" w:hAnsi="Arial Narrow"/>
                <w:sz w:val="20"/>
              </w:rPr>
            </w:pPr>
            <w:r w:rsidRPr="002A7CC6">
              <w:rPr>
                <w:rFonts w:ascii="Arial Narrow" w:hAnsi="Arial Narrow"/>
                <w:sz w:val="20"/>
              </w:rPr>
              <w:t>50 (30.9%)</w:t>
            </w:r>
          </w:p>
        </w:tc>
        <w:tc>
          <w:tcPr>
            <w:tcW w:w="1796" w:type="dxa"/>
            <w:vAlign w:val="center"/>
          </w:tcPr>
          <w:p w:rsidR="00D40C7D" w:rsidRPr="002A7CC6" w:rsidRDefault="00D40C7D" w:rsidP="00007D60">
            <w:pPr>
              <w:keepNext/>
              <w:widowControl/>
              <w:jc w:val="center"/>
              <w:rPr>
                <w:rFonts w:ascii="Arial Narrow" w:hAnsi="Arial Narrow"/>
                <w:sz w:val="20"/>
              </w:rPr>
            </w:pPr>
            <w:r w:rsidRPr="002A7CC6">
              <w:rPr>
                <w:rFonts w:ascii="Arial Narrow" w:hAnsi="Arial Narrow"/>
                <w:sz w:val="20"/>
              </w:rPr>
              <w:t>-</w:t>
            </w:r>
          </w:p>
        </w:tc>
        <w:tc>
          <w:tcPr>
            <w:tcW w:w="1508" w:type="dxa"/>
            <w:vAlign w:val="center"/>
          </w:tcPr>
          <w:p w:rsidR="00D40C7D" w:rsidRPr="002A7CC6" w:rsidRDefault="00D40C7D" w:rsidP="00007D60">
            <w:pPr>
              <w:pStyle w:val="NoSpacing"/>
              <w:keepNext/>
              <w:widowControl/>
              <w:ind w:left="-74" w:right="-81"/>
              <w:jc w:val="center"/>
              <w:rPr>
                <w:rFonts w:ascii="Arial Narrow" w:hAnsi="Arial Narrow"/>
                <w:sz w:val="20"/>
              </w:rPr>
            </w:pPr>
            <w:r w:rsidRPr="002A7CC6">
              <w:rPr>
                <w:rFonts w:ascii="Arial Narrow" w:hAnsi="Arial Narrow"/>
                <w:sz w:val="20"/>
              </w:rPr>
              <w:t>6.3 (3.89, 10.21)</w:t>
            </w:r>
          </w:p>
        </w:tc>
      </w:tr>
      <w:tr w:rsidR="00D40C7D" w:rsidRPr="002A7CC6" w:rsidTr="0081282C">
        <w:tc>
          <w:tcPr>
            <w:tcW w:w="2122" w:type="dxa"/>
            <w:vAlign w:val="center"/>
          </w:tcPr>
          <w:p w:rsidR="00D40C7D" w:rsidRPr="002A7CC6" w:rsidRDefault="00D40C7D" w:rsidP="00007D60">
            <w:pPr>
              <w:keepNext/>
              <w:widowControl/>
              <w:jc w:val="left"/>
              <w:rPr>
                <w:rFonts w:ascii="Arial Narrow" w:hAnsi="Arial Narrow"/>
                <w:sz w:val="20"/>
              </w:rPr>
            </w:pPr>
            <w:r w:rsidRPr="002A7CC6">
              <w:rPr>
                <w:rFonts w:ascii="Arial Narrow" w:hAnsi="Arial Narrow"/>
                <w:sz w:val="20"/>
              </w:rPr>
              <w:t>TOWER (ITT)</w:t>
            </w:r>
          </w:p>
        </w:tc>
        <w:tc>
          <w:tcPr>
            <w:tcW w:w="1795" w:type="dxa"/>
            <w:vAlign w:val="center"/>
          </w:tcPr>
          <w:p w:rsidR="00D40C7D" w:rsidRPr="002A7CC6" w:rsidRDefault="00D40C7D" w:rsidP="00007D60">
            <w:pPr>
              <w:keepNext/>
              <w:widowControl/>
              <w:jc w:val="center"/>
              <w:rPr>
                <w:rFonts w:ascii="Arial Narrow" w:hAnsi="Arial Narrow"/>
                <w:sz w:val="20"/>
              </w:rPr>
            </w:pPr>
            <w:r w:rsidRPr="002A7CC6">
              <w:rPr>
                <w:rFonts w:ascii="Arial Narrow" w:hAnsi="Arial Narrow"/>
                <w:sz w:val="20"/>
              </w:rPr>
              <w:t>-</w:t>
            </w:r>
          </w:p>
        </w:tc>
        <w:tc>
          <w:tcPr>
            <w:tcW w:w="1795" w:type="dxa"/>
            <w:vAlign w:val="center"/>
          </w:tcPr>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N=134</w:t>
            </w:r>
          </w:p>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33 (24.6%)</w:t>
            </w:r>
          </w:p>
        </w:tc>
        <w:tc>
          <w:tcPr>
            <w:tcW w:w="1796" w:type="dxa"/>
            <w:vAlign w:val="center"/>
          </w:tcPr>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N=271</w:t>
            </w:r>
          </w:p>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119 (43.9%)</w:t>
            </w:r>
          </w:p>
        </w:tc>
        <w:tc>
          <w:tcPr>
            <w:tcW w:w="1508" w:type="dxa"/>
            <w:vAlign w:val="center"/>
          </w:tcPr>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2.40 (1.50, 3.81)</w:t>
            </w:r>
          </w:p>
        </w:tc>
      </w:tr>
      <w:tr w:rsidR="00D40C7D" w:rsidRPr="002A7CC6" w:rsidTr="0081282C">
        <w:tc>
          <w:tcPr>
            <w:tcW w:w="7508" w:type="dxa"/>
            <w:gridSpan w:val="4"/>
            <w:vAlign w:val="center"/>
          </w:tcPr>
          <w:p w:rsidR="00D40C7D" w:rsidRPr="002A7CC6" w:rsidRDefault="00D40C7D" w:rsidP="00007D60">
            <w:pPr>
              <w:keepNext/>
              <w:widowControl/>
              <w:jc w:val="left"/>
              <w:rPr>
                <w:rFonts w:ascii="Arial Narrow" w:hAnsi="Arial Narrow"/>
                <w:sz w:val="20"/>
              </w:rPr>
            </w:pPr>
            <w:r w:rsidRPr="002A7CC6">
              <w:rPr>
                <w:rFonts w:ascii="Arial Narrow" w:hAnsi="Arial Narrow"/>
                <w:sz w:val="20"/>
              </w:rPr>
              <w:t>Indirect analysis of inotuzumab vs. blinatumomab</w:t>
            </w:r>
          </w:p>
        </w:tc>
        <w:tc>
          <w:tcPr>
            <w:tcW w:w="1508" w:type="dxa"/>
            <w:vAlign w:val="center"/>
          </w:tcPr>
          <w:p w:rsidR="00D40C7D" w:rsidRPr="002A7CC6" w:rsidRDefault="00D40C7D"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2.63 (1.35, 5.12)</w:t>
            </w:r>
          </w:p>
        </w:tc>
      </w:tr>
      <w:tr w:rsidR="00D40C7D" w:rsidRPr="002A7CC6" w:rsidTr="0081282C">
        <w:tc>
          <w:tcPr>
            <w:tcW w:w="2122" w:type="dxa"/>
            <w:vAlign w:val="center"/>
          </w:tcPr>
          <w:p w:rsidR="00D40C7D" w:rsidRPr="002A7CC6" w:rsidRDefault="007D7344" w:rsidP="00007D60">
            <w:pPr>
              <w:keepNext/>
              <w:widowControl/>
              <w:jc w:val="left"/>
              <w:rPr>
                <w:rFonts w:ascii="Arial Narrow" w:hAnsi="Arial Narrow"/>
                <w:sz w:val="20"/>
              </w:rPr>
            </w:pPr>
            <w:r>
              <w:rPr>
                <w:rFonts w:ascii="Arial Narrow" w:hAnsi="Arial Narrow"/>
                <w:sz w:val="20"/>
              </w:rPr>
              <w:t>INO-VATE ALL</w:t>
            </w:r>
          </w:p>
          <w:p w:rsidR="00D40C7D" w:rsidRPr="002A7CC6" w:rsidRDefault="00D40C7D" w:rsidP="00007D60">
            <w:pPr>
              <w:keepNext/>
              <w:widowControl/>
              <w:jc w:val="left"/>
              <w:rPr>
                <w:rFonts w:ascii="Arial Narrow" w:hAnsi="Arial Narrow"/>
                <w:sz w:val="20"/>
              </w:rPr>
            </w:pPr>
            <w:r w:rsidRPr="002A7CC6">
              <w:rPr>
                <w:rFonts w:ascii="Arial Narrow" w:hAnsi="Arial Narrow"/>
                <w:sz w:val="20"/>
              </w:rPr>
              <w:t>(MAIC restricted set)</w:t>
            </w:r>
          </w:p>
        </w:tc>
        <w:tc>
          <w:tcPr>
            <w:tcW w:w="1795" w:type="dxa"/>
            <w:vAlign w:val="center"/>
          </w:tcPr>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N=70</w:t>
            </w:r>
          </w:p>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51 (72.4%)</w:t>
            </w:r>
          </w:p>
        </w:tc>
        <w:tc>
          <w:tcPr>
            <w:tcW w:w="1795" w:type="dxa"/>
            <w:vAlign w:val="center"/>
          </w:tcPr>
          <w:p w:rsidR="00D40C7D" w:rsidRPr="002A7CC6" w:rsidRDefault="00D40C7D" w:rsidP="00007D60">
            <w:pPr>
              <w:keepNext/>
              <w:widowControl/>
              <w:jc w:val="center"/>
              <w:rPr>
                <w:rFonts w:ascii="Arial Narrow" w:hAnsi="Arial Narrow"/>
                <w:sz w:val="20"/>
              </w:rPr>
            </w:pPr>
            <w:r w:rsidRPr="002A7CC6">
              <w:rPr>
                <w:rFonts w:ascii="Arial Narrow" w:hAnsi="Arial Narrow"/>
                <w:sz w:val="20"/>
              </w:rPr>
              <w:t>N=53</w:t>
            </w:r>
          </w:p>
          <w:p w:rsidR="00D40C7D" w:rsidRPr="002A7CC6" w:rsidRDefault="00D40C7D" w:rsidP="00007D60">
            <w:pPr>
              <w:keepNext/>
              <w:widowControl/>
              <w:jc w:val="center"/>
              <w:rPr>
                <w:rFonts w:ascii="Arial Narrow" w:hAnsi="Arial Narrow"/>
                <w:sz w:val="20"/>
              </w:rPr>
            </w:pPr>
            <w:r w:rsidRPr="002A7CC6">
              <w:rPr>
                <w:rFonts w:ascii="Arial Narrow" w:hAnsi="Arial Narrow"/>
                <w:sz w:val="20"/>
              </w:rPr>
              <w:t>15 (28.0%)</w:t>
            </w:r>
          </w:p>
        </w:tc>
        <w:tc>
          <w:tcPr>
            <w:tcW w:w="1796" w:type="dxa"/>
            <w:vAlign w:val="center"/>
          </w:tcPr>
          <w:p w:rsidR="00D40C7D" w:rsidRPr="002A7CC6" w:rsidRDefault="00D40C7D" w:rsidP="00007D60">
            <w:pPr>
              <w:keepNext/>
              <w:widowControl/>
              <w:jc w:val="center"/>
              <w:rPr>
                <w:rFonts w:ascii="Arial Narrow" w:hAnsi="Arial Narrow"/>
                <w:sz w:val="20"/>
              </w:rPr>
            </w:pPr>
            <w:r w:rsidRPr="002A7CC6">
              <w:rPr>
                <w:rFonts w:ascii="Arial Narrow" w:hAnsi="Arial Narrow"/>
                <w:sz w:val="20"/>
              </w:rPr>
              <w:t>-</w:t>
            </w:r>
          </w:p>
        </w:tc>
        <w:tc>
          <w:tcPr>
            <w:tcW w:w="1508" w:type="dxa"/>
            <w:vAlign w:val="center"/>
          </w:tcPr>
          <w:p w:rsidR="00D40C7D" w:rsidRPr="002A7CC6" w:rsidRDefault="00D40C7D" w:rsidP="00007D60">
            <w:pPr>
              <w:pStyle w:val="NoSpacing"/>
              <w:keepNext/>
              <w:widowControl/>
              <w:ind w:left="-74" w:right="-81"/>
              <w:jc w:val="center"/>
              <w:rPr>
                <w:rFonts w:ascii="Arial Narrow" w:hAnsi="Arial Narrow"/>
                <w:kern w:val="24"/>
                <w:sz w:val="20"/>
              </w:rPr>
            </w:pPr>
            <w:r w:rsidRPr="002A7CC6">
              <w:rPr>
                <w:rFonts w:ascii="Arial Narrow" w:hAnsi="Arial Narrow"/>
                <w:kern w:val="24"/>
                <w:sz w:val="20"/>
              </w:rPr>
              <w:t>6.75 (3.04, 14.95)</w:t>
            </w:r>
          </w:p>
        </w:tc>
      </w:tr>
      <w:tr w:rsidR="00D40C7D" w:rsidRPr="002A7CC6" w:rsidTr="0081282C">
        <w:tc>
          <w:tcPr>
            <w:tcW w:w="2122" w:type="dxa"/>
            <w:vAlign w:val="center"/>
          </w:tcPr>
          <w:p w:rsidR="00D40C7D" w:rsidRPr="002A7CC6" w:rsidRDefault="00D40C7D" w:rsidP="00007D60">
            <w:pPr>
              <w:widowControl/>
              <w:jc w:val="left"/>
              <w:rPr>
                <w:rFonts w:ascii="Arial Narrow" w:hAnsi="Arial Narrow"/>
                <w:sz w:val="20"/>
              </w:rPr>
            </w:pPr>
            <w:r w:rsidRPr="002A7CC6">
              <w:rPr>
                <w:rFonts w:ascii="Arial Narrow" w:hAnsi="Arial Narrow"/>
                <w:sz w:val="20"/>
              </w:rPr>
              <w:t>TOWER (ITT)</w:t>
            </w:r>
          </w:p>
        </w:tc>
        <w:tc>
          <w:tcPr>
            <w:tcW w:w="1795" w:type="dxa"/>
            <w:vAlign w:val="center"/>
          </w:tcPr>
          <w:p w:rsidR="00D40C7D" w:rsidRPr="002A7CC6" w:rsidRDefault="00D40C7D" w:rsidP="00007D60">
            <w:pPr>
              <w:widowControl/>
              <w:jc w:val="center"/>
              <w:rPr>
                <w:rFonts w:ascii="Arial Narrow" w:hAnsi="Arial Narrow"/>
                <w:sz w:val="20"/>
              </w:rPr>
            </w:pPr>
            <w:r w:rsidRPr="002A7CC6">
              <w:rPr>
                <w:rFonts w:ascii="Arial Narrow" w:hAnsi="Arial Narrow"/>
                <w:sz w:val="20"/>
              </w:rPr>
              <w:t>-</w:t>
            </w:r>
          </w:p>
        </w:tc>
        <w:tc>
          <w:tcPr>
            <w:tcW w:w="1795" w:type="dxa"/>
            <w:vAlign w:val="center"/>
          </w:tcPr>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kern w:val="24"/>
                <w:sz w:val="20"/>
              </w:rPr>
              <w:t>N=134</w:t>
            </w:r>
          </w:p>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kern w:val="24"/>
                <w:sz w:val="20"/>
              </w:rPr>
              <w:t>33 (24.6%)</w:t>
            </w:r>
          </w:p>
        </w:tc>
        <w:tc>
          <w:tcPr>
            <w:tcW w:w="1796" w:type="dxa"/>
            <w:vAlign w:val="center"/>
          </w:tcPr>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kern w:val="24"/>
                <w:sz w:val="20"/>
              </w:rPr>
              <w:t>N=271</w:t>
            </w:r>
          </w:p>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kern w:val="24"/>
                <w:sz w:val="20"/>
              </w:rPr>
              <w:t>119 (43.9%)</w:t>
            </w:r>
          </w:p>
        </w:tc>
        <w:tc>
          <w:tcPr>
            <w:tcW w:w="1508" w:type="dxa"/>
            <w:vAlign w:val="center"/>
          </w:tcPr>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kern w:val="24"/>
                <w:sz w:val="20"/>
              </w:rPr>
              <w:t>2.40 (1.50, 3.81)</w:t>
            </w:r>
          </w:p>
        </w:tc>
      </w:tr>
      <w:tr w:rsidR="00D40C7D" w:rsidRPr="002A7CC6" w:rsidTr="0081282C">
        <w:tc>
          <w:tcPr>
            <w:tcW w:w="7508" w:type="dxa"/>
            <w:gridSpan w:val="4"/>
            <w:vAlign w:val="center"/>
          </w:tcPr>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sz w:val="20"/>
              </w:rPr>
              <w:t>Matching adjusted indirect analysis of inotuzumab vs. blinatumomab (</w:t>
            </w:r>
            <w:r w:rsidR="007D7344">
              <w:rPr>
                <w:rFonts w:ascii="Arial Narrow" w:hAnsi="Arial Narrow"/>
                <w:sz w:val="20"/>
              </w:rPr>
              <w:t>INO-VATE ALL</w:t>
            </w:r>
            <w:r w:rsidRPr="002A7CC6">
              <w:rPr>
                <w:rFonts w:ascii="Arial Narrow" w:hAnsi="Arial Narrow"/>
                <w:sz w:val="20"/>
              </w:rPr>
              <w:t xml:space="preserve"> restricted set)</w:t>
            </w:r>
          </w:p>
        </w:tc>
        <w:tc>
          <w:tcPr>
            <w:tcW w:w="1508" w:type="dxa"/>
            <w:vAlign w:val="center"/>
          </w:tcPr>
          <w:p w:rsidR="00D40C7D" w:rsidRPr="002A7CC6" w:rsidRDefault="00D40C7D" w:rsidP="00007D60">
            <w:pPr>
              <w:pStyle w:val="NoSpacing"/>
              <w:widowControl/>
              <w:ind w:left="-74" w:right="-81"/>
              <w:jc w:val="center"/>
              <w:rPr>
                <w:rFonts w:ascii="Arial Narrow" w:hAnsi="Arial Narrow"/>
                <w:kern w:val="24"/>
                <w:sz w:val="20"/>
              </w:rPr>
            </w:pPr>
            <w:r w:rsidRPr="002A7CC6">
              <w:rPr>
                <w:rFonts w:ascii="Arial Narrow" w:hAnsi="Arial Narrow"/>
                <w:kern w:val="24"/>
                <w:sz w:val="20"/>
              </w:rPr>
              <w:t>2.81 (1.12, 7.05)</w:t>
            </w:r>
          </w:p>
        </w:tc>
      </w:tr>
    </w:tbl>
    <w:p w:rsidR="00D40C7D" w:rsidRPr="002A7CC6" w:rsidRDefault="00D40C7D" w:rsidP="00007D60">
      <w:pPr>
        <w:pStyle w:val="BodyText"/>
        <w:widowControl/>
        <w:rPr>
          <w:rFonts w:ascii="Arial Narrow" w:hAnsi="Arial Narrow"/>
          <w:b/>
          <w:sz w:val="18"/>
          <w:szCs w:val="18"/>
        </w:rPr>
      </w:pPr>
      <w:r w:rsidRPr="002A7CC6">
        <w:rPr>
          <w:rFonts w:ascii="Arial Narrow" w:hAnsi="Arial Narrow"/>
          <w:sz w:val="18"/>
          <w:szCs w:val="18"/>
        </w:rPr>
        <w:t>Source: Table 2.6.6-2.6.7, p.225-226 of the submission.</w:t>
      </w:r>
    </w:p>
    <w:p w:rsidR="00D40C7D" w:rsidRPr="002A7CC6" w:rsidRDefault="00D40C7D" w:rsidP="00007D60">
      <w:pPr>
        <w:pStyle w:val="BodyText"/>
        <w:widowControl/>
        <w:rPr>
          <w:rFonts w:ascii="Arial Narrow" w:hAnsi="Arial Narrow"/>
          <w:b/>
          <w:sz w:val="18"/>
          <w:szCs w:val="18"/>
        </w:rPr>
      </w:pPr>
      <w:r w:rsidRPr="002A7CC6">
        <w:rPr>
          <w:rFonts w:ascii="Arial Narrow" w:hAnsi="Arial Narrow"/>
          <w:sz w:val="18"/>
          <w:szCs w:val="18"/>
        </w:rPr>
        <w:t>Abbreviations: CI, confidence interval; ITT, intention-to-treat; LPLV, last patient last visit; MAIC, matching adjusted indirect comparison; PFS, progression free survival; SOC, standard of care chemotherapy.</w:t>
      </w:r>
    </w:p>
    <w:p w:rsidR="00D40C7D" w:rsidRPr="002A7CC6" w:rsidRDefault="00D40C7D" w:rsidP="00F96F7D">
      <w:pPr>
        <w:pStyle w:val="TableFooter"/>
        <w:rPr>
          <w:snapToGrid/>
          <w:lang w:val="en-US" w:eastAsia="en-AU"/>
        </w:rPr>
      </w:pPr>
    </w:p>
    <w:p w:rsidR="00D40C7D" w:rsidRPr="002A7CC6" w:rsidRDefault="00D40C7D"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For complete remission rates</w:t>
      </w:r>
      <w:r w:rsidR="000A2BB1" w:rsidRPr="002A7CC6">
        <w:rPr>
          <w:rFonts w:cs="Calibri"/>
          <w:snapToGrid/>
          <w:szCs w:val="24"/>
          <w:lang w:val="en-US" w:eastAsia="en-AU"/>
        </w:rPr>
        <w:t>,</w:t>
      </w:r>
      <w:r w:rsidRPr="002A7CC6">
        <w:rPr>
          <w:rFonts w:cs="Calibri"/>
          <w:snapToGrid/>
          <w:szCs w:val="24"/>
          <w:lang w:val="en-US" w:eastAsia="en-AU"/>
        </w:rPr>
        <w:t xml:space="preserve"> the comparisons with standard of care chemotherapy statistically significantly </w:t>
      </w:r>
      <w:r w:rsidRPr="002A7CC6">
        <w:rPr>
          <w:rFonts w:cs="Calibri"/>
          <w:snapToGrid/>
          <w:szCs w:val="24"/>
          <w:lang w:eastAsia="en-AU"/>
        </w:rPr>
        <w:t>favoured</w:t>
      </w:r>
      <w:r w:rsidRPr="002A7CC6">
        <w:rPr>
          <w:rFonts w:cs="Calibri"/>
          <w:snapToGrid/>
          <w:szCs w:val="24"/>
          <w:lang w:val="en-US" w:eastAsia="en-AU"/>
        </w:rPr>
        <w:t xml:space="preserve"> inotuzumab (</w:t>
      </w:r>
      <w:r w:rsidR="007D7344">
        <w:rPr>
          <w:rFonts w:cs="Calibri"/>
          <w:snapToGrid/>
          <w:szCs w:val="24"/>
          <w:lang w:val="en-US" w:eastAsia="en-AU"/>
        </w:rPr>
        <w:t>INO-VATE ALL</w:t>
      </w:r>
      <w:r w:rsidRPr="002A7CC6">
        <w:rPr>
          <w:rFonts w:cs="Calibri"/>
          <w:snapToGrid/>
          <w:szCs w:val="24"/>
          <w:lang w:val="en-US" w:eastAsia="en-AU"/>
        </w:rPr>
        <w:t>) and blinatumomab (TOWER) in all analyses.</w:t>
      </w:r>
    </w:p>
    <w:p w:rsidR="00D40C7D" w:rsidRPr="002A7CC6" w:rsidRDefault="00D40C7D"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In the indirect comparisons for complete remission rates, the comparisons statistically significantly </w:t>
      </w:r>
      <w:r w:rsidRPr="002A7CC6">
        <w:rPr>
          <w:rFonts w:cs="Calibri"/>
          <w:snapToGrid/>
          <w:szCs w:val="24"/>
          <w:lang w:eastAsia="en-AU"/>
        </w:rPr>
        <w:t>favoured</w:t>
      </w:r>
      <w:r w:rsidRPr="002A7CC6">
        <w:rPr>
          <w:rFonts w:cs="Calibri"/>
          <w:snapToGrid/>
          <w:szCs w:val="24"/>
          <w:lang w:val="en-US" w:eastAsia="en-AU"/>
        </w:rPr>
        <w:t xml:space="preserve"> inotuzumab compared to blinatumomab. Given the differences in the definition of complete remission between trials, and differences between trials in terms of disease severity and progression (salvage line of therapy), </w:t>
      </w:r>
      <w:r w:rsidR="00380EA2" w:rsidRPr="002A7CC6">
        <w:rPr>
          <w:rFonts w:cs="Calibri"/>
          <w:snapToGrid/>
          <w:szCs w:val="24"/>
          <w:lang w:val="en-US" w:eastAsia="en-AU"/>
        </w:rPr>
        <w:t xml:space="preserve">the evaluation considered that </w:t>
      </w:r>
      <w:r w:rsidRPr="002A7CC6">
        <w:rPr>
          <w:rFonts w:cs="Calibri"/>
          <w:snapToGrid/>
          <w:szCs w:val="24"/>
          <w:lang w:val="en-US" w:eastAsia="en-AU"/>
        </w:rPr>
        <w:t>these results should be interpreted with caution.</w:t>
      </w:r>
    </w:p>
    <w:p w:rsidR="00D40C7D" w:rsidRPr="002A7CC6" w:rsidRDefault="00D40C7D"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Table </w:t>
      </w:r>
      <w:r w:rsidR="009A469F" w:rsidRPr="002A7CC6">
        <w:rPr>
          <w:rFonts w:cs="Calibri"/>
          <w:snapToGrid/>
          <w:szCs w:val="24"/>
          <w:lang w:val="en-US" w:eastAsia="en-AU"/>
        </w:rPr>
        <w:t>9</w:t>
      </w:r>
      <w:r w:rsidRPr="002A7CC6">
        <w:rPr>
          <w:rFonts w:cs="Calibri"/>
          <w:snapToGrid/>
          <w:szCs w:val="24"/>
          <w:lang w:val="en-US" w:eastAsia="en-AU"/>
        </w:rPr>
        <w:t xml:space="preserve"> </w:t>
      </w:r>
      <w:r w:rsidRPr="002A7CC6">
        <w:rPr>
          <w:rFonts w:cs="Calibri"/>
          <w:snapToGrid/>
          <w:szCs w:val="24"/>
          <w:lang w:eastAsia="en-AU"/>
        </w:rPr>
        <w:t>summarises</w:t>
      </w:r>
      <w:r w:rsidRPr="002A7CC6">
        <w:rPr>
          <w:rFonts w:cs="Calibri"/>
          <w:snapToGrid/>
          <w:szCs w:val="24"/>
          <w:lang w:val="en-US" w:eastAsia="en-AU"/>
        </w:rPr>
        <w:t xml:space="preserve"> the HSCT rates from the </w:t>
      </w:r>
      <w:r w:rsidR="007D7344">
        <w:rPr>
          <w:rFonts w:cs="Calibri"/>
          <w:snapToGrid/>
          <w:szCs w:val="24"/>
          <w:lang w:val="en-US" w:eastAsia="en-AU"/>
        </w:rPr>
        <w:t>INO-VATE ALL</w:t>
      </w:r>
      <w:r w:rsidRPr="002A7CC6">
        <w:rPr>
          <w:rFonts w:cs="Calibri"/>
          <w:snapToGrid/>
          <w:szCs w:val="24"/>
          <w:lang w:val="en-US" w:eastAsia="en-AU"/>
        </w:rPr>
        <w:t xml:space="preserve"> and TOWER trials, and the results of the indirect comparisons, including the</w:t>
      </w:r>
      <w:r w:rsidR="006E7DCE" w:rsidRPr="002A7CC6">
        <w:rPr>
          <w:rFonts w:cs="Calibri"/>
          <w:snapToGrid/>
          <w:szCs w:val="24"/>
          <w:lang w:val="en-US" w:eastAsia="en-AU"/>
        </w:rPr>
        <w:t xml:space="preserve"> </w:t>
      </w:r>
      <w:r w:rsidR="00F07361" w:rsidRPr="002A7CC6">
        <w:rPr>
          <w:rFonts w:cs="Calibri"/>
          <w:snapToGrid/>
          <w:szCs w:val="24"/>
          <w:lang w:val="en-US" w:eastAsia="en-AU"/>
        </w:rPr>
        <w:t>MAICs</w:t>
      </w:r>
      <w:r w:rsidRPr="002A7CC6">
        <w:rPr>
          <w:rFonts w:cs="Calibri"/>
          <w:snapToGrid/>
          <w:szCs w:val="24"/>
          <w:lang w:val="en-US" w:eastAsia="en-AU"/>
        </w:rPr>
        <w:t xml:space="preserve">. </w:t>
      </w:r>
      <w:r w:rsidR="00293E80" w:rsidRPr="002A7CC6">
        <w:rPr>
          <w:rFonts w:cs="Calibri"/>
          <w:snapToGrid/>
          <w:szCs w:val="24"/>
          <w:lang w:val="en-US" w:eastAsia="en-AU"/>
        </w:rPr>
        <w:t xml:space="preserve">HSCT rates in TOWER </w:t>
      </w:r>
      <w:r w:rsidR="00293E80" w:rsidRPr="002A7CC6">
        <w:rPr>
          <w:rFonts w:cs="Calibri"/>
          <w:snapToGrid/>
          <w:szCs w:val="24"/>
          <w:lang w:val="en-US" w:eastAsia="en-AU"/>
        </w:rPr>
        <w:lastRenderedPageBreak/>
        <w:t xml:space="preserve">included all patients progressing to HSCT based on investigator discretion. In the </w:t>
      </w:r>
      <w:r w:rsidR="007D7344">
        <w:rPr>
          <w:rFonts w:cs="Calibri"/>
          <w:snapToGrid/>
          <w:szCs w:val="24"/>
          <w:lang w:val="en-US" w:eastAsia="en-AU"/>
        </w:rPr>
        <w:t>INO-VATE ALL</w:t>
      </w:r>
      <w:r w:rsidR="00293E80" w:rsidRPr="002A7CC6">
        <w:rPr>
          <w:rFonts w:cs="Calibri"/>
          <w:snapToGrid/>
          <w:szCs w:val="24"/>
          <w:lang w:val="en-US" w:eastAsia="en-AU"/>
        </w:rPr>
        <w:t xml:space="preserve"> trial, HSCT rate was based on investigator discretion but also required achieving complete remission (CR, </w:t>
      </w:r>
      <w:proofErr w:type="spellStart"/>
      <w:r w:rsidR="00293E80" w:rsidRPr="002A7CC6">
        <w:rPr>
          <w:rFonts w:cs="Calibri"/>
          <w:snapToGrid/>
          <w:szCs w:val="24"/>
          <w:lang w:val="en-US" w:eastAsia="en-AU"/>
        </w:rPr>
        <w:t>CRi</w:t>
      </w:r>
      <w:proofErr w:type="spellEnd"/>
      <w:r w:rsidR="00293E80" w:rsidRPr="002A7CC6">
        <w:rPr>
          <w:rFonts w:cs="Calibri"/>
          <w:snapToGrid/>
          <w:szCs w:val="24"/>
          <w:lang w:val="en-US" w:eastAsia="en-AU"/>
        </w:rPr>
        <w:t xml:space="preserve">). Therefore, </w:t>
      </w:r>
      <w:r w:rsidR="00F07361" w:rsidRPr="002A7CC6">
        <w:rPr>
          <w:rFonts w:cs="Calibri"/>
          <w:snapToGrid/>
          <w:szCs w:val="24"/>
          <w:lang w:val="en-US" w:eastAsia="en-AU"/>
        </w:rPr>
        <w:t xml:space="preserve">to make the outcome definition more similar between the trials, </w:t>
      </w:r>
      <w:r w:rsidR="00293E80" w:rsidRPr="002A7CC6">
        <w:rPr>
          <w:rFonts w:cs="Calibri"/>
          <w:snapToGrid/>
          <w:szCs w:val="24"/>
          <w:lang w:val="en-US" w:eastAsia="en-AU"/>
        </w:rPr>
        <w:t xml:space="preserve">the submission </w:t>
      </w:r>
      <w:r w:rsidR="00F07361" w:rsidRPr="002A7CC6">
        <w:rPr>
          <w:rFonts w:cs="Calibri"/>
          <w:snapToGrid/>
          <w:szCs w:val="24"/>
          <w:lang w:val="en-US" w:eastAsia="en-AU"/>
        </w:rPr>
        <w:t xml:space="preserve">presented a post hoc analysis which </w:t>
      </w:r>
      <w:r w:rsidR="00293E80" w:rsidRPr="002A7CC6">
        <w:rPr>
          <w:rFonts w:cs="Calibri"/>
          <w:snapToGrid/>
          <w:szCs w:val="24"/>
          <w:lang w:val="en-US" w:eastAsia="en-AU"/>
        </w:rPr>
        <w:t xml:space="preserve">included all post-treatment HSCT observed in the </w:t>
      </w:r>
      <w:r w:rsidR="007D7344">
        <w:rPr>
          <w:rFonts w:cs="Calibri"/>
          <w:snapToGrid/>
          <w:szCs w:val="24"/>
          <w:lang w:val="en-US" w:eastAsia="en-AU"/>
        </w:rPr>
        <w:t>INO-VATE ALL</w:t>
      </w:r>
      <w:r w:rsidR="00293E80" w:rsidRPr="002A7CC6">
        <w:rPr>
          <w:rFonts w:cs="Calibri"/>
          <w:snapToGrid/>
          <w:szCs w:val="24"/>
          <w:lang w:val="en-US" w:eastAsia="en-AU"/>
        </w:rPr>
        <w:t xml:space="preserve"> trial, regardless of treatment response or timing. </w:t>
      </w:r>
    </w:p>
    <w:p w:rsidR="00293E80" w:rsidRPr="002A7CC6" w:rsidRDefault="00293E80" w:rsidP="00007D60">
      <w:pPr>
        <w:pStyle w:val="BodyText"/>
        <w:keepNext/>
        <w:keepLines/>
        <w:widowControl/>
        <w:rPr>
          <w:rFonts w:ascii="Arial Narrow" w:hAnsi="Arial Narrow"/>
          <w:b/>
          <w:sz w:val="20"/>
          <w:szCs w:val="20"/>
        </w:rPr>
      </w:pPr>
      <w:r w:rsidRPr="002A7CC6">
        <w:rPr>
          <w:rFonts w:ascii="Arial Narrow" w:hAnsi="Arial Narrow"/>
          <w:b/>
          <w:sz w:val="20"/>
          <w:szCs w:val="20"/>
        </w:rPr>
        <w:t xml:space="preserve">Table </w:t>
      </w:r>
      <w:r w:rsidR="009A469F" w:rsidRPr="002A7CC6">
        <w:rPr>
          <w:rFonts w:ascii="Arial Narrow" w:hAnsi="Arial Narrow"/>
          <w:b/>
          <w:sz w:val="20"/>
          <w:szCs w:val="20"/>
        </w:rPr>
        <w:t>9</w:t>
      </w:r>
      <w:r w:rsidRPr="002A7CC6">
        <w:rPr>
          <w:rFonts w:ascii="Arial Narrow" w:hAnsi="Arial Narrow"/>
          <w:b/>
          <w:sz w:val="20"/>
          <w:szCs w:val="20"/>
        </w:rPr>
        <w:t>: Indirect comparison of HSCT rate – inotuzumab versus blinatumomab (standard of care chemotherapy as common reference)</w:t>
      </w:r>
    </w:p>
    <w:tbl>
      <w:tblPr>
        <w:tblStyle w:val="TableGrid"/>
        <w:tblW w:w="0" w:type="auto"/>
        <w:tblInd w:w="-5" w:type="dxa"/>
        <w:tblLook w:val="04A0" w:firstRow="1" w:lastRow="0" w:firstColumn="1" w:lastColumn="0" w:noHBand="0" w:noVBand="1"/>
        <w:tblCaption w:val="Indirect comparison of HSCT rate – inotuzumab versus blinatumomab (standard of care chemotherapy as common reference)"/>
      </w:tblPr>
      <w:tblGrid>
        <w:gridCol w:w="2201"/>
        <w:gridCol w:w="1775"/>
        <w:gridCol w:w="1781"/>
        <w:gridCol w:w="1783"/>
        <w:gridCol w:w="1482"/>
      </w:tblGrid>
      <w:tr w:rsidR="00293E80" w:rsidRPr="002A7CC6" w:rsidTr="00872E39">
        <w:trPr>
          <w:cantSplit/>
          <w:tblHeader/>
        </w:trPr>
        <w:tc>
          <w:tcPr>
            <w:tcW w:w="2201" w:type="dxa"/>
            <w:vAlign w:val="center"/>
          </w:tcPr>
          <w:p w:rsidR="00293E80" w:rsidRPr="002A7CC6" w:rsidRDefault="00293E80" w:rsidP="00007D60">
            <w:pPr>
              <w:keepNext/>
              <w:keepLines/>
              <w:widowControl/>
              <w:jc w:val="left"/>
              <w:rPr>
                <w:rFonts w:ascii="Arial Narrow" w:hAnsi="Arial Narrow"/>
                <w:b/>
                <w:sz w:val="20"/>
              </w:rPr>
            </w:pPr>
            <w:r w:rsidRPr="002A7CC6">
              <w:rPr>
                <w:rFonts w:ascii="Arial Narrow" w:hAnsi="Arial Narrow"/>
                <w:b/>
                <w:sz w:val="20"/>
              </w:rPr>
              <w:t>Trial (analysis)</w:t>
            </w:r>
          </w:p>
        </w:tc>
        <w:tc>
          <w:tcPr>
            <w:tcW w:w="1775" w:type="dxa"/>
            <w:vAlign w:val="center"/>
          </w:tcPr>
          <w:p w:rsidR="00293E80" w:rsidRPr="002A7CC6" w:rsidRDefault="00293E80" w:rsidP="00007D60">
            <w:pPr>
              <w:keepNext/>
              <w:keepLines/>
              <w:widowControl/>
              <w:jc w:val="center"/>
              <w:rPr>
                <w:rFonts w:ascii="Arial Narrow" w:hAnsi="Arial Narrow"/>
                <w:b/>
                <w:sz w:val="20"/>
              </w:rPr>
            </w:pPr>
            <w:r w:rsidRPr="002A7CC6">
              <w:rPr>
                <w:rFonts w:ascii="Arial Narrow" w:hAnsi="Arial Narrow"/>
                <w:b/>
                <w:sz w:val="20"/>
              </w:rPr>
              <w:t>Inotuzumab</w:t>
            </w:r>
          </w:p>
        </w:tc>
        <w:tc>
          <w:tcPr>
            <w:tcW w:w="1781" w:type="dxa"/>
            <w:vAlign w:val="center"/>
          </w:tcPr>
          <w:p w:rsidR="00293E80" w:rsidRPr="002A7CC6" w:rsidRDefault="00293E80" w:rsidP="00007D60">
            <w:pPr>
              <w:keepNext/>
              <w:keepLines/>
              <w:widowControl/>
              <w:jc w:val="center"/>
              <w:rPr>
                <w:rFonts w:ascii="Arial Narrow" w:hAnsi="Arial Narrow"/>
                <w:b/>
                <w:sz w:val="20"/>
              </w:rPr>
            </w:pPr>
            <w:r w:rsidRPr="002A7CC6">
              <w:rPr>
                <w:rFonts w:ascii="Arial Narrow" w:hAnsi="Arial Narrow"/>
                <w:b/>
                <w:sz w:val="20"/>
              </w:rPr>
              <w:t>SOC chemotherapy</w:t>
            </w:r>
          </w:p>
        </w:tc>
        <w:tc>
          <w:tcPr>
            <w:tcW w:w="1783" w:type="dxa"/>
            <w:vAlign w:val="center"/>
          </w:tcPr>
          <w:p w:rsidR="00293E80" w:rsidRPr="002A7CC6" w:rsidRDefault="00293E80" w:rsidP="00007D60">
            <w:pPr>
              <w:keepNext/>
              <w:keepLines/>
              <w:widowControl/>
              <w:jc w:val="center"/>
              <w:rPr>
                <w:rFonts w:ascii="Arial Narrow" w:hAnsi="Arial Narrow"/>
                <w:b/>
                <w:sz w:val="20"/>
              </w:rPr>
            </w:pPr>
            <w:r w:rsidRPr="002A7CC6">
              <w:rPr>
                <w:rFonts w:ascii="Arial Narrow" w:hAnsi="Arial Narrow"/>
                <w:b/>
                <w:sz w:val="20"/>
              </w:rPr>
              <w:t>Blinatumomab</w:t>
            </w:r>
          </w:p>
        </w:tc>
        <w:tc>
          <w:tcPr>
            <w:tcW w:w="1482" w:type="dxa"/>
            <w:vAlign w:val="center"/>
          </w:tcPr>
          <w:p w:rsidR="00293E80" w:rsidRPr="002A7CC6" w:rsidRDefault="00293E80" w:rsidP="00007D60">
            <w:pPr>
              <w:keepNext/>
              <w:keepLines/>
              <w:widowControl/>
              <w:jc w:val="center"/>
              <w:rPr>
                <w:rFonts w:ascii="Arial Narrow" w:hAnsi="Arial Narrow"/>
                <w:b/>
                <w:sz w:val="20"/>
              </w:rPr>
            </w:pPr>
            <w:r w:rsidRPr="002A7CC6">
              <w:rPr>
                <w:rFonts w:ascii="Arial Narrow" w:hAnsi="Arial Narrow"/>
                <w:b/>
                <w:sz w:val="20"/>
              </w:rPr>
              <w:t>Odds Ratio (95% CI)</w:t>
            </w:r>
          </w:p>
        </w:tc>
      </w:tr>
      <w:tr w:rsidR="00293E80" w:rsidRPr="002A7CC6" w:rsidTr="005A272B">
        <w:tc>
          <w:tcPr>
            <w:tcW w:w="9022" w:type="dxa"/>
            <w:gridSpan w:val="5"/>
            <w:vAlign w:val="center"/>
          </w:tcPr>
          <w:p w:rsidR="00293E80" w:rsidRPr="002A7CC6" w:rsidRDefault="00293E80" w:rsidP="00007D60">
            <w:pPr>
              <w:keepNext/>
              <w:keepLines/>
              <w:widowControl/>
              <w:jc w:val="left"/>
              <w:rPr>
                <w:rFonts w:ascii="Arial Narrow" w:hAnsi="Arial Narrow"/>
                <w:b/>
                <w:sz w:val="20"/>
              </w:rPr>
            </w:pPr>
            <w:r w:rsidRPr="002A7CC6">
              <w:rPr>
                <w:rFonts w:ascii="Arial Narrow" w:hAnsi="Arial Narrow"/>
                <w:b/>
                <w:sz w:val="20"/>
              </w:rPr>
              <w:t>HSCT rate, n (%)</w:t>
            </w:r>
          </w:p>
        </w:tc>
      </w:tr>
      <w:tr w:rsidR="00293E80" w:rsidRPr="002A7CC6" w:rsidTr="005A272B">
        <w:tc>
          <w:tcPr>
            <w:tcW w:w="2201" w:type="dxa"/>
            <w:vAlign w:val="center"/>
          </w:tcPr>
          <w:p w:rsidR="00293E80" w:rsidRPr="002A7CC6" w:rsidRDefault="007D7344" w:rsidP="00007D60">
            <w:pPr>
              <w:keepNext/>
              <w:keepLines/>
              <w:widowControl/>
              <w:jc w:val="left"/>
              <w:rPr>
                <w:rFonts w:ascii="Arial Narrow" w:hAnsi="Arial Narrow"/>
                <w:sz w:val="20"/>
              </w:rPr>
            </w:pPr>
            <w:r>
              <w:rPr>
                <w:rFonts w:ascii="Arial Narrow" w:hAnsi="Arial Narrow"/>
                <w:sz w:val="20"/>
              </w:rPr>
              <w:t>INO-VATE ALL</w:t>
            </w:r>
          </w:p>
          <w:p w:rsidR="00293E80" w:rsidRPr="002A7CC6" w:rsidRDefault="00293E80" w:rsidP="00007D60">
            <w:pPr>
              <w:keepNext/>
              <w:keepLines/>
              <w:widowControl/>
              <w:jc w:val="left"/>
              <w:rPr>
                <w:rFonts w:ascii="Arial Narrow" w:hAnsi="Arial Narrow"/>
                <w:sz w:val="20"/>
              </w:rPr>
            </w:pPr>
            <w:r w:rsidRPr="002A7CC6">
              <w:rPr>
                <w:rFonts w:ascii="Arial Narrow" w:hAnsi="Arial Narrow"/>
                <w:sz w:val="20"/>
              </w:rPr>
              <w:t>(LPLV)</w:t>
            </w:r>
          </w:p>
        </w:tc>
        <w:tc>
          <w:tcPr>
            <w:tcW w:w="1775" w:type="dxa"/>
            <w:vAlign w:val="center"/>
          </w:tcPr>
          <w:p w:rsidR="00293E80" w:rsidRPr="002A7CC6" w:rsidRDefault="00293E80"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N=164</w:t>
            </w:r>
          </w:p>
          <w:p w:rsidR="00293E80" w:rsidRPr="002A7CC6" w:rsidRDefault="00293E80"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79 (48.2%)</w:t>
            </w:r>
          </w:p>
        </w:tc>
        <w:tc>
          <w:tcPr>
            <w:tcW w:w="1781" w:type="dxa"/>
            <w:vAlign w:val="center"/>
          </w:tcPr>
          <w:p w:rsidR="00293E80" w:rsidRPr="002A7CC6" w:rsidRDefault="00293E80"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N=162</w:t>
            </w:r>
          </w:p>
          <w:p w:rsidR="00293E80" w:rsidRPr="002A7CC6" w:rsidRDefault="00293E80"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36 (22.2%)</w:t>
            </w:r>
          </w:p>
        </w:tc>
        <w:tc>
          <w:tcPr>
            <w:tcW w:w="1783" w:type="dxa"/>
            <w:vAlign w:val="center"/>
          </w:tcPr>
          <w:p w:rsidR="00293E80" w:rsidRPr="002A7CC6" w:rsidRDefault="00293E80" w:rsidP="00007D60">
            <w:pPr>
              <w:keepNext/>
              <w:keepLines/>
              <w:widowControl/>
              <w:jc w:val="center"/>
              <w:rPr>
                <w:rFonts w:ascii="Arial Narrow" w:hAnsi="Arial Narrow"/>
                <w:sz w:val="20"/>
              </w:rPr>
            </w:pPr>
            <w:r w:rsidRPr="002A7CC6">
              <w:rPr>
                <w:rFonts w:ascii="Arial Narrow" w:hAnsi="Arial Narrow"/>
                <w:sz w:val="20"/>
              </w:rPr>
              <w:t>-</w:t>
            </w:r>
          </w:p>
        </w:tc>
        <w:tc>
          <w:tcPr>
            <w:tcW w:w="1482" w:type="dxa"/>
            <w:vAlign w:val="center"/>
          </w:tcPr>
          <w:p w:rsidR="00293E80" w:rsidRPr="002A7CC6" w:rsidRDefault="00293E80" w:rsidP="00007D60">
            <w:pPr>
              <w:pStyle w:val="NoSpacing"/>
              <w:keepNext/>
              <w:keepLines/>
              <w:widowControl/>
              <w:ind w:left="-74" w:right="-81"/>
              <w:jc w:val="center"/>
              <w:rPr>
                <w:rFonts w:ascii="Arial Narrow" w:hAnsi="Arial Narrow"/>
                <w:sz w:val="20"/>
              </w:rPr>
            </w:pPr>
            <w:r w:rsidRPr="002A7CC6">
              <w:rPr>
                <w:rFonts w:ascii="Arial Narrow" w:hAnsi="Arial Narrow"/>
                <w:kern w:val="24"/>
                <w:sz w:val="20"/>
              </w:rPr>
              <w:t>3.25 (2.01, 5.26)</w:t>
            </w:r>
          </w:p>
        </w:tc>
      </w:tr>
      <w:tr w:rsidR="00293E80" w:rsidRPr="002A7CC6" w:rsidTr="005A272B">
        <w:tc>
          <w:tcPr>
            <w:tcW w:w="2201" w:type="dxa"/>
            <w:vAlign w:val="center"/>
          </w:tcPr>
          <w:p w:rsidR="00293E80" w:rsidRPr="002A7CC6" w:rsidRDefault="00293E80" w:rsidP="00007D60">
            <w:pPr>
              <w:keepNext/>
              <w:keepLines/>
              <w:widowControl/>
              <w:jc w:val="left"/>
              <w:rPr>
                <w:rFonts w:ascii="Arial Narrow" w:hAnsi="Arial Narrow"/>
                <w:sz w:val="20"/>
              </w:rPr>
            </w:pPr>
            <w:r w:rsidRPr="002A7CC6">
              <w:rPr>
                <w:rFonts w:ascii="Arial Narrow" w:hAnsi="Arial Narrow"/>
                <w:sz w:val="20"/>
              </w:rPr>
              <w:t>TOWER (ITT)</w:t>
            </w:r>
          </w:p>
        </w:tc>
        <w:tc>
          <w:tcPr>
            <w:tcW w:w="1775" w:type="dxa"/>
            <w:vAlign w:val="center"/>
          </w:tcPr>
          <w:p w:rsidR="00293E80" w:rsidRPr="002A7CC6" w:rsidRDefault="00293E80" w:rsidP="00007D60">
            <w:pPr>
              <w:keepNext/>
              <w:keepLines/>
              <w:widowControl/>
              <w:jc w:val="center"/>
              <w:rPr>
                <w:rFonts w:ascii="Arial Narrow" w:hAnsi="Arial Narrow"/>
                <w:sz w:val="20"/>
              </w:rPr>
            </w:pPr>
            <w:r w:rsidRPr="002A7CC6">
              <w:rPr>
                <w:rFonts w:ascii="Arial Narrow" w:hAnsi="Arial Narrow"/>
                <w:sz w:val="20"/>
              </w:rPr>
              <w:t>-</w:t>
            </w:r>
          </w:p>
        </w:tc>
        <w:tc>
          <w:tcPr>
            <w:tcW w:w="1781"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N=134</w:t>
            </w:r>
          </w:p>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32 (23.9%)</w:t>
            </w:r>
          </w:p>
        </w:tc>
        <w:tc>
          <w:tcPr>
            <w:tcW w:w="1783"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N=271</w:t>
            </w:r>
          </w:p>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65 (24.0%)</w:t>
            </w:r>
          </w:p>
        </w:tc>
        <w:tc>
          <w:tcPr>
            <w:tcW w:w="1482"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1.01 (0.62, 1.63)</w:t>
            </w:r>
          </w:p>
        </w:tc>
      </w:tr>
      <w:tr w:rsidR="00293E80" w:rsidRPr="002A7CC6" w:rsidTr="005A272B">
        <w:tc>
          <w:tcPr>
            <w:tcW w:w="7540" w:type="dxa"/>
            <w:gridSpan w:val="4"/>
            <w:vAlign w:val="center"/>
          </w:tcPr>
          <w:p w:rsidR="00293E80" w:rsidRPr="002A7CC6" w:rsidRDefault="00293E80" w:rsidP="00007D60">
            <w:pPr>
              <w:keepNext/>
              <w:keepLines/>
              <w:widowControl/>
              <w:jc w:val="left"/>
              <w:rPr>
                <w:rFonts w:ascii="Arial Narrow" w:hAnsi="Arial Narrow"/>
                <w:sz w:val="20"/>
              </w:rPr>
            </w:pPr>
            <w:r w:rsidRPr="002A7CC6">
              <w:rPr>
                <w:rFonts w:ascii="Arial Narrow" w:hAnsi="Arial Narrow"/>
                <w:sz w:val="20"/>
              </w:rPr>
              <w:t>Indirect analysis of inotuzumab vs. blinatumomab</w:t>
            </w:r>
          </w:p>
        </w:tc>
        <w:tc>
          <w:tcPr>
            <w:tcW w:w="1482"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3.23 (1.63, 6.40)</w:t>
            </w:r>
          </w:p>
        </w:tc>
      </w:tr>
      <w:tr w:rsidR="00293E80" w:rsidRPr="002A7CC6" w:rsidTr="005A272B">
        <w:tc>
          <w:tcPr>
            <w:tcW w:w="2201" w:type="dxa"/>
            <w:vAlign w:val="center"/>
          </w:tcPr>
          <w:p w:rsidR="00293E80" w:rsidRPr="002A7CC6" w:rsidRDefault="007D7344" w:rsidP="00007D60">
            <w:pPr>
              <w:keepNext/>
              <w:keepLines/>
              <w:widowControl/>
              <w:jc w:val="left"/>
              <w:rPr>
                <w:rFonts w:ascii="Arial Narrow" w:hAnsi="Arial Narrow"/>
                <w:sz w:val="20"/>
              </w:rPr>
            </w:pPr>
            <w:r>
              <w:rPr>
                <w:rFonts w:ascii="Arial Narrow" w:hAnsi="Arial Narrow"/>
                <w:sz w:val="20"/>
              </w:rPr>
              <w:t>INO-VATE ALL</w:t>
            </w:r>
          </w:p>
          <w:p w:rsidR="00293E80" w:rsidRPr="002A7CC6" w:rsidRDefault="00293E80" w:rsidP="00007D60">
            <w:pPr>
              <w:keepNext/>
              <w:keepLines/>
              <w:widowControl/>
              <w:jc w:val="left"/>
              <w:rPr>
                <w:rFonts w:ascii="Arial Narrow" w:hAnsi="Arial Narrow"/>
                <w:sz w:val="20"/>
              </w:rPr>
            </w:pPr>
            <w:r w:rsidRPr="002A7CC6">
              <w:rPr>
                <w:rFonts w:ascii="Arial Narrow" w:hAnsi="Arial Narrow"/>
                <w:sz w:val="20"/>
              </w:rPr>
              <w:t>(MAIC restricted set)</w:t>
            </w:r>
          </w:p>
        </w:tc>
        <w:tc>
          <w:tcPr>
            <w:tcW w:w="1775"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N=100</w:t>
            </w:r>
          </w:p>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52 (51.5%)</w:t>
            </w:r>
          </w:p>
        </w:tc>
        <w:tc>
          <w:tcPr>
            <w:tcW w:w="1781" w:type="dxa"/>
            <w:vAlign w:val="center"/>
          </w:tcPr>
          <w:p w:rsidR="00293E80" w:rsidRPr="002A7CC6" w:rsidRDefault="00293E80" w:rsidP="00007D60">
            <w:pPr>
              <w:keepNext/>
              <w:keepLines/>
              <w:widowControl/>
              <w:jc w:val="center"/>
              <w:rPr>
                <w:rFonts w:ascii="Arial Narrow" w:hAnsi="Arial Narrow"/>
                <w:sz w:val="20"/>
              </w:rPr>
            </w:pPr>
            <w:r w:rsidRPr="002A7CC6">
              <w:rPr>
                <w:rFonts w:ascii="Arial Narrow" w:hAnsi="Arial Narrow"/>
                <w:sz w:val="20"/>
              </w:rPr>
              <w:t>N=94</w:t>
            </w:r>
          </w:p>
          <w:p w:rsidR="00293E80" w:rsidRPr="002A7CC6" w:rsidRDefault="00293E80" w:rsidP="00007D60">
            <w:pPr>
              <w:keepNext/>
              <w:keepLines/>
              <w:widowControl/>
              <w:jc w:val="center"/>
              <w:rPr>
                <w:rFonts w:ascii="Arial Narrow" w:hAnsi="Arial Narrow"/>
                <w:sz w:val="20"/>
              </w:rPr>
            </w:pPr>
            <w:r w:rsidRPr="002A7CC6">
              <w:rPr>
                <w:rFonts w:ascii="Arial Narrow" w:hAnsi="Arial Narrow"/>
                <w:kern w:val="24"/>
                <w:sz w:val="20"/>
              </w:rPr>
              <w:t>19 (20.4%)</w:t>
            </w:r>
          </w:p>
        </w:tc>
        <w:tc>
          <w:tcPr>
            <w:tcW w:w="1783" w:type="dxa"/>
            <w:vAlign w:val="center"/>
          </w:tcPr>
          <w:p w:rsidR="00293E80" w:rsidRPr="002A7CC6" w:rsidRDefault="00293E80" w:rsidP="00007D60">
            <w:pPr>
              <w:keepNext/>
              <w:keepLines/>
              <w:widowControl/>
              <w:jc w:val="center"/>
              <w:rPr>
                <w:rFonts w:ascii="Arial Narrow" w:hAnsi="Arial Narrow"/>
                <w:sz w:val="20"/>
              </w:rPr>
            </w:pPr>
            <w:r w:rsidRPr="002A7CC6">
              <w:rPr>
                <w:rFonts w:ascii="Arial Narrow" w:hAnsi="Arial Narrow"/>
                <w:sz w:val="20"/>
              </w:rPr>
              <w:t>-</w:t>
            </w:r>
          </w:p>
        </w:tc>
        <w:tc>
          <w:tcPr>
            <w:tcW w:w="1482"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6.75 (3.04, 14.95)</w:t>
            </w:r>
          </w:p>
        </w:tc>
      </w:tr>
      <w:tr w:rsidR="00293E80" w:rsidRPr="002A7CC6" w:rsidTr="005A272B">
        <w:tc>
          <w:tcPr>
            <w:tcW w:w="2201" w:type="dxa"/>
            <w:vAlign w:val="center"/>
          </w:tcPr>
          <w:p w:rsidR="00293E80" w:rsidRPr="002A7CC6" w:rsidRDefault="00293E80" w:rsidP="00007D60">
            <w:pPr>
              <w:keepNext/>
              <w:keepLines/>
              <w:widowControl/>
              <w:jc w:val="left"/>
              <w:rPr>
                <w:rFonts w:ascii="Arial Narrow" w:hAnsi="Arial Narrow"/>
                <w:sz w:val="20"/>
              </w:rPr>
            </w:pPr>
            <w:r w:rsidRPr="002A7CC6">
              <w:rPr>
                <w:rFonts w:ascii="Arial Narrow" w:hAnsi="Arial Narrow"/>
                <w:sz w:val="20"/>
              </w:rPr>
              <w:t>TOWER (ITT)</w:t>
            </w:r>
          </w:p>
        </w:tc>
        <w:tc>
          <w:tcPr>
            <w:tcW w:w="1775" w:type="dxa"/>
            <w:vAlign w:val="center"/>
          </w:tcPr>
          <w:p w:rsidR="00293E80" w:rsidRPr="002A7CC6" w:rsidRDefault="00293E80" w:rsidP="00007D60">
            <w:pPr>
              <w:keepNext/>
              <w:keepLines/>
              <w:widowControl/>
              <w:jc w:val="center"/>
              <w:rPr>
                <w:rFonts w:ascii="Arial Narrow" w:hAnsi="Arial Narrow"/>
                <w:sz w:val="20"/>
              </w:rPr>
            </w:pPr>
            <w:r w:rsidRPr="002A7CC6">
              <w:rPr>
                <w:rFonts w:ascii="Arial Narrow" w:hAnsi="Arial Narrow"/>
                <w:sz w:val="20"/>
              </w:rPr>
              <w:t>-</w:t>
            </w:r>
          </w:p>
        </w:tc>
        <w:tc>
          <w:tcPr>
            <w:tcW w:w="1781"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N=134</w:t>
            </w:r>
          </w:p>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32 (23.9%)</w:t>
            </w:r>
          </w:p>
        </w:tc>
        <w:tc>
          <w:tcPr>
            <w:tcW w:w="1783"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N=271</w:t>
            </w:r>
          </w:p>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65 (24.0%)</w:t>
            </w:r>
          </w:p>
        </w:tc>
        <w:tc>
          <w:tcPr>
            <w:tcW w:w="1482"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1.01 (0.62, 1.63)</w:t>
            </w:r>
          </w:p>
        </w:tc>
      </w:tr>
      <w:tr w:rsidR="00293E80" w:rsidRPr="002A7CC6" w:rsidTr="005A272B">
        <w:tc>
          <w:tcPr>
            <w:tcW w:w="7540" w:type="dxa"/>
            <w:gridSpan w:val="4"/>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sz w:val="20"/>
              </w:rPr>
              <w:t>Matching adjusted indirect analysis of inotuzumab vs. blinatumomab (</w:t>
            </w:r>
            <w:r w:rsidR="007D7344">
              <w:rPr>
                <w:rFonts w:ascii="Arial Narrow" w:hAnsi="Arial Narrow"/>
                <w:sz w:val="20"/>
              </w:rPr>
              <w:t>INO-VATE ALL</w:t>
            </w:r>
            <w:r w:rsidRPr="002A7CC6">
              <w:rPr>
                <w:rFonts w:ascii="Arial Narrow" w:hAnsi="Arial Narrow"/>
                <w:sz w:val="20"/>
              </w:rPr>
              <w:t xml:space="preserve"> restricted set)</w:t>
            </w:r>
          </w:p>
        </w:tc>
        <w:tc>
          <w:tcPr>
            <w:tcW w:w="1482" w:type="dxa"/>
            <w:vAlign w:val="center"/>
          </w:tcPr>
          <w:p w:rsidR="00293E80" w:rsidRPr="002A7CC6" w:rsidRDefault="00293E80" w:rsidP="00007D60">
            <w:pPr>
              <w:pStyle w:val="NoSpacing"/>
              <w:keepNext/>
              <w:keepLines/>
              <w:widowControl/>
              <w:ind w:left="-74" w:right="-81"/>
              <w:jc w:val="center"/>
              <w:rPr>
                <w:rFonts w:ascii="Arial Narrow" w:hAnsi="Arial Narrow"/>
                <w:kern w:val="24"/>
                <w:sz w:val="20"/>
              </w:rPr>
            </w:pPr>
            <w:r w:rsidRPr="002A7CC6">
              <w:rPr>
                <w:rFonts w:ascii="Arial Narrow" w:hAnsi="Arial Narrow"/>
                <w:kern w:val="24"/>
                <w:sz w:val="20"/>
              </w:rPr>
              <w:t>4.11 (1.85, 9.12)</w:t>
            </w:r>
          </w:p>
        </w:tc>
      </w:tr>
    </w:tbl>
    <w:p w:rsidR="00293E80" w:rsidRPr="002A7CC6" w:rsidRDefault="00293E80" w:rsidP="00007D60">
      <w:pPr>
        <w:pStyle w:val="BodyText"/>
        <w:keepNext/>
        <w:keepLines/>
        <w:widowControl/>
        <w:rPr>
          <w:rFonts w:ascii="Arial Narrow" w:hAnsi="Arial Narrow"/>
          <w:sz w:val="18"/>
          <w:szCs w:val="18"/>
        </w:rPr>
      </w:pPr>
      <w:r w:rsidRPr="002A7CC6">
        <w:rPr>
          <w:rFonts w:ascii="Arial Narrow" w:hAnsi="Arial Narrow"/>
          <w:sz w:val="18"/>
          <w:szCs w:val="18"/>
        </w:rPr>
        <w:t>Source: Tables 2.6.10-2.6.11, p.229 of the submission.</w:t>
      </w:r>
    </w:p>
    <w:p w:rsidR="00293E80" w:rsidRPr="002A7CC6" w:rsidRDefault="00293E80" w:rsidP="00007D60">
      <w:pPr>
        <w:pStyle w:val="BodyText"/>
        <w:keepNext/>
        <w:keepLines/>
        <w:widowControl/>
        <w:rPr>
          <w:rFonts w:ascii="Arial Narrow" w:hAnsi="Arial Narrow"/>
          <w:sz w:val="18"/>
          <w:szCs w:val="18"/>
        </w:rPr>
      </w:pPr>
      <w:r w:rsidRPr="002A7CC6">
        <w:rPr>
          <w:rFonts w:ascii="Arial Narrow" w:hAnsi="Arial Narrow"/>
          <w:sz w:val="18"/>
          <w:szCs w:val="18"/>
        </w:rPr>
        <w:t>Abbreviations: CI, confidence interval; HSCT, haematopoietic stem cell transplant; ITT, intention-to-treat; MAIC, matching adjusted indirect comparison; SOC, standard of care chemotherapy.</w:t>
      </w:r>
    </w:p>
    <w:p w:rsidR="00293E80" w:rsidRPr="002A7CC6" w:rsidRDefault="00293E80" w:rsidP="00F96F7D">
      <w:pPr>
        <w:pStyle w:val="TableFooter"/>
        <w:rPr>
          <w:snapToGrid/>
          <w:lang w:val="en-US" w:eastAsia="en-AU"/>
        </w:rPr>
      </w:pPr>
    </w:p>
    <w:p w:rsidR="00293E80" w:rsidRPr="002A7CC6" w:rsidRDefault="00293E80"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For HSCT rates the comparisons with standard of care chemotherapy statistically significantly </w:t>
      </w:r>
      <w:r w:rsidRPr="002A7CC6">
        <w:rPr>
          <w:rFonts w:cs="Calibri"/>
          <w:snapToGrid/>
          <w:szCs w:val="24"/>
          <w:lang w:eastAsia="en-AU"/>
        </w:rPr>
        <w:t>favoured</w:t>
      </w:r>
      <w:r w:rsidRPr="002A7CC6">
        <w:rPr>
          <w:rFonts w:cs="Calibri"/>
          <w:snapToGrid/>
          <w:szCs w:val="24"/>
          <w:lang w:val="en-US" w:eastAsia="en-AU"/>
        </w:rPr>
        <w:t xml:space="preserve"> inotuzumab (</w:t>
      </w:r>
      <w:r w:rsidR="007D7344">
        <w:rPr>
          <w:rFonts w:cs="Calibri"/>
          <w:snapToGrid/>
          <w:szCs w:val="24"/>
          <w:lang w:val="en-US" w:eastAsia="en-AU"/>
        </w:rPr>
        <w:t>INO-VATE ALL</w:t>
      </w:r>
      <w:r w:rsidRPr="002A7CC6">
        <w:rPr>
          <w:rFonts w:cs="Calibri"/>
          <w:snapToGrid/>
          <w:szCs w:val="24"/>
          <w:lang w:val="en-US" w:eastAsia="en-AU"/>
        </w:rPr>
        <w:t xml:space="preserve">), but not blinatumomab (TOWER). Substantially larger proportions of patients in the inotuzumab arm of the </w:t>
      </w:r>
      <w:r w:rsidR="007D7344">
        <w:rPr>
          <w:rFonts w:cs="Calibri"/>
          <w:snapToGrid/>
          <w:szCs w:val="24"/>
          <w:lang w:val="en-US" w:eastAsia="en-AU"/>
        </w:rPr>
        <w:t>INO-VATE ALL</w:t>
      </w:r>
      <w:r w:rsidRPr="002A7CC6">
        <w:rPr>
          <w:rFonts w:cs="Calibri"/>
          <w:snapToGrid/>
          <w:szCs w:val="24"/>
          <w:lang w:val="en-US" w:eastAsia="en-AU"/>
        </w:rPr>
        <w:t xml:space="preserve"> trial progressed to HSCT compared to standard of care chemotherapy, and both treatment arms of the TOWER trial. </w:t>
      </w:r>
    </w:p>
    <w:p w:rsidR="00293E80" w:rsidRPr="002A7CC6" w:rsidRDefault="00293E80" w:rsidP="005E0AA4">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The results of the indirect comparisons statistically significantly </w:t>
      </w:r>
      <w:r w:rsidRPr="002A7CC6">
        <w:rPr>
          <w:rFonts w:cs="Calibri"/>
          <w:snapToGrid/>
          <w:szCs w:val="24"/>
          <w:lang w:eastAsia="en-AU"/>
        </w:rPr>
        <w:t>favoured</w:t>
      </w:r>
      <w:r w:rsidRPr="002A7CC6">
        <w:rPr>
          <w:rFonts w:cs="Calibri"/>
          <w:snapToGrid/>
          <w:szCs w:val="24"/>
          <w:lang w:val="en-US" w:eastAsia="en-AU"/>
        </w:rPr>
        <w:t xml:space="preserve"> inotuzumab. Given differences in HSCT rates between trials may be due to differences in selection criteria for progression to HSCT, trial populations, trial design or selection of patients for HSCT in open label trials </w:t>
      </w:r>
      <w:r w:rsidR="003E7678" w:rsidRPr="002A7CC6">
        <w:rPr>
          <w:rFonts w:cs="Calibri"/>
          <w:snapToGrid/>
          <w:szCs w:val="24"/>
          <w:lang w:val="en-US" w:eastAsia="en-AU"/>
        </w:rPr>
        <w:t xml:space="preserve">the evaluation considered that </w:t>
      </w:r>
      <w:r w:rsidRPr="002A7CC6">
        <w:rPr>
          <w:rFonts w:cs="Calibri"/>
          <w:snapToGrid/>
          <w:szCs w:val="24"/>
          <w:lang w:val="en-US" w:eastAsia="en-AU"/>
        </w:rPr>
        <w:t>these results should be interpreted with caution.</w:t>
      </w:r>
      <w:r w:rsidR="003E7678" w:rsidRPr="002A7CC6">
        <w:rPr>
          <w:rFonts w:cs="Calibri"/>
          <w:snapToGrid/>
          <w:szCs w:val="24"/>
          <w:lang w:val="en-US" w:eastAsia="en-AU"/>
        </w:rPr>
        <w:t xml:space="preserve"> However, the ESC noted that HSCT rates were similar in the standard of care chemotherapy arms between the two trials. </w:t>
      </w:r>
    </w:p>
    <w:p w:rsidR="00E13672" w:rsidRDefault="00AF1B3B" w:rsidP="00007D60">
      <w:pPr>
        <w:pStyle w:val="ListParagraph"/>
        <w:widowControl/>
        <w:numPr>
          <w:ilvl w:val="1"/>
          <w:numId w:val="1"/>
        </w:numPr>
        <w:rPr>
          <w:rFonts w:cs="Calibri"/>
          <w:snapToGrid/>
          <w:szCs w:val="24"/>
          <w:lang w:val="en-US" w:eastAsia="en-AU"/>
        </w:rPr>
      </w:pPr>
      <w:r>
        <w:rPr>
          <w:rFonts w:cs="Calibri"/>
          <w:snapToGrid/>
          <w:szCs w:val="24"/>
          <w:lang w:val="en-US" w:eastAsia="en-AU"/>
        </w:rPr>
        <w:t>T</w:t>
      </w:r>
      <w:r w:rsidR="00E13672" w:rsidRPr="002A7CC6">
        <w:rPr>
          <w:rFonts w:cs="Calibri"/>
          <w:snapToGrid/>
          <w:szCs w:val="24"/>
          <w:lang w:val="en-US" w:eastAsia="en-AU"/>
        </w:rPr>
        <w:t xml:space="preserve">he ESC noted that inotuzumab was associated with a higher rate of HSCT </w:t>
      </w:r>
      <w:r w:rsidR="003E7678" w:rsidRPr="002A7CC6">
        <w:rPr>
          <w:rFonts w:cs="Calibri"/>
          <w:snapToGrid/>
          <w:szCs w:val="24"/>
          <w:lang w:val="en-US" w:eastAsia="en-AU"/>
        </w:rPr>
        <w:t xml:space="preserve">than blinatumomab </w:t>
      </w:r>
      <w:r w:rsidR="00E13672" w:rsidRPr="002A7CC6">
        <w:rPr>
          <w:rFonts w:cs="Calibri"/>
          <w:snapToGrid/>
          <w:szCs w:val="24"/>
          <w:lang w:val="en-US" w:eastAsia="en-AU"/>
        </w:rPr>
        <w:t xml:space="preserve">and considered that this was a clinically meaningful outcome that likely contributed to the overall survival </w:t>
      </w:r>
      <w:r w:rsidR="003E7678" w:rsidRPr="002A7CC6">
        <w:rPr>
          <w:rFonts w:cs="Calibri"/>
          <w:snapToGrid/>
          <w:szCs w:val="24"/>
          <w:lang w:val="en-US" w:eastAsia="en-AU"/>
        </w:rPr>
        <w:t xml:space="preserve">and event free survival </w:t>
      </w:r>
      <w:r w:rsidR="00E13672" w:rsidRPr="002A7CC6">
        <w:rPr>
          <w:rFonts w:cs="Calibri"/>
          <w:snapToGrid/>
          <w:szCs w:val="24"/>
          <w:lang w:val="en-US" w:eastAsia="en-AU"/>
        </w:rPr>
        <w:t>outcomes achieved with inotuzumab.</w:t>
      </w:r>
    </w:p>
    <w:p w:rsidR="00AF1B3B" w:rsidRPr="002A7CC6" w:rsidRDefault="00AF1B3B" w:rsidP="00AF1B3B">
      <w:pPr>
        <w:pStyle w:val="ListParagraph"/>
        <w:widowControl/>
        <w:numPr>
          <w:ilvl w:val="1"/>
          <w:numId w:val="1"/>
        </w:numPr>
        <w:rPr>
          <w:rFonts w:cs="Calibri"/>
          <w:snapToGrid/>
          <w:szCs w:val="24"/>
          <w:lang w:val="en-US" w:eastAsia="en-AU"/>
        </w:rPr>
      </w:pPr>
      <w:r>
        <w:rPr>
          <w:rFonts w:cs="Calibri"/>
          <w:snapToGrid/>
          <w:szCs w:val="24"/>
          <w:lang w:val="en-US" w:eastAsia="en-AU"/>
        </w:rPr>
        <w:t xml:space="preserve">Overall, the PBAC agreed with the evaluation and considered that the comparison of </w:t>
      </w:r>
      <w:r w:rsidRPr="00AF1B3B">
        <w:rPr>
          <w:rFonts w:cs="Calibri"/>
          <w:snapToGrid/>
          <w:szCs w:val="24"/>
          <w:lang w:val="en-US" w:eastAsia="en-AU"/>
        </w:rPr>
        <w:t xml:space="preserve">HSCT rates between </w:t>
      </w:r>
      <w:r>
        <w:rPr>
          <w:rFonts w:cs="Calibri"/>
          <w:snapToGrid/>
          <w:szCs w:val="24"/>
          <w:lang w:val="en-US" w:eastAsia="en-AU"/>
        </w:rPr>
        <w:t xml:space="preserve">the two </w:t>
      </w:r>
      <w:r w:rsidRPr="00AF1B3B">
        <w:rPr>
          <w:rFonts w:cs="Calibri"/>
          <w:snapToGrid/>
          <w:szCs w:val="24"/>
          <w:lang w:val="en-US" w:eastAsia="en-AU"/>
        </w:rPr>
        <w:t xml:space="preserve">trials </w:t>
      </w:r>
      <w:r>
        <w:rPr>
          <w:rFonts w:cs="Calibri"/>
          <w:snapToGrid/>
          <w:szCs w:val="24"/>
          <w:lang w:val="en-US" w:eastAsia="en-AU"/>
        </w:rPr>
        <w:t xml:space="preserve">was difficult to interpret </w:t>
      </w:r>
      <w:r w:rsidRPr="00AF1B3B">
        <w:rPr>
          <w:rFonts w:cs="Calibri"/>
          <w:snapToGrid/>
          <w:szCs w:val="24"/>
          <w:lang w:val="en-US" w:eastAsia="en-AU"/>
        </w:rPr>
        <w:t xml:space="preserve">given the differences between the </w:t>
      </w:r>
      <w:proofErr w:type="gramStart"/>
      <w:r w:rsidRPr="00AF1B3B">
        <w:rPr>
          <w:rFonts w:cs="Calibri"/>
          <w:snapToGrid/>
          <w:szCs w:val="24"/>
          <w:lang w:val="en-US" w:eastAsia="en-AU"/>
        </w:rPr>
        <w:t>patient</w:t>
      </w:r>
      <w:proofErr w:type="gramEnd"/>
      <w:r w:rsidRPr="00AF1B3B">
        <w:rPr>
          <w:rFonts w:cs="Calibri"/>
          <w:snapToGrid/>
          <w:szCs w:val="24"/>
          <w:lang w:val="en-US" w:eastAsia="en-AU"/>
        </w:rPr>
        <w:t xml:space="preserve"> populations enrolled in the trials. </w:t>
      </w:r>
    </w:p>
    <w:p w:rsidR="00293E80" w:rsidRPr="002A7CC6" w:rsidRDefault="00293E80" w:rsidP="00007D60">
      <w:pPr>
        <w:pStyle w:val="ListParagraph"/>
        <w:widowControl/>
        <w:numPr>
          <w:ilvl w:val="1"/>
          <w:numId w:val="1"/>
        </w:numPr>
      </w:pPr>
      <w:r w:rsidRPr="002A7CC6">
        <w:rPr>
          <w:rFonts w:cs="Calibri"/>
          <w:szCs w:val="24"/>
        </w:rPr>
        <w:lastRenderedPageBreak/>
        <w:t xml:space="preserve">Quality of life outcomes were reported </w:t>
      </w:r>
      <w:r w:rsidR="002F2E75" w:rsidRPr="002A7CC6">
        <w:rPr>
          <w:rFonts w:cs="Calibri"/>
          <w:szCs w:val="24"/>
        </w:rPr>
        <w:t xml:space="preserve">using </w:t>
      </w:r>
      <w:r w:rsidRPr="002A7CC6">
        <w:rPr>
          <w:rFonts w:cs="Calibri"/>
          <w:szCs w:val="24"/>
        </w:rPr>
        <w:t xml:space="preserve">EORTC QLQ-C30 </w:t>
      </w:r>
      <w:r w:rsidRPr="002A7CC6">
        <w:t xml:space="preserve">and EQ-5D for the </w:t>
      </w:r>
      <w:r w:rsidR="007D7344">
        <w:t>INO-VATE ALL</w:t>
      </w:r>
      <w:r w:rsidRPr="002A7CC6">
        <w:t xml:space="preserve"> trial ITT population (8 March 2016 </w:t>
      </w:r>
      <w:proofErr w:type="spellStart"/>
      <w:r w:rsidRPr="002A7CC6">
        <w:t>cutoff</w:t>
      </w:r>
      <w:proofErr w:type="spellEnd"/>
      <w:r w:rsidRPr="002A7CC6">
        <w:t xml:space="preserve">). There were no statistically significant differences in EQ-5D and EQ-VAS between patients treated with inotuzumab or standard of care chemotherapy. In the EORTC QLQ-C30 three functional and one individual scales showed statistically significantly improvements for patients treated with inotuzumab compared to standard of care chemotherapy (physical functioning, role functioning, social functioning and appetite loss). </w:t>
      </w:r>
    </w:p>
    <w:p w:rsidR="00293E80" w:rsidRDefault="00293E80" w:rsidP="00007D60">
      <w:pPr>
        <w:pStyle w:val="ListParagraph"/>
        <w:widowControl/>
        <w:numPr>
          <w:ilvl w:val="1"/>
          <w:numId w:val="1"/>
        </w:numPr>
        <w:rPr>
          <w:rFonts w:cs="Calibri"/>
          <w:szCs w:val="24"/>
        </w:rPr>
      </w:pPr>
      <w:r w:rsidRPr="002A7CC6">
        <w:rPr>
          <w:rFonts w:cs="Calibri"/>
          <w:szCs w:val="24"/>
        </w:rPr>
        <w:t xml:space="preserve">Quality of life outcomes were reported </w:t>
      </w:r>
      <w:r w:rsidR="004F5A88" w:rsidRPr="002A7CC6">
        <w:rPr>
          <w:rFonts w:cs="Calibri"/>
          <w:szCs w:val="24"/>
        </w:rPr>
        <w:t xml:space="preserve">using </w:t>
      </w:r>
      <w:r w:rsidRPr="002A7CC6">
        <w:rPr>
          <w:rFonts w:cs="Calibri"/>
          <w:szCs w:val="24"/>
        </w:rPr>
        <w:t>EORTC QLQ-C30 in the TOWER trial. Mean changes in the global health scale, functional scales, and symptom scales of the EORTC QLQ-C30 questionnaire were minimal for blinatumomab compared to worsening scores for standard of care chemotherapy. Time to clinically meaningful deterioration in health related quality of life or death was delayed for blinatumomab compared to standard of care chemotherapy across all EORTC QLQ-C30 scales. Results were statistically significantly in favour of blinatumomab in all scales except social functioning, insomnia and financial difficulties.</w:t>
      </w:r>
    </w:p>
    <w:p w:rsidR="00442E46" w:rsidRPr="002A7CC6" w:rsidRDefault="00442E46" w:rsidP="00007D60">
      <w:pPr>
        <w:pStyle w:val="ListParagraph"/>
        <w:widowControl/>
        <w:numPr>
          <w:ilvl w:val="1"/>
          <w:numId w:val="1"/>
        </w:numPr>
        <w:rPr>
          <w:rFonts w:cs="Calibri"/>
          <w:szCs w:val="24"/>
        </w:rPr>
      </w:pPr>
      <w:r>
        <w:rPr>
          <w:rFonts w:cs="Calibri"/>
          <w:szCs w:val="24"/>
        </w:rPr>
        <w:t xml:space="preserve">The PBAC </w:t>
      </w:r>
      <w:r w:rsidR="00975046">
        <w:rPr>
          <w:rFonts w:cs="Calibri"/>
          <w:szCs w:val="24"/>
        </w:rPr>
        <w:t>consider</w:t>
      </w:r>
      <w:r>
        <w:rPr>
          <w:rFonts w:cs="Calibri"/>
          <w:szCs w:val="24"/>
        </w:rPr>
        <w:t>ed that th</w:t>
      </w:r>
      <w:r w:rsidR="00D62148">
        <w:rPr>
          <w:rFonts w:cs="Calibri"/>
          <w:szCs w:val="24"/>
        </w:rPr>
        <w:t>e</w:t>
      </w:r>
      <w:r>
        <w:rPr>
          <w:rFonts w:cs="Calibri"/>
          <w:szCs w:val="24"/>
        </w:rPr>
        <w:t>s</w:t>
      </w:r>
      <w:r w:rsidR="00D62148">
        <w:rPr>
          <w:rFonts w:cs="Calibri"/>
          <w:szCs w:val="24"/>
        </w:rPr>
        <w:t>e</w:t>
      </w:r>
      <w:r>
        <w:rPr>
          <w:rFonts w:cs="Calibri"/>
          <w:szCs w:val="24"/>
        </w:rPr>
        <w:t xml:space="preserve"> data indicated that blinatumomab may have been associated with more favourable changes </w:t>
      </w:r>
      <w:r w:rsidR="00975046">
        <w:rPr>
          <w:rFonts w:cs="Calibri"/>
          <w:szCs w:val="24"/>
        </w:rPr>
        <w:t xml:space="preserve">in quality of life </w:t>
      </w:r>
      <w:r>
        <w:rPr>
          <w:rFonts w:cs="Calibri"/>
          <w:szCs w:val="24"/>
        </w:rPr>
        <w:t xml:space="preserve">(based on </w:t>
      </w:r>
      <w:r w:rsidRPr="002A7CC6">
        <w:rPr>
          <w:rFonts w:cs="Calibri"/>
          <w:szCs w:val="24"/>
        </w:rPr>
        <w:t>EORTC QLQ-C30</w:t>
      </w:r>
      <w:r>
        <w:rPr>
          <w:rFonts w:cs="Calibri"/>
          <w:szCs w:val="24"/>
        </w:rPr>
        <w:t xml:space="preserve">), </w:t>
      </w:r>
      <w:r w:rsidR="00975046">
        <w:rPr>
          <w:rFonts w:cs="Calibri"/>
          <w:szCs w:val="24"/>
        </w:rPr>
        <w:t xml:space="preserve">than inotuzumab. However, the PBAC also noted that blinatumomab requires a set period of hospitalisation for administration, while </w:t>
      </w:r>
      <w:r w:rsidR="00ED7267">
        <w:rPr>
          <w:rFonts w:cs="Calibri"/>
          <w:szCs w:val="24"/>
        </w:rPr>
        <w:t xml:space="preserve">hospitalisation </w:t>
      </w:r>
      <w:r w:rsidR="00975046">
        <w:rPr>
          <w:rFonts w:cs="Calibri"/>
          <w:szCs w:val="24"/>
        </w:rPr>
        <w:t xml:space="preserve">for inotuzumab </w:t>
      </w:r>
      <w:r w:rsidR="00ED7267">
        <w:rPr>
          <w:rFonts w:cs="Calibri"/>
          <w:szCs w:val="24"/>
        </w:rPr>
        <w:t>administration is not always required, dependent on patient characteristics</w:t>
      </w:r>
      <w:r w:rsidR="00975046">
        <w:rPr>
          <w:rFonts w:cs="Calibri"/>
          <w:szCs w:val="24"/>
        </w:rPr>
        <w:t xml:space="preserve">. </w:t>
      </w:r>
    </w:p>
    <w:p w:rsidR="00B60939" w:rsidRPr="002A7CC6" w:rsidRDefault="00B60939" w:rsidP="00F96F7D">
      <w:pPr>
        <w:pStyle w:val="Heading2"/>
      </w:pPr>
      <w:bookmarkStart w:id="16" w:name="_Toc524520435"/>
      <w:r w:rsidRPr="002A7CC6">
        <w:t>Comparative harms</w:t>
      </w:r>
      <w:bookmarkEnd w:id="16"/>
    </w:p>
    <w:p w:rsidR="00052663" w:rsidRPr="002A7CC6" w:rsidRDefault="00052663" w:rsidP="00655C34">
      <w:pPr>
        <w:pStyle w:val="ListParagraph"/>
        <w:widowControl/>
        <w:numPr>
          <w:ilvl w:val="1"/>
          <w:numId w:val="1"/>
        </w:numPr>
      </w:pPr>
      <w:r w:rsidRPr="002A7CC6">
        <w:t xml:space="preserve">Table </w:t>
      </w:r>
      <w:r w:rsidR="009A469F" w:rsidRPr="002A7CC6">
        <w:t>10</w:t>
      </w:r>
      <w:r w:rsidRPr="002A7CC6">
        <w:t xml:space="preserve"> summarises the key adverse events reported during the </w:t>
      </w:r>
      <w:r w:rsidR="007D7344">
        <w:t>INO-VATE ALL</w:t>
      </w:r>
      <w:r w:rsidRPr="002A7CC6">
        <w:t xml:space="preserve"> and TOWER trials.</w:t>
      </w:r>
    </w:p>
    <w:p w:rsidR="00052663" w:rsidRPr="002A7CC6" w:rsidRDefault="00052663" w:rsidP="00655C34">
      <w:pPr>
        <w:pStyle w:val="Tabletext"/>
        <w:keepNext/>
        <w:keepLines/>
        <w:rPr>
          <w:b/>
        </w:rPr>
      </w:pPr>
      <w:r w:rsidRPr="002A7CC6">
        <w:rPr>
          <w:b/>
        </w:rPr>
        <w:lastRenderedPageBreak/>
        <w:t xml:space="preserve">Table </w:t>
      </w:r>
      <w:r w:rsidR="009A469F" w:rsidRPr="002A7CC6">
        <w:rPr>
          <w:b/>
        </w:rPr>
        <w:t>10</w:t>
      </w:r>
      <w:r w:rsidRPr="002A7CC6">
        <w:rPr>
          <w:b/>
        </w:rPr>
        <w:t xml:space="preserve">: </w:t>
      </w:r>
      <w:r w:rsidR="007D7344">
        <w:rPr>
          <w:b/>
        </w:rPr>
        <w:t>INO-VATE ALL</w:t>
      </w:r>
      <w:r w:rsidRPr="002A7CC6">
        <w:rPr>
          <w:b/>
        </w:rPr>
        <w:t xml:space="preserve"> and TOWER Summary of key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56"/>
        <w:gridCol w:w="1109"/>
        <w:gridCol w:w="1214"/>
        <w:gridCol w:w="1572"/>
        <w:gridCol w:w="1566"/>
      </w:tblGrid>
      <w:tr w:rsidR="00052663" w:rsidRPr="002A7CC6" w:rsidTr="00FC3047">
        <w:trPr>
          <w:trHeight w:val="70"/>
          <w:tblHeader/>
        </w:trPr>
        <w:tc>
          <w:tcPr>
            <w:tcW w:w="3652" w:type="dxa"/>
            <w:vMerge w:val="restart"/>
            <w:vAlign w:val="center"/>
          </w:tcPr>
          <w:p w:rsidR="00052663" w:rsidRPr="002A7CC6" w:rsidRDefault="00052663" w:rsidP="00655C34">
            <w:pPr>
              <w:pStyle w:val="Tabletext"/>
              <w:keepNext/>
              <w:keepLines/>
              <w:ind w:right="-46"/>
              <w:rPr>
                <w:b/>
                <w:szCs w:val="20"/>
              </w:rPr>
            </w:pPr>
            <w:r w:rsidRPr="002A7CC6">
              <w:rPr>
                <w:b/>
                <w:szCs w:val="20"/>
              </w:rPr>
              <w:t>Events</w:t>
            </w:r>
          </w:p>
        </w:tc>
        <w:tc>
          <w:tcPr>
            <w:tcW w:w="2376" w:type="dxa"/>
            <w:gridSpan w:val="2"/>
            <w:tcBorders>
              <w:right w:val="double" w:sz="4" w:space="0" w:color="auto"/>
            </w:tcBorders>
            <w:vAlign w:val="center"/>
          </w:tcPr>
          <w:p w:rsidR="00052663" w:rsidRPr="002A7CC6" w:rsidRDefault="007D7344" w:rsidP="00655C34">
            <w:pPr>
              <w:pStyle w:val="Tabletext"/>
              <w:keepNext/>
              <w:keepLines/>
              <w:ind w:left="-50" w:right="-48"/>
              <w:jc w:val="center"/>
              <w:rPr>
                <w:b/>
                <w:szCs w:val="20"/>
              </w:rPr>
            </w:pPr>
            <w:r>
              <w:rPr>
                <w:b/>
                <w:szCs w:val="20"/>
              </w:rPr>
              <w:t>INO-VATE ALL</w:t>
            </w:r>
          </w:p>
        </w:tc>
        <w:tc>
          <w:tcPr>
            <w:tcW w:w="3215" w:type="dxa"/>
            <w:gridSpan w:val="2"/>
            <w:tcBorders>
              <w:left w:val="double" w:sz="4" w:space="0" w:color="auto"/>
            </w:tcBorders>
            <w:vAlign w:val="center"/>
          </w:tcPr>
          <w:p w:rsidR="00052663" w:rsidRPr="002A7CC6" w:rsidRDefault="00052663" w:rsidP="00655C34">
            <w:pPr>
              <w:pStyle w:val="Tabletext"/>
              <w:keepNext/>
              <w:keepLines/>
              <w:ind w:left="-50" w:right="-48"/>
              <w:jc w:val="center"/>
              <w:rPr>
                <w:b/>
                <w:szCs w:val="20"/>
              </w:rPr>
            </w:pPr>
            <w:r w:rsidRPr="002A7CC6">
              <w:rPr>
                <w:b/>
                <w:szCs w:val="20"/>
              </w:rPr>
              <w:t>TOWER</w:t>
            </w:r>
          </w:p>
        </w:tc>
      </w:tr>
      <w:tr w:rsidR="00052663" w:rsidRPr="002A7CC6" w:rsidTr="00FC3047">
        <w:trPr>
          <w:trHeight w:val="688"/>
          <w:tblHeader/>
        </w:trPr>
        <w:tc>
          <w:tcPr>
            <w:tcW w:w="3652" w:type="dxa"/>
            <w:vMerge/>
            <w:vAlign w:val="center"/>
          </w:tcPr>
          <w:p w:rsidR="00052663" w:rsidRPr="002A7CC6" w:rsidRDefault="00052663" w:rsidP="00655C34">
            <w:pPr>
              <w:pStyle w:val="Tabletext"/>
              <w:keepNext/>
              <w:keepLines/>
              <w:ind w:right="-46"/>
              <w:rPr>
                <w:b/>
                <w:szCs w:val="20"/>
              </w:rPr>
            </w:pPr>
          </w:p>
        </w:tc>
        <w:tc>
          <w:tcPr>
            <w:tcW w:w="1134" w:type="dxa"/>
            <w:vAlign w:val="center"/>
          </w:tcPr>
          <w:p w:rsidR="00052663" w:rsidRPr="002A7CC6" w:rsidRDefault="00052663" w:rsidP="00655C34">
            <w:pPr>
              <w:pStyle w:val="Tabletext"/>
              <w:keepNext/>
              <w:keepLines/>
              <w:ind w:left="-50" w:right="-48"/>
              <w:jc w:val="center"/>
              <w:rPr>
                <w:b/>
                <w:szCs w:val="20"/>
              </w:rPr>
            </w:pPr>
            <w:r w:rsidRPr="002A7CC6">
              <w:rPr>
                <w:b/>
                <w:szCs w:val="20"/>
              </w:rPr>
              <w:t>Inotuzumab</w:t>
            </w:r>
          </w:p>
          <w:p w:rsidR="00052663" w:rsidRPr="002A7CC6" w:rsidRDefault="00052663" w:rsidP="00655C34">
            <w:pPr>
              <w:pStyle w:val="Tabletext"/>
              <w:keepNext/>
              <w:keepLines/>
              <w:ind w:left="-50" w:right="-48"/>
              <w:jc w:val="center"/>
              <w:rPr>
                <w:b/>
                <w:szCs w:val="20"/>
              </w:rPr>
            </w:pPr>
            <w:proofErr w:type="gramStart"/>
            <w:r w:rsidRPr="002A7CC6">
              <w:rPr>
                <w:b/>
                <w:szCs w:val="20"/>
              </w:rPr>
              <w:t>n</w:t>
            </w:r>
            <w:proofErr w:type="gramEnd"/>
            <w:r w:rsidRPr="002A7CC6">
              <w:rPr>
                <w:b/>
                <w:szCs w:val="20"/>
              </w:rPr>
              <w:t xml:space="preserve"> (%)</w:t>
            </w:r>
          </w:p>
        </w:tc>
        <w:tc>
          <w:tcPr>
            <w:tcW w:w="1242" w:type="dxa"/>
            <w:tcBorders>
              <w:top w:val="single" w:sz="4" w:space="0" w:color="auto"/>
              <w:bottom w:val="single" w:sz="6" w:space="0" w:color="auto"/>
              <w:right w:val="double" w:sz="4" w:space="0" w:color="auto"/>
            </w:tcBorders>
            <w:vAlign w:val="center"/>
          </w:tcPr>
          <w:p w:rsidR="00052663" w:rsidRPr="002A7CC6" w:rsidRDefault="00052663" w:rsidP="00655C34">
            <w:pPr>
              <w:pStyle w:val="Tabletext"/>
              <w:keepNext/>
              <w:keepLines/>
              <w:ind w:left="-50" w:right="-48"/>
              <w:jc w:val="center"/>
              <w:rPr>
                <w:b/>
                <w:szCs w:val="20"/>
              </w:rPr>
            </w:pPr>
            <w:r w:rsidRPr="002A7CC6">
              <w:rPr>
                <w:b/>
                <w:szCs w:val="20"/>
              </w:rPr>
              <w:t>SOC chemotherapy</w:t>
            </w:r>
          </w:p>
          <w:p w:rsidR="00052663" w:rsidRPr="002A7CC6" w:rsidRDefault="00052663" w:rsidP="00655C34">
            <w:pPr>
              <w:pStyle w:val="Tabletext"/>
              <w:keepNext/>
              <w:keepLines/>
              <w:ind w:left="-50" w:right="-48"/>
              <w:jc w:val="center"/>
              <w:rPr>
                <w:b/>
                <w:szCs w:val="20"/>
              </w:rPr>
            </w:pPr>
            <w:proofErr w:type="gramStart"/>
            <w:r w:rsidRPr="002A7CC6">
              <w:rPr>
                <w:b/>
                <w:szCs w:val="20"/>
              </w:rPr>
              <w:t>n</w:t>
            </w:r>
            <w:proofErr w:type="gramEnd"/>
            <w:r w:rsidRPr="002A7CC6">
              <w:rPr>
                <w:b/>
                <w:szCs w:val="20"/>
              </w:rPr>
              <w:t xml:space="preserve"> (%)</w:t>
            </w:r>
          </w:p>
        </w:tc>
        <w:tc>
          <w:tcPr>
            <w:tcW w:w="1611" w:type="dxa"/>
            <w:tcBorders>
              <w:left w:val="double" w:sz="4" w:space="0" w:color="auto"/>
            </w:tcBorders>
            <w:vAlign w:val="center"/>
          </w:tcPr>
          <w:p w:rsidR="00052663" w:rsidRPr="002A7CC6" w:rsidRDefault="00052663" w:rsidP="00655C34">
            <w:pPr>
              <w:pStyle w:val="Tabletext"/>
              <w:keepNext/>
              <w:keepLines/>
              <w:ind w:left="-50" w:right="-48"/>
              <w:jc w:val="center"/>
              <w:rPr>
                <w:b/>
                <w:szCs w:val="20"/>
              </w:rPr>
            </w:pPr>
            <w:r w:rsidRPr="002A7CC6">
              <w:rPr>
                <w:b/>
                <w:szCs w:val="20"/>
              </w:rPr>
              <w:t>Blinatumomab</w:t>
            </w:r>
          </w:p>
          <w:p w:rsidR="00052663" w:rsidRPr="002A7CC6" w:rsidRDefault="00052663" w:rsidP="00655C34">
            <w:pPr>
              <w:pStyle w:val="Tabletext"/>
              <w:keepNext/>
              <w:keepLines/>
              <w:ind w:left="-50" w:right="-48"/>
              <w:jc w:val="center"/>
              <w:rPr>
                <w:b/>
                <w:szCs w:val="20"/>
              </w:rPr>
            </w:pPr>
            <w:proofErr w:type="gramStart"/>
            <w:r w:rsidRPr="002A7CC6">
              <w:rPr>
                <w:b/>
                <w:szCs w:val="20"/>
              </w:rPr>
              <w:t>n</w:t>
            </w:r>
            <w:proofErr w:type="gramEnd"/>
            <w:r w:rsidRPr="002A7CC6">
              <w:rPr>
                <w:b/>
                <w:szCs w:val="20"/>
              </w:rPr>
              <w:t xml:space="preserve"> (%)</w:t>
            </w:r>
          </w:p>
        </w:tc>
        <w:tc>
          <w:tcPr>
            <w:tcW w:w="1604" w:type="dxa"/>
            <w:vAlign w:val="center"/>
          </w:tcPr>
          <w:p w:rsidR="00052663" w:rsidRPr="002A7CC6" w:rsidRDefault="00052663" w:rsidP="00655C34">
            <w:pPr>
              <w:pStyle w:val="Tabletext"/>
              <w:keepNext/>
              <w:keepLines/>
              <w:ind w:left="-50" w:right="-48"/>
              <w:jc w:val="center"/>
              <w:rPr>
                <w:b/>
                <w:szCs w:val="20"/>
              </w:rPr>
            </w:pPr>
            <w:r w:rsidRPr="002A7CC6">
              <w:rPr>
                <w:b/>
                <w:szCs w:val="20"/>
              </w:rPr>
              <w:t>SOC chemotherapy</w:t>
            </w:r>
          </w:p>
          <w:p w:rsidR="00052663" w:rsidRPr="002A7CC6" w:rsidRDefault="00052663" w:rsidP="00655C34">
            <w:pPr>
              <w:pStyle w:val="Tabletext"/>
              <w:keepNext/>
              <w:keepLines/>
              <w:ind w:left="-50" w:right="-48"/>
              <w:jc w:val="center"/>
              <w:rPr>
                <w:b/>
                <w:szCs w:val="20"/>
              </w:rPr>
            </w:pPr>
            <w:proofErr w:type="gramStart"/>
            <w:r w:rsidRPr="002A7CC6">
              <w:rPr>
                <w:b/>
                <w:szCs w:val="20"/>
              </w:rPr>
              <w:t>n</w:t>
            </w:r>
            <w:proofErr w:type="gramEnd"/>
            <w:r w:rsidRPr="002A7CC6">
              <w:rPr>
                <w:b/>
                <w:szCs w:val="20"/>
              </w:rPr>
              <w:t xml:space="preserve"> (%)</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N</w:t>
            </w:r>
          </w:p>
        </w:tc>
        <w:tc>
          <w:tcPr>
            <w:tcW w:w="1134" w:type="dxa"/>
            <w:vAlign w:val="center"/>
          </w:tcPr>
          <w:p w:rsidR="00052663" w:rsidRPr="002A7CC6" w:rsidRDefault="00052663" w:rsidP="00655C34">
            <w:pPr>
              <w:pStyle w:val="Tabletext"/>
              <w:keepNext/>
              <w:keepLines/>
              <w:ind w:left="-50" w:right="-48"/>
              <w:jc w:val="center"/>
              <w:rPr>
                <w:szCs w:val="20"/>
              </w:rPr>
            </w:pPr>
            <w:r w:rsidRPr="002A7CC6">
              <w:rPr>
                <w:szCs w:val="20"/>
              </w:rPr>
              <w:t>164</w:t>
            </w:r>
          </w:p>
        </w:tc>
        <w:tc>
          <w:tcPr>
            <w:tcW w:w="1242" w:type="dxa"/>
            <w:tcBorders>
              <w:top w:val="single" w:sz="6" w:space="0" w:color="auto"/>
              <w:bottom w:val="single" w:sz="6" w:space="0" w:color="auto"/>
              <w:right w:val="double" w:sz="4" w:space="0" w:color="auto"/>
            </w:tcBorders>
            <w:vAlign w:val="center"/>
          </w:tcPr>
          <w:p w:rsidR="00052663" w:rsidRPr="002A7CC6" w:rsidRDefault="00052663" w:rsidP="00655C34">
            <w:pPr>
              <w:pStyle w:val="Tabletext"/>
              <w:keepNext/>
              <w:keepLines/>
              <w:ind w:left="-50" w:right="-48"/>
              <w:jc w:val="center"/>
              <w:rPr>
                <w:szCs w:val="20"/>
              </w:rPr>
            </w:pPr>
            <w:r w:rsidRPr="002A7CC6">
              <w:rPr>
                <w:szCs w:val="20"/>
              </w:rPr>
              <w:t>143</w:t>
            </w:r>
          </w:p>
        </w:tc>
        <w:tc>
          <w:tcPr>
            <w:tcW w:w="1611" w:type="dxa"/>
            <w:tcBorders>
              <w:left w:val="double" w:sz="4" w:space="0" w:color="auto"/>
            </w:tcBorders>
          </w:tcPr>
          <w:p w:rsidR="00052663" w:rsidRPr="002A7CC6" w:rsidRDefault="00052663" w:rsidP="00655C34">
            <w:pPr>
              <w:pStyle w:val="Tabletext"/>
              <w:keepNext/>
              <w:keepLines/>
              <w:ind w:left="-50" w:right="-48"/>
              <w:jc w:val="center"/>
              <w:rPr>
                <w:szCs w:val="20"/>
              </w:rPr>
            </w:pPr>
            <w:r w:rsidRPr="002A7CC6">
              <w:rPr>
                <w:rFonts w:cs="Arial"/>
                <w:noProof/>
                <w:szCs w:val="20"/>
                <w:lang w:val="en-GB"/>
              </w:rPr>
              <w:t>267</w:t>
            </w:r>
          </w:p>
        </w:tc>
        <w:tc>
          <w:tcPr>
            <w:tcW w:w="1604" w:type="dxa"/>
          </w:tcPr>
          <w:p w:rsidR="00052663" w:rsidRPr="002A7CC6" w:rsidRDefault="00052663" w:rsidP="00655C34">
            <w:pPr>
              <w:pStyle w:val="Tabletext"/>
              <w:keepNext/>
              <w:keepLines/>
              <w:ind w:left="-50" w:right="-48"/>
              <w:jc w:val="center"/>
              <w:rPr>
                <w:szCs w:val="20"/>
              </w:rPr>
            </w:pPr>
            <w:r w:rsidRPr="002A7CC6">
              <w:rPr>
                <w:rFonts w:cs="Arial"/>
                <w:noProof/>
                <w:szCs w:val="20"/>
                <w:lang w:val="en-GB"/>
              </w:rPr>
              <w:t>109</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Any adverse event</w:t>
            </w:r>
            <w:r w:rsidR="004E18CD" w:rsidRPr="002A7CC6">
              <w:rPr>
                <w:szCs w:val="20"/>
              </w:rPr>
              <w:t xml:space="preserve"> (</w:t>
            </w:r>
            <w:r w:rsidR="00262EB0" w:rsidRPr="002A7CC6">
              <w:rPr>
                <w:szCs w:val="20"/>
              </w:rPr>
              <w:t xml:space="preserve">n (%) </w:t>
            </w:r>
            <w:r w:rsidR="004E18CD" w:rsidRPr="002A7CC6">
              <w:rPr>
                <w:szCs w:val="20"/>
              </w:rPr>
              <w:t>p</w:t>
            </w:r>
            <w:r w:rsidR="00262EB0" w:rsidRPr="002A7CC6">
              <w:rPr>
                <w:szCs w:val="20"/>
              </w:rPr>
              <w:t>t</w:t>
            </w:r>
            <w:r w:rsidR="004E18CD" w:rsidRPr="002A7CC6">
              <w:rPr>
                <w:szCs w:val="20"/>
              </w:rPr>
              <w:t>s)</w:t>
            </w:r>
          </w:p>
        </w:tc>
        <w:tc>
          <w:tcPr>
            <w:tcW w:w="1134" w:type="dxa"/>
          </w:tcPr>
          <w:p w:rsidR="00052663" w:rsidRPr="002A7CC6" w:rsidRDefault="00052663" w:rsidP="00655C34">
            <w:pPr>
              <w:pStyle w:val="Tabletext"/>
              <w:keepNext/>
              <w:keepLines/>
              <w:ind w:left="-50" w:right="-48"/>
              <w:jc w:val="center"/>
              <w:rPr>
                <w:szCs w:val="20"/>
              </w:rPr>
            </w:pPr>
            <w:r w:rsidRPr="002A7CC6">
              <w:rPr>
                <w:szCs w:val="20"/>
              </w:rPr>
              <w:t>163 (99.4%)</w:t>
            </w:r>
          </w:p>
        </w:tc>
        <w:tc>
          <w:tcPr>
            <w:tcW w:w="1242" w:type="dxa"/>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r w:rsidRPr="002A7CC6">
              <w:rPr>
                <w:szCs w:val="20"/>
              </w:rPr>
              <w:t>143 (100.0%)</w:t>
            </w:r>
          </w:p>
        </w:tc>
        <w:tc>
          <w:tcPr>
            <w:tcW w:w="1611" w:type="dxa"/>
            <w:tcBorders>
              <w:left w:val="double" w:sz="4" w:space="0" w:color="auto"/>
            </w:tcBorders>
          </w:tcPr>
          <w:p w:rsidR="00052663" w:rsidRPr="002A7CC6" w:rsidRDefault="00052663" w:rsidP="00655C34">
            <w:pPr>
              <w:pStyle w:val="Tabletext"/>
              <w:keepNext/>
              <w:keepLines/>
              <w:ind w:left="-50" w:right="-48"/>
              <w:jc w:val="center"/>
              <w:rPr>
                <w:szCs w:val="20"/>
              </w:rPr>
            </w:pPr>
            <w:r w:rsidRPr="002A7CC6">
              <w:rPr>
                <w:rFonts w:cs="Arial"/>
                <w:noProof/>
                <w:szCs w:val="20"/>
                <w:lang w:val="en-GB"/>
              </w:rPr>
              <w:t>263 (98.5%)</w:t>
            </w:r>
          </w:p>
        </w:tc>
        <w:tc>
          <w:tcPr>
            <w:tcW w:w="1604" w:type="dxa"/>
          </w:tcPr>
          <w:p w:rsidR="00052663" w:rsidRPr="002A7CC6" w:rsidRDefault="00052663" w:rsidP="00655C34">
            <w:pPr>
              <w:pStyle w:val="Tabletext"/>
              <w:keepNext/>
              <w:keepLines/>
              <w:ind w:left="-50" w:right="-48"/>
              <w:jc w:val="center"/>
              <w:rPr>
                <w:szCs w:val="20"/>
              </w:rPr>
            </w:pPr>
            <w:r w:rsidRPr="002A7CC6">
              <w:rPr>
                <w:rFonts w:cs="Arial"/>
                <w:noProof/>
                <w:szCs w:val="20"/>
                <w:lang w:val="en-GB"/>
              </w:rPr>
              <w:t>108 (99.1%)</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Number of serious adverse events</w:t>
            </w:r>
          </w:p>
        </w:tc>
        <w:tc>
          <w:tcPr>
            <w:tcW w:w="1134" w:type="dxa"/>
          </w:tcPr>
          <w:p w:rsidR="00052663" w:rsidRPr="002A7CC6" w:rsidRDefault="00052663" w:rsidP="00655C34">
            <w:pPr>
              <w:pStyle w:val="Tabletext"/>
              <w:keepNext/>
              <w:keepLines/>
              <w:ind w:left="-50" w:right="-48"/>
              <w:jc w:val="center"/>
              <w:rPr>
                <w:szCs w:val="20"/>
              </w:rPr>
            </w:pPr>
            <w:r w:rsidRPr="002A7CC6">
              <w:rPr>
                <w:rFonts w:cs="Arial"/>
                <w:noProof/>
                <w:szCs w:val="18"/>
                <w:lang w:val="en-GB"/>
              </w:rPr>
              <w:t>186</w:t>
            </w:r>
          </w:p>
        </w:tc>
        <w:tc>
          <w:tcPr>
            <w:tcW w:w="1242" w:type="dxa"/>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r w:rsidRPr="002A7CC6">
              <w:rPr>
                <w:rFonts w:cs="Arial"/>
                <w:noProof/>
                <w:szCs w:val="18"/>
                <w:lang w:val="en-GB"/>
              </w:rPr>
              <w:t>121</w:t>
            </w:r>
          </w:p>
        </w:tc>
        <w:tc>
          <w:tcPr>
            <w:tcW w:w="1611" w:type="dxa"/>
            <w:tcBorders>
              <w:left w:val="double" w:sz="4" w:space="0" w:color="auto"/>
            </w:tcBorders>
            <w:vAlign w:val="center"/>
          </w:tcPr>
          <w:p w:rsidR="00052663" w:rsidRPr="002A7CC6" w:rsidRDefault="00052663" w:rsidP="00655C34">
            <w:pPr>
              <w:pStyle w:val="Tabletext"/>
              <w:keepNext/>
              <w:keepLines/>
              <w:ind w:left="-50" w:right="-48"/>
              <w:jc w:val="center"/>
              <w:rPr>
                <w:szCs w:val="20"/>
              </w:rPr>
            </w:pPr>
            <w:r w:rsidRPr="002A7CC6">
              <w:rPr>
                <w:szCs w:val="20"/>
              </w:rPr>
              <w:t>NR</w:t>
            </w:r>
          </w:p>
        </w:tc>
        <w:tc>
          <w:tcPr>
            <w:tcW w:w="1604" w:type="dxa"/>
            <w:vAlign w:val="center"/>
          </w:tcPr>
          <w:p w:rsidR="00052663" w:rsidRPr="002A7CC6" w:rsidRDefault="00052663" w:rsidP="00655C34">
            <w:pPr>
              <w:pStyle w:val="Tabletext"/>
              <w:keepNext/>
              <w:keepLines/>
              <w:ind w:left="-50" w:right="-48"/>
              <w:jc w:val="center"/>
              <w:rPr>
                <w:szCs w:val="20"/>
              </w:rPr>
            </w:pPr>
            <w:r w:rsidRPr="002A7CC6">
              <w:rPr>
                <w:szCs w:val="20"/>
              </w:rPr>
              <w:t>NR</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Serious adverse events (</w:t>
            </w:r>
            <w:r w:rsidR="00262EB0" w:rsidRPr="002A7CC6">
              <w:rPr>
                <w:szCs w:val="20"/>
              </w:rPr>
              <w:t xml:space="preserve">n (%) </w:t>
            </w:r>
            <w:r w:rsidRPr="002A7CC6">
              <w:rPr>
                <w:szCs w:val="20"/>
              </w:rPr>
              <w:t>pts)</w:t>
            </w:r>
          </w:p>
        </w:tc>
        <w:tc>
          <w:tcPr>
            <w:tcW w:w="1134" w:type="dxa"/>
          </w:tcPr>
          <w:p w:rsidR="00052663" w:rsidRPr="002A7CC6" w:rsidRDefault="00052663" w:rsidP="00655C34">
            <w:pPr>
              <w:pStyle w:val="Tabletext"/>
              <w:keepNext/>
              <w:keepLines/>
              <w:ind w:left="-50" w:right="-48"/>
              <w:jc w:val="center"/>
              <w:rPr>
                <w:szCs w:val="20"/>
              </w:rPr>
            </w:pPr>
            <w:r w:rsidRPr="002A7CC6">
              <w:rPr>
                <w:szCs w:val="20"/>
              </w:rPr>
              <w:t>84 (51.2%)</w:t>
            </w:r>
            <w:r w:rsidRPr="002A7CC6">
              <w:rPr>
                <w:szCs w:val="20"/>
                <w:vertAlign w:val="superscript"/>
              </w:rPr>
              <w:t>a</w:t>
            </w:r>
          </w:p>
        </w:tc>
        <w:tc>
          <w:tcPr>
            <w:tcW w:w="1242" w:type="dxa"/>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r w:rsidRPr="002A7CC6">
              <w:rPr>
                <w:szCs w:val="20"/>
              </w:rPr>
              <w:t>71 (49.7%)</w:t>
            </w:r>
          </w:p>
        </w:tc>
        <w:tc>
          <w:tcPr>
            <w:tcW w:w="1611" w:type="dxa"/>
            <w:tcBorders>
              <w:left w:val="double" w:sz="4" w:space="0" w:color="auto"/>
            </w:tcBorders>
          </w:tcPr>
          <w:p w:rsidR="00052663" w:rsidRPr="002A7CC6" w:rsidRDefault="00052663" w:rsidP="00655C34">
            <w:pPr>
              <w:pStyle w:val="Tabletext"/>
              <w:keepNext/>
              <w:keepLines/>
              <w:ind w:left="-50" w:right="-48"/>
              <w:jc w:val="center"/>
              <w:rPr>
                <w:szCs w:val="20"/>
              </w:rPr>
            </w:pPr>
            <w:r w:rsidRPr="002A7CC6">
              <w:rPr>
                <w:rFonts w:cs="Arial"/>
                <w:noProof/>
                <w:szCs w:val="20"/>
                <w:lang w:val="en-GB"/>
              </w:rPr>
              <w:t>165 (61.8%)</w:t>
            </w:r>
            <w:r w:rsidRPr="002A7CC6">
              <w:rPr>
                <w:rFonts w:cs="Arial"/>
                <w:noProof/>
                <w:szCs w:val="20"/>
                <w:vertAlign w:val="superscript"/>
                <w:lang w:val="en-GB"/>
              </w:rPr>
              <w:t>a</w:t>
            </w:r>
          </w:p>
        </w:tc>
        <w:tc>
          <w:tcPr>
            <w:tcW w:w="1604" w:type="dxa"/>
          </w:tcPr>
          <w:p w:rsidR="00052663" w:rsidRPr="002A7CC6" w:rsidRDefault="00052663" w:rsidP="00655C34">
            <w:pPr>
              <w:pStyle w:val="Tabletext"/>
              <w:keepNext/>
              <w:keepLines/>
              <w:ind w:left="-50" w:right="-48"/>
              <w:jc w:val="center"/>
              <w:rPr>
                <w:szCs w:val="20"/>
              </w:rPr>
            </w:pPr>
            <w:r w:rsidRPr="002A7CC6">
              <w:rPr>
                <w:rFonts w:cs="Arial"/>
                <w:noProof/>
                <w:szCs w:val="20"/>
                <w:lang w:val="en-GB"/>
              </w:rPr>
              <w:t>49 (45.0%)</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Grade 3 adverse events</w:t>
            </w:r>
            <w:r w:rsidR="00262EB0" w:rsidRPr="002A7CC6">
              <w:rPr>
                <w:szCs w:val="20"/>
              </w:rPr>
              <w:t xml:space="preserve"> (n (%) pts)</w:t>
            </w:r>
          </w:p>
        </w:tc>
        <w:tc>
          <w:tcPr>
            <w:tcW w:w="1134" w:type="dxa"/>
            <w:vMerge w:val="restart"/>
            <w:vAlign w:val="center"/>
          </w:tcPr>
          <w:p w:rsidR="00052663" w:rsidRPr="002A7CC6" w:rsidRDefault="00052663" w:rsidP="00655C34">
            <w:pPr>
              <w:pStyle w:val="Tabletext"/>
              <w:keepNext/>
              <w:keepLines/>
              <w:ind w:left="-50" w:right="-48"/>
              <w:jc w:val="center"/>
              <w:rPr>
                <w:szCs w:val="20"/>
              </w:rPr>
            </w:pPr>
            <w:r w:rsidRPr="002A7CC6">
              <w:rPr>
                <w:szCs w:val="20"/>
              </w:rPr>
              <w:t>147 (89.6%)</w:t>
            </w:r>
          </w:p>
        </w:tc>
        <w:tc>
          <w:tcPr>
            <w:tcW w:w="1242" w:type="dxa"/>
            <w:vMerge w:val="restart"/>
            <w:tcBorders>
              <w:top w:val="single" w:sz="6" w:space="0" w:color="auto"/>
              <w:bottom w:val="single" w:sz="6" w:space="0" w:color="auto"/>
              <w:right w:val="double" w:sz="4" w:space="0" w:color="auto"/>
            </w:tcBorders>
            <w:vAlign w:val="center"/>
          </w:tcPr>
          <w:p w:rsidR="00052663" w:rsidRPr="002A7CC6" w:rsidRDefault="00052663" w:rsidP="00655C34">
            <w:pPr>
              <w:pStyle w:val="Tabletext"/>
              <w:keepNext/>
              <w:keepLines/>
              <w:ind w:left="-50" w:right="-48"/>
              <w:jc w:val="center"/>
              <w:rPr>
                <w:szCs w:val="20"/>
              </w:rPr>
            </w:pPr>
            <w:r w:rsidRPr="002A7CC6">
              <w:rPr>
                <w:szCs w:val="20"/>
              </w:rPr>
              <w:t>137 (95.8%)</w:t>
            </w:r>
          </w:p>
        </w:tc>
        <w:tc>
          <w:tcPr>
            <w:tcW w:w="1611" w:type="dxa"/>
            <w:tcBorders>
              <w:left w:val="double" w:sz="4" w:space="0" w:color="auto"/>
            </w:tcBorders>
          </w:tcPr>
          <w:p w:rsidR="00052663" w:rsidRPr="002A7CC6" w:rsidRDefault="00052663" w:rsidP="00655C34">
            <w:pPr>
              <w:pStyle w:val="Tabletext"/>
              <w:keepNext/>
              <w:keepLines/>
              <w:ind w:left="-50" w:right="-48"/>
              <w:jc w:val="center"/>
              <w:rPr>
                <w:b/>
                <w:szCs w:val="20"/>
              </w:rPr>
            </w:pPr>
            <w:r w:rsidRPr="002A7CC6">
              <w:rPr>
                <w:rFonts w:cs="Arial"/>
                <w:noProof/>
                <w:szCs w:val="20"/>
                <w:lang w:val="en-GB"/>
              </w:rPr>
              <w:t>98 (36.7%)</w:t>
            </w:r>
          </w:p>
        </w:tc>
        <w:tc>
          <w:tcPr>
            <w:tcW w:w="1604" w:type="dxa"/>
          </w:tcPr>
          <w:p w:rsidR="00052663" w:rsidRPr="002A7CC6" w:rsidRDefault="00052663" w:rsidP="00655C34">
            <w:pPr>
              <w:pStyle w:val="Tabletext"/>
              <w:keepNext/>
              <w:keepLines/>
              <w:ind w:left="-50" w:right="-48"/>
              <w:jc w:val="center"/>
              <w:rPr>
                <w:b/>
                <w:szCs w:val="20"/>
              </w:rPr>
            </w:pPr>
            <w:r w:rsidRPr="002A7CC6">
              <w:rPr>
                <w:rFonts w:cs="Arial"/>
                <w:noProof/>
                <w:szCs w:val="20"/>
                <w:lang w:val="en-GB"/>
              </w:rPr>
              <w:t>33 (30.3%)</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Grade 4 adverse events</w:t>
            </w:r>
            <w:r w:rsidR="00262EB0" w:rsidRPr="002A7CC6">
              <w:rPr>
                <w:szCs w:val="20"/>
              </w:rPr>
              <w:t xml:space="preserve"> (n (%) pts)</w:t>
            </w:r>
          </w:p>
        </w:tc>
        <w:tc>
          <w:tcPr>
            <w:tcW w:w="1134" w:type="dxa"/>
            <w:vMerge/>
          </w:tcPr>
          <w:p w:rsidR="00052663" w:rsidRPr="002A7CC6" w:rsidRDefault="00052663" w:rsidP="00655C34">
            <w:pPr>
              <w:pStyle w:val="Tabletext"/>
              <w:keepNext/>
              <w:keepLines/>
              <w:ind w:left="-50" w:right="-48"/>
              <w:jc w:val="center"/>
              <w:rPr>
                <w:szCs w:val="20"/>
              </w:rPr>
            </w:pPr>
          </w:p>
        </w:tc>
        <w:tc>
          <w:tcPr>
            <w:tcW w:w="1242" w:type="dxa"/>
            <w:vMerge/>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p>
        </w:tc>
        <w:tc>
          <w:tcPr>
            <w:tcW w:w="1611" w:type="dxa"/>
            <w:tcBorders>
              <w:left w:val="double" w:sz="4" w:space="0" w:color="auto"/>
            </w:tcBorders>
          </w:tcPr>
          <w:p w:rsidR="00052663" w:rsidRPr="002A7CC6" w:rsidRDefault="00052663" w:rsidP="00655C34">
            <w:pPr>
              <w:pStyle w:val="Tabletext"/>
              <w:keepNext/>
              <w:keepLines/>
              <w:ind w:left="-50" w:right="-48"/>
              <w:jc w:val="center"/>
              <w:rPr>
                <w:rFonts w:cs="Arial"/>
                <w:noProof/>
                <w:szCs w:val="20"/>
                <w:lang w:val="en-GB"/>
              </w:rPr>
            </w:pPr>
            <w:r w:rsidRPr="002A7CC6">
              <w:rPr>
                <w:rFonts w:cs="Arial"/>
                <w:noProof/>
                <w:szCs w:val="20"/>
                <w:lang w:val="en-GB"/>
              </w:rPr>
              <w:t>82 (30.7%)</w:t>
            </w:r>
          </w:p>
        </w:tc>
        <w:tc>
          <w:tcPr>
            <w:tcW w:w="1604" w:type="dxa"/>
          </w:tcPr>
          <w:p w:rsidR="00052663" w:rsidRPr="002A7CC6" w:rsidRDefault="00052663" w:rsidP="00655C34">
            <w:pPr>
              <w:pStyle w:val="Tabletext"/>
              <w:keepNext/>
              <w:keepLines/>
              <w:ind w:left="-50" w:right="-48"/>
              <w:jc w:val="center"/>
              <w:rPr>
                <w:rFonts w:cs="Arial"/>
                <w:noProof/>
                <w:szCs w:val="20"/>
                <w:lang w:val="en-GB"/>
              </w:rPr>
            </w:pPr>
            <w:r w:rsidRPr="002A7CC6">
              <w:rPr>
                <w:rFonts w:cs="Arial"/>
                <w:noProof/>
                <w:szCs w:val="20"/>
                <w:lang w:val="en-GB"/>
              </w:rPr>
              <w:t>48 (44.0%)</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Fatal adverse events</w:t>
            </w:r>
            <w:r w:rsidR="00262EB0" w:rsidRPr="002A7CC6">
              <w:rPr>
                <w:szCs w:val="20"/>
              </w:rPr>
              <w:t xml:space="preserve"> (n (%) pts)</w:t>
            </w:r>
          </w:p>
        </w:tc>
        <w:tc>
          <w:tcPr>
            <w:tcW w:w="1134" w:type="dxa"/>
          </w:tcPr>
          <w:p w:rsidR="00052663" w:rsidRPr="002A7CC6" w:rsidRDefault="00052663" w:rsidP="00655C34">
            <w:pPr>
              <w:pStyle w:val="Tabletext"/>
              <w:keepNext/>
              <w:keepLines/>
              <w:ind w:left="-50" w:right="-48"/>
              <w:jc w:val="center"/>
              <w:rPr>
                <w:szCs w:val="20"/>
              </w:rPr>
            </w:pPr>
            <w:r w:rsidRPr="002A7CC6">
              <w:rPr>
                <w:szCs w:val="20"/>
              </w:rPr>
              <w:t>26 (15.9%)</w:t>
            </w:r>
          </w:p>
        </w:tc>
        <w:tc>
          <w:tcPr>
            <w:tcW w:w="1242" w:type="dxa"/>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r w:rsidRPr="002A7CC6">
              <w:rPr>
                <w:szCs w:val="20"/>
              </w:rPr>
              <w:t>16 (11.2%)</w:t>
            </w:r>
          </w:p>
        </w:tc>
        <w:tc>
          <w:tcPr>
            <w:tcW w:w="1611" w:type="dxa"/>
            <w:tcBorders>
              <w:left w:val="double" w:sz="4" w:space="0" w:color="auto"/>
            </w:tcBorders>
          </w:tcPr>
          <w:p w:rsidR="00052663" w:rsidRPr="002A7CC6" w:rsidRDefault="00052663" w:rsidP="00655C34">
            <w:pPr>
              <w:pStyle w:val="Tabletext"/>
              <w:keepNext/>
              <w:keepLines/>
              <w:ind w:left="-50" w:right="-48"/>
              <w:jc w:val="center"/>
              <w:rPr>
                <w:szCs w:val="20"/>
              </w:rPr>
            </w:pPr>
            <w:r w:rsidRPr="002A7CC6">
              <w:rPr>
                <w:rFonts w:cs="Arial"/>
                <w:noProof/>
                <w:szCs w:val="20"/>
                <w:lang w:val="en-GB"/>
              </w:rPr>
              <w:t>51 (19.4%)</w:t>
            </w:r>
          </w:p>
        </w:tc>
        <w:tc>
          <w:tcPr>
            <w:tcW w:w="1604" w:type="dxa"/>
          </w:tcPr>
          <w:p w:rsidR="00052663" w:rsidRPr="002A7CC6" w:rsidRDefault="00052663" w:rsidP="00655C34">
            <w:pPr>
              <w:pStyle w:val="Tabletext"/>
              <w:keepNext/>
              <w:keepLines/>
              <w:ind w:left="-50" w:right="-48"/>
              <w:jc w:val="center"/>
              <w:rPr>
                <w:szCs w:val="20"/>
              </w:rPr>
            </w:pPr>
            <w:r w:rsidRPr="002A7CC6">
              <w:rPr>
                <w:rFonts w:cs="Arial"/>
                <w:noProof/>
                <w:szCs w:val="20"/>
                <w:lang w:val="en-GB"/>
              </w:rPr>
              <w:t>19 (17.4%)</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rFonts w:cs="Arial"/>
                <w:noProof/>
                <w:szCs w:val="20"/>
                <w:lang w:val="en-GB"/>
              </w:rPr>
              <w:t>Discontinued due to adverse event</w:t>
            </w:r>
            <w:r w:rsidR="00262EB0" w:rsidRPr="002A7CC6">
              <w:rPr>
                <w:rFonts w:cs="Arial"/>
                <w:noProof/>
                <w:szCs w:val="20"/>
                <w:lang w:val="en-GB"/>
              </w:rPr>
              <w:t xml:space="preserve"> </w:t>
            </w:r>
            <w:r w:rsidR="00262EB0" w:rsidRPr="002A7CC6">
              <w:rPr>
                <w:szCs w:val="20"/>
              </w:rPr>
              <w:t>(n (%) pts)</w:t>
            </w:r>
          </w:p>
        </w:tc>
        <w:tc>
          <w:tcPr>
            <w:tcW w:w="1134" w:type="dxa"/>
          </w:tcPr>
          <w:p w:rsidR="00052663" w:rsidRPr="002A7CC6" w:rsidRDefault="00052663" w:rsidP="00655C34">
            <w:pPr>
              <w:pStyle w:val="Tabletext"/>
              <w:keepNext/>
              <w:keepLines/>
              <w:ind w:left="-50" w:right="-48"/>
              <w:jc w:val="center"/>
              <w:rPr>
                <w:szCs w:val="20"/>
              </w:rPr>
            </w:pPr>
            <w:r w:rsidRPr="002A7CC6">
              <w:rPr>
                <w:szCs w:val="20"/>
              </w:rPr>
              <w:t>30 (18.3%)</w:t>
            </w:r>
          </w:p>
        </w:tc>
        <w:tc>
          <w:tcPr>
            <w:tcW w:w="1242" w:type="dxa"/>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r w:rsidRPr="002A7CC6">
              <w:rPr>
                <w:szCs w:val="20"/>
              </w:rPr>
              <w:t>12 (8.4%)</w:t>
            </w:r>
          </w:p>
        </w:tc>
        <w:tc>
          <w:tcPr>
            <w:tcW w:w="1611" w:type="dxa"/>
            <w:tcBorders>
              <w:left w:val="double" w:sz="4" w:space="0" w:color="auto"/>
            </w:tcBorders>
          </w:tcPr>
          <w:p w:rsidR="00052663" w:rsidRPr="002A7CC6" w:rsidRDefault="00052663" w:rsidP="00655C34">
            <w:pPr>
              <w:pStyle w:val="Tabletext"/>
              <w:keepNext/>
              <w:keepLines/>
              <w:ind w:left="-50" w:right="-48"/>
              <w:jc w:val="center"/>
              <w:rPr>
                <w:b/>
                <w:szCs w:val="20"/>
              </w:rPr>
            </w:pPr>
            <w:r w:rsidRPr="002A7CC6">
              <w:rPr>
                <w:rFonts w:cs="Arial"/>
                <w:noProof/>
                <w:szCs w:val="20"/>
                <w:lang w:val="en-GB"/>
              </w:rPr>
              <w:t>33 (12.4%)</w:t>
            </w:r>
          </w:p>
        </w:tc>
        <w:tc>
          <w:tcPr>
            <w:tcW w:w="1604" w:type="dxa"/>
          </w:tcPr>
          <w:p w:rsidR="00052663" w:rsidRPr="002A7CC6" w:rsidRDefault="00052663" w:rsidP="00655C34">
            <w:pPr>
              <w:pStyle w:val="Tabletext"/>
              <w:keepNext/>
              <w:keepLines/>
              <w:ind w:left="-50" w:right="-48"/>
              <w:jc w:val="center"/>
              <w:rPr>
                <w:b/>
                <w:szCs w:val="20"/>
              </w:rPr>
            </w:pPr>
            <w:r w:rsidRPr="002A7CC6">
              <w:rPr>
                <w:rFonts w:cs="Arial"/>
                <w:noProof/>
                <w:szCs w:val="20"/>
                <w:lang w:val="en-GB"/>
              </w:rPr>
              <w:t>9 (8.3%)</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Dose reduced due to adverse event</w:t>
            </w:r>
            <w:r w:rsidR="00262EB0" w:rsidRPr="002A7CC6">
              <w:rPr>
                <w:szCs w:val="20"/>
              </w:rPr>
              <w:t xml:space="preserve"> (n (%) pts)</w:t>
            </w:r>
          </w:p>
        </w:tc>
        <w:tc>
          <w:tcPr>
            <w:tcW w:w="1134" w:type="dxa"/>
          </w:tcPr>
          <w:p w:rsidR="00052663" w:rsidRPr="002A7CC6" w:rsidRDefault="00052663" w:rsidP="00655C34">
            <w:pPr>
              <w:pStyle w:val="Tabletext"/>
              <w:keepNext/>
              <w:keepLines/>
              <w:ind w:left="-50" w:right="-48"/>
              <w:jc w:val="center"/>
              <w:rPr>
                <w:szCs w:val="20"/>
              </w:rPr>
            </w:pPr>
            <w:r w:rsidRPr="002A7CC6">
              <w:rPr>
                <w:szCs w:val="20"/>
              </w:rPr>
              <w:t>5 (3.0%)</w:t>
            </w:r>
          </w:p>
        </w:tc>
        <w:tc>
          <w:tcPr>
            <w:tcW w:w="1242" w:type="dxa"/>
            <w:tcBorders>
              <w:top w:val="single" w:sz="6" w:space="0" w:color="auto"/>
              <w:bottom w:val="single" w:sz="6" w:space="0" w:color="auto"/>
              <w:right w:val="double" w:sz="4" w:space="0" w:color="auto"/>
            </w:tcBorders>
          </w:tcPr>
          <w:p w:rsidR="00052663" w:rsidRPr="002A7CC6" w:rsidRDefault="00052663" w:rsidP="00655C34">
            <w:pPr>
              <w:pStyle w:val="Tabletext"/>
              <w:keepNext/>
              <w:keepLines/>
              <w:ind w:left="-50" w:right="-48"/>
              <w:jc w:val="center"/>
              <w:rPr>
                <w:szCs w:val="20"/>
              </w:rPr>
            </w:pPr>
            <w:r w:rsidRPr="002A7CC6">
              <w:rPr>
                <w:szCs w:val="20"/>
              </w:rPr>
              <w:t>3 (2.1%)</w:t>
            </w:r>
          </w:p>
        </w:tc>
        <w:tc>
          <w:tcPr>
            <w:tcW w:w="1611" w:type="dxa"/>
            <w:tcBorders>
              <w:left w:val="double" w:sz="4" w:space="0" w:color="auto"/>
            </w:tcBorders>
          </w:tcPr>
          <w:p w:rsidR="00052663" w:rsidRPr="002A7CC6" w:rsidRDefault="00052663" w:rsidP="00655C34">
            <w:pPr>
              <w:pStyle w:val="Tabletext"/>
              <w:keepNext/>
              <w:keepLines/>
              <w:ind w:left="-50" w:right="-48"/>
              <w:jc w:val="center"/>
              <w:rPr>
                <w:szCs w:val="20"/>
              </w:rPr>
            </w:pPr>
            <w:r w:rsidRPr="002A7CC6">
              <w:rPr>
                <w:rFonts w:cs="Arial"/>
                <w:noProof/>
                <w:szCs w:val="20"/>
                <w:lang w:val="en-GB"/>
              </w:rPr>
              <w:t>NR</w:t>
            </w:r>
          </w:p>
        </w:tc>
        <w:tc>
          <w:tcPr>
            <w:tcW w:w="1604" w:type="dxa"/>
          </w:tcPr>
          <w:p w:rsidR="00052663" w:rsidRPr="002A7CC6" w:rsidRDefault="00052663" w:rsidP="00655C34">
            <w:pPr>
              <w:pStyle w:val="Tabletext"/>
              <w:keepNext/>
              <w:keepLines/>
              <w:ind w:left="-50" w:right="-48"/>
              <w:jc w:val="center"/>
              <w:rPr>
                <w:szCs w:val="20"/>
              </w:rPr>
            </w:pPr>
            <w:r w:rsidRPr="002A7CC6">
              <w:rPr>
                <w:rFonts w:cs="Arial"/>
                <w:noProof/>
                <w:szCs w:val="20"/>
                <w:lang w:val="en-GB"/>
              </w:rPr>
              <w:t>NR</w:t>
            </w:r>
          </w:p>
        </w:tc>
      </w:tr>
      <w:tr w:rsidR="00052663" w:rsidRPr="002A7CC6" w:rsidTr="00FC3047">
        <w:tc>
          <w:tcPr>
            <w:tcW w:w="3652" w:type="dxa"/>
            <w:vAlign w:val="center"/>
          </w:tcPr>
          <w:p w:rsidR="00052663" w:rsidRPr="002A7CC6" w:rsidRDefault="00052663" w:rsidP="00655C34">
            <w:pPr>
              <w:pStyle w:val="Tabletext"/>
              <w:keepNext/>
              <w:keepLines/>
              <w:ind w:right="-46"/>
              <w:rPr>
                <w:szCs w:val="20"/>
              </w:rPr>
            </w:pPr>
            <w:r w:rsidRPr="002A7CC6">
              <w:rPr>
                <w:szCs w:val="20"/>
              </w:rPr>
              <w:t>Treatment interrupted due to adverse event</w:t>
            </w:r>
            <w:r w:rsidR="00262EB0" w:rsidRPr="002A7CC6">
              <w:rPr>
                <w:szCs w:val="20"/>
              </w:rPr>
              <w:t xml:space="preserve"> (n (%) pts)</w:t>
            </w:r>
          </w:p>
        </w:tc>
        <w:tc>
          <w:tcPr>
            <w:tcW w:w="1134" w:type="dxa"/>
            <w:vAlign w:val="center"/>
          </w:tcPr>
          <w:p w:rsidR="00052663" w:rsidRPr="002A7CC6" w:rsidRDefault="00052663" w:rsidP="00655C34">
            <w:pPr>
              <w:pStyle w:val="Tabletext"/>
              <w:keepNext/>
              <w:keepLines/>
              <w:ind w:left="-50" w:right="-48"/>
              <w:jc w:val="center"/>
              <w:rPr>
                <w:szCs w:val="20"/>
              </w:rPr>
            </w:pPr>
            <w:r w:rsidRPr="002A7CC6">
              <w:rPr>
                <w:szCs w:val="20"/>
              </w:rPr>
              <w:t>72 (43.9%)</w:t>
            </w:r>
          </w:p>
        </w:tc>
        <w:tc>
          <w:tcPr>
            <w:tcW w:w="1242" w:type="dxa"/>
            <w:tcBorders>
              <w:top w:val="single" w:sz="6" w:space="0" w:color="auto"/>
              <w:bottom w:val="single" w:sz="6" w:space="0" w:color="auto"/>
              <w:right w:val="double" w:sz="4" w:space="0" w:color="auto"/>
            </w:tcBorders>
            <w:vAlign w:val="center"/>
          </w:tcPr>
          <w:p w:rsidR="00052663" w:rsidRPr="002A7CC6" w:rsidRDefault="00052663" w:rsidP="00655C34">
            <w:pPr>
              <w:pStyle w:val="Tabletext"/>
              <w:keepNext/>
              <w:keepLines/>
              <w:ind w:left="-50" w:right="-48"/>
              <w:jc w:val="center"/>
              <w:rPr>
                <w:szCs w:val="20"/>
              </w:rPr>
            </w:pPr>
            <w:r w:rsidRPr="002A7CC6">
              <w:rPr>
                <w:szCs w:val="20"/>
              </w:rPr>
              <w:t>17 (11.9%)</w:t>
            </w:r>
          </w:p>
        </w:tc>
        <w:tc>
          <w:tcPr>
            <w:tcW w:w="1611" w:type="dxa"/>
            <w:tcBorders>
              <w:left w:val="double" w:sz="4" w:space="0" w:color="auto"/>
            </w:tcBorders>
            <w:vAlign w:val="center"/>
          </w:tcPr>
          <w:p w:rsidR="00052663" w:rsidRPr="002A7CC6" w:rsidRDefault="00052663" w:rsidP="00655C34">
            <w:pPr>
              <w:pStyle w:val="Tabletext"/>
              <w:keepNext/>
              <w:keepLines/>
              <w:ind w:left="-50" w:right="-48"/>
              <w:jc w:val="center"/>
              <w:rPr>
                <w:szCs w:val="20"/>
              </w:rPr>
            </w:pPr>
            <w:r w:rsidRPr="002A7CC6">
              <w:rPr>
                <w:rFonts w:cs="Arial"/>
                <w:noProof/>
                <w:szCs w:val="20"/>
                <w:lang w:val="en-GB"/>
              </w:rPr>
              <w:t>86 (32.2%)</w:t>
            </w:r>
          </w:p>
        </w:tc>
        <w:tc>
          <w:tcPr>
            <w:tcW w:w="1604" w:type="dxa"/>
            <w:vAlign w:val="center"/>
          </w:tcPr>
          <w:p w:rsidR="00052663" w:rsidRPr="002A7CC6" w:rsidRDefault="00052663" w:rsidP="00655C34">
            <w:pPr>
              <w:pStyle w:val="Tabletext"/>
              <w:keepNext/>
              <w:keepLines/>
              <w:ind w:left="-50" w:right="-48"/>
              <w:jc w:val="center"/>
              <w:rPr>
                <w:szCs w:val="20"/>
              </w:rPr>
            </w:pPr>
            <w:r w:rsidRPr="002A7CC6">
              <w:rPr>
                <w:rFonts w:cs="Arial"/>
                <w:noProof/>
                <w:szCs w:val="20"/>
                <w:lang w:val="en-GB"/>
              </w:rPr>
              <w:t>7 (6.4%)</w:t>
            </w:r>
          </w:p>
        </w:tc>
      </w:tr>
    </w:tbl>
    <w:p w:rsidR="00052663" w:rsidRPr="002A7CC6" w:rsidRDefault="00052663" w:rsidP="00655C34">
      <w:pPr>
        <w:pStyle w:val="Tabletext"/>
        <w:keepNext/>
        <w:keepLines/>
        <w:tabs>
          <w:tab w:val="left" w:pos="3227"/>
          <w:tab w:val="left" w:pos="4573"/>
          <w:tab w:val="left" w:pos="5920"/>
          <w:tab w:val="left" w:pos="7466"/>
        </w:tabs>
        <w:spacing w:line="120" w:lineRule="auto"/>
        <w:ind w:left="113" w:right="-45"/>
        <w:rPr>
          <w:rFonts w:cs="Arial"/>
          <w:b/>
          <w:noProof/>
          <w:sz w:val="2"/>
          <w:szCs w:val="2"/>
          <w:lang w:val="en-GB"/>
        </w:rPr>
      </w:pPr>
      <w:r w:rsidRPr="002A7CC6">
        <w:rPr>
          <w:sz w:val="2"/>
          <w:szCs w:val="2"/>
        </w:rPr>
        <w:tab/>
      </w:r>
      <w:r w:rsidRPr="002A7CC6">
        <w:rPr>
          <w:sz w:val="2"/>
          <w:szCs w:val="2"/>
        </w:rPr>
        <w:tab/>
      </w:r>
      <w:r w:rsidRPr="002A7CC6">
        <w:rPr>
          <w:sz w:val="2"/>
          <w:szCs w:val="2"/>
        </w:rPr>
        <w:tab/>
      </w:r>
      <w:r w:rsidRPr="002A7CC6">
        <w:rPr>
          <w:rFonts w:cs="Arial"/>
          <w:b/>
          <w:noProof/>
          <w:sz w:val="2"/>
          <w:szCs w:val="2"/>
          <w:lang w:val="en-GB"/>
        </w:rPr>
        <w:tab/>
      </w:r>
    </w:p>
    <w:p w:rsidR="00052663" w:rsidRPr="002A7CC6" w:rsidRDefault="00052663" w:rsidP="00655C34">
      <w:pPr>
        <w:pStyle w:val="TableFooter"/>
        <w:keepNext/>
        <w:keepLines/>
        <w:widowControl/>
        <w:rPr>
          <w:sz w:val="20"/>
        </w:rPr>
      </w:pPr>
      <w:r w:rsidRPr="002A7CC6">
        <w:t>Source: Tables 2.5.32, p.182 and 2.5.39, p.193 of the submission.</w:t>
      </w:r>
      <w:r w:rsidRPr="002A7CC6">
        <w:rPr>
          <w:rFonts w:eastAsia="Calibri"/>
        </w:rPr>
        <w:t xml:space="preserve"> Statistically significant results in bold.</w:t>
      </w:r>
    </w:p>
    <w:p w:rsidR="00052663" w:rsidRPr="002A7CC6" w:rsidRDefault="00052663" w:rsidP="00655C34">
      <w:pPr>
        <w:pStyle w:val="TableFooter"/>
        <w:keepNext/>
        <w:keepLines/>
        <w:widowControl/>
        <w:rPr>
          <w:rFonts w:eastAsia="Calibri"/>
        </w:rPr>
      </w:pPr>
      <w:r w:rsidRPr="002A7CC6">
        <w:rPr>
          <w:rFonts w:eastAsia="Calibri"/>
        </w:rPr>
        <w:t xml:space="preserve">Abbreviations: CI, confidence interval; </w:t>
      </w:r>
      <w:r w:rsidR="00262EB0" w:rsidRPr="002A7CC6">
        <w:rPr>
          <w:rFonts w:eastAsia="Calibri"/>
        </w:rPr>
        <w:t xml:space="preserve">pts, patients; </w:t>
      </w:r>
      <w:r w:rsidRPr="002A7CC6">
        <w:rPr>
          <w:rFonts w:eastAsia="Calibri"/>
        </w:rPr>
        <w:t>SOC, standard of care</w:t>
      </w:r>
    </w:p>
    <w:p w:rsidR="00052663" w:rsidRDefault="00052663" w:rsidP="00655C34">
      <w:pPr>
        <w:pStyle w:val="TableFooter"/>
        <w:keepNext/>
        <w:keepLines/>
        <w:widowControl/>
        <w:rPr>
          <w:rFonts w:eastAsia="Calibri"/>
        </w:rPr>
      </w:pPr>
      <w:proofErr w:type="spellStart"/>
      <w:proofErr w:type="gramStart"/>
      <w:r w:rsidRPr="002A7CC6">
        <w:rPr>
          <w:rFonts w:eastAsia="Calibri"/>
          <w:vertAlign w:val="superscript"/>
        </w:rPr>
        <w:t>a</w:t>
      </w:r>
      <w:proofErr w:type="spellEnd"/>
      <w:proofErr w:type="gramEnd"/>
      <w:r w:rsidRPr="002A7CC6">
        <w:rPr>
          <w:rFonts w:eastAsia="Calibri"/>
        </w:rPr>
        <w:t xml:space="preserve"> Included in the cost analysis, Sections 3 and 4 of the commentary. </w:t>
      </w:r>
    </w:p>
    <w:p w:rsidR="00872E39" w:rsidRPr="002A7CC6" w:rsidRDefault="00872E39" w:rsidP="00655C34">
      <w:pPr>
        <w:pStyle w:val="TableFooter"/>
        <w:keepNext/>
        <w:keepLines/>
        <w:widowControl/>
        <w:rPr>
          <w:rFonts w:eastAsia="Calibri"/>
        </w:rPr>
      </w:pPr>
    </w:p>
    <w:p w:rsidR="00052663" w:rsidRPr="002A7CC6" w:rsidRDefault="00052663" w:rsidP="00007D60">
      <w:pPr>
        <w:pStyle w:val="ListParagraph"/>
        <w:widowControl/>
        <w:numPr>
          <w:ilvl w:val="1"/>
          <w:numId w:val="1"/>
        </w:numPr>
      </w:pPr>
      <w:r w:rsidRPr="002A7CC6">
        <w:t xml:space="preserve">In the INO-VATE and TOWER trials more than 98.5% of randomised patients reported adverse events in both treatment arms. Post-transplant mortality was similar in the inotuzumab and standard of care chemotherapy arms of the </w:t>
      </w:r>
      <w:r w:rsidR="007D7344">
        <w:t>INO-VATE ALL</w:t>
      </w:r>
      <w:r w:rsidRPr="002A7CC6">
        <w:t xml:space="preserve"> trial (64.6% vs 65.7%). However, post-transplant non-relapse deaths were reported more frequently in patients in the inotuzumab arm compared to standard of care chemotherapy (40.5% vs 22.9%). The most common reasons for post-transplant non-relapse deaths in patients treated with inotuzumab compared to standard of care chemotherapy were infection (21.6% vs 17.4%) and </w:t>
      </w:r>
      <w:proofErr w:type="spellStart"/>
      <w:r w:rsidR="006E7DCE" w:rsidRPr="002A7CC6">
        <w:t>veno</w:t>
      </w:r>
      <w:proofErr w:type="spellEnd"/>
      <w:r w:rsidR="006E7DCE" w:rsidRPr="002A7CC6">
        <w:t>-occlusive disease</w:t>
      </w:r>
      <w:r w:rsidRPr="002A7CC6">
        <w:t xml:space="preserve"> (</w:t>
      </w:r>
      <w:r w:rsidR="00076AAC" w:rsidRPr="002A7CC6">
        <w:t xml:space="preserve">VOD; </w:t>
      </w:r>
      <w:r w:rsidRPr="002A7CC6">
        <w:t>9.8% vs 0%).</w:t>
      </w:r>
    </w:p>
    <w:p w:rsidR="00052663" w:rsidRPr="002A7CC6" w:rsidRDefault="00052663" w:rsidP="00007D60">
      <w:pPr>
        <w:pStyle w:val="ListParagraph"/>
        <w:widowControl/>
        <w:numPr>
          <w:ilvl w:val="1"/>
          <w:numId w:val="1"/>
        </w:numPr>
      </w:pPr>
      <w:r w:rsidRPr="002A7CC6">
        <w:t xml:space="preserve">The most frequently reported adverse events in the </w:t>
      </w:r>
      <w:r w:rsidR="007D7344">
        <w:t>INO-VATE ALL</w:t>
      </w:r>
      <w:r w:rsidRPr="002A7CC6">
        <w:t xml:space="preserve"> trial were </w:t>
      </w:r>
      <w:proofErr w:type="spellStart"/>
      <w:r w:rsidR="006E7DCE" w:rsidRPr="002A7CC6">
        <w:rPr>
          <w:rFonts w:asciiTheme="minorHAnsi" w:hAnsiTheme="minorHAnsi" w:cstheme="minorHAnsi"/>
          <w:szCs w:val="24"/>
        </w:rPr>
        <w:t>veno</w:t>
      </w:r>
      <w:proofErr w:type="spellEnd"/>
      <w:r w:rsidR="006E7DCE" w:rsidRPr="002A7CC6">
        <w:rPr>
          <w:rFonts w:asciiTheme="minorHAnsi" w:hAnsiTheme="minorHAnsi" w:cstheme="minorHAnsi"/>
          <w:szCs w:val="24"/>
        </w:rPr>
        <w:t>-occlusive disease</w:t>
      </w:r>
      <w:r w:rsidR="00076AAC" w:rsidRPr="002A7CC6">
        <w:rPr>
          <w:rFonts w:asciiTheme="minorHAnsi" w:hAnsiTheme="minorHAnsi" w:cstheme="minorHAnsi"/>
          <w:szCs w:val="24"/>
        </w:rPr>
        <w:t>/</w:t>
      </w:r>
      <w:r w:rsidR="00076AAC" w:rsidRPr="002A7CC6">
        <w:rPr>
          <w:szCs w:val="18"/>
        </w:rPr>
        <w:t>sinusoidal obstruction disease (VOD/SOS)</w:t>
      </w:r>
      <w:r w:rsidRPr="002A7CC6">
        <w:rPr>
          <w:rFonts w:asciiTheme="minorHAnsi" w:hAnsiTheme="minorHAnsi" w:cstheme="minorHAnsi"/>
          <w:szCs w:val="24"/>
        </w:rPr>
        <w:t>, febrile neutropenia and pneumonia.</w:t>
      </w:r>
      <w:r w:rsidRPr="002A7CC6">
        <w:t xml:space="preserve"> </w:t>
      </w:r>
      <w:r w:rsidRPr="002A7CC6">
        <w:rPr>
          <w:rFonts w:asciiTheme="minorHAnsi" w:hAnsiTheme="minorHAnsi" w:cstheme="minorHAnsi"/>
          <w:szCs w:val="24"/>
        </w:rPr>
        <w:t>The most frequently reported adverse events in the TOWER trial were febrile neutropenia, neutropenia, sepsis, cytokine release syndrome and increased ALT.</w:t>
      </w:r>
    </w:p>
    <w:p w:rsidR="00052663" w:rsidRDefault="00052663" w:rsidP="00007D60">
      <w:pPr>
        <w:pStyle w:val="ListParagraph"/>
        <w:widowControl/>
        <w:numPr>
          <w:ilvl w:val="1"/>
          <w:numId w:val="1"/>
        </w:numPr>
      </w:pPr>
      <w:r w:rsidRPr="002A7CC6">
        <w:t xml:space="preserve">In the </w:t>
      </w:r>
      <w:r w:rsidR="007D7344">
        <w:t>INO-VATE ALL</w:t>
      </w:r>
      <w:r w:rsidRPr="002A7CC6">
        <w:t xml:space="preserve"> study, larger proportions of patients treated with inotuzumab developed VOD/SOS compared to standard of care chemotherapy (22/164 - 13.4% vs 1/162 - 0.7%). Five patients treated with inotuzumab who developed VOD/SOS died after HSCT within 42 days of the last dose of inotuzumab, and one after HSCT more than 42 days after the last dose (i.e. post-trial). </w:t>
      </w:r>
      <w:r w:rsidR="002E069C" w:rsidRPr="002A7CC6">
        <w:t>While noting</w:t>
      </w:r>
      <w:r w:rsidR="003E7678" w:rsidRPr="002A7CC6">
        <w:t xml:space="preserve"> the rates of VOD/SOS </w:t>
      </w:r>
      <w:r w:rsidR="00D15768" w:rsidRPr="002A7CC6">
        <w:t>were based on small patient numbers</w:t>
      </w:r>
      <w:r w:rsidR="009E2AE0" w:rsidRPr="002A7CC6">
        <w:t xml:space="preserve">, </w:t>
      </w:r>
      <w:r w:rsidR="002E069C" w:rsidRPr="002A7CC6">
        <w:t xml:space="preserve">the ESC considered the </w:t>
      </w:r>
      <w:r w:rsidR="001D1EE6" w:rsidRPr="002A7CC6">
        <w:t>risk of VOD/SOS was</w:t>
      </w:r>
      <w:r w:rsidR="002E069C" w:rsidRPr="002A7CC6">
        <w:t xml:space="preserve"> concerning given the severity of the adverse event and the large absolute difference between the two arms</w:t>
      </w:r>
      <w:r w:rsidR="003E7678" w:rsidRPr="002A7CC6">
        <w:t xml:space="preserve">. </w:t>
      </w:r>
      <w:r w:rsidR="001D1EE6" w:rsidRPr="002A7CC6">
        <w:t xml:space="preserve">The ESC </w:t>
      </w:r>
      <w:r w:rsidR="00247CE9">
        <w:t xml:space="preserve">had </w:t>
      </w:r>
      <w:r w:rsidR="001D1EE6" w:rsidRPr="002A7CC6">
        <w:t xml:space="preserve">requested </w:t>
      </w:r>
      <w:r w:rsidR="00247CE9">
        <w:t xml:space="preserve">that </w:t>
      </w:r>
      <w:r w:rsidR="001D1EE6" w:rsidRPr="002A7CC6">
        <w:t>the sponsor provide, in its pre-PBAC response, any further information that is available about the risk of VOD/SOS</w:t>
      </w:r>
      <w:r w:rsidR="003E7678" w:rsidRPr="002A7CC6">
        <w:t xml:space="preserve">. </w:t>
      </w:r>
    </w:p>
    <w:p w:rsidR="005E0AA4" w:rsidRDefault="005E0AA4" w:rsidP="00975046">
      <w:pPr>
        <w:pStyle w:val="ListParagraph"/>
        <w:widowControl/>
        <w:numPr>
          <w:ilvl w:val="1"/>
          <w:numId w:val="1"/>
        </w:numPr>
      </w:pPr>
      <w:r>
        <w:lastRenderedPageBreak/>
        <w:t>The pre-PBAC response</w:t>
      </w:r>
      <w:r w:rsidR="00975046">
        <w:t xml:space="preserve"> outlined the results of an</w:t>
      </w:r>
      <w:r>
        <w:t xml:space="preserve"> </w:t>
      </w:r>
      <w:r w:rsidR="00975046" w:rsidRPr="00975046">
        <w:t xml:space="preserve">analysis of the hepatotoxicity profile </w:t>
      </w:r>
      <w:r w:rsidR="00975046">
        <w:t>of inotuzumab (</w:t>
      </w:r>
      <w:proofErr w:type="spellStart"/>
      <w:r w:rsidR="00975046" w:rsidRPr="00975046">
        <w:t>Kantarjian</w:t>
      </w:r>
      <w:proofErr w:type="spellEnd"/>
      <w:r w:rsidR="00975046" w:rsidRPr="00975046">
        <w:t>, 2017</w:t>
      </w:r>
      <w:r w:rsidR="00247CE9">
        <w:rPr>
          <w:rStyle w:val="FootnoteReference"/>
        </w:rPr>
        <w:footnoteReference w:id="2"/>
      </w:r>
      <w:r w:rsidR="00975046">
        <w:t xml:space="preserve">) which </w:t>
      </w:r>
      <w:r w:rsidR="004D68AF">
        <w:t xml:space="preserve">suggested that the </w:t>
      </w:r>
      <w:r w:rsidR="00975046" w:rsidRPr="00975046">
        <w:t xml:space="preserve">risk of VOD/SOS </w:t>
      </w:r>
      <w:r w:rsidR="004D68AF">
        <w:t xml:space="preserve">could be minimised by </w:t>
      </w:r>
      <w:r w:rsidR="00975046" w:rsidRPr="00975046">
        <w:t>assess</w:t>
      </w:r>
      <w:r w:rsidR="004D68AF">
        <w:t xml:space="preserve">ing patients for risk </w:t>
      </w:r>
      <w:r w:rsidR="00975046" w:rsidRPr="00975046">
        <w:t xml:space="preserve">factors such as older age, </w:t>
      </w:r>
      <w:r w:rsidR="004D68AF">
        <w:t>prior</w:t>
      </w:r>
      <w:r w:rsidR="00975046" w:rsidRPr="00975046">
        <w:t xml:space="preserve"> HSCT, and history of liver disease, and </w:t>
      </w:r>
      <w:r w:rsidR="004D68AF">
        <w:t xml:space="preserve">also addressing </w:t>
      </w:r>
      <w:r w:rsidR="00975046" w:rsidRPr="00975046">
        <w:t>modifiable</w:t>
      </w:r>
      <w:r w:rsidR="004D68AF">
        <w:t xml:space="preserve"> risk</w:t>
      </w:r>
      <w:r w:rsidR="00975046" w:rsidRPr="00975046">
        <w:t xml:space="preserve"> factors such as minimising inotuzumab exposure before HSCT and avoid</w:t>
      </w:r>
      <w:r w:rsidR="004D68AF">
        <w:t>ing</w:t>
      </w:r>
      <w:r w:rsidR="00975046" w:rsidRPr="00975046">
        <w:t xml:space="preserve"> conditioning regimens containing two alkylating agents. The study conclude</w:t>
      </w:r>
      <w:r w:rsidR="004D68AF">
        <w:t>d</w:t>
      </w:r>
      <w:r w:rsidR="00975046" w:rsidRPr="00975046">
        <w:t xml:space="preserve"> that </w:t>
      </w:r>
      <w:r w:rsidR="004D68AF">
        <w:t xml:space="preserve">risks might be reduced through </w:t>
      </w:r>
      <w:r w:rsidR="00975046" w:rsidRPr="00975046">
        <w:t xml:space="preserve">consideration of these risk factors </w:t>
      </w:r>
      <w:r w:rsidR="004D68AF">
        <w:t>and</w:t>
      </w:r>
      <w:r w:rsidR="00975046" w:rsidRPr="00975046">
        <w:t xml:space="preserve"> close monitoring for </w:t>
      </w:r>
      <w:r w:rsidR="004D68AF" w:rsidRPr="00975046">
        <w:t>VOD/SOS</w:t>
      </w:r>
      <w:r w:rsidR="004D68AF">
        <w:t>.</w:t>
      </w:r>
    </w:p>
    <w:p w:rsidR="00E12165" w:rsidRDefault="00975046" w:rsidP="00E12165">
      <w:pPr>
        <w:pStyle w:val="ListParagraph"/>
        <w:widowControl/>
        <w:numPr>
          <w:ilvl w:val="1"/>
          <w:numId w:val="1"/>
        </w:numPr>
      </w:pPr>
      <w:r>
        <w:t xml:space="preserve">The pre-PBAC response also provided a </w:t>
      </w:r>
      <w:r w:rsidRPr="00975046">
        <w:t>manuscript by McDonald, 2018</w:t>
      </w:r>
      <w:r w:rsidR="007A3F2A">
        <w:rPr>
          <w:rStyle w:val="FootnoteReference"/>
        </w:rPr>
        <w:footnoteReference w:id="3"/>
      </w:r>
      <w:r>
        <w:t xml:space="preserve"> which outlined an</w:t>
      </w:r>
      <w:r w:rsidRPr="00975046">
        <w:t xml:space="preserve"> analysis of </w:t>
      </w:r>
      <w:r w:rsidR="00E12165">
        <w:t xml:space="preserve">results from </w:t>
      </w:r>
      <w:r w:rsidR="00E42727">
        <w:t>the</w:t>
      </w:r>
      <w:r w:rsidRPr="00975046">
        <w:t xml:space="preserve"> expert</w:t>
      </w:r>
      <w:r>
        <w:t xml:space="preserve"> panel who </w:t>
      </w:r>
      <w:r w:rsidRPr="00975046">
        <w:t>adjudicated hepatobiliary c</w:t>
      </w:r>
      <w:r>
        <w:t xml:space="preserve">omplications in the Phase 3 </w:t>
      </w:r>
      <w:r w:rsidRPr="00975046">
        <w:t xml:space="preserve">studies </w:t>
      </w:r>
      <w:r w:rsidR="004D68AF">
        <w:t>of inotuzumab</w:t>
      </w:r>
      <w:r w:rsidR="004D68AF" w:rsidRPr="00975046">
        <w:t xml:space="preserve"> </w:t>
      </w:r>
      <w:r w:rsidRPr="00975046">
        <w:t>in ALL and NHL</w:t>
      </w:r>
      <w:r w:rsidR="00E12165">
        <w:t>. The study reported that SOS occurred in 5/328 (1.5%) patients receiv</w:t>
      </w:r>
      <w:r w:rsidR="004D68AF">
        <w:t>ing</w:t>
      </w:r>
      <w:r w:rsidR="00E12165">
        <w:t xml:space="preserve"> inotuzumab, </w:t>
      </w:r>
      <w:r w:rsidR="004D68AF">
        <w:t>versus</w:t>
      </w:r>
      <w:r w:rsidR="00E12165">
        <w:t xml:space="preserve"> no cases among 310 chemotherapy patients; and d</w:t>
      </w:r>
      <w:r w:rsidR="00E12165" w:rsidRPr="00E12165">
        <w:t xml:space="preserve">rug-induced liver injury </w:t>
      </w:r>
      <w:r w:rsidR="004D68AF">
        <w:t>occurred</w:t>
      </w:r>
      <w:r w:rsidR="00E12165" w:rsidRPr="00E12165">
        <w:t xml:space="preserve"> in 26 (7.9%) inotuzumab </w:t>
      </w:r>
      <w:r w:rsidR="00E12165">
        <w:t>patients</w:t>
      </w:r>
      <w:r w:rsidR="00E12165" w:rsidRPr="00E12165">
        <w:t xml:space="preserve"> and 3 (1%) </w:t>
      </w:r>
      <w:r w:rsidR="00E12165">
        <w:t xml:space="preserve">chemotherapy patients. Among patients with ALL who underwent HSCT, the frequency of SOS in the inotuzumab arms was 21/79 (27%) versus 3/34 (9%) in the chemotherapy arms. An exploratory multivariate model identified a past history of liver disease and thrombocytopenia before conditioning therapy as dominant risk factors for SOS after transplant. </w:t>
      </w:r>
    </w:p>
    <w:p w:rsidR="007E7F32" w:rsidRPr="002A7CC6" w:rsidRDefault="007E7F32" w:rsidP="00E12165">
      <w:pPr>
        <w:pStyle w:val="ListParagraph"/>
        <w:widowControl/>
        <w:numPr>
          <w:ilvl w:val="1"/>
          <w:numId w:val="1"/>
        </w:numPr>
      </w:pPr>
      <w:r w:rsidRPr="002A7CC6">
        <w:t xml:space="preserve">The </w:t>
      </w:r>
      <w:r w:rsidR="00DE088F" w:rsidRPr="002A7CC6">
        <w:t xml:space="preserve">PSCR stated that in the inotuzumab arm of the INO-VATE ALL study, </w:t>
      </w:r>
      <w:r w:rsidR="002E069C" w:rsidRPr="002A7CC6">
        <w:t xml:space="preserve">8% </w:t>
      </w:r>
      <w:r w:rsidR="00DE088F" w:rsidRPr="002A7CC6">
        <w:t xml:space="preserve">of patients </w:t>
      </w:r>
      <w:r w:rsidR="002E069C" w:rsidRPr="002A7CC6">
        <w:t xml:space="preserve">(13/164) </w:t>
      </w:r>
      <w:r w:rsidR="00DE088F" w:rsidRPr="002A7CC6">
        <w:t xml:space="preserve">received concomitant treatment with defibrotide, </w:t>
      </w:r>
      <w:r w:rsidR="002E069C" w:rsidRPr="002A7CC6">
        <w:t xml:space="preserve">either </w:t>
      </w:r>
      <w:r w:rsidR="00DE088F" w:rsidRPr="002A7CC6">
        <w:t xml:space="preserve">for prophylaxis (n=2) </w:t>
      </w:r>
      <w:r w:rsidR="002E069C" w:rsidRPr="002A7CC6">
        <w:t xml:space="preserve">or </w:t>
      </w:r>
      <w:r w:rsidR="00DE088F" w:rsidRPr="002A7CC6">
        <w:t xml:space="preserve">treatment of VOD (n=11). The PSCR further stated that defibrotide </w:t>
      </w:r>
      <w:r w:rsidR="002C3EE9">
        <w:t>is not registered</w:t>
      </w:r>
      <w:r w:rsidR="00247CE9">
        <w:t xml:space="preserve"> in Australia, and thus </w:t>
      </w:r>
      <w:r w:rsidR="00DE088F" w:rsidRPr="002A7CC6">
        <w:t>balance of benefit to risk has not been established.</w:t>
      </w:r>
    </w:p>
    <w:p w:rsidR="00052663" w:rsidRPr="002A7CC6" w:rsidRDefault="00052663" w:rsidP="00007D60">
      <w:pPr>
        <w:pStyle w:val="ListParagraph"/>
        <w:widowControl/>
        <w:numPr>
          <w:ilvl w:val="1"/>
          <w:numId w:val="1"/>
        </w:numPr>
      </w:pPr>
      <w:r w:rsidRPr="002A7CC6">
        <w:t>The proportion of patients who experienced cytokine release syndrome in the TOWER trial was larger in the blinatumomab arm compared with standard of care chemotherapy arm for any grade adverse event (14.2% vs. 0%), grade ≥3 adverse events (4.9% vs. 0%) and for serious adverse events (2.6% vs. 0%).</w:t>
      </w:r>
    </w:p>
    <w:p w:rsidR="00052663" w:rsidRPr="002A7CC6" w:rsidRDefault="00052663" w:rsidP="00007D60">
      <w:pPr>
        <w:pStyle w:val="ListParagraph"/>
        <w:widowControl/>
        <w:numPr>
          <w:ilvl w:val="1"/>
          <w:numId w:val="1"/>
        </w:numPr>
        <w:ind w:right="-46"/>
      </w:pPr>
      <w:r w:rsidRPr="002A7CC6">
        <w:t xml:space="preserve">The most commonly reported adverse events in the </w:t>
      </w:r>
      <w:r w:rsidR="007D7344">
        <w:t>INO-VATE ALL</w:t>
      </w:r>
      <w:r w:rsidRPr="002A7CC6">
        <w:t xml:space="preserve"> trial were thrombocytopenia, neutropenia, infections and infestations, anaemia, nausea, pyrexia, leukopenia, headache and febrile neutropenia.  In the TOWER trial, t</w:t>
      </w:r>
      <w:r w:rsidRPr="002A7CC6">
        <w:rPr>
          <w:rFonts w:asciiTheme="minorHAnsi" w:hAnsiTheme="minorHAnsi" w:cstheme="minorHAnsi"/>
          <w:szCs w:val="24"/>
        </w:rPr>
        <w:t xml:space="preserve">he most commonly reported adverse events were pyrexia, headache, anaemia, febrile neutropenia, diarrhoea, nausea, neutropenia, thrombocytopenia and fatigue. </w:t>
      </w:r>
    </w:p>
    <w:p w:rsidR="00052663" w:rsidRPr="002A7CC6" w:rsidRDefault="00052663" w:rsidP="00007D60">
      <w:pPr>
        <w:pStyle w:val="ListParagraph"/>
        <w:widowControl/>
        <w:numPr>
          <w:ilvl w:val="1"/>
          <w:numId w:val="1"/>
        </w:numPr>
      </w:pPr>
      <w:r w:rsidRPr="002A7CC6">
        <w:rPr>
          <w:rFonts w:cs="Calibri"/>
          <w:snapToGrid/>
          <w:szCs w:val="24"/>
          <w:lang w:val="en-US" w:eastAsia="en-AU"/>
        </w:rPr>
        <w:lastRenderedPageBreak/>
        <w:t xml:space="preserve">Table </w:t>
      </w:r>
      <w:r w:rsidR="006E7DCE" w:rsidRPr="002A7CC6">
        <w:rPr>
          <w:rFonts w:cs="Calibri"/>
          <w:snapToGrid/>
          <w:szCs w:val="24"/>
          <w:lang w:val="en-US" w:eastAsia="en-AU"/>
        </w:rPr>
        <w:t>1</w:t>
      </w:r>
      <w:r w:rsidR="009A469F" w:rsidRPr="002A7CC6">
        <w:rPr>
          <w:rFonts w:cs="Calibri"/>
          <w:snapToGrid/>
          <w:szCs w:val="24"/>
          <w:lang w:val="en-US" w:eastAsia="en-AU"/>
        </w:rPr>
        <w:t>1</w:t>
      </w:r>
      <w:r w:rsidRPr="002A7CC6">
        <w:rPr>
          <w:rFonts w:cs="Calibri"/>
          <w:snapToGrid/>
          <w:szCs w:val="24"/>
          <w:lang w:val="en-US" w:eastAsia="en-AU"/>
        </w:rPr>
        <w:t xml:space="preserve"> </w:t>
      </w:r>
      <w:r w:rsidRPr="002A7CC6">
        <w:rPr>
          <w:rFonts w:cs="Calibri"/>
          <w:snapToGrid/>
          <w:szCs w:val="24"/>
          <w:lang w:eastAsia="en-AU"/>
        </w:rPr>
        <w:t>summarises</w:t>
      </w:r>
      <w:r w:rsidRPr="002A7CC6">
        <w:rPr>
          <w:rFonts w:cs="Calibri"/>
          <w:snapToGrid/>
          <w:szCs w:val="24"/>
          <w:lang w:val="en-US" w:eastAsia="en-AU"/>
        </w:rPr>
        <w:t xml:space="preserve"> the results of a</w:t>
      </w:r>
      <w:r w:rsidR="005D23C6" w:rsidRPr="002A7CC6">
        <w:rPr>
          <w:rFonts w:cs="Calibri"/>
          <w:snapToGrid/>
          <w:szCs w:val="24"/>
          <w:lang w:val="en-US" w:eastAsia="en-AU"/>
        </w:rPr>
        <w:t>n</w:t>
      </w:r>
      <w:r w:rsidRPr="002A7CC6">
        <w:rPr>
          <w:rFonts w:cs="Calibri"/>
          <w:snapToGrid/>
          <w:szCs w:val="24"/>
          <w:lang w:val="en-US" w:eastAsia="en-AU"/>
        </w:rPr>
        <w:t xml:space="preserve"> indirect analysis and anchored MAIC analysis for four selected adverse events presented in the submission.</w:t>
      </w:r>
    </w:p>
    <w:p w:rsidR="00052663" w:rsidRPr="002A7CC6" w:rsidRDefault="006E7DCE" w:rsidP="00007D60">
      <w:pPr>
        <w:keepNext/>
        <w:keepLines/>
        <w:widowControl/>
        <w:rPr>
          <w:rFonts w:ascii="Arial Narrow" w:hAnsi="Arial Narrow"/>
          <w:b/>
          <w:sz w:val="20"/>
          <w:szCs w:val="20"/>
        </w:rPr>
      </w:pPr>
      <w:r w:rsidRPr="002A7CC6">
        <w:rPr>
          <w:rFonts w:ascii="Arial Narrow" w:hAnsi="Arial Narrow"/>
          <w:b/>
          <w:sz w:val="20"/>
          <w:szCs w:val="20"/>
        </w:rPr>
        <w:t>Table 1</w:t>
      </w:r>
      <w:r w:rsidR="009A469F" w:rsidRPr="002A7CC6">
        <w:rPr>
          <w:rFonts w:ascii="Arial Narrow" w:hAnsi="Arial Narrow"/>
          <w:b/>
          <w:sz w:val="20"/>
          <w:szCs w:val="20"/>
        </w:rPr>
        <w:t>1</w:t>
      </w:r>
      <w:r w:rsidR="00052663" w:rsidRPr="002A7CC6">
        <w:rPr>
          <w:rFonts w:ascii="Arial Narrow" w:hAnsi="Arial Narrow"/>
          <w:b/>
          <w:sz w:val="20"/>
          <w:szCs w:val="20"/>
        </w:rPr>
        <w:t>: Indirect comparison in adverse events – inotuzumab versus blinatumomab (standard of care chemotherapy as common reference)</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2757"/>
        <w:gridCol w:w="2854"/>
      </w:tblGrid>
      <w:tr w:rsidR="00052663" w:rsidRPr="002A7CC6" w:rsidTr="00052663">
        <w:trPr>
          <w:cantSplit/>
          <w:tblHeader/>
        </w:trPr>
        <w:tc>
          <w:tcPr>
            <w:tcW w:w="1886" w:type="pct"/>
            <w:vMerge w:val="restart"/>
            <w:vAlign w:val="center"/>
          </w:tcPr>
          <w:p w:rsidR="00052663" w:rsidRPr="002A7CC6" w:rsidRDefault="00052663" w:rsidP="00007D60">
            <w:pPr>
              <w:pStyle w:val="TableText0"/>
              <w:keepNext/>
              <w:keepLines/>
              <w:spacing w:before="0" w:after="0"/>
              <w:ind w:left="-14"/>
              <w:contextualSpacing w:val="0"/>
              <w:rPr>
                <w:rFonts w:ascii="Arial Narrow" w:hAnsi="Arial Narrow"/>
                <w:sz w:val="20"/>
              </w:rPr>
            </w:pPr>
          </w:p>
        </w:tc>
        <w:tc>
          <w:tcPr>
            <w:tcW w:w="3114" w:type="pct"/>
            <w:gridSpan w:val="2"/>
            <w:vAlign w:val="center"/>
          </w:tcPr>
          <w:p w:rsidR="00052663" w:rsidRPr="002A7CC6" w:rsidRDefault="00052663" w:rsidP="00007D60">
            <w:pPr>
              <w:pStyle w:val="NoSpacing"/>
              <w:keepNext/>
              <w:keepLines/>
              <w:widowControl/>
              <w:ind w:left="-74" w:right="-81"/>
              <w:jc w:val="center"/>
              <w:rPr>
                <w:rFonts w:ascii="Arial Narrow" w:hAnsi="Arial Narrow"/>
                <w:b/>
                <w:kern w:val="24"/>
                <w:sz w:val="20"/>
              </w:rPr>
            </w:pPr>
            <w:r w:rsidRPr="002A7CC6">
              <w:rPr>
                <w:rFonts w:ascii="Arial Narrow" w:hAnsi="Arial Narrow"/>
                <w:b/>
                <w:kern w:val="24"/>
                <w:sz w:val="20"/>
              </w:rPr>
              <w:t xml:space="preserve">Inotuzumab versus blinatumomab </w:t>
            </w:r>
            <w:r w:rsidR="00817E1C" w:rsidRPr="002A7CC6">
              <w:rPr>
                <w:rFonts w:ascii="Arial Narrow" w:hAnsi="Arial Narrow"/>
                <w:b/>
                <w:kern w:val="24"/>
                <w:sz w:val="20"/>
              </w:rPr>
              <w:br/>
            </w:r>
            <w:r w:rsidRPr="002A7CC6">
              <w:rPr>
                <w:rFonts w:ascii="Arial Narrow" w:hAnsi="Arial Narrow"/>
                <w:b/>
                <w:kern w:val="24"/>
                <w:sz w:val="20"/>
              </w:rPr>
              <w:t>(SOC chemotherapy common reference)</w:t>
            </w:r>
          </w:p>
        </w:tc>
      </w:tr>
      <w:tr w:rsidR="00052663" w:rsidRPr="002A7CC6" w:rsidTr="00817E1C">
        <w:trPr>
          <w:cantSplit/>
          <w:trHeight w:val="58"/>
          <w:tblHeader/>
        </w:trPr>
        <w:tc>
          <w:tcPr>
            <w:tcW w:w="1886" w:type="pct"/>
            <w:vMerge/>
            <w:vAlign w:val="center"/>
          </w:tcPr>
          <w:p w:rsidR="00052663" w:rsidRPr="002A7CC6" w:rsidRDefault="00052663" w:rsidP="00007D60">
            <w:pPr>
              <w:pStyle w:val="Tabletext"/>
              <w:keepNext/>
              <w:keepLines/>
              <w:ind w:left="-14" w:right="-81"/>
              <w:rPr>
                <w:szCs w:val="20"/>
              </w:rPr>
            </w:pPr>
          </w:p>
        </w:tc>
        <w:tc>
          <w:tcPr>
            <w:tcW w:w="1530" w:type="pct"/>
            <w:vAlign w:val="center"/>
          </w:tcPr>
          <w:p w:rsidR="00052663" w:rsidRPr="00AD6A61" w:rsidRDefault="00052663" w:rsidP="00007D60">
            <w:pPr>
              <w:pStyle w:val="Tabletext"/>
              <w:keepNext/>
              <w:keepLines/>
              <w:ind w:left="-74" w:right="-81"/>
              <w:jc w:val="center"/>
              <w:rPr>
                <w:b/>
                <w:szCs w:val="20"/>
              </w:rPr>
            </w:pPr>
            <w:r w:rsidRPr="00AD6A61">
              <w:rPr>
                <w:b/>
                <w:szCs w:val="20"/>
              </w:rPr>
              <w:t>Formal indirect analysis</w:t>
            </w:r>
          </w:p>
        </w:tc>
        <w:tc>
          <w:tcPr>
            <w:tcW w:w="1584" w:type="pct"/>
            <w:vAlign w:val="center"/>
          </w:tcPr>
          <w:p w:rsidR="00052663" w:rsidRPr="002A7CC6" w:rsidRDefault="00052663" w:rsidP="00007D60">
            <w:pPr>
              <w:pStyle w:val="Tabletext"/>
              <w:keepNext/>
              <w:keepLines/>
              <w:ind w:left="-74" w:right="-62"/>
              <w:jc w:val="center"/>
              <w:rPr>
                <w:b/>
                <w:szCs w:val="20"/>
              </w:rPr>
            </w:pPr>
            <w:r w:rsidRPr="002A7CC6">
              <w:rPr>
                <w:b/>
                <w:szCs w:val="20"/>
              </w:rPr>
              <w:t xml:space="preserve">Anchored MAIC </w:t>
            </w:r>
          </w:p>
        </w:tc>
      </w:tr>
      <w:tr w:rsidR="00052663" w:rsidRPr="002A7CC6" w:rsidTr="00052663">
        <w:trPr>
          <w:cantSplit/>
        </w:trPr>
        <w:tc>
          <w:tcPr>
            <w:tcW w:w="1886" w:type="pct"/>
          </w:tcPr>
          <w:p w:rsidR="00052663" w:rsidRPr="002A7CC6" w:rsidRDefault="00052663" w:rsidP="00007D60">
            <w:pPr>
              <w:pStyle w:val="TableText1"/>
              <w:keepNext/>
              <w:keepLines/>
              <w:spacing w:before="0" w:after="0"/>
              <w:ind w:left="-34"/>
              <w:rPr>
                <w:rFonts w:ascii="Arial Narrow" w:hAnsi="Arial Narrow"/>
                <w:sz w:val="20"/>
                <w:szCs w:val="20"/>
              </w:rPr>
            </w:pPr>
            <w:r w:rsidRPr="002A7CC6">
              <w:rPr>
                <w:rFonts w:ascii="Arial Narrow" w:hAnsi="Arial Narrow"/>
                <w:sz w:val="20"/>
                <w:szCs w:val="20"/>
              </w:rPr>
              <w:t>Infection Grade 3+ OR (95% CI)</w:t>
            </w:r>
          </w:p>
        </w:tc>
        <w:tc>
          <w:tcPr>
            <w:tcW w:w="1530" w:type="pct"/>
          </w:tcPr>
          <w:p w:rsidR="00052663" w:rsidRPr="00AD6A61"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AD6A61">
              <w:rPr>
                <w:rFonts w:ascii="Arial Narrow" w:hAnsi="Arial Narrow"/>
                <w:kern w:val="24"/>
                <w:sz w:val="20"/>
              </w:rPr>
              <w:t xml:space="preserve"> (</w:t>
            </w:r>
            <w:r>
              <w:rPr>
                <w:rFonts w:ascii="Arial Narrow" w:hAnsi="Arial Narrow"/>
                <w:noProof/>
                <w:color w:val="000000"/>
                <w:kern w:val="24"/>
                <w:sz w:val="20"/>
                <w:highlight w:val="black"/>
              </w:rPr>
              <w:t>'''''''''''' '''''''''''</w:t>
            </w:r>
            <w:r w:rsidR="00052663" w:rsidRPr="00AD6A61">
              <w:rPr>
                <w:rFonts w:ascii="Arial Narrow" w:hAnsi="Arial Narrow"/>
                <w:kern w:val="24"/>
                <w:sz w:val="20"/>
              </w:rPr>
              <w:t>)</w:t>
            </w:r>
          </w:p>
        </w:tc>
        <w:tc>
          <w:tcPr>
            <w:tcW w:w="1584" w:type="pct"/>
          </w:tcPr>
          <w:p w:rsidR="00052663" w:rsidRPr="002A7CC6"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2A7CC6">
              <w:rPr>
                <w:rFonts w:ascii="Arial Narrow" w:hAnsi="Arial Narrow"/>
                <w:kern w:val="24"/>
                <w:sz w:val="20"/>
              </w:rPr>
              <w:t xml:space="preserve"> (</w:t>
            </w:r>
            <w:r>
              <w:rPr>
                <w:rFonts w:ascii="Arial Narrow" w:hAnsi="Arial Narrow"/>
                <w:noProof/>
                <w:color w:val="000000"/>
                <w:kern w:val="24"/>
                <w:sz w:val="20"/>
                <w:highlight w:val="black"/>
              </w:rPr>
              <w:t>'''''''''''' ''''''''''</w:t>
            </w:r>
            <w:r w:rsidR="00052663" w:rsidRPr="002A7CC6">
              <w:rPr>
                <w:rFonts w:ascii="Arial Narrow" w:hAnsi="Arial Narrow"/>
                <w:kern w:val="24"/>
                <w:sz w:val="20"/>
              </w:rPr>
              <w:t>)</w:t>
            </w:r>
          </w:p>
        </w:tc>
      </w:tr>
      <w:tr w:rsidR="00052663" w:rsidRPr="002A7CC6" w:rsidTr="00052663">
        <w:trPr>
          <w:cantSplit/>
        </w:trPr>
        <w:tc>
          <w:tcPr>
            <w:tcW w:w="1886" w:type="pct"/>
          </w:tcPr>
          <w:p w:rsidR="00052663" w:rsidRPr="002A7CC6" w:rsidRDefault="00052663" w:rsidP="00007D60">
            <w:pPr>
              <w:pStyle w:val="TableText1"/>
              <w:keepNext/>
              <w:keepLines/>
              <w:spacing w:before="0" w:after="0"/>
              <w:ind w:left="-34"/>
              <w:rPr>
                <w:rFonts w:ascii="Arial Narrow" w:hAnsi="Arial Narrow"/>
                <w:sz w:val="20"/>
                <w:szCs w:val="20"/>
              </w:rPr>
            </w:pPr>
            <w:r w:rsidRPr="002A7CC6">
              <w:rPr>
                <w:rFonts w:ascii="Arial Narrow" w:hAnsi="Arial Narrow"/>
                <w:sz w:val="20"/>
                <w:szCs w:val="20"/>
              </w:rPr>
              <w:t>Febrile neutropenia grade 3+ OR (95% CI)</w:t>
            </w:r>
          </w:p>
        </w:tc>
        <w:tc>
          <w:tcPr>
            <w:tcW w:w="1530" w:type="pct"/>
          </w:tcPr>
          <w:p w:rsidR="00052663" w:rsidRPr="00AD6A61"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AD6A61">
              <w:rPr>
                <w:rFonts w:ascii="Arial Narrow" w:hAnsi="Arial Narrow"/>
                <w:kern w:val="24"/>
                <w:sz w:val="20"/>
              </w:rPr>
              <w:t xml:space="preserve"> (</w:t>
            </w:r>
            <w:r>
              <w:rPr>
                <w:rFonts w:ascii="Arial Narrow" w:hAnsi="Arial Narrow"/>
                <w:noProof/>
                <w:color w:val="000000"/>
                <w:kern w:val="24"/>
                <w:sz w:val="20"/>
                <w:highlight w:val="black"/>
              </w:rPr>
              <w:t>''''''''''''' ''''''''''</w:t>
            </w:r>
            <w:r w:rsidR="00052663" w:rsidRPr="00AD6A61">
              <w:rPr>
                <w:rFonts w:ascii="Arial Narrow" w:hAnsi="Arial Narrow"/>
                <w:kern w:val="24"/>
                <w:sz w:val="20"/>
              </w:rPr>
              <w:t>)</w:t>
            </w:r>
          </w:p>
        </w:tc>
        <w:tc>
          <w:tcPr>
            <w:tcW w:w="1584" w:type="pct"/>
          </w:tcPr>
          <w:p w:rsidR="00052663" w:rsidRPr="002A7CC6"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2A7CC6">
              <w:rPr>
                <w:rFonts w:ascii="Arial Narrow" w:hAnsi="Arial Narrow"/>
                <w:kern w:val="24"/>
                <w:sz w:val="20"/>
              </w:rPr>
              <w:t xml:space="preserve"> (</w:t>
            </w:r>
            <w:r>
              <w:rPr>
                <w:rFonts w:ascii="Arial Narrow" w:hAnsi="Arial Narrow"/>
                <w:noProof/>
                <w:color w:val="000000"/>
                <w:kern w:val="24"/>
                <w:sz w:val="20"/>
                <w:highlight w:val="black"/>
              </w:rPr>
              <w:t>''''''''''''' ''''''''''</w:t>
            </w:r>
            <w:r w:rsidR="00052663" w:rsidRPr="002A7CC6">
              <w:rPr>
                <w:rFonts w:ascii="Arial Narrow" w:hAnsi="Arial Narrow"/>
                <w:kern w:val="24"/>
                <w:sz w:val="20"/>
              </w:rPr>
              <w:t>)</w:t>
            </w:r>
          </w:p>
        </w:tc>
      </w:tr>
      <w:tr w:rsidR="00052663" w:rsidRPr="002A7CC6" w:rsidTr="00052663">
        <w:trPr>
          <w:cantSplit/>
        </w:trPr>
        <w:tc>
          <w:tcPr>
            <w:tcW w:w="1886" w:type="pct"/>
          </w:tcPr>
          <w:p w:rsidR="00052663" w:rsidRPr="002A7CC6" w:rsidRDefault="00052663" w:rsidP="00007D60">
            <w:pPr>
              <w:pStyle w:val="TableText1"/>
              <w:keepNext/>
              <w:keepLines/>
              <w:spacing w:before="0" w:after="0"/>
              <w:ind w:left="-34"/>
              <w:rPr>
                <w:rFonts w:ascii="Arial Narrow" w:hAnsi="Arial Narrow"/>
                <w:sz w:val="20"/>
                <w:szCs w:val="20"/>
              </w:rPr>
            </w:pPr>
            <w:r w:rsidRPr="002A7CC6">
              <w:rPr>
                <w:rFonts w:ascii="Arial Narrow" w:hAnsi="Arial Narrow"/>
                <w:sz w:val="20"/>
                <w:szCs w:val="20"/>
              </w:rPr>
              <w:t>Pyrexia OR (95% CI)</w:t>
            </w:r>
          </w:p>
        </w:tc>
        <w:tc>
          <w:tcPr>
            <w:tcW w:w="1530" w:type="pct"/>
          </w:tcPr>
          <w:p w:rsidR="00052663" w:rsidRPr="00AD6A61"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AD6A61">
              <w:rPr>
                <w:rFonts w:ascii="Arial Narrow" w:hAnsi="Arial Narrow"/>
                <w:kern w:val="24"/>
                <w:sz w:val="20"/>
              </w:rPr>
              <w:t xml:space="preserve"> (</w:t>
            </w:r>
            <w:r>
              <w:rPr>
                <w:rFonts w:ascii="Arial Narrow" w:hAnsi="Arial Narrow"/>
                <w:noProof/>
                <w:color w:val="000000"/>
                <w:kern w:val="24"/>
                <w:sz w:val="20"/>
                <w:highlight w:val="black"/>
              </w:rPr>
              <w:t>'''''''''''' ''''''''''''</w:t>
            </w:r>
            <w:r w:rsidR="00052663" w:rsidRPr="00AD6A61">
              <w:rPr>
                <w:rFonts w:ascii="Arial Narrow" w:hAnsi="Arial Narrow"/>
                <w:kern w:val="24"/>
                <w:sz w:val="20"/>
              </w:rPr>
              <w:t>)</w:t>
            </w:r>
          </w:p>
        </w:tc>
        <w:tc>
          <w:tcPr>
            <w:tcW w:w="1584" w:type="pct"/>
          </w:tcPr>
          <w:p w:rsidR="00052663" w:rsidRPr="002A7CC6"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2A7CC6">
              <w:rPr>
                <w:rFonts w:ascii="Arial Narrow" w:hAnsi="Arial Narrow"/>
                <w:kern w:val="24"/>
                <w:sz w:val="20"/>
              </w:rPr>
              <w:t xml:space="preserve"> (</w:t>
            </w:r>
            <w:r>
              <w:rPr>
                <w:rFonts w:ascii="Arial Narrow" w:hAnsi="Arial Narrow"/>
                <w:noProof/>
                <w:color w:val="000000"/>
                <w:kern w:val="24"/>
                <w:sz w:val="20"/>
                <w:highlight w:val="black"/>
              </w:rPr>
              <w:t>''''''''''' '''''''''''</w:t>
            </w:r>
            <w:r w:rsidR="00052663" w:rsidRPr="002A7CC6">
              <w:rPr>
                <w:rFonts w:ascii="Arial Narrow" w:hAnsi="Arial Narrow"/>
                <w:kern w:val="24"/>
                <w:sz w:val="20"/>
              </w:rPr>
              <w:t>)</w:t>
            </w:r>
          </w:p>
        </w:tc>
      </w:tr>
      <w:tr w:rsidR="00052663" w:rsidRPr="002A7CC6" w:rsidTr="00052663">
        <w:trPr>
          <w:cantSplit/>
        </w:trPr>
        <w:tc>
          <w:tcPr>
            <w:tcW w:w="1886" w:type="pct"/>
          </w:tcPr>
          <w:p w:rsidR="00052663" w:rsidRPr="002A7CC6" w:rsidRDefault="00052663" w:rsidP="00007D60">
            <w:pPr>
              <w:pStyle w:val="TableText1"/>
              <w:keepNext/>
              <w:keepLines/>
              <w:spacing w:before="0" w:after="0"/>
              <w:ind w:left="-34"/>
              <w:rPr>
                <w:rFonts w:ascii="Arial Narrow" w:hAnsi="Arial Narrow"/>
                <w:sz w:val="20"/>
                <w:szCs w:val="20"/>
              </w:rPr>
            </w:pPr>
            <w:r w:rsidRPr="002A7CC6">
              <w:rPr>
                <w:rFonts w:ascii="Arial Narrow" w:hAnsi="Arial Narrow"/>
                <w:sz w:val="20"/>
                <w:szCs w:val="20"/>
              </w:rPr>
              <w:t>Fatal serious adverse events OR (95% CI)</w:t>
            </w:r>
          </w:p>
        </w:tc>
        <w:tc>
          <w:tcPr>
            <w:tcW w:w="1530" w:type="pct"/>
          </w:tcPr>
          <w:p w:rsidR="00052663" w:rsidRPr="00AD6A61"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AD6A61">
              <w:rPr>
                <w:rFonts w:ascii="Arial Narrow" w:hAnsi="Arial Narrow"/>
                <w:kern w:val="24"/>
                <w:sz w:val="20"/>
              </w:rPr>
              <w:t xml:space="preserve"> (</w:t>
            </w:r>
            <w:r>
              <w:rPr>
                <w:rFonts w:ascii="Arial Narrow" w:hAnsi="Arial Narrow"/>
                <w:noProof/>
                <w:color w:val="000000"/>
                <w:kern w:val="24"/>
                <w:sz w:val="20"/>
                <w:highlight w:val="black"/>
              </w:rPr>
              <w:t>'''''''''''' ''''''''''''</w:t>
            </w:r>
            <w:r w:rsidR="00052663" w:rsidRPr="00AD6A61">
              <w:rPr>
                <w:rFonts w:ascii="Arial Narrow" w:hAnsi="Arial Narrow"/>
                <w:kern w:val="24"/>
                <w:sz w:val="20"/>
              </w:rPr>
              <w:t>)</w:t>
            </w:r>
          </w:p>
        </w:tc>
        <w:tc>
          <w:tcPr>
            <w:tcW w:w="1584" w:type="pct"/>
          </w:tcPr>
          <w:p w:rsidR="00052663" w:rsidRPr="002A7CC6" w:rsidRDefault="00B0555B" w:rsidP="00007D60">
            <w:pPr>
              <w:pStyle w:val="NoSpacing"/>
              <w:keepNext/>
              <w:keepLines/>
              <w:widowControl/>
              <w:ind w:left="-74" w:right="-81"/>
              <w:jc w:val="center"/>
              <w:rPr>
                <w:rFonts w:ascii="Arial Narrow" w:hAnsi="Arial Narrow"/>
                <w:kern w:val="24"/>
                <w:sz w:val="20"/>
              </w:rPr>
            </w:pPr>
            <w:r>
              <w:rPr>
                <w:rFonts w:ascii="Arial Narrow" w:hAnsi="Arial Narrow"/>
                <w:noProof/>
                <w:color w:val="000000"/>
                <w:kern w:val="24"/>
                <w:sz w:val="20"/>
                <w:highlight w:val="black"/>
              </w:rPr>
              <w:t>''''''''''</w:t>
            </w:r>
            <w:r w:rsidR="00052663" w:rsidRPr="002A7CC6">
              <w:rPr>
                <w:rFonts w:ascii="Arial Narrow" w:hAnsi="Arial Narrow"/>
                <w:kern w:val="24"/>
                <w:sz w:val="20"/>
              </w:rPr>
              <w:t xml:space="preserve"> (</w:t>
            </w:r>
            <w:r>
              <w:rPr>
                <w:rFonts w:ascii="Arial Narrow" w:hAnsi="Arial Narrow"/>
                <w:noProof/>
                <w:color w:val="000000"/>
                <w:kern w:val="24"/>
                <w:sz w:val="20"/>
                <w:highlight w:val="black"/>
              </w:rPr>
              <w:t>'''''''''''' ''''''''''</w:t>
            </w:r>
            <w:r w:rsidR="00052663" w:rsidRPr="002A7CC6">
              <w:rPr>
                <w:rFonts w:ascii="Arial Narrow" w:hAnsi="Arial Narrow"/>
                <w:kern w:val="24"/>
                <w:sz w:val="20"/>
              </w:rPr>
              <w:t>)</w:t>
            </w:r>
          </w:p>
        </w:tc>
      </w:tr>
    </w:tbl>
    <w:p w:rsidR="00052663" w:rsidRPr="002A7CC6" w:rsidRDefault="00052663" w:rsidP="00007D60">
      <w:pPr>
        <w:pStyle w:val="MainBodyText"/>
        <w:spacing w:after="0" w:line="240" w:lineRule="auto"/>
        <w:rPr>
          <w:rFonts w:ascii="Arial Narrow" w:hAnsi="Arial Narrow"/>
          <w:sz w:val="18"/>
          <w:szCs w:val="18"/>
        </w:rPr>
      </w:pPr>
      <w:r w:rsidRPr="002A7CC6">
        <w:rPr>
          <w:rFonts w:ascii="Arial Narrow" w:hAnsi="Arial Narrow"/>
          <w:sz w:val="18"/>
          <w:szCs w:val="18"/>
        </w:rPr>
        <w:t>Source: Table 2.6.13, p.233 of the submission.</w:t>
      </w:r>
    </w:p>
    <w:p w:rsidR="00052663" w:rsidRPr="002A7CC6" w:rsidRDefault="00052663" w:rsidP="00007D60">
      <w:pPr>
        <w:pStyle w:val="MainBodyText"/>
        <w:spacing w:after="0" w:line="240" w:lineRule="auto"/>
        <w:rPr>
          <w:rFonts w:ascii="Arial Narrow" w:hAnsi="Arial Narrow"/>
          <w:sz w:val="18"/>
          <w:szCs w:val="18"/>
        </w:rPr>
      </w:pPr>
      <w:r w:rsidRPr="002A7CC6">
        <w:rPr>
          <w:rFonts w:ascii="Arial Narrow" w:hAnsi="Arial Narrow"/>
          <w:sz w:val="18"/>
          <w:szCs w:val="18"/>
        </w:rPr>
        <w:t>Abbreviations: CI, confidence interval; ITT, intention-to-treat; MAIC, matching adjusted indirect comparison; SOC, standard of care chemotherapy.</w:t>
      </w:r>
    </w:p>
    <w:p w:rsidR="00052663" w:rsidRPr="002A7CC6" w:rsidRDefault="00052663" w:rsidP="00F96F7D">
      <w:pPr>
        <w:pStyle w:val="TableFooter"/>
        <w:rPr>
          <w:snapToGrid/>
          <w:lang w:val="en-US" w:eastAsia="en-AU"/>
        </w:rPr>
      </w:pPr>
    </w:p>
    <w:p w:rsidR="00052663" w:rsidRPr="002A7CC6" w:rsidRDefault="00052663" w:rsidP="00007D60">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In the indirect and the anchored MAIC comparisons, the rate of pyrexia was statistically significantly higher for blinatumomab compared to inotuzumab. All other comparisons showed no statistically significant differences between inotuzumab and blinatumomab. The submission noted that the results of the safety analyses should be interpreted with caution due to potential differences in standard of care chemotherapy regimens, and methods of defining, ascertaining and reporting adverse events between </w:t>
      </w:r>
      <w:r w:rsidR="007D7344">
        <w:rPr>
          <w:rFonts w:cs="Calibri"/>
          <w:snapToGrid/>
          <w:szCs w:val="24"/>
          <w:lang w:val="en-US" w:eastAsia="en-AU"/>
        </w:rPr>
        <w:t>INO-VATE ALL</w:t>
      </w:r>
      <w:r w:rsidRPr="002A7CC6">
        <w:rPr>
          <w:rFonts w:cs="Calibri"/>
          <w:snapToGrid/>
          <w:szCs w:val="24"/>
          <w:lang w:val="en-US" w:eastAsia="en-AU"/>
        </w:rPr>
        <w:t xml:space="preserve"> and TOWER.</w:t>
      </w:r>
    </w:p>
    <w:p w:rsidR="007F1017" w:rsidRPr="002A7CC6" w:rsidRDefault="007F1017" w:rsidP="00F96F7D">
      <w:pPr>
        <w:pStyle w:val="Heading2"/>
      </w:pPr>
      <w:bookmarkStart w:id="17" w:name="_Toc524520436"/>
      <w:r w:rsidRPr="002A7CC6">
        <w:t>Benefits/harms</w:t>
      </w:r>
      <w:bookmarkEnd w:id="17"/>
    </w:p>
    <w:p w:rsidR="00052663" w:rsidRPr="002A7CC6" w:rsidRDefault="00052663" w:rsidP="00007D60">
      <w:pPr>
        <w:pStyle w:val="ListParagraph"/>
        <w:widowControl/>
        <w:numPr>
          <w:ilvl w:val="1"/>
          <w:numId w:val="1"/>
        </w:numPr>
      </w:pPr>
      <w:r w:rsidRPr="002A7CC6">
        <w:t>A benefits/harms summary was not presented for inotuzumab versus blinatumomab due to the claim of non-inferiority.</w:t>
      </w:r>
    </w:p>
    <w:p w:rsidR="00B60939" w:rsidRPr="002A7CC6" w:rsidRDefault="00B60939" w:rsidP="00F96F7D">
      <w:pPr>
        <w:pStyle w:val="Heading2"/>
      </w:pPr>
      <w:bookmarkStart w:id="18" w:name="_Toc524520437"/>
      <w:r w:rsidRPr="002A7CC6">
        <w:t>Clinical claim</w:t>
      </w:r>
      <w:bookmarkEnd w:id="18"/>
    </w:p>
    <w:p w:rsidR="00867D9D" w:rsidRPr="002A7CC6" w:rsidRDefault="00867D9D" w:rsidP="00007D60">
      <w:pPr>
        <w:pStyle w:val="ListParagraph"/>
        <w:widowControl/>
        <w:numPr>
          <w:ilvl w:val="1"/>
          <w:numId w:val="1"/>
        </w:numPr>
      </w:pPr>
      <w:r w:rsidRPr="002A7CC6">
        <w:t xml:space="preserve">The submission described inotuzumab as non-inferior in terms of effectiveness compared with blinatumomab and different but non-inferior in terms of safety compared to blinatumomab in the treatment of relapsed/refractory, Philadelphia chromosome negative, CD22-positive, B-cell precursor acute lymphoblastic leukaemia.  </w:t>
      </w:r>
    </w:p>
    <w:p w:rsidR="00867D9D" w:rsidRPr="002A7CC6" w:rsidRDefault="00867D9D" w:rsidP="00007D60">
      <w:pPr>
        <w:pStyle w:val="ListParagraph"/>
        <w:widowControl/>
        <w:numPr>
          <w:ilvl w:val="1"/>
          <w:numId w:val="1"/>
        </w:numPr>
        <w:spacing w:after="0"/>
      </w:pPr>
      <w:r w:rsidRPr="002A7CC6">
        <w:t xml:space="preserve">The </w:t>
      </w:r>
      <w:r w:rsidR="00E21894" w:rsidRPr="002A7CC6">
        <w:t xml:space="preserve">evaluation considered that the </w:t>
      </w:r>
      <w:r w:rsidRPr="002A7CC6">
        <w:t>clinical claim presented in the submission was not adequately supported.</w:t>
      </w:r>
    </w:p>
    <w:p w:rsidR="00DD5D56" w:rsidRPr="002A7CC6" w:rsidRDefault="00DD5D56" w:rsidP="00007D60">
      <w:pPr>
        <w:pStyle w:val="ListParagraph"/>
        <w:widowControl/>
        <w:numPr>
          <w:ilvl w:val="0"/>
          <w:numId w:val="9"/>
        </w:numPr>
        <w:snapToGrid w:val="0"/>
        <w:spacing w:after="0"/>
        <w:ind w:left="1077" w:hanging="357"/>
        <w:rPr>
          <w:iCs/>
        </w:rPr>
      </w:pPr>
      <w:r w:rsidRPr="002A7CC6">
        <w:rPr>
          <w:iCs/>
        </w:rPr>
        <w:t xml:space="preserve">The results of the formal indirect comparison may not be reliable given the lack of exchangeability between the </w:t>
      </w:r>
      <w:r w:rsidR="007D7344">
        <w:rPr>
          <w:iCs/>
        </w:rPr>
        <w:t>INO-VATE ALL</w:t>
      </w:r>
      <w:r w:rsidRPr="002A7CC6">
        <w:rPr>
          <w:iCs/>
        </w:rPr>
        <w:t xml:space="preserve"> and TOWER trials in terms of baseline patient characteristics, eligibility criteria, outcome definitions, disease progression criteria and standard of care chemotherapy regimens.</w:t>
      </w:r>
    </w:p>
    <w:p w:rsidR="00DD5D56" w:rsidRPr="002A7CC6" w:rsidRDefault="00DD5D56" w:rsidP="00007D60">
      <w:pPr>
        <w:pStyle w:val="ListParagraph"/>
        <w:widowControl/>
        <w:numPr>
          <w:ilvl w:val="0"/>
          <w:numId w:val="9"/>
        </w:numPr>
        <w:snapToGrid w:val="0"/>
        <w:spacing w:after="0"/>
        <w:ind w:left="1077" w:hanging="357"/>
        <w:rPr>
          <w:iCs/>
        </w:rPr>
      </w:pPr>
      <w:r w:rsidRPr="002A7CC6">
        <w:rPr>
          <w:iCs/>
        </w:rPr>
        <w:t xml:space="preserve">The common reference (standard of care chemotherapy) may not have been sufficiently similar between trials to support the indirect comparisons. </w:t>
      </w:r>
    </w:p>
    <w:p w:rsidR="00DD5D56" w:rsidRPr="002A7CC6" w:rsidRDefault="00DD5D56" w:rsidP="00007D60">
      <w:pPr>
        <w:pStyle w:val="ListParagraph"/>
        <w:widowControl/>
        <w:numPr>
          <w:ilvl w:val="0"/>
          <w:numId w:val="9"/>
        </w:numPr>
        <w:snapToGrid w:val="0"/>
        <w:spacing w:after="0"/>
        <w:ind w:left="1077" w:hanging="357"/>
        <w:rPr>
          <w:iCs/>
        </w:rPr>
      </w:pPr>
      <w:r w:rsidRPr="002A7CC6">
        <w:rPr>
          <w:iCs/>
        </w:rPr>
        <w:t xml:space="preserve">The MAIC may not be reliable given differences between the </w:t>
      </w:r>
      <w:r w:rsidR="007D7344">
        <w:rPr>
          <w:iCs/>
        </w:rPr>
        <w:t>INO-VATE ALL</w:t>
      </w:r>
      <w:r w:rsidRPr="002A7CC6">
        <w:rPr>
          <w:iCs/>
        </w:rPr>
        <w:t xml:space="preserve"> and TOWER trials in terms of baseline patient characteristics and eligibility criteria </w:t>
      </w:r>
      <w:r w:rsidRPr="002A7CC6">
        <w:rPr>
          <w:iCs/>
        </w:rPr>
        <w:lastRenderedPageBreak/>
        <w:t>identified as treatment effect modifiers that could not be adequately adjusted for in the MAIC methodology.</w:t>
      </w:r>
    </w:p>
    <w:p w:rsidR="00DD5D56" w:rsidRPr="002A7CC6" w:rsidRDefault="00DD5D56" w:rsidP="00007D60">
      <w:pPr>
        <w:pStyle w:val="ListParagraph"/>
        <w:widowControl/>
        <w:numPr>
          <w:ilvl w:val="0"/>
          <w:numId w:val="9"/>
        </w:numPr>
        <w:snapToGrid w:val="0"/>
        <w:spacing w:after="0"/>
        <w:ind w:left="1077" w:hanging="357"/>
        <w:rPr>
          <w:iCs/>
        </w:rPr>
      </w:pPr>
      <w:r w:rsidRPr="002A7CC6">
        <w:rPr>
          <w:iCs/>
        </w:rPr>
        <w:t xml:space="preserve">Covariates identified as potential treatment effect modifiers were not adequately tested for treatment effect or magnitude of effect. In addition, assessment of the effect of matching on baseline patient and disease characteristics in the </w:t>
      </w:r>
      <w:r w:rsidR="007D7344">
        <w:rPr>
          <w:iCs/>
        </w:rPr>
        <w:t>INO-VATE ALL</w:t>
      </w:r>
      <w:r w:rsidRPr="002A7CC6">
        <w:rPr>
          <w:iCs/>
        </w:rPr>
        <w:t xml:space="preserve"> matched samples was not possible, as baseline disease and patient characteristics before and after matching were only presented for identified potential treatment modifiers</w:t>
      </w:r>
      <w:r w:rsidR="00A8045D" w:rsidRPr="002A7CC6">
        <w:rPr>
          <w:iCs/>
        </w:rPr>
        <w:t xml:space="preserve"> (i.e. it was not clear if there were differences between </w:t>
      </w:r>
      <w:r w:rsidR="006E7DCE" w:rsidRPr="002A7CC6">
        <w:rPr>
          <w:iCs/>
        </w:rPr>
        <w:t>samples</w:t>
      </w:r>
      <w:r w:rsidR="00A8045D" w:rsidRPr="002A7CC6">
        <w:rPr>
          <w:iCs/>
        </w:rPr>
        <w:t xml:space="preserve"> in terms of unknown</w:t>
      </w:r>
      <w:r w:rsidR="006E7DCE" w:rsidRPr="002A7CC6">
        <w:rPr>
          <w:iCs/>
        </w:rPr>
        <w:t>/unidentified</w:t>
      </w:r>
      <w:r w:rsidR="00A8045D" w:rsidRPr="002A7CC6">
        <w:rPr>
          <w:iCs/>
        </w:rPr>
        <w:t xml:space="preserve"> </w:t>
      </w:r>
      <w:r w:rsidR="006E7DCE" w:rsidRPr="002A7CC6">
        <w:rPr>
          <w:iCs/>
        </w:rPr>
        <w:t>treatment effect modifiers</w:t>
      </w:r>
      <w:r w:rsidR="00A8045D" w:rsidRPr="002A7CC6">
        <w:rPr>
          <w:iCs/>
        </w:rPr>
        <w:t>)</w:t>
      </w:r>
      <w:r w:rsidRPr="002A7CC6">
        <w:rPr>
          <w:iCs/>
        </w:rPr>
        <w:t xml:space="preserve">. </w:t>
      </w:r>
    </w:p>
    <w:p w:rsidR="00DD5D56" w:rsidRPr="002A7CC6" w:rsidRDefault="00DD5D56" w:rsidP="00007D60">
      <w:pPr>
        <w:pStyle w:val="ListParagraph"/>
        <w:widowControl/>
        <w:numPr>
          <w:ilvl w:val="0"/>
          <w:numId w:val="9"/>
        </w:numPr>
        <w:snapToGrid w:val="0"/>
        <w:spacing w:after="120"/>
        <w:ind w:left="1077" w:hanging="357"/>
        <w:rPr>
          <w:iCs/>
        </w:rPr>
      </w:pPr>
      <w:r w:rsidRPr="002A7CC6">
        <w:t xml:space="preserve">The safety profiles of inotuzumab and blinatumomab both include severe potentially life threatening adverse events, but are distinctly different. Given the differences in standard of care chemotherapy regimens, and methods of defining, ascertaining and reporting adverse events between the </w:t>
      </w:r>
      <w:r w:rsidR="007D7344">
        <w:t>INO-VATE ALL</w:t>
      </w:r>
      <w:r w:rsidRPr="002A7CC6">
        <w:t xml:space="preserve"> and TOWER trials, </w:t>
      </w:r>
      <w:r w:rsidR="0010374B" w:rsidRPr="002A7CC6">
        <w:t xml:space="preserve">the evaluation considered that the </w:t>
      </w:r>
      <w:r w:rsidRPr="002A7CC6">
        <w:t>indirect comparisons and informal assessments of safety outcomes are highly uncertain, and should be interpreted with caution.</w:t>
      </w:r>
    </w:p>
    <w:p w:rsidR="00E21894" w:rsidRPr="005D1FE6" w:rsidRDefault="00E21894" w:rsidP="00007D60">
      <w:pPr>
        <w:pStyle w:val="ListParagraph"/>
        <w:widowControl/>
        <w:numPr>
          <w:ilvl w:val="1"/>
          <w:numId w:val="1"/>
        </w:numPr>
        <w:spacing w:after="120"/>
        <w:rPr>
          <w:iCs/>
        </w:rPr>
      </w:pPr>
      <w:r w:rsidRPr="002A7CC6">
        <w:t xml:space="preserve">The ESC noted </w:t>
      </w:r>
      <w:r w:rsidR="0010374B" w:rsidRPr="002A7CC6">
        <w:t xml:space="preserve">the </w:t>
      </w:r>
      <w:r w:rsidRPr="002A7CC6">
        <w:t xml:space="preserve">differences between trials, but considered the overall direction of bias was </w:t>
      </w:r>
      <w:r w:rsidR="00E83ABC" w:rsidRPr="002A7CC6">
        <w:t>unlikely to be large</w:t>
      </w:r>
      <w:r w:rsidRPr="002A7CC6">
        <w:t xml:space="preserve">, with some factors favouring blinatumomab and others favouring inotuzumab. Overall, the ESC considered that the claim of non-inferior effectiveness was adequately supported for the outcomes of event free survival and overall survival. The ESC considered that </w:t>
      </w:r>
      <w:r w:rsidR="00DB16AC" w:rsidRPr="002A7CC6">
        <w:t xml:space="preserve">acceptance </w:t>
      </w:r>
      <w:r w:rsidRPr="002A7CC6">
        <w:t xml:space="preserve">of non-inferiority </w:t>
      </w:r>
      <w:r w:rsidR="00DB16AC" w:rsidRPr="002A7CC6">
        <w:t xml:space="preserve">was based on </w:t>
      </w:r>
      <w:r w:rsidR="00DB16AC" w:rsidRPr="002A7CC6">
        <w:rPr>
          <w:rFonts w:cs="Calibri"/>
          <w:snapToGrid/>
          <w:szCs w:val="24"/>
          <w:lang w:val="en-US" w:eastAsia="en-AU"/>
        </w:rPr>
        <w:t>inotuzumab being associated with higher rates of CR</w:t>
      </w:r>
      <w:r w:rsidR="00305F53" w:rsidRPr="002A7CC6">
        <w:rPr>
          <w:rFonts w:cs="Calibri"/>
          <w:snapToGrid/>
          <w:szCs w:val="24"/>
          <w:lang w:val="en-US" w:eastAsia="en-AU"/>
        </w:rPr>
        <w:t>/</w:t>
      </w:r>
      <w:proofErr w:type="spellStart"/>
      <w:r w:rsidR="00DB16AC" w:rsidRPr="002A7CC6">
        <w:rPr>
          <w:rFonts w:cs="Calibri"/>
          <w:snapToGrid/>
          <w:szCs w:val="24"/>
          <w:lang w:val="en-US" w:eastAsia="en-AU"/>
        </w:rPr>
        <w:t>C</w:t>
      </w:r>
      <w:r w:rsidR="00305F53" w:rsidRPr="002A7CC6">
        <w:rPr>
          <w:rFonts w:cs="Calibri"/>
          <w:snapToGrid/>
          <w:szCs w:val="24"/>
          <w:lang w:val="en-US" w:eastAsia="en-AU"/>
        </w:rPr>
        <w:t>R</w:t>
      </w:r>
      <w:r w:rsidR="00DB16AC" w:rsidRPr="002A7CC6">
        <w:rPr>
          <w:rFonts w:cs="Calibri"/>
          <w:snapToGrid/>
          <w:szCs w:val="24"/>
          <w:lang w:val="en-US" w:eastAsia="en-AU"/>
        </w:rPr>
        <w:t>i</w:t>
      </w:r>
      <w:proofErr w:type="spellEnd"/>
      <w:r w:rsidR="00DB16AC" w:rsidRPr="002A7CC6">
        <w:rPr>
          <w:rFonts w:cs="Calibri"/>
          <w:snapToGrid/>
          <w:szCs w:val="24"/>
          <w:lang w:val="en-US" w:eastAsia="en-AU"/>
        </w:rPr>
        <w:t xml:space="preserve"> and </w:t>
      </w:r>
      <w:r w:rsidR="00305F53" w:rsidRPr="002A7CC6">
        <w:rPr>
          <w:rFonts w:cs="Calibri"/>
          <w:snapToGrid/>
          <w:szCs w:val="24"/>
          <w:lang w:val="en-US" w:eastAsia="en-AU"/>
        </w:rPr>
        <w:t xml:space="preserve">subsequent </w:t>
      </w:r>
      <w:r w:rsidR="00DB16AC" w:rsidRPr="002A7CC6">
        <w:rPr>
          <w:rFonts w:cs="Calibri"/>
          <w:snapToGrid/>
          <w:szCs w:val="24"/>
          <w:lang w:val="en-US" w:eastAsia="en-AU"/>
        </w:rPr>
        <w:t>HSCT, but also higher rates of post-transplant non-relapse mortality</w:t>
      </w:r>
      <w:r w:rsidR="00305F53" w:rsidRPr="002A7CC6">
        <w:rPr>
          <w:rFonts w:cs="Calibri"/>
          <w:snapToGrid/>
          <w:szCs w:val="24"/>
          <w:lang w:val="en-US" w:eastAsia="en-AU"/>
        </w:rPr>
        <w:t>.</w:t>
      </w:r>
      <w:r w:rsidR="00DB16AC" w:rsidRPr="002A7CC6">
        <w:t xml:space="preserve"> </w:t>
      </w:r>
    </w:p>
    <w:p w:rsidR="00C32298" w:rsidRPr="00C32298" w:rsidRDefault="00C32298" w:rsidP="00944E27">
      <w:pPr>
        <w:widowControl/>
        <w:numPr>
          <w:ilvl w:val="1"/>
          <w:numId w:val="1"/>
        </w:numPr>
        <w:spacing w:after="120"/>
        <w:rPr>
          <w:iCs/>
        </w:rPr>
      </w:pPr>
      <w:r w:rsidRPr="00C32298">
        <w:rPr>
          <w:rFonts w:asciiTheme="minorHAnsi" w:hAnsiTheme="minorHAnsi"/>
          <w:bCs/>
          <w:lang w:val="en-GB"/>
        </w:rPr>
        <w:t xml:space="preserve">The PBAC accepted that inotuzumab is superior to </w:t>
      </w:r>
      <w:r w:rsidRPr="002A7CC6">
        <w:t>standard of care chemotherapy</w:t>
      </w:r>
      <w:r>
        <w:t xml:space="preserve"> based on the data presented from the INO-VATE ALL trial. </w:t>
      </w:r>
    </w:p>
    <w:p w:rsidR="005D1FE6" w:rsidRPr="003F466C" w:rsidRDefault="00944E27" w:rsidP="00944E27">
      <w:pPr>
        <w:pStyle w:val="ListParagraph"/>
        <w:widowControl/>
        <w:numPr>
          <w:ilvl w:val="1"/>
          <w:numId w:val="1"/>
        </w:numPr>
        <w:spacing w:after="120"/>
        <w:rPr>
          <w:iCs/>
        </w:rPr>
      </w:pPr>
      <w:r w:rsidRPr="00944E27">
        <w:rPr>
          <w:iCs/>
        </w:rPr>
        <w:t>The PBA</w:t>
      </w:r>
      <w:r>
        <w:rPr>
          <w:iCs/>
        </w:rPr>
        <w:t>C considered that the claim of non-inferior</w:t>
      </w:r>
      <w:r w:rsidRPr="00944E27">
        <w:rPr>
          <w:iCs/>
        </w:rPr>
        <w:t xml:space="preserve"> comparative effectiveness</w:t>
      </w:r>
      <w:r>
        <w:rPr>
          <w:iCs/>
        </w:rPr>
        <w:t xml:space="preserve"> of inotuzumab versus blinatumomab </w:t>
      </w:r>
      <w:r w:rsidRPr="00944E27">
        <w:rPr>
          <w:iCs/>
        </w:rPr>
        <w:t>was reasonable</w:t>
      </w:r>
      <w:r w:rsidR="00296C7F">
        <w:rPr>
          <w:iCs/>
        </w:rPr>
        <w:t xml:space="preserve"> in the context of an uncommon disease where a direct randomised comparison would not be forthcoming</w:t>
      </w:r>
      <w:r w:rsidR="005D1FE6" w:rsidRPr="003F466C">
        <w:rPr>
          <w:iCs/>
        </w:rPr>
        <w:t xml:space="preserve">. </w:t>
      </w:r>
    </w:p>
    <w:p w:rsidR="005D1FE6" w:rsidRPr="002A7CC6" w:rsidRDefault="005D1FE6" w:rsidP="00944E27">
      <w:pPr>
        <w:pStyle w:val="ListParagraph"/>
        <w:widowControl/>
        <w:numPr>
          <w:ilvl w:val="1"/>
          <w:numId w:val="1"/>
        </w:numPr>
        <w:spacing w:after="120"/>
        <w:rPr>
          <w:iCs/>
        </w:rPr>
      </w:pPr>
      <w:r>
        <w:t xml:space="preserve">The PBAC considered that the claim of </w:t>
      </w:r>
      <w:r w:rsidR="00944E27" w:rsidRPr="00944E27">
        <w:t>different but non-inferior safety</w:t>
      </w:r>
      <w:r w:rsidR="00944E27">
        <w:t xml:space="preserve"> was reasonable. </w:t>
      </w:r>
    </w:p>
    <w:p w:rsidR="00B60939" w:rsidRPr="002A7CC6" w:rsidRDefault="00B60939" w:rsidP="00F96F7D">
      <w:pPr>
        <w:pStyle w:val="Heading2"/>
      </w:pPr>
      <w:bookmarkStart w:id="19" w:name="_Toc524520438"/>
      <w:r w:rsidRPr="002A7CC6">
        <w:t>Economic analysis</w:t>
      </w:r>
      <w:bookmarkEnd w:id="19"/>
      <w:r w:rsidR="00491B3A" w:rsidRPr="002A7CC6">
        <w:t xml:space="preserve"> </w:t>
      </w:r>
    </w:p>
    <w:p w:rsidR="001B4FA6" w:rsidRPr="002A7CC6" w:rsidRDefault="001B4FA6" w:rsidP="00007D60">
      <w:pPr>
        <w:pStyle w:val="ListParagraph"/>
        <w:widowControl/>
        <w:numPr>
          <w:ilvl w:val="1"/>
          <w:numId w:val="1"/>
        </w:numPr>
      </w:pPr>
      <w:r w:rsidRPr="002A7CC6">
        <w:t>The submission presented a cost-minimisation analysis of inotuzumab versus blinatumomab, based on the claim of non-inferior effectiveness and different but non-inferior safety.</w:t>
      </w:r>
    </w:p>
    <w:p w:rsidR="001B4FA6" w:rsidRPr="002A7CC6" w:rsidRDefault="001B4FA6" w:rsidP="00007D60">
      <w:pPr>
        <w:pStyle w:val="ListParagraph"/>
        <w:widowControl/>
        <w:numPr>
          <w:ilvl w:val="1"/>
          <w:numId w:val="1"/>
        </w:numPr>
      </w:pPr>
      <w:r w:rsidRPr="002A7CC6">
        <w:t xml:space="preserve">The </w:t>
      </w:r>
      <w:r w:rsidR="000938F4" w:rsidRPr="002A7CC6">
        <w:t xml:space="preserve">submission estimated the </w:t>
      </w:r>
      <w:r w:rsidRPr="002A7CC6">
        <w:t>equi-effective doses as</w:t>
      </w:r>
      <w:r w:rsidR="000938F4" w:rsidRPr="002A7CC6">
        <w:t>:</w:t>
      </w:r>
      <w:r w:rsidRPr="002A7CC6">
        <w:t xml:space="preserve"> </w:t>
      </w:r>
      <w:r w:rsidRPr="002A7CC6">
        <w:rPr>
          <w:rFonts w:asciiTheme="minorHAnsi" w:hAnsiTheme="minorHAnsi" w:cstheme="minorHAnsi"/>
          <w:szCs w:val="24"/>
        </w:rPr>
        <w:t>inotuzumab 9 x 1 mg vials over 2.7 cycles is equi-effective to blinatumomab 56 x 38.5 mcg vials over 1.64 cycles.</w:t>
      </w:r>
    </w:p>
    <w:p w:rsidR="00D50A03" w:rsidRDefault="001B4FA6" w:rsidP="00D50A03">
      <w:pPr>
        <w:pStyle w:val="ListParagraph"/>
        <w:widowControl/>
        <w:numPr>
          <w:ilvl w:val="1"/>
          <w:numId w:val="1"/>
        </w:numPr>
      </w:pPr>
      <w:r w:rsidRPr="002A7CC6">
        <w:t xml:space="preserve">The equi-effective dose of inotuzumab was derived from the mean </w:t>
      </w:r>
      <w:r w:rsidR="00F7375B" w:rsidRPr="00F7375B">
        <w:t>number of vials per course of treatment in the INO-VATE</w:t>
      </w:r>
      <w:r w:rsidR="00F7375B">
        <w:t xml:space="preserve"> </w:t>
      </w:r>
      <w:r w:rsidR="00F7375B" w:rsidRPr="00F7375B">
        <w:t xml:space="preserve">ALL trial. Patients progressing to HSCT or not </w:t>
      </w:r>
      <w:r w:rsidR="00F7375B" w:rsidRPr="00F7375B">
        <w:lastRenderedPageBreak/>
        <w:t>achieving CR o</w:t>
      </w:r>
      <w:r w:rsidR="00192FA4">
        <w:t>r</w:t>
      </w:r>
      <w:r w:rsidR="00F7375B" w:rsidRPr="00F7375B">
        <w:t xml:space="preserve"> </w:t>
      </w:r>
      <w:proofErr w:type="spellStart"/>
      <w:r w:rsidR="00F7375B" w:rsidRPr="00F7375B">
        <w:t>CRi</w:t>
      </w:r>
      <w:proofErr w:type="spellEnd"/>
      <w:r w:rsidR="00F7375B" w:rsidRPr="00F7375B">
        <w:t xml:space="preserve"> within three cycles could continue treatment with inotuzumab in the INO-VATE</w:t>
      </w:r>
      <w:r w:rsidR="00F7375B">
        <w:t xml:space="preserve"> </w:t>
      </w:r>
      <w:r w:rsidR="00F7375B" w:rsidRPr="00F7375B">
        <w:t xml:space="preserve">ALL trial, which is inconsistent with the recommended dosing regimen in the inotuzumab Product Information. The submission therefore adjusted </w:t>
      </w:r>
      <w:r w:rsidR="003C0C20">
        <w:t xml:space="preserve">its calculation of </w:t>
      </w:r>
      <w:r w:rsidR="00F7375B" w:rsidRPr="00F7375B">
        <w:t>the number of vials</w:t>
      </w:r>
      <w:r w:rsidR="003C0C20">
        <w:t xml:space="preserve"> per patient</w:t>
      </w:r>
      <w:r w:rsidR="00F7375B" w:rsidRPr="00F7375B">
        <w:t xml:space="preserve"> to exclude </w:t>
      </w:r>
      <w:r w:rsidR="003C0C20">
        <w:t>vials used</w:t>
      </w:r>
      <w:r w:rsidR="00F7375B">
        <w:t xml:space="preserve"> </w:t>
      </w:r>
      <w:r w:rsidR="00F7375B" w:rsidRPr="00F7375B">
        <w:t xml:space="preserve">in </w:t>
      </w:r>
      <w:r w:rsidR="00F7375B">
        <w:t>C</w:t>
      </w:r>
      <w:r w:rsidR="00F7375B" w:rsidRPr="00F7375B">
        <w:t xml:space="preserve">ycles 4-6 </w:t>
      </w:r>
      <w:r w:rsidR="00F7375B">
        <w:t xml:space="preserve">in </w:t>
      </w:r>
      <w:r w:rsidR="00F7375B" w:rsidRPr="00F7375B">
        <w:t xml:space="preserve">patients progressing to HSCT or not achieving </w:t>
      </w:r>
      <w:r w:rsidR="00192FA4" w:rsidRPr="00F7375B">
        <w:t>CR o</w:t>
      </w:r>
      <w:r w:rsidR="00192FA4">
        <w:t>r</w:t>
      </w:r>
      <w:r w:rsidR="00192FA4" w:rsidRPr="00F7375B">
        <w:t xml:space="preserve"> </w:t>
      </w:r>
      <w:proofErr w:type="spellStart"/>
      <w:r w:rsidR="00192FA4" w:rsidRPr="00F7375B">
        <w:t>CRi</w:t>
      </w:r>
      <w:proofErr w:type="spellEnd"/>
      <w:r w:rsidR="00192FA4" w:rsidRPr="00F7375B">
        <w:t xml:space="preserve"> </w:t>
      </w:r>
      <w:r w:rsidR="00192FA4">
        <w:t xml:space="preserve">within </w:t>
      </w:r>
      <w:r w:rsidR="003C0C20">
        <w:t>three</w:t>
      </w:r>
      <w:r w:rsidR="00192FA4">
        <w:t xml:space="preserve"> cycles</w:t>
      </w:r>
      <w:r w:rsidR="00F7375B" w:rsidRPr="00F7375B">
        <w:t xml:space="preserve">. </w:t>
      </w:r>
      <w:r w:rsidR="00501878">
        <w:t xml:space="preserve">This </w:t>
      </w:r>
      <w:r w:rsidR="00D50A03">
        <w:t xml:space="preserve">adjustment </w:t>
      </w:r>
      <w:r w:rsidR="00501878">
        <w:t>reduced the average number of inotuzumab vials per patient from 9.</w:t>
      </w:r>
      <w:r w:rsidR="00F7375B">
        <w:t>3</w:t>
      </w:r>
      <w:r w:rsidR="00501878">
        <w:t xml:space="preserve"> in the trial to 9</w:t>
      </w:r>
      <w:r w:rsidR="00F7375B">
        <w:t>.0</w:t>
      </w:r>
      <w:r w:rsidR="00501878">
        <w:t xml:space="preserve"> with the submission’s adjustment (</w:t>
      </w:r>
      <w:r w:rsidR="00192FA4">
        <w:t>which</w:t>
      </w:r>
      <w:r w:rsidR="00501878">
        <w:t xml:space="preserve"> </w:t>
      </w:r>
      <w:r w:rsidR="00F7375B">
        <w:t xml:space="preserve">subsequently </w:t>
      </w:r>
      <w:r w:rsidR="00501878">
        <w:t>increased the price per vial).</w:t>
      </w:r>
      <w:r w:rsidR="001440AB" w:rsidRPr="001440AB">
        <w:t xml:space="preserve"> </w:t>
      </w:r>
      <w:r w:rsidR="003F6C92">
        <w:t>The evaluation considered that e</w:t>
      </w:r>
      <w:r w:rsidR="00076AAC" w:rsidRPr="002A7CC6">
        <w:t>xclusion of inotuzumab dosing data from these patients</w:t>
      </w:r>
      <w:r w:rsidR="00F7375B">
        <w:t xml:space="preserve"> (in Cycles 4-6) may not reflect clinical practice where some patients </w:t>
      </w:r>
      <w:r w:rsidR="00FE6DFC">
        <w:t>may</w:t>
      </w:r>
      <w:r w:rsidR="00F7375B">
        <w:t xml:space="preserve"> continue treatment for longer than permitted under the PBS restriction. The PBAC also noted that the </w:t>
      </w:r>
      <w:r w:rsidR="00D50A03">
        <w:t>INO-VATE ALL efficacy data reflected the trial-based dosing</w:t>
      </w:r>
      <w:r w:rsidR="003C0C20">
        <w:t>. Wi</w:t>
      </w:r>
      <w:r w:rsidR="00D50A03">
        <w:t xml:space="preserve">th the resubmission’s adjusted </w:t>
      </w:r>
      <w:r w:rsidR="00FE6DFC">
        <w:t xml:space="preserve">approach </w:t>
      </w:r>
      <w:r w:rsidR="00D50A03">
        <w:t xml:space="preserve">the </w:t>
      </w:r>
      <w:r w:rsidR="00FE6DFC">
        <w:t>PBAC was uncertain whether cost-minimisation would be achieved</w:t>
      </w:r>
      <w:r w:rsidR="00D50A03">
        <w:t>. The</w:t>
      </w:r>
      <w:r w:rsidR="00FE6DFC">
        <w:t>refore, the</w:t>
      </w:r>
      <w:r w:rsidR="00D50A03">
        <w:t xml:space="preserve"> PBAC considered that, in this case, the trial-based dosing (which resulted in an average of 9.3 inotuzumab vials per patient) would be more appropriate for calculating the equi-effective dose of inotuzumab</w:t>
      </w:r>
      <w:r w:rsidR="00FE6DFC">
        <w:t>.</w:t>
      </w:r>
      <w:r w:rsidR="00D50A03">
        <w:t xml:space="preserve">  </w:t>
      </w:r>
    </w:p>
    <w:p w:rsidR="001B4FA6" w:rsidRPr="002A7CC6" w:rsidRDefault="001B4FA6" w:rsidP="00007D60">
      <w:pPr>
        <w:pStyle w:val="ListParagraph"/>
        <w:widowControl/>
        <w:numPr>
          <w:ilvl w:val="1"/>
          <w:numId w:val="1"/>
        </w:numPr>
      </w:pPr>
      <w:r w:rsidRPr="002A7CC6">
        <w:t>The</w:t>
      </w:r>
      <w:r w:rsidR="00000FB8">
        <w:t xml:space="preserve"> submission derived the</w:t>
      </w:r>
      <w:r w:rsidRPr="002A7CC6">
        <w:t xml:space="preserve"> equi-effective dose of blinatumomab from </w:t>
      </w:r>
      <w:r w:rsidR="000938F4" w:rsidRPr="002A7CC6">
        <w:t xml:space="preserve">the </w:t>
      </w:r>
      <w:r w:rsidRPr="002A7CC6">
        <w:t xml:space="preserve">estimated total mean dose of blinatumomab described in the November 2016 blinatumomab </w:t>
      </w:r>
      <w:r w:rsidR="001B0E4F" w:rsidRPr="002A7CC6">
        <w:t xml:space="preserve">Public Summary Document </w:t>
      </w:r>
      <w:r w:rsidRPr="002A7CC6">
        <w:t xml:space="preserve">(i.e. 1,156 mcg as 42 vials of blinatumomab over an average treatment duration of 1.64 cycles) (Blinatumomab PSD, November 2016, para.6.12). However, the </w:t>
      </w:r>
      <w:r w:rsidR="00D5388C" w:rsidRPr="002A7CC6">
        <w:t xml:space="preserve">inotuzumab </w:t>
      </w:r>
      <w:r w:rsidRPr="002A7CC6">
        <w:t xml:space="preserve">submission noted that the DPMA of blinatumomab in the January 2018 PBS Schedule increased by $20,333.39 for Public hospitals and $20,618.08 for Private hospitals, and assumed that this price increase was related to a revision of the number of vials of blinatumomab required to supply the listed maximum quantities, </w:t>
      </w:r>
      <w:r w:rsidR="00000FB8">
        <w:t>which it estimated would have added</w:t>
      </w:r>
      <w:r w:rsidRPr="002A7CC6">
        <w:t xml:space="preserve"> an additional 7 vials per cycle of treatment. Therefore, the submission recalculated the equi-effective dose of blinatumomab at 1,156 mcg as 56 vials </w:t>
      </w:r>
      <w:r w:rsidR="007911CB" w:rsidRPr="002A7CC6">
        <w:t>(</w:t>
      </w:r>
      <w:r w:rsidR="006B792C" w:rsidRPr="002A7CC6">
        <w:t>i.e.</w:t>
      </w:r>
      <w:r w:rsidR="00CA46D1" w:rsidRPr="002A7CC6">
        <w:t xml:space="preserve"> assuming</w:t>
      </w:r>
      <w:r w:rsidR="007911CB" w:rsidRPr="002A7CC6">
        <w:t xml:space="preserve"> </w:t>
      </w:r>
      <w:r w:rsidR="00E56F2B" w:rsidRPr="002A7CC6">
        <w:t xml:space="preserve">20.6 mcg per vial) </w:t>
      </w:r>
      <w:r w:rsidRPr="002A7CC6">
        <w:t>of blinatumomab over an average treatment duration of 1.64 cycles.</w:t>
      </w:r>
    </w:p>
    <w:p w:rsidR="001B4FA6" w:rsidRPr="002A7CC6" w:rsidRDefault="00393092" w:rsidP="00007D60">
      <w:pPr>
        <w:pStyle w:val="ListParagraph"/>
        <w:widowControl/>
        <w:numPr>
          <w:ilvl w:val="1"/>
          <w:numId w:val="1"/>
        </w:numPr>
      </w:pPr>
      <w:r w:rsidRPr="002A7CC6">
        <w:t xml:space="preserve">The submission’s </w:t>
      </w:r>
      <w:r w:rsidR="009B7C48" w:rsidRPr="002A7CC6">
        <w:t>assumption</w:t>
      </w:r>
      <w:r w:rsidRPr="002A7CC6">
        <w:t xml:space="preserve"> was not appropriate</w:t>
      </w:r>
      <w:r w:rsidR="007911CB" w:rsidRPr="002A7CC6">
        <w:t xml:space="preserve">, and </w:t>
      </w:r>
      <w:r w:rsidR="00846FC3">
        <w:t>was</w:t>
      </w:r>
      <w:r w:rsidR="007911CB" w:rsidRPr="002A7CC6">
        <w:t xml:space="preserve"> corrected in the economic analysis and financial estimates</w:t>
      </w:r>
      <w:r w:rsidR="009D4B7A" w:rsidRPr="002A7CC6">
        <w:t xml:space="preserve"> presented below</w:t>
      </w:r>
      <w:r w:rsidRPr="002A7CC6">
        <w:t xml:space="preserve">. </w:t>
      </w:r>
      <w:r w:rsidR="007911CB" w:rsidRPr="002A7CC6">
        <w:t>The ex-manufacturer price spreadsheets</w:t>
      </w:r>
      <w:r w:rsidR="007911CB" w:rsidRPr="002A7CC6">
        <w:rPr>
          <w:rStyle w:val="FootnoteReference"/>
        </w:rPr>
        <w:footnoteReference w:id="4"/>
      </w:r>
      <w:r w:rsidR="007911CB" w:rsidRPr="002A7CC6">
        <w:t xml:space="preserve"> show that the vial content for b</w:t>
      </w:r>
      <w:r w:rsidR="00600212" w:rsidRPr="002A7CC6">
        <w:t>linatumomab was amended from 39 </w:t>
      </w:r>
      <w:r w:rsidR="007911CB" w:rsidRPr="002A7CC6">
        <w:t>mcg on 1 December 2017 to 28</w:t>
      </w:r>
      <w:r w:rsidR="00816349" w:rsidRPr="002A7CC6">
        <w:t xml:space="preserve"> </w:t>
      </w:r>
      <w:r w:rsidR="007911CB" w:rsidRPr="002A7CC6">
        <w:t>mcg on 1 January 2018</w:t>
      </w:r>
      <w:r w:rsidR="00A41811" w:rsidRPr="002A7CC6">
        <w:t xml:space="preserve"> (the spreadsheet also shows that the AEMP did not change)</w:t>
      </w:r>
      <w:r w:rsidR="007911CB" w:rsidRPr="002A7CC6">
        <w:t xml:space="preserve">. </w:t>
      </w:r>
      <w:r w:rsidR="000938F4" w:rsidRPr="002A7CC6">
        <w:t>Thus</w:t>
      </w:r>
      <w:r w:rsidR="001B4FA6" w:rsidRPr="002A7CC6">
        <w:t xml:space="preserve">, the mean dosage regimen of blinatumomab of 1,156 mcg over 1.64 cycles </w:t>
      </w:r>
      <w:r w:rsidR="000938F4" w:rsidRPr="002A7CC6">
        <w:t>would require</w:t>
      </w:r>
      <w:r w:rsidR="001B4FA6" w:rsidRPr="002A7CC6">
        <w:t xml:space="preserve"> 42 vials</w:t>
      </w:r>
      <w:r w:rsidR="00E56F2B" w:rsidRPr="002A7CC6">
        <w:t xml:space="preserve">, which is </w:t>
      </w:r>
      <w:r w:rsidR="009B7C48" w:rsidRPr="002A7CC6">
        <w:t xml:space="preserve">consistent with the mean number of vials reported in the </w:t>
      </w:r>
      <w:r w:rsidR="00E85020" w:rsidRPr="002A7CC6">
        <w:t xml:space="preserve">blinatumomab </w:t>
      </w:r>
      <w:r w:rsidR="009B7C48" w:rsidRPr="002A7CC6">
        <w:t>Public Summary Document</w:t>
      </w:r>
      <w:r w:rsidR="001B4FA6" w:rsidRPr="002A7CC6">
        <w:t>.</w:t>
      </w:r>
      <w:r w:rsidRPr="002A7CC6">
        <w:t xml:space="preserve"> </w:t>
      </w:r>
      <w:r w:rsidR="00A41811" w:rsidRPr="002A7CC6">
        <w:t>Further, the blinatumomab Product Information (Table 3</w:t>
      </w:r>
      <w:r w:rsidR="00600212" w:rsidRPr="002A7CC6">
        <w:t xml:space="preserve"> of the Product Information</w:t>
      </w:r>
      <w:r w:rsidR="00A41811" w:rsidRPr="002A7CC6">
        <w:t xml:space="preserve">, refer to footnotes a, b and c) outlines the number of vials required to prepare blinatumomab </w:t>
      </w:r>
      <w:r w:rsidR="00A41811" w:rsidRPr="002A7CC6">
        <w:lastRenderedPageBreak/>
        <w:t>infusions, with most of these requiring one vial per 24 hours, indicating that each 38.5 mcg vial of blinatumomab yields 28 mcg of the active agent.</w:t>
      </w:r>
    </w:p>
    <w:p w:rsidR="001B4FA6" w:rsidRPr="002A7CC6" w:rsidRDefault="00D207AD" w:rsidP="00007D60">
      <w:pPr>
        <w:pStyle w:val="ListParagraph"/>
        <w:widowControl/>
        <w:numPr>
          <w:ilvl w:val="1"/>
          <w:numId w:val="1"/>
        </w:numPr>
      </w:pPr>
      <w:r w:rsidRPr="002A7CC6">
        <w:t xml:space="preserve">Thus, the </w:t>
      </w:r>
      <w:r w:rsidR="00846FC3">
        <w:t xml:space="preserve">PBAC </w:t>
      </w:r>
      <w:r w:rsidR="001F03F1">
        <w:t xml:space="preserve">agreed </w:t>
      </w:r>
      <w:r w:rsidRPr="002A7CC6">
        <w:t xml:space="preserve">the equi-effective doses </w:t>
      </w:r>
      <w:r w:rsidR="001F03F1">
        <w:t>should be</w:t>
      </w:r>
      <w:r w:rsidRPr="002A7CC6">
        <w:t xml:space="preserve">: </w:t>
      </w:r>
      <w:r w:rsidRPr="002A7CC6">
        <w:rPr>
          <w:rFonts w:asciiTheme="minorHAnsi" w:hAnsiTheme="minorHAnsi" w:cstheme="minorHAnsi"/>
          <w:szCs w:val="24"/>
        </w:rPr>
        <w:t>inotuzumab 9</w:t>
      </w:r>
      <w:r w:rsidR="00FE6DFC">
        <w:rPr>
          <w:rFonts w:asciiTheme="minorHAnsi" w:hAnsiTheme="minorHAnsi" w:cstheme="minorHAnsi"/>
          <w:szCs w:val="24"/>
        </w:rPr>
        <w:t>.3</w:t>
      </w:r>
      <w:r w:rsidRPr="002A7CC6">
        <w:rPr>
          <w:rFonts w:asciiTheme="minorHAnsi" w:hAnsiTheme="minorHAnsi" w:cstheme="minorHAnsi"/>
          <w:szCs w:val="24"/>
        </w:rPr>
        <w:t> x 1 mg vials is equi-effective to blinatumomab 42 x 28 mcg vials.</w:t>
      </w:r>
      <w:r w:rsidR="00E53DA0" w:rsidRPr="002A7CC6">
        <w:rPr>
          <w:rFonts w:asciiTheme="minorHAnsi" w:hAnsiTheme="minorHAnsi" w:cstheme="minorHAnsi"/>
          <w:szCs w:val="24"/>
        </w:rPr>
        <w:t xml:space="preserve"> Using these equi-effective doses, t</w:t>
      </w:r>
      <w:r w:rsidR="00E53DA0" w:rsidRPr="002A7CC6">
        <w:t>he results of the cost-minimisation analysis are summarised in Table </w:t>
      </w:r>
      <w:r w:rsidR="006E7DCE" w:rsidRPr="002A7CC6">
        <w:t>1</w:t>
      </w:r>
      <w:r w:rsidR="009A469F" w:rsidRPr="002A7CC6">
        <w:t>2</w:t>
      </w:r>
      <w:r w:rsidR="005F4EDA" w:rsidRPr="002A7CC6">
        <w:t>, using the most recent dispensing fee</w:t>
      </w:r>
      <w:r w:rsidR="003C0C20">
        <w:t>s</w:t>
      </w:r>
      <w:r w:rsidR="001B4FA6" w:rsidRPr="002A7CC6">
        <w:t>.</w:t>
      </w:r>
    </w:p>
    <w:p w:rsidR="001B4FA6" w:rsidRPr="002A7CC6" w:rsidRDefault="006E7DCE" w:rsidP="00007D60">
      <w:pPr>
        <w:keepNext/>
        <w:keepLines/>
        <w:widowControl/>
        <w:rPr>
          <w:rStyle w:val="CommentReference"/>
        </w:rPr>
      </w:pPr>
      <w:r w:rsidRPr="002A7CC6">
        <w:rPr>
          <w:rStyle w:val="CommentReference"/>
        </w:rPr>
        <w:t>Table 1</w:t>
      </w:r>
      <w:r w:rsidR="009A469F" w:rsidRPr="002A7CC6">
        <w:rPr>
          <w:rStyle w:val="CommentReference"/>
        </w:rPr>
        <w:t>2</w:t>
      </w:r>
      <w:r w:rsidR="001B4FA6" w:rsidRPr="002A7CC6">
        <w:rPr>
          <w:rStyle w:val="CommentReference"/>
        </w:rPr>
        <w:t xml:space="preserve">: Results of the </w:t>
      </w:r>
      <w:r w:rsidR="00AF6873" w:rsidRPr="002A7CC6">
        <w:rPr>
          <w:rStyle w:val="CommentReference"/>
        </w:rPr>
        <w:t>cost-</w:t>
      </w:r>
      <w:r w:rsidR="001B4FA6" w:rsidRPr="002A7CC6">
        <w:rPr>
          <w:rStyle w:val="CommentReference"/>
        </w:rPr>
        <w:t>minimisation analysis</w:t>
      </w:r>
      <w:r w:rsidR="00D9129C" w:rsidRPr="002A7CC6">
        <w:rPr>
          <w:rStyle w:val="CommentReference"/>
        </w:rPr>
        <w:t xml:space="preserve"> (based on published prices</w:t>
      </w:r>
      <w:r w:rsidR="00FE6DFC">
        <w:rPr>
          <w:rStyle w:val="CommentReference"/>
        </w:rPr>
        <w:t xml:space="preserve"> and the equi-effective doses that the PBAC considered were appropriate</w:t>
      </w:r>
      <w:r w:rsidR="00D9129C" w:rsidRPr="002A7CC6">
        <w:rPr>
          <w:rStyle w:val="CommentReference"/>
        </w:rPr>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26"/>
        <w:gridCol w:w="3026"/>
      </w:tblGrid>
      <w:tr w:rsidR="006E7DCE" w:rsidRPr="002A7CC6" w:rsidTr="006C33FB">
        <w:trPr>
          <w:trHeight w:val="70"/>
        </w:trPr>
        <w:tc>
          <w:tcPr>
            <w:tcW w:w="2972" w:type="dxa"/>
            <w:vMerge w:val="restart"/>
            <w:vAlign w:val="center"/>
          </w:tcPr>
          <w:p w:rsidR="006E7DCE" w:rsidRPr="002A7CC6" w:rsidRDefault="006E7DCE" w:rsidP="00007D60">
            <w:pPr>
              <w:pStyle w:val="Tabletext"/>
              <w:keepNext/>
              <w:keepLines/>
              <w:rPr>
                <w:b/>
              </w:rPr>
            </w:pPr>
            <w:r w:rsidRPr="002A7CC6">
              <w:rPr>
                <w:b/>
              </w:rPr>
              <w:t>Component</w:t>
            </w:r>
          </w:p>
        </w:tc>
        <w:tc>
          <w:tcPr>
            <w:tcW w:w="6052" w:type="dxa"/>
            <w:gridSpan w:val="2"/>
            <w:vAlign w:val="center"/>
          </w:tcPr>
          <w:p w:rsidR="006E7DCE" w:rsidRPr="002A7CC6" w:rsidRDefault="006E7DCE" w:rsidP="00007D60">
            <w:pPr>
              <w:pStyle w:val="Tabletext"/>
              <w:keepNext/>
              <w:keepLines/>
              <w:jc w:val="center"/>
              <w:rPr>
                <w:b/>
              </w:rPr>
            </w:pPr>
            <w:r w:rsidRPr="002A7CC6">
              <w:rPr>
                <w:b/>
              </w:rPr>
              <w:t xml:space="preserve">CMA assuming 42 vials </w:t>
            </w:r>
            <w:proofErr w:type="spellStart"/>
            <w:r w:rsidRPr="002A7CC6">
              <w:rPr>
                <w:b/>
              </w:rPr>
              <w:t>blinatumomab</w:t>
            </w:r>
            <w:r w:rsidRPr="002A7CC6">
              <w:rPr>
                <w:b/>
                <w:vertAlign w:val="superscript"/>
              </w:rPr>
              <w:t>a</w:t>
            </w:r>
            <w:proofErr w:type="spellEnd"/>
          </w:p>
        </w:tc>
      </w:tr>
      <w:tr w:rsidR="006E7DCE" w:rsidRPr="002A7CC6" w:rsidTr="006E7DCE">
        <w:trPr>
          <w:trHeight w:val="70"/>
        </w:trPr>
        <w:tc>
          <w:tcPr>
            <w:tcW w:w="2972" w:type="dxa"/>
            <w:vMerge/>
            <w:vAlign w:val="center"/>
          </w:tcPr>
          <w:p w:rsidR="006E7DCE" w:rsidRPr="002A7CC6" w:rsidRDefault="006E7DCE" w:rsidP="00007D60">
            <w:pPr>
              <w:pStyle w:val="Tabletext"/>
              <w:keepNext/>
              <w:keepLines/>
              <w:rPr>
                <w:b/>
              </w:rPr>
            </w:pPr>
          </w:p>
        </w:tc>
        <w:tc>
          <w:tcPr>
            <w:tcW w:w="3026" w:type="dxa"/>
            <w:vAlign w:val="center"/>
          </w:tcPr>
          <w:p w:rsidR="006E7DCE" w:rsidRPr="002A7CC6" w:rsidRDefault="006E7DCE" w:rsidP="00007D60">
            <w:pPr>
              <w:pStyle w:val="Tabletext"/>
              <w:keepNext/>
              <w:keepLines/>
              <w:jc w:val="center"/>
              <w:rPr>
                <w:b/>
              </w:rPr>
            </w:pPr>
            <w:r w:rsidRPr="002A7CC6">
              <w:rPr>
                <w:b/>
              </w:rPr>
              <w:t>Inotuzumab</w:t>
            </w:r>
          </w:p>
        </w:tc>
        <w:tc>
          <w:tcPr>
            <w:tcW w:w="3026" w:type="dxa"/>
            <w:vAlign w:val="center"/>
          </w:tcPr>
          <w:p w:rsidR="006E7DCE" w:rsidRPr="002A7CC6" w:rsidRDefault="006E7DCE" w:rsidP="00007D60">
            <w:pPr>
              <w:pStyle w:val="Tabletext"/>
              <w:keepNext/>
              <w:keepLines/>
              <w:jc w:val="center"/>
              <w:rPr>
                <w:b/>
              </w:rPr>
            </w:pPr>
            <w:r w:rsidRPr="002A7CC6">
              <w:rPr>
                <w:b/>
              </w:rPr>
              <w:t>Blinatumomab</w:t>
            </w:r>
          </w:p>
        </w:tc>
      </w:tr>
      <w:tr w:rsidR="006E7DCE" w:rsidRPr="002A7CC6" w:rsidTr="006E7DCE">
        <w:tc>
          <w:tcPr>
            <w:tcW w:w="2972" w:type="dxa"/>
          </w:tcPr>
          <w:p w:rsidR="006E7DCE" w:rsidRPr="002A7CC6" w:rsidRDefault="006E7DCE" w:rsidP="00007D60">
            <w:pPr>
              <w:pStyle w:val="Tabletext"/>
              <w:keepNext/>
              <w:keepLines/>
            </w:pPr>
            <w:r w:rsidRPr="002A7CC6">
              <w:t>AEMP per vial</w:t>
            </w:r>
          </w:p>
        </w:tc>
        <w:tc>
          <w:tcPr>
            <w:tcW w:w="3026" w:type="dxa"/>
            <w:vAlign w:val="center"/>
          </w:tcPr>
          <w:p w:rsidR="006E7DCE" w:rsidRPr="002A7CC6" w:rsidRDefault="00FE6DFC" w:rsidP="00007D60">
            <w:pPr>
              <w:pStyle w:val="Tabletext"/>
              <w:keepNext/>
              <w:keepLines/>
              <w:jc w:val="center"/>
            </w:pPr>
            <w:r>
              <w:t>$13,109.24</w:t>
            </w:r>
          </w:p>
        </w:tc>
        <w:tc>
          <w:tcPr>
            <w:tcW w:w="3026" w:type="dxa"/>
            <w:vAlign w:val="center"/>
          </w:tcPr>
          <w:p w:rsidR="006E7DCE" w:rsidRPr="002A7CC6" w:rsidRDefault="006E7DCE" w:rsidP="00007D60">
            <w:pPr>
              <w:pStyle w:val="Tabletext"/>
              <w:keepNext/>
              <w:keepLines/>
              <w:jc w:val="center"/>
            </w:pPr>
            <w:r w:rsidRPr="002A7CC6">
              <w:t>$2,904.77</w:t>
            </w:r>
          </w:p>
        </w:tc>
      </w:tr>
      <w:tr w:rsidR="006E7DCE" w:rsidRPr="002A7CC6" w:rsidTr="006E7DCE">
        <w:tc>
          <w:tcPr>
            <w:tcW w:w="2972" w:type="dxa"/>
          </w:tcPr>
          <w:p w:rsidR="006E7DCE" w:rsidRPr="002A7CC6" w:rsidRDefault="006E7DCE" w:rsidP="00007D60">
            <w:pPr>
              <w:pStyle w:val="Tabletext"/>
              <w:keepNext/>
              <w:keepLines/>
            </w:pPr>
            <w:r w:rsidRPr="002A7CC6">
              <w:t>Mean vials per course of treatment</w:t>
            </w:r>
          </w:p>
        </w:tc>
        <w:tc>
          <w:tcPr>
            <w:tcW w:w="3026" w:type="dxa"/>
            <w:vAlign w:val="center"/>
          </w:tcPr>
          <w:p w:rsidR="006E7DCE" w:rsidRPr="002A7CC6" w:rsidRDefault="006E7DCE" w:rsidP="00007D60">
            <w:pPr>
              <w:pStyle w:val="Tabletext"/>
              <w:keepNext/>
              <w:keepLines/>
              <w:jc w:val="center"/>
            </w:pPr>
            <w:r w:rsidRPr="002A7CC6">
              <w:t>9</w:t>
            </w:r>
            <w:r w:rsidR="00FE6DFC">
              <w:t>.3</w:t>
            </w:r>
          </w:p>
        </w:tc>
        <w:tc>
          <w:tcPr>
            <w:tcW w:w="3026" w:type="dxa"/>
            <w:vAlign w:val="center"/>
          </w:tcPr>
          <w:p w:rsidR="006E7DCE" w:rsidRPr="002A7CC6" w:rsidRDefault="006E7DCE" w:rsidP="00007D60">
            <w:pPr>
              <w:pStyle w:val="Tabletext"/>
              <w:keepNext/>
              <w:keepLines/>
              <w:jc w:val="center"/>
              <w:rPr>
                <w:vertAlign w:val="superscript"/>
              </w:rPr>
            </w:pPr>
            <w:r w:rsidRPr="002A7CC6">
              <w:t>42</w:t>
            </w:r>
            <w:r w:rsidRPr="002A7CC6">
              <w:rPr>
                <w:vertAlign w:val="superscript"/>
              </w:rPr>
              <w:t>a</w:t>
            </w:r>
          </w:p>
        </w:tc>
      </w:tr>
      <w:tr w:rsidR="006E7DCE" w:rsidRPr="002A7CC6" w:rsidTr="006E7DCE">
        <w:tc>
          <w:tcPr>
            <w:tcW w:w="2972" w:type="dxa"/>
          </w:tcPr>
          <w:p w:rsidR="006E7DCE" w:rsidRPr="002A7CC6" w:rsidRDefault="006E7DCE" w:rsidP="00007D60">
            <w:pPr>
              <w:pStyle w:val="Tabletext"/>
              <w:keepNext/>
              <w:keepLines/>
            </w:pPr>
            <w:r w:rsidRPr="002A7CC6">
              <w:t xml:space="preserve">AEMP per mean course of treatment </w:t>
            </w:r>
          </w:p>
        </w:tc>
        <w:tc>
          <w:tcPr>
            <w:tcW w:w="3026" w:type="dxa"/>
            <w:vAlign w:val="center"/>
          </w:tcPr>
          <w:p w:rsidR="006E7DCE" w:rsidRPr="002A7CC6" w:rsidRDefault="006E7DCE" w:rsidP="00007D60">
            <w:pPr>
              <w:pStyle w:val="Tabletext"/>
              <w:keepNext/>
              <w:keepLines/>
              <w:jc w:val="center"/>
            </w:pPr>
            <w:r w:rsidRPr="002A7CC6">
              <w:t>$12</w:t>
            </w:r>
            <w:r w:rsidR="005F4EDA" w:rsidRPr="002A7CC6">
              <w:t>1</w:t>
            </w:r>
            <w:r w:rsidRPr="002A7CC6">
              <w:t>,</w:t>
            </w:r>
            <w:r w:rsidR="005F4EDA" w:rsidRPr="002A7CC6">
              <w:t>915</w:t>
            </w:r>
            <w:r w:rsidRPr="002A7CC6">
              <w:t>.</w:t>
            </w:r>
            <w:r w:rsidR="005F4EDA" w:rsidRPr="002A7CC6">
              <w:t>90</w:t>
            </w:r>
          </w:p>
        </w:tc>
        <w:tc>
          <w:tcPr>
            <w:tcW w:w="3026" w:type="dxa"/>
            <w:vAlign w:val="center"/>
          </w:tcPr>
          <w:p w:rsidR="006E7DCE" w:rsidRPr="002A7CC6" w:rsidRDefault="006E7DCE" w:rsidP="00007D60">
            <w:pPr>
              <w:pStyle w:val="Tabletext"/>
              <w:keepNext/>
              <w:keepLines/>
              <w:jc w:val="center"/>
            </w:pPr>
            <w:r w:rsidRPr="002A7CC6">
              <w:t>$122,000.34</w:t>
            </w:r>
          </w:p>
        </w:tc>
      </w:tr>
      <w:tr w:rsidR="005F4EDA" w:rsidRPr="002A7CC6" w:rsidTr="006E7DCE">
        <w:tc>
          <w:tcPr>
            <w:tcW w:w="2972" w:type="dxa"/>
          </w:tcPr>
          <w:p w:rsidR="005F4EDA" w:rsidRPr="002A7CC6" w:rsidRDefault="005F4EDA" w:rsidP="00007D60">
            <w:pPr>
              <w:pStyle w:val="Tabletext"/>
              <w:keepNext/>
              <w:keepLines/>
            </w:pPr>
            <w:r w:rsidRPr="002A7CC6">
              <w:t>DPMA per mean course of treatment</w:t>
            </w:r>
          </w:p>
        </w:tc>
        <w:tc>
          <w:tcPr>
            <w:tcW w:w="3026" w:type="dxa"/>
            <w:vAlign w:val="center"/>
          </w:tcPr>
          <w:p w:rsidR="005F4EDA" w:rsidRPr="002A7CC6" w:rsidRDefault="005F4EDA" w:rsidP="00007D60">
            <w:pPr>
              <w:pStyle w:val="Tabletext"/>
              <w:keepNext/>
              <w:keepLines/>
              <w:jc w:val="center"/>
            </w:pPr>
            <w:r w:rsidRPr="002A7CC6">
              <w:t>$122,169.22</w:t>
            </w:r>
          </w:p>
        </w:tc>
        <w:tc>
          <w:tcPr>
            <w:tcW w:w="3026" w:type="dxa"/>
            <w:vAlign w:val="center"/>
          </w:tcPr>
          <w:p w:rsidR="005F4EDA" w:rsidRPr="002A7CC6" w:rsidRDefault="005F4EDA" w:rsidP="00007D60">
            <w:pPr>
              <w:pStyle w:val="Tabletext"/>
              <w:keepNext/>
              <w:keepLines/>
              <w:jc w:val="center"/>
            </w:pPr>
            <w:r w:rsidRPr="002A7CC6">
              <w:t>$122,169.22</w:t>
            </w:r>
          </w:p>
        </w:tc>
      </w:tr>
    </w:tbl>
    <w:p w:rsidR="001B4FA6" w:rsidRPr="002A7CC6" w:rsidRDefault="001B4FA6" w:rsidP="00007D60">
      <w:pPr>
        <w:pStyle w:val="TableFooter"/>
        <w:widowControl/>
      </w:pPr>
      <w:r w:rsidRPr="002A7CC6">
        <w:t xml:space="preserve">Source: Table 3.2.4, p.261 of the submission; </w:t>
      </w:r>
      <w:proofErr w:type="spellStart"/>
      <w:r w:rsidRPr="002A7CC6">
        <w:t>Inotuzumab_Section</w:t>
      </w:r>
      <w:proofErr w:type="spellEnd"/>
      <w:r w:rsidRPr="002A7CC6">
        <w:t xml:space="preserve"> 3_Pricing.xlsx, Attached to the submission</w:t>
      </w:r>
      <w:r w:rsidR="00FE6DFC">
        <w:t>, updated to reflect the</w:t>
      </w:r>
      <w:r w:rsidR="00FE6DFC" w:rsidRPr="00FE6DFC">
        <w:t xml:space="preserve"> equi-effective doses that the PBAC considered were appropriate</w:t>
      </w:r>
      <w:r w:rsidRPr="002A7CC6">
        <w:t>.</w:t>
      </w:r>
    </w:p>
    <w:p w:rsidR="001B4FA6" w:rsidRPr="002A7CC6" w:rsidRDefault="001B4FA6" w:rsidP="00007D60">
      <w:pPr>
        <w:pStyle w:val="TableFooter"/>
        <w:widowControl/>
      </w:pPr>
      <w:r w:rsidRPr="002A7CC6">
        <w:t>Abbreviations: AEMP, approved ex-manufacturer price; CMA, cost minimisation analysis; DPMA, dispensed price for maximum amount.</w:t>
      </w:r>
    </w:p>
    <w:p w:rsidR="001B4FA6" w:rsidRPr="002A7CC6" w:rsidRDefault="006E7DCE" w:rsidP="00007D60">
      <w:pPr>
        <w:pStyle w:val="TableFooter"/>
        <w:widowControl/>
      </w:pPr>
      <w:proofErr w:type="spellStart"/>
      <w:proofErr w:type="gramStart"/>
      <w:r w:rsidRPr="002A7CC6">
        <w:rPr>
          <w:vertAlign w:val="superscript"/>
        </w:rPr>
        <w:t>a</w:t>
      </w:r>
      <w:proofErr w:type="spellEnd"/>
      <w:proofErr w:type="gramEnd"/>
      <w:r w:rsidR="001B4FA6" w:rsidRPr="002A7CC6">
        <w:t xml:space="preserve"> Assuming 42 vials of blinatumomab for the average dose of 1,156 mcg over 1.64 cycles</w:t>
      </w:r>
      <w:r w:rsidR="005F4EDA" w:rsidRPr="002A7CC6">
        <w:t xml:space="preserve"> and assuming a public hospital dispensing fee of $84.44</w:t>
      </w:r>
      <w:r w:rsidR="001B4FA6" w:rsidRPr="002A7CC6">
        <w:t>.</w:t>
      </w:r>
    </w:p>
    <w:p w:rsidR="001B4FA6" w:rsidRPr="002A7CC6" w:rsidRDefault="001B4FA6" w:rsidP="00F96F7D">
      <w:pPr>
        <w:pStyle w:val="TableFooter"/>
      </w:pPr>
    </w:p>
    <w:p w:rsidR="001B4FA6" w:rsidRDefault="00E53DA0" w:rsidP="00007D60">
      <w:pPr>
        <w:pStyle w:val="ListParagraph"/>
        <w:widowControl/>
        <w:numPr>
          <w:ilvl w:val="1"/>
          <w:numId w:val="1"/>
        </w:numPr>
      </w:pPr>
      <w:r w:rsidRPr="002A7CC6">
        <w:t xml:space="preserve">The cost-minimisation analysis was based on drug costs only. </w:t>
      </w:r>
      <w:r w:rsidR="001B4FA6" w:rsidRPr="002A7CC6">
        <w:t>The submission claimed</w:t>
      </w:r>
      <w:r w:rsidR="00247CE9">
        <w:t>,</w:t>
      </w:r>
      <w:r w:rsidR="001B4FA6" w:rsidRPr="002A7CC6">
        <w:t xml:space="preserve"> </w:t>
      </w:r>
      <w:r w:rsidR="001F03F1" w:rsidRPr="002A7CC6">
        <w:t>based on an analysis of costs</w:t>
      </w:r>
      <w:r w:rsidR="00247CE9">
        <w:t>,</w:t>
      </w:r>
      <w:r w:rsidR="001F03F1">
        <w:t xml:space="preserve"> </w:t>
      </w:r>
      <w:r w:rsidR="001B4FA6" w:rsidRPr="002A7CC6">
        <w:t xml:space="preserve">that the non-drug costs associated with inotuzumab treatment are likely to be no more than the costs associated with blinatumomab. </w:t>
      </w:r>
      <w:r w:rsidR="005A7B38" w:rsidRPr="002A7CC6">
        <w:t>The analysis included the costs of premedication, inpatient administration, hospitalisation for adverse events</w:t>
      </w:r>
      <w:r w:rsidR="00482D46" w:rsidRPr="002A7CC6">
        <w:t xml:space="preserve"> (using the average AR-DRG for ‘Acute leuk</w:t>
      </w:r>
      <w:r w:rsidR="00176385" w:rsidRPr="002A7CC6">
        <w:t>a</w:t>
      </w:r>
      <w:r w:rsidR="00482D46" w:rsidRPr="002A7CC6">
        <w:t>emia major complexity’)</w:t>
      </w:r>
      <w:r w:rsidR="005A7B38" w:rsidRPr="002A7CC6">
        <w:t xml:space="preserve">, and managing adverse events of special interest. </w:t>
      </w:r>
      <w:r w:rsidR="00527EC1" w:rsidRPr="002A7CC6">
        <w:t xml:space="preserve">The evaluation </w:t>
      </w:r>
      <w:r w:rsidR="00176385" w:rsidRPr="002A7CC6">
        <w:t xml:space="preserve">and the ESC </w:t>
      </w:r>
      <w:r w:rsidR="00527EC1" w:rsidRPr="002A7CC6">
        <w:t>considered that i</w:t>
      </w:r>
      <w:r w:rsidR="001B4FA6" w:rsidRPr="002A7CC6">
        <w:t>t was unclear whether this claim was reasonable, given the submission’s analysis did not include all appropriate additional costs</w:t>
      </w:r>
      <w:r w:rsidR="00E85020" w:rsidRPr="002A7CC6">
        <w:t xml:space="preserve"> (e.g. </w:t>
      </w:r>
      <w:r w:rsidR="00DA7241" w:rsidRPr="002A7CC6">
        <w:t>outpatient administration</w:t>
      </w:r>
      <w:r w:rsidR="00E85020" w:rsidRPr="002A7CC6">
        <w:t>)</w:t>
      </w:r>
      <w:r w:rsidR="001B4FA6" w:rsidRPr="002A7CC6">
        <w:t xml:space="preserve">, </w:t>
      </w:r>
      <w:r w:rsidR="00DA7241" w:rsidRPr="002A7CC6">
        <w:t>and</w:t>
      </w:r>
      <w:r w:rsidR="001B4FA6" w:rsidRPr="002A7CC6">
        <w:t xml:space="preserve"> underestimated the additional costs of inotuzumab</w:t>
      </w:r>
      <w:r w:rsidR="00DA7241" w:rsidRPr="002A7CC6">
        <w:t xml:space="preserve"> (e.g. costs of pre-medication and adverse events)</w:t>
      </w:r>
      <w:r w:rsidR="001B4FA6" w:rsidRPr="002A7CC6">
        <w:t>.</w:t>
      </w:r>
      <w:r w:rsidR="003042AB" w:rsidRPr="002A7CC6">
        <w:t xml:space="preserve"> </w:t>
      </w:r>
      <w:r w:rsidR="00482D46" w:rsidRPr="002A7CC6">
        <w:t xml:space="preserve">In particular, the </w:t>
      </w:r>
      <w:r w:rsidR="003042AB" w:rsidRPr="002A7CC6">
        <w:t>ESC considered th</w:t>
      </w:r>
      <w:r w:rsidR="00D81B5B" w:rsidRPr="002A7CC6">
        <w:t xml:space="preserve">at the </w:t>
      </w:r>
      <w:r w:rsidR="00176385" w:rsidRPr="002A7CC6">
        <w:t>costs of treating VOD/SOS in the inotuzumab arm may have been underestimated (due to the uncertain duration of treatment with defibrotide and the use of average hospital costs).</w:t>
      </w:r>
      <w:r w:rsidR="00D81B5B" w:rsidRPr="002A7CC6">
        <w:t xml:space="preserve"> </w:t>
      </w:r>
    </w:p>
    <w:p w:rsidR="00846FC3" w:rsidRPr="002A7CC6" w:rsidRDefault="00846FC3" w:rsidP="0023246F">
      <w:pPr>
        <w:pStyle w:val="ListParagraph"/>
        <w:widowControl/>
        <w:numPr>
          <w:ilvl w:val="1"/>
          <w:numId w:val="1"/>
        </w:numPr>
      </w:pPr>
      <w:r>
        <w:t xml:space="preserve">The pre-PBAC response stated that the cost of defibrotide applied in the cost analysis was </w:t>
      </w:r>
      <w:r w:rsidR="001F03F1">
        <w:t>likely overestimate</w:t>
      </w:r>
      <w:r w:rsidR="00247CE9">
        <w:t>d</w:t>
      </w:r>
      <w:r>
        <w:t xml:space="preserve"> </w:t>
      </w:r>
      <w:r w:rsidR="008D0C5E">
        <w:t xml:space="preserve">(and therefore conservative) </w:t>
      </w:r>
      <w:r>
        <w:t xml:space="preserve">because it was based on an average of </w:t>
      </w:r>
      <w:r w:rsidR="00B0555B">
        <w:rPr>
          <w:noProof/>
          <w:color w:val="000000"/>
          <w:highlight w:val="black"/>
        </w:rPr>
        <w:t>'''''''''</w:t>
      </w:r>
      <w:r w:rsidRPr="003F1420">
        <w:t xml:space="preserve"> </w:t>
      </w:r>
      <w:r>
        <w:t>days of treatment, while the median duration of treatment with defibrotide</w:t>
      </w:r>
      <w:r w:rsidRPr="00846FC3">
        <w:t xml:space="preserve"> </w:t>
      </w:r>
      <w:r>
        <w:t xml:space="preserve">in the INO-VATE ALL trial was </w:t>
      </w:r>
      <w:r w:rsidR="00B0555B">
        <w:rPr>
          <w:noProof/>
          <w:color w:val="000000"/>
          <w:highlight w:val="black"/>
        </w:rPr>
        <w:t>'''''</w:t>
      </w:r>
      <w:r>
        <w:t xml:space="preserve"> days, which</w:t>
      </w:r>
      <w:r w:rsidR="00501878">
        <w:t xml:space="preserve"> the pre-PBAC response stated</w:t>
      </w:r>
      <w:r>
        <w:t xml:space="preserve"> was consistent with advice received from the sponsor’s advisory board.</w:t>
      </w:r>
      <w:r w:rsidR="00501878">
        <w:t xml:space="preserve"> </w:t>
      </w:r>
      <w:r w:rsidR="0023246F">
        <w:t>The PBAC noted that i</w:t>
      </w:r>
      <w:r w:rsidR="00501878">
        <w:t>t would have been more appropriate to use the mean duration of treatment</w:t>
      </w:r>
      <w:r w:rsidR="0023246F">
        <w:t>, but overall</w:t>
      </w:r>
      <w:r w:rsidR="0023246F" w:rsidRPr="0023246F">
        <w:t xml:space="preserve"> considered that the non-drug costs associated with inotuzumab treatment are likely to be no more than the costs associated with blinatumomab.</w:t>
      </w:r>
    </w:p>
    <w:p w:rsidR="001B4FA6" w:rsidRPr="002A7CC6" w:rsidRDefault="001B4FA6" w:rsidP="00007D60">
      <w:pPr>
        <w:pStyle w:val="ListParagraph"/>
        <w:widowControl/>
        <w:numPr>
          <w:ilvl w:val="1"/>
          <w:numId w:val="1"/>
        </w:numPr>
      </w:pPr>
      <w:r w:rsidRPr="002A7CC6">
        <w:t xml:space="preserve">The </w:t>
      </w:r>
      <w:r w:rsidR="00D15768" w:rsidRPr="002A7CC6">
        <w:t xml:space="preserve">evaluation and the ESC considered that the </w:t>
      </w:r>
      <w:r w:rsidRPr="002A7CC6">
        <w:t xml:space="preserve">estimated treatment effects </w:t>
      </w:r>
      <w:r w:rsidR="00D15768" w:rsidRPr="002A7CC6">
        <w:t xml:space="preserve">(in terms of overall survival and event free survival) </w:t>
      </w:r>
      <w:r w:rsidRPr="002A7CC6">
        <w:t xml:space="preserve">for inotuzumab in the </w:t>
      </w:r>
      <w:r w:rsidR="007D7344">
        <w:t>INO-VATE ALL</w:t>
      </w:r>
      <w:r w:rsidRPr="002A7CC6">
        <w:t xml:space="preserve"> trial </w:t>
      </w:r>
      <w:r w:rsidRPr="002A7CC6">
        <w:lastRenderedPageBreak/>
        <w:t xml:space="preserve">and blinatumomab in the TOWER trial </w:t>
      </w:r>
      <w:r w:rsidR="00D15768" w:rsidRPr="002A7CC6">
        <w:t>we</w:t>
      </w:r>
      <w:r w:rsidRPr="002A7CC6">
        <w:t xml:space="preserve">re affected by the use of </w:t>
      </w:r>
      <w:r w:rsidR="00203FF9" w:rsidRPr="002A7CC6">
        <w:t>HSCT</w:t>
      </w:r>
      <w:r w:rsidRPr="002A7CC6">
        <w:t xml:space="preserve">. </w:t>
      </w:r>
      <w:r w:rsidR="00D15768" w:rsidRPr="002A7CC6">
        <w:t>Thus, t</w:t>
      </w:r>
      <w:r w:rsidRPr="002A7CC6">
        <w:t xml:space="preserve">he </w:t>
      </w:r>
      <w:r w:rsidR="0093787B" w:rsidRPr="002A7CC6">
        <w:t xml:space="preserve">evaluation </w:t>
      </w:r>
      <w:r w:rsidR="00E21894" w:rsidRPr="002A7CC6">
        <w:t xml:space="preserve">and the ESC considered that the </w:t>
      </w:r>
      <w:r w:rsidRPr="002A7CC6">
        <w:t xml:space="preserve">cost of HSCT should be included in the </w:t>
      </w:r>
      <w:r w:rsidR="00E21894" w:rsidRPr="002A7CC6">
        <w:t>economic</w:t>
      </w:r>
      <w:r w:rsidRPr="002A7CC6">
        <w:t xml:space="preserve"> analysis as the clinical outcomes are based on the level of HSCT use in the clinical trials</w:t>
      </w:r>
      <w:r w:rsidR="00C663E1" w:rsidRPr="002A7CC6">
        <w:t>, and use of HSCT is a direct consequence of treatment with either inotuzumab or blinatumomab</w:t>
      </w:r>
      <w:r w:rsidR="00E83ABC" w:rsidRPr="002A7CC6">
        <w:t>, with higher rates of HSCT having been reported with inotuzumab</w:t>
      </w:r>
      <w:r w:rsidRPr="002A7CC6">
        <w:t>.</w:t>
      </w:r>
      <w:r w:rsidR="00E21894" w:rsidRPr="002A7CC6">
        <w:t xml:space="preserve"> </w:t>
      </w:r>
    </w:p>
    <w:p w:rsidR="00A45E9B" w:rsidRPr="002A7CC6" w:rsidRDefault="00D601E7" w:rsidP="00007D60">
      <w:pPr>
        <w:pStyle w:val="ListParagraph"/>
        <w:widowControl/>
        <w:numPr>
          <w:ilvl w:val="1"/>
          <w:numId w:val="1"/>
        </w:numPr>
      </w:pPr>
      <w:r w:rsidRPr="002A7CC6">
        <w:rPr>
          <w:lang w:val="en-US"/>
        </w:rPr>
        <w:t>The PSCR stated that “HSCT is a consequence of the success of the previous treatment and is considered to be an independent treatment</w:t>
      </w:r>
      <w:r w:rsidR="00641735" w:rsidRPr="002A7CC6">
        <w:rPr>
          <w:lang w:val="en-US"/>
        </w:rPr>
        <w:t xml:space="preserve">”. </w:t>
      </w:r>
      <w:r w:rsidRPr="002A7CC6">
        <w:rPr>
          <w:lang w:val="en-US"/>
        </w:rPr>
        <w:t xml:space="preserve">The PSCR further stated that the submission did not claim any benefit associated with the increased rate of HSCT with inotuzumab. However, the ESC considered that the rate of HSCT is reflected in the overall survival and event free survival outcomes </w:t>
      </w:r>
      <w:r w:rsidR="00641735" w:rsidRPr="002A7CC6">
        <w:rPr>
          <w:lang w:val="en-US"/>
        </w:rPr>
        <w:t xml:space="preserve">observed </w:t>
      </w:r>
      <w:r w:rsidRPr="002A7CC6">
        <w:rPr>
          <w:lang w:val="en-US"/>
        </w:rPr>
        <w:t xml:space="preserve">in the </w:t>
      </w:r>
      <w:r w:rsidR="00CB4182" w:rsidRPr="002A7CC6">
        <w:rPr>
          <w:lang w:val="en-US"/>
        </w:rPr>
        <w:t xml:space="preserve">two trials, and </w:t>
      </w:r>
      <w:r w:rsidR="00F650C9">
        <w:rPr>
          <w:lang w:val="en-US"/>
        </w:rPr>
        <w:t xml:space="preserve">it </w:t>
      </w:r>
      <w:r w:rsidR="00CB4182" w:rsidRPr="002A7CC6">
        <w:rPr>
          <w:lang w:val="en-US"/>
        </w:rPr>
        <w:t>is not possible to determine w</w:t>
      </w:r>
      <w:r w:rsidRPr="002A7CC6">
        <w:rPr>
          <w:lang w:val="en-US"/>
        </w:rPr>
        <w:t xml:space="preserve">hether non-inferior </w:t>
      </w:r>
      <w:r w:rsidR="002B6DE8" w:rsidRPr="002A7CC6">
        <w:rPr>
          <w:lang w:val="en-US"/>
        </w:rPr>
        <w:t xml:space="preserve">OS and </w:t>
      </w:r>
      <w:r w:rsidR="00F650C9" w:rsidRPr="002A7CC6">
        <w:rPr>
          <w:lang w:val="en-US"/>
        </w:rPr>
        <w:t>event free survival</w:t>
      </w:r>
      <w:r w:rsidR="002B6DE8" w:rsidRPr="002A7CC6">
        <w:rPr>
          <w:lang w:val="en-US"/>
        </w:rPr>
        <w:t xml:space="preserve"> </w:t>
      </w:r>
      <w:r w:rsidRPr="002A7CC6">
        <w:rPr>
          <w:lang w:val="en-US"/>
        </w:rPr>
        <w:t xml:space="preserve">would have been achieved without the higher rate of HSCT observed in the inotuzumab trial. </w:t>
      </w:r>
    </w:p>
    <w:p w:rsidR="005F00F6" w:rsidRDefault="005E1734" w:rsidP="005F00F6">
      <w:pPr>
        <w:widowControl/>
        <w:numPr>
          <w:ilvl w:val="1"/>
          <w:numId w:val="1"/>
        </w:numPr>
        <w:spacing w:after="120"/>
        <w:rPr>
          <w:rFonts w:asciiTheme="minorHAnsi" w:hAnsiTheme="minorHAnsi"/>
          <w:bCs/>
          <w:lang w:val="en-GB"/>
        </w:rPr>
      </w:pPr>
      <w:r>
        <w:t>The pre-PBAC response stated that a cost analysis that includes HSCT costs would also need to include</w:t>
      </w:r>
      <w:r w:rsidRPr="005E1734">
        <w:t xml:space="preserve"> the costs of any other subsequent treatments</w:t>
      </w:r>
      <w:r>
        <w:t xml:space="preserve"> (i.e. </w:t>
      </w:r>
      <w:r w:rsidR="003618BD">
        <w:t xml:space="preserve">it would need to include </w:t>
      </w:r>
      <w:r>
        <w:t xml:space="preserve">the </w:t>
      </w:r>
      <w:r w:rsidRPr="005E1734">
        <w:t>corresponding cost offsets from cycling through other available therapies by patients who do not proceed to HSCT</w:t>
      </w:r>
      <w:r>
        <w:t>).</w:t>
      </w:r>
      <w:r w:rsidR="005F00F6" w:rsidRPr="005F00F6">
        <w:rPr>
          <w:rFonts w:asciiTheme="minorHAnsi" w:hAnsiTheme="minorHAnsi"/>
          <w:bCs/>
          <w:lang w:val="en-GB"/>
        </w:rPr>
        <w:t xml:space="preserve"> </w:t>
      </w:r>
      <w:r w:rsidR="005F00F6">
        <w:rPr>
          <w:rFonts w:asciiTheme="minorHAnsi" w:hAnsiTheme="minorHAnsi"/>
          <w:bCs/>
          <w:lang w:val="en-GB"/>
        </w:rPr>
        <w:t xml:space="preserve">The PBAC further </w:t>
      </w:r>
      <w:r w:rsidR="005F00F6" w:rsidRPr="00810291">
        <w:rPr>
          <w:rFonts w:asciiTheme="minorHAnsi" w:hAnsiTheme="minorHAnsi"/>
          <w:bCs/>
          <w:lang w:val="en-GB"/>
        </w:rPr>
        <w:t xml:space="preserve">considered </w:t>
      </w:r>
      <w:r w:rsidR="005F00F6">
        <w:rPr>
          <w:rFonts w:asciiTheme="minorHAnsi" w:hAnsiTheme="minorHAnsi"/>
          <w:bCs/>
          <w:lang w:val="en-GB"/>
        </w:rPr>
        <w:t xml:space="preserve">that such a cost analysis </w:t>
      </w:r>
      <w:r w:rsidR="005F00F6" w:rsidRPr="00810291">
        <w:rPr>
          <w:rFonts w:asciiTheme="minorHAnsi" w:hAnsiTheme="minorHAnsi"/>
          <w:bCs/>
          <w:lang w:val="en-GB"/>
        </w:rPr>
        <w:t>would also need to include other costs, such as the costs of managing adverse events and sequential use.</w:t>
      </w:r>
    </w:p>
    <w:p w:rsidR="00D54604" w:rsidRDefault="00D54604" w:rsidP="00007D60">
      <w:pPr>
        <w:pStyle w:val="ListParagraph"/>
        <w:widowControl/>
        <w:numPr>
          <w:ilvl w:val="1"/>
          <w:numId w:val="1"/>
        </w:numPr>
      </w:pPr>
      <w:r w:rsidRPr="002A7CC6">
        <w:t xml:space="preserve">The ESC considered that </w:t>
      </w:r>
      <w:r w:rsidR="00D81B5B" w:rsidRPr="002A7CC6">
        <w:t xml:space="preserve">the full benefits and costs of the differential rates of subsequent HSCTs (and the potentially differential rates of post-transplant non-relapse mortality) may be more appropriately captured in a cost-utility analysis. </w:t>
      </w:r>
      <w:r w:rsidR="00067172" w:rsidRPr="002A7CC6">
        <w:t>T</w:t>
      </w:r>
      <w:r w:rsidR="00D81B5B" w:rsidRPr="002A7CC6">
        <w:t xml:space="preserve">he ESC considered that </w:t>
      </w:r>
      <w:r w:rsidRPr="002A7CC6">
        <w:t>a cost-minimisation analysis may not be the most appropriate type of economic evaluation in this particular case</w:t>
      </w:r>
      <w:r w:rsidR="00442CE2" w:rsidRPr="002A7CC6">
        <w:t xml:space="preserve"> </w:t>
      </w:r>
      <w:r w:rsidRPr="002A7CC6">
        <w:t>because the adverse event profiles of inotuzumab and blinatumomab are different</w:t>
      </w:r>
      <w:r w:rsidRPr="002A7CC6">
        <w:rPr>
          <w:rStyle w:val="FootnoteReference"/>
        </w:rPr>
        <w:footnoteReference w:id="5"/>
      </w:r>
      <w:r w:rsidR="00442CE2" w:rsidRPr="002A7CC6">
        <w:t>;</w:t>
      </w:r>
      <w:r w:rsidRPr="002A7CC6">
        <w:t xml:space="preserve"> and if sequential use is permitted, then listing inotuzumab would be anticipated t</w:t>
      </w:r>
      <w:r w:rsidR="009D4B7A" w:rsidRPr="002A7CC6">
        <w:t>o</w:t>
      </w:r>
      <w:r w:rsidRPr="002A7CC6">
        <w:t xml:space="preserve"> result in higher costs to the health system</w:t>
      </w:r>
      <w:r w:rsidR="00822A16" w:rsidRPr="002A7CC6">
        <w:t xml:space="preserve"> particularly in light of the fixed-course nature of the treatments</w:t>
      </w:r>
      <w:r w:rsidR="00822A16" w:rsidRPr="002A7CC6">
        <w:rPr>
          <w:rStyle w:val="FootnoteReference"/>
          <w:vertAlign w:val="baseline"/>
        </w:rPr>
        <w:t xml:space="preserve"> </w:t>
      </w:r>
      <w:r w:rsidRPr="002A7CC6">
        <w:rPr>
          <w:rStyle w:val="FootnoteReference"/>
        </w:rPr>
        <w:footnoteReference w:id="6"/>
      </w:r>
      <w:r w:rsidRPr="002A7CC6">
        <w:t>.</w:t>
      </w:r>
    </w:p>
    <w:p w:rsidR="001672A4" w:rsidRDefault="001672A4" w:rsidP="00F650C9">
      <w:pPr>
        <w:pStyle w:val="ListParagraph"/>
        <w:widowControl/>
        <w:numPr>
          <w:ilvl w:val="1"/>
          <w:numId w:val="1"/>
        </w:numPr>
      </w:pPr>
      <w:r>
        <w:t>The pre-</w:t>
      </w:r>
      <w:r w:rsidRPr="00F650C9">
        <w:t xml:space="preserve">PBAC response </w:t>
      </w:r>
      <w:r w:rsidR="00F650C9" w:rsidRPr="00F650C9">
        <w:t xml:space="preserve">claimed that such an analysis would rely on </w:t>
      </w:r>
      <w:r w:rsidR="007047E2">
        <w:t xml:space="preserve">an </w:t>
      </w:r>
      <w:r w:rsidR="00F650C9" w:rsidRPr="00F650C9">
        <w:t xml:space="preserve">uncertain </w:t>
      </w:r>
      <w:r w:rsidR="00D77E7A">
        <w:t>incremental benefit</w:t>
      </w:r>
      <w:r w:rsidR="00F650C9" w:rsidRPr="00F650C9">
        <w:t xml:space="preserve"> (remission rate, HSCT rate and long term OS)</w:t>
      </w:r>
      <w:r w:rsidR="00F650C9">
        <w:t>.</w:t>
      </w:r>
      <w:r w:rsidR="00F650C9" w:rsidRPr="00F650C9">
        <w:t xml:space="preserve"> </w:t>
      </w:r>
    </w:p>
    <w:p w:rsidR="00C25D9C" w:rsidRPr="002A7CC6" w:rsidRDefault="00C25D9C" w:rsidP="00F96F7D">
      <w:pPr>
        <w:pStyle w:val="Heading2"/>
      </w:pPr>
      <w:bookmarkStart w:id="20" w:name="_Toc524520439"/>
      <w:r w:rsidRPr="002A7CC6">
        <w:lastRenderedPageBreak/>
        <w:t>Drug cost/patient/course</w:t>
      </w:r>
      <w:bookmarkEnd w:id="20"/>
    </w:p>
    <w:p w:rsidR="001B4FA6" w:rsidRPr="002A7CC6" w:rsidRDefault="001B4FA6" w:rsidP="00007D60">
      <w:pPr>
        <w:pStyle w:val="ListParagraph"/>
        <w:widowControl/>
        <w:numPr>
          <w:ilvl w:val="1"/>
          <w:numId w:val="1"/>
        </w:numPr>
      </w:pPr>
      <w:r w:rsidRPr="002A7CC6">
        <w:t xml:space="preserve">The </w:t>
      </w:r>
      <w:r w:rsidR="00FB2014" w:rsidRPr="002A7CC6">
        <w:t xml:space="preserve">drug </w:t>
      </w:r>
      <w:r w:rsidRPr="002A7CC6">
        <w:t>cost of inotuzumab (Public Hospital</w:t>
      </w:r>
      <w:r w:rsidR="00D9129C" w:rsidRPr="002A7CC6">
        <w:t xml:space="preserve"> DPMA</w:t>
      </w:r>
      <w:r w:rsidRPr="002A7CC6">
        <w:t>) per patient per</w:t>
      </w:r>
      <w:r w:rsidR="00D207AD" w:rsidRPr="002A7CC6">
        <w:t xml:space="preserve"> average</w:t>
      </w:r>
      <w:r w:rsidRPr="002A7CC6">
        <w:t xml:space="preserve"> course of treatment is $122,</w:t>
      </w:r>
      <w:r w:rsidR="00D207AD" w:rsidRPr="002A7CC6">
        <w:t>169</w:t>
      </w:r>
      <w:r w:rsidR="00D9129C" w:rsidRPr="002A7CC6">
        <w:t>, which is the same as the average c</w:t>
      </w:r>
      <w:r w:rsidRPr="002A7CC6">
        <w:t xml:space="preserve">ost of blinatumomab per patient per </w:t>
      </w:r>
      <w:r w:rsidR="00D9129C" w:rsidRPr="002A7CC6">
        <w:t xml:space="preserve">average </w:t>
      </w:r>
      <w:r w:rsidRPr="002A7CC6">
        <w:t xml:space="preserve">course of treatment. </w:t>
      </w:r>
      <w:r w:rsidR="002B6DE8" w:rsidRPr="002A7CC6">
        <w:t>These are based on published prices.</w:t>
      </w:r>
    </w:p>
    <w:p w:rsidR="00B60939" w:rsidRPr="002A7CC6" w:rsidRDefault="00B60939" w:rsidP="00F96F7D">
      <w:pPr>
        <w:pStyle w:val="Heading2"/>
      </w:pPr>
      <w:bookmarkStart w:id="21" w:name="_Toc524520440"/>
      <w:r w:rsidRPr="002A7CC6">
        <w:t>Estimated PBS usage &amp; financial implications</w:t>
      </w:r>
      <w:bookmarkEnd w:id="21"/>
    </w:p>
    <w:p w:rsidR="001B4FA6" w:rsidRPr="002A7CC6" w:rsidRDefault="001B4FA6" w:rsidP="00007D60">
      <w:pPr>
        <w:pStyle w:val="ListParagraph"/>
        <w:widowControl/>
        <w:numPr>
          <w:ilvl w:val="1"/>
          <w:numId w:val="1"/>
        </w:numPr>
      </w:pPr>
      <w:r w:rsidRPr="002A7CC6">
        <w:t xml:space="preserve">This submission </w:t>
      </w:r>
      <w:r w:rsidR="000D62FF" w:rsidRPr="002A7CC6">
        <w:t>w</w:t>
      </w:r>
      <w:r w:rsidR="005970AE" w:rsidRPr="002A7CC6">
        <w:t>as</w:t>
      </w:r>
      <w:r w:rsidR="000D62FF" w:rsidRPr="002A7CC6">
        <w:t xml:space="preserve"> </w:t>
      </w:r>
      <w:r w:rsidRPr="002A7CC6">
        <w:t xml:space="preserve">not considered by DUSC. The submission used an epidemiological approach to estimate the financial implications associated with PBS listing of inotuzumab for the treatment of patients with relapsed or refractory </w:t>
      </w:r>
      <w:proofErr w:type="spellStart"/>
      <w:r w:rsidRPr="002A7CC6">
        <w:t>Ph</w:t>
      </w:r>
      <w:proofErr w:type="spellEnd"/>
      <w:r w:rsidRPr="002A7CC6">
        <w:t>- CD22 positive B-ALL. Cost offsets were derived from substitution of blinatumomab (the comparator) in the market.</w:t>
      </w:r>
    </w:p>
    <w:p w:rsidR="001B4FA6" w:rsidRPr="002A7CC6" w:rsidRDefault="006E7DCE" w:rsidP="00007D60">
      <w:pPr>
        <w:pStyle w:val="ListParagraph"/>
        <w:widowControl/>
        <w:numPr>
          <w:ilvl w:val="1"/>
          <w:numId w:val="1"/>
        </w:numPr>
      </w:pPr>
      <w:r w:rsidRPr="002A7CC6">
        <w:t>Table 1</w:t>
      </w:r>
      <w:r w:rsidR="009A469F" w:rsidRPr="002A7CC6">
        <w:t>3</w:t>
      </w:r>
      <w:r w:rsidR="001B4FA6" w:rsidRPr="002A7CC6">
        <w:t xml:space="preserve"> summarises the estimated extent of use and costs of listing inotuzumab for the treatment of relapsed or refractory </w:t>
      </w:r>
      <w:proofErr w:type="spellStart"/>
      <w:r w:rsidR="001B4FA6" w:rsidRPr="002A7CC6">
        <w:t>Ph</w:t>
      </w:r>
      <w:proofErr w:type="spellEnd"/>
      <w:r w:rsidR="001B4FA6" w:rsidRPr="002A7CC6">
        <w:t>- CD22 positive B-ALL in the first 6 years of listing.</w:t>
      </w:r>
    </w:p>
    <w:p w:rsidR="001B4FA6" w:rsidRPr="002A7CC6" w:rsidRDefault="001B4FA6" w:rsidP="00007D60">
      <w:pPr>
        <w:keepNext/>
        <w:keepLines/>
        <w:widowControl/>
        <w:rPr>
          <w:rFonts w:ascii="Arial Narrow" w:hAnsi="Arial Narrow"/>
          <w:b/>
          <w:sz w:val="20"/>
          <w:szCs w:val="16"/>
        </w:rPr>
      </w:pPr>
      <w:r w:rsidRPr="002A7CC6">
        <w:rPr>
          <w:rStyle w:val="CommentReference"/>
        </w:rPr>
        <w:t xml:space="preserve">Table </w:t>
      </w:r>
      <w:r w:rsidR="006E7DCE" w:rsidRPr="002A7CC6">
        <w:rPr>
          <w:rStyle w:val="CommentReference"/>
        </w:rPr>
        <w:t>1</w:t>
      </w:r>
      <w:r w:rsidR="009A469F" w:rsidRPr="002A7CC6">
        <w:rPr>
          <w:rStyle w:val="CommentReference"/>
        </w:rPr>
        <w:t>3</w:t>
      </w:r>
      <w:r w:rsidRPr="002A7CC6">
        <w:rPr>
          <w:rStyle w:val="CommentReference"/>
        </w:rPr>
        <w:t>: Estimated use and financial implications</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998"/>
        <w:gridCol w:w="999"/>
        <w:gridCol w:w="998"/>
        <w:gridCol w:w="999"/>
        <w:gridCol w:w="998"/>
        <w:gridCol w:w="999"/>
      </w:tblGrid>
      <w:tr w:rsidR="001B4FA6" w:rsidRPr="002A7CC6" w:rsidTr="001B4FA6">
        <w:trPr>
          <w:tblHeader/>
        </w:trPr>
        <w:tc>
          <w:tcPr>
            <w:tcW w:w="3061" w:type="dxa"/>
            <w:shd w:val="clear" w:color="000000" w:fill="FFFFFF"/>
            <w:noWrap/>
            <w:vAlign w:val="center"/>
            <w:hideMark/>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 </w:t>
            </w:r>
          </w:p>
        </w:tc>
        <w:tc>
          <w:tcPr>
            <w:tcW w:w="998" w:type="dxa"/>
            <w:shd w:val="clear" w:color="auto" w:fill="auto"/>
            <w:noWrap/>
            <w:vAlign w:val="center"/>
            <w:hideMark/>
          </w:tcPr>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Year 1</w:t>
            </w:r>
          </w:p>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(2019)</w:t>
            </w:r>
          </w:p>
        </w:tc>
        <w:tc>
          <w:tcPr>
            <w:tcW w:w="999" w:type="dxa"/>
            <w:shd w:val="clear" w:color="auto" w:fill="auto"/>
            <w:noWrap/>
            <w:vAlign w:val="center"/>
            <w:hideMark/>
          </w:tcPr>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Year 2</w:t>
            </w:r>
          </w:p>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(2020)</w:t>
            </w:r>
          </w:p>
        </w:tc>
        <w:tc>
          <w:tcPr>
            <w:tcW w:w="998" w:type="dxa"/>
            <w:shd w:val="clear" w:color="auto" w:fill="auto"/>
            <w:noWrap/>
            <w:vAlign w:val="center"/>
            <w:hideMark/>
          </w:tcPr>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Year 3</w:t>
            </w:r>
          </w:p>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(2021)</w:t>
            </w:r>
          </w:p>
        </w:tc>
        <w:tc>
          <w:tcPr>
            <w:tcW w:w="999" w:type="dxa"/>
            <w:shd w:val="clear" w:color="auto" w:fill="auto"/>
            <w:noWrap/>
            <w:vAlign w:val="center"/>
            <w:hideMark/>
          </w:tcPr>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Year 4</w:t>
            </w:r>
          </w:p>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(2022)</w:t>
            </w:r>
          </w:p>
        </w:tc>
        <w:tc>
          <w:tcPr>
            <w:tcW w:w="998" w:type="dxa"/>
            <w:shd w:val="clear" w:color="auto" w:fill="auto"/>
            <w:noWrap/>
            <w:vAlign w:val="center"/>
            <w:hideMark/>
          </w:tcPr>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Year 5</w:t>
            </w:r>
          </w:p>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(2023)</w:t>
            </w:r>
          </w:p>
        </w:tc>
        <w:tc>
          <w:tcPr>
            <w:tcW w:w="999" w:type="dxa"/>
            <w:shd w:val="clear" w:color="auto" w:fill="auto"/>
            <w:noWrap/>
            <w:vAlign w:val="center"/>
            <w:hideMark/>
          </w:tcPr>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Year 6</w:t>
            </w:r>
          </w:p>
          <w:p w:rsidR="001B4FA6" w:rsidRPr="002A7CC6" w:rsidRDefault="001B4FA6" w:rsidP="00007D60">
            <w:pPr>
              <w:keepNext/>
              <w:keepLines/>
              <w:widowControl/>
              <w:jc w:val="center"/>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(2024)</w:t>
            </w:r>
          </w:p>
        </w:tc>
      </w:tr>
      <w:tr w:rsidR="001B4FA6" w:rsidRPr="002A7CC6" w:rsidTr="001B4FA6">
        <w:tc>
          <w:tcPr>
            <w:tcW w:w="9052" w:type="dxa"/>
            <w:gridSpan w:val="7"/>
            <w:tcBorders>
              <w:bottom w:val="single" w:sz="4" w:space="0" w:color="auto"/>
            </w:tcBorders>
            <w:shd w:val="clear" w:color="000000" w:fill="FFFFFF"/>
            <w:noWrap/>
            <w:vAlign w:val="center"/>
          </w:tcPr>
          <w:p w:rsidR="001B4FA6" w:rsidRPr="002A7CC6" w:rsidRDefault="001B4FA6" w:rsidP="00007D60">
            <w:pPr>
              <w:keepNext/>
              <w:keepLines/>
              <w:widowControl/>
              <w:jc w:val="left"/>
              <w:rPr>
                <w:rFonts w:ascii="Arial Narrow" w:hAnsi="Arial Narrow"/>
                <w:b/>
                <w:bCs/>
                <w:color w:val="000000"/>
                <w:sz w:val="20"/>
                <w:szCs w:val="20"/>
                <w:lang w:eastAsia="en-AU"/>
              </w:rPr>
            </w:pPr>
            <w:r w:rsidRPr="002A7CC6">
              <w:rPr>
                <w:rFonts w:ascii="Arial Narrow" w:hAnsi="Arial Narrow"/>
                <w:b/>
                <w:color w:val="000000"/>
                <w:sz w:val="20"/>
                <w:szCs w:val="20"/>
                <w:lang w:eastAsia="en-AU"/>
              </w:rPr>
              <w:t xml:space="preserve">Eligible population with </w:t>
            </w:r>
            <w:proofErr w:type="spellStart"/>
            <w:r w:rsidRPr="002A7CC6">
              <w:rPr>
                <w:rFonts w:ascii="Arial Narrow" w:hAnsi="Arial Narrow"/>
                <w:b/>
                <w:color w:val="000000"/>
                <w:sz w:val="20"/>
                <w:szCs w:val="20"/>
                <w:lang w:eastAsia="en-AU"/>
              </w:rPr>
              <w:t>Ph</w:t>
            </w:r>
            <w:proofErr w:type="spellEnd"/>
            <w:r w:rsidRPr="002A7CC6">
              <w:rPr>
                <w:rFonts w:ascii="Arial Narrow" w:hAnsi="Arial Narrow"/>
                <w:b/>
                <w:color w:val="000000"/>
                <w:sz w:val="20"/>
                <w:szCs w:val="20"/>
                <w:lang w:eastAsia="en-AU"/>
              </w:rPr>
              <w:t>- CD22+ relapsed / refractory B-cell precursor acute lymphoblastic leukaemia (B-ALL)</w:t>
            </w:r>
          </w:p>
        </w:tc>
      </w:tr>
      <w:tr w:rsidR="001B4FA6" w:rsidRPr="002A7CC6" w:rsidTr="001B4FA6">
        <w:tc>
          <w:tcPr>
            <w:tcW w:w="3061" w:type="dxa"/>
            <w:tcBorders>
              <w:top w:val="single" w:sz="4" w:space="0" w:color="auto"/>
              <w:bottom w:val="single" w:sz="4" w:space="0" w:color="auto"/>
            </w:tcBorders>
            <w:shd w:val="clear" w:color="auto" w:fill="auto"/>
            <w:vAlign w:val="center"/>
            <w:hideMark/>
          </w:tcPr>
          <w:p w:rsidR="001B4FA6" w:rsidRPr="002A7CC6" w:rsidRDefault="001B4FA6" w:rsidP="00007D60">
            <w:pPr>
              <w:keepNext/>
              <w:keepLines/>
              <w:widowControl/>
              <w:ind w:left="-25" w:right="-52"/>
              <w:jc w:val="left"/>
              <w:rPr>
                <w:rFonts w:ascii="Arial Narrow" w:hAnsi="Arial Narrow"/>
                <w:color w:val="000000"/>
                <w:sz w:val="20"/>
                <w:szCs w:val="20"/>
                <w:lang w:eastAsia="en-AU"/>
              </w:rPr>
            </w:pPr>
            <w:r w:rsidRPr="002A7CC6">
              <w:rPr>
                <w:rFonts w:ascii="Arial Narrow" w:hAnsi="Arial Narrow"/>
                <w:color w:val="000000"/>
                <w:sz w:val="20"/>
                <w:szCs w:val="20"/>
                <w:lang w:eastAsia="en-AU"/>
              </w:rPr>
              <w:t xml:space="preserve">Eligible population with relapsed / refractory </w:t>
            </w:r>
            <w:proofErr w:type="spellStart"/>
            <w:r w:rsidRPr="002A7CC6">
              <w:rPr>
                <w:rFonts w:ascii="Arial Narrow" w:hAnsi="Arial Narrow"/>
                <w:color w:val="000000"/>
                <w:sz w:val="20"/>
                <w:szCs w:val="20"/>
                <w:lang w:eastAsia="en-AU"/>
              </w:rPr>
              <w:t>Ph</w:t>
            </w:r>
            <w:proofErr w:type="spellEnd"/>
            <w:r w:rsidRPr="002A7CC6">
              <w:rPr>
                <w:rFonts w:ascii="Arial Narrow" w:hAnsi="Arial Narrow"/>
                <w:color w:val="000000"/>
                <w:sz w:val="20"/>
                <w:szCs w:val="20"/>
                <w:lang w:eastAsia="en-AU"/>
              </w:rPr>
              <w:t>- CD22+ B-ALL</w:t>
            </w:r>
          </w:p>
        </w:tc>
        <w:tc>
          <w:tcPr>
            <w:tcW w:w="998"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8"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8"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r>
      <w:tr w:rsidR="001B4FA6" w:rsidRPr="002A7CC6" w:rsidTr="001B4FA6">
        <w:tc>
          <w:tcPr>
            <w:tcW w:w="9052" w:type="dxa"/>
            <w:gridSpan w:val="7"/>
            <w:tcBorders>
              <w:top w:val="single" w:sz="4" w:space="0" w:color="auto"/>
              <w:bottom w:val="single" w:sz="4" w:space="0" w:color="auto"/>
            </w:tcBorders>
            <w:shd w:val="clear" w:color="auto" w:fill="auto"/>
            <w:vAlign w:val="center"/>
          </w:tcPr>
          <w:p w:rsidR="001B4FA6" w:rsidRPr="002A7CC6" w:rsidRDefault="001B4FA6" w:rsidP="00007D60">
            <w:pPr>
              <w:keepNext/>
              <w:keepLines/>
              <w:widowControl/>
              <w:ind w:left="-42" w:right="-53"/>
              <w:jc w:val="left"/>
              <w:rPr>
                <w:rFonts w:ascii="Arial Narrow" w:hAnsi="Arial Narrow"/>
                <w:b/>
                <w:color w:val="000000"/>
                <w:sz w:val="20"/>
                <w:szCs w:val="20"/>
                <w:lang w:eastAsia="en-AU"/>
              </w:rPr>
            </w:pPr>
            <w:r w:rsidRPr="002A7CC6">
              <w:rPr>
                <w:rFonts w:ascii="Arial Narrow" w:hAnsi="Arial Narrow"/>
                <w:b/>
                <w:bCs/>
                <w:color w:val="000000"/>
                <w:sz w:val="20"/>
                <w:szCs w:val="20"/>
                <w:lang w:eastAsia="en-AU"/>
              </w:rPr>
              <w:t>Estimated treatment uptake WITHOUT inotuzumab listed on the PBS (patients)</w:t>
            </w:r>
          </w:p>
        </w:tc>
      </w:tr>
      <w:tr w:rsidR="001B4FA6" w:rsidRPr="002A7CC6" w:rsidTr="001B4FA6">
        <w:tc>
          <w:tcPr>
            <w:tcW w:w="3061" w:type="dxa"/>
            <w:tcBorders>
              <w:top w:val="single" w:sz="4" w:space="0" w:color="auto"/>
              <w:bottom w:val="single" w:sz="4" w:space="0" w:color="auto"/>
            </w:tcBorders>
            <w:shd w:val="clear" w:color="000000" w:fill="FFFFFF"/>
            <w:vAlign w:val="center"/>
            <w:hideMark/>
          </w:tcPr>
          <w:p w:rsidR="001B4FA6" w:rsidRPr="002A7CC6" w:rsidRDefault="001B4FA6" w:rsidP="00007D60">
            <w:pPr>
              <w:keepNext/>
              <w:keepLines/>
              <w:widowControl/>
              <w:ind w:left="-25" w:right="-52"/>
              <w:jc w:val="left"/>
              <w:rPr>
                <w:rFonts w:ascii="Arial Narrow" w:hAnsi="Arial Narrow"/>
                <w:bCs/>
                <w:color w:val="000000"/>
                <w:sz w:val="20"/>
                <w:szCs w:val="20"/>
                <w:lang w:eastAsia="en-AU"/>
              </w:rPr>
            </w:pPr>
            <w:r w:rsidRPr="002A7CC6">
              <w:rPr>
                <w:rFonts w:ascii="Arial Narrow" w:hAnsi="Arial Narrow"/>
                <w:bCs/>
                <w:color w:val="000000"/>
                <w:sz w:val="20"/>
                <w:szCs w:val="20"/>
                <w:lang w:eastAsia="en-AU"/>
              </w:rPr>
              <w:t>Blinatumomab uptake (</w:t>
            </w:r>
            <w:proofErr w:type="gramStart"/>
            <w:r w:rsidR="00B0555B">
              <w:rPr>
                <w:rFonts w:ascii="Arial Narrow" w:hAnsi="Arial Narrow"/>
                <w:bCs/>
                <w:noProof/>
                <w:color w:val="000000"/>
                <w:sz w:val="20"/>
                <w:szCs w:val="20"/>
                <w:highlight w:val="black"/>
                <w:lang w:eastAsia="en-AU"/>
              </w:rPr>
              <w:t>''''''</w:t>
            </w:r>
            <w:r w:rsidRPr="002A7CC6">
              <w:rPr>
                <w:rFonts w:ascii="Arial Narrow" w:hAnsi="Arial Narrow"/>
                <w:bCs/>
                <w:color w:val="000000"/>
                <w:sz w:val="20"/>
                <w:szCs w:val="20"/>
                <w:lang w:eastAsia="en-AU"/>
              </w:rPr>
              <w:t>%</w:t>
            </w:r>
            <w:proofErr w:type="gramEnd"/>
            <w:r w:rsidRPr="002A7CC6">
              <w:rPr>
                <w:rFonts w:ascii="Arial Narrow" w:hAnsi="Arial Narrow"/>
                <w:bCs/>
                <w:color w:val="000000"/>
                <w:sz w:val="20"/>
                <w:szCs w:val="20"/>
                <w:lang w:eastAsia="en-AU"/>
              </w:rPr>
              <w:t>)</w:t>
            </w:r>
          </w:p>
        </w:tc>
        <w:tc>
          <w:tcPr>
            <w:tcW w:w="998"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8"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8"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top w:val="single" w:sz="4" w:space="0" w:color="auto"/>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r>
      <w:tr w:rsidR="001B4FA6" w:rsidRPr="002A7CC6" w:rsidTr="001B4FA6">
        <w:tc>
          <w:tcPr>
            <w:tcW w:w="3061" w:type="dxa"/>
            <w:tcBorders>
              <w:bottom w:val="single" w:sz="4" w:space="0" w:color="auto"/>
            </w:tcBorders>
            <w:shd w:val="clear" w:color="000000" w:fill="FFFFFF"/>
            <w:vAlign w:val="center"/>
            <w:hideMark/>
          </w:tcPr>
          <w:p w:rsidR="001B4FA6" w:rsidRPr="002A7CC6" w:rsidRDefault="001B4FA6" w:rsidP="00007D60">
            <w:pPr>
              <w:keepNext/>
              <w:keepLines/>
              <w:widowControl/>
              <w:ind w:left="-25" w:right="-52"/>
              <w:jc w:val="left"/>
              <w:rPr>
                <w:rFonts w:ascii="Arial Narrow" w:hAnsi="Arial Narrow"/>
                <w:bCs/>
                <w:color w:val="000000"/>
                <w:sz w:val="20"/>
                <w:szCs w:val="20"/>
                <w:lang w:eastAsia="en-AU"/>
              </w:rPr>
            </w:pPr>
            <w:r w:rsidRPr="002A7CC6">
              <w:rPr>
                <w:rFonts w:ascii="Arial Narrow" w:hAnsi="Arial Narrow"/>
                <w:bCs/>
                <w:color w:val="000000"/>
                <w:sz w:val="20"/>
                <w:szCs w:val="20"/>
                <w:lang w:eastAsia="en-AU"/>
              </w:rPr>
              <w:t>Other therapies uptake (</w:t>
            </w:r>
            <w:proofErr w:type="gramStart"/>
            <w:r w:rsidR="00B0555B">
              <w:rPr>
                <w:rFonts w:ascii="Arial Narrow" w:hAnsi="Arial Narrow"/>
                <w:bCs/>
                <w:noProof/>
                <w:color w:val="000000"/>
                <w:sz w:val="20"/>
                <w:szCs w:val="20"/>
                <w:highlight w:val="black"/>
                <w:lang w:eastAsia="en-AU"/>
              </w:rPr>
              <w:t>''''''</w:t>
            </w:r>
            <w:r w:rsidRPr="002A7CC6">
              <w:rPr>
                <w:rFonts w:ascii="Arial Narrow" w:hAnsi="Arial Narrow"/>
                <w:bCs/>
                <w:color w:val="000000"/>
                <w:sz w:val="20"/>
                <w:szCs w:val="20"/>
                <w:lang w:eastAsia="en-AU"/>
              </w:rPr>
              <w:t>%</w:t>
            </w:r>
            <w:proofErr w:type="gramEnd"/>
            <w:r w:rsidRPr="002A7CC6">
              <w:rPr>
                <w:rFonts w:ascii="Arial Narrow" w:hAnsi="Arial Narrow"/>
                <w:bCs/>
                <w:color w:val="000000"/>
                <w:sz w:val="20"/>
                <w:szCs w:val="20"/>
                <w:lang w:eastAsia="en-AU"/>
              </w:rPr>
              <w:t>)</w:t>
            </w:r>
          </w:p>
        </w:tc>
        <w:tc>
          <w:tcPr>
            <w:tcW w:w="998"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8"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8"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c>
          <w:tcPr>
            <w:tcW w:w="999"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color w:val="000000"/>
                <w:sz w:val="20"/>
                <w:szCs w:val="20"/>
                <w:highlight w:val="black"/>
                <w:lang w:eastAsia="en-AU"/>
              </w:rPr>
            </w:pPr>
            <w:r>
              <w:rPr>
                <w:rFonts w:ascii="Arial Narrow" w:hAnsi="Arial Narrow"/>
                <w:noProof/>
                <w:color w:val="000000"/>
                <w:sz w:val="20"/>
                <w:szCs w:val="20"/>
                <w:highlight w:val="black"/>
                <w:lang w:eastAsia="en-AU"/>
              </w:rPr>
              <w:t xml:space="preserve">'''' </w:t>
            </w:r>
          </w:p>
        </w:tc>
      </w:tr>
      <w:tr w:rsidR="001B4FA6" w:rsidRPr="002A7CC6" w:rsidTr="001B4FA6">
        <w:tc>
          <w:tcPr>
            <w:tcW w:w="9052" w:type="dxa"/>
            <w:gridSpan w:val="7"/>
            <w:tcBorders>
              <w:top w:val="single" w:sz="4" w:space="0" w:color="auto"/>
              <w:bottom w:val="single" w:sz="4" w:space="0" w:color="auto"/>
            </w:tcBorders>
            <w:shd w:val="clear" w:color="auto" w:fill="auto"/>
            <w:vAlign w:val="center"/>
          </w:tcPr>
          <w:p w:rsidR="001B4FA6" w:rsidRPr="002A7CC6" w:rsidRDefault="001B4FA6" w:rsidP="00007D60">
            <w:pPr>
              <w:keepNext/>
              <w:keepLines/>
              <w:widowControl/>
              <w:ind w:left="-42" w:right="-53"/>
              <w:jc w:val="left"/>
              <w:rPr>
                <w:rFonts w:ascii="Arial Narrow" w:hAnsi="Arial Narrow"/>
                <w:b/>
                <w:color w:val="000000"/>
                <w:sz w:val="20"/>
                <w:szCs w:val="20"/>
                <w:lang w:eastAsia="en-AU"/>
              </w:rPr>
            </w:pPr>
            <w:r w:rsidRPr="002A7CC6">
              <w:rPr>
                <w:rFonts w:ascii="Arial Narrow" w:hAnsi="Arial Narrow"/>
                <w:b/>
                <w:bCs/>
                <w:color w:val="000000"/>
                <w:sz w:val="20"/>
                <w:szCs w:val="20"/>
                <w:lang w:eastAsia="en-AU"/>
              </w:rPr>
              <w:t>Estimated treatment uptake WITH inotuzumab listed on the PBS (patients)</w:t>
            </w:r>
          </w:p>
        </w:tc>
      </w:tr>
      <w:tr w:rsidR="001B4FA6" w:rsidRPr="002A7CC6" w:rsidTr="001B4FA6">
        <w:tc>
          <w:tcPr>
            <w:tcW w:w="3061" w:type="dxa"/>
            <w:tcBorders>
              <w:bottom w:val="single" w:sz="4" w:space="0" w:color="auto"/>
            </w:tcBorders>
            <w:shd w:val="clear" w:color="000000" w:fill="FFFFFF"/>
            <w:vAlign w:val="center"/>
            <w:hideMark/>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Inotuzumab uptake (patients)</w:t>
            </w:r>
          </w:p>
        </w:tc>
        <w:tc>
          <w:tcPr>
            <w:tcW w:w="998"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b/>
                <w:color w:val="000000"/>
                <w:sz w:val="20"/>
                <w:szCs w:val="20"/>
                <w:highlight w:val="black"/>
                <w:lang w:eastAsia="en-AU"/>
              </w:rPr>
            </w:pPr>
            <w:r>
              <w:rPr>
                <w:rFonts w:ascii="Arial Narrow" w:hAnsi="Arial Narrow"/>
                <w:b/>
                <w:noProof/>
                <w:color w:val="000000"/>
                <w:sz w:val="20"/>
                <w:szCs w:val="20"/>
                <w:highlight w:val="black"/>
                <w:lang w:eastAsia="en-AU"/>
              </w:rPr>
              <w:t xml:space="preserve">''''''' </w:t>
            </w:r>
          </w:p>
        </w:tc>
        <w:tc>
          <w:tcPr>
            <w:tcW w:w="999"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b/>
                <w:color w:val="000000"/>
                <w:sz w:val="20"/>
                <w:szCs w:val="20"/>
                <w:highlight w:val="black"/>
                <w:lang w:eastAsia="en-AU"/>
              </w:rPr>
            </w:pPr>
            <w:r>
              <w:rPr>
                <w:rFonts w:ascii="Arial Narrow" w:hAnsi="Arial Narrow"/>
                <w:b/>
                <w:noProof/>
                <w:color w:val="000000"/>
                <w:sz w:val="20"/>
                <w:szCs w:val="20"/>
                <w:highlight w:val="black"/>
                <w:lang w:eastAsia="en-AU"/>
              </w:rPr>
              <w:t xml:space="preserve">'''''' </w:t>
            </w:r>
          </w:p>
        </w:tc>
        <w:tc>
          <w:tcPr>
            <w:tcW w:w="998"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b/>
                <w:color w:val="000000"/>
                <w:sz w:val="20"/>
                <w:szCs w:val="20"/>
                <w:highlight w:val="black"/>
                <w:lang w:eastAsia="en-AU"/>
              </w:rPr>
            </w:pPr>
            <w:r>
              <w:rPr>
                <w:rFonts w:ascii="Arial Narrow" w:hAnsi="Arial Narrow"/>
                <w:b/>
                <w:noProof/>
                <w:color w:val="000000"/>
                <w:sz w:val="20"/>
                <w:szCs w:val="20"/>
                <w:highlight w:val="black"/>
                <w:lang w:eastAsia="en-AU"/>
              </w:rPr>
              <w:t xml:space="preserve">''''' </w:t>
            </w:r>
          </w:p>
        </w:tc>
        <w:tc>
          <w:tcPr>
            <w:tcW w:w="999"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b/>
                <w:color w:val="000000"/>
                <w:sz w:val="20"/>
                <w:szCs w:val="20"/>
                <w:highlight w:val="black"/>
                <w:lang w:eastAsia="en-AU"/>
              </w:rPr>
            </w:pPr>
            <w:r>
              <w:rPr>
                <w:rFonts w:ascii="Arial Narrow" w:hAnsi="Arial Narrow"/>
                <w:b/>
                <w:noProof/>
                <w:color w:val="000000"/>
                <w:sz w:val="20"/>
                <w:szCs w:val="20"/>
                <w:highlight w:val="black"/>
                <w:lang w:eastAsia="en-AU"/>
              </w:rPr>
              <w:t xml:space="preserve">''''' </w:t>
            </w:r>
          </w:p>
        </w:tc>
        <w:tc>
          <w:tcPr>
            <w:tcW w:w="998"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b/>
                <w:color w:val="000000"/>
                <w:sz w:val="20"/>
                <w:szCs w:val="20"/>
                <w:highlight w:val="black"/>
                <w:lang w:eastAsia="en-AU"/>
              </w:rPr>
            </w:pPr>
            <w:r>
              <w:rPr>
                <w:rFonts w:ascii="Arial Narrow" w:hAnsi="Arial Narrow"/>
                <w:b/>
                <w:noProof/>
                <w:color w:val="000000"/>
                <w:sz w:val="20"/>
                <w:szCs w:val="20"/>
                <w:highlight w:val="black"/>
                <w:lang w:eastAsia="en-AU"/>
              </w:rPr>
              <w:t xml:space="preserve">''''' </w:t>
            </w:r>
          </w:p>
        </w:tc>
        <w:tc>
          <w:tcPr>
            <w:tcW w:w="999" w:type="dxa"/>
            <w:tcBorders>
              <w:bottom w:val="single" w:sz="4" w:space="0" w:color="auto"/>
            </w:tcBorders>
            <w:shd w:val="clear" w:color="auto" w:fill="auto"/>
            <w:vAlign w:val="center"/>
            <w:hideMark/>
          </w:tcPr>
          <w:p w:rsidR="001B4FA6" w:rsidRPr="00B0555B" w:rsidRDefault="00B0555B" w:rsidP="00007D60">
            <w:pPr>
              <w:keepNext/>
              <w:keepLines/>
              <w:widowControl/>
              <w:ind w:left="-42" w:right="-53"/>
              <w:jc w:val="center"/>
              <w:rPr>
                <w:rFonts w:ascii="Arial Narrow" w:hAnsi="Arial Narrow"/>
                <w:b/>
                <w:color w:val="000000"/>
                <w:sz w:val="20"/>
                <w:szCs w:val="20"/>
                <w:highlight w:val="black"/>
                <w:lang w:eastAsia="en-AU"/>
              </w:rPr>
            </w:pPr>
            <w:r>
              <w:rPr>
                <w:rFonts w:ascii="Arial Narrow" w:hAnsi="Arial Narrow"/>
                <w:b/>
                <w:noProof/>
                <w:color w:val="000000"/>
                <w:sz w:val="20"/>
                <w:szCs w:val="20"/>
                <w:highlight w:val="black"/>
                <w:lang w:eastAsia="en-AU"/>
              </w:rPr>
              <w:t xml:space="preserve">''''' </w:t>
            </w:r>
          </w:p>
        </w:tc>
      </w:tr>
      <w:tr w:rsidR="001B4FA6" w:rsidRPr="002A7CC6" w:rsidTr="001B4FA6">
        <w:tc>
          <w:tcPr>
            <w:tcW w:w="3061" w:type="dxa"/>
            <w:tcBorders>
              <w:bottom w:val="double" w:sz="4" w:space="0" w:color="auto"/>
            </w:tcBorders>
            <w:shd w:val="clear" w:color="000000" w:fill="FFFFFF"/>
            <w:vAlign w:val="center"/>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Cs/>
                <w:color w:val="000000"/>
                <w:sz w:val="20"/>
                <w:szCs w:val="20"/>
                <w:lang w:eastAsia="en-AU"/>
              </w:rPr>
              <w:t xml:space="preserve">Number of inotuzumab 1 mg </w:t>
            </w:r>
            <w:proofErr w:type="spellStart"/>
            <w:r w:rsidRPr="002A7CC6">
              <w:rPr>
                <w:rFonts w:ascii="Arial Narrow" w:hAnsi="Arial Narrow"/>
                <w:bCs/>
                <w:color w:val="000000"/>
                <w:sz w:val="20"/>
                <w:szCs w:val="20"/>
                <w:lang w:eastAsia="en-AU"/>
              </w:rPr>
              <w:t>vials</w:t>
            </w:r>
            <w:r w:rsidRPr="002A7CC6">
              <w:rPr>
                <w:rFonts w:ascii="Arial Narrow" w:hAnsi="Arial Narrow"/>
                <w:bCs/>
                <w:color w:val="000000"/>
                <w:sz w:val="20"/>
                <w:szCs w:val="20"/>
                <w:vertAlign w:val="superscript"/>
                <w:lang w:eastAsia="en-AU"/>
              </w:rPr>
              <w:t>b</w:t>
            </w:r>
            <w:proofErr w:type="spellEnd"/>
            <w:r w:rsidRPr="002A7CC6">
              <w:rPr>
                <w:rFonts w:ascii="Arial Narrow" w:hAnsi="Arial Narrow"/>
                <w:bCs/>
                <w:color w:val="000000"/>
                <w:sz w:val="20"/>
                <w:szCs w:val="20"/>
                <w:lang w:eastAsia="en-AU"/>
              </w:rPr>
              <w:t xml:space="preserve"> </w:t>
            </w:r>
          </w:p>
        </w:tc>
        <w:tc>
          <w:tcPr>
            <w:tcW w:w="998" w:type="dxa"/>
            <w:tcBorders>
              <w:bottom w:val="double" w:sz="4" w:space="0" w:color="auto"/>
            </w:tcBorders>
            <w:shd w:val="clear" w:color="auto" w:fill="auto"/>
            <w:vAlign w:val="center"/>
          </w:tcPr>
          <w:p w:rsidR="001B4FA6" w:rsidRPr="00B0555B" w:rsidRDefault="00B0555B" w:rsidP="00007D60">
            <w:pPr>
              <w:keepNext/>
              <w:keepLines/>
              <w:widowControl/>
              <w:ind w:left="-56" w:right="-53"/>
              <w:jc w:val="center"/>
              <w:rPr>
                <w:rFonts w:ascii="Arial Narrow" w:hAnsi="Arial Narrow"/>
                <w:b/>
                <w:color w:val="000000"/>
                <w:sz w:val="20"/>
                <w:szCs w:val="20"/>
                <w:highlight w:val="black"/>
                <w:lang w:eastAsia="en-AU"/>
              </w:rPr>
            </w:pPr>
            <w:r>
              <w:rPr>
                <w:rFonts w:ascii="Arial Narrow" w:hAnsi="Arial Narrow"/>
                <w:noProof/>
                <w:color w:val="000000"/>
                <w:sz w:val="20"/>
                <w:szCs w:val="20"/>
                <w:highlight w:val="black"/>
                <w:lang w:eastAsia="en-AU"/>
              </w:rPr>
              <w:t>''''''</w:t>
            </w:r>
          </w:p>
        </w:tc>
        <w:tc>
          <w:tcPr>
            <w:tcW w:w="999" w:type="dxa"/>
            <w:tcBorders>
              <w:bottom w:val="double" w:sz="4" w:space="0" w:color="auto"/>
            </w:tcBorders>
            <w:shd w:val="clear" w:color="auto" w:fill="auto"/>
            <w:vAlign w:val="center"/>
          </w:tcPr>
          <w:p w:rsidR="001B4FA6" w:rsidRPr="00B0555B" w:rsidRDefault="00B0555B" w:rsidP="00007D60">
            <w:pPr>
              <w:keepNext/>
              <w:keepLines/>
              <w:widowControl/>
              <w:ind w:left="-56" w:right="-53"/>
              <w:jc w:val="center"/>
              <w:rPr>
                <w:rFonts w:ascii="Arial Narrow" w:hAnsi="Arial Narrow"/>
                <w:b/>
                <w:color w:val="000000"/>
                <w:sz w:val="20"/>
                <w:szCs w:val="20"/>
                <w:highlight w:val="black"/>
                <w:lang w:eastAsia="en-AU"/>
              </w:rPr>
            </w:pPr>
            <w:r>
              <w:rPr>
                <w:rFonts w:ascii="Arial Narrow" w:hAnsi="Arial Narrow"/>
                <w:noProof/>
                <w:color w:val="000000"/>
                <w:sz w:val="20"/>
                <w:szCs w:val="20"/>
                <w:highlight w:val="black"/>
                <w:lang w:eastAsia="en-AU"/>
              </w:rPr>
              <w:t>'''''''''</w:t>
            </w:r>
          </w:p>
        </w:tc>
        <w:tc>
          <w:tcPr>
            <w:tcW w:w="998" w:type="dxa"/>
            <w:tcBorders>
              <w:bottom w:val="double" w:sz="4" w:space="0" w:color="auto"/>
            </w:tcBorders>
            <w:shd w:val="clear" w:color="auto" w:fill="auto"/>
            <w:vAlign w:val="center"/>
          </w:tcPr>
          <w:p w:rsidR="001B4FA6" w:rsidRPr="00B0555B" w:rsidRDefault="00B0555B" w:rsidP="00007D60">
            <w:pPr>
              <w:keepNext/>
              <w:keepLines/>
              <w:widowControl/>
              <w:ind w:left="-56" w:right="-53"/>
              <w:jc w:val="center"/>
              <w:rPr>
                <w:rFonts w:ascii="Arial Narrow" w:hAnsi="Arial Narrow"/>
                <w:b/>
                <w:color w:val="000000"/>
                <w:sz w:val="20"/>
                <w:szCs w:val="20"/>
                <w:highlight w:val="black"/>
                <w:lang w:eastAsia="en-AU"/>
              </w:rPr>
            </w:pPr>
            <w:r>
              <w:rPr>
                <w:rFonts w:ascii="Arial Narrow" w:hAnsi="Arial Narrow"/>
                <w:noProof/>
                <w:color w:val="000000"/>
                <w:sz w:val="20"/>
                <w:szCs w:val="20"/>
                <w:highlight w:val="black"/>
                <w:lang w:eastAsia="en-AU"/>
              </w:rPr>
              <w:t>'''''''''</w:t>
            </w:r>
          </w:p>
        </w:tc>
        <w:tc>
          <w:tcPr>
            <w:tcW w:w="999" w:type="dxa"/>
            <w:tcBorders>
              <w:bottom w:val="double" w:sz="4" w:space="0" w:color="auto"/>
            </w:tcBorders>
            <w:shd w:val="clear" w:color="auto" w:fill="auto"/>
            <w:vAlign w:val="center"/>
          </w:tcPr>
          <w:p w:rsidR="001B4FA6" w:rsidRPr="00B0555B" w:rsidRDefault="00B0555B" w:rsidP="00007D60">
            <w:pPr>
              <w:keepNext/>
              <w:keepLines/>
              <w:widowControl/>
              <w:ind w:left="-56" w:right="-53"/>
              <w:jc w:val="center"/>
              <w:rPr>
                <w:rFonts w:ascii="Arial Narrow" w:hAnsi="Arial Narrow"/>
                <w:b/>
                <w:color w:val="000000"/>
                <w:sz w:val="20"/>
                <w:szCs w:val="20"/>
                <w:highlight w:val="black"/>
                <w:lang w:eastAsia="en-AU"/>
              </w:rPr>
            </w:pPr>
            <w:r>
              <w:rPr>
                <w:rFonts w:ascii="Arial Narrow" w:hAnsi="Arial Narrow"/>
                <w:noProof/>
                <w:color w:val="000000"/>
                <w:sz w:val="20"/>
                <w:szCs w:val="20"/>
                <w:highlight w:val="black"/>
                <w:lang w:eastAsia="en-AU"/>
              </w:rPr>
              <w:t>''''''''</w:t>
            </w:r>
          </w:p>
        </w:tc>
        <w:tc>
          <w:tcPr>
            <w:tcW w:w="998" w:type="dxa"/>
            <w:tcBorders>
              <w:bottom w:val="double" w:sz="4" w:space="0" w:color="auto"/>
            </w:tcBorders>
            <w:shd w:val="clear" w:color="auto" w:fill="auto"/>
            <w:vAlign w:val="center"/>
          </w:tcPr>
          <w:p w:rsidR="001B4FA6" w:rsidRPr="00B0555B" w:rsidRDefault="00B0555B" w:rsidP="00007D60">
            <w:pPr>
              <w:keepNext/>
              <w:keepLines/>
              <w:widowControl/>
              <w:ind w:left="-56" w:right="-53"/>
              <w:jc w:val="center"/>
              <w:rPr>
                <w:rFonts w:ascii="Arial Narrow" w:hAnsi="Arial Narrow"/>
                <w:b/>
                <w:color w:val="000000"/>
                <w:sz w:val="20"/>
                <w:szCs w:val="20"/>
                <w:highlight w:val="black"/>
                <w:lang w:eastAsia="en-AU"/>
              </w:rPr>
            </w:pPr>
            <w:r>
              <w:rPr>
                <w:rFonts w:ascii="Arial Narrow" w:hAnsi="Arial Narrow"/>
                <w:noProof/>
                <w:color w:val="000000"/>
                <w:sz w:val="20"/>
                <w:szCs w:val="20"/>
                <w:highlight w:val="black"/>
                <w:lang w:eastAsia="en-AU"/>
              </w:rPr>
              <w:t>'''''''''</w:t>
            </w:r>
          </w:p>
        </w:tc>
        <w:tc>
          <w:tcPr>
            <w:tcW w:w="999" w:type="dxa"/>
            <w:tcBorders>
              <w:bottom w:val="double" w:sz="4" w:space="0" w:color="auto"/>
            </w:tcBorders>
            <w:shd w:val="clear" w:color="auto" w:fill="auto"/>
            <w:vAlign w:val="center"/>
          </w:tcPr>
          <w:p w:rsidR="001B4FA6" w:rsidRPr="00B0555B" w:rsidRDefault="00B0555B" w:rsidP="00007D60">
            <w:pPr>
              <w:keepNext/>
              <w:keepLines/>
              <w:widowControl/>
              <w:ind w:left="-56" w:right="-53"/>
              <w:jc w:val="center"/>
              <w:rPr>
                <w:rFonts w:ascii="Arial Narrow" w:hAnsi="Arial Narrow"/>
                <w:b/>
                <w:color w:val="000000"/>
                <w:sz w:val="20"/>
                <w:szCs w:val="20"/>
                <w:highlight w:val="black"/>
                <w:lang w:eastAsia="en-AU"/>
              </w:rPr>
            </w:pPr>
            <w:r>
              <w:rPr>
                <w:rFonts w:ascii="Arial Narrow" w:hAnsi="Arial Narrow"/>
                <w:noProof/>
                <w:color w:val="000000"/>
                <w:sz w:val="20"/>
                <w:szCs w:val="20"/>
                <w:highlight w:val="black"/>
                <w:lang w:eastAsia="en-AU"/>
              </w:rPr>
              <w:t>'''''''''</w:t>
            </w:r>
          </w:p>
        </w:tc>
      </w:tr>
      <w:tr w:rsidR="006E7DCE" w:rsidRPr="002A7CC6" w:rsidTr="006C33FB">
        <w:tc>
          <w:tcPr>
            <w:tcW w:w="9052" w:type="dxa"/>
            <w:gridSpan w:val="7"/>
            <w:tcBorders>
              <w:bottom w:val="single" w:sz="4" w:space="0" w:color="auto"/>
            </w:tcBorders>
            <w:shd w:val="clear" w:color="000000" w:fill="FFFFFF"/>
            <w:vAlign w:val="center"/>
          </w:tcPr>
          <w:p w:rsidR="006E7DCE" w:rsidRPr="002A7CC6" w:rsidRDefault="006E7DCE" w:rsidP="00007D60">
            <w:pPr>
              <w:keepNext/>
              <w:keepLines/>
              <w:widowControl/>
              <w:ind w:left="-56" w:right="-53"/>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Estimated cost to the PBS (corrected during the evaluation for equi-effective dose of 42 vials of blinatumomab)</w:t>
            </w:r>
          </w:p>
        </w:tc>
      </w:tr>
      <w:tr w:rsidR="006E7DCE" w:rsidRPr="002A7CC6" w:rsidTr="001B4FA6">
        <w:tc>
          <w:tcPr>
            <w:tcW w:w="3061" w:type="dxa"/>
            <w:shd w:val="clear" w:color="000000" w:fill="FFFFFF"/>
            <w:vAlign w:val="center"/>
          </w:tcPr>
          <w:p w:rsidR="006E7DCE" w:rsidRPr="002A7CC6" w:rsidRDefault="006E7DCE" w:rsidP="00007D60">
            <w:pPr>
              <w:keepNext/>
              <w:keepLines/>
              <w:widowControl/>
              <w:ind w:left="-25" w:right="-52"/>
              <w:jc w:val="left"/>
              <w:rPr>
                <w:rFonts w:ascii="Arial Narrow" w:hAnsi="Arial Narrow"/>
                <w:bCs/>
                <w:color w:val="000000"/>
                <w:sz w:val="20"/>
                <w:szCs w:val="20"/>
                <w:lang w:eastAsia="en-AU"/>
              </w:rPr>
            </w:pPr>
            <w:r w:rsidRPr="002A7CC6">
              <w:rPr>
                <w:rFonts w:ascii="Arial Narrow" w:hAnsi="Arial Narrow"/>
                <w:bCs/>
                <w:color w:val="000000"/>
                <w:sz w:val="20"/>
                <w:szCs w:val="20"/>
                <w:lang w:eastAsia="en-AU"/>
              </w:rPr>
              <w:t>Cost to PBS including copayment</w:t>
            </w:r>
          </w:p>
        </w:tc>
        <w:tc>
          <w:tcPr>
            <w:tcW w:w="998"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E7DCE" w:rsidRPr="002A7CC6" w:rsidTr="001B4FA6">
        <w:tc>
          <w:tcPr>
            <w:tcW w:w="3061" w:type="dxa"/>
            <w:shd w:val="clear" w:color="000000" w:fill="FFFFFF"/>
            <w:vAlign w:val="center"/>
          </w:tcPr>
          <w:p w:rsidR="006E7DCE" w:rsidRPr="002A7CC6" w:rsidRDefault="006E7DCE" w:rsidP="00007D60">
            <w:pPr>
              <w:keepNext/>
              <w:keepLines/>
              <w:widowControl/>
              <w:ind w:left="-25" w:right="-52"/>
              <w:jc w:val="left"/>
              <w:rPr>
                <w:rFonts w:ascii="Arial Narrow" w:hAnsi="Arial Narrow"/>
                <w:bCs/>
                <w:color w:val="000000"/>
                <w:sz w:val="20"/>
                <w:szCs w:val="20"/>
                <w:lang w:eastAsia="en-AU"/>
              </w:rPr>
            </w:pPr>
            <w:r w:rsidRPr="002A7CC6">
              <w:rPr>
                <w:rFonts w:ascii="Arial Narrow" w:hAnsi="Arial Narrow"/>
                <w:bCs/>
                <w:color w:val="000000"/>
                <w:sz w:val="20"/>
                <w:szCs w:val="20"/>
                <w:lang w:eastAsia="en-AU"/>
              </w:rPr>
              <w:t>Patient copayment (mean $23.75)</w:t>
            </w:r>
          </w:p>
        </w:tc>
        <w:tc>
          <w:tcPr>
            <w:tcW w:w="998"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shd w:val="clear" w:color="auto" w:fill="auto"/>
            <w:vAlign w:val="center"/>
          </w:tcPr>
          <w:p w:rsidR="006E7DCE"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4FA6" w:rsidRPr="002A7CC6" w:rsidTr="001B4FA6">
        <w:tc>
          <w:tcPr>
            <w:tcW w:w="3061" w:type="dxa"/>
            <w:shd w:val="clear" w:color="000000" w:fill="FFFFFF"/>
            <w:vAlign w:val="center"/>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 xml:space="preserve">Cost of inotuzumab to PBS </w:t>
            </w:r>
          </w:p>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less copayment</w:t>
            </w:r>
          </w:p>
        </w:tc>
        <w:tc>
          <w:tcPr>
            <w:tcW w:w="998" w:type="dxa"/>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9" w:type="dxa"/>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8" w:type="dxa"/>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9" w:type="dxa"/>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8" w:type="dxa"/>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9" w:type="dxa"/>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1B4FA6" w:rsidRPr="002A7CC6" w:rsidTr="001B4FA6">
        <w:tc>
          <w:tcPr>
            <w:tcW w:w="9052" w:type="dxa"/>
            <w:gridSpan w:val="7"/>
            <w:tcBorders>
              <w:top w:val="double" w:sz="4" w:space="0" w:color="auto"/>
              <w:bottom w:val="single" w:sz="4" w:space="0" w:color="auto"/>
            </w:tcBorders>
            <w:shd w:val="clear" w:color="000000" w:fill="FFFFFF"/>
            <w:vAlign w:val="center"/>
          </w:tcPr>
          <w:p w:rsidR="001B4FA6" w:rsidRPr="002A7CC6" w:rsidRDefault="001B4FA6" w:rsidP="00007D60">
            <w:pPr>
              <w:keepNext/>
              <w:keepLines/>
              <w:widowControl/>
              <w:ind w:left="-56" w:right="-53"/>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Estimated financial implications</w:t>
            </w:r>
            <w:r w:rsidR="00E669EE" w:rsidRPr="002A7CC6">
              <w:rPr>
                <w:rFonts w:ascii="Arial Narrow" w:hAnsi="Arial Narrow"/>
                <w:b/>
                <w:bCs/>
                <w:color w:val="000000"/>
                <w:sz w:val="20"/>
                <w:szCs w:val="20"/>
                <w:lang w:eastAsia="en-AU"/>
              </w:rPr>
              <w:t xml:space="preserve"> </w:t>
            </w:r>
            <w:r w:rsidR="006E7DCE" w:rsidRPr="002A7CC6">
              <w:rPr>
                <w:rFonts w:ascii="Arial Narrow" w:hAnsi="Arial Narrow"/>
                <w:b/>
                <w:bCs/>
                <w:color w:val="000000"/>
                <w:sz w:val="20"/>
                <w:szCs w:val="20"/>
                <w:lang w:eastAsia="en-AU"/>
              </w:rPr>
              <w:t>(</w:t>
            </w:r>
            <w:r w:rsidR="00E669EE" w:rsidRPr="002A7CC6">
              <w:rPr>
                <w:rFonts w:ascii="Arial Narrow" w:hAnsi="Arial Narrow"/>
                <w:b/>
                <w:bCs/>
                <w:color w:val="000000"/>
                <w:sz w:val="20"/>
                <w:szCs w:val="20"/>
                <w:lang w:eastAsia="en-AU"/>
              </w:rPr>
              <w:t xml:space="preserve">corrected during evaluation </w:t>
            </w:r>
            <w:r w:rsidR="006E7DCE" w:rsidRPr="002A7CC6">
              <w:rPr>
                <w:rFonts w:ascii="Arial Narrow" w:hAnsi="Arial Narrow"/>
                <w:b/>
                <w:bCs/>
                <w:color w:val="000000"/>
                <w:sz w:val="20"/>
                <w:szCs w:val="20"/>
                <w:lang w:eastAsia="en-AU"/>
              </w:rPr>
              <w:t xml:space="preserve">for </w:t>
            </w:r>
            <w:r w:rsidRPr="002A7CC6">
              <w:rPr>
                <w:rFonts w:ascii="Arial Narrow" w:hAnsi="Arial Narrow"/>
                <w:b/>
                <w:bCs/>
                <w:color w:val="000000"/>
                <w:sz w:val="20"/>
                <w:szCs w:val="20"/>
                <w:lang w:eastAsia="en-AU"/>
              </w:rPr>
              <w:t>equi-effective dose of 42 vials</w:t>
            </w:r>
            <w:r w:rsidR="006E7DCE" w:rsidRPr="002A7CC6">
              <w:rPr>
                <w:rFonts w:ascii="Arial Narrow" w:hAnsi="Arial Narrow"/>
                <w:b/>
                <w:bCs/>
                <w:color w:val="000000"/>
                <w:sz w:val="20"/>
                <w:szCs w:val="20"/>
                <w:lang w:eastAsia="en-AU"/>
              </w:rPr>
              <w:t xml:space="preserve"> of blinatumomab</w:t>
            </w:r>
            <w:r w:rsidRPr="002A7CC6">
              <w:rPr>
                <w:rFonts w:ascii="Arial Narrow" w:hAnsi="Arial Narrow"/>
                <w:b/>
                <w:bCs/>
                <w:color w:val="000000"/>
                <w:sz w:val="20"/>
                <w:szCs w:val="20"/>
                <w:lang w:eastAsia="en-AU"/>
              </w:rPr>
              <w:t>)</w:t>
            </w:r>
          </w:p>
        </w:tc>
      </w:tr>
      <w:tr w:rsidR="001B4FA6" w:rsidRPr="002A7CC6" w:rsidTr="001B4FA6">
        <w:tc>
          <w:tcPr>
            <w:tcW w:w="3061" w:type="dxa"/>
            <w:tcBorders>
              <w:top w:val="single" w:sz="4" w:space="0" w:color="auto"/>
              <w:bottom w:val="single" w:sz="4" w:space="0" w:color="auto"/>
            </w:tcBorders>
            <w:shd w:val="clear" w:color="000000" w:fill="FFFFFF"/>
            <w:vAlign w:val="center"/>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Cost of inotuzumab to the PBS</w:t>
            </w:r>
          </w:p>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Less copayment</w:t>
            </w:r>
          </w:p>
        </w:tc>
        <w:tc>
          <w:tcPr>
            <w:tcW w:w="998" w:type="dxa"/>
            <w:tcBorders>
              <w:top w:val="single" w:sz="4" w:space="0" w:color="auto"/>
              <w:bottom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tcBorders>
              <w:top w:val="single" w:sz="4" w:space="0" w:color="auto"/>
              <w:bottom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tcBorders>
              <w:top w:val="single" w:sz="4" w:space="0" w:color="auto"/>
              <w:bottom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tcBorders>
              <w:top w:val="single" w:sz="4" w:space="0" w:color="auto"/>
              <w:bottom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tcBorders>
              <w:top w:val="single" w:sz="4" w:space="0" w:color="auto"/>
              <w:bottom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tcBorders>
              <w:top w:val="single" w:sz="4" w:space="0" w:color="auto"/>
              <w:bottom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4FA6" w:rsidRPr="002A7CC6" w:rsidTr="001B4FA6">
        <w:tc>
          <w:tcPr>
            <w:tcW w:w="3061" w:type="dxa"/>
            <w:tcBorders>
              <w:top w:val="single" w:sz="4" w:space="0" w:color="auto"/>
            </w:tcBorders>
            <w:shd w:val="clear" w:color="000000" w:fill="FFFFFF"/>
            <w:vAlign w:val="center"/>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 xml:space="preserve">Cost offset to PBS of blinatumomab </w:t>
            </w:r>
          </w:p>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less copayment</w:t>
            </w:r>
          </w:p>
        </w:tc>
        <w:tc>
          <w:tcPr>
            <w:tcW w:w="998"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8"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9"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B4FA6" w:rsidRPr="002A7CC6" w:rsidTr="001B4FA6">
        <w:tc>
          <w:tcPr>
            <w:tcW w:w="3061" w:type="dxa"/>
            <w:tcBorders>
              <w:top w:val="single" w:sz="4" w:space="0" w:color="auto"/>
            </w:tcBorders>
            <w:shd w:val="clear" w:color="000000" w:fill="FFFFFF"/>
            <w:vAlign w:val="center"/>
          </w:tcPr>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 xml:space="preserve">Total cost </w:t>
            </w:r>
            <w:r w:rsidR="006E7DCE" w:rsidRPr="002A7CC6">
              <w:rPr>
                <w:rFonts w:ascii="Arial Narrow" w:hAnsi="Arial Narrow"/>
                <w:b/>
                <w:bCs/>
                <w:color w:val="000000"/>
                <w:sz w:val="20"/>
                <w:szCs w:val="20"/>
                <w:lang w:eastAsia="en-AU"/>
              </w:rPr>
              <w:t>of</w:t>
            </w:r>
            <w:r w:rsidRPr="002A7CC6">
              <w:rPr>
                <w:rFonts w:ascii="Arial Narrow" w:hAnsi="Arial Narrow"/>
                <w:b/>
                <w:bCs/>
                <w:color w:val="000000"/>
                <w:sz w:val="20"/>
                <w:szCs w:val="20"/>
                <w:lang w:eastAsia="en-AU"/>
              </w:rPr>
              <w:t xml:space="preserve"> PBS </w:t>
            </w:r>
            <w:r w:rsidR="006E7DCE" w:rsidRPr="002A7CC6">
              <w:rPr>
                <w:rFonts w:ascii="Arial Narrow" w:hAnsi="Arial Narrow"/>
                <w:b/>
                <w:bCs/>
                <w:color w:val="000000"/>
                <w:sz w:val="20"/>
                <w:szCs w:val="20"/>
                <w:lang w:eastAsia="en-AU"/>
              </w:rPr>
              <w:t>listing inotuzumab</w:t>
            </w:r>
          </w:p>
          <w:p w:rsidR="001B4FA6" w:rsidRPr="002A7CC6" w:rsidRDefault="001B4FA6" w:rsidP="00007D60">
            <w:pPr>
              <w:keepNext/>
              <w:keepLines/>
              <w:widowControl/>
              <w:ind w:left="-25" w:right="-52"/>
              <w:jc w:val="left"/>
              <w:rPr>
                <w:rFonts w:ascii="Arial Narrow" w:hAnsi="Arial Narrow"/>
                <w:b/>
                <w:bCs/>
                <w:color w:val="000000"/>
                <w:sz w:val="20"/>
                <w:szCs w:val="20"/>
                <w:lang w:eastAsia="en-AU"/>
              </w:rPr>
            </w:pPr>
            <w:r w:rsidRPr="002A7CC6">
              <w:rPr>
                <w:rFonts w:ascii="Arial Narrow" w:hAnsi="Arial Narrow"/>
                <w:b/>
                <w:bCs/>
                <w:color w:val="000000"/>
                <w:sz w:val="20"/>
                <w:szCs w:val="20"/>
                <w:lang w:eastAsia="en-AU"/>
              </w:rPr>
              <w:t>less copayment</w:t>
            </w:r>
          </w:p>
        </w:tc>
        <w:tc>
          <w:tcPr>
            <w:tcW w:w="998"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9"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8"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9"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8"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999" w:type="dxa"/>
            <w:tcBorders>
              <w:top w:val="single" w:sz="4" w:space="0" w:color="auto"/>
            </w:tcBorders>
            <w:shd w:val="clear" w:color="auto" w:fill="auto"/>
            <w:vAlign w:val="center"/>
          </w:tcPr>
          <w:p w:rsidR="001B4FA6" w:rsidRPr="00B0555B" w:rsidRDefault="00B0555B" w:rsidP="00007D60">
            <w:pPr>
              <w:keepNext/>
              <w:keepLines/>
              <w:widowControl/>
              <w:ind w:left="-57" w:right="-51"/>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bl>
    <w:p w:rsidR="001B4FA6" w:rsidRPr="002A7CC6" w:rsidRDefault="001B4FA6" w:rsidP="00007D60">
      <w:pPr>
        <w:keepNext/>
        <w:keepLines/>
        <w:widowControl/>
        <w:rPr>
          <w:rFonts w:ascii="Arial Narrow" w:hAnsi="Arial Narrow"/>
          <w:sz w:val="18"/>
          <w:szCs w:val="18"/>
        </w:rPr>
      </w:pPr>
      <w:r w:rsidRPr="002A7CC6">
        <w:rPr>
          <w:rFonts w:ascii="Arial Narrow" w:hAnsi="Arial Narrow"/>
          <w:sz w:val="18"/>
          <w:szCs w:val="18"/>
        </w:rPr>
        <w:t>Source: Tables 4.2.1 to 4.2.9, pp.280-289 and Tables 4.3.2 to 4.3.4, pp.292-294 of the submission.</w:t>
      </w:r>
    </w:p>
    <w:p w:rsidR="001B4FA6" w:rsidRPr="002A7CC6" w:rsidRDefault="001B4FA6" w:rsidP="00007D60">
      <w:pPr>
        <w:widowControl/>
        <w:rPr>
          <w:rFonts w:ascii="Arial Narrow" w:hAnsi="Arial Narrow"/>
          <w:sz w:val="18"/>
          <w:szCs w:val="18"/>
        </w:rPr>
      </w:pPr>
      <w:r w:rsidRPr="002A7CC6">
        <w:rPr>
          <w:rFonts w:ascii="Arial Narrow" w:hAnsi="Arial Narrow"/>
          <w:sz w:val="18"/>
          <w:szCs w:val="18"/>
        </w:rPr>
        <w:t xml:space="preserve">Abbreviations: ALL, acute lymphoblastic leukaemia; B-ALL, B-cell precursor acute lymphoblastic leukaemia; </w:t>
      </w:r>
      <w:proofErr w:type="spellStart"/>
      <w:r w:rsidRPr="002A7CC6">
        <w:rPr>
          <w:rFonts w:ascii="Arial Narrow" w:hAnsi="Arial Narrow"/>
          <w:sz w:val="18"/>
          <w:szCs w:val="18"/>
        </w:rPr>
        <w:t>Ph</w:t>
      </w:r>
      <w:proofErr w:type="spellEnd"/>
      <w:r w:rsidRPr="002A7CC6">
        <w:rPr>
          <w:rFonts w:ascii="Arial Narrow" w:hAnsi="Arial Narrow"/>
          <w:sz w:val="18"/>
          <w:szCs w:val="18"/>
        </w:rPr>
        <w:t>-, Philadelphia chromosome negative.</w:t>
      </w:r>
    </w:p>
    <w:p w:rsidR="001B4FA6" w:rsidRPr="002A7CC6" w:rsidRDefault="001B4FA6" w:rsidP="00007D60">
      <w:pPr>
        <w:widowControl/>
        <w:rPr>
          <w:rFonts w:ascii="Arial Narrow" w:hAnsi="Arial Narrow"/>
          <w:sz w:val="18"/>
          <w:szCs w:val="18"/>
        </w:rPr>
      </w:pPr>
      <w:proofErr w:type="spellStart"/>
      <w:proofErr w:type="gramStart"/>
      <w:r w:rsidRPr="002A7CC6">
        <w:rPr>
          <w:rFonts w:ascii="Arial Narrow" w:hAnsi="Arial Narrow"/>
          <w:sz w:val="18"/>
          <w:szCs w:val="18"/>
          <w:vertAlign w:val="superscript"/>
        </w:rPr>
        <w:t>a</w:t>
      </w:r>
      <w:proofErr w:type="spellEnd"/>
      <w:proofErr w:type="gramEnd"/>
      <w:r w:rsidRPr="002A7CC6">
        <w:rPr>
          <w:rFonts w:ascii="Arial Narrow" w:hAnsi="Arial Narrow"/>
          <w:sz w:val="18"/>
          <w:szCs w:val="18"/>
        </w:rPr>
        <w:t xml:space="preserve"> Includes addition of </w:t>
      </w:r>
      <w:r w:rsidR="00B0555B">
        <w:rPr>
          <w:rFonts w:ascii="Arial Narrow" w:hAnsi="Arial Narrow"/>
          <w:noProof/>
          <w:color w:val="000000"/>
          <w:sz w:val="18"/>
          <w:szCs w:val="18"/>
          <w:highlight w:val="black"/>
        </w:rPr>
        <w:t>''''''''</w:t>
      </w:r>
      <w:r w:rsidRPr="002A7CC6">
        <w:rPr>
          <w:rFonts w:ascii="Arial Narrow" w:hAnsi="Arial Narrow"/>
          <w:sz w:val="18"/>
          <w:szCs w:val="18"/>
        </w:rPr>
        <w:t xml:space="preserve"> grandfathered patients.</w:t>
      </w:r>
    </w:p>
    <w:p w:rsidR="001B4FA6" w:rsidRPr="002A7CC6" w:rsidRDefault="001B4FA6" w:rsidP="00007D60">
      <w:pPr>
        <w:widowControl/>
        <w:rPr>
          <w:rFonts w:ascii="Arial Narrow" w:hAnsi="Arial Narrow"/>
          <w:sz w:val="18"/>
          <w:szCs w:val="18"/>
        </w:rPr>
      </w:pPr>
      <w:proofErr w:type="gramStart"/>
      <w:r w:rsidRPr="002A7CC6">
        <w:rPr>
          <w:rFonts w:ascii="Arial Narrow" w:hAnsi="Arial Narrow"/>
          <w:sz w:val="18"/>
          <w:szCs w:val="18"/>
          <w:vertAlign w:val="superscript"/>
        </w:rPr>
        <w:t>b</w:t>
      </w:r>
      <w:proofErr w:type="gramEnd"/>
      <w:r w:rsidRPr="002A7CC6">
        <w:rPr>
          <w:rFonts w:ascii="Arial Narrow" w:hAnsi="Arial Narrow"/>
          <w:sz w:val="18"/>
          <w:szCs w:val="18"/>
        </w:rPr>
        <w:t xml:space="preserve"> Assumed 9 vials of inotuzumab over 3 cycles of treatment; i.e. dispensed 3 times (3 × [3 × 1 mg vial]).</w:t>
      </w:r>
    </w:p>
    <w:p w:rsidR="001B4FA6" w:rsidRDefault="001B4FA6" w:rsidP="00007D60">
      <w:pPr>
        <w:widowControl/>
        <w:rPr>
          <w:rFonts w:ascii="Arial Narrow" w:hAnsi="Arial Narrow"/>
          <w:sz w:val="18"/>
          <w:szCs w:val="18"/>
        </w:rPr>
      </w:pPr>
      <w:r w:rsidRPr="002A7CC6">
        <w:rPr>
          <w:rFonts w:ascii="Arial Narrow" w:hAnsi="Arial Narrow"/>
          <w:sz w:val="18"/>
          <w:szCs w:val="18"/>
        </w:rPr>
        <w:t>Note: items in italics calculated during the evaluation.</w:t>
      </w:r>
    </w:p>
    <w:p w:rsidR="00A752DB" w:rsidRPr="00EB0770" w:rsidRDefault="00A752DB" w:rsidP="00A752DB">
      <w:pPr>
        <w:widowControl/>
        <w:spacing w:before="120" w:after="120"/>
        <w:rPr>
          <w:rFonts w:asciiTheme="minorHAnsi" w:hAnsiTheme="minorHAnsi" w:cstheme="minorHAnsi"/>
          <w:i/>
          <w:szCs w:val="24"/>
        </w:rPr>
      </w:pPr>
      <w:r w:rsidRPr="00EB0770">
        <w:rPr>
          <w:rFonts w:asciiTheme="minorHAnsi" w:hAnsiTheme="minorHAnsi" w:cstheme="minorHAnsi"/>
          <w:i/>
          <w:szCs w:val="24"/>
        </w:rPr>
        <w:lastRenderedPageBreak/>
        <w:t>The redacted table shows that at Year 6, the estimated number of patients was substantially less than 10,000 per year.</w:t>
      </w:r>
    </w:p>
    <w:p w:rsidR="001B4FA6" w:rsidRPr="002A7CC6" w:rsidRDefault="001B4FA6" w:rsidP="00007D60">
      <w:pPr>
        <w:pStyle w:val="ListParagraph"/>
        <w:widowControl/>
        <w:numPr>
          <w:ilvl w:val="1"/>
          <w:numId w:val="1"/>
        </w:numPr>
      </w:pPr>
      <w:r w:rsidRPr="002A7CC6">
        <w:t xml:space="preserve">The cost to the PBS of listing of inotuzumab calculated during the evaluation </w:t>
      </w:r>
      <w:r w:rsidR="00600212" w:rsidRPr="002A7CC6">
        <w:t>(</w:t>
      </w:r>
      <w:r w:rsidRPr="002A7CC6">
        <w:t>using the equi-effective dose of blinatumomab of 42 vials over 1.64 cycles</w:t>
      </w:r>
      <w:r w:rsidR="00600212" w:rsidRPr="002A7CC6">
        <w:t>)</w:t>
      </w:r>
      <w:r w:rsidRPr="002A7CC6">
        <w:t xml:space="preserve"> was estimated at </w:t>
      </w:r>
      <w:r w:rsidR="00A752DB">
        <w:t xml:space="preserve">less than $10 </w:t>
      </w:r>
      <w:r w:rsidRPr="002A7CC6">
        <w:t xml:space="preserve">million in the sixth year of listing, with a cumulative cost to the PBS over six years of </w:t>
      </w:r>
      <w:r w:rsidR="00A752DB">
        <w:t>$10 - $20</w:t>
      </w:r>
      <w:r w:rsidRPr="002A7CC6">
        <w:t xml:space="preserve"> million (published prices). Including estimated cost offsets to the PBS due </w:t>
      </w:r>
      <w:r w:rsidR="00600212" w:rsidRPr="002A7CC6">
        <w:t>to substitution of blinatumomab</w:t>
      </w:r>
      <w:r w:rsidRPr="002A7CC6">
        <w:t xml:space="preserve">, the overall financial implications to the PBS was estimated </w:t>
      </w:r>
      <w:r w:rsidR="008D1B95" w:rsidRPr="002A7CC6">
        <w:t xml:space="preserve">at </w:t>
      </w:r>
      <w:r w:rsidR="00A752DB">
        <w:t xml:space="preserve">less than $10 </w:t>
      </w:r>
      <w:r w:rsidRPr="002A7CC6">
        <w:t xml:space="preserve">million in the sixth year of listing, with a cumulative cost to the PBS over six years of </w:t>
      </w:r>
      <w:r w:rsidR="00A752DB">
        <w:t>less than $10</w:t>
      </w:r>
      <w:r w:rsidRPr="002A7CC6">
        <w:t xml:space="preserve"> million (published prices).</w:t>
      </w:r>
      <w:r w:rsidR="007E26D3">
        <w:t xml:space="preserve"> The PBAC noted that th</w:t>
      </w:r>
      <w:r w:rsidR="00110A4C">
        <w:t xml:space="preserve">ese estimates did not include the additional costs associated with </w:t>
      </w:r>
      <w:r w:rsidR="007E26D3">
        <w:t>sequential use of inotuzumab and blinatumomab.</w:t>
      </w:r>
    </w:p>
    <w:p w:rsidR="00717925" w:rsidRDefault="00717925" w:rsidP="00007D60">
      <w:pPr>
        <w:pStyle w:val="ListParagraph"/>
        <w:widowControl/>
        <w:numPr>
          <w:ilvl w:val="1"/>
          <w:numId w:val="1"/>
        </w:numPr>
      </w:pPr>
      <w:r w:rsidRPr="002A7CC6">
        <w:t xml:space="preserve">The submission assumed there would be </w:t>
      </w:r>
      <w:r w:rsidR="00B0555B">
        <w:rPr>
          <w:noProof/>
          <w:color w:val="000000"/>
          <w:highlight w:val="black"/>
        </w:rPr>
        <w:t>'''''</w:t>
      </w:r>
      <w:r w:rsidR="00E14414">
        <w:t xml:space="preserve">% </w:t>
      </w:r>
      <w:r w:rsidRPr="002A7CC6">
        <w:t xml:space="preserve">uptake from </w:t>
      </w:r>
      <w:r w:rsidR="00B918E4" w:rsidRPr="002A7CC6">
        <w:t xml:space="preserve">“other therapies” (in addition to </w:t>
      </w:r>
      <w:r w:rsidR="00507001" w:rsidRPr="002A7CC6">
        <w:t xml:space="preserve">assuming </w:t>
      </w:r>
      <w:r w:rsidR="00B918E4" w:rsidRPr="002A7CC6">
        <w:t xml:space="preserve">uptake from </w:t>
      </w:r>
      <w:r w:rsidRPr="002A7CC6">
        <w:t>blinatumomab</w:t>
      </w:r>
      <w:r w:rsidR="00B918E4" w:rsidRPr="002A7CC6">
        <w:t>)</w:t>
      </w:r>
      <w:r w:rsidR="005F00F6">
        <w:t xml:space="preserve"> in first salvage</w:t>
      </w:r>
      <w:r w:rsidR="006B792C" w:rsidRPr="002A7CC6">
        <w:t>,</w:t>
      </w:r>
      <w:r w:rsidRPr="002A7CC6">
        <w:t xml:space="preserve"> as </w:t>
      </w:r>
      <w:r w:rsidR="00B918E4" w:rsidRPr="002A7CC6">
        <w:t>a small proportion of patients were assumed to</w:t>
      </w:r>
      <w:r w:rsidRPr="002A7CC6">
        <w:t xml:space="preserve"> be unsuitable or ineligible for blinatumomab. However, </w:t>
      </w:r>
      <w:r w:rsidR="00822A16" w:rsidRPr="002A7CC6">
        <w:t xml:space="preserve">the evaluation considered that </w:t>
      </w:r>
      <w:r w:rsidRPr="002A7CC6">
        <w:t>it was unclear which group/s of patients would be ineligible for blinatumomab but eligible for inotuzumab.</w:t>
      </w:r>
      <w:r w:rsidR="00E54F7D" w:rsidRPr="002A7CC6">
        <w:t xml:space="preserve"> Th</w:t>
      </w:r>
      <w:r w:rsidR="00822A16" w:rsidRPr="002A7CC6">
        <w:t xml:space="preserve">e ESC considered that the </w:t>
      </w:r>
      <w:r w:rsidR="00163E36" w:rsidRPr="002A7CC6">
        <w:t xml:space="preserve">most likely </w:t>
      </w:r>
      <w:r w:rsidR="00822A16" w:rsidRPr="002A7CC6">
        <w:t xml:space="preserve">group would be those </w:t>
      </w:r>
      <w:r w:rsidR="00E54F7D" w:rsidRPr="002A7CC6">
        <w:t>with CNS disease</w:t>
      </w:r>
      <w:r w:rsidR="00822A16" w:rsidRPr="002A7CC6">
        <w:t xml:space="preserve"> as</w:t>
      </w:r>
      <w:r w:rsidR="00A13600" w:rsidRPr="002A7CC6">
        <w:t xml:space="preserve"> this is not a contraindication for </w:t>
      </w:r>
      <w:r w:rsidR="00822A16" w:rsidRPr="002A7CC6">
        <w:t>inotuzumab. However, the ESC</w:t>
      </w:r>
      <w:r w:rsidR="00707DF3">
        <w:t xml:space="preserve"> and PBAC</w:t>
      </w:r>
      <w:r w:rsidR="00822A16" w:rsidRPr="002A7CC6">
        <w:t xml:space="preserve"> considered that this would only represent a very small number of patients</w:t>
      </w:r>
      <w:r w:rsidR="00D518CA" w:rsidRPr="002A7CC6">
        <w:t>, if any,</w:t>
      </w:r>
      <w:r w:rsidR="00822A16" w:rsidRPr="002A7CC6">
        <w:t xml:space="preserve"> as </w:t>
      </w:r>
      <w:r w:rsidR="00D518CA" w:rsidRPr="002A7CC6">
        <w:t>other therapies would be preferred</w:t>
      </w:r>
      <w:r w:rsidR="00E54F7D" w:rsidRPr="002A7CC6">
        <w:t xml:space="preserve"> for patients</w:t>
      </w:r>
      <w:r w:rsidR="00822A16" w:rsidRPr="002A7CC6">
        <w:t xml:space="preserve"> with CNS disease. </w:t>
      </w:r>
      <w:r w:rsidR="00DA0132" w:rsidRPr="002A7CC6">
        <w:t xml:space="preserve">As such, the </w:t>
      </w:r>
      <w:r w:rsidR="00110A4C">
        <w:t xml:space="preserve">PBAC </w:t>
      </w:r>
      <w:r w:rsidR="00DA0132" w:rsidRPr="002A7CC6">
        <w:t>considered that</w:t>
      </w:r>
      <w:r w:rsidR="00110A4C">
        <w:t xml:space="preserve"> </w:t>
      </w:r>
      <w:r w:rsidR="00110A4C" w:rsidRPr="002A7CC6">
        <w:t>uptake from “other therapies”</w:t>
      </w:r>
      <w:r w:rsidR="00110A4C">
        <w:t xml:space="preserve"> was likely</w:t>
      </w:r>
      <w:r w:rsidR="005F00F6">
        <w:t xml:space="preserve"> </w:t>
      </w:r>
      <w:r w:rsidR="00AD198A">
        <w:t xml:space="preserve">to be &lt;10% </w:t>
      </w:r>
      <w:r w:rsidR="005F00F6">
        <w:t>in first salvage</w:t>
      </w:r>
      <w:r w:rsidR="00110A4C">
        <w:t>.</w:t>
      </w:r>
    </w:p>
    <w:p w:rsidR="00110A4C" w:rsidRPr="002A7CC6" w:rsidRDefault="007E26D3" w:rsidP="00110A4C">
      <w:pPr>
        <w:pStyle w:val="ListParagraph"/>
        <w:widowControl/>
        <w:numPr>
          <w:ilvl w:val="1"/>
          <w:numId w:val="1"/>
        </w:numPr>
      </w:pPr>
      <w:r>
        <w:t>The evaluation considered that i</w:t>
      </w:r>
      <w:r w:rsidRPr="007E26D3">
        <w:t xml:space="preserve">t was unclear whether the claimed cost offsets associated with substitution of inotuzumab for blinatumomab would be realised in practice, given patients may use both blinatumomab and inotuzumab in different lines of treatment (i.e. sequential use in patients who do not undergo HSCT). </w:t>
      </w:r>
      <w:r w:rsidR="00110A4C">
        <w:t xml:space="preserve">The PBAC </w:t>
      </w:r>
      <w:r w:rsidR="008514F5">
        <w:t>agreed</w:t>
      </w:r>
      <w:r w:rsidR="00110A4C">
        <w:t xml:space="preserve"> that, with sequential use permitted, listing inotuzumab </w:t>
      </w:r>
      <w:r w:rsidR="00E93A5F">
        <w:t xml:space="preserve">would be associated with additional costs to the PBS/RPBS. </w:t>
      </w:r>
    </w:p>
    <w:p w:rsidR="00352A76" w:rsidRPr="00352A76" w:rsidRDefault="00E85781" w:rsidP="00352A76">
      <w:pPr>
        <w:pStyle w:val="ListParagraph"/>
        <w:widowControl/>
        <w:numPr>
          <w:ilvl w:val="1"/>
          <w:numId w:val="1"/>
        </w:numPr>
        <w:rPr>
          <w:rFonts w:ascii="Arial Narrow" w:hAnsi="Arial Narrow"/>
          <w:sz w:val="20"/>
          <w:szCs w:val="20"/>
        </w:rPr>
      </w:pPr>
      <w:r w:rsidRPr="002A7CC6">
        <w:t xml:space="preserve">The </w:t>
      </w:r>
      <w:r>
        <w:t xml:space="preserve">PBAC </w:t>
      </w:r>
      <w:r w:rsidRPr="002A7CC6">
        <w:t xml:space="preserve">noted that </w:t>
      </w:r>
      <w:r w:rsidR="00352A76">
        <w:t xml:space="preserve">sequential use would occur in: patients who relapse following a HSCT; or in </w:t>
      </w:r>
      <w:r w:rsidR="00352A76" w:rsidRPr="00352A76">
        <w:t>patients who do not proceed to HSCT after first salvage</w:t>
      </w:r>
      <w:r w:rsidR="00352A76">
        <w:t xml:space="preserve">. In estimating the increase in </w:t>
      </w:r>
      <w:r w:rsidR="00352A76" w:rsidRPr="00352A76">
        <w:t xml:space="preserve">treatment courses </w:t>
      </w:r>
      <w:r w:rsidR="00352A76">
        <w:t>that would occur with sequential use permitted, the PBAC noted the following data:</w:t>
      </w:r>
    </w:p>
    <w:p w:rsidR="00352A76" w:rsidRPr="00352A76" w:rsidRDefault="00352A76" w:rsidP="00352A76">
      <w:pPr>
        <w:pStyle w:val="ListParagraph"/>
        <w:widowControl/>
        <w:numPr>
          <w:ilvl w:val="0"/>
          <w:numId w:val="26"/>
        </w:numPr>
        <w:rPr>
          <w:rFonts w:ascii="Arial Narrow" w:hAnsi="Arial Narrow"/>
          <w:sz w:val="20"/>
          <w:szCs w:val="20"/>
        </w:rPr>
      </w:pPr>
      <w:r>
        <w:t>24</w:t>
      </w:r>
      <w:r w:rsidR="00E85781" w:rsidRPr="002A7CC6">
        <w:t>% of patients in the blinatumomab arm of the TOWER trial</w:t>
      </w:r>
      <w:r w:rsidR="00E85781">
        <w:t>,</w:t>
      </w:r>
      <w:r w:rsidR="00E85781" w:rsidRPr="002A7CC6">
        <w:t xml:space="preserve"> </w:t>
      </w:r>
      <w:r w:rsidR="00E85781">
        <w:t>and 51</w:t>
      </w:r>
      <w:r w:rsidR="00B01585">
        <w:t>.5</w:t>
      </w:r>
      <w:r w:rsidR="00E85781">
        <w:t xml:space="preserve">% of patients in the inotuzumab arm of the INO-VATE ALL trial </w:t>
      </w:r>
      <w:r w:rsidR="00B01585">
        <w:t xml:space="preserve">(MAIC analysis) </w:t>
      </w:r>
      <w:r w:rsidR="00E85781">
        <w:t>received a HSCT</w:t>
      </w:r>
      <w:r>
        <w:t xml:space="preserve">, with the HSCT rate in the PBS population </w:t>
      </w:r>
      <w:r w:rsidR="00B01585">
        <w:t>likely to be</w:t>
      </w:r>
      <w:r>
        <w:t xml:space="preserve"> somewhere between these two figures </w:t>
      </w:r>
      <w:r w:rsidR="00B01585">
        <w:t xml:space="preserve">noting the midpoint is 38%. </w:t>
      </w:r>
      <w:r>
        <w:t>(</w:t>
      </w:r>
      <w:r w:rsidR="00B01585">
        <w:t>A</w:t>
      </w:r>
      <w:r>
        <w:t xml:space="preserve">s outlined above, the PBAC </w:t>
      </w:r>
      <w:r w:rsidRPr="00352A76">
        <w:t>considered that the comparison of HSCT rates between the two trials was difficult to interpret given the differences between the patient populations</w:t>
      </w:r>
      <w:r w:rsidR="00B01585">
        <w:t>. Thus any weighting of the two HSCT rates between the trials would be unreliable</w:t>
      </w:r>
      <w:r w:rsidR="006D2274">
        <w:t xml:space="preserve">. </w:t>
      </w:r>
      <w:r w:rsidR="006A781F">
        <w:t>Further, i</w:t>
      </w:r>
      <w:r w:rsidR="006D2274">
        <w:t>t would be improbable for inotuzumab patients to constitute more than half this population</w:t>
      </w:r>
      <w:r w:rsidR="006A781F">
        <w:t>.</w:t>
      </w:r>
      <w:r>
        <w:t>)</w:t>
      </w:r>
      <w:r w:rsidR="00E85781">
        <w:t xml:space="preserve"> The PBAC </w:t>
      </w:r>
      <w:r w:rsidR="00B01585">
        <w:t xml:space="preserve">estimated that around 40% of patients who receive a HSCT </w:t>
      </w:r>
      <w:r w:rsidR="00E85781">
        <w:lastRenderedPageBreak/>
        <w:t>would relapse and be suitable for a second salvage</w:t>
      </w:r>
      <w:r w:rsidR="00B01585">
        <w:t xml:space="preserve"> (with this estimate </w:t>
      </w:r>
      <w:r w:rsidR="00E85781">
        <w:t xml:space="preserve">based on its clinical expertise). </w:t>
      </w:r>
      <w:r w:rsidR="001D2602">
        <w:t xml:space="preserve">Thus, around 15% of </w:t>
      </w:r>
      <w:r w:rsidR="006A781F">
        <w:t xml:space="preserve">total </w:t>
      </w:r>
      <w:r w:rsidR="001D2602">
        <w:t>patients would relapse following a HSCT and be suitable for second salvage.</w:t>
      </w:r>
    </w:p>
    <w:p w:rsidR="001D2602" w:rsidRPr="001D2602" w:rsidRDefault="001D2602" w:rsidP="001D2602">
      <w:pPr>
        <w:pStyle w:val="ListParagraph"/>
        <w:widowControl/>
        <w:numPr>
          <w:ilvl w:val="0"/>
          <w:numId w:val="26"/>
        </w:numPr>
        <w:rPr>
          <w:rFonts w:ascii="Arial Narrow" w:hAnsi="Arial Narrow"/>
          <w:sz w:val="20"/>
          <w:szCs w:val="20"/>
        </w:rPr>
      </w:pPr>
      <w:r>
        <w:t xml:space="preserve">Based on the above, around 62% of PBS patients would not proceed to HSCT (i.e. because 38% of patients do proceed to HSCT). The PBAC estimated that around 50% to 60% of these patients </w:t>
      </w:r>
      <w:r w:rsidR="00E85781">
        <w:t>would proceed to second salvage</w:t>
      </w:r>
      <w:r w:rsidR="000267F6">
        <w:t xml:space="preserve"> (</w:t>
      </w:r>
      <w:r w:rsidRPr="001D2602">
        <w:t>with this estimate based on its clinical expertise).</w:t>
      </w:r>
      <w:r w:rsidR="000267F6">
        <w:t xml:space="preserve"> </w:t>
      </w:r>
      <w:r>
        <w:t>Thus, around 35% of</w:t>
      </w:r>
      <w:r w:rsidR="006D2274">
        <w:t xml:space="preserve"> total</w:t>
      </w:r>
      <w:r>
        <w:t xml:space="preserve"> patients would </w:t>
      </w:r>
      <w:r w:rsidR="006A781F">
        <w:t xml:space="preserve">not receive a HSCT </w:t>
      </w:r>
      <w:r>
        <w:t>and be suitable for second salvage.</w:t>
      </w:r>
    </w:p>
    <w:p w:rsidR="00E93A5F" w:rsidRPr="000267F6" w:rsidRDefault="00E85781" w:rsidP="001D2602">
      <w:pPr>
        <w:pStyle w:val="ListParagraph"/>
        <w:widowControl/>
        <w:numPr>
          <w:ilvl w:val="0"/>
          <w:numId w:val="26"/>
        </w:numPr>
        <w:rPr>
          <w:rFonts w:ascii="Arial Narrow" w:hAnsi="Arial Narrow"/>
          <w:sz w:val="20"/>
          <w:szCs w:val="20"/>
        </w:rPr>
      </w:pPr>
      <w:r>
        <w:t xml:space="preserve">Overall, the PBAC considered that </w:t>
      </w:r>
      <w:r w:rsidR="006A781F">
        <w:t xml:space="preserve">no more than 50% of patients would require sequential use of blinatumomab or inotuzumab (i.e. </w:t>
      </w:r>
      <w:r>
        <w:t xml:space="preserve">the number of courses </w:t>
      </w:r>
      <w:r w:rsidR="00EA138C">
        <w:t xml:space="preserve">of treatment </w:t>
      </w:r>
      <w:r>
        <w:t xml:space="preserve">with blinatumomab or inotuzumab would increase by </w:t>
      </w:r>
      <w:r w:rsidR="00B01585">
        <w:t>no more than</w:t>
      </w:r>
      <w:r>
        <w:t xml:space="preserve"> 50% with sequential use permitted</w:t>
      </w:r>
      <w:r w:rsidR="006A781F">
        <w:t>)</w:t>
      </w:r>
      <w:r>
        <w:t xml:space="preserve">. </w:t>
      </w:r>
    </w:p>
    <w:p w:rsidR="008514F5" w:rsidRDefault="00630101" w:rsidP="00D45742">
      <w:pPr>
        <w:pStyle w:val="ListParagraph"/>
        <w:widowControl/>
        <w:numPr>
          <w:ilvl w:val="1"/>
          <w:numId w:val="1"/>
        </w:numPr>
      </w:pPr>
      <w:r>
        <w:t>G</w:t>
      </w:r>
      <w:r w:rsidR="00AD198A">
        <w:t xml:space="preserve">iven it had recommended an amendment to the </w:t>
      </w:r>
      <w:r>
        <w:t xml:space="preserve">blinatumomab </w:t>
      </w:r>
      <w:r w:rsidR="00AD198A">
        <w:t xml:space="preserve">restriction to allow use in first- and second- salvage only, </w:t>
      </w:r>
      <w:r>
        <w:t xml:space="preserve">the PBAC considered that </w:t>
      </w:r>
      <w:r w:rsidR="008514F5">
        <w:t>there may be a small decrease in the number of patients treated with blinatumomab</w:t>
      </w:r>
      <w:r w:rsidR="00AD198A">
        <w:t xml:space="preserve"> (even if inotuzumab was not available)</w:t>
      </w:r>
      <w:r w:rsidR="008514F5">
        <w:t xml:space="preserve">. The PBAC considered that the impact would be minor given most incident patients would be treated </w:t>
      </w:r>
      <w:r w:rsidR="00AD198A">
        <w:t xml:space="preserve">now </w:t>
      </w:r>
      <w:r w:rsidR="008514F5">
        <w:t xml:space="preserve">with blinatumomab (or inotuzumab) in first- or second- salvage and most prevalent patients in later salvage would have already been treated with blinatumomab. </w:t>
      </w:r>
      <w:r w:rsidR="00EA138C">
        <w:t>Further, t</w:t>
      </w:r>
      <w:r w:rsidR="00E4530A">
        <w:t xml:space="preserve">he PBAC considered that any </w:t>
      </w:r>
      <w:r w:rsidR="00EA138C">
        <w:t xml:space="preserve">decrease in patient numbers as a result of this amendment would </w:t>
      </w:r>
      <w:r w:rsidR="00D45742">
        <w:t xml:space="preserve">likely </w:t>
      </w:r>
      <w:r w:rsidR="00EA138C">
        <w:t xml:space="preserve">be offset by </w:t>
      </w:r>
      <w:r w:rsidR="00D45742">
        <w:t xml:space="preserve">the amendment to the blinatumomab restriction to </w:t>
      </w:r>
      <w:r w:rsidR="00D45742" w:rsidRPr="00D45742">
        <w:t>allow use in patients with an ECOG status of 2</w:t>
      </w:r>
      <w:r w:rsidR="00D45742">
        <w:t>.</w:t>
      </w:r>
    </w:p>
    <w:p w:rsidR="001B4FA6" w:rsidRPr="002A7CC6" w:rsidRDefault="001B4FA6" w:rsidP="00007D60">
      <w:pPr>
        <w:pStyle w:val="ListParagraph"/>
        <w:widowControl/>
        <w:numPr>
          <w:ilvl w:val="1"/>
          <w:numId w:val="1"/>
        </w:numPr>
      </w:pPr>
      <w:r w:rsidRPr="002A7CC6">
        <w:t xml:space="preserve">The </w:t>
      </w:r>
      <w:r w:rsidR="00110A4C">
        <w:t xml:space="preserve">evaluation considered that the </w:t>
      </w:r>
      <w:r w:rsidRPr="002A7CC6">
        <w:t>estimated financial implications to the PBS of listing inotuzumab are highly uncertain for the following reasons:</w:t>
      </w:r>
    </w:p>
    <w:p w:rsidR="00914F01" w:rsidRPr="002A7CC6" w:rsidRDefault="0072591D" w:rsidP="00007D60">
      <w:pPr>
        <w:pStyle w:val="ListParagraph"/>
        <w:widowControl/>
        <w:numPr>
          <w:ilvl w:val="0"/>
          <w:numId w:val="5"/>
        </w:numPr>
        <w:spacing w:after="0"/>
        <w:ind w:left="1134" w:hanging="357"/>
      </w:pPr>
      <w:r w:rsidRPr="002A7CC6">
        <w:t>The eligible population only included patients with relapsed/refractory disease following first line therapy. Prevalent patients experiencing subsequent episodes of salvage therapy were excluded, underestimating the cost of inotuzumab to the PBS. Further, th</w:t>
      </w:r>
      <w:r w:rsidR="00914F01" w:rsidRPr="002A7CC6">
        <w:t xml:space="preserve">e </w:t>
      </w:r>
      <w:r w:rsidR="00012EEF" w:rsidRPr="002A7CC6">
        <w:t xml:space="preserve">ESC noted that the </w:t>
      </w:r>
      <w:r w:rsidR="00914F01" w:rsidRPr="002A7CC6">
        <w:t xml:space="preserve">estimates did not include the potential for use </w:t>
      </w:r>
      <w:r w:rsidR="00012EEF" w:rsidRPr="002A7CC6">
        <w:t xml:space="preserve">in patients who relapse </w:t>
      </w:r>
      <w:r w:rsidR="00914F01" w:rsidRPr="002A7CC6">
        <w:t>post-</w:t>
      </w:r>
      <w:r w:rsidR="00012EEF" w:rsidRPr="002A7CC6">
        <w:t>HSCT.</w:t>
      </w:r>
      <w:r w:rsidR="007E26D3">
        <w:t xml:space="preserve"> </w:t>
      </w:r>
      <w:r w:rsidR="00E4530A">
        <w:t xml:space="preserve">The PBAC noted that </w:t>
      </w:r>
      <w:r w:rsidR="00600B74">
        <w:t xml:space="preserve">its estimation of </w:t>
      </w:r>
      <w:r w:rsidR="00E4530A">
        <w:t>the increased number of treatment courses with sequential use would address some of these issues.</w:t>
      </w:r>
    </w:p>
    <w:p w:rsidR="001B4FA6" w:rsidRPr="002A7CC6" w:rsidRDefault="001B4FA6" w:rsidP="00074C37">
      <w:pPr>
        <w:pStyle w:val="ListParagraph"/>
        <w:widowControl/>
        <w:numPr>
          <w:ilvl w:val="0"/>
          <w:numId w:val="5"/>
        </w:numPr>
        <w:spacing w:after="120"/>
        <w:ind w:left="1134" w:hanging="357"/>
      </w:pPr>
      <w:r w:rsidRPr="002A7CC6">
        <w:t>The estimated uptake of inotuzumab and substitution of blinatumomab was assumed</w:t>
      </w:r>
      <w:r w:rsidR="001777C7" w:rsidRPr="002A7CC6">
        <w:t xml:space="preserve"> based on </w:t>
      </w:r>
      <w:r w:rsidR="00262EB0" w:rsidRPr="002A7CC6">
        <w:t>expert advice commissioned by the sponsor</w:t>
      </w:r>
      <w:r w:rsidRPr="002A7CC6">
        <w:t xml:space="preserve"> and is uncertain. </w:t>
      </w:r>
    </w:p>
    <w:p w:rsidR="00074C37" w:rsidRDefault="00074C37" w:rsidP="00074C37">
      <w:pPr>
        <w:pStyle w:val="ListParagraph"/>
        <w:widowControl/>
        <w:numPr>
          <w:ilvl w:val="1"/>
          <w:numId w:val="1"/>
        </w:numPr>
      </w:pPr>
      <w:r>
        <w:t xml:space="preserve">The evaluation and the PBAC considered that the following issues should be </w:t>
      </w:r>
      <w:r w:rsidR="00110A4C">
        <w:t>addressed:</w:t>
      </w:r>
    </w:p>
    <w:p w:rsidR="006E7DCE" w:rsidRPr="002A7CC6" w:rsidRDefault="006E7DCE" w:rsidP="00007D60">
      <w:pPr>
        <w:pStyle w:val="ListParagraph"/>
        <w:widowControl/>
        <w:numPr>
          <w:ilvl w:val="0"/>
          <w:numId w:val="5"/>
        </w:numPr>
        <w:spacing w:after="0"/>
        <w:ind w:left="1134" w:hanging="357"/>
      </w:pPr>
      <w:r w:rsidRPr="002A7CC6">
        <w:t>The estimated number of blinatumomab scripts likely to be substituted by inotuzumab was overestimated due to rounding up of weighted individual blinatumomab PBS item script numbers.</w:t>
      </w:r>
    </w:p>
    <w:p w:rsidR="006E7DCE" w:rsidRPr="002A7CC6" w:rsidRDefault="006E7DCE" w:rsidP="00007D60">
      <w:pPr>
        <w:pStyle w:val="ListParagraph"/>
        <w:widowControl/>
        <w:numPr>
          <w:ilvl w:val="0"/>
          <w:numId w:val="5"/>
        </w:numPr>
        <w:spacing w:after="0"/>
        <w:ind w:left="1134" w:hanging="357"/>
      </w:pPr>
      <w:r w:rsidRPr="002A7CC6">
        <w:lastRenderedPageBreak/>
        <w:t>The use of different approaches to estimate the costs of inotuzumab (averaged) and blinatumomab (disaggregated/re-aggregated), and the rounding up of blinatumomab use for each course of treatment to two full cycles was not justified, and resulted in overestimating the costs of blinatumomab.</w:t>
      </w:r>
    </w:p>
    <w:p w:rsidR="006E7DCE" w:rsidRPr="002A7CC6" w:rsidRDefault="006E7DCE" w:rsidP="00007D60">
      <w:pPr>
        <w:pStyle w:val="ListParagraph"/>
        <w:widowControl/>
        <w:numPr>
          <w:ilvl w:val="0"/>
          <w:numId w:val="5"/>
        </w:numPr>
        <w:spacing w:after="120"/>
        <w:ind w:left="1134" w:hanging="357"/>
      </w:pPr>
      <w:r w:rsidRPr="002A7CC6">
        <w:t xml:space="preserve">The different approaches used to estimate patient copayments for inotuzumab and blinatumomab were not justified. A single mean patient co-payment was deducted from the gross annual cost of inotuzumab over three cycles of treatment. Blinatumomab copayments were aggregated by PBS item. </w:t>
      </w:r>
    </w:p>
    <w:p w:rsidR="00576972" w:rsidRPr="002A7CC6" w:rsidRDefault="00576972" w:rsidP="00F96F7D">
      <w:pPr>
        <w:pStyle w:val="Heading2"/>
      </w:pPr>
      <w:bookmarkStart w:id="22" w:name="_Toc524520441"/>
      <w:r w:rsidRPr="002A7CC6">
        <w:t>Quality Use of Medicines</w:t>
      </w:r>
      <w:bookmarkEnd w:id="22"/>
    </w:p>
    <w:p w:rsidR="008D1B95" w:rsidRPr="002A7CC6" w:rsidRDefault="008D1B95" w:rsidP="00007D60">
      <w:pPr>
        <w:pStyle w:val="ListParagraph"/>
        <w:widowControl/>
        <w:numPr>
          <w:ilvl w:val="1"/>
          <w:numId w:val="1"/>
        </w:numPr>
      </w:pPr>
      <w:r w:rsidRPr="002A7CC6">
        <w:t xml:space="preserve">The submission noted that education material would be available for clinicians and patients in the form of Product Information and Consumer Medicines Information documents, further undefined educational programs for haematologists and nurses, a review paper of VOD risk assessment, diagnosis and management by a local expert haematologist, and published clinical guidelines (e.g. Australian </w:t>
      </w:r>
      <w:proofErr w:type="spellStart"/>
      <w:r w:rsidRPr="002A7CC6">
        <w:t>EviQ</w:t>
      </w:r>
      <w:proofErr w:type="spellEnd"/>
      <w:r w:rsidRPr="002A7CC6">
        <w:t xml:space="preserve"> Guidelines).</w:t>
      </w:r>
    </w:p>
    <w:p w:rsidR="00576972" w:rsidRPr="002A7CC6" w:rsidRDefault="00576972" w:rsidP="00F96F7D">
      <w:pPr>
        <w:pStyle w:val="Heading2"/>
      </w:pPr>
      <w:bookmarkStart w:id="23" w:name="_Toc524520442"/>
      <w:bookmarkStart w:id="24" w:name="_GoBack"/>
      <w:bookmarkEnd w:id="24"/>
      <w:r w:rsidRPr="002A7CC6">
        <w:t>Financial Management – Risk Sharing Arrangements</w:t>
      </w:r>
      <w:bookmarkEnd w:id="23"/>
    </w:p>
    <w:p w:rsidR="008D1B95" w:rsidRDefault="008D1B95" w:rsidP="00007D60">
      <w:pPr>
        <w:pStyle w:val="ListParagraph"/>
        <w:widowControl/>
        <w:numPr>
          <w:ilvl w:val="1"/>
          <w:numId w:val="1"/>
        </w:numPr>
      </w:pPr>
      <w:r w:rsidRPr="002A7CC6">
        <w:t xml:space="preserve">The submission noted that blinatumomab is subject to a special pricing arrangement and may also be subject to an expenditure capped risk-sharing arrangement. The submission suggested that a special pricing arrangement and risk-sharing arrangement would be </w:t>
      </w:r>
      <w:r w:rsidR="00B47B37" w:rsidRPr="002A7CC6">
        <w:t xml:space="preserve">required </w:t>
      </w:r>
      <w:r w:rsidRPr="002A7CC6">
        <w:t xml:space="preserve">for inotuzumab. The sponsor </w:t>
      </w:r>
      <w:r w:rsidR="00914F01" w:rsidRPr="002A7CC6">
        <w:t xml:space="preserve">stated that it </w:t>
      </w:r>
      <w:r w:rsidRPr="002A7CC6">
        <w:t>is willing to work with the Department of Health to finalise the details of suitable arrangements.</w:t>
      </w:r>
    </w:p>
    <w:p w:rsidR="005569B2" w:rsidRPr="005569B2" w:rsidRDefault="005569B2" w:rsidP="005569B2">
      <w:pPr>
        <w:pStyle w:val="ListParagraph"/>
        <w:widowControl/>
        <w:rPr>
          <w:i/>
        </w:rPr>
      </w:pPr>
      <w:r w:rsidRPr="005569B2">
        <w:rPr>
          <w:i/>
        </w:rPr>
        <w:t>For more detail on PBAC’s view, see section 7 PBAC outcome.</w:t>
      </w:r>
    </w:p>
    <w:p w:rsidR="00B57094" w:rsidRPr="00DC2132" w:rsidRDefault="00B57094" w:rsidP="00DC2132">
      <w:pPr>
        <w:pStyle w:val="Heading1"/>
      </w:pPr>
      <w:r w:rsidRPr="00DC2132">
        <w:t>PBAC Outcome</w:t>
      </w:r>
    </w:p>
    <w:p w:rsidR="00B57094" w:rsidRPr="00B57094" w:rsidRDefault="00B57094" w:rsidP="003B13D7">
      <w:pPr>
        <w:widowControl/>
        <w:numPr>
          <w:ilvl w:val="1"/>
          <w:numId w:val="1"/>
        </w:numPr>
        <w:spacing w:after="120"/>
        <w:rPr>
          <w:rFonts w:asciiTheme="minorHAnsi" w:hAnsiTheme="minorHAnsi"/>
          <w:bCs/>
          <w:lang w:val="en-GB"/>
        </w:rPr>
      </w:pPr>
      <w:r w:rsidRPr="00572794">
        <w:rPr>
          <w:rFonts w:asciiTheme="minorHAnsi" w:hAnsiTheme="minorHAnsi"/>
          <w:bCs/>
          <w:lang w:val="en-GB"/>
        </w:rPr>
        <w:t xml:space="preserve">The PBAC recommended the </w:t>
      </w:r>
      <w:r w:rsidR="00572794" w:rsidRPr="00572794">
        <w:rPr>
          <w:rFonts w:asciiTheme="minorHAnsi" w:hAnsiTheme="minorHAnsi"/>
          <w:bCs/>
          <w:lang w:val="en-GB"/>
        </w:rPr>
        <w:t xml:space="preserve">Authority </w:t>
      </w:r>
      <w:proofErr w:type="gramStart"/>
      <w:r w:rsidR="00572794" w:rsidRPr="00572794">
        <w:rPr>
          <w:rFonts w:asciiTheme="minorHAnsi" w:hAnsiTheme="minorHAnsi"/>
          <w:bCs/>
          <w:lang w:val="en-GB"/>
        </w:rPr>
        <w:t>Required</w:t>
      </w:r>
      <w:proofErr w:type="gramEnd"/>
      <w:r w:rsidR="00572794" w:rsidRPr="00572794">
        <w:rPr>
          <w:rFonts w:asciiTheme="minorHAnsi" w:hAnsiTheme="minorHAnsi"/>
          <w:bCs/>
          <w:lang w:val="en-GB"/>
        </w:rPr>
        <w:t xml:space="preserve"> </w:t>
      </w:r>
      <w:r w:rsidRPr="00572794">
        <w:rPr>
          <w:rFonts w:asciiTheme="minorHAnsi" w:hAnsiTheme="minorHAnsi"/>
          <w:bCs/>
          <w:lang w:val="en-GB"/>
        </w:rPr>
        <w:t xml:space="preserve">listing of </w:t>
      </w:r>
      <w:r w:rsidR="00572794" w:rsidRPr="00572794">
        <w:rPr>
          <w:rFonts w:asciiTheme="minorHAnsi" w:hAnsiTheme="minorHAnsi"/>
          <w:bCs/>
          <w:lang w:val="en-GB"/>
        </w:rPr>
        <w:t xml:space="preserve">inotuzumab for the treatment of relapsed or refractory </w:t>
      </w:r>
      <w:proofErr w:type="spellStart"/>
      <w:r w:rsidR="00572794" w:rsidRPr="00572794">
        <w:rPr>
          <w:rFonts w:asciiTheme="minorHAnsi" w:hAnsiTheme="minorHAnsi"/>
          <w:bCs/>
          <w:lang w:val="en-GB"/>
        </w:rPr>
        <w:t>Ph</w:t>
      </w:r>
      <w:proofErr w:type="spellEnd"/>
      <w:r w:rsidR="00572794" w:rsidRPr="00572794">
        <w:rPr>
          <w:rFonts w:asciiTheme="minorHAnsi" w:hAnsiTheme="minorHAnsi"/>
          <w:bCs/>
          <w:lang w:val="en-GB"/>
        </w:rPr>
        <w:t>- B-precursor acute lymphocytic leukaemia (ALL)</w:t>
      </w:r>
      <w:r w:rsidRPr="00572794">
        <w:rPr>
          <w:rFonts w:asciiTheme="minorHAnsi" w:hAnsiTheme="minorHAnsi"/>
          <w:bCs/>
          <w:lang w:val="en-GB"/>
        </w:rPr>
        <w:t xml:space="preserve">, on the basis that it should be available only under special arrangements under Section 100 </w:t>
      </w:r>
      <w:r w:rsidR="00572794">
        <w:rPr>
          <w:rFonts w:asciiTheme="minorHAnsi" w:hAnsiTheme="minorHAnsi"/>
          <w:bCs/>
          <w:lang w:val="en-GB"/>
        </w:rPr>
        <w:t>(</w:t>
      </w:r>
      <w:r w:rsidR="00572794" w:rsidRPr="00572794">
        <w:rPr>
          <w:rFonts w:asciiTheme="minorHAnsi" w:hAnsiTheme="minorHAnsi"/>
          <w:bCs/>
          <w:lang w:val="en-GB"/>
        </w:rPr>
        <w:t>Efficient Funding of Chemotherapy</w:t>
      </w:r>
      <w:r w:rsidR="00572794">
        <w:rPr>
          <w:rFonts w:asciiTheme="minorHAnsi" w:hAnsiTheme="minorHAnsi"/>
          <w:bCs/>
          <w:lang w:val="en-GB"/>
        </w:rPr>
        <w:t>)</w:t>
      </w:r>
      <w:r w:rsidRPr="00572794">
        <w:rPr>
          <w:rFonts w:asciiTheme="minorHAnsi" w:hAnsiTheme="minorHAnsi"/>
          <w:bCs/>
          <w:lang w:val="en-GB"/>
        </w:rPr>
        <w:t xml:space="preserve">. The PBAC recommended the </w:t>
      </w:r>
      <w:r w:rsidR="00572794">
        <w:rPr>
          <w:rFonts w:asciiTheme="minorHAnsi" w:hAnsiTheme="minorHAnsi"/>
          <w:bCs/>
          <w:lang w:val="en-GB"/>
        </w:rPr>
        <w:t xml:space="preserve">listing on a cost-minimisation basis against blinatumomab.  </w:t>
      </w:r>
    </w:p>
    <w:p w:rsidR="00B27B42" w:rsidRDefault="00B27B42" w:rsidP="001F3106">
      <w:pPr>
        <w:widowControl/>
        <w:numPr>
          <w:ilvl w:val="1"/>
          <w:numId w:val="1"/>
        </w:numPr>
        <w:spacing w:after="120"/>
        <w:rPr>
          <w:rFonts w:asciiTheme="minorHAnsi" w:hAnsiTheme="minorHAnsi"/>
          <w:bCs/>
          <w:lang w:val="en-GB"/>
        </w:rPr>
      </w:pPr>
      <w:r w:rsidRPr="002511D9">
        <w:rPr>
          <w:rFonts w:asciiTheme="minorHAnsi" w:hAnsiTheme="minorHAnsi"/>
          <w:bCs/>
          <w:lang w:val="en-GB"/>
        </w:rPr>
        <w:t xml:space="preserve">The PBAC considered that </w:t>
      </w:r>
      <w:r w:rsidRPr="001F3106">
        <w:rPr>
          <w:rFonts w:asciiTheme="minorHAnsi" w:hAnsiTheme="minorHAnsi"/>
          <w:bCs/>
          <w:lang w:val="en-GB"/>
        </w:rPr>
        <w:t xml:space="preserve">sequential use of inotuzumab and blinatumomab </w:t>
      </w:r>
      <w:r w:rsidR="00630101">
        <w:rPr>
          <w:rFonts w:asciiTheme="minorHAnsi" w:hAnsiTheme="minorHAnsi"/>
          <w:bCs/>
          <w:lang w:val="en-GB"/>
        </w:rPr>
        <w:t xml:space="preserve">(in either order) </w:t>
      </w:r>
      <w:r w:rsidRPr="001F3106">
        <w:rPr>
          <w:rFonts w:asciiTheme="minorHAnsi" w:hAnsiTheme="minorHAnsi"/>
          <w:bCs/>
          <w:lang w:val="en-GB"/>
        </w:rPr>
        <w:t xml:space="preserve">would be clinically appropriate </w:t>
      </w:r>
      <w:r w:rsidR="00630101">
        <w:rPr>
          <w:rFonts w:asciiTheme="minorHAnsi" w:hAnsiTheme="minorHAnsi"/>
          <w:bCs/>
          <w:lang w:val="en-GB"/>
        </w:rPr>
        <w:t xml:space="preserve">in some patients </w:t>
      </w:r>
      <w:r w:rsidRPr="001F3106">
        <w:rPr>
          <w:rFonts w:asciiTheme="minorHAnsi" w:hAnsiTheme="minorHAnsi"/>
          <w:bCs/>
          <w:lang w:val="en-GB"/>
        </w:rPr>
        <w:t>given the differ</w:t>
      </w:r>
      <w:r w:rsidR="001F3106" w:rsidRPr="001F3106">
        <w:rPr>
          <w:rFonts w:asciiTheme="minorHAnsi" w:hAnsiTheme="minorHAnsi"/>
          <w:bCs/>
          <w:lang w:val="en-GB"/>
        </w:rPr>
        <w:t>ing</w:t>
      </w:r>
      <w:r w:rsidRPr="001F3106">
        <w:rPr>
          <w:rFonts w:asciiTheme="minorHAnsi" w:hAnsiTheme="minorHAnsi"/>
          <w:bCs/>
          <w:lang w:val="en-GB"/>
        </w:rPr>
        <w:t xml:space="preserve"> mechanism</w:t>
      </w:r>
      <w:r w:rsidR="001F3106" w:rsidRPr="001F3106">
        <w:rPr>
          <w:rFonts w:asciiTheme="minorHAnsi" w:hAnsiTheme="minorHAnsi"/>
          <w:bCs/>
          <w:lang w:val="en-GB"/>
        </w:rPr>
        <w:t>s</w:t>
      </w:r>
      <w:r w:rsidRPr="001F3106">
        <w:rPr>
          <w:rFonts w:asciiTheme="minorHAnsi" w:hAnsiTheme="minorHAnsi"/>
          <w:bCs/>
          <w:lang w:val="en-GB"/>
        </w:rPr>
        <w:t xml:space="preserve"> of action and the clinical </w:t>
      </w:r>
      <w:r w:rsidR="00630101">
        <w:rPr>
          <w:rFonts w:asciiTheme="minorHAnsi" w:hAnsiTheme="minorHAnsi"/>
          <w:bCs/>
          <w:lang w:val="en-GB"/>
        </w:rPr>
        <w:t>need</w:t>
      </w:r>
      <w:r w:rsidRPr="001F3106">
        <w:rPr>
          <w:rFonts w:asciiTheme="minorHAnsi" w:hAnsiTheme="minorHAnsi"/>
          <w:bCs/>
          <w:lang w:val="en-GB"/>
        </w:rPr>
        <w:t xml:space="preserve"> for additional therapeutic options for patients </w:t>
      </w:r>
      <w:r w:rsidR="001F3106" w:rsidRPr="001F3106">
        <w:rPr>
          <w:rFonts w:asciiTheme="minorHAnsi" w:hAnsiTheme="minorHAnsi"/>
          <w:bCs/>
          <w:lang w:val="en-GB"/>
        </w:rPr>
        <w:t xml:space="preserve">who are unable to </w:t>
      </w:r>
      <w:r w:rsidR="00E96578">
        <w:rPr>
          <w:rFonts w:asciiTheme="minorHAnsi" w:hAnsiTheme="minorHAnsi"/>
          <w:bCs/>
          <w:lang w:val="en-GB"/>
        </w:rPr>
        <w:t>receive</w:t>
      </w:r>
      <w:r w:rsidR="001F3106" w:rsidRPr="001F3106">
        <w:rPr>
          <w:rFonts w:asciiTheme="minorHAnsi" w:hAnsiTheme="minorHAnsi"/>
          <w:bCs/>
          <w:lang w:val="en-GB"/>
        </w:rPr>
        <w:t xml:space="preserve"> a </w:t>
      </w:r>
      <w:r w:rsidR="001C49B0">
        <w:rPr>
          <w:rFonts w:asciiTheme="minorHAnsi" w:hAnsiTheme="minorHAnsi"/>
          <w:bCs/>
          <w:lang w:val="en-GB"/>
        </w:rPr>
        <w:t>H</w:t>
      </w:r>
      <w:r w:rsidR="001F3106" w:rsidRPr="001F3106">
        <w:rPr>
          <w:rFonts w:asciiTheme="minorHAnsi" w:hAnsiTheme="minorHAnsi"/>
          <w:bCs/>
          <w:lang w:val="en-GB"/>
        </w:rPr>
        <w:t xml:space="preserve">SCT or who progress after a HSCT. </w:t>
      </w:r>
      <w:r w:rsidRPr="001F3106">
        <w:rPr>
          <w:rFonts w:asciiTheme="minorHAnsi" w:hAnsiTheme="minorHAnsi"/>
          <w:bCs/>
          <w:lang w:val="en-GB"/>
        </w:rPr>
        <w:t>While acknowledging the lack of data avail</w:t>
      </w:r>
      <w:r>
        <w:rPr>
          <w:rFonts w:asciiTheme="minorHAnsi" w:hAnsiTheme="minorHAnsi"/>
          <w:bCs/>
          <w:lang w:val="en-GB"/>
        </w:rPr>
        <w:t xml:space="preserve">able on the incremental effectiveness of adding a second agent, </w:t>
      </w:r>
      <w:r w:rsidR="00ED7267">
        <w:rPr>
          <w:rFonts w:asciiTheme="minorHAnsi" w:hAnsiTheme="minorHAnsi"/>
          <w:bCs/>
          <w:lang w:val="en-GB"/>
        </w:rPr>
        <w:t xml:space="preserve">the PBAC considered there was a clinical </w:t>
      </w:r>
      <w:r w:rsidR="00E96578">
        <w:rPr>
          <w:rFonts w:asciiTheme="minorHAnsi" w:hAnsiTheme="minorHAnsi"/>
          <w:bCs/>
          <w:lang w:val="en-GB"/>
        </w:rPr>
        <w:t>place for sequential therapy</w:t>
      </w:r>
      <w:r w:rsidR="00ED7267">
        <w:rPr>
          <w:rFonts w:asciiTheme="minorHAnsi" w:hAnsiTheme="minorHAnsi"/>
          <w:bCs/>
          <w:lang w:val="en-GB"/>
        </w:rPr>
        <w:t xml:space="preserve"> given the poor prognosis of patients with relapsed/refractory B-ALL. Th</w:t>
      </w:r>
      <w:r>
        <w:rPr>
          <w:rFonts w:asciiTheme="minorHAnsi" w:hAnsiTheme="minorHAnsi"/>
          <w:bCs/>
          <w:lang w:val="en-GB"/>
        </w:rPr>
        <w:t xml:space="preserve">e </w:t>
      </w:r>
      <w:r w:rsidRPr="00B27B42">
        <w:rPr>
          <w:rFonts w:asciiTheme="minorHAnsi" w:hAnsiTheme="minorHAnsi"/>
          <w:bCs/>
          <w:lang w:val="en-GB"/>
        </w:rPr>
        <w:t xml:space="preserve">PBAC noted the clinician in the sponsor hearing supported sequential therapy, with the </w:t>
      </w:r>
      <w:r w:rsidR="005F7D3A">
        <w:rPr>
          <w:rFonts w:asciiTheme="minorHAnsi" w:hAnsiTheme="minorHAnsi"/>
          <w:bCs/>
          <w:lang w:val="en-GB"/>
        </w:rPr>
        <w:t xml:space="preserve">preferred </w:t>
      </w:r>
      <w:r w:rsidRPr="00B27B42">
        <w:rPr>
          <w:rFonts w:asciiTheme="minorHAnsi" w:hAnsiTheme="minorHAnsi"/>
          <w:bCs/>
          <w:lang w:val="en-GB"/>
        </w:rPr>
        <w:t xml:space="preserve">order of sequencing </w:t>
      </w:r>
      <w:r w:rsidR="005F7D3A">
        <w:rPr>
          <w:rFonts w:asciiTheme="minorHAnsi" w:hAnsiTheme="minorHAnsi"/>
          <w:bCs/>
          <w:lang w:val="en-GB"/>
        </w:rPr>
        <w:t xml:space="preserve">being </w:t>
      </w:r>
      <w:r>
        <w:rPr>
          <w:rFonts w:asciiTheme="minorHAnsi" w:hAnsiTheme="minorHAnsi"/>
          <w:bCs/>
          <w:lang w:val="en-GB"/>
        </w:rPr>
        <w:t>dependent on patient characteristics</w:t>
      </w:r>
      <w:r w:rsidRPr="00B27B42">
        <w:rPr>
          <w:rFonts w:asciiTheme="minorHAnsi" w:hAnsiTheme="minorHAnsi"/>
          <w:bCs/>
          <w:lang w:val="en-GB"/>
        </w:rPr>
        <w:t>.</w:t>
      </w:r>
    </w:p>
    <w:p w:rsidR="002D5394" w:rsidRPr="00607503" w:rsidRDefault="002D5394" w:rsidP="002D5394">
      <w:pPr>
        <w:widowControl/>
        <w:numPr>
          <w:ilvl w:val="1"/>
          <w:numId w:val="1"/>
        </w:numPr>
        <w:spacing w:after="120"/>
        <w:rPr>
          <w:rFonts w:asciiTheme="minorHAnsi" w:hAnsiTheme="minorHAnsi"/>
          <w:bCs/>
          <w:lang w:val="en-GB"/>
        </w:rPr>
      </w:pPr>
      <w:r w:rsidRPr="00607503">
        <w:rPr>
          <w:rFonts w:asciiTheme="minorHAnsi" w:hAnsiTheme="minorHAnsi"/>
          <w:bCs/>
          <w:lang w:val="en-GB"/>
        </w:rPr>
        <w:lastRenderedPageBreak/>
        <w:t>The PBAC noted that the submission did not seek listing in patients with Philadelphia chromosome positive disease and no economic or financial data were provided in the submission for this population. However</w:t>
      </w:r>
      <w:r>
        <w:rPr>
          <w:rFonts w:asciiTheme="minorHAnsi" w:hAnsiTheme="minorHAnsi"/>
          <w:bCs/>
          <w:lang w:val="en-GB"/>
        </w:rPr>
        <w:t>,</w:t>
      </w:r>
      <w:r w:rsidRPr="00607503">
        <w:rPr>
          <w:rFonts w:asciiTheme="minorHAnsi" w:hAnsiTheme="minorHAnsi"/>
          <w:bCs/>
          <w:lang w:val="en-GB"/>
        </w:rPr>
        <w:t xml:space="preserve"> the PBAC </w:t>
      </w:r>
      <w:r w:rsidR="007336A9" w:rsidRPr="00607503">
        <w:rPr>
          <w:rFonts w:asciiTheme="minorHAnsi" w:hAnsiTheme="minorHAnsi"/>
          <w:bCs/>
          <w:lang w:val="en-GB"/>
        </w:rPr>
        <w:t>considered</w:t>
      </w:r>
      <w:r w:rsidRPr="00607503">
        <w:rPr>
          <w:rFonts w:asciiTheme="minorHAnsi" w:hAnsiTheme="minorHAnsi"/>
          <w:bCs/>
          <w:lang w:val="en-GB"/>
        </w:rPr>
        <w:t xml:space="preserve"> there is a high clinical need in this patient group </w:t>
      </w:r>
      <w:r>
        <w:rPr>
          <w:rFonts w:asciiTheme="minorHAnsi" w:hAnsiTheme="minorHAnsi"/>
          <w:bCs/>
          <w:lang w:val="en-GB"/>
        </w:rPr>
        <w:t xml:space="preserve">and </w:t>
      </w:r>
      <w:r w:rsidRPr="00607503">
        <w:rPr>
          <w:rFonts w:asciiTheme="minorHAnsi" w:hAnsiTheme="minorHAnsi"/>
          <w:bCs/>
          <w:lang w:val="en-GB"/>
        </w:rPr>
        <w:t>noted that the INO-VATE</w:t>
      </w:r>
      <w:r>
        <w:rPr>
          <w:rFonts w:asciiTheme="minorHAnsi" w:hAnsiTheme="minorHAnsi"/>
          <w:bCs/>
          <w:lang w:val="en-GB"/>
        </w:rPr>
        <w:t xml:space="preserve"> </w:t>
      </w:r>
      <w:r w:rsidRPr="00607503">
        <w:rPr>
          <w:rFonts w:asciiTheme="minorHAnsi" w:hAnsiTheme="minorHAnsi"/>
          <w:bCs/>
          <w:lang w:val="en-GB"/>
        </w:rPr>
        <w:t xml:space="preserve">ALL trial included patients with </w:t>
      </w:r>
      <w:r w:rsidRPr="002A7CC6">
        <w:t xml:space="preserve">Philadelphia chromosome </w:t>
      </w:r>
      <w:r>
        <w:t xml:space="preserve">positive disease. </w:t>
      </w:r>
      <w:r w:rsidR="00ED7267">
        <w:t>As such, the PBAC advised that it</w:t>
      </w:r>
      <w:r w:rsidRPr="00607503">
        <w:rPr>
          <w:rFonts w:asciiTheme="minorHAnsi" w:hAnsiTheme="minorHAnsi"/>
          <w:bCs/>
          <w:lang w:val="en-GB"/>
        </w:rPr>
        <w:t xml:space="preserve"> would welcome a future submission for this patient group.</w:t>
      </w:r>
    </w:p>
    <w:p w:rsidR="00333C96" w:rsidRDefault="00333C96" w:rsidP="003B13D7">
      <w:pPr>
        <w:widowControl/>
        <w:numPr>
          <w:ilvl w:val="1"/>
          <w:numId w:val="1"/>
        </w:numPr>
        <w:spacing w:after="120"/>
        <w:rPr>
          <w:rFonts w:asciiTheme="minorHAnsi" w:hAnsiTheme="minorHAnsi"/>
          <w:bCs/>
          <w:lang w:val="en-GB"/>
        </w:rPr>
      </w:pPr>
      <w:r>
        <w:rPr>
          <w:rFonts w:asciiTheme="minorHAnsi" w:hAnsiTheme="minorHAnsi"/>
          <w:bCs/>
          <w:lang w:val="en-GB"/>
        </w:rPr>
        <w:t>The PBAC considered that the restrictions for inotuzumab and blinatumomab should align</w:t>
      </w:r>
      <w:r w:rsidR="00944E27">
        <w:rPr>
          <w:rFonts w:asciiTheme="minorHAnsi" w:hAnsiTheme="minorHAnsi"/>
          <w:bCs/>
          <w:lang w:val="en-GB"/>
        </w:rPr>
        <w:t xml:space="preserve"> where possible</w:t>
      </w:r>
      <w:r w:rsidR="00C2389F">
        <w:rPr>
          <w:rFonts w:asciiTheme="minorHAnsi" w:hAnsiTheme="minorHAnsi"/>
          <w:bCs/>
          <w:lang w:val="en-GB"/>
        </w:rPr>
        <w:t xml:space="preserve">. In particular, the PBAC considered that the restriction for inotuzumab should: not specify an age restriction, include </w:t>
      </w:r>
      <w:r w:rsidR="00C2389F" w:rsidRPr="008F733D">
        <w:t xml:space="preserve">definitions of CR or </w:t>
      </w:r>
      <w:proofErr w:type="spellStart"/>
      <w:r w:rsidR="00C2389F" w:rsidRPr="008F733D">
        <w:t>CRi</w:t>
      </w:r>
      <w:proofErr w:type="spellEnd"/>
      <w:r w:rsidR="00C2389F" w:rsidRPr="008F733D">
        <w:t xml:space="preserve"> </w:t>
      </w:r>
      <w:r w:rsidR="00C2389F">
        <w:t xml:space="preserve">that </w:t>
      </w:r>
      <w:r w:rsidR="00C2389F" w:rsidRPr="008F733D">
        <w:t>align with those included in the blinatumomab restriction</w:t>
      </w:r>
      <w:r w:rsidR="00C2389F">
        <w:t xml:space="preserve">; and </w:t>
      </w:r>
      <w:r w:rsidR="00C2389F">
        <w:rPr>
          <w:rFonts w:asciiTheme="minorHAnsi" w:hAnsiTheme="minorHAnsi"/>
          <w:bCs/>
          <w:lang w:val="en-GB"/>
        </w:rPr>
        <w:t xml:space="preserve">specify that it can </w:t>
      </w:r>
      <w:r>
        <w:rPr>
          <w:rFonts w:asciiTheme="minorHAnsi" w:hAnsiTheme="minorHAnsi"/>
          <w:bCs/>
          <w:lang w:val="en-GB"/>
        </w:rPr>
        <w:t xml:space="preserve">only be used </w:t>
      </w:r>
      <w:r w:rsidR="00C2389F">
        <w:rPr>
          <w:rFonts w:asciiTheme="minorHAnsi" w:hAnsiTheme="minorHAnsi"/>
          <w:bCs/>
          <w:lang w:val="en-GB"/>
        </w:rPr>
        <w:t xml:space="preserve">for </w:t>
      </w:r>
      <w:r>
        <w:rPr>
          <w:rFonts w:asciiTheme="minorHAnsi" w:hAnsiTheme="minorHAnsi"/>
          <w:bCs/>
          <w:lang w:val="en-GB"/>
        </w:rPr>
        <w:t>one</w:t>
      </w:r>
      <w:r w:rsidR="00C2389F">
        <w:rPr>
          <w:rFonts w:asciiTheme="minorHAnsi" w:hAnsiTheme="minorHAnsi"/>
          <w:bCs/>
          <w:lang w:val="en-GB"/>
        </w:rPr>
        <w:t xml:space="preserve"> course </w:t>
      </w:r>
      <w:r>
        <w:rPr>
          <w:rFonts w:asciiTheme="minorHAnsi" w:hAnsiTheme="minorHAnsi"/>
          <w:bCs/>
          <w:lang w:val="en-GB"/>
        </w:rPr>
        <w:t>per</w:t>
      </w:r>
      <w:r w:rsidR="00C2389F">
        <w:rPr>
          <w:rFonts w:asciiTheme="minorHAnsi" w:hAnsiTheme="minorHAnsi"/>
          <w:bCs/>
          <w:lang w:val="en-GB"/>
        </w:rPr>
        <w:t xml:space="preserve"> </w:t>
      </w:r>
      <w:r>
        <w:rPr>
          <w:rFonts w:asciiTheme="minorHAnsi" w:hAnsiTheme="minorHAnsi"/>
          <w:bCs/>
          <w:lang w:val="en-GB"/>
        </w:rPr>
        <w:t>lifetime.</w:t>
      </w:r>
      <w:r w:rsidR="00750FFF">
        <w:rPr>
          <w:rFonts w:asciiTheme="minorHAnsi" w:hAnsiTheme="minorHAnsi"/>
          <w:bCs/>
          <w:lang w:val="en-GB"/>
        </w:rPr>
        <w:t xml:space="preserve"> </w:t>
      </w:r>
    </w:p>
    <w:p w:rsidR="002E6054" w:rsidRDefault="00333C96" w:rsidP="00C2389F">
      <w:pPr>
        <w:widowControl/>
        <w:numPr>
          <w:ilvl w:val="1"/>
          <w:numId w:val="1"/>
        </w:numPr>
        <w:spacing w:after="120"/>
        <w:rPr>
          <w:rFonts w:asciiTheme="minorHAnsi" w:hAnsiTheme="minorHAnsi"/>
          <w:bCs/>
          <w:lang w:val="en-GB"/>
        </w:rPr>
      </w:pPr>
      <w:r w:rsidRPr="00333C96">
        <w:rPr>
          <w:rFonts w:asciiTheme="minorHAnsi" w:hAnsiTheme="minorHAnsi"/>
          <w:bCs/>
          <w:lang w:val="en-GB"/>
        </w:rPr>
        <w:t>The PBAC considered that the restrictions for both inotuzumab and blinatumomab should allow use in patients with ECOG status of 2</w:t>
      </w:r>
      <w:r w:rsidR="00C2389F">
        <w:rPr>
          <w:rFonts w:asciiTheme="minorHAnsi" w:hAnsiTheme="minorHAnsi"/>
          <w:bCs/>
          <w:lang w:val="en-GB"/>
        </w:rPr>
        <w:t xml:space="preserve"> or less</w:t>
      </w:r>
      <w:r w:rsidRPr="00333C96">
        <w:rPr>
          <w:rFonts w:asciiTheme="minorHAnsi" w:hAnsiTheme="minorHAnsi"/>
          <w:bCs/>
          <w:lang w:val="en-GB"/>
        </w:rPr>
        <w:t xml:space="preserve">, </w:t>
      </w:r>
      <w:r w:rsidR="00C2389F" w:rsidRPr="00C2389F">
        <w:rPr>
          <w:rFonts w:asciiTheme="minorHAnsi" w:hAnsiTheme="minorHAnsi"/>
          <w:bCs/>
          <w:lang w:val="en-GB"/>
        </w:rPr>
        <w:t>consistent with the inclusion criteria of the INO-VATE</w:t>
      </w:r>
      <w:r w:rsidR="002E6054">
        <w:rPr>
          <w:rFonts w:asciiTheme="minorHAnsi" w:hAnsiTheme="minorHAnsi"/>
          <w:bCs/>
          <w:lang w:val="en-GB"/>
        </w:rPr>
        <w:t xml:space="preserve"> </w:t>
      </w:r>
      <w:r w:rsidR="00C2389F" w:rsidRPr="00C2389F">
        <w:rPr>
          <w:rFonts w:asciiTheme="minorHAnsi" w:hAnsiTheme="minorHAnsi"/>
          <w:bCs/>
          <w:lang w:val="en-GB"/>
        </w:rPr>
        <w:t>ALL and TOWER trials.</w:t>
      </w:r>
      <w:r w:rsidR="00C2389F">
        <w:rPr>
          <w:rFonts w:asciiTheme="minorHAnsi" w:hAnsiTheme="minorHAnsi"/>
          <w:bCs/>
          <w:lang w:val="en-GB"/>
        </w:rPr>
        <w:t xml:space="preserve"> </w:t>
      </w:r>
      <w:r w:rsidR="002E6054">
        <w:rPr>
          <w:rFonts w:asciiTheme="minorHAnsi" w:hAnsiTheme="minorHAnsi"/>
          <w:bCs/>
          <w:lang w:val="en-GB"/>
        </w:rPr>
        <w:t xml:space="preserve">The PBAC noted that </w:t>
      </w:r>
      <w:r w:rsidR="002E6054">
        <w:t>this would require an amendment to the existing blinatumomab</w:t>
      </w:r>
      <w:r w:rsidR="002E6054">
        <w:rPr>
          <w:rFonts w:asciiTheme="minorHAnsi" w:hAnsiTheme="minorHAnsi"/>
          <w:bCs/>
          <w:lang w:val="en-GB"/>
        </w:rPr>
        <w:t xml:space="preserve"> </w:t>
      </w:r>
      <w:r w:rsidR="002E6054">
        <w:t>restriction which</w:t>
      </w:r>
      <w:r w:rsidR="002E6054">
        <w:rPr>
          <w:rFonts w:asciiTheme="minorHAnsi" w:hAnsiTheme="minorHAnsi"/>
          <w:bCs/>
          <w:lang w:val="en-GB"/>
        </w:rPr>
        <w:t xml:space="preserve"> </w:t>
      </w:r>
      <w:r w:rsidR="00B03E68">
        <w:t>currently excludes</w:t>
      </w:r>
      <w:r w:rsidR="002E6054">
        <w:t xml:space="preserve"> patients with an ECOG status of 2. </w:t>
      </w:r>
    </w:p>
    <w:p w:rsidR="00607503" w:rsidRPr="00607503" w:rsidRDefault="002E6054" w:rsidP="008019BB">
      <w:pPr>
        <w:widowControl/>
        <w:numPr>
          <w:ilvl w:val="1"/>
          <w:numId w:val="1"/>
        </w:numPr>
        <w:spacing w:after="120"/>
        <w:rPr>
          <w:rFonts w:asciiTheme="minorHAnsi" w:hAnsiTheme="minorHAnsi"/>
          <w:bCs/>
          <w:lang w:val="en-GB"/>
        </w:rPr>
      </w:pPr>
      <w:r>
        <w:t>The PBAC considered that the inotuzumab restriction should only allow use in first or second salvage, consistent with the inclusion criteria in the INO-VATE</w:t>
      </w:r>
      <w:r w:rsidR="00607503">
        <w:t xml:space="preserve"> </w:t>
      </w:r>
      <w:r>
        <w:t xml:space="preserve">ALL trial. The PBAC noted that blinatumomab is currently subsidised for use in any line of salvage, but recalled that </w:t>
      </w:r>
      <w:r w:rsidR="00607503">
        <w:t xml:space="preserve">the impact of </w:t>
      </w:r>
      <w:r w:rsidRPr="002E6054">
        <w:t xml:space="preserve">blinatumomab on </w:t>
      </w:r>
      <w:r w:rsidR="00B03E68">
        <w:t>OS</w:t>
      </w:r>
      <w:r w:rsidRPr="002E6054">
        <w:t xml:space="preserve"> </w:t>
      </w:r>
      <w:r w:rsidR="00607503">
        <w:t xml:space="preserve">was uncertain </w:t>
      </w:r>
      <w:r w:rsidRPr="002E6054">
        <w:t>in third or later salvage</w:t>
      </w:r>
      <w:r w:rsidR="00607503">
        <w:t xml:space="preserve">. </w:t>
      </w:r>
      <w:r w:rsidR="00607503" w:rsidRPr="00607503">
        <w:t xml:space="preserve">Thus, the PBAC considered that the PBS restriction for blinatumomab should be updated to allow use only in first and second salvage, consistent with the restriction recommended for inotuzumab, </w:t>
      </w:r>
      <w:r w:rsidR="008019BB">
        <w:t>and</w:t>
      </w:r>
      <w:r w:rsidR="00607503" w:rsidRPr="00607503">
        <w:t xml:space="preserve"> </w:t>
      </w:r>
      <w:r w:rsidR="008019BB" w:rsidRPr="008019BB">
        <w:t>in line with the population for whom the clinical evidence suggests there is likely to be the most benefit</w:t>
      </w:r>
      <w:r w:rsidR="00607503" w:rsidRPr="00607503">
        <w:t xml:space="preserve">. The PBAC considered this change was necessary because, with a second agent available, the number of patients proceeding to third or later salvage will increase over time. </w:t>
      </w:r>
    </w:p>
    <w:p w:rsidR="00607503" w:rsidRPr="002A7CC6" w:rsidRDefault="00607503" w:rsidP="00607503">
      <w:pPr>
        <w:pStyle w:val="ListParagraph"/>
        <w:widowControl/>
        <w:numPr>
          <w:ilvl w:val="1"/>
          <w:numId w:val="1"/>
        </w:numPr>
        <w:spacing w:after="120"/>
        <w:rPr>
          <w:szCs w:val="24"/>
        </w:rPr>
      </w:pPr>
      <w:r w:rsidRPr="002A7CC6">
        <w:rPr>
          <w:szCs w:val="24"/>
        </w:rPr>
        <w:t xml:space="preserve">The </w:t>
      </w:r>
      <w:r>
        <w:rPr>
          <w:szCs w:val="24"/>
        </w:rPr>
        <w:t>PBAC considered that the inotuzumab</w:t>
      </w:r>
      <w:r w:rsidRPr="002A7CC6">
        <w:rPr>
          <w:szCs w:val="24"/>
        </w:rPr>
        <w:t xml:space="preserve"> restriction </w:t>
      </w:r>
      <w:r>
        <w:rPr>
          <w:szCs w:val="24"/>
        </w:rPr>
        <w:t xml:space="preserve">should </w:t>
      </w:r>
      <w:r w:rsidR="004938B7">
        <w:rPr>
          <w:szCs w:val="24"/>
        </w:rPr>
        <w:t>differ from</w:t>
      </w:r>
      <w:r>
        <w:rPr>
          <w:szCs w:val="24"/>
        </w:rPr>
        <w:t xml:space="preserve"> the</w:t>
      </w:r>
      <w:r w:rsidRPr="002A7CC6">
        <w:rPr>
          <w:szCs w:val="24"/>
        </w:rPr>
        <w:t xml:space="preserve"> blinatumomab </w:t>
      </w:r>
      <w:r>
        <w:rPr>
          <w:szCs w:val="24"/>
        </w:rPr>
        <w:t xml:space="preserve">restriction </w:t>
      </w:r>
      <w:r w:rsidR="004938B7">
        <w:rPr>
          <w:szCs w:val="24"/>
        </w:rPr>
        <w:t xml:space="preserve">in </w:t>
      </w:r>
      <w:r w:rsidR="00B03E68">
        <w:rPr>
          <w:szCs w:val="24"/>
        </w:rPr>
        <w:t xml:space="preserve">that </w:t>
      </w:r>
      <w:r w:rsidR="00E4530A">
        <w:rPr>
          <w:szCs w:val="24"/>
        </w:rPr>
        <w:t>the inotuzumab restriction</w:t>
      </w:r>
      <w:r w:rsidR="004938B7">
        <w:rPr>
          <w:szCs w:val="24"/>
        </w:rPr>
        <w:t xml:space="preserve"> </w:t>
      </w:r>
      <w:r>
        <w:rPr>
          <w:szCs w:val="24"/>
        </w:rPr>
        <w:t>should</w:t>
      </w:r>
      <w:r w:rsidR="00B03E68">
        <w:rPr>
          <w:szCs w:val="24"/>
        </w:rPr>
        <w:t>:</w:t>
      </w:r>
      <w:r w:rsidRPr="002A7CC6">
        <w:rPr>
          <w:szCs w:val="24"/>
        </w:rPr>
        <w:t xml:space="preserve"> limit treatment to patients with CD22 expression</w:t>
      </w:r>
      <w:r w:rsidR="00B03E68">
        <w:rPr>
          <w:szCs w:val="24"/>
        </w:rPr>
        <w:t xml:space="preserve"> (</w:t>
      </w:r>
      <w:r>
        <w:rPr>
          <w:szCs w:val="24"/>
        </w:rPr>
        <w:t>consistent with the inclus</w:t>
      </w:r>
      <w:r w:rsidR="00B03E68">
        <w:rPr>
          <w:szCs w:val="24"/>
        </w:rPr>
        <w:t xml:space="preserve">ion criteria in the </w:t>
      </w:r>
      <w:r w:rsidR="007D7344">
        <w:rPr>
          <w:szCs w:val="24"/>
        </w:rPr>
        <w:t>INO-VATE ALL</w:t>
      </w:r>
      <w:r w:rsidR="00B03E68">
        <w:rPr>
          <w:szCs w:val="24"/>
        </w:rPr>
        <w:t xml:space="preserve">); allow use in patients with disease present in the CNS or testes (consistent with the Product Information); and not specify the period of hospitalisation required for administration (while inotuzumab administration </w:t>
      </w:r>
      <w:r w:rsidR="00B03E68" w:rsidRPr="003764FF">
        <w:rPr>
          <w:szCs w:val="24"/>
        </w:rPr>
        <w:t xml:space="preserve">often </w:t>
      </w:r>
      <w:r w:rsidR="00B03E68">
        <w:rPr>
          <w:szCs w:val="24"/>
        </w:rPr>
        <w:t xml:space="preserve">requires hospitalisation, no set period is specified in the Product Information). </w:t>
      </w:r>
    </w:p>
    <w:p w:rsidR="00003F45" w:rsidRDefault="00003F45" w:rsidP="00003F45">
      <w:pPr>
        <w:pStyle w:val="ListParagraph"/>
        <w:widowControl/>
        <w:numPr>
          <w:ilvl w:val="1"/>
          <w:numId w:val="1"/>
        </w:numPr>
        <w:rPr>
          <w:rFonts w:cs="Calibri"/>
          <w:snapToGrid/>
          <w:szCs w:val="24"/>
          <w:lang w:val="en-US" w:eastAsia="en-AU"/>
        </w:rPr>
      </w:pPr>
      <w:r w:rsidRPr="002A7CC6">
        <w:rPr>
          <w:rFonts w:cs="Calibri"/>
          <w:snapToGrid/>
          <w:szCs w:val="24"/>
          <w:lang w:val="en-US" w:eastAsia="en-AU"/>
        </w:rPr>
        <w:t xml:space="preserve">The </w:t>
      </w:r>
      <w:r>
        <w:rPr>
          <w:rFonts w:cs="Calibri"/>
          <w:snapToGrid/>
          <w:szCs w:val="24"/>
          <w:lang w:val="en-US" w:eastAsia="en-AU"/>
        </w:rPr>
        <w:t xml:space="preserve">PBAC </w:t>
      </w:r>
      <w:r w:rsidRPr="002A7CC6">
        <w:rPr>
          <w:rFonts w:cs="Calibri"/>
          <w:snapToGrid/>
          <w:szCs w:val="24"/>
          <w:lang w:val="en-US" w:eastAsia="en-AU"/>
        </w:rPr>
        <w:t>considered that b</w:t>
      </w:r>
      <w:r>
        <w:rPr>
          <w:rFonts w:cs="Calibri"/>
          <w:snapToGrid/>
          <w:szCs w:val="24"/>
          <w:lang w:val="en-US" w:eastAsia="en-AU"/>
        </w:rPr>
        <w:t>linatumomab wa</w:t>
      </w:r>
      <w:r w:rsidRPr="002A7CC6">
        <w:rPr>
          <w:rFonts w:cs="Calibri"/>
          <w:snapToGrid/>
          <w:szCs w:val="24"/>
          <w:lang w:val="en-US" w:eastAsia="en-AU"/>
        </w:rPr>
        <w:t xml:space="preserve">s the appropriate main comparator. </w:t>
      </w:r>
    </w:p>
    <w:p w:rsidR="002511D9" w:rsidRDefault="006E043E" w:rsidP="006E043E">
      <w:pPr>
        <w:widowControl/>
        <w:numPr>
          <w:ilvl w:val="1"/>
          <w:numId w:val="1"/>
        </w:numPr>
        <w:spacing w:after="120"/>
        <w:rPr>
          <w:rFonts w:asciiTheme="minorHAnsi" w:hAnsiTheme="minorHAnsi"/>
          <w:bCs/>
          <w:lang w:val="en-GB"/>
        </w:rPr>
      </w:pPr>
      <w:r w:rsidRPr="006E043E">
        <w:rPr>
          <w:rFonts w:asciiTheme="minorHAnsi" w:hAnsiTheme="minorHAnsi"/>
          <w:bCs/>
          <w:lang w:val="en-GB"/>
        </w:rPr>
        <w:t xml:space="preserve">The PBAC considered that the TOWER (blinatumomab) </w:t>
      </w:r>
      <w:r w:rsidR="000D3B85">
        <w:rPr>
          <w:rFonts w:asciiTheme="minorHAnsi" w:hAnsiTheme="minorHAnsi"/>
          <w:bCs/>
          <w:lang w:val="en-GB"/>
        </w:rPr>
        <w:t>trial</w:t>
      </w:r>
      <w:r w:rsidRPr="006E043E">
        <w:rPr>
          <w:rFonts w:asciiTheme="minorHAnsi" w:hAnsiTheme="minorHAnsi"/>
          <w:bCs/>
          <w:lang w:val="en-GB"/>
        </w:rPr>
        <w:t xml:space="preserve"> included patients with </w:t>
      </w:r>
      <w:r w:rsidR="00490803">
        <w:rPr>
          <w:rFonts w:asciiTheme="minorHAnsi" w:hAnsiTheme="minorHAnsi"/>
          <w:bCs/>
          <w:lang w:val="en-GB"/>
        </w:rPr>
        <w:t>a worse prognosis</w:t>
      </w:r>
      <w:r w:rsidR="00C32298">
        <w:rPr>
          <w:rFonts w:asciiTheme="minorHAnsi" w:hAnsiTheme="minorHAnsi"/>
          <w:bCs/>
          <w:lang w:val="en-GB"/>
        </w:rPr>
        <w:t xml:space="preserve"> and</w:t>
      </w:r>
      <w:r w:rsidRPr="006E043E">
        <w:rPr>
          <w:rFonts w:asciiTheme="minorHAnsi" w:hAnsiTheme="minorHAnsi"/>
          <w:bCs/>
          <w:lang w:val="en-GB"/>
        </w:rPr>
        <w:t xml:space="preserve"> </w:t>
      </w:r>
      <w:r w:rsidR="00C32298">
        <w:rPr>
          <w:rFonts w:asciiTheme="minorHAnsi" w:hAnsiTheme="minorHAnsi"/>
          <w:bCs/>
          <w:lang w:val="en-GB"/>
        </w:rPr>
        <w:t>who would be</w:t>
      </w:r>
      <w:r w:rsidR="00DB5C2C">
        <w:rPr>
          <w:rFonts w:asciiTheme="minorHAnsi" w:hAnsiTheme="minorHAnsi"/>
          <w:bCs/>
          <w:lang w:val="en-GB"/>
        </w:rPr>
        <w:t xml:space="preserve"> more difficult to treat </w:t>
      </w:r>
      <w:r w:rsidRPr="006E043E">
        <w:rPr>
          <w:rFonts w:asciiTheme="minorHAnsi" w:hAnsiTheme="minorHAnsi"/>
          <w:bCs/>
          <w:lang w:val="en-GB"/>
        </w:rPr>
        <w:t>because it included</w:t>
      </w:r>
      <w:r w:rsidR="00DB5C2C">
        <w:rPr>
          <w:rFonts w:asciiTheme="minorHAnsi" w:hAnsiTheme="minorHAnsi"/>
          <w:bCs/>
          <w:lang w:val="en-GB"/>
        </w:rPr>
        <w:t>:</w:t>
      </w:r>
      <w:r w:rsidRPr="006E043E">
        <w:rPr>
          <w:rFonts w:asciiTheme="minorHAnsi" w:hAnsiTheme="minorHAnsi"/>
          <w:bCs/>
          <w:lang w:val="en-GB"/>
        </w:rPr>
        <w:t xml:space="preserve"> patients in third or later salvage</w:t>
      </w:r>
      <w:r w:rsidR="00DB5C2C">
        <w:rPr>
          <w:rFonts w:asciiTheme="minorHAnsi" w:hAnsiTheme="minorHAnsi"/>
          <w:bCs/>
          <w:lang w:val="en-GB"/>
        </w:rPr>
        <w:t>;</w:t>
      </w:r>
      <w:r w:rsidRPr="006E043E">
        <w:rPr>
          <w:rFonts w:asciiTheme="minorHAnsi" w:hAnsiTheme="minorHAnsi"/>
          <w:bCs/>
          <w:lang w:val="en-GB"/>
        </w:rPr>
        <w:t xml:space="preserve"> more patients who were refractory to salvage</w:t>
      </w:r>
      <w:r w:rsidR="00DB5C2C">
        <w:rPr>
          <w:rFonts w:asciiTheme="minorHAnsi" w:hAnsiTheme="minorHAnsi"/>
          <w:bCs/>
          <w:lang w:val="en-GB"/>
        </w:rPr>
        <w:t>;</w:t>
      </w:r>
      <w:r w:rsidRPr="006E043E">
        <w:rPr>
          <w:rFonts w:asciiTheme="minorHAnsi" w:hAnsiTheme="minorHAnsi"/>
          <w:bCs/>
          <w:lang w:val="en-GB"/>
        </w:rPr>
        <w:t xml:space="preserve"> and more patients with a previous </w:t>
      </w:r>
      <w:r w:rsidR="001C49B0">
        <w:rPr>
          <w:rFonts w:asciiTheme="minorHAnsi" w:hAnsiTheme="minorHAnsi"/>
          <w:bCs/>
          <w:lang w:val="en-GB"/>
        </w:rPr>
        <w:t>H</w:t>
      </w:r>
      <w:r w:rsidRPr="006E043E">
        <w:rPr>
          <w:rFonts w:asciiTheme="minorHAnsi" w:hAnsiTheme="minorHAnsi"/>
          <w:bCs/>
          <w:lang w:val="en-GB"/>
        </w:rPr>
        <w:t xml:space="preserve">SCT. The PBAC considered that these three factors would likely confound the analysis and favour inotuzumab. </w:t>
      </w:r>
    </w:p>
    <w:p w:rsidR="00DB5C2C" w:rsidRDefault="00DB5C2C" w:rsidP="00DB5C2C">
      <w:pPr>
        <w:pStyle w:val="ListParagraph"/>
        <w:widowControl/>
        <w:numPr>
          <w:ilvl w:val="1"/>
          <w:numId w:val="1"/>
        </w:numPr>
        <w:spacing w:after="120"/>
        <w:rPr>
          <w:iCs/>
        </w:rPr>
      </w:pPr>
      <w:r>
        <w:rPr>
          <w:rFonts w:asciiTheme="minorHAnsi" w:hAnsiTheme="minorHAnsi"/>
          <w:bCs/>
          <w:lang w:val="en-GB"/>
        </w:rPr>
        <w:lastRenderedPageBreak/>
        <w:t xml:space="preserve">Given these differences between </w:t>
      </w:r>
      <w:r w:rsidR="0068709B">
        <w:rPr>
          <w:rFonts w:asciiTheme="minorHAnsi" w:hAnsiTheme="minorHAnsi"/>
          <w:bCs/>
          <w:lang w:val="en-GB"/>
        </w:rPr>
        <w:t xml:space="preserve">the </w:t>
      </w:r>
      <w:r>
        <w:rPr>
          <w:rFonts w:asciiTheme="minorHAnsi" w:hAnsiTheme="minorHAnsi"/>
          <w:bCs/>
          <w:lang w:val="en-GB"/>
        </w:rPr>
        <w:t>trial populations, t</w:t>
      </w:r>
      <w:r w:rsidRPr="003F466C">
        <w:rPr>
          <w:iCs/>
        </w:rPr>
        <w:t xml:space="preserve">he PBAC considered that it was difficult to interpret the CR, EFS and </w:t>
      </w:r>
      <w:r w:rsidR="00C32298">
        <w:rPr>
          <w:iCs/>
        </w:rPr>
        <w:t>H</w:t>
      </w:r>
      <w:r w:rsidRPr="003F466C">
        <w:rPr>
          <w:iCs/>
        </w:rPr>
        <w:t xml:space="preserve">SCT rates through an indirect comparison. </w:t>
      </w:r>
      <w:r>
        <w:rPr>
          <w:iCs/>
        </w:rPr>
        <w:t>In addition,</w:t>
      </w:r>
      <w:r w:rsidRPr="003F466C">
        <w:rPr>
          <w:iCs/>
        </w:rPr>
        <w:t xml:space="preserve"> the PBAC </w:t>
      </w:r>
      <w:r>
        <w:rPr>
          <w:iCs/>
        </w:rPr>
        <w:t>noted</w:t>
      </w:r>
      <w:r w:rsidRPr="003F466C">
        <w:rPr>
          <w:iCs/>
        </w:rPr>
        <w:t xml:space="preserve"> that the</w:t>
      </w:r>
      <w:r>
        <w:rPr>
          <w:iCs/>
        </w:rPr>
        <w:t xml:space="preserve"> MAIC</w:t>
      </w:r>
      <w:r w:rsidRPr="003F466C">
        <w:rPr>
          <w:iCs/>
        </w:rPr>
        <w:t xml:space="preserve"> analyses </w:t>
      </w:r>
      <w:r>
        <w:rPr>
          <w:iCs/>
        </w:rPr>
        <w:t>could</w:t>
      </w:r>
      <w:r w:rsidR="00C32298">
        <w:rPr>
          <w:iCs/>
        </w:rPr>
        <w:t xml:space="preserve"> not</w:t>
      </w:r>
      <w:r>
        <w:rPr>
          <w:iCs/>
        </w:rPr>
        <w:t xml:space="preserve"> adequately adjust for some of the key differences</w:t>
      </w:r>
      <w:r w:rsidR="0068709B">
        <w:rPr>
          <w:iCs/>
        </w:rPr>
        <w:t xml:space="preserve">. </w:t>
      </w:r>
      <w:r w:rsidR="00C32298">
        <w:rPr>
          <w:iCs/>
        </w:rPr>
        <w:t>The</w:t>
      </w:r>
      <w:r w:rsidR="0068709B">
        <w:rPr>
          <w:iCs/>
        </w:rPr>
        <w:t xml:space="preserve"> PBAC </w:t>
      </w:r>
      <w:r w:rsidR="00C32298">
        <w:rPr>
          <w:iCs/>
        </w:rPr>
        <w:t xml:space="preserve">also </w:t>
      </w:r>
      <w:r w:rsidR="0068709B">
        <w:rPr>
          <w:iCs/>
        </w:rPr>
        <w:t xml:space="preserve">noted the other limitations of the MAIC analysis including that the </w:t>
      </w:r>
      <w:r w:rsidR="0068709B" w:rsidRPr="006E043E">
        <w:rPr>
          <w:rFonts w:asciiTheme="minorHAnsi" w:hAnsiTheme="minorHAnsi"/>
          <w:bCs/>
          <w:lang w:val="en-GB"/>
        </w:rPr>
        <w:t>sample sizes of the INO-VATE</w:t>
      </w:r>
      <w:r w:rsidR="00C32298">
        <w:rPr>
          <w:rFonts w:asciiTheme="minorHAnsi" w:hAnsiTheme="minorHAnsi"/>
          <w:bCs/>
          <w:lang w:val="en-GB"/>
        </w:rPr>
        <w:t xml:space="preserve"> </w:t>
      </w:r>
      <w:r w:rsidR="0068709B" w:rsidRPr="006E043E">
        <w:rPr>
          <w:rFonts w:asciiTheme="minorHAnsi" w:hAnsiTheme="minorHAnsi"/>
          <w:bCs/>
          <w:lang w:val="en-GB"/>
        </w:rPr>
        <w:t>ALL matched datasets were small</w:t>
      </w:r>
      <w:r w:rsidR="0068709B">
        <w:rPr>
          <w:rFonts w:asciiTheme="minorHAnsi" w:hAnsiTheme="minorHAnsi"/>
          <w:bCs/>
          <w:lang w:val="en-GB"/>
        </w:rPr>
        <w:t>, and that it was not possible to assess c</w:t>
      </w:r>
      <w:r w:rsidR="0068709B" w:rsidRPr="00503FF5">
        <w:rPr>
          <w:rFonts w:asciiTheme="minorHAnsi" w:hAnsiTheme="minorHAnsi"/>
          <w:bCs/>
          <w:lang w:val="en-GB"/>
        </w:rPr>
        <w:t xml:space="preserve">onfounding of other trial characteristics </w:t>
      </w:r>
      <w:r w:rsidR="00C32298">
        <w:rPr>
          <w:rFonts w:asciiTheme="minorHAnsi" w:hAnsiTheme="minorHAnsi"/>
          <w:bCs/>
          <w:lang w:val="en-GB"/>
        </w:rPr>
        <w:t>or</w:t>
      </w:r>
      <w:r w:rsidR="0068709B" w:rsidRPr="00503FF5">
        <w:rPr>
          <w:rFonts w:asciiTheme="minorHAnsi" w:hAnsiTheme="minorHAnsi"/>
          <w:bCs/>
          <w:lang w:val="en-GB"/>
        </w:rPr>
        <w:t xml:space="preserve"> the applicability of the matched samples to the Australian setting</w:t>
      </w:r>
      <w:r>
        <w:rPr>
          <w:iCs/>
        </w:rPr>
        <w:t>.</w:t>
      </w:r>
      <w:r w:rsidRPr="003F466C">
        <w:rPr>
          <w:iCs/>
        </w:rPr>
        <w:t xml:space="preserve"> </w:t>
      </w:r>
      <w:r>
        <w:rPr>
          <w:iCs/>
        </w:rPr>
        <w:t xml:space="preserve">Overall, the PBAC considered that the MAIC analyses were informative but likely biased in favour of inotuzumab. </w:t>
      </w:r>
    </w:p>
    <w:p w:rsidR="002511D9" w:rsidRDefault="00BF579A" w:rsidP="00BF579A">
      <w:pPr>
        <w:widowControl/>
        <w:numPr>
          <w:ilvl w:val="1"/>
          <w:numId w:val="1"/>
        </w:numPr>
        <w:spacing w:after="120"/>
        <w:rPr>
          <w:rFonts w:asciiTheme="minorHAnsi" w:hAnsiTheme="minorHAnsi"/>
          <w:bCs/>
          <w:lang w:val="en-GB"/>
        </w:rPr>
      </w:pPr>
      <w:r>
        <w:rPr>
          <w:rFonts w:asciiTheme="minorHAnsi" w:hAnsiTheme="minorHAnsi"/>
          <w:bCs/>
          <w:lang w:val="en-GB"/>
        </w:rPr>
        <w:t xml:space="preserve">The PBAC considered that the </w:t>
      </w:r>
      <w:r w:rsidR="00460354">
        <w:rPr>
          <w:rFonts w:asciiTheme="minorHAnsi" w:hAnsiTheme="minorHAnsi"/>
          <w:bCs/>
          <w:lang w:val="en-GB"/>
        </w:rPr>
        <w:t xml:space="preserve">proportion of patients with likely long-term survival (represented in the survival curves as a </w:t>
      </w:r>
      <w:r w:rsidRPr="00BF579A">
        <w:rPr>
          <w:rFonts w:asciiTheme="minorHAnsi" w:hAnsiTheme="minorHAnsi"/>
          <w:bCs/>
          <w:lang w:val="en-GB"/>
        </w:rPr>
        <w:t>plateau</w:t>
      </w:r>
      <w:r>
        <w:rPr>
          <w:rFonts w:asciiTheme="minorHAnsi" w:hAnsiTheme="minorHAnsi"/>
          <w:bCs/>
          <w:lang w:val="en-GB"/>
        </w:rPr>
        <w:t xml:space="preserve">) </w:t>
      </w:r>
      <w:r w:rsidRPr="00BF579A">
        <w:rPr>
          <w:rFonts w:asciiTheme="minorHAnsi" w:hAnsiTheme="minorHAnsi"/>
          <w:bCs/>
          <w:lang w:val="en-GB"/>
        </w:rPr>
        <w:t>for inotuzumab and blinatumomab were similar</w:t>
      </w:r>
      <w:r>
        <w:rPr>
          <w:rFonts w:asciiTheme="minorHAnsi" w:hAnsiTheme="minorHAnsi"/>
          <w:bCs/>
          <w:lang w:val="en-GB"/>
        </w:rPr>
        <w:t xml:space="preserve">, indicating </w:t>
      </w:r>
      <w:r w:rsidR="00460354">
        <w:rPr>
          <w:rFonts w:asciiTheme="minorHAnsi" w:hAnsiTheme="minorHAnsi"/>
          <w:bCs/>
          <w:lang w:val="en-GB"/>
        </w:rPr>
        <w:t>similar effectiveness. Overall</w:t>
      </w:r>
      <w:r>
        <w:rPr>
          <w:rFonts w:asciiTheme="minorHAnsi" w:hAnsiTheme="minorHAnsi"/>
          <w:bCs/>
          <w:lang w:val="en-GB"/>
        </w:rPr>
        <w:t xml:space="preserve"> the PBAC a</w:t>
      </w:r>
      <w:r w:rsidR="002511D9">
        <w:rPr>
          <w:rFonts w:asciiTheme="minorHAnsi" w:hAnsiTheme="minorHAnsi"/>
          <w:bCs/>
          <w:lang w:val="en-GB"/>
        </w:rPr>
        <w:t xml:space="preserve">ccepted </w:t>
      </w:r>
      <w:r w:rsidR="000D3B85">
        <w:rPr>
          <w:rFonts w:asciiTheme="minorHAnsi" w:hAnsiTheme="minorHAnsi"/>
          <w:bCs/>
          <w:lang w:val="en-GB"/>
        </w:rPr>
        <w:t xml:space="preserve">that inotuzumab has </w:t>
      </w:r>
      <w:r w:rsidR="000D3B85">
        <w:rPr>
          <w:iCs/>
        </w:rPr>
        <w:t>non-inferior</w:t>
      </w:r>
      <w:r w:rsidR="000D3B85" w:rsidRPr="00944E27">
        <w:rPr>
          <w:iCs/>
        </w:rPr>
        <w:t xml:space="preserve"> comparative effectiveness</w:t>
      </w:r>
      <w:r w:rsidR="000D3B85">
        <w:rPr>
          <w:iCs/>
        </w:rPr>
        <w:t xml:space="preserve"> versus blinatumomab.</w:t>
      </w:r>
    </w:p>
    <w:p w:rsidR="003F6C92" w:rsidRPr="003F6C92" w:rsidRDefault="000D3B85" w:rsidP="003F6C92">
      <w:pPr>
        <w:pStyle w:val="ListParagraph"/>
        <w:numPr>
          <w:ilvl w:val="1"/>
          <w:numId w:val="1"/>
        </w:numPr>
        <w:rPr>
          <w:rFonts w:asciiTheme="minorHAnsi" w:hAnsiTheme="minorHAnsi"/>
          <w:bCs/>
          <w:lang w:val="en-GB"/>
        </w:rPr>
      </w:pPr>
      <w:r w:rsidRPr="003F6C92">
        <w:rPr>
          <w:rFonts w:asciiTheme="minorHAnsi" w:hAnsiTheme="minorHAnsi"/>
          <w:bCs/>
          <w:lang w:val="en-GB"/>
        </w:rPr>
        <w:t xml:space="preserve">The PBAC noted that inotuzumab was associated with higher rates of VOD/SOS compared </w:t>
      </w:r>
      <w:r w:rsidR="003F6C92" w:rsidRPr="003F6C92">
        <w:rPr>
          <w:rFonts w:asciiTheme="minorHAnsi" w:hAnsiTheme="minorHAnsi"/>
          <w:bCs/>
          <w:lang w:val="en-GB"/>
        </w:rPr>
        <w:t>with</w:t>
      </w:r>
      <w:r w:rsidRPr="003F6C92">
        <w:rPr>
          <w:rFonts w:asciiTheme="minorHAnsi" w:hAnsiTheme="minorHAnsi"/>
          <w:bCs/>
          <w:lang w:val="en-GB"/>
        </w:rPr>
        <w:t xml:space="preserve"> standard of care chemotherapy (13.4% versus 0.7%) in the INO-VATE</w:t>
      </w:r>
      <w:r w:rsidR="00C32298">
        <w:rPr>
          <w:rFonts w:asciiTheme="minorHAnsi" w:hAnsiTheme="minorHAnsi"/>
          <w:bCs/>
          <w:lang w:val="en-GB"/>
        </w:rPr>
        <w:t xml:space="preserve"> </w:t>
      </w:r>
      <w:r w:rsidRPr="003F6C92">
        <w:rPr>
          <w:rFonts w:asciiTheme="minorHAnsi" w:hAnsiTheme="minorHAnsi"/>
          <w:bCs/>
          <w:lang w:val="en-GB"/>
        </w:rPr>
        <w:t xml:space="preserve">ALL study. </w:t>
      </w:r>
      <w:r w:rsidR="00460354">
        <w:rPr>
          <w:rFonts w:asciiTheme="minorHAnsi" w:hAnsiTheme="minorHAnsi"/>
          <w:bCs/>
          <w:lang w:val="en-GB"/>
        </w:rPr>
        <w:t>However</w:t>
      </w:r>
      <w:r w:rsidRPr="003F6C92">
        <w:rPr>
          <w:rFonts w:asciiTheme="minorHAnsi" w:hAnsiTheme="minorHAnsi"/>
          <w:bCs/>
          <w:lang w:val="en-GB"/>
        </w:rPr>
        <w:t xml:space="preserve">, the PBAC </w:t>
      </w:r>
      <w:r w:rsidR="00460354">
        <w:rPr>
          <w:rFonts w:asciiTheme="minorHAnsi" w:hAnsiTheme="minorHAnsi"/>
          <w:bCs/>
          <w:lang w:val="en-GB"/>
        </w:rPr>
        <w:t xml:space="preserve">also </w:t>
      </w:r>
      <w:r w:rsidRPr="003F6C92">
        <w:rPr>
          <w:rFonts w:asciiTheme="minorHAnsi" w:hAnsiTheme="minorHAnsi"/>
          <w:bCs/>
          <w:lang w:val="en-GB"/>
        </w:rPr>
        <w:t xml:space="preserve">noted that </w:t>
      </w:r>
      <w:r w:rsidR="003F6C92" w:rsidRPr="003F6C92">
        <w:rPr>
          <w:rFonts w:asciiTheme="minorHAnsi" w:hAnsiTheme="minorHAnsi"/>
          <w:bCs/>
          <w:lang w:val="en-GB"/>
        </w:rPr>
        <w:t xml:space="preserve">blinatumomab was associated with higher rates of </w:t>
      </w:r>
      <w:r w:rsidRPr="003F6C92">
        <w:rPr>
          <w:rFonts w:asciiTheme="minorHAnsi" w:hAnsiTheme="minorHAnsi"/>
          <w:bCs/>
          <w:lang w:val="en-GB"/>
        </w:rPr>
        <w:t>cytokine release syndrome compared with standard of care chemotherapy arm (14.2% v</w:t>
      </w:r>
      <w:r w:rsidR="003F6C92" w:rsidRPr="003F6C92">
        <w:rPr>
          <w:rFonts w:asciiTheme="minorHAnsi" w:hAnsiTheme="minorHAnsi"/>
          <w:bCs/>
          <w:lang w:val="en-GB"/>
        </w:rPr>
        <w:t>ersus</w:t>
      </w:r>
      <w:r w:rsidRPr="003F6C92">
        <w:rPr>
          <w:rFonts w:asciiTheme="minorHAnsi" w:hAnsiTheme="minorHAnsi"/>
          <w:bCs/>
          <w:lang w:val="en-GB"/>
        </w:rPr>
        <w:t xml:space="preserve"> 0</w:t>
      </w:r>
      <w:r w:rsidR="003F6C92" w:rsidRPr="003F6C92">
        <w:rPr>
          <w:rFonts w:asciiTheme="minorHAnsi" w:hAnsiTheme="minorHAnsi"/>
          <w:bCs/>
          <w:lang w:val="en-GB"/>
        </w:rPr>
        <w:t xml:space="preserve">% for any grade adverse event). Overall, the </w:t>
      </w:r>
      <w:r w:rsidR="00C32298">
        <w:rPr>
          <w:rFonts w:asciiTheme="minorHAnsi" w:hAnsiTheme="minorHAnsi"/>
          <w:bCs/>
          <w:lang w:val="en-GB"/>
        </w:rPr>
        <w:t xml:space="preserve">PBAC </w:t>
      </w:r>
      <w:r w:rsidR="003F6C92" w:rsidRPr="003F6C92">
        <w:rPr>
          <w:rFonts w:asciiTheme="minorHAnsi" w:hAnsiTheme="minorHAnsi"/>
          <w:bCs/>
          <w:lang w:val="en-GB"/>
        </w:rPr>
        <w:t xml:space="preserve">considered that </w:t>
      </w:r>
      <w:r w:rsidR="003F6C92">
        <w:rPr>
          <w:rFonts w:asciiTheme="minorHAnsi" w:hAnsiTheme="minorHAnsi"/>
          <w:bCs/>
          <w:lang w:val="en-GB"/>
        </w:rPr>
        <w:t>inotuzumab was associated with</w:t>
      </w:r>
      <w:r w:rsidR="003F6C92" w:rsidRPr="003F6C92">
        <w:rPr>
          <w:rFonts w:asciiTheme="minorHAnsi" w:hAnsiTheme="minorHAnsi"/>
          <w:bCs/>
          <w:lang w:val="en-GB"/>
        </w:rPr>
        <w:t xml:space="preserve"> different but non-inferior safety </w:t>
      </w:r>
      <w:r w:rsidR="003F6C92">
        <w:rPr>
          <w:rFonts w:asciiTheme="minorHAnsi" w:hAnsiTheme="minorHAnsi"/>
          <w:bCs/>
          <w:lang w:val="en-GB"/>
        </w:rPr>
        <w:t>compared with blinatumomab</w:t>
      </w:r>
      <w:r w:rsidR="003F6C92" w:rsidRPr="003F6C92">
        <w:rPr>
          <w:rFonts w:asciiTheme="minorHAnsi" w:hAnsiTheme="minorHAnsi"/>
          <w:bCs/>
          <w:lang w:val="en-GB"/>
        </w:rPr>
        <w:t xml:space="preserve">. </w:t>
      </w:r>
    </w:p>
    <w:p w:rsidR="00B57094" w:rsidRDefault="00333C96" w:rsidP="003B13D7">
      <w:pPr>
        <w:widowControl/>
        <w:numPr>
          <w:ilvl w:val="1"/>
          <w:numId w:val="1"/>
        </w:numPr>
        <w:spacing w:after="120"/>
        <w:rPr>
          <w:rFonts w:asciiTheme="minorHAnsi" w:hAnsiTheme="minorHAnsi"/>
          <w:bCs/>
          <w:lang w:val="en-GB"/>
        </w:rPr>
      </w:pPr>
      <w:r w:rsidRPr="00333C96">
        <w:rPr>
          <w:rFonts w:asciiTheme="minorHAnsi" w:hAnsiTheme="minorHAnsi"/>
          <w:bCs/>
          <w:lang w:val="en-GB"/>
        </w:rPr>
        <w:t xml:space="preserve">The PBAC considered that </w:t>
      </w:r>
      <w:r>
        <w:rPr>
          <w:rFonts w:asciiTheme="minorHAnsi" w:hAnsiTheme="minorHAnsi"/>
          <w:bCs/>
          <w:lang w:val="en-GB"/>
        </w:rPr>
        <w:t xml:space="preserve">the equi-effective doses of inotuzumab and blinatumomab are: </w:t>
      </w:r>
      <w:r w:rsidR="00846FC3" w:rsidRPr="002A7CC6">
        <w:rPr>
          <w:rFonts w:asciiTheme="minorHAnsi" w:hAnsiTheme="minorHAnsi" w:cstheme="minorHAnsi"/>
          <w:szCs w:val="24"/>
        </w:rPr>
        <w:t>inotuzumab 9</w:t>
      </w:r>
      <w:r w:rsidR="00FE6DFC">
        <w:rPr>
          <w:rFonts w:asciiTheme="minorHAnsi" w:hAnsiTheme="minorHAnsi" w:cstheme="minorHAnsi"/>
          <w:szCs w:val="24"/>
        </w:rPr>
        <w:t>.3</w:t>
      </w:r>
      <w:r w:rsidR="00846FC3" w:rsidRPr="002A7CC6">
        <w:rPr>
          <w:rFonts w:asciiTheme="minorHAnsi" w:hAnsiTheme="minorHAnsi" w:cstheme="minorHAnsi"/>
          <w:szCs w:val="24"/>
        </w:rPr>
        <w:t> x 1 mg vials is eq</w:t>
      </w:r>
      <w:r w:rsidR="00630101">
        <w:rPr>
          <w:rFonts w:asciiTheme="minorHAnsi" w:hAnsiTheme="minorHAnsi" w:cstheme="minorHAnsi"/>
          <w:szCs w:val="24"/>
        </w:rPr>
        <w:t xml:space="preserve">ui-effective to blinatumomab </w:t>
      </w:r>
      <w:r w:rsidR="00630101" w:rsidRPr="00630101">
        <w:t>42</w:t>
      </w:r>
      <w:r w:rsidR="00846FC3" w:rsidRPr="00630101">
        <w:t>x</w:t>
      </w:r>
      <w:r w:rsidR="00846FC3" w:rsidRPr="002A7CC6">
        <w:rPr>
          <w:rFonts w:asciiTheme="minorHAnsi" w:hAnsiTheme="minorHAnsi" w:cstheme="minorHAnsi"/>
          <w:szCs w:val="24"/>
        </w:rPr>
        <w:t xml:space="preserve"> 28 mcg vials.</w:t>
      </w:r>
      <w:r w:rsidR="008E2041">
        <w:rPr>
          <w:rFonts w:asciiTheme="minorHAnsi" w:hAnsiTheme="minorHAnsi" w:cstheme="minorHAnsi"/>
          <w:szCs w:val="24"/>
        </w:rPr>
        <w:t xml:space="preserve"> </w:t>
      </w:r>
    </w:p>
    <w:p w:rsidR="00333C96" w:rsidRDefault="00333C96" w:rsidP="008E2041">
      <w:pPr>
        <w:widowControl/>
        <w:numPr>
          <w:ilvl w:val="1"/>
          <w:numId w:val="1"/>
        </w:numPr>
        <w:spacing w:after="120"/>
        <w:rPr>
          <w:rFonts w:asciiTheme="minorHAnsi" w:hAnsiTheme="minorHAnsi"/>
          <w:bCs/>
          <w:lang w:val="en-GB"/>
        </w:rPr>
      </w:pPr>
      <w:r>
        <w:rPr>
          <w:rFonts w:asciiTheme="minorHAnsi" w:hAnsiTheme="minorHAnsi"/>
          <w:bCs/>
          <w:lang w:val="en-GB"/>
        </w:rPr>
        <w:t xml:space="preserve">The PBAC noted that the cost-minimisation analysis did not include the cost of HSCT. </w:t>
      </w:r>
      <w:r w:rsidR="002511D9">
        <w:rPr>
          <w:rFonts w:asciiTheme="minorHAnsi" w:hAnsiTheme="minorHAnsi"/>
          <w:bCs/>
          <w:lang w:val="en-GB"/>
        </w:rPr>
        <w:t xml:space="preserve">The PBAC considered it would have been more appropriate to </w:t>
      </w:r>
      <w:r w:rsidR="003618BD">
        <w:rPr>
          <w:rFonts w:asciiTheme="minorHAnsi" w:hAnsiTheme="minorHAnsi"/>
          <w:bCs/>
          <w:lang w:val="en-GB"/>
        </w:rPr>
        <w:t xml:space="preserve">incorporate </w:t>
      </w:r>
      <w:r w:rsidR="002511D9">
        <w:rPr>
          <w:rFonts w:asciiTheme="minorHAnsi" w:hAnsiTheme="minorHAnsi"/>
          <w:bCs/>
          <w:lang w:val="en-GB"/>
        </w:rPr>
        <w:t xml:space="preserve">the </w:t>
      </w:r>
      <w:r w:rsidR="003618BD" w:rsidRPr="003618BD">
        <w:rPr>
          <w:rFonts w:asciiTheme="minorHAnsi" w:hAnsiTheme="minorHAnsi"/>
          <w:bCs/>
          <w:lang w:val="en-GB"/>
        </w:rPr>
        <w:t>full benefits and costs of the differential rates of subsequent HSCTs</w:t>
      </w:r>
      <w:r w:rsidR="002511D9">
        <w:rPr>
          <w:rFonts w:asciiTheme="minorHAnsi" w:hAnsiTheme="minorHAnsi"/>
          <w:bCs/>
          <w:lang w:val="en-GB"/>
        </w:rPr>
        <w:t xml:space="preserve"> </w:t>
      </w:r>
      <w:r w:rsidR="003618BD" w:rsidRPr="002A7CC6">
        <w:t xml:space="preserve">in the economic analysis </w:t>
      </w:r>
      <w:r w:rsidR="003618BD">
        <w:rPr>
          <w:rFonts w:asciiTheme="minorHAnsi" w:hAnsiTheme="minorHAnsi"/>
          <w:bCs/>
          <w:lang w:val="en-GB"/>
        </w:rPr>
        <w:t>because</w:t>
      </w:r>
      <w:r w:rsidR="003618BD" w:rsidRPr="002A7CC6">
        <w:t xml:space="preserve"> the clinical outcomes are based on the level of HSCT use in the clinical trials, and use of HSCT is a direct consequence of treatment with either inotuzumab or blinatumomab</w:t>
      </w:r>
      <w:r w:rsidR="003618BD">
        <w:t xml:space="preserve">. </w:t>
      </w:r>
      <w:r w:rsidR="002511D9">
        <w:rPr>
          <w:rFonts w:asciiTheme="minorHAnsi" w:hAnsiTheme="minorHAnsi"/>
          <w:bCs/>
          <w:lang w:val="en-GB"/>
        </w:rPr>
        <w:t xml:space="preserve">However, the PBAC considered that the data to inform </w:t>
      </w:r>
      <w:r w:rsidR="00AF1B3B">
        <w:rPr>
          <w:rFonts w:asciiTheme="minorHAnsi" w:hAnsiTheme="minorHAnsi"/>
          <w:bCs/>
          <w:lang w:val="en-GB"/>
        </w:rPr>
        <w:t>this</w:t>
      </w:r>
      <w:r w:rsidR="002511D9">
        <w:rPr>
          <w:rFonts w:asciiTheme="minorHAnsi" w:hAnsiTheme="minorHAnsi"/>
          <w:bCs/>
          <w:lang w:val="en-GB"/>
        </w:rPr>
        <w:t xml:space="preserve"> comparison were not sufficiently reliable</w:t>
      </w:r>
      <w:r w:rsidR="003618BD">
        <w:rPr>
          <w:rFonts w:asciiTheme="minorHAnsi" w:hAnsiTheme="minorHAnsi"/>
          <w:bCs/>
          <w:lang w:val="en-GB"/>
        </w:rPr>
        <w:t xml:space="preserve">. In particular, the PBAC considered that the differential rates of HSCT observed in the INO-VATE ALL and TOWER trials were </w:t>
      </w:r>
      <w:r w:rsidR="003618BD" w:rsidRPr="003618BD">
        <w:rPr>
          <w:rFonts w:asciiTheme="minorHAnsi" w:hAnsiTheme="minorHAnsi"/>
          <w:bCs/>
          <w:lang w:val="en-GB"/>
        </w:rPr>
        <w:t>likely confound</w:t>
      </w:r>
      <w:r w:rsidR="003618BD">
        <w:rPr>
          <w:rFonts w:asciiTheme="minorHAnsi" w:hAnsiTheme="minorHAnsi"/>
          <w:bCs/>
          <w:lang w:val="en-GB"/>
        </w:rPr>
        <w:t xml:space="preserve">ed by the differences in patient </w:t>
      </w:r>
      <w:r w:rsidR="00AF1B3B">
        <w:rPr>
          <w:rFonts w:asciiTheme="minorHAnsi" w:hAnsiTheme="minorHAnsi"/>
          <w:bCs/>
          <w:lang w:val="en-GB"/>
        </w:rPr>
        <w:t>populations</w:t>
      </w:r>
      <w:r w:rsidR="003618BD">
        <w:rPr>
          <w:rFonts w:asciiTheme="minorHAnsi" w:hAnsiTheme="minorHAnsi"/>
          <w:bCs/>
          <w:lang w:val="en-GB"/>
        </w:rPr>
        <w:t xml:space="preserve"> between the two trials. </w:t>
      </w:r>
      <w:r w:rsidR="002511D9">
        <w:rPr>
          <w:rFonts w:asciiTheme="minorHAnsi" w:hAnsiTheme="minorHAnsi"/>
          <w:bCs/>
          <w:lang w:val="en-GB"/>
        </w:rPr>
        <w:t>Thus, the PBAC considered that</w:t>
      </w:r>
      <w:r w:rsidR="008E2041">
        <w:rPr>
          <w:rFonts w:asciiTheme="minorHAnsi" w:hAnsiTheme="minorHAnsi"/>
          <w:bCs/>
          <w:lang w:val="en-GB"/>
        </w:rPr>
        <w:t>, in this case,</w:t>
      </w:r>
      <w:r w:rsidR="002511D9">
        <w:rPr>
          <w:rFonts w:asciiTheme="minorHAnsi" w:hAnsiTheme="minorHAnsi"/>
          <w:bCs/>
          <w:lang w:val="en-GB"/>
        </w:rPr>
        <w:t xml:space="preserve"> </w:t>
      </w:r>
      <w:r w:rsidR="008E2041">
        <w:rPr>
          <w:rFonts w:asciiTheme="minorHAnsi" w:hAnsiTheme="minorHAnsi"/>
          <w:bCs/>
          <w:lang w:val="en-GB"/>
        </w:rPr>
        <w:t>it was appropriate for the cost</w:t>
      </w:r>
      <w:r w:rsidR="0023246F">
        <w:rPr>
          <w:rFonts w:asciiTheme="minorHAnsi" w:hAnsiTheme="minorHAnsi"/>
          <w:bCs/>
          <w:lang w:val="en-GB"/>
        </w:rPr>
        <w:t>-</w:t>
      </w:r>
      <w:r w:rsidR="008E2041">
        <w:rPr>
          <w:rFonts w:asciiTheme="minorHAnsi" w:hAnsiTheme="minorHAnsi"/>
          <w:bCs/>
          <w:lang w:val="en-GB"/>
        </w:rPr>
        <w:t xml:space="preserve">analysis to exclude HSCT costs. Further, the PBAC considered that the other non-drug costs </w:t>
      </w:r>
      <w:r w:rsidR="008E2041" w:rsidRPr="008E2041">
        <w:rPr>
          <w:rFonts w:asciiTheme="minorHAnsi" w:hAnsiTheme="minorHAnsi"/>
          <w:bCs/>
          <w:lang w:val="en-GB"/>
        </w:rPr>
        <w:t>associated with inotuzumab treatment are likely to be no more than the costs associated with blinatumomab.</w:t>
      </w:r>
      <w:r w:rsidR="008E2041">
        <w:rPr>
          <w:rFonts w:asciiTheme="minorHAnsi" w:hAnsiTheme="minorHAnsi"/>
          <w:bCs/>
          <w:lang w:val="en-GB"/>
        </w:rPr>
        <w:t xml:space="preserve"> As such, the PBAC considered that the </w:t>
      </w:r>
      <w:r w:rsidR="008E2041" w:rsidRPr="008E2041">
        <w:rPr>
          <w:rFonts w:asciiTheme="minorHAnsi" w:hAnsiTheme="minorHAnsi"/>
          <w:bCs/>
          <w:lang w:val="en-GB"/>
        </w:rPr>
        <w:t xml:space="preserve">cost-minimisation analysis </w:t>
      </w:r>
      <w:r w:rsidR="008E2041">
        <w:rPr>
          <w:rFonts w:asciiTheme="minorHAnsi" w:hAnsiTheme="minorHAnsi"/>
          <w:bCs/>
          <w:lang w:val="en-GB"/>
        </w:rPr>
        <w:t xml:space="preserve">should be </w:t>
      </w:r>
      <w:r w:rsidR="008E2041" w:rsidRPr="008E2041">
        <w:rPr>
          <w:rFonts w:asciiTheme="minorHAnsi" w:hAnsiTheme="minorHAnsi"/>
          <w:bCs/>
          <w:lang w:val="en-GB"/>
        </w:rPr>
        <w:t>based on drug costs only</w:t>
      </w:r>
      <w:r w:rsidR="008E2041">
        <w:rPr>
          <w:rFonts w:asciiTheme="minorHAnsi" w:hAnsiTheme="minorHAnsi"/>
          <w:bCs/>
          <w:lang w:val="en-GB"/>
        </w:rPr>
        <w:t>.</w:t>
      </w:r>
    </w:p>
    <w:p w:rsidR="002511D9" w:rsidRDefault="00810291" w:rsidP="00151BD1">
      <w:pPr>
        <w:pStyle w:val="ListParagraph"/>
        <w:widowControl/>
        <w:numPr>
          <w:ilvl w:val="1"/>
          <w:numId w:val="1"/>
        </w:numPr>
        <w:spacing w:after="120"/>
        <w:rPr>
          <w:rFonts w:asciiTheme="minorHAnsi" w:hAnsiTheme="minorHAnsi"/>
          <w:bCs/>
          <w:lang w:val="en-GB"/>
        </w:rPr>
      </w:pPr>
      <w:r>
        <w:rPr>
          <w:rFonts w:asciiTheme="minorHAnsi" w:hAnsiTheme="minorHAnsi"/>
          <w:bCs/>
          <w:lang w:val="en-GB"/>
        </w:rPr>
        <w:t>The PBAC noted that</w:t>
      </w:r>
      <w:r w:rsidR="00E54447">
        <w:rPr>
          <w:rFonts w:asciiTheme="minorHAnsi" w:hAnsiTheme="minorHAnsi"/>
          <w:bCs/>
          <w:lang w:val="en-GB"/>
        </w:rPr>
        <w:t xml:space="preserve">, with </w:t>
      </w:r>
      <w:r w:rsidR="00E54447" w:rsidRPr="00E54447">
        <w:rPr>
          <w:rFonts w:asciiTheme="minorHAnsi" w:hAnsiTheme="minorHAnsi"/>
          <w:bCs/>
          <w:lang w:val="en-GB"/>
        </w:rPr>
        <w:t xml:space="preserve">sequential use, </w:t>
      </w:r>
      <w:r w:rsidR="003618BD" w:rsidRPr="00E54447">
        <w:t>listing inotuzumab would result in higher costs to the health system</w:t>
      </w:r>
      <w:r w:rsidR="00E54447" w:rsidRPr="00E54447">
        <w:t>.</w:t>
      </w:r>
      <w:r w:rsidR="00863808">
        <w:t xml:space="preserve"> The PBAC considered the</w:t>
      </w:r>
      <w:r w:rsidR="004F0FB2">
        <w:t xml:space="preserve"> additional</w:t>
      </w:r>
      <w:r w:rsidR="00863808">
        <w:t xml:space="preserve"> cost </w:t>
      </w:r>
      <w:r w:rsidR="004F0FB2">
        <w:t>to</w:t>
      </w:r>
      <w:r w:rsidR="00863808">
        <w:t xml:space="preserve"> be </w:t>
      </w:r>
      <w:r w:rsidR="004F0FB2">
        <w:t>readily calculable based on the information presented in the submission, and would be contained given the small patient numbers</w:t>
      </w:r>
      <w:r w:rsidR="008B778A">
        <w:t xml:space="preserve">. </w:t>
      </w:r>
      <w:r w:rsidR="004F6E78">
        <w:t>T</w:t>
      </w:r>
      <w:r w:rsidRPr="00E54447">
        <w:t xml:space="preserve">he PBAC considered that </w:t>
      </w:r>
      <w:r w:rsidR="00E54447" w:rsidRPr="00E54447">
        <w:t>a cost-</w:t>
      </w:r>
      <w:r w:rsidR="00E54447" w:rsidRPr="00E54447">
        <w:lastRenderedPageBreak/>
        <w:t>minimisation analysis remained appropriate</w:t>
      </w:r>
      <w:r w:rsidR="00E54447">
        <w:t xml:space="preserve"> in this particular case</w:t>
      </w:r>
      <w:r w:rsidR="00E54447" w:rsidRPr="00E54447">
        <w:t xml:space="preserve"> given the cost-effectiveness </w:t>
      </w:r>
      <w:r w:rsidR="007E26D3">
        <w:t xml:space="preserve">of sequential use </w:t>
      </w:r>
      <w:r w:rsidR="00E54447" w:rsidRPr="00E54447">
        <w:t>could be inferred</w:t>
      </w:r>
      <w:r w:rsidR="009E5768">
        <w:t>. This was because th</w:t>
      </w:r>
      <w:r w:rsidR="00B27B42">
        <w:t xml:space="preserve">e </w:t>
      </w:r>
      <w:r w:rsidR="00863808">
        <w:t xml:space="preserve">blinatumomab trial included patients treated </w:t>
      </w:r>
      <w:r w:rsidR="00750E36">
        <w:t>in various lines of</w:t>
      </w:r>
      <w:r w:rsidR="00863808">
        <w:t xml:space="preserve"> salvage, the </w:t>
      </w:r>
      <w:r w:rsidR="00B27B42">
        <w:t>comparator</w:t>
      </w:r>
      <w:r w:rsidR="009E5768">
        <w:t xml:space="preserve"> for second salvage</w:t>
      </w:r>
      <w:r w:rsidR="00B27B42">
        <w:t xml:space="preserve"> would be standard of care chemotherapies, </w:t>
      </w:r>
      <w:r w:rsidR="005F00F6">
        <w:t xml:space="preserve">and </w:t>
      </w:r>
      <w:r w:rsidR="00B27B42">
        <w:t>blinatumomab had already been shown to be cost-effective</w:t>
      </w:r>
      <w:r w:rsidR="005F00F6">
        <w:t xml:space="preserve"> against standard of care chemotherapies</w:t>
      </w:r>
      <w:r w:rsidR="00B27B42">
        <w:t xml:space="preserve"> (and thus inotuzumab would be cost-effective by inference</w:t>
      </w:r>
      <w:r w:rsidR="009E5768">
        <w:t xml:space="preserve"> given it is recommended for listing on a cost-minimisation basis</w:t>
      </w:r>
      <w:r w:rsidR="00B27B42">
        <w:t xml:space="preserve">) </w:t>
      </w:r>
      <w:r w:rsidR="007E26D3">
        <w:t>.</w:t>
      </w:r>
      <w:r w:rsidR="00E54447">
        <w:t xml:space="preserve"> </w:t>
      </w:r>
    </w:p>
    <w:p w:rsidR="005F00F6" w:rsidRPr="002A7CC6" w:rsidRDefault="005F00F6" w:rsidP="005F00F6">
      <w:pPr>
        <w:pStyle w:val="ListParagraph"/>
        <w:widowControl/>
        <w:numPr>
          <w:ilvl w:val="1"/>
          <w:numId w:val="1"/>
        </w:numPr>
      </w:pPr>
      <w:r>
        <w:rPr>
          <w:rFonts w:asciiTheme="minorHAnsi" w:hAnsiTheme="minorHAnsi"/>
          <w:bCs/>
          <w:lang w:val="en-GB"/>
        </w:rPr>
        <w:t xml:space="preserve">The PBAC considered that uptake from therapies other than blinatumomab </w:t>
      </w:r>
      <w:r w:rsidR="00E14414">
        <w:rPr>
          <w:rFonts w:asciiTheme="minorHAnsi" w:hAnsiTheme="minorHAnsi"/>
          <w:bCs/>
          <w:lang w:val="en-GB"/>
        </w:rPr>
        <w:t xml:space="preserve">in first salvage was </w:t>
      </w:r>
      <w:r w:rsidR="005F7D3A">
        <w:rPr>
          <w:rFonts w:asciiTheme="minorHAnsi" w:hAnsiTheme="minorHAnsi"/>
          <w:bCs/>
          <w:lang w:val="en-GB"/>
        </w:rPr>
        <w:t xml:space="preserve">overestimated </w:t>
      </w:r>
      <w:r w:rsidR="00E14414">
        <w:rPr>
          <w:rFonts w:asciiTheme="minorHAnsi" w:hAnsiTheme="minorHAnsi"/>
          <w:bCs/>
          <w:lang w:val="en-GB"/>
        </w:rPr>
        <w:t xml:space="preserve">and should be </w:t>
      </w:r>
      <w:r w:rsidR="005F7D3A">
        <w:rPr>
          <w:rFonts w:asciiTheme="minorHAnsi" w:hAnsiTheme="minorHAnsi"/>
          <w:bCs/>
          <w:lang w:val="en-GB"/>
        </w:rPr>
        <w:t xml:space="preserve">reduced in </w:t>
      </w:r>
      <w:r w:rsidR="00E14414">
        <w:rPr>
          <w:rFonts w:asciiTheme="minorHAnsi" w:hAnsiTheme="minorHAnsi"/>
          <w:bCs/>
          <w:lang w:val="en-GB"/>
        </w:rPr>
        <w:t>the financial estimates. The PBAC also considered that the issues with rounding of scripts, averaging of costs and estimation of patient co-payments (as outlined in Paragraph 6.8</w:t>
      </w:r>
      <w:r w:rsidR="00750E36">
        <w:rPr>
          <w:rFonts w:asciiTheme="minorHAnsi" w:hAnsiTheme="minorHAnsi"/>
          <w:bCs/>
          <w:lang w:val="en-GB"/>
        </w:rPr>
        <w:t>8</w:t>
      </w:r>
      <w:r w:rsidR="00E14414">
        <w:rPr>
          <w:rFonts w:asciiTheme="minorHAnsi" w:hAnsiTheme="minorHAnsi"/>
          <w:bCs/>
          <w:lang w:val="en-GB"/>
        </w:rPr>
        <w:t xml:space="preserve">) should be corrected. </w:t>
      </w:r>
    </w:p>
    <w:p w:rsidR="00E4530A" w:rsidRPr="005F00F6" w:rsidRDefault="00E14414" w:rsidP="00E4530A">
      <w:pPr>
        <w:pStyle w:val="ListParagraph"/>
        <w:widowControl/>
        <w:numPr>
          <w:ilvl w:val="1"/>
          <w:numId w:val="1"/>
        </w:numPr>
      </w:pPr>
      <w:r>
        <w:t xml:space="preserve">The PBAC </w:t>
      </w:r>
      <w:r w:rsidR="00E4530A">
        <w:rPr>
          <w:rFonts w:asciiTheme="minorHAnsi" w:hAnsiTheme="minorHAnsi"/>
          <w:bCs/>
          <w:lang w:val="en-GB"/>
        </w:rPr>
        <w:t xml:space="preserve">considered that the financial estimates would need to be updated to include </w:t>
      </w:r>
      <w:r w:rsidR="00E4530A" w:rsidRPr="005F00F6">
        <w:rPr>
          <w:rFonts w:asciiTheme="minorHAnsi" w:hAnsiTheme="minorHAnsi"/>
          <w:bCs/>
          <w:lang w:val="en-GB"/>
        </w:rPr>
        <w:t>the additional costs associated with sequential use of inotuzumab and blinatumomab.</w:t>
      </w:r>
      <w:r w:rsidR="00E4530A">
        <w:rPr>
          <w:rFonts w:asciiTheme="minorHAnsi" w:hAnsiTheme="minorHAnsi"/>
          <w:bCs/>
          <w:lang w:val="en-GB"/>
        </w:rPr>
        <w:t xml:space="preserve"> The PBAC considered these additional costs should include use in patients who require a second salvage due to either not proceeding to HSCT after first salvage or who relapse post-HSCT. </w:t>
      </w:r>
    </w:p>
    <w:p w:rsidR="00E14414" w:rsidRPr="002A7CC6" w:rsidRDefault="00567928" w:rsidP="00E14414">
      <w:pPr>
        <w:pStyle w:val="ListParagraph"/>
        <w:widowControl/>
        <w:numPr>
          <w:ilvl w:val="1"/>
          <w:numId w:val="1"/>
        </w:numPr>
      </w:pPr>
      <w:r>
        <w:t xml:space="preserve">The PBAC </w:t>
      </w:r>
      <w:r w:rsidR="00E14414">
        <w:t>considered that inotuzumab would need to join the existing RSA</w:t>
      </w:r>
      <w:r w:rsidR="00112931">
        <w:t xml:space="preserve"> terms</w:t>
      </w:r>
      <w:r w:rsidR="00E14414">
        <w:t xml:space="preserve"> in place for b</w:t>
      </w:r>
      <w:r w:rsidR="00EA138C">
        <w:t xml:space="preserve">linatumomab, and that the </w:t>
      </w:r>
      <w:r w:rsidR="00112931">
        <w:t xml:space="preserve">associated financial </w:t>
      </w:r>
      <w:r w:rsidR="00EA138C">
        <w:t xml:space="preserve">caps </w:t>
      </w:r>
      <w:r w:rsidR="00112931">
        <w:t xml:space="preserve">could only </w:t>
      </w:r>
      <w:r w:rsidR="00E14414">
        <w:t xml:space="preserve">be increased by the number of additional </w:t>
      </w:r>
      <w:r w:rsidR="00EA138C">
        <w:t>treatment courses</w:t>
      </w:r>
      <w:r w:rsidR="00E14414">
        <w:t xml:space="preserve"> expected with sequential use permitted. </w:t>
      </w:r>
      <w:r>
        <w:t xml:space="preserve">The PBAC considered that the </w:t>
      </w:r>
      <w:r w:rsidR="00EA138C">
        <w:t>number of treatment courses with blinatumomab or inotuzumab would increase by no more than 50% with sequential use permitted.</w:t>
      </w:r>
    </w:p>
    <w:p w:rsidR="00607503" w:rsidRDefault="00607503" w:rsidP="009E5768">
      <w:pPr>
        <w:pStyle w:val="ListParagraph"/>
        <w:widowControl/>
        <w:numPr>
          <w:ilvl w:val="1"/>
          <w:numId w:val="1"/>
        </w:numPr>
        <w:rPr>
          <w:bCs/>
        </w:rPr>
      </w:pPr>
      <w:r>
        <w:rPr>
          <w:bCs/>
        </w:rPr>
        <w:t xml:space="preserve">The PBAC considered that flow-on changes would be required to the </w:t>
      </w:r>
      <w:r w:rsidR="00A904D1">
        <w:rPr>
          <w:bCs/>
        </w:rPr>
        <w:t xml:space="preserve">existing </w:t>
      </w:r>
      <w:r>
        <w:rPr>
          <w:bCs/>
        </w:rPr>
        <w:t>blinatumomab restriction to allow use in patients with an ECOG status of 2</w:t>
      </w:r>
      <w:r w:rsidR="00D45742">
        <w:rPr>
          <w:bCs/>
        </w:rPr>
        <w:t>,</w:t>
      </w:r>
      <w:r>
        <w:rPr>
          <w:bCs/>
        </w:rPr>
        <w:t xml:space="preserve"> and to allow use in first and second salvage only.</w:t>
      </w:r>
      <w:r w:rsidR="00EA138C">
        <w:rPr>
          <w:bCs/>
        </w:rPr>
        <w:t xml:space="preserve"> The PBAC considered that the number of patients likely to be impacted by these amendments was minimal, and the net overall effect (of these two amendments) would </w:t>
      </w:r>
      <w:r w:rsidR="00112931">
        <w:rPr>
          <w:bCs/>
        </w:rPr>
        <w:t xml:space="preserve">likely result in </w:t>
      </w:r>
      <w:r w:rsidR="00EA138C">
        <w:rPr>
          <w:bCs/>
        </w:rPr>
        <w:t xml:space="preserve">no change to </w:t>
      </w:r>
      <w:r w:rsidR="00112931">
        <w:rPr>
          <w:bCs/>
        </w:rPr>
        <w:t xml:space="preserve">net </w:t>
      </w:r>
      <w:r w:rsidR="00EA138C">
        <w:rPr>
          <w:bCs/>
        </w:rPr>
        <w:t xml:space="preserve">patient numbers. </w:t>
      </w:r>
    </w:p>
    <w:p w:rsidR="009E5768" w:rsidRPr="00346199" w:rsidRDefault="009E5768" w:rsidP="009E5768">
      <w:pPr>
        <w:pStyle w:val="ListParagraph"/>
        <w:widowControl/>
        <w:numPr>
          <w:ilvl w:val="1"/>
          <w:numId w:val="1"/>
        </w:numPr>
        <w:rPr>
          <w:bCs/>
        </w:rPr>
      </w:pPr>
      <w:r>
        <w:rPr>
          <w:bCs/>
        </w:rPr>
        <w:t xml:space="preserve">The PBAC advised that inotuzumab </w:t>
      </w:r>
      <w:r w:rsidRPr="00346199">
        <w:rPr>
          <w:bCs/>
        </w:rPr>
        <w:t xml:space="preserve">is not </w:t>
      </w:r>
      <w:r w:rsidRPr="00F05F1D">
        <w:t>suitable</w:t>
      </w:r>
      <w:r w:rsidRPr="00346199">
        <w:rPr>
          <w:bCs/>
        </w:rPr>
        <w:t xml:space="preserve"> for prescribing by nurse practitioners.</w:t>
      </w:r>
    </w:p>
    <w:p w:rsidR="009E5768" w:rsidRPr="009F4F72" w:rsidRDefault="009F4F72" w:rsidP="009F4F72">
      <w:pPr>
        <w:pStyle w:val="ListParagraph"/>
        <w:numPr>
          <w:ilvl w:val="1"/>
          <w:numId w:val="1"/>
        </w:numPr>
        <w:rPr>
          <w:bCs/>
        </w:rPr>
      </w:pPr>
      <w:r>
        <w:t xml:space="preserve">The PBAC advised that under subsection 101(3BA) of the </w:t>
      </w:r>
      <w:r w:rsidRPr="009F4F72">
        <w:rPr>
          <w:bCs/>
          <w:i/>
        </w:rPr>
        <w:t>National Health Act, 1953</w:t>
      </w:r>
      <w:r>
        <w:t xml:space="preserve"> inotuzumab should not be treated as interchangeable on an individual patient basis with any other drugs.</w:t>
      </w:r>
      <w:r w:rsidRPr="009F4F72" w:rsidDel="009F4F72">
        <w:rPr>
          <w:bCs/>
        </w:rPr>
        <w:t xml:space="preserve"> </w:t>
      </w:r>
    </w:p>
    <w:p w:rsidR="009E5768" w:rsidRPr="009F4F72" w:rsidRDefault="009E5768" w:rsidP="009F4F72">
      <w:pPr>
        <w:pStyle w:val="ListParagraph"/>
        <w:numPr>
          <w:ilvl w:val="1"/>
          <w:numId w:val="1"/>
        </w:numPr>
        <w:rPr>
          <w:bCs/>
        </w:rPr>
      </w:pPr>
      <w:r w:rsidRPr="009F4F72">
        <w:rPr>
          <w:bCs/>
        </w:rPr>
        <w:t xml:space="preserve">The PBAC recommended that </w:t>
      </w:r>
      <w:r w:rsidR="001F3106" w:rsidRPr="009F4F72">
        <w:rPr>
          <w:bCs/>
        </w:rPr>
        <w:t>inotuzumab should be exempt from the Early Supply Rule as it cannot currently be applied to Section 100 (Efficient Funding of Chemotherapy) program listings</w:t>
      </w:r>
      <w:r w:rsidRPr="009F4F72">
        <w:rPr>
          <w:bCs/>
        </w:rPr>
        <w:t>.</w:t>
      </w:r>
    </w:p>
    <w:p w:rsidR="002465F9" w:rsidRDefault="009E5768" w:rsidP="002465F9">
      <w:pPr>
        <w:pStyle w:val="ListParagraph"/>
        <w:widowControl/>
        <w:numPr>
          <w:ilvl w:val="1"/>
          <w:numId w:val="1"/>
        </w:numPr>
        <w:rPr>
          <w:bCs/>
          <w:szCs w:val="24"/>
          <w:lang w:eastAsia="en-AU"/>
        </w:rPr>
      </w:pPr>
      <w:r w:rsidRPr="009F4F72">
        <w:rPr>
          <w:bCs/>
        </w:rPr>
        <w:lastRenderedPageBreak/>
        <w:t>T</w:t>
      </w:r>
      <w:r w:rsidRPr="00346199">
        <w:rPr>
          <w:bCs/>
          <w:szCs w:val="24"/>
          <w:lang w:eastAsia="en-AU"/>
        </w:rPr>
        <w:t>he PBAC noted that this submission was not eligible for an Independent Review as it was a positive recommendation.</w:t>
      </w:r>
    </w:p>
    <w:p w:rsidR="002465F9" w:rsidRPr="002465F9" w:rsidRDefault="002465F9" w:rsidP="002465F9">
      <w:pPr>
        <w:widowControl/>
        <w:rPr>
          <w:bCs/>
          <w:szCs w:val="24"/>
          <w:lang w:eastAsia="en-AU"/>
        </w:rPr>
      </w:pPr>
    </w:p>
    <w:p w:rsidR="00F96F7D" w:rsidRPr="002465F9" w:rsidRDefault="00F96F7D" w:rsidP="002465F9">
      <w:pPr>
        <w:widowControl/>
        <w:rPr>
          <w:bCs/>
          <w:szCs w:val="24"/>
          <w:lang w:eastAsia="en-AU"/>
        </w:rPr>
      </w:pPr>
      <w:r w:rsidRPr="002465F9">
        <w:rPr>
          <w:b/>
          <w:lang w:val="en-GB"/>
        </w:rPr>
        <w:t>Outcome:</w:t>
      </w:r>
    </w:p>
    <w:p w:rsidR="002465F9" w:rsidRPr="002465F9" w:rsidRDefault="00F96F7D" w:rsidP="002465F9">
      <w:pPr>
        <w:rPr>
          <w:lang w:val="en-GB"/>
        </w:rPr>
      </w:pPr>
      <w:r>
        <w:rPr>
          <w:lang w:val="en-GB"/>
        </w:rPr>
        <w:t xml:space="preserve">Recommended </w:t>
      </w:r>
    </w:p>
    <w:p w:rsidR="00750FFF" w:rsidRPr="00B57094" w:rsidRDefault="00750FFF" w:rsidP="00DC2132">
      <w:pPr>
        <w:pStyle w:val="Heading1"/>
        <w:rPr>
          <w:i/>
          <w:lang w:val="en-GB"/>
        </w:rPr>
      </w:pPr>
      <w:r w:rsidRPr="00B57094">
        <w:rPr>
          <w:lang w:val="en-GB"/>
        </w:rPr>
        <w:t>Recommended listing</w:t>
      </w:r>
    </w:p>
    <w:p w:rsidR="00750FFF" w:rsidRPr="00B57094" w:rsidRDefault="00750FFF" w:rsidP="002465F9">
      <w:pPr>
        <w:pStyle w:val="ListParagraph"/>
        <w:widowControl/>
        <w:numPr>
          <w:ilvl w:val="1"/>
          <w:numId w:val="1"/>
        </w:numPr>
        <w:rPr>
          <w:rFonts w:asciiTheme="minorHAnsi" w:hAnsiTheme="minorHAnsi"/>
          <w:bCs/>
        </w:rPr>
      </w:pPr>
      <w:r w:rsidRPr="00B57094">
        <w:rPr>
          <w:rFonts w:asciiTheme="minorHAnsi" w:hAnsiTheme="minorHAnsi"/>
          <w:bCs/>
        </w:rPr>
        <w:t>Add new item:</w:t>
      </w:r>
    </w:p>
    <w:p w:rsidR="003C0C20" w:rsidRPr="009714DF" w:rsidRDefault="003C0C20" w:rsidP="003C0C20">
      <w:pPr>
        <w:keepNext/>
        <w:widowControl/>
        <w:snapToGrid w:val="0"/>
        <w:rPr>
          <w:b/>
          <w:snapToGrid/>
        </w:rPr>
      </w:pPr>
      <w:r w:rsidRPr="009714DF">
        <w:rPr>
          <w:b/>
          <w:snapToGrid/>
        </w:rPr>
        <w:t>Induction</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5"/>
        <w:gridCol w:w="1405"/>
      </w:tblGrid>
      <w:tr w:rsidR="003C0C20" w:rsidRPr="009714DF" w:rsidTr="00F96F7D">
        <w:trPr>
          <w:cantSplit/>
          <w:trHeight w:val="463"/>
        </w:trPr>
        <w:tc>
          <w:tcPr>
            <w:tcW w:w="1405" w:type="pct"/>
            <w:gridSpan w:val="2"/>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rPr>
                <w:rFonts w:ascii="Arial Narrow" w:hAnsi="Arial Narrow"/>
                <w:b/>
                <w:snapToGrid/>
                <w:sz w:val="20"/>
              </w:rPr>
            </w:pPr>
            <w:r w:rsidRPr="009714DF">
              <w:rPr>
                <w:rFonts w:ascii="Arial Narrow" w:hAnsi="Arial Narrow"/>
                <w:b/>
                <w:snapToGrid/>
                <w:sz w:val="20"/>
              </w:rPr>
              <w:t>Name, Restriction,</w:t>
            </w:r>
          </w:p>
          <w:p w:rsidR="003C0C20" w:rsidRPr="009714DF" w:rsidRDefault="003C0C20" w:rsidP="003C0C20">
            <w:pPr>
              <w:keepNext/>
              <w:widowControl/>
              <w:snapToGrid w:val="0"/>
              <w:rPr>
                <w:rFonts w:ascii="Arial Narrow" w:hAnsi="Arial Narrow"/>
                <w:b/>
                <w:snapToGrid/>
                <w:sz w:val="20"/>
              </w:rPr>
            </w:pPr>
            <w:r w:rsidRPr="009714DF">
              <w:rPr>
                <w:rFonts w:ascii="Arial Narrow" w:hAnsi="Arial Narrow"/>
                <w:b/>
                <w:snapToGrid/>
                <w:sz w:val="20"/>
              </w:rPr>
              <w:t>Manner of administration and form</w:t>
            </w:r>
          </w:p>
        </w:tc>
        <w:tc>
          <w:tcPr>
            <w:tcW w:w="472" w:type="pct"/>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Max.</w:t>
            </w:r>
          </w:p>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Amt</w:t>
            </w:r>
          </w:p>
        </w:tc>
        <w:tc>
          <w:tcPr>
            <w:tcW w:w="867" w:type="pct"/>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№.of</w:t>
            </w:r>
          </w:p>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Rpts</w:t>
            </w:r>
          </w:p>
        </w:tc>
        <w:tc>
          <w:tcPr>
            <w:tcW w:w="314" w:type="pct"/>
            <w:tcBorders>
              <w:top w:val="single" w:sz="4" w:space="0" w:color="auto"/>
              <w:left w:val="nil"/>
              <w:bottom w:val="single" w:sz="4" w:space="0" w:color="auto"/>
              <w:right w:val="nil"/>
            </w:tcBorders>
            <w:vAlign w:val="center"/>
          </w:tcPr>
          <w:p w:rsidR="003C0C20" w:rsidRPr="009714DF" w:rsidRDefault="003C0C20" w:rsidP="003C0C20">
            <w:pPr>
              <w:keepNext/>
              <w:widowControl/>
              <w:snapToGrid w:val="0"/>
              <w:jc w:val="center"/>
              <w:rPr>
                <w:rFonts w:ascii="Arial Narrow" w:hAnsi="Arial Narrow"/>
                <w:b/>
                <w:snapToGrid/>
                <w:sz w:val="20"/>
              </w:rPr>
            </w:pPr>
          </w:p>
        </w:tc>
        <w:tc>
          <w:tcPr>
            <w:tcW w:w="1942" w:type="pct"/>
            <w:gridSpan w:val="2"/>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lang w:val="fr-FR"/>
              </w:rPr>
            </w:pPr>
            <w:r w:rsidRPr="009714DF">
              <w:rPr>
                <w:rFonts w:ascii="Arial Narrow" w:hAnsi="Arial Narrow"/>
                <w:b/>
                <w:snapToGrid/>
                <w:sz w:val="20"/>
              </w:rPr>
              <w:t>Proprietary Name and Manufacturer</w:t>
            </w:r>
          </w:p>
        </w:tc>
      </w:tr>
      <w:tr w:rsidR="003C0C20" w:rsidRPr="009714DF" w:rsidTr="00F96F7D">
        <w:trPr>
          <w:cantSplit/>
          <w:trHeight w:val="259"/>
        </w:trPr>
        <w:tc>
          <w:tcPr>
            <w:tcW w:w="1405" w:type="pct"/>
            <w:gridSpan w:val="2"/>
            <w:hideMark/>
          </w:tcPr>
          <w:p w:rsidR="003C0C20" w:rsidRPr="009714DF" w:rsidRDefault="003C0C20" w:rsidP="003C0C20">
            <w:pPr>
              <w:keepNext/>
              <w:widowControl/>
              <w:snapToGrid w:val="0"/>
              <w:rPr>
                <w:rFonts w:ascii="Arial Narrow" w:hAnsi="Arial Narrow"/>
                <w:snapToGrid/>
                <w:sz w:val="20"/>
              </w:rPr>
            </w:pPr>
            <w:r w:rsidRPr="009714DF">
              <w:rPr>
                <w:rFonts w:ascii="Arial Narrow" w:hAnsi="Arial Narrow"/>
                <w:smallCaps/>
                <w:snapToGrid/>
                <w:sz w:val="20"/>
              </w:rPr>
              <w:t>INOTUZUMAB OZOGAMICIN</w:t>
            </w:r>
          </w:p>
        </w:tc>
        <w:tc>
          <w:tcPr>
            <w:tcW w:w="472" w:type="pct"/>
            <w:vAlign w:val="center"/>
          </w:tcPr>
          <w:p w:rsidR="003C0C20" w:rsidRPr="009714DF" w:rsidRDefault="003C0C20" w:rsidP="003C0C20">
            <w:pPr>
              <w:keepNext/>
              <w:widowControl/>
              <w:snapToGrid w:val="0"/>
              <w:rPr>
                <w:rFonts w:ascii="Arial Narrow" w:hAnsi="Arial Narrow"/>
                <w:snapToGrid/>
                <w:sz w:val="20"/>
              </w:rPr>
            </w:pPr>
          </w:p>
        </w:tc>
        <w:tc>
          <w:tcPr>
            <w:tcW w:w="867" w:type="pct"/>
            <w:vAlign w:val="center"/>
          </w:tcPr>
          <w:p w:rsidR="003C0C20" w:rsidRPr="009714DF" w:rsidRDefault="003C0C20" w:rsidP="003C0C20">
            <w:pPr>
              <w:keepNext/>
              <w:widowControl/>
              <w:snapToGrid w:val="0"/>
              <w:rPr>
                <w:rFonts w:ascii="Arial Narrow" w:hAnsi="Arial Narrow"/>
                <w:snapToGrid/>
                <w:sz w:val="20"/>
              </w:rPr>
            </w:pPr>
          </w:p>
        </w:tc>
        <w:tc>
          <w:tcPr>
            <w:tcW w:w="314" w:type="pct"/>
            <w:vAlign w:val="center"/>
          </w:tcPr>
          <w:p w:rsidR="003C0C20" w:rsidRPr="009714DF" w:rsidRDefault="003C0C20" w:rsidP="003C0C20">
            <w:pPr>
              <w:keepNext/>
              <w:widowControl/>
              <w:snapToGrid w:val="0"/>
              <w:rPr>
                <w:rFonts w:ascii="Arial Narrow" w:hAnsi="Arial Narrow"/>
                <w:snapToGrid/>
                <w:sz w:val="20"/>
              </w:rPr>
            </w:pPr>
          </w:p>
        </w:tc>
        <w:tc>
          <w:tcPr>
            <w:tcW w:w="1160" w:type="pct"/>
            <w:vAlign w:val="center"/>
          </w:tcPr>
          <w:p w:rsidR="003C0C20" w:rsidRPr="009714DF" w:rsidRDefault="003C0C20" w:rsidP="003C0C20">
            <w:pPr>
              <w:keepNext/>
              <w:widowControl/>
              <w:snapToGrid w:val="0"/>
              <w:jc w:val="center"/>
              <w:rPr>
                <w:rFonts w:ascii="Arial Narrow" w:hAnsi="Arial Narrow"/>
                <w:snapToGrid/>
                <w:sz w:val="20"/>
              </w:rPr>
            </w:pPr>
          </w:p>
        </w:tc>
        <w:tc>
          <w:tcPr>
            <w:tcW w:w="782" w:type="pct"/>
            <w:vAlign w:val="center"/>
          </w:tcPr>
          <w:p w:rsidR="003C0C20" w:rsidRPr="009714DF" w:rsidRDefault="003C0C20" w:rsidP="003C0C20">
            <w:pPr>
              <w:keepNext/>
              <w:widowControl/>
              <w:snapToGrid w:val="0"/>
              <w:rPr>
                <w:rFonts w:ascii="Arial Narrow" w:hAnsi="Arial Narrow"/>
                <w:snapToGrid/>
                <w:sz w:val="20"/>
              </w:rPr>
            </w:pPr>
          </w:p>
        </w:tc>
      </w:tr>
      <w:tr w:rsidR="003C0C20" w:rsidRPr="009714DF" w:rsidTr="00F96F7D">
        <w:trPr>
          <w:cantSplit/>
          <w:trHeight w:val="538"/>
        </w:trPr>
        <w:tc>
          <w:tcPr>
            <w:tcW w:w="1405" w:type="pct"/>
            <w:gridSpan w:val="2"/>
            <w:vAlign w:val="center"/>
            <w:hideMark/>
          </w:tcPr>
          <w:p w:rsidR="003C0C20" w:rsidRPr="009714DF" w:rsidRDefault="003C0C20" w:rsidP="003C0C20">
            <w:pPr>
              <w:widowControl/>
              <w:snapToGrid w:val="0"/>
              <w:rPr>
                <w:rFonts w:ascii="Arial Narrow" w:hAnsi="Arial Narrow"/>
                <w:snapToGrid/>
                <w:sz w:val="20"/>
              </w:rPr>
            </w:pPr>
            <w:r w:rsidRPr="009714DF">
              <w:rPr>
                <w:rFonts w:ascii="Arial Narrow" w:hAnsi="Arial Narrow"/>
                <w:snapToGrid/>
                <w:sz w:val="20"/>
              </w:rPr>
              <w:t>1 mg vial powder for injection</w:t>
            </w:r>
          </w:p>
        </w:tc>
        <w:tc>
          <w:tcPr>
            <w:tcW w:w="472" w:type="pct"/>
            <w:vAlign w:val="center"/>
            <w:hideMark/>
          </w:tcPr>
          <w:p w:rsidR="003C0C20" w:rsidRPr="009714DF" w:rsidRDefault="003C0C20" w:rsidP="003C0C20">
            <w:pPr>
              <w:widowControl/>
              <w:snapToGrid w:val="0"/>
              <w:jc w:val="center"/>
              <w:rPr>
                <w:rFonts w:ascii="Arial Narrow" w:hAnsi="Arial Narrow"/>
                <w:snapToGrid/>
                <w:sz w:val="20"/>
              </w:rPr>
            </w:pPr>
            <w:r w:rsidRPr="009714DF">
              <w:rPr>
                <w:rFonts w:ascii="Arial Narrow" w:hAnsi="Arial Narrow"/>
                <w:snapToGrid/>
                <w:sz w:val="20"/>
              </w:rPr>
              <w:t>3384 mcg</w:t>
            </w:r>
          </w:p>
        </w:tc>
        <w:tc>
          <w:tcPr>
            <w:tcW w:w="867" w:type="pct"/>
            <w:vAlign w:val="center"/>
            <w:hideMark/>
          </w:tcPr>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2</w:t>
            </w:r>
          </w:p>
        </w:tc>
        <w:tc>
          <w:tcPr>
            <w:tcW w:w="314" w:type="pct"/>
          </w:tcPr>
          <w:p w:rsidR="003C0C20" w:rsidRPr="009714DF" w:rsidRDefault="003C0C20" w:rsidP="003C0C20">
            <w:pPr>
              <w:keepNext/>
              <w:widowControl/>
              <w:snapToGrid w:val="0"/>
              <w:rPr>
                <w:rFonts w:ascii="Arial Narrow" w:hAnsi="Arial Narrow"/>
                <w:snapToGrid/>
                <w:sz w:val="20"/>
              </w:rPr>
            </w:pPr>
          </w:p>
        </w:tc>
        <w:tc>
          <w:tcPr>
            <w:tcW w:w="1160" w:type="pct"/>
            <w:vAlign w:val="center"/>
            <w:hideMark/>
          </w:tcPr>
          <w:p w:rsidR="003C0C20" w:rsidRPr="009714DF" w:rsidRDefault="003C0C20" w:rsidP="003C0C20">
            <w:pPr>
              <w:keepNext/>
              <w:widowControl/>
              <w:snapToGrid w:val="0"/>
              <w:jc w:val="center"/>
              <w:rPr>
                <w:rFonts w:ascii="Arial Narrow" w:hAnsi="Arial Narrow"/>
                <w:snapToGrid/>
                <w:sz w:val="20"/>
              </w:rPr>
            </w:pPr>
            <w:proofErr w:type="spellStart"/>
            <w:r w:rsidRPr="009714DF">
              <w:rPr>
                <w:rFonts w:ascii="Arial Narrow" w:hAnsi="Arial Narrow"/>
                <w:snapToGrid/>
                <w:sz w:val="20"/>
              </w:rPr>
              <w:t>Besponsa</w:t>
            </w:r>
            <w:proofErr w:type="spellEnd"/>
            <w:r w:rsidRPr="009714DF">
              <w:rPr>
                <w:rFonts w:ascii="Arial Narrow" w:hAnsi="Arial Narrow"/>
                <w:snapToGrid/>
                <w:sz w:val="20"/>
              </w:rPr>
              <w:t>®</w:t>
            </w:r>
          </w:p>
        </w:tc>
        <w:tc>
          <w:tcPr>
            <w:tcW w:w="782" w:type="pct"/>
            <w:vAlign w:val="center"/>
            <w:hideMark/>
          </w:tcPr>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 xml:space="preserve">Pfizer Australia </w:t>
            </w:r>
          </w:p>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P/L</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S100 – Efficient Funding of Chemotherapy (EFC)</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Acute lymphoblastic leukaemia (ALL)</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Induction treatment</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Authority Required - In Writing</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The condition must be relapsed or refractory B-precursor cell ALL, with an Eastern Cooperative Oncology Group (ECOG) performance status of 2 or less</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Patient must have received intensive combination chemotherapy for initial treatment of ALL or subsequent salvage therapy,</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 xml:space="preserve">Patient must not have received more than </w:t>
            </w:r>
            <w:r w:rsidR="00B41C57">
              <w:rPr>
                <w:rFonts w:ascii="Arial Narrow" w:hAnsi="Arial Narrow"/>
                <w:snapToGrid/>
                <w:sz w:val="20"/>
                <w:szCs w:val="20"/>
              </w:rPr>
              <w:t>1</w:t>
            </w:r>
            <w:r w:rsidRPr="009714DF">
              <w:rPr>
                <w:rFonts w:ascii="Arial Narrow" w:hAnsi="Arial Narrow"/>
                <w:snapToGrid/>
                <w:sz w:val="20"/>
                <w:szCs w:val="20"/>
              </w:rPr>
              <w:t xml:space="preserve"> line of salvage therapy</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 xml:space="preserve">The condition must be Philadelphia chromosome negative, </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 xml:space="preserve">The condition must be CD22-positive, </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The condition must have more than 5% blasts in bone marrow,</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The treatment must not be more than 3 treatment cycles under this restriction in a lifetime.</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This drug is not PBS-subsidised if it is prescribed to an in-patient in a public hospital setting.</w:t>
            </w:r>
            <w:r w:rsidRPr="009714DF" w:rsidDel="00082F8A">
              <w:rPr>
                <w:rFonts w:ascii="Arial Narrow" w:hAnsi="Arial Narrow"/>
                <w:snapToGrid/>
                <w:sz w:val="20"/>
                <w:szCs w:val="20"/>
              </w:rPr>
              <w:t xml:space="preserve"> </w:t>
            </w:r>
          </w:p>
          <w:p w:rsidR="003C0C20" w:rsidRPr="009714DF" w:rsidRDefault="003C0C20" w:rsidP="003C0C20">
            <w:pPr>
              <w:widowControl/>
              <w:snapToGrid w:val="0"/>
              <w:jc w:val="left"/>
              <w:rPr>
                <w:rFonts w:ascii="Arial Narrow" w:hAnsi="Arial Narrow"/>
                <w:snapToGrid/>
                <w:sz w:val="20"/>
                <w:szCs w:val="20"/>
              </w:rPr>
            </w:pP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The authority application must be made in writing and must include:</w:t>
            </w:r>
          </w:p>
          <w:p w:rsidR="003C0C20" w:rsidRPr="009714DF" w:rsidRDefault="003C0C20" w:rsidP="009714DF">
            <w:pPr>
              <w:widowControl/>
              <w:snapToGrid w:val="0"/>
              <w:ind w:left="260"/>
              <w:jc w:val="left"/>
              <w:rPr>
                <w:rFonts w:ascii="Arial Narrow" w:hAnsi="Arial Narrow"/>
                <w:snapToGrid/>
                <w:sz w:val="20"/>
                <w:szCs w:val="20"/>
              </w:rPr>
            </w:pPr>
            <w:r w:rsidRPr="009714DF">
              <w:rPr>
                <w:rFonts w:ascii="Arial Narrow" w:hAnsi="Arial Narrow"/>
                <w:snapToGrid/>
                <w:sz w:val="20"/>
                <w:szCs w:val="20"/>
              </w:rPr>
              <w:t>(1) a completed authority prescription form;</w:t>
            </w:r>
          </w:p>
          <w:p w:rsidR="003C0C20" w:rsidRPr="009714DF" w:rsidRDefault="003C0C20" w:rsidP="009714DF">
            <w:pPr>
              <w:widowControl/>
              <w:snapToGrid w:val="0"/>
              <w:ind w:left="260"/>
              <w:jc w:val="left"/>
              <w:rPr>
                <w:rFonts w:ascii="Arial Narrow" w:hAnsi="Arial Narrow"/>
                <w:snapToGrid/>
                <w:sz w:val="20"/>
                <w:szCs w:val="20"/>
              </w:rPr>
            </w:pPr>
            <w:r w:rsidRPr="009714DF">
              <w:rPr>
                <w:rFonts w:ascii="Arial Narrow" w:hAnsi="Arial Narrow"/>
                <w:snapToGrid/>
                <w:sz w:val="20"/>
                <w:szCs w:val="20"/>
              </w:rPr>
              <w:t>(2) a completed Acute Lymphoblastic Leukaemia PBS Authority Application - Supporting Information Form; and</w:t>
            </w:r>
          </w:p>
          <w:p w:rsidR="003C0C20" w:rsidRPr="009714DF" w:rsidRDefault="003C0C20" w:rsidP="009714DF">
            <w:pPr>
              <w:widowControl/>
              <w:snapToGrid w:val="0"/>
              <w:ind w:left="260"/>
              <w:jc w:val="left"/>
              <w:rPr>
                <w:rFonts w:ascii="Arial Narrow" w:hAnsi="Arial Narrow"/>
                <w:snapToGrid/>
                <w:sz w:val="20"/>
                <w:szCs w:val="20"/>
              </w:rPr>
            </w:pPr>
            <w:r w:rsidRPr="009714DF">
              <w:rPr>
                <w:rFonts w:ascii="Arial Narrow" w:hAnsi="Arial Narrow"/>
                <w:snapToGrid/>
                <w:sz w:val="20"/>
                <w:szCs w:val="20"/>
              </w:rPr>
              <w:t>(3) a signed patient acknowledgement; and</w:t>
            </w:r>
          </w:p>
          <w:p w:rsidR="003C0C20" w:rsidRPr="009714DF" w:rsidRDefault="003C0C20" w:rsidP="009714DF">
            <w:pPr>
              <w:widowControl/>
              <w:snapToGrid w:val="0"/>
              <w:ind w:left="260"/>
              <w:jc w:val="left"/>
              <w:rPr>
                <w:rFonts w:ascii="Arial Narrow" w:hAnsi="Arial Narrow"/>
                <w:snapToGrid/>
                <w:sz w:val="20"/>
                <w:szCs w:val="20"/>
              </w:rPr>
            </w:pPr>
            <w:r w:rsidRPr="009714DF">
              <w:rPr>
                <w:rFonts w:ascii="Arial Narrow" w:hAnsi="Arial Narrow"/>
                <w:snapToGrid/>
                <w:sz w:val="20"/>
                <w:szCs w:val="20"/>
              </w:rPr>
              <w:t>(4) date of most recent chemotherapy, and if this was the initial chemotherapy regimen or salvage therapy, including what line of salvage; and</w:t>
            </w:r>
          </w:p>
          <w:p w:rsidR="003C0C20" w:rsidRPr="009714DF" w:rsidRDefault="003C0C20" w:rsidP="009714DF">
            <w:pPr>
              <w:widowControl/>
              <w:snapToGrid w:val="0"/>
              <w:ind w:left="260"/>
              <w:jc w:val="left"/>
              <w:rPr>
                <w:rFonts w:ascii="Arial Narrow" w:hAnsi="Arial Narrow"/>
                <w:snapToGrid/>
                <w:sz w:val="20"/>
                <w:szCs w:val="20"/>
              </w:rPr>
            </w:pPr>
            <w:r w:rsidRPr="009714DF">
              <w:rPr>
                <w:rFonts w:ascii="Arial Narrow" w:hAnsi="Arial Narrow"/>
                <w:snapToGrid/>
                <w:sz w:val="20"/>
                <w:szCs w:val="20"/>
              </w:rPr>
              <w:t xml:space="preserve">(5) </w:t>
            </w:r>
            <w:proofErr w:type="gramStart"/>
            <w:r w:rsidRPr="009714DF">
              <w:rPr>
                <w:rFonts w:ascii="Arial Narrow" w:hAnsi="Arial Narrow"/>
                <w:snapToGrid/>
                <w:sz w:val="20"/>
                <w:szCs w:val="20"/>
              </w:rPr>
              <w:t>a</w:t>
            </w:r>
            <w:proofErr w:type="gramEnd"/>
            <w:r w:rsidRPr="009714DF">
              <w:rPr>
                <w:rFonts w:ascii="Arial Narrow" w:hAnsi="Arial Narrow"/>
                <w:snapToGrid/>
                <w:sz w:val="20"/>
                <w:szCs w:val="20"/>
              </w:rPr>
              <w:t xml:space="preserve"> copy of the most recent bone marrow biopsy report of no more than one month old at the time of application.</w:t>
            </w:r>
          </w:p>
          <w:p w:rsidR="003C0C20" w:rsidRPr="009714DF" w:rsidRDefault="003C0C20" w:rsidP="003C0C20">
            <w:pPr>
              <w:widowControl/>
              <w:snapToGrid w:val="0"/>
              <w:jc w:val="left"/>
              <w:rPr>
                <w:rFonts w:ascii="Arial Narrow" w:hAnsi="Arial Narrow"/>
                <w:snapToGrid/>
                <w:sz w:val="20"/>
                <w:szCs w:val="20"/>
              </w:rPr>
            </w:pPr>
          </w:p>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The treatment must not exceed 0.8mg per m</w:t>
            </w:r>
            <w:r w:rsidRPr="009714DF">
              <w:rPr>
                <w:rFonts w:ascii="Arial Narrow" w:hAnsi="Arial Narrow"/>
                <w:snapToGrid/>
                <w:sz w:val="20"/>
                <w:szCs w:val="20"/>
                <w:vertAlign w:val="superscript"/>
              </w:rPr>
              <w:t>2</w:t>
            </w:r>
            <w:r w:rsidRPr="009714DF">
              <w:rPr>
                <w:rFonts w:ascii="Arial Narrow" w:hAnsi="Arial Narrow"/>
                <w:snapToGrid/>
                <w:sz w:val="20"/>
                <w:szCs w:val="20"/>
              </w:rPr>
              <w:t xml:space="preserve"> for the first dose of a treatment cycle (Day 1), and 0.5mg per m</w:t>
            </w:r>
            <w:r w:rsidRPr="009714DF">
              <w:rPr>
                <w:rFonts w:ascii="Arial Narrow" w:hAnsi="Arial Narrow"/>
                <w:snapToGrid/>
                <w:sz w:val="20"/>
                <w:szCs w:val="20"/>
                <w:vertAlign w:val="superscript"/>
              </w:rPr>
              <w:t>2</w:t>
            </w:r>
            <w:r w:rsidRPr="009714DF">
              <w:rPr>
                <w:rFonts w:ascii="Arial Narrow" w:hAnsi="Arial Narrow"/>
                <w:snapToGrid/>
                <w:sz w:val="20"/>
                <w:szCs w:val="20"/>
              </w:rPr>
              <w:t xml:space="preserve"> for subsequent doses (Days 8 and 15) within a treatment cycle. </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2465F9">
            <w:pPr>
              <w:widowControl/>
              <w:snapToGrid w:val="0"/>
              <w:rPr>
                <w:rFonts w:ascii="Arial Narrow" w:hAnsi="Arial Narrow"/>
                <w:snapToGrid/>
                <w:sz w:val="20"/>
                <w:szCs w:val="20"/>
              </w:rPr>
            </w:pPr>
            <w:r w:rsidRPr="009714DF">
              <w:rPr>
                <w:rFonts w:ascii="Arial Narrow" w:hAnsi="Arial Narrow"/>
                <w:snapToGrid/>
                <w:sz w:val="20"/>
                <w:szCs w:val="20"/>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872E39" w:rsidRDefault="003C0C20" w:rsidP="00872E39">
            <w:pPr>
              <w:widowControl/>
              <w:snapToGrid w:val="0"/>
              <w:rPr>
                <w:rFonts w:ascii="Arial Narrow" w:hAnsi="Arial Narrow"/>
                <w:snapToGrid/>
                <w:sz w:val="20"/>
                <w:szCs w:val="20"/>
              </w:rPr>
            </w:pPr>
            <w:r w:rsidRPr="009714DF">
              <w:rPr>
                <w:rFonts w:ascii="Arial Narrow" w:hAnsi="Arial Narrow"/>
                <w:snapToGrid/>
                <w:sz w:val="20"/>
                <w:szCs w:val="20"/>
              </w:rPr>
              <w:t>Once a patient achieves complete remission or complete remission with partial haematological recovery, a new prescription must be written under the con</w:t>
            </w:r>
            <w:r w:rsidR="00877713">
              <w:rPr>
                <w:rFonts w:ascii="Arial Narrow" w:hAnsi="Arial Narrow"/>
                <w:snapToGrid/>
                <w:sz w:val="20"/>
                <w:szCs w:val="20"/>
              </w:rPr>
              <w:t>solidation</w:t>
            </w:r>
            <w:r w:rsidRPr="009714DF">
              <w:rPr>
                <w:rFonts w:ascii="Arial Narrow" w:hAnsi="Arial Narrow"/>
                <w:snapToGrid/>
                <w:sz w:val="20"/>
                <w:szCs w:val="20"/>
              </w:rPr>
              <w:t xml:space="preserve"> treatment phase.</w:t>
            </w:r>
          </w:p>
          <w:p w:rsidR="003C0C20" w:rsidRPr="009714DF" w:rsidRDefault="00872E39" w:rsidP="00872E39">
            <w:pPr>
              <w:widowControl/>
              <w:snapToGrid w:val="0"/>
              <w:rPr>
                <w:rFonts w:ascii="Arial Narrow" w:hAnsi="Arial Narrow"/>
                <w:snapToGrid/>
                <w:sz w:val="20"/>
                <w:szCs w:val="20"/>
              </w:rPr>
            </w:pPr>
            <w:r w:rsidRPr="009714DF">
              <w:rPr>
                <w:rFonts w:ascii="Arial Narrow" w:hAnsi="Arial Narrow"/>
                <w:snapToGrid/>
                <w:sz w:val="20"/>
                <w:szCs w:val="20"/>
              </w:rPr>
              <w:t xml:space="preserve"> </w:t>
            </w:r>
          </w:p>
          <w:p w:rsidR="003C0C20" w:rsidRPr="009714DF" w:rsidRDefault="003C0C20" w:rsidP="002465F9">
            <w:pPr>
              <w:widowControl/>
              <w:snapToGrid w:val="0"/>
              <w:rPr>
                <w:rFonts w:ascii="Arial Narrow" w:hAnsi="Arial Narrow"/>
                <w:snapToGrid/>
                <w:sz w:val="20"/>
                <w:szCs w:val="20"/>
              </w:rPr>
            </w:pPr>
            <w:r w:rsidRPr="009714DF">
              <w:rPr>
                <w:rFonts w:ascii="Arial Narrow" w:hAnsi="Arial Narrow"/>
                <w:snapToGrid/>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3C0C20" w:rsidRPr="009714DF" w:rsidRDefault="003C0C20" w:rsidP="002465F9">
            <w:pPr>
              <w:widowControl/>
              <w:snapToGrid w:val="0"/>
              <w:rPr>
                <w:rFonts w:ascii="Arial Narrow" w:hAnsi="Arial Narrow"/>
                <w:snapToGrid/>
                <w:sz w:val="20"/>
                <w:szCs w:val="20"/>
              </w:rPr>
            </w:pPr>
          </w:p>
          <w:p w:rsidR="003C0C20" w:rsidRPr="009714DF" w:rsidRDefault="003C0C20" w:rsidP="002465F9">
            <w:pPr>
              <w:widowControl/>
              <w:snapToGrid w:val="0"/>
              <w:rPr>
                <w:rFonts w:ascii="Arial Narrow" w:hAnsi="Arial Narrow"/>
                <w:snapToGrid/>
                <w:sz w:val="20"/>
                <w:szCs w:val="20"/>
              </w:rPr>
            </w:pPr>
            <w:r w:rsidRPr="009714DF">
              <w:rPr>
                <w:rFonts w:ascii="Arial Narrow" w:hAnsi="Arial Narrow"/>
                <w:snapToGrid/>
                <w:sz w:val="20"/>
                <w:szCs w:val="20"/>
              </w:rPr>
              <w:t xml:space="preserve">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 </w:t>
            </w:r>
          </w:p>
          <w:p w:rsidR="003C0C20" w:rsidRPr="009714DF" w:rsidRDefault="003C0C20" w:rsidP="002465F9">
            <w:pPr>
              <w:widowControl/>
              <w:snapToGrid w:val="0"/>
              <w:rPr>
                <w:rFonts w:ascii="Arial Narrow" w:hAnsi="Arial Narrow"/>
                <w:snapToGrid/>
                <w:sz w:val="20"/>
                <w:szCs w:val="20"/>
              </w:rPr>
            </w:pPr>
          </w:p>
          <w:p w:rsidR="003C0C20" w:rsidRPr="009714DF" w:rsidRDefault="003C0C20" w:rsidP="002465F9">
            <w:pPr>
              <w:widowControl/>
              <w:snapToGrid w:val="0"/>
              <w:rPr>
                <w:rFonts w:ascii="Arial Narrow" w:hAnsi="Arial Narrow"/>
                <w:snapToGrid/>
                <w:sz w:val="20"/>
                <w:szCs w:val="20"/>
              </w:rPr>
            </w:pPr>
            <w:r w:rsidRPr="009714DF">
              <w:rPr>
                <w:rFonts w:ascii="Arial Narrow" w:hAnsi="Arial Narrow"/>
                <w:snapToGrid/>
                <w:sz w:val="20"/>
                <w:szCs w:val="20"/>
              </w:rPr>
              <w:t xml:space="preserve">Patients who fail to demonstrate a response to PBS-subsidised treatment with this agent at the time when an assessment is required must cease PBS-subsidised therapy with this agent. </w:t>
            </w:r>
          </w:p>
          <w:p w:rsidR="003C0C20" w:rsidRPr="009714DF" w:rsidRDefault="003C0C20" w:rsidP="002465F9">
            <w:pPr>
              <w:widowControl/>
              <w:snapToGrid w:val="0"/>
              <w:jc w:val="left"/>
              <w:rPr>
                <w:rFonts w:ascii="Arial Narrow" w:hAnsi="Arial Narrow"/>
                <w:snapToGrid/>
                <w:sz w:val="20"/>
                <w:szCs w:val="20"/>
              </w:rPr>
            </w:pPr>
          </w:p>
          <w:p w:rsidR="003C0C20"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 xml:space="preserve">Any queries concerning the arrangements to prescribe may be directed to the Department of Human Services on 1800 700 270 (hours of operation 8 a.m. to 5 p.m. EST Monday to Friday). </w:t>
            </w:r>
          </w:p>
          <w:p w:rsidR="009714DF" w:rsidRPr="009714DF" w:rsidRDefault="009714DF" w:rsidP="002465F9">
            <w:pPr>
              <w:widowControl/>
              <w:snapToGrid w:val="0"/>
              <w:jc w:val="left"/>
              <w:rPr>
                <w:rFonts w:ascii="Arial Narrow" w:hAnsi="Arial Narrow"/>
                <w:snapToGrid/>
                <w:sz w:val="20"/>
                <w:szCs w:val="20"/>
              </w:rPr>
            </w:pP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 xml:space="preserve">Prescribing information (including Authority Application forms and other relevant documentation as applicable) is available on the Department of Human Services website at www.humanservices.gov.au </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Applications for authority to prescribe should be forwarded to:</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Department of Human Services</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Complex Drugs Programs</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Reply Paid 9826</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HOBART TAS 7001</w:t>
            </w:r>
          </w:p>
          <w:p w:rsidR="003C0C20" w:rsidRPr="009714DF" w:rsidRDefault="003C0C20" w:rsidP="002465F9">
            <w:pPr>
              <w:widowControl/>
              <w:snapToGrid w:val="0"/>
              <w:jc w:val="left"/>
              <w:rPr>
                <w:rFonts w:ascii="Arial Narrow" w:hAnsi="Arial Narrow"/>
                <w:snapToGrid/>
                <w:sz w:val="20"/>
                <w:szCs w:val="20"/>
              </w:rPr>
            </w:pP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No increase in the maximum quantity or number of units may be authorised.</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No increase in the maximum number of repeats may be authorised.</w:t>
            </w:r>
          </w:p>
          <w:p w:rsidR="003C0C20" w:rsidRPr="009714DF" w:rsidRDefault="003C0C20" w:rsidP="002465F9">
            <w:pPr>
              <w:widowControl/>
              <w:snapToGrid w:val="0"/>
              <w:jc w:val="left"/>
              <w:rPr>
                <w:rFonts w:ascii="Arial Narrow" w:hAnsi="Arial Narrow"/>
                <w:snapToGrid/>
                <w:sz w:val="20"/>
                <w:szCs w:val="20"/>
              </w:rPr>
            </w:pPr>
            <w:r w:rsidRPr="009714DF">
              <w:rPr>
                <w:rFonts w:ascii="Arial Narrow" w:hAnsi="Arial Narrow"/>
                <w:snapToGrid/>
                <w:sz w:val="20"/>
                <w:szCs w:val="20"/>
              </w:rPr>
              <w:t>Special Pricing Arrangements apply.</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jc w:val="left"/>
              <w:rPr>
                <w:rFonts w:ascii="Arial Narrow" w:hAnsi="Arial Narrow"/>
                <w:snapToGrid/>
                <w:sz w:val="20"/>
                <w:szCs w:val="20"/>
              </w:rPr>
            </w:pPr>
            <w:r w:rsidRPr="009714DF">
              <w:rPr>
                <w:rFonts w:ascii="Arial Narrow" w:hAnsi="Arial Narrow"/>
                <w:snapToGrid/>
                <w:sz w:val="20"/>
                <w:szCs w:val="20"/>
              </w:rPr>
              <w:t xml:space="preserve">Careful monitoring of patients is required due to risk of developing hepatotoxicity, including life-threatening hepatic </w:t>
            </w:r>
            <w:proofErr w:type="spellStart"/>
            <w:r w:rsidRPr="009714DF">
              <w:rPr>
                <w:rFonts w:ascii="Arial Narrow" w:hAnsi="Arial Narrow"/>
                <w:snapToGrid/>
                <w:sz w:val="20"/>
                <w:szCs w:val="20"/>
              </w:rPr>
              <w:t>veno</w:t>
            </w:r>
            <w:proofErr w:type="spellEnd"/>
            <w:r w:rsidRPr="009714DF">
              <w:rPr>
                <w:rFonts w:ascii="Arial Narrow" w:hAnsi="Arial Narrow"/>
                <w:snapToGrid/>
                <w:sz w:val="20"/>
                <w:szCs w:val="20"/>
              </w:rPr>
              <w:t>-occlusive disease, and the increased risk of post-</w:t>
            </w:r>
            <w:r w:rsidRPr="009714DF">
              <w:rPr>
                <w:snapToGrid/>
              </w:rPr>
              <w:t xml:space="preserve"> </w:t>
            </w:r>
            <w:r w:rsidRPr="009714DF">
              <w:rPr>
                <w:rFonts w:ascii="Arial Narrow" w:hAnsi="Arial Narrow"/>
                <w:snapToGrid/>
                <w:sz w:val="20"/>
                <w:szCs w:val="20"/>
              </w:rPr>
              <w:t>haematopoietic stem cell transplant non-relapse mortality observed in patients treated with inotuzumab</w:t>
            </w:r>
            <w:r w:rsidRPr="009714DF">
              <w:rPr>
                <w:snapToGrid/>
                <w:sz w:val="22"/>
              </w:rPr>
              <w:t>.</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sz w:val="2"/>
                <w:szCs w:val="2"/>
              </w:rPr>
            </w:pP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color w:val="000000"/>
                <w:sz w:val="2"/>
                <w:szCs w:val="2"/>
              </w:rPr>
            </w:pPr>
          </w:p>
        </w:tc>
      </w:tr>
    </w:tbl>
    <w:p w:rsidR="003C0C20" w:rsidRPr="009714DF" w:rsidRDefault="003C0C20" w:rsidP="003C0C20">
      <w:pPr>
        <w:widowControl/>
        <w:snapToGrid w:val="0"/>
        <w:rPr>
          <w:snapToGrid/>
        </w:rPr>
      </w:pPr>
    </w:p>
    <w:p w:rsidR="003C0C20" w:rsidRPr="009714DF" w:rsidRDefault="003C0C20" w:rsidP="003C0C20">
      <w:pPr>
        <w:widowControl/>
        <w:snapToGrid w:val="0"/>
        <w:rPr>
          <w:snapToGrid/>
        </w:rPr>
      </w:pPr>
      <w:r w:rsidRPr="009714DF">
        <w:rPr>
          <w:b/>
          <w:snapToGrid/>
        </w:rPr>
        <w:t>Continuing</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558"/>
        <w:gridCol w:w="564"/>
        <w:gridCol w:w="2085"/>
        <w:gridCol w:w="1405"/>
      </w:tblGrid>
      <w:tr w:rsidR="003C0C20" w:rsidRPr="009714DF" w:rsidTr="00F96F7D">
        <w:trPr>
          <w:cantSplit/>
          <w:trHeight w:val="463"/>
        </w:trPr>
        <w:tc>
          <w:tcPr>
            <w:tcW w:w="1405" w:type="pct"/>
            <w:gridSpan w:val="2"/>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rPr>
                <w:rFonts w:ascii="Arial Narrow" w:hAnsi="Arial Narrow"/>
                <w:b/>
                <w:snapToGrid/>
                <w:sz w:val="20"/>
              </w:rPr>
            </w:pPr>
            <w:r w:rsidRPr="009714DF">
              <w:rPr>
                <w:rFonts w:ascii="Arial Narrow" w:hAnsi="Arial Narrow"/>
                <w:b/>
                <w:snapToGrid/>
                <w:sz w:val="20"/>
              </w:rPr>
              <w:t>Name, Restriction,</w:t>
            </w:r>
          </w:p>
          <w:p w:rsidR="003C0C20" w:rsidRPr="009714DF" w:rsidRDefault="003C0C20" w:rsidP="003C0C20">
            <w:pPr>
              <w:keepNext/>
              <w:widowControl/>
              <w:snapToGrid w:val="0"/>
              <w:rPr>
                <w:rFonts w:ascii="Arial Narrow" w:hAnsi="Arial Narrow"/>
                <w:b/>
                <w:snapToGrid/>
                <w:sz w:val="20"/>
              </w:rPr>
            </w:pPr>
            <w:r w:rsidRPr="009714DF">
              <w:rPr>
                <w:rFonts w:ascii="Arial Narrow" w:hAnsi="Arial Narrow"/>
                <w:b/>
                <w:snapToGrid/>
                <w:sz w:val="20"/>
              </w:rPr>
              <w:t>Manner of administration and form</w:t>
            </w:r>
          </w:p>
        </w:tc>
        <w:tc>
          <w:tcPr>
            <w:tcW w:w="472" w:type="pct"/>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Max.</w:t>
            </w:r>
          </w:p>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Amt</w:t>
            </w:r>
          </w:p>
        </w:tc>
        <w:tc>
          <w:tcPr>
            <w:tcW w:w="867" w:type="pct"/>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№.of</w:t>
            </w:r>
          </w:p>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Rpts</w:t>
            </w:r>
          </w:p>
        </w:tc>
        <w:tc>
          <w:tcPr>
            <w:tcW w:w="314" w:type="pct"/>
            <w:tcBorders>
              <w:top w:val="single" w:sz="4" w:space="0" w:color="auto"/>
              <w:left w:val="nil"/>
              <w:bottom w:val="single" w:sz="4" w:space="0" w:color="auto"/>
              <w:right w:val="nil"/>
            </w:tcBorders>
            <w:vAlign w:val="center"/>
          </w:tcPr>
          <w:p w:rsidR="003C0C20" w:rsidRPr="009714DF" w:rsidRDefault="003C0C20" w:rsidP="003C0C20">
            <w:pPr>
              <w:keepNext/>
              <w:widowControl/>
              <w:snapToGrid w:val="0"/>
              <w:jc w:val="center"/>
              <w:rPr>
                <w:rFonts w:ascii="Arial Narrow" w:hAnsi="Arial Narrow"/>
                <w:b/>
                <w:snapToGrid/>
                <w:sz w:val="20"/>
              </w:rPr>
            </w:pPr>
          </w:p>
        </w:tc>
        <w:tc>
          <w:tcPr>
            <w:tcW w:w="1942" w:type="pct"/>
            <w:gridSpan w:val="2"/>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lang w:val="fr-FR"/>
              </w:rPr>
            </w:pPr>
            <w:r w:rsidRPr="009714DF">
              <w:rPr>
                <w:rFonts w:ascii="Arial Narrow" w:hAnsi="Arial Narrow"/>
                <w:b/>
                <w:snapToGrid/>
                <w:sz w:val="20"/>
              </w:rPr>
              <w:t>Proprietary Name and Manufacturer</w:t>
            </w:r>
          </w:p>
        </w:tc>
      </w:tr>
      <w:tr w:rsidR="003C0C20" w:rsidRPr="009714DF" w:rsidTr="00F96F7D">
        <w:trPr>
          <w:cantSplit/>
          <w:trHeight w:val="71"/>
        </w:trPr>
        <w:tc>
          <w:tcPr>
            <w:tcW w:w="1405" w:type="pct"/>
            <w:gridSpan w:val="2"/>
            <w:hideMark/>
          </w:tcPr>
          <w:p w:rsidR="003C0C20" w:rsidRPr="009714DF" w:rsidRDefault="003C0C20" w:rsidP="003C0C20">
            <w:pPr>
              <w:keepNext/>
              <w:widowControl/>
              <w:snapToGrid w:val="0"/>
              <w:rPr>
                <w:rFonts w:ascii="Arial Narrow" w:hAnsi="Arial Narrow"/>
                <w:snapToGrid/>
                <w:sz w:val="20"/>
              </w:rPr>
            </w:pPr>
            <w:r w:rsidRPr="009714DF">
              <w:rPr>
                <w:rFonts w:ascii="Arial Narrow" w:hAnsi="Arial Narrow"/>
                <w:smallCaps/>
                <w:snapToGrid/>
                <w:sz w:val="20"/>
              </w:rPr>
              <w:t>INOTUZUMAB OZOGAMICIN</w:t>
            </w:r>
          </w:p>
        </w:tc>
        <w:tc>
          <w:tcPr>
            <w:tcW w:w="472" w:type="pct"/>
            <w:vAlign w:val="center"/>
          </w:tcPr>
          <w:p w:rsidR="003C0C20" w:rsidRPr="009714DF" w:rsidRDefault="003C0C20" w:rsidP="003C0C20">
            <w:pPr>
              <w:keepNext/>
              <w:widowControl/>
              <w:snapToGrid w:val="0"/>
              <w:rPr>
                <w:rFonts w:ascii="Arial Narrow" w:hAnsi="Arial Narrow"/>
                <w:snapToGrid/>
                <w:sz w:val="20"/>
              </w:rPr>
            </w:pPr>
          </w:p>
        </w:tc>
        <w:tc>
          <w:tcPr>
            <w:tcW w:w="867" w:type="pct"/>
            <w:vAlign w:val="center"/>
          </w:tcPr>
          <w:p w:rsidR="003C0C20" w:rsidRPr="009714DF" w:rsidRDefault="003C0C20" w:rsidP="003C0C20">
            <w:pPr>
              <w:keepNext/>
              <w:widowControl/>
              <w:snapToGrid w:val="0"/>
              <w:rPr>
                <w:rFonts w:ascii="Arial Narrow" w:hAnsi="Arial Narrow"/>
                <w:snapToGrid/>
                <w:sz w:val="20"/>
              </w:rPr>
            </w:pPr>
          </w:p>
        </w:tc>
        <w:tc>
          <w:tcPr>
            <w:tcW w:w="314" w:type="pct"/>
            <w:vAlign w:val="center"/>
          </w:tcPr>
          <w:p w:rsidR="003C0C20" w:rsidRPr="009714DF" w:rsidRDefault="003C0C20" w:rsidP="003C0C20">
            <w:pPr>
              <w:keepNext/>
              <w:widowControl/>
              <w:snapToGrid w:val="0"/>
              <w:rPr>
                <w:rFonts w:ascii="Arial Narrow" w:hAnsi="Arial Narrow"/>
                <w:snapToGrid/>
                <w:sz w:val="20"/>
              </w:rPr>
            </w:pPr>
          </w:p>
        </w:tc>
        <w:tc>
          <w:tcPr>
            <w:tcW w:w="1160" w:type="pct"/>
            <w:vAlign w:val="center"/>
          </w:tcPr>
          <w:p w:rsidR="003C0C20" w:rsidRPr="009714DF" w:rsidRDefault="003C0C20" w:rsidP="003C0C20">
            <w:pPr>
              <w:keepNext/>
              <w:widowControl/>
              <w:snapToGrid w:val="0"/>
              <w:jc w:val="center"/>
              <w:rPr>
                <w:rFonts w:ascii="Arial Narrow" w:hAnsi="Arial Narrow"/>
                <w:snapToGrid/>
                <w:sz w:val="20"/>
              </w:rPr>
            </w:pPr>
          </w:p>
        </w:tc>
        <w:tc>
          <w:tcPr>
            <w:tcW w:w="782" w:type="pct"/>
            <w:vAlign w:val="center"/>
          </w:tcPr>
          <w:p w:rsidR="003C0C20" w:rsidRPr="009714DF" w:rsidRDefault="003C0C20" w:rsidP="003C0C20">
            <w:pPr>
              <w:keepNext/>
              <w:widowControl/>
              <w:snapToGrid w:val="0"/>
              <w:rPr>
                <w:rFonts w:ascii="Arial Narrow" w:hAnsi="Arial Narrow"/>
                <w:snapToGrid/>
                <w:sz w:val="20"/>
              </w:rPr>
            </w:pPr>
          </w:p>
        </w:tc>
      </w:tr>
      <w:tr w:rsidR="003C0C20" w:rsidRPr="009714DF" w:rsidTr="00F96F7D">
        <w:trPr>
          <w:cantSplit/>
          <w:trHeight w:val="588"/>
        </w:trPr>
        <w:tc>
          <w:tcPr>
            <w:tcW w:w="1405" w:type="pct"/>
            <w:gridSpan w:val="2"/>
            <w:vAlign w:val="center"/>
            <w:hideMark/>
          </w:tcPr>
          <w:p w:rsidR="003C0C20" w:rsidRPr="009714DF" w:rsidRDefault="003C0C20" w:rsidP="003C0C20">
            <w:pPr>
              <w:widowControl/>
              <w:snapToGrid w:val="0"/>
              <w:rPr>
                <w:rFonts w:ascii="Arial Narrow" w:hAnsi="Arial Narrow"/>
                <w:snapToGrid/>
                <w:sz w:val="20"/>
              </w:rPr>
            </w:pPr>
            <w:r w:rsidRPr="009714DF">
              <w:rPr>
                <w:rFonts w:ascii="Arial Narrow" w:hAnsi="Arial Narrow"/>
                <w:snapToGrid/>
                <w:sz w:val="20"/>
              </w:rPr>
              <w:t>1 mg vial powder for injection</w:t>
            </w:r>
          </w:p>
        </w:tc>
        <w:tc>
          <w:tcPr>
            <w:tcW w:w="472" w:type="pct"/>
            <w:vAlign w:val="center"/>
            <w:hideMark/>
          </w:tcPr>
          <w:p w:rsidR="003C0C20" w:rsidRPr="009714DF" w:rsidRDefault="003C0C20" w:rsidP="003C0C20">
            <w:pPr>
              <w:widowControl/>
              <w:snapToGrid w:val="0"/>
              <w:jc w:val="center"/>
              <w:rPr>
                <w:rFonts w:ascii="Arial Narrow" w:hAnsi="Arial Narrow"/>
                <w:snapToGrid/>
                <w:sz w:val="20"/>
              </w:rPr>
            </w:pPr>
            <w:r w:rsidRPr="009714DF">
              <w:rPr>
                <w:rFonts w:ascii="Arial Narrow" w:hAnsi="Arial Narrow"/>
                <w:snapToGrid/>
                <w:sz w:val="20"/>
              </w:rPr>
              <w:t>2820 mcg</w:t>
            </w:r>
          </w:p>
        </w:tc>
        <w:tc>
          <w:tcPr>
            <w:tcW w:w="867" w:type="pct"/>
            <w:vAlign w:val="center"/>
            <w:hideMark/>
          </w:tcPr>
          <w:p w:rsidR="003C0C20" w:rsidRPr="009714DF" w:rsidRDefault="00B41C57" w:rsidP="003C0C20">
            <w:pPr>
              <w:widowControl/>
              <w:snapToGrid w:val="0"/>
              <w:jc w:val="center"/>
              <w:rPr>
                <w:rFonts w:ascii="Arial Narrow" w:hAnsi="Arial Narrow"/>
                <w:snapToGrid/>
                <w:sz w:val="20"/>
              </w:rPr>
            </w:pPr>
            <w:r>
              <w:rPr>
                <w:rFonts w:ascii="Arial Narrow" w:hAnsi="Arial Narrow"/>
                <w:snapToGrid/>
                <w:sz w:val="20"/>
              </w:rPr>
              <w:t>4</w:t>
            </w:r>
          </w:p>
        </w:tc>
        <w:tc>
          <w:tcPr>
            <w:tcW w:w="314" w:type="pct"/>
          </w:tcPr>
          <w:p w:rsidR="003C0C20" w:rsidRPr="009714DF" w:rsidRDefault="003C0C20" w:rsidP="003C0C20">
            <w:pPr>
              <w:keepNext/>
              <w:widowControl/>
              <w:snapToGrid w:val="0"/>
              <w:rPr>
                <w:rFonts w:ascii="Arial Narrow" w:hAnsi="Arial Narrow"/>
                <w:snapToGrid/>
                <w:sz w:val="20"/>
              </w:rPr>
            </w:pPr>
          </w:p>
        </w:tc>
        <w:tc>
          <w:tcPr>
            <w:tcW w:w="1160" w:type="pct"/>
            <w:vAlign w:val="center"/>
            <w:hideMark/>
          </w:tcPr>
          <w:p w:rsidR="003C0C20" w:rsidRPr="009714DF" w:rsidRDefault="003C0C20" w:rsidP="003C0C20">
            <w:pPr>
              <w:keepNext/>
              <w:widowControl/>
              <w:snapToGrid w:val="0"/>
              <w:jc w:val="center"/>
              <w:rPr>
                <w:rFonts w:ascii="Arial Narrow" w:hAnsi="Arial Narrow"/>
                <w:snapToGrid/>
                <w:sz w:val="20"/>
              </w:rPr>
            </w:pPr>
            <w:proofErr w:type="spellStart"/>
            <w:r w:rsidRPr="009714DF">
              <w:rPr>
                <w:rFonts w:ascii="Arial Narrow" w:hAnsi="Arial Narrow"/>
                <w:snapToGrid/>
                <w:sz w:val="20"/>
              </w:rPr>
              <w:t>Besponsa</w:t>
            </w:r>
            <w:proofErr w:type="spellEnd"/>
            <w:r w:rsidRPr="009714DF">
              <w:rPr>
                <w:rFonts w:ascii="Arial Narrow" w:hAnsi="Arial Narrow"/>
                <w:snapToGrid/>
                <w:sz w:val="20"/>
              </w:rPr>
              <w:t>®</w:t>
            </w:r>
          </w:p>
        </w:tc>
        <w:tc>
          <w:tcPr>
            <w:tcW w:w="782" w:type="pct"/>
            <w:vAlign w:val="center"/>
            <w:hideMark/>
          </w:tcPr>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 xml:space="preserve">Pfizer Australia </w:t>
            </w:r>
          </w:p>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P/L</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Category/Program:</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color w:val="000000"/>
                <w:sz w:val="20"/>
                <w:szCs w:val="20"/>
              </w:rPr>
            </w:pPr>
            <w:r w:rsidRPr="009714DF">
              <w:rPr>
                <w:rFonts w:ascii="Arial Narrow" w:hAnsi="Arial Narrow"/>
                <w:snapToGrid/>
                <w:color w:val="000000"/>
                <w:sz w:val="20"/>
                <w:szCs w:val="20"/>
              </w:rPr>
              <w:t>S100 – Efficient Funding of Chemotherapy (EFC)</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PBS indication: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color w:val="000000"/>
                <w:sz w:val="20"/>
                <w:szCs w:val="20"/>
              </w:rPr>
            </w:pPr>
            <w:r w:rsidRPr="009714DF">
              <w:rPr>
                <w:rFonts w:ascii="Arial Narrow" w:hAnsi="Arial Narrow"/>
                <w:snapToGrid/>
                <w:color w:val="000000"/>
                <w:sz w:val="20"/>
                <w:szCs w:val="20"/>
              </w:rPr>
              <w:t>Acute lymphoblastic leukaemia (ALL)</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Treatment phase:</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4D14C4">
            <w:pPr>
              <w:widowControl/>
              <w:snapToGrid w:val="0"/>
              <w:rPr>
                <w:rFonts w:ascii="Arial Narrow" w:hAnsi="Arial Narrow"/>
                <w:snapToGrid/>
                <w:color w:val="000000"/>
                <w:sz w:val="20"/>
                <w:szCs w:val="20"/>
              </w:rPr>
            </w:pPr>
            <w:r w:rsidRPr="009714DF">
              <w:rPr>
                <w:rFonts w:ascii="Arial Narrow" w:hAnsi="Arial Narrow"/>
                <w:snapToGrid/>
                <w:color w:val="000000"/>
                <w:sz w:val="20"/>
                <w:szCs w:val="20"/>
              </w:rPr>
              <w:t>Con</w:t>
            </w:r>
            <w:r w:rsidR="004D14C4">
              <w:rPr>
                <w:rFonts w:ascii="Arial Narrow" w:hAnsi="Arial Narrow"/>
                <w:snapToGrid/>
                <w:color w:val="000000"/>
                <w:sz w:val="20"/>
                <w:szCs w:val="20"/>
              </w:rPr>
              <w:t>solidation</w:t>
            </w:r>
            <w:r w:rsidRPr="009714DF">
              <w:rPr>
                <w:snapToGrid/>
              </w:rPr>
              <w:t xml:space="preserve"> </w:t>
            </w:r>
            <w:r w:rsidRPr="009714DF">
              <w:rPr>
                <w:rFonts w:ascii="Arial Narrow" w:hAnsi="Arial Narrow"/>
                <w:snapToGrid/>
                <w:color w:val="000000"/>
                <w:sz w:val="20"/>
                <w:szCs w:val="20"/>
              </w:rPr>
              <w:t>treatment</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9714DF">
            <w:pPr>
              <w:widowControl/>
              <w:snapToGrid w:val="0"/>
              <w:rPr>
                <w:rFonts w:ascii="Arial Narrow" w:hAnsi="Arial Narrow"/>
                <w:snapToGrid/>
                <w:color w:val="000000"/>
                <w:sz w:val="20"/>
                <w:szCs w:val="20"/>
              </w:rPr>
            </w:pPr>
            <w:r w:rsidRPr="009714DF">
              <w:rPr>
                <w:rFonts w:ascii="Arial Narrow" w:hAnsi="Arial Narrow"/>
                <w:snapToGrid/>
                <w:color w:val="000000"/>
                <w:sz w:val="20"/>
                <w:szCs w:val="20"/>
              </w:rPr>
              <w:t xml:space="preserve">Authority Required </w:t>
            </w:r>
            <w:r w:rsidR="009714DF">
              <w:rPr>
                <w:rFonts w:ascii="Arial Narrow" w:hAnsi="Arial Narrow"/>
                <w:snapToGrid/>
                <w:color w:val="000000"/>
                <w:sz w:val="20"/>
                <w:szCs w:val="20"/>
              </w:rPr>
              <w:t xml:space="preserve">- </w:t>
            </w:r>
            <w:r w:rsidRPr="009714DF">
              <w:rPr>
                <w:rFonts w:ascii="Arial Narrow" w:hAnsi="Arial Narrow"/>
                <w:snapToGrid/>
                <w:color w:val="000000"/>
                <w:sz w:val="20"/>
                <w:szCs w:val="20"/>
              </w:rPr>
              <w:t>Telephone</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Patient must have previously received PBS-subsidised induction treatment with this drug for this condition, </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lastRenderedPageBreak/>
              <w:t>Patient must have achieved a complete remission; OR</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Patient must have achieved a complete remission with </w:t>
            </w:r>
            <w:r w:rsidR="009714DF">
              <w:rPr>
                <w:rFonts w:ascii="Arial Narrow" w:hAnsi="Arial Narrow"/>
                <w:snapToGrid/>
                <w:sz w:val="20"/>
                <w:szCs w:val="20"/>
              </w:rPr>
              <w:t>partial haematological recovery</w:t>
            </w:r>
            <w:r w:rsidRPr="009714DF">
              <w:rPr>
                <w:rFonts w:ascii="Arial Narrow" w:hAnsi="Arial Narrow"/>
                <w:snapToGrid/>
                <w:sz w:val="20"/>
                <w:szCs w:val="20"/>
              </w:rPr>
              <w:t>,</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877713"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The treatment must not be more than 5 treatment cycles under this restriction in a lifetime</w:t>
            </w:r>
            <w:r w:rsidR="00877713">
              <w:rPr>
                <w:rFonts w:ascii="Arial Narrow" w:hAnsi="Arial Narrow"/>
                <w:snapToGrid/>
                <w:sz w:val="20"/>
                <w:szCs w:val="20"/>
              </w:rPr>
              <w:t>,</w:t>
            </w:r>
          </w:p>
          <w:p w:rsidR="00877713" w:rsidRPr="00B41C57" w:rsidRDefault="00877713" w:rsidP="00877713">
            <w:pPr>
              <w:widowControl/>
              <w:snapToGrid w:val="0"/>
              <w:rPr>
                <w:rFonts w:ascii="Arial Narrow" w:hAnsi="Arial Narrow"/>
                <w:snapToGrid/>
                <w:sz w:val="20"/>
                <w:szCs w:val="20"/>
              </w:rPr>
            </w:pPr>
            <w:r w:rsidRPr="00B41C57">
              <w:rPr>
                <w:rFonts w:ascii="Arial Narrow" w:hAnsi="Arial Narrow"/>
                <w:snapToGrid/>
                <w:sz w:val="20"/>
                <w:szCs w:val="20"/>
              </w:rPr>
              <w:t xml:space="preserve">AND </w:t>
            </w:r>
          </w:p>
          <w:p w:rsidR="003C0C20" w:rsidRPr="009714DF" w:rsidRDefault="00877713" w:rsidP="00877713">
            <w:pPr>
              <w:widowControl/>
              <w:snapToGrid w:val="0"/>
              <w:rPr>
                <w:rFonts w:ascii="Arial Narrow" w:hAnsi="Arial Narrow"/>
                <w:snapToGrid/>
                <w:color w:val="000000"/>
                <w:sz w:val="20"/>
                <w:szCs w:val="20"/>
              </w:rPr>
            </w:pPr>
            <w:r w:rsidRPr="00B41C57">
              <w:rPr>
                <w:rFonts w:ascii="Arial Narrow" w:hAnsi="Arial Narrow"/>
                <w:snapToGrid/>
                <w:sz w:val="20"/>
                <w:szCs w:val="20"/>
              </w:rPr>
              <w:t>Patient must not receive PBS-subsidised treatment with this drug if progressive disease develops while on this drug</w:t>
            </w:r>
            <w:r w:rsidR="003C0C20" w:rsidRPr="009714DF">
              <w:rPr>
                <w:rFonts w:ascii="Arial Narrow" w:hAnsi="Arial Narrow"/>
                <w:snapToGrid/>
                <w:sz w:val="20"/>
                <w:szCs w:val="20"/>
              </w:rPr>
              <w:t>.</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lastRenderedPageBreak/>
              <w:t>Prescriber instruction:</w:t>
            </w: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877713">
            <w:pPr>
              <w:widowControl/>
              <w:snapToGrid w:val="0"/>
              <w:jc w:val="left"/>
              <w:rPr>
                <w:rFonts w:ascii="Arial Narrow" w:hAnsi="Arial Narrow"/>
                <w:strike/>
                <w:snapToGrid/>
                <w:color w:val="000000"/>
                <w:sz w:val="20"/>
                <w:szCs w:val="20"/>
              </w:rPr>
            </w:pPr>
            <w:r w:rsidRPr="009714DF">
              <w:rPr>
                <w:rFonts w:ascii="Arial Narrow" w:hAnsi="Arial Narrow"/>
                <w:snapToGrid/>
                <w:sz w:val="20"/>
                <w:szCs w:val="20"/>
              </w:rPr>
              <w:t>Treatment with this drug for this condition must not exceed 6 treatment cycles in a lifetime.</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 complete remission is defined as bone marrow blasts of less than or equal to 5%, no evidence of disease and a full recovery of peripheral blood counts with platelets of greater than 100,000 per microliter, and absolute neutrophil count (ANC) of greater than 1,000 per microliter.</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A complete remission with partial haematological recovery is defined as bone marrow blasts of less than or equal to 5%, no evidence of disease and a partial recovery of peripheral blood counts with platelets of greater than 50,000 per microliter, and absolute neutrophil count (ANC) of greater than 500 per microliter.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Patients who fail to demonstrate a response to PBS-subsidised treatment with this agent at the time when an assessment is required must cease PBS-subsidised therapy with this agent. </w:t>
            </w:r>
          </w:p>
          <w:p w:rsidR="003C0C20" w:rsidRPr="009714DF" w:rsidRDefault="003C0C20" w:rsidP="003C0C20">
            <w:pPr>
              <w:widowControl/>
              <w:snapToGrid w:val="0"/>
              <w:rPr>
                <w:rFonts w:ascii="Arial Narrow" w:hAnsi="Arial Narrow"/>
                <w:snapToGrid/>
                <w:sz w:val="20"/>
                <w:szCs w:val="20"/>
              </w:rPr>
            </w:pPr>
          </w:p>
          <w:p w:rsidR="003C0C20" w:rsidRPr="00B41C57"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N</w:t>
            </w:r>
            <w:r w:rsidRPr="00B41C57">
              <w:rPr>
                <w:rFonts w:ascii="Arial Narrow" w:hAnsi="Arial Narrow"/>
                <w:snapToGrid/>
                <w:sz w:val="20"/>
                <w:szCs w:val="20"/>
              </w:rPr>
              <w:t>o increase in the maximum quantity or number of units may be authorised.</w:t>
            </w:r>
          </w:p>
          <w:p w:rsidR="00B41C57" w:rsidRPr="00B41C57" w:rsidRDefault="00B41C57" w:rsidP="00B41C57">
            <w:pPr>
              <w:keepNext/>
              <w:keepLines/>
              <w:widowControl/>
              <w:snapToGrid w:val="0"/>
              <w:jc w:val="left"/>
              <w:rPr>
                <w:rFonts w:ascii="Arial Narrow" w:hAnsi="Arial Narrow"/>
                <w:snapToGrid/>
                <w:sz w:val="20"/>
                <w:szCs w:val="20"/>
              </w:rPr>
            </w:pPr>
            <w:r w:rsidRPr="00B41C57">
              <w:rPr>
                <w:rFonts w:ascii="Arial Narrow" w:hAnsi="Arial Narrow"/>
                <w:snapToGrid/>
                <w:sz w:val="20"/>
                <w:szCs w:val="20"/>
              </w:rPr>
              <w:t>No increase in the maximum number of repeats may be authorised.</w:t>
            </w:r>
          </w:p>
          <w:p w:rsidR="003C0C20" w:rsidRPr="009714DF" w:rsidRDefault="003C0C20" w:rsidP="003C0C20">
            <w:pPr>
              <w:widowControl/>
              <w:snapToGrid w:val="0"/>
              <w:rPr>
                <w:rFonts w:ascii="Arial Narrow" w:hAnsi="Arial Narrow"/>
                <w:snapToGrid/>
                <w:sz w:val="20"/>
                <w:szCs w:val="20"/>
              </w:rPr>
            </w:pPr>
          </w:p>
          <w:p w:rsidR="003C0C20"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Applications for authorisation under this criterion may be made by telephone by contacting the Department of Human Services on 1800 700 270 (hours of operation 8 a.m. to 5 p.m. EST Monday to Friday).</w:t>
            </w:r>
          </w:p>
          <w:p w:rsidR="009714DF" w:rsidRPr="009714DF" w:rsidRDefault="009714DF"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Special Pricing Arrangements apply.</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b/>
                <w:snapToGrid/>
                <w:sz w:val="20"/>
                <w:szCs w:val="20"/>
              </w:rPr>
            </w:pPr>
            <w:r w:rsidRPr="009714DF">
              <w:rPr>
                <w:rFonts w:ascii="Arial Narrow" w:hAnsi="Arial Narrow"/>
                <w:snapToGrid/>
                <w:sz w:val="20"/>
                <w:szCs w:val="20"/>
              </w:rPr>
              <w:t xml:space="preserve">Careful monitoring of patients is required due to risk of developing hepatotoxicity, including life-threatening hepatic </w:t>
            </w:r>
            <w:proofErr w:type="spellStart"/>
            <w:r w:rsidRPr="009714DF">
              <w:rPr>
                <w:rFonts w:ascii="Arial Narrow" w:hAnsi="Arial Narrow"/>
                <w:snapToGrid/>
                <w:sz w:val="20"/>
                <w:szCs w:val="20"/>
              </w:rPr>
              <w:t>veno</w:t>
            </w:r>
            <w:proofErr w:type="spellEnd"/>
            <w:r w:rsidRPr="009714DF">
              <w:rPr>
                <w:rFonts w:ascii="Arial Narrow" w:hAnsi="Arial Narrow"/>
                <w:snapToGrid/>
                <w:sz w:val="20"/>
                <w:szCs w:val="20"/>
              </w:rPr>
              <w:t>-occlusive disease, and the increased risk of post-</w:t>
            </w:r>
            <w:r w:rsidRPr="009714DF">
              <w:rPr>
                <w:snapToGrid/>
              </w:rPr>
              <w:t xml:space="preserve"> </w:t>
            </w:r>
            <w:r w:rsidRPr="009714DF">
              <w:rPr>
                <w:rFonts w:ascii="Arial Narrow" w:hAnsi="Arial Narrow"/>
                <w:snapToGrid/>
                <w:sz w:val="20"/>
                <w:szCs w:val="20"/>
              </w:rPr>
              <w:t xml:space="preserve">haematopoietic stem cell transplant non-relapse mortality observed in patients treated with inotuzumab. </w:t>
            </w:r>
          </w:p>
        </w:tc>
      </w:tr>
      <w:tr w:rsidR="003C0C20" w:rsidRPr="009714DF" w:rsidTr="003C0C20">
        <w:trPr>
          <w:trHeight w:val="20"/>
        </w:trPr>
        <w:tc>
          <w:tcPr>
            <w:tcW w:w="1252" w:type="pct"/>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sz w:val="2"/>
                <w:szCs w:val="2"/>
              </w:rPr>
            </w:pP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sz w:val="2"/>
                <w:szCs w:val="2"/>
              </w:rPr>
            </w:pPr>
          </w:p>
        </w:tc>
      </w:tr>
    </w:tbl>
    <w:p w:rsidR="003C0C20" w:rsidRPr="009714DF" w:rsidRDefault="003C0C20" w:rsidP="003C0C20">
      <w:pPr>
        <w:widowControl/>
        <w:snapToGrid w:val="0"/>
        <w:rPr>
          <w:snapToGrid/>
        </w:rPr>
      </w:pPr>
    </w:p>
    <w:p w:rsidR="003C0C20" w:rsidRPr="009714DF" w:rsidRDefault="003C0C20" w:rsidP="003C0C20">
      <w:pPr>
        <w:widowControl/>
        <w:snapToGrid w:val="0"/>
        <w:rPr>
          <w:snapToGrid/>
        </w:rPr>
      </w:pPr>
      <w:r w:rsidRPr="009714DF">
        <w:rPr>
          <w:b/>
          <w:snapToGrid/>
        </w:rPr>
        <w:t>Grandfathering</w:t>
      </w:r>
    </w:p>
    <w:tbl>
      <w:tblPr>
        <w:tblW w:w="4977" w:type="pct"/>
        <w:tblInd w:w="28" w:type="dxa"/>
        <w:tblCellMar>
          <w:left w:w="28" w:type="dxa"/>
          <w:right w:w="28" w:type="dxa"/>
        </w:tblCellMar>
        <w:tblLook w:val="04A0" w:firstRow="1" w:lastRow="0" w:firstColumn="1" w:lastColumn="0" w:noHBand="0" w:noVBand="1"/>
      </w:tblPr>
      <w:tblGrid>
        <w:gridCol w:w="2250"/>
        <w:gridCol w:w="275"/>
        <w:gridCol w:w="848"/>
        <w:gridCol w:w="1698"/>
        <w:gridCol w:w="142"/>
        <w:gridCol w:w="2367"/>
        <w:gridCol w:w="1405"/>
      </w:tblGrid>
      <w:tr w:rsidR="003C0C20" w:rsidRPr="009714DF" w:rsidTr="00F96F7D">
        <w:trPr>
          <w:cantSplit/>
          <w:trHeight w:val="463"/>
        </w:trPr>
        <w:tc>
          <w:tcPr>
            <w:tcW w:w="1405" w:type="pct"/>
            <w:gridSpan w:val="2"/>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rPr>
                <w:rFonts w:ascii="Arial Narrow" w:hAnsi="Arial Narrow"/>
                <w:b/>
                <w:snapToGrid/>
                <w:sz w:val="20"/>
              </w:rPr>
            </w:pPr>
            <w:r w:rsidRPr="009714DF">
              <w:rPr>
                <w:rFonts w:ascii="Arial Narrow" w:hAnsi="Arial Narrow"/>
                <w:b/>
                <w:snapToGrid/>
                <w:sz w:val="20"/>
              </w:rPr>
              <w:t>Name, Restriction,</w:t>
            </w:r>
          </w:p>
          <w:p w:rsidR="003C0C20" w:rsidRPr="009714DF" w:rsidRDefault="003C0C20" w:rsidP="003C0C20">
            <w:pPr>
              <w:keepNext/>
              <w:widowControl/>
              <w:snapToGrid w:val="0"/>
              <w:rPr>
                <w:rFonts w:ascii="Arial Narrow" w:hAnsi="Arial Narrow"/>
                <w:b/>
                <w:snapToGrid/>
                <w:sz w:val="20"/>
              </w:rPr>
            </w:pPr>
            <w:r w:rsidRPr="009714DF">
              <w:rPr>
                <w:rFonts w:ascii="Arial Narrow" w:hAnsi="Arial Narrow"/>
                <w:b/>
                <w:snapToGrid/>
                <w:sz w:val="20"/>
              </w:rPr>
              <w:t>Manner of administration and form</w:t>
            </w:r>
          </w:p>
        </w:tc>
        <w:tc>
          <w:tcPr>
            <w:tcW w:w="472" w:type="pct"/>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Max.</w:t>
            </w:r>
          </w:p>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Amt</w:t>
            </w:r>
          </w:p>
        </w:tc>
        <w:tc>
          <w:tcPr>
            <w:tcW w:w="945" w:type="pct"/>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№.of</w:t>
            </w:r>
          </w:p>
          <w:p w:rsidR="003C0C20" w:rsidRPr="009714DF" w:rsidRDefault="003C0C20" w:rsidP="003C0C20">
            <w:pPr>
              <w:keepNext/>
              <w:widowControl/>
              <w:snapToGrid w:val="0"/>
              <w:jc w:val="center"/>
              <w:rPr>
                <w:rFonts w:ascii="Arial Narrow" w:hAnsi="Arial Narrow"/>
                <w:b/>
                <w:snapToGrid/>
                <w:sz w:val="20"/>
              </w:rPr>
            </w:pPr>
            <w:r w:rsidRPr="009714DF">
              <w:rPr>
                <w:rFonts w:ascii="Arial Narrow" w:hAnsi="Arial Narrow"/>
                <w:b/>
                <w:snapToGrid/>
                <w:sz w:val="20"/>
              </w:rPr>
              <w:t>Rpts</w:t>
            </w:r>
          </w:p>
        </w:tc>
        <w:tc>
          <w:tcPr>
            <w:tcW w:w="79" w:type="pct"/>
            <w:tcBorders>
              <w:top w:val="single" w:sz="4" w:space="0" w:color="auto"/>
              <w:left w:val="nil"/>
              <w:bottom w:val="single" w:sz="4" w:space="0" w:color="auto"/>
              <w:right w:val="nil"/>
            </w:tcBorders>
            <w:vAlign w:val="center"/>
          </w:tcPr>
          <w:p w:rsidR="003C0C20" w:rsidRPr="009714DF" w:rsidRDefault="003C0C20" w:rsidP="003C0C20">
            <w:pPr>
              <w:keepNext/>
              <w:widowControl/>
              <w:snapToGrid w:val="0"/>
              <w:jc w:val="center"/>
              <w:rPr>
                <w:rFonts w:ascii="Arial Narrow" w:hAnsi="Arial Narrow"/>
                <w:b/>
                <w:snapToGrid/>
                <w:sz w:val="20"/>
              </w:rPr>
            </w:pPr>
          </w:p>
        </w:tc>
        <w:tc>
          <w:tcPr>
            <w:tcW w:w="2099" w:type="pct"/>
            <w:gridSpan w:val="2"/>
            <w:tcBorders>
              <w:top w:val="single" w:sz="4" w:space="0" w:color="auto"/>
              <w:left w:val="nil"/>
              <w:bottom w:val="single" w:sz="4" w:space="0" w:color="auto"/>
              <w:right w:val="nil"/>
            </w:tcBorders>
            <w:vAlign w:val="center"/>
            <w:hideMark/>
          </w:tcPr>
          <w:p w:rsidR="003C0C20" w:rsidRPr="009714DF" w:rsidRDefault="003C0C20" w:rsidP="003C0C20">
            <w:pPr>
              <w:keepNext/>
              <w:widowControl/>
              <w:snapToGrid w:val="0"/>
              <w:jc w:val="center"/>
              <w:rPr>
                <w:rFonts w:ascii="Arial Narrow" w:hAnsi="Arial Narrow"/>
                <w:b/>
                <w:snapToGrid/>
                <w:sz w:val="20"/>
                <w:lang w:val="fr-FR"/>
              </w:rPr>
            </w:pPr>
            <w:r w:rsidRPr="009714DF">
              <w:rPr>
                <w:rFonts w:ascii="Arial Narrow" w:hAnsi="Arial Narrow"/>
                <w:b/>
                <w:snapToGrid/>
                <w:sz w:val="20"/>
              </w:rPr>
              <w:t>Proprietary Name and Manufacturer</w:t>
            </w:r>
          </w:p>
        </w:tc>
      </w:tr>
      <w:tr w:rsidR="003C0C20" w:rsidRPr="009714DF" w:rsidTr="00F96F7D">
        <w:trPr>
          <w:cantSplit/>
          <w:trHeight w:val="71"/>
        </w:trPr>
        <w:tc>
          <w:tcPr>
            <w:tcW w:w="1405" w:type="pct"/>
            <w:gridSpan w:val="2"/>
            <w:hideMark/>
          </w:tcPr>
          <w:p w:rsidR="003C0C20" w:rsidRPr="009714DF" w:rsidRDefault="003C0C20" w:rsidP="003C0C20">
            <w:pPr>
              <w:keepNext/>
              <w:widowControl/>
              <w:snapToGrid w:val="0"/>
              <w:rPr>
                <w:rFonts w:ascii="Arial Narrow" w:hAnsi="Arial Narrow"/>
                <w:snapToGrid/>
                <w:sz w:val="20"/>
              </w:rPr>
            </w:pPr>
            <w:r w:rsidRPr="009714DF">
              <w:rPr>
                <w:rFonts w:ascii="Arial Narrow" w:hAnsi="Arial Narrow"/>
                <w:smallCaps/>
                <w:snapToGrid/>
                <w:sz w:val="20"/>
              </w:rPr>
              <w:t>INOTUZUMAB OZOGAMICIN</w:t>
            </w:r>
          </w:p>
        </w:tc>
        <w:tc>
          <w:tcPr>
            <w:tcW w:w="472" w:type="pct"/>
            <w:vAlign w:val="center"/>
          </w:tcPr>
          <w:p w:rsidR="003C0C20" w:rsidRPr="009714DF" w:rsidRDefault="003C0C20" w:rsidP="003C0C20">
            <w:pPr>
              <w:keepNext/>
              <w:widowControl/>
              <w:snapToGrid w:val="0"/>
              <w:rPr>
                <w:rFonts w:ascii="Arial Narrow" w:hAnsi="Arial Narrow"/>
                <w:snapToGrid/>
                <w:sz w:val="20"/>
              </w:rPr>
            </w:pPr>
          </w:p>
        </w:tc>
        <w:tc>
          <w:tcPr>
            <w:tcW w:w="945" w:type="pct"/>
            <w:vAlign w:val="center"/>
          </w:tcPr>
          <w:p w:rsidR="003C0C20" w:rsidRPr="009714DF" w:rsidRDefault="003C0C20" w:rsidP="003C0C20">
            <w:pPr>
              <w:keepNext/>
              <w:widowControl/>
              <w:snapToGrid w:val="0"/>
              <w:rPr>
                <w:rFonts w:ascii="Arial Narrow" w:hAnsi="Arial Narrow"/>
                <w:snapToGrid/>
                <w:sz w:val="20"/>
              </w:rPr>
            </w:pPr>
          </w:p>
        </w:tc>
        <w:tc>
          <w:tcPr>
            <w:tcW w:w="79" w:type="pct"/>
            <w:vAlign w:val="center"/>
          </w:tcPr>
          <w:p w:rsidR="003C0C20" w:rsidRPr="009714DF" w:rsidRDefault="003C0C20" w:rsidP="003C0C20">
            <w:pPr>
              <w:keepNext/>
              <w:widowControl/>
              <w:snapToGrid w:val="0"/>
              <w:rPr>
                <w:rFonts w:ascii="Arial Narrow" w:hAnsi="Arial Narrow"/>
                <w:snapToGrid/>
                <w:sz w:val="20"/>
              </w:rPr>
            </w:pPr>
          </w:p>
        </w:tc>
        <w:tc>
          <w:tcPr>
            <w:tcW w:w="1317" w:type="pct"/>
            <w:vAlign w:val="center"/>
          </w:tcPr>
          <w:p w:rsidR="003C0C20" w:rsidRPr="009714DF" w:rsidRDefault="003C0C20" w:rsidP="003C0C20">
            <w:pPr>
              <w:keepNext/>
              <w:widowControl/>
              <w:snapToGrid w:val="0"/>
              <w:jc w:val="center"/>
              <w:rPr>
                <w:rFonts w:ascii="Arial Narrow" w:hAnsi="Arial Narrow"/>
                <w:snapToGrid/>
                <w:sz w:val="20"/>
              </w:rPr>
            </w:pPr>
          </w:p>
        </w:tc>
        <w:tc>
          <w:tcPr>
            <w:tcW w:w="782" w:type="pct"/>
            <w:vAlign w:val="center"/>
          </w:tcPr>
          <w:p w:rsidR="003C0C20" w:rsidRPr="009714DF" w:rsidRDefault="003C0C20" w:rsidP="003C0C20">
            <w:pPr>
              <w:keepNext/>
              <w:widowControl/>
              <w:snapToGrid w:val="0"/>
              <w:rPr>
                <w:rFonts w:ascii="Arial Narrow" w:hAnsi="Arial Narrow"/>
                <w:snapToGrid/>
                <w:sz w:val="20"/>
              </w:rPr>
            </w:pPr>
          </w:p>
        </w:tc>
      </w:tr>
      <w:tr w:rsidR="003C0C20" w:rsidRPr="009714DF" w:rsidTr="00F96F7D">
        <w:trPr>
          <w:cantSplit/>
          <w:trHeight w:val="588"/>
        </w:trPr>
        <w:tc>
          <w:tcPr>
            <w:tcW w:w="1405" w:type="pct"/>
            <w:gridSpan w:val="2"/>
            <w:vAlign w:val="center"/>
            <w:hideMark/>
          </w:tcPr>
          <w:p w:rsidR="003C0C20" w:rsidRPr="009714DF" w:rsidRDefault="003C0C20" w:rsidP="003C0C20">
            <w:pPr>
              <w:widowControl/>
              <w:snapToGrid w:val="0"/>
              <w:rPr>
                <w:rFonts w:ascii="Arial Narrow" w:hAnsi="Arial Narrow"/>
                <w:snapToGrid/>
                <w:sz w:val="20"/>
              </w:rPr>
            </w:pPr>
            <w:r w:rsidRPr="009714DF">
              <w:rPr>
                <w:rFonts w:ascii="Arial Narrow" w:hAnsi="Arial Narrow"/>
                <w:snapToGrid/>
                <w:sz w:val="20"/>
              </w:rPr>
              <w:t>1 mg vial powder for injection</w:t>
            </w:r>
          </w:p>
        </w:tc>
        <w:tc>
          <w:tcPr>
            <w:tcW w:w="472" w:type="pct"/>
            <w:vAlign w:val="center"/>
            <w:hideMark/>
          </w:tcPr>
          <w:p w:rsidR="003C0C20" w:rsidRPr="009714DF" w:rsidRDefault="003C0C20" w:rsidP="003C0C20">
            <w:pPr>
              <w:widowControl/>
              <w:snapToGrid w:val="0"/>
              <w:jc w:val="center"/>
              <w:rPr>
                <w:rFonts w:ascii="Arial Narrow" w:hAnsi="Arial Narrow"/>
                <w:snapToGrid/>
                <w:sz w:val="20"/>
              </w:rPr>
            </w:pPr>
            <w:r w:rsidRPr="009714DF">
              <w:rPr>
                <w:rFonts w:ascii="Arial Narrow" w:hAnsi="Arial Narrow"/>
                <w:snapToGrid/>
                <w:sz w:val="20"/>
              </w:rPr>
              <w:t>3384 mcg</w:t>
            </w:r>
          </w:p>
        </w:tc>
        <w:tc>
          <w:tcPr>
            <w:tcW w:w="945" w:type="pct"/>
            <w:vAlign w:val="center"/>
            <w:hideMark/>
          </w:tcPr>
          <w:p w:rsidR="003C0C20" w:rsidRPr="009714DF" w:rsidRDefault="003C0C20" w:rsidP="003C0C20">
            <w:pPr>
              <w:widowControl/>
              <w:snapToGrid w:val="0"/>
              <w:jc w:val="center"/>
              <w:rPr>
                <w:rFonts w:ascii="Arial Narrow" w:hAnsi="Arial Narrow"/>
                <w:snapToGrid/>
                <w:sz w:val="20"/>
              </w:rPr>
            </w:pPr>
            <w:r w:rsidRPr="009714DF">
              <w:rPr>
                <w:rFonts w:ascii="Arial Narrow" w:hAnsi="Arial Narrow"/>
                <w:snapToGrid/>
                <w:sz w:val="20"/>
              </w:rPr>
              <w:t>1</w:t>
            </w:r>
          </w:p>
        </w:tc>
        <w:tc>
          <w:tcPr>
            <w:tcW w:w="79" w:type="pct"/>
          </w:tcPr>
          <w:p w:rsidR="003C0C20" w:rsidRPr="009714DF" w:rsidRDefault="003C0C20" w:rsidP="003C0C20">
            <w:pPr>
              <w:keepNext/>
              <w:widowControl/>
              <w:snapToGrid w:val="0"/>
              <w:rPr>
                <w:rFonts w:ascii="Arial Narrow" w:hAnsi="Arial Narrow"/>
                <w:snapToGrid/>
                <w:sz w:val="20"/>
              </w:rPr>
            </w:pPr>
          </w:p>
        </w:tc>
        <w:tc>
          <w:tcPr>
            <w:tcW w:w="1317" w:type="pct"/>
            <w:vAlign w:val="center"/>
            <w:hideMark/>
          </w:tcPr>
          <w:p w:rsidR="003C0C20" w:rsidRPr="009714DF" w:rsidRDefault="003C0C20" w:rsidP="003C0C20">
            <w:pPr>
              <w:keepNext/>
              <w:widowControl/>
              <w:snapToGrid w:val="0"/>
              <w:jc w:val="center"/>
              <w:rPr>
                <w:rFonts w:ascii="Arial Narrow" w:hAnsi="Arial Narrow"/>
                <w:snapToGrid/>
                <w:sz w:val="20"/>
              </w:rPr>
            </w:pPr>
            <w:proofErr w:type="spellStart"/>
            <w:r w:rsidRPr="009714DF">
              <w:rPr>
                <w:rFonts w:ascii="Arial Narrow" w:hAnsi="Arial Narrow"/>
                <w:snapToGrid/>
                <w:sz w:val="20"/>
              </w:rPr>
              <w:t>Besponsa</w:t>
            </w:r>
            <w:proofErr w:type="spellEnd"/>
            <w:r w:rsidRPr="009714DF">
              <w:rPr>
                <w:rFonts w:ascii="Arial Narrow" w:hAnsi="Arial Narrow"/>
                <w:snapToGrid/>
                <w:sz w:val="20"/>
              </w:rPr>
              <w:t>®</w:t>
            </w:r>
          </w:p>
        </w:tc>
        <w:tc>
          <w:tcPr>
            <w:tcW w:w="782" w:type="pct"/>
            <w:vAlign w:val="center"/>
            <w:hideMark/>
          </w:tcPr>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 xml:space="preserve">Pfizer Australia </w:t>
            </w:r>
          </w:p>
          <w:p w:rsidR="003C0C20" w:rsidRPr="009714DF" w:rsidRDefault="003C0C20" w:rsidP="003C0C20">
            <w:pPr>
              <w:keepNext/>
              <w:widowControl/>
              <w:snapToGrid w:val="0"/>
              <w:jc w:val="center"/>
              <w:rPr>
                <w:rFonts w:ascii="Arial Narrow" w:hAnsi="Arial Narrow"/>
                <w:snapToGrid/>
                <w:sz w:val="20"/>
              </w:rPr>
            </w:pPr>
            <w:r w:rsidRPr="009714DF">
              <w:rPr>
                <w:rFonts w:ascii="Arial Narrow" w:hAnsi="Arial Narrow"/>
                <w:snapToGrid/>
                <w:sz w:val="20"/>
              </w:rPr>
              <w:t>P/L</w:t>
            </w:r>
          </w:p>
        </w:tc>
      </w:tr>
      <w:tr w:rsidR="009714DF" w:rsidRPr="009714DF" w:rsidTr="00971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tcPr>
          <w:p w:rsidR="009714DF" w:rsidRPr="009714DF" w:rsidRDefault="009714DF" w:rsidP="003C0C20">
            <w:pPr>
              <w:widowControl/>
              <w:snapToGrid w:val="0"/>
              <w:rPr>
                <w:rFonts w:ascii="Arial Narrow" w:hAnsi="Arial Narrow"/>
                <w:snapToGrid/>
                <w:sz w:val="20"/>
                <w:szCs w:val="20"/>
              </w:rPr>
            </w:pPr>
            <w:r w:rsidRPr="000F40FA">
              <w:rPr>
                <w:rFonts w:ascii="Arial Narrow" w:hAnsi="Arial Narrow"/>
                <w:snapToGrid/>
                <w:sz w:val="20"/>
                <w:szCs w:val="20"/>
              </w:rPr>
              <w:t>Category/Program:</w:t>
            </w:r>
          </w:p>
        </w:tc>
        <w:tc>
          <w:tcPr>
            <w:tcW w:w="3748" w:type="pct"/>
            <w:gridSpan w:val="6"/>
            <w:tcBorders>
              <w:top w:val="single" w:sz="4" w:space="0" w:color="auto"/>
              <w:left w:val="single" w:sz="4" w:space="0" w:color="auto"/>
              <w:bottom w:val="single" w:sz="4" w:space="0" w:color="auto"/>
              <w:right w:val="single" w:sz="4" w:space="0" w:color="auto"/>
            </w:tcBorders>
          </w:tcPr>
          <w:p w:rsidR="009714DF" w:rsidRPr="009714DF" w:rsidRDefault="009714DF" w:rsidP="003C0C20">
            <w:pPr>
              <w:widowControl/>
              <w:snapToGrid w:val="0"/>
              <w:rPr>
                <w:rFonts w:ascii="Arial Narrow" w:hAnsi="Arial Narrow"/>
                <w:snapToGrid/>
                <w:sz w:val="20"/>
                <w:szCs w:val="20"/>
              </w:rPr>
            </w:pPr>
            <w:r w:rsidRPr="000F40FA">
              <w:rPr>
                <w:rFonts w:ascii="Arial Narrow" w:hAnsi="Arial Narrow"/>
                <w:snapToGrid/>
                <w:color w:val="000000"/>
                <w:sz w:val="20"/>
                <w:szCs w:val="20"/>
              </w:rPr>
              <w:t>S100 – Efficient Funding of Chemotherapy (EFC)</w:t>
            </w:r>
          </w:p>
        </w:tc>
      </w:tr>
      <w:tr w:rsidR="009714DF" w:rsidRPr="009714DF" w:rsidTr="00971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tcPr>
          <w:p w:rsidR="009714DF" w:rsidRPr="009714DF" w:rsidRDefault="009714DF" w:rsidP="003C0C20">
            <w:pPr>
              <w:widowControl/>
              <w:snapToGrid w:val="0"/>
              <w:rPr>
                <w:rFonts w:ascii="Arial Narrow" w:hAnsi="Arial Narrow"/>
                <w:snapToGrid/>
                <w:sz w:val="20"/>
                <w:szCs w:val="20"/>
              </w:rPr>
            </w:pPr>
            <w:r w:rsidRPr="000F40FA">
              <w:rPr>
                <w:rFonts w:ascii="Arial Narrow" w:hAnsi="Arial Narrow"/>
                <w:snapToGrid/>
                <w:sz w:val="20"/>
                <w:szCs w:val="20"/>
              </w:rPr>
              <w:t>PBS indication:</w:t>
            </w:r>
          </w:p>
        </w:tc>
        <w:tc>
          <w:tcPr>
            <w:tcW w:w="3748" w:type="pct"/>
            <w:gridSpan w:val="6"/>
            <w:tcBorders>
              <w:top w:val="single" w:sz="4" w:space="0" w:color="auto"/>
              <w:left w:val="single" w:sz="4" w:space="0" w:color="auto"/>
              <w:bottom w:val="single" w:sz="4" w:space="0" w:color="auto"/>
              <w:right w:val="single" w:sz="4" w:space="0" w:color="auto"/>
            </w:tcBorders>
          </w:tcPr>
          <w:p w:rsidR="009714DF" w:rsidRPr="009714DF" w:rsidRDefault="009714DF" w:rsidP="003C0C20">
            <w:pPr>
              <w:widowControl/>
              <w:snapToGrid w:val="0"/>
              <w:rPr>
                <w:rFonts w:ascii="Arial Narrow" w:hAnsi="Arial Narrow"/>
                <w:snapToGrid/>
                <w:sz w:val="20"/>
                <w:szCs w:val="20"/>
              </w:rPr>
            </w:pPr>
            <w:r>
              <w:rPr>
                <w:rFonts w:ascii="Arial Narrow" w:hAnsi="Arial Narrow"/>
                <w:snapToGrid/>
                <w:color w:val="000000"/>
                <w:sz w:val="20"/>
                <w:szCs w:val="20"/>
              </w:rPr>
              <w:t>A</w:t>
            </w:r>
            <w:r w:rsidRPr="000F40FA">
              <w:rPr>
                <w:rFonts w:ascii="Arial Narrow" w:hAnsi="Arial Narrow"/>
                <w:snapToGrid/>
                <w:color w:val="000000"/>
                <w:sz w:val="20"/>
                <w:szCs w:val="20"/>
              </w:rPr>
              <w:t>cute lymphoblastic leukaemia (ALL)</w:t>
            </w:r>
          </w:p>
        </w:tc>
      </w:tr>
      <w:tr w:rsidR="009714DF" w:rsidRPr="009714DF" w:rsidTr="00971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tcPr>
          <w:p w:rsidR="009714DF" w:rsidRPr="009714DF" w:rsidRDefault="009714DF" w:rsidP="003C0C20">
            <w:pPr>
              <w:widowControl/>
              <w:snapToGrid w:val="0"/>
              <w:rPr>
                <w:rFonts w:ascii="Arial Narrow" w:hAnsi="Arial Narrow"/>
                <w:snapToGrid/>
                <w:sz w:val="20"/>
                <w:szCs w:val="20"/>
              </w:rPr>
            </w:pPr>
            <w:r w:rsidRPr="004C6031">
              <w:rPr>
                <w:rFonts w:ascii="Arial Narrow" w:hAnsi="Arial Narrow"/>
                <w:snapToGrid/>
                <w:sz w:val="20"/>
                <w:szCs w:val="20"/>
              </w:rPr>
              <w:t>Treatment phase:</w:t>
            </w:r>
          </w:p>
        </w:tc>
        <w:tc>
          <w:tcPr>
            <w:tcW w:w="3748" w:type="pct"/>
            <w:gridSpan w:val="6"/>
            <w:tcBorders>
              <w:top w:val="single" w:sz="4" w:space="0" w:color="auto"/>
              <w:left w:val="single" w:sz="4" w:space="0" w:color="auto"/>
              <w:bottom w:val="single" w:sz="4" w:space="0" w:color="auto"/>
              <w:right w:val="single" w:sz="4" w:space="0" w:color="auto"/>
            </w:tcBorders>
          </w:tcPr>
          <w:p w:rsidR="009714DF" w:rsidRPr="009714DF" w:rsidRDefault="009714DF" w:rsidP="003C0C20">
            <w:pPr>
              <w:widowControl/>
              <w:snapToGrid w:val="0"/>
              <w:rPr>
                <w:rFonts w:ascii="Arial Narrow" w:hAnsi="Arial Narrow"/>
                <w:snapToGrid/>
                <w:sz w:val="20"/>
                <w:szCs w:val="20"/>
              </w:rPr>
            </w:pPr>
            <w:r w:rsidRPr="009714DF">
              <w:rPr>
                <w:rFonts w:ascii="Arial Narrow" w:hAnsi="Arial Narrow"/>
                <w:snapToGrid/>
                <w:sz w:val="20"/>
                <w:szCs w:val="20"/>
              </w:rPr>
              <w:t>Grandfathering treatment</w:t>
            </w:r>
          </w:p>
        </w:tc>
      </w:tr>
      <w:tr w:rsidR="003C0C20" w:rsidRPr="009714DF" w:rsidTr="003C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Restriction:</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9714DF">
            <w:pPr>
              <w:widowControl/>
              <w:snapToGrid w:val="0"/>
              <w:rPr>
                <w:rFonts w:ascii="Arial Narrow" w:hAnsi="Arial Narrow"/>
                <w:snapToGrid/>
                <w:sz w:val="20"/>
                <w:szCs w:val="20"/>
              </w:rPr>
            </w:pPr>
            <w:r w:rsidRPr="009714DF">
              <w:rPr>
                <w:rFonts w:ascii="Arial Narrow" w:hAnsi="Arial Narrow"/>
                <w:snapToGrid/>
                <w:sz w:val="20"/>
                <w:szCs w:val="20"/>
              </w:rPr>
              <w:fldChar w:fldCharType="begin">
                <w:ffData>
                  <w:name w:val=""/>
                  <w:enabled/>
                  <w:calcOnExit w:val="0"/>
                  <w:entryMacro w:val="ENToggleCategorizeReferences"/>
                  <w:checkBox>
                    <w:sizeAuto/>
                    <w:default w:val="1"/>
                  </w:checkBox>
                </w:ffData>
              </w:fldChar>
            </w:r>
            <w:r w:rsidRPr="009714DF">
              <w:rPr>
                <w:rFonts w:ascii="Arial Narrow" w:hAnsi="Arial Narrow"/>
                <w:snapToGrid/>
                <w:sz w:val="20"/>
                <w:szCs w:val="20"/>
              </w:rPr>
              <w:instrText xml:space="preserve"> FORMCHECKBOX </w:instrText>
            </w:r>
            <w:r w:rsidR="00815794">
              <w:rPr>
                <w:rFonts w:ascii="Arial Narrow" w:hAnsi="Arial Narrow"/>
                <w:snapToGrid/>
                <w:sz w:val="20"/>
                <w:szCs w:val="20"/>
              </w:rPr>
            </w:r>
            <w:r w:rsidR="00815794">
              <w:rPr>
                <w:rFonts w:ascii="Arial Narrow" w:hAnsi="Arial Narrow"/>
                <w:snapToGrid/>
                <w:sz w:val="20"/>
                <w:szCs w:val="20"/>
              </w:rPr>
              <w:fldChar w:fldCharType="separate"/>
            </w:r>
            <w:r w:rsidRPr="009714DF">
              <w:rPr>
                <w:rFonts w:ascii="Arial Narrow" w:hAnsi="Arial Narrow"/>
                <w:snapToGrid/>
                <w:sz w:val="20"/>
                <w:szCs w:val="20"/>
              </w:rPr>
              <w:fldChar w:fldCharType="end"/>
            </w:r>
            <w:r w:rsidRPr="009714DF">
              <w:rPr>
                <w:rFonts w:ascii="Arial Narrow" w:hAnsi="Arial Narrow"/>
                <w:snapToGrid/>
                <w:sz w:val="20"/>
                <w:szCs w:val="20"/>
              </w:rPr>
              <w:t>Authority Required - In Writing</w:t>
            </w:r>
          </w:p>
        </w:tc>
      </w:tr>
      <w:tr w:rsidR="003C0C20" w:rsidRPr="009714DF" w:rsidTr="003C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Clinical criteria:</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Patient must have a documented history of relapsed or refractory B-precursor cell ALL, with an Eastern Cooperative Oncology Group (ECOG) performance status of 2 or less,</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Patient must have a documented history of receiving intensive combination chemotherapy for initial treatment of ALL or subsequent salvage therapy,</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Patient must not have received more than 2 lines of salvage therapy</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lastRenderedPageBreak/>
              <w:t>AND</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The condition must be Philadelphia chromosome negative,</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The condition must be CD22 positive, </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Patient must have a documented history of more than 5% blasts in bone marrow prior to when the patient commenced inotuzumab </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AND</w:t>
            </w:r>
          </w:p>
          <w:p w:rsidR="003C0C20"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Patient must have received treatment with this drug for this condition prior to [DATE OF PBS-LISTING]</w:t>
            </w:r>
          </w:p>
          <w:p w:rsidR="00B41C57" w:rsidRPr="00B41C57" w:rsidRDefault="00B41C57" w:rsidP="00B41C57">
            <w:pPr>
              <w:widowControl/>
              <w:snapToGrid w:val="0"/>
              <w:rPr>
                <w:rFonts w:ascii="Arial Narrow" w:hAnsi="Arial Narrow"/>
                <w:snapToGrid/>
                <w:sz w:val="20"/>
                <w:szCs w:val="20"/>
              </w:rPr>
            </w:pPr>
            <w:r w:rsidRPr="00B41C57">
              <w:rPr>
                <w:rFonts w:ascii="Arial Narrow" w:hAnsi="Arial Narrow"/>
                <w:snapToGrid/>
                <w:sz w:val="20"/>
                <w:szCs w:val="20"/>
              </w:rPr>
              <w:t xml:space="preserve">AND </w:t>
            </w:r>
          </w:p>
          <w:p w:rsidR="00B41C57" w:rsidRPr="009714DF" w:rsidRDefault="00B41C57" w:rsidP="00B41C57">
            <w:pPr>
              <w:widowControl/>
              <w:snapToGrid w:val="0"/>
              <w:rPr>
                <w:rFonts w:ascii="Arial Narrow" w:hAnsi="Arial Narrow"/>
                <w:snapToGrid/>
                <w:sz w:val="20"/>
                <w:szCs w:val="20"/>
              </w:rPr>
            </w:pPr>
            <w:r w:rsidRPr="00B41C57">
              <w:rPr>
                <w:rFonts w:ascii="Arial Narrow" w:hAnsi="Arial Narrow"/>
                <w:snapToGrid/>
                <w:sz w:val="20"/>
                <w:szCs w:val="20"/>
              </w:rPr>
              <w:t>Patient must not receive PBS-subsidised treatment with this drug if progressive disease develops while on this drug</w:t>
            </w:r>
          </w:p>
        </w:tc>
      </w:tr>
      <w:tr w:rsidR="003C0C20" w:rsidRPr="009714DF" w:rsidTr="003C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lastRenderedPageBreak/>
              <w:t>Prescriber Instructions:</w:t>
            </w: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This drug is not PBS-subsidised if it is prescribed to an in-patient in a public hospital setting.</w:t>
            </w:r>
          </w:p>
          <w:p w:rsidR="003C0C20" w:rsidRPr="009714DF" w:rsidRDefault="003C0C20" w:rsidP="003C0C20">
            <w:pPr>
              <w:widowControl/>
              <w:snapToGrid w:val="0"/>
              <w:rPr>
                <w:rFonts w:ascii="Arial Narrow" w:hAnsi="Arial Narrow"/>
                <w:snapToGrid/>
                <w:sz w:val="20"/>
                <w:szCs w:val="20"/>
              </w:rPr>
            </w:pPr>
            <w:r w:rsidRPr="009714DF" w:rsidDel="0094716A">
              <w:rPr>
                <w:rFonts w:ascii="Arial Narrow" w:hAnsi="Arial Narrow"/>
                <w:snapToGrid/>
                <w:sz w:val="20"/>
                <w:szCs w:val="20"/>
              </w:rPr>
              <w:t xml:space="preserve"> </w:t>
            </w: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A patient may qualify for PBS-subsidised treatment under this restriction once only.</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Treatment with this drug for this condition</w:t>
            </w:r>
            <w:r w:rsidRPr="009714DF">
              <w:rPr>
                <w:snapToGrid/>
                <w:szCs w:val="20"/>
              </w:rPr>
              <w:t xml:space="preserve"> </w:t>
            </w:r>
            <w:r w:rsidRPr="009714DF">
              <w:rPr>
                <w:rFonts w:ascii="Arial Narrow" w:hAnsi="Arial Narrow"/>
                <w:snapToGrid/>
                <w:sz w:val="20"/>
                <w:szCs w:val="20"/>
              </w:rPr>
              <w:t xml:space="preserve">must not exceed 6 treatment cycles in a lifetime.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Patients who have received up to three treatment cycles as induction therapy with this drug for this condition prior to [DATE OF PBS LISTING] must have achieved a complete remission, or a complete remission with partial haematological recovery in order to continue with PBS-subsidised treatment with this drug.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Patients who have received at least one treatment cycle as consolidation therapy with this drug for this condition prior to [DATE OF PBS LISTING] must have achieved a complete remission, or a complete remission with partial haematological recovery in order to continue with PBS-subsidised treatment with this drug.</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Patients who fail to demonstrate a complete remission (CR) or complete remission with incomplete haematological recovery (</w:t>
            </w:r>
            <w:proofErr w:type="spellStart"/>
            <w:r w:rsidRPr="009714DF">
              <w:rPr>
                <w:rFonts w:ascii="Arial Narrow" w:hAnsi="Arial Narrow"/>
                <w:snapToGrid/>
                <w:sz w:val="20"/>
                <w:szCs w:val="20"/>
              </w:rPr>
              <w:t>CRi</w:t>
            </w:r>
            <w:proofErr w:type="spellEnd"/>
            <w:r w:rsidRPr="009714DF">
              <w:rPr>
                <w:rFonts w:ascii="Arial Narrow" w:hAnsi="Arial Narrow"/>
                <w:snapToGrid/>
                <w:sz w:val="20"/>
                <w:szCs w:val="20"/>
              </w:rPr>
              <w:t>) after 3 cycles of PBS-subsidised treatment with this agent must cease PBS-subsidised treatment with this agent.</w:t>
            </w:r>
          </w:p>
          <w:p w:rsidR="003C0C20" w:rsidRPr="009714DF" w:rsidRDefault="003C0C20" w:rsidP="003C0C20">
            <w:pPr>
              <w:widowControl/>
              <w:snapToGrid w:val="0"/>
              <w:rPr>
                <w:rFonts w:ascii="Arial Narrow" w:hAnsi="Arial Narrow"/>
                <w:strike/>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The authority application must be made in writing and must include:</w:t>
            </w:r>
          </w:p>
          <w:p w:rsidR="003C0C20" w:rsidRPr="009714DF" w:rsidRDefault="003C0C20" w:rsidP="009714DF">
            <w:pPr>
              <w:widowControl/>
              <w:snapToGrid w:val="0"/>
              <w:ind w:left="118"/>
              <w:rPr>
                <w:rFonts w:ascii="Arial Narrow" w:hAnsi="Arial Narrow"/>
                <w:snapToGrid/>
                <w:sz w:val="20"/>
                <w:szCs w:val="20"/>
              </w:rPr>
            </w:pPr>
            <w:r w:rsidRPr="009714DF">
              <w:rPr>
                <w:rFonts w:ascii="Arial Narrow" w:hAnsi="Arial Narrow"/>
                <w:snapToGrid/>
                <w:sz w:val="20"/>
                <w:szCs w:val="20"/>
              </w:rPr>
              <w:t>(1) a completed authority prescription form;</w:t>
            </w:r>
          </w:p>
          <w:p w:rsidR="003C0C20" w:rsidRPr="009714DF" w:rsidRDefault="003C0C20" w:rsidP="009714DF">
            <w:pPr>
              <w:widowControl/>
              <w:snapToGrid w:val="0"/>
              <w:ind w:left="118"/>
              <w:rPr>
                <w:rFonts w:ascii="Arial Narrow" w:hAnsi="Arial Narrow"/>
                <w:snapToGrid/>
                <w:sz w:val="20"/>
                <w:szCs w:val="20"/>
              </w:rPr>
            </w:pPr>
            <w:r w:rsidRPr="009714DF">
              <w:rPr>
                <w:rFonts w:ascii="Arial Narrow" w:hAnsi="Arial Narrow"/>
                <w:snapToGrid/>
                <w:sz w:val="20"/>
                <w:szCs w:val="20"/>
              </w:rPr>
              <w:t xml:space="preserve">(2) a completed Acute Lymphoblastic Leukaemia PBS Authority Application - Supporting Information Form; and </w:t>
            </w:r>
          </w:p>
          <w:p w:rsidR="003C0C20" w:rsidRPr="009714DF" w:rsidRDefault="003C0C20" w:rsidP="009714DF">
            <w:pPr>
              <w:widowControl/>
              <w:snapToGrid w:val="0"/>
              <w:ind w:left="118"/>
              <w:rPr>
                <w:rFonts w:ascii="Arial Narrow" w:hAnsi="Arial Narrow"/>
                <w:snapToGrid/>
                <w:sz w:val="20"/>
                <w:szCs w:val="20"/>
              </w:rPr>
            </w:pPr>
            <w:r w:rsidRPr="009714DF">
              <w:rPr>
                <w:rFonts w:ascii="Arial Narrow" w:hAnsi="Arial Narrow"/>
                <w:snapToGrid/>
                <w:sz w:val="20"/>
                <w:szCs w:val="20"/>
              </w:rPr>
              <w:t>(3) evidence that the condition is CD22-positive; and</w:t>
            </w:r>
          </w:p>
          <w:p w:rsidR="003C0C20" w:rsidRPr="009714DF" w:rsidRDefault="003C0C20" w:rsidP="009714DF">
            <w:pPr>
              <w:widowControl/>
              <w:snapToGrid w:val="0"/>
              <w:ind w:left="118"/>
              <w:rPr>
                <w:rFonts w:ascii="Arial Narrow" w:hAnsi="Arial Narrow"/>
                <w:snapToGrid/>
                <w:sz w:val="20"/>
                <w:szCs w:val="20"/>
              </w:rPr>
            </w:pPr>
            <w:r w:rsidRPr="009714DF">
              <w:rPr>
                <w:rFonts w:ascii="Arial Narrow" w:hAnsi="Arial Narrow"/>
                <w:snapToGrid/>
                <w:sz w:val="20"/>
                <w:szCs w:val="20"/>
              </w:rPr>
              <w:t xml:space="preserve">(4) date of most recent inotuzumab </w:t>
            </w:r>
            <w:proofErr w:type="spellStart"/>
            <w:r w:rsidRPr="009714DF">
              <w:rPr>
                <w:rFonts w:ascii="Arial Narrow" w:hAnsi="Arial Narrow"/>
                <w:snapToGrid/>
                <w:sz w:val="20"/>
                <w:szCs w:val="20"/>
              </w:rPr>
              <w:t>ozogamicin</w:t>
            </w:r>
            <w:proofErr w:type="spellEnd"/>
            <w:r w:rsidRPr="009714DF">
              <w:rPr>
                <w:rFonts w:ascii="Arial Narrow" w:hAnsi="Arial Narrow"/>
                <w:snapToGrid/>
                <w:sz w:val="20"/>
                <w:szCs w:val="20"/>
              </w:rPr>
              <w:t xml:space="preserve"> dose, if this was for induction or consolidation therapy, and how many treatment cycle(s) of PBS-subsidised inotuzumab </w:t>
            </w:r>
            <w:proofErr w:type="spellStart"/>
            <w:r w:rsidRPr="009714DF">
              <w:rPr>
                <w:rFonts w:ascii="Arial Narrow" w:hAnsi="Arial Narrow"/>
                <w:snapToGrid/>
                <w:sz w:val="20"/>
                <w:szCs w:val="20"/>
              </w:rPr>
              <w:t>ozogamicin</w:t>
            </w:r>
            <w:proofErr w:type="spellEnd"/>
            <w:r w:rsidRPr="009714DF">
              <w:rPr>
                <w:rFonts w:ascii="Arial Narrow" w:hAnsi="Arial Narrow"/>
                <w:snapToGrid/>
                <w:sz w:val="20"/>
                <w:szCs w:val="20"/>
              </w:rPr>
              <w:t xml:space="preserve"> will be required for completion of induction or consolidation therapy; and </w:t>
            </w:r>
          </w:p>
          <w:p w:rsidR="003C0C20" w:rsidRPr="009714DF" w:rsidRDefault="003C0C20" w:rsidP="009714DF">
            <w:pPr>
              <w:widowControl/>
              <w:snapToGrid w:val="0"/>
              <w:ind w:left="118"/>
              <w:rPr>
                <w:rFonts w:ascii="Arial Narrow" w:hAnsi="Arial Narrow"/>
                <w:snapToGrid/>
                <w:sz w:val="20"/>
                <w:szCs w:val="20"/>
              </w:rPr>
            </w:pPr>
            <w:r w:rsidRPr="009714DF">
              <w:rPr>
                <w:rFonts w:ascii="Arial Narrow" w:hAnsi="Arial Narrow"/>
                <w:snapToGrid/>
                <w:sz w:val="20"/>
                <w:szCs w:val="20"/>
              </w:rPr>
              <w:t xml:space="preserve">(5) date of latest chemotherapy prior to receiving non-PBS subsidised inotuzumab </w:t>
            </w:r>
            <w:proofErr w:type="spellStart"/>
            <w:r w:rsidRPr="009714DF">
              <w:rPr>
                <w:rFonts w:ascii="Arial Narrow" w:hAnsi="Arial Narrow"/>
                <w:snapToGrid/>
                <w:sz w:val="20"/>
                <w:szCs w:val="20"/>
              </w:rPr>
              <w:t>ozogamicin</w:t>
            </w:r>
            <w:proofErr w:type="spellEnd"/>
            <w:r w:rsidRPr="009714DF">
              <w:rPr>
                <w:rFonts w:ascii="Arial Narrow" w:hAnsi="Arial Narrow"/>
                <w:snapToGrid/>
                <w:sz w:val="20"/>
                <w:szCs w:val="20"/>
              </w:rPr>
              <w:t xml:space="preserve">, and if it was the initial chemotherapy regimen or for salvage therapy and what line of salvage; and </w:t>
            </w:r>
          </w:p>
          <w:p w:rsidR="003C0C20" w:rsidRPr="009714DF" w:rsidRDefault="003C0C20" w:rsidP="009714DF">
            <w:pPr>
              <w:widowControl/>
              <w:snapToGrid w:val="0"/>
              <w:ind w:left="118"/>
              <w:rPr>
                <w:rFonts w:ascii="Arial Narrow" w:hAnsi="Arial Narrow"/>
                <w:snapToGrid/>
                <w:sz w:val="20"/>
                <w:szCs w:val="20"/>
              </w:rPr>
            </w:pPr>
            <w:r w:rsidRPr="009714DF">
              <w:rPr>
                <w:rFonts w:ascii="Arial Narrow" w:hAnsi="Arial Narrow"/>
                <w:snapToGrid/>
                <w:sz w:val="20"/>
                <w:szCs w:val="20"/>
              </w:rPr>
              <w:t xml:space="preserve">(6) </w:t>
            </w:r>
            <w:proofErr w:type="gramStart"/>
            <w:r w:rsidRPr="009714DF">
              <w:rPr>
                <w:rFonts w:ascii="Arial Narrow" w:hAnsi="Arial Narrow"/>
                <w:snapToGrid/>
                <w:sz w:val="20"/>
                <w:szCs w:val="20"/>
              </w:rPr>
              <w:t>a</w:t>
            </w:r>
            <w:proofErr w:type="gramEnd"/>
            <w:r w:rsidRPr="009714DF">
              <w:rPr>
                <w:rFonts w:ascii="Arial Narrow" w:hAnsi="Arial Narrow"/>
                <w:snapToGrid/>
                <w:sz w:val="20"/>
                <w:szCs w:val="20"/>
              </w:rPr>
              <w:t xml:space="preserve"> copy of bone marrow biopsy report prior to receiving non-PBS subsidised inotuzumab </w:t>
            </w:r>
            <w:proofErr w:type="spellStart"/>
            <w:r w:rsidRPr="009714DF">
              <w:rPr>
                <w:rFonts w:ascii="Arial Narrow" w:hAnsi="Arial Narrow"/>
                <w:snapToGrid/>
                <w:sz w:val="20"/>
                <w:szCs w:val="20"/>
              </w:rPr>
              <w:t>ozogamicin</w:t>
            </w:r>
            <w:proofErr w:type="spellEnd"/>
            <w:r w:rsidRPr="009714DF">
              <w:rPr>
                <w:rFonts w:ascii="Arial Narrow" w:hAnsi="Arial Narrow"/>
                <w:snapToGrid/>
                <w:sz w:val="20"/>
                <w:szCs w:val="20"/>
              </w:rPr>
              <w:t>.</w:t>
            </w:r>
          </w:p>
        </w:tc>
      </w:tr>
      <w:tr w:rsidR="003C0C20" w:rsidRPr="009714DF" w:rsidTr="003C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Definitions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trike/>
                <w:snapToGrid/>
                <w:sz w:val="20"/>
                <w:szCs w:val="20"/>
              </w:rPr>
            </w:pPr>
            <w:r w:rsidRPr="009714DF">
              <w:rPr>
                <w:rFonts w:ascii="Arial Narrow" w:hAnsi="Arial Narrow"/>
                <w:snapToGrid/>
                <w:sz w:val="20"/>
                <w:szCs w:val="20"/>
              </w:rPr>
              <w:t xml:space="preserve">A complete remission is defined as bone marrow blasts of less than or equal to 5%, no evidence of disease and a full recovery of peripheral blood counts with platelets of greater than 100,000 per microliter, and absolute neutrophil count (ANC) of greater than 1,000 per microliter.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9714DF">
            <w:pPr>
              <w:widowControl/>
              <w:snapToGrid w:val="0"/>
              <w:rPr>
                <w:rFonts w:ascii="Arial Narrow" w:hAnsi="Arial Narrow"/>
                <w:snapToGrid/>
                <w:sz w:val="20"/>
                <w:szCs w:val="20"/>
              </w:rPr>
            </w:pPr>
            <w:r w:rsidRPr="009714DF">
              <w:rPr>
                <w:rFonts w:ascii="Arial Narrow" w:hAnsi="Arial Narrow"/>
                <w:snapToGrid/>
                <w:sz w:val="20"/>
                <w:szCs w:val="20"/>
              </w:rPr>
              <w:t xml:space="preserve">A complete remission with partial haematological recovery is defined as bone marrow blasts of less than or equal to 5%, no evidence of disease and a partial recovery of peripheral blood </w:t>
            </w:r>
            <w:r w:rsidRPr="009714DF">
              <w:rPr>
                <w:rFonts w:ascii="Arial Narrow" w:hAnsi="Arial Narrow"/>
                <w:snapToGrid/>
                <w:sz w:val="20"/>
                <w:szCs w:val="20"/>
              </w:rPr>
              <w:lastRenderedPageBreak/>
              <w:t xml:space="preserve">counts with platelets of greater than 50,000 per microliter, and absolute neutrophil count (ANC) of greater than 500 per microliter. </w:t>
            </w:r>
          </w:p>
        </w:tc>
      </w:tr>
      <w:tr w:rsidR="003C0C20" w:rsidRPr="009714DF" w:rsidTr="003C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lastRenderedPageBreak/>
              <w:t>Administrative Advice:</w:t>
            </w:r>
          </w:p>
        </w:tc>
        <w:tc>
          <w:tcPr>
            <w:tcW w:w="3748" w:type="pct"/>
            <w:gridSpan w:val="6"/>
            <w:tcBorders>
              <w:top w:val="single" w:sz="4" w:space="0" w:color="auto"/>
              <w:left w:val="single" w:sz="4" w:space="0" w:color="auto"/>
              <w:bottom w:val="single" w:sz="4" w:space="0" w:color="auto"/>
              <w:right w:val="single" w:sz="4" w:space="0" w:color="auto"/>
            </w:tcBorders>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www.humanservices.gov.au Applications for authority to prescribe should be forwarded to: Department of Human Services Complex Drugs Programs Reply Paid 9826 HOBART TAS 7001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No increase in the maximum quantity or number of units may be authorised.</w:t>
            </w:r>
          </w:p>
          <w:p w:rsidR="009714DF" w:rsidRDefault="009714DF"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An increase in the maximum number of repeats of up to 2 will be allowed for completion of induction therapy.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 xml:space="preserve">An increase in the maximum number of repeats of up to 4 will be allowed for completion of </w:t>
            </w:r>
            <w:r w:rsidR="00B41C57" w:rsidRPr="009714DF">
              <w:rPr>
                <w:rFonts w:ascii="Arial Narrow" w:hAnsi="Arial Narrow"/>
                <w:snapToGrid/>
                <w:sz w:val="20"/>
                <w:szCs w:val="20"/>
              </w:rPr>
              <w:t>con</w:t>
            </w:r>
            <w:r w:rsidR="00B41C57">
              <w:rPr>
                <w:rFonts w:ascii="Arial Narrow" w:hAnsi="Arial Narrow"/>
                <w:snapToGrid/>
                <w:sz w:val="20"/>
                <w:szCs w:val="20"/>
              </w:rPr>
              <w:t>solidation</w:t>
            </w:r>
            <w:r w:rsidR="00B41C57" w:rsidRPr="009714DF">
              <w:rPr>
                <w:rFonts w:ascii="Arial Narrow" w:hAnsi="Arial Narrow"/>
                <w:snapToGrid/>
                <w:sz w:val="20"/>
                <w:szCs w:val="20"/>
              </w:rPr>
              <w:t xml:space="preserve"> </w:t>
            </w:r>
            <w:r w:rsidRPr="009714DF">
              <w:rPr>
                <w:rFonts w:ascii="Arial Narrow" w:hAnsi="Arial Narrow"/>
                <w:snapToGrid/>
                <w:sz w:val="20"/>
                <w:szCs w:val="20"/>
              </w:rPr>
              <w:t xml:space="preserve">therapy. </w:t>
            </w:r>
          </w:p>
          <w:p w:rsidR="003C0C20" w:rsidRPr="009714DF" w:rsidRDefault="003C0C20" w:rsidP="003C0C20">
            <w:pPr>
              <w:widowControl/>
              <w:snapToGrid w:val="0"/>
              <w:rPr>
                <w:rFonts w:ascii="Arial Narrow" w:hAnsi="Arial Narrow"/>
                <w:snapToGrid/>
                <w:sz w:val="20"/>
                <w:szCs w:val="20"/>
              </w:rPr>
            </w:pPr>
          </w:p>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Special Pricing Arrangements apply.</w:t>
            </w:r>
          </w:p>
        </w:tc>
      </w:tr>
      <w:tr w:rsidR="003C0C20" w:rsidRPr="009714DF" w:rsidTr="003C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52" w:type="pct"/>
            <w:tcBorders>
              <w:top w:val="single" w:sz="4" w:space="0" w:color="auto"/>
              <w:left w:val="single" w:sz="4" w:space="0" w:color="auto"/>
              <w:bottom w:val="single" w:sz="4" w:space="0" w:color="auto"/>
              <w:right w:val="single" w:sz="4" w:space="0" w:color="auto"/>
            </w:tcBorders>
            <w:hideMark/>
          </w:tcPr>
          <w:p w:rsidR="003C0C20" w:rsidRPr="009714DF" w:rsidRDefault="003C0C20" w:rsidP="003C0C20">
            <w:pPr>
              <w:widowControl/>
              <w:snapToGrid w:val="0"/>
              <w:rPr>
                <w:rFonts w:ascii="Arial Narrow" w:hAnsi="Arial Narrow"/>
                <w:snapToGrid/>
                <w:sz w:val="20"/>
                <w:szCs w:val="20"/>
              </w:rPr>
            </w:pPr>
            <w:r w:rsidRPr="009714DF">
              <w:rPr>
                <w:rFonts w:ascii="Arial Narrow" w:hAnsi="Arial Narrow"/>
                <w:snapToGrid/>
                <w:sz w:val="20"/>
                <w:szCs w:val="20"/>
              </w:rPr>
              <w:t>Cautions:</w:t>
            </w:r>
          </w:p>
        </w:tc>
        <w:tc>
          <w:tcPr>
            <w:tcW w:w="3748" w:type="pct"/>
            <w:gridSpan w:val="6"/>
            <w:tcBorders>
              <w:top w:val="single" w:sz="4" w:space="0" w:color="auto"/>
              <w:left w:val="single" w:sz="4" w:space="0" w:color="auto"/>
              <w:bottom w:val="single" w:sz="4" w:space="0" w:color="auto"/>
              <w:right w:val="single" w:sz="4" w:space="0" w:color="auto"/>
            </w:tcBorders>
            <w:hideMark/>
          </w:tcPr>
          <w:p w:rsidR="003C0C20" w:rsidRPr="009714DF" w:rsidRDefault="003C0C20" w:rsidP="009714DF">
            <w:pPr>
              <w:widowControl/>
              <w:snapToGrid w:val="0"/>
              <w:rPr>
                <w:rFonts w:ascii="Arial Narrow" w:hAnsi="Arial Narrow"/>
                <w:strike/>
                <w:snapToGrid/>
                <w:sz w:val="20"/>
                <w:szCs w:val="20"/>
              </w:rPr>
            </w:pPr>
            <w:r w:rsidRPr="009714DF">
              <w:rPr>
                <w:rFonts w:ascii="Arial Narrow" w:hAnsi="Arial Narrow"/>
                <w:snapToGrid/>
                <w:sz w:val="20"/>
                <w:szCs w:val="20"/>
              </w:rPr>
              <w:t xml:space="preserve">Careful monitoring of patients is required due to risk of developing hepatotoxicity, including life-threatening hepatic </w:t>
            </w:r>
            <w:proofErr w:type="spellStart"/>
            <w:r w:rsidRPr="009714DF">
              <w:rPr>
                <w:rFonts w:ascii="Arial Narrow" w:hAnsi="Arial Narrow"/>
                <w:snapToGrid/>
                <w:sz w:val="20"/>
                <w:szCs w:val="20"/>
              </w:rPr>
              <w:t>veno</w:t>
            </w:r>
            <w:proofErr w:type="spellEnd"/>
            <w:r w:rsidRPr="009714DF">
              <w:rPr>
                <w:rFonts w:ascii="Arial Narrow" w:hAnsi="Arial Narrow"/>
                <w:snapToGrid/>
                <w:sz w:val="20"/>
                <w:szCs w:val="20"/>
              </w:rPr>
              <w:t>-occlusive disease, and the increased risk of post-</w:t>
            </w:r>
            <w:r w:rsidRPr="009714DF">
              <w:rPr>
                <w:snapToGrid/>
              </w:rPr>
              <w:t xml:space="preserve"> </w:t>
            </w:r>
            <w:r w:rsidRPr="009714DF">
              <w:rPr>
                <w:rFonts w:ascii="Arial Narrow" w:hAnsi="Arial Narrow"/>
                <w:snapToGrid/>
                <w:sz w:val="20"/>
                <w:szCs w:val="20"/>
              </w:rPr>
              <w:t xml:space="preserve">haematopoietic stem cell transplant non-relapse mortality observed in patients treated with inotuzumab. </w:t>
            </w:r>
          </w:p>
        </w:tc>
      </w:tr>
    </w:tbl>
    <w:p w:rsidR="00F256A1" w:rsidRDefault="00F256A1" w:rsidP="002465F9">
      <w:pPr>
        <w:widowControl/>
        <w:jc w:val="left"/>
        <w:rPr>
          <w:sz w:val="22"/>
        </w:rPr>
      </w:pPr>
    </w:p>
    <w:p w:rsidR="00DC2132" w:rsidRPr="00C07617" w:rsidRDefault="00DC2132" w:rsidP="00DC2132">
      <w:pPr>
        <w:pStyle w:val="Heading1"/>
      </w:pPr>
      <w:r w:rsidRPr="00C07617">
        <w:t>Context for Decision</w:t>
      </w:r>
    </w:p>
    <w:p w:rsidR="00DC2132" w:rsidRPr="00DC2132" w:rsidRDefault="00DC2132" w:rsidP="008F315B">
      <w:pPr>
        <w:ind w:left="720"/>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C2132" w:rsidRPr="00C07617" w:rsidRDefault="00DC2132" w:rsidP="00DC2132">
      <w:pPr>
        <w:pStyle w:val="Heading1"/>
      </w:pPr>
      <w:r>
        <w:t>Sponsor’s Comment</w:t>
      </w:r>
    </w:p>
    <w:p w:rsidR="00DC2132" w:rsidRPr="002A7CC6" w:rsidRDefault="008F315B" w:rsidP="008F315B">
      <w:pPr>
        <w:widowControl/>
        <w:ind w:left="720"/>
        <w:jc w:val="left"/>
        <w:rPr>
          <w:sz w:val="22"/>
        </w:rPr>
      </w:pPr>
      <w:r w:rsidRPr="008F315B">
        <w:rPr>
          <w:rFonts w:asciiTheme="minorHAnsi" w:hAnsiTheme="minorHAnsi"/>
          <w:bCs/>
          <w:lang w:val="en-GB"/>
        </w:rPr>
        <w:t xml:space="preserve">Pfizer welcomes the PBAC’s recommendation to make </w:t>
      </w:r>
      <w:proofErr w:type="spellStart"/>
      <w:r w:rsidRPr="008F315B">
        <w:rPr>
          <w:rFonts w:asciiTheme="minorHAnsi" w:hAnsiTheme="minorHAnsi"/>
          <w:bCs/>
          <w:lang w:val="en-GB"/>
        </w:rPr>
        <w:t>Besponsa</w:t>
      </w:r>
      <w:proofErr w:type="spellEnd"/>
      <w:r w:rsidRPr="008F315B">
        <w:rPr>
          <w:rFonts w:asciiTheme="minorHAnsi" w:hAnsiTheme="minorHAnsi"/>
          <w:bCs/>
          <w:lang w:val="en-GB"/>
        </w:rPr>
        <w:t xml:space="preserve"> available for the treatment of Australian patients with this rare haematological cancer with a poor prognosis.</w:t>
      </w:r>
    </w:p>
    <w:sectPr w:rsidR="00DC2132" w:rsidRPr="002A7CC6" w:rsidSect="005970AE">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E1E50" w16cid:durableId="1FA2323D"/>
  <w16cid:commentId w16cid:paraId="137991B5" w16cid:durableId="1FA22F8A"/>
  <w16cid:commentId w16cid:paraId="4F7B0325" w16cid:durableId="1FA23292"/>
  <w16cid:commentId w16cid:paraId="6F36007A" w16cid:durableId="1FA27ECF"/>
  <w16cid:commentId w16cid:paraId="76A05BEF" w16cid:durableId="1FA23318"/>
  <w16cid:commentId w16cid:paraId="69549CEC" w16cid:durableId="1FA2341E"/>
  <w16cid:commentId w16cid:paraId="735133FB" w16cid:durableId="1FA27914"/>
  <w16cid:commentId w16cid:paraId="00B9308E" w16cid:durableId="1FA22F8B"/>
  <w16cid:commentId w16cid:paraId="628C86FD" w16cid:durableId="1FA28267"/>
  <w16cid:commentId w16cid:paraId="01375AC6" w16cid:durableId="1FA22F8C"/>
  <w16cid:commentId w16cid:paraId="07B03B08" w16cid:durableId="1FA282E0"/>
  <w16cid:commentId w16cid:paraId="10F88B7B" w16cid:durableId="1FA22F8D"/>
  <w16cid:commentId w16cid:paraId="22D20E49" w16cid:durableId="1FA22F8E"/>
  <w16cid:commentId w16cid:paraId="50493141" w16cid:durableId="1FA284BC"/>
  <w16cid:commentId w16cid:paraId="27CB2167" w16cid:durableId="1FA22F8F"/>
  <w16cid:commentId w16cid:paraId="1382DACB" w16cid:durableId="1FA284DB"/>
  <w16cid:commentId w16cid:paraId="5F9D0F38" w16cid:durableId="1FA22F90"/>
  <w16cid:commentId w16cid:paraId="31877A2B" w16cid:durableId="1FA287A2"/>
  <w16cid:commentId w16cid:paraId="49816BDF" w16cid:durableId="1FA28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5B" w:rsidRDefault="00B0555B" w:rsidP="00124A51">
      <w:r>
        <w:separator/>
      </w:r>
    </w:p>
    <w:p w:rsidR="00B0555B" w:rsidRDefault="00B0555B"/>
    <w:p w:rsidR="00B0555B" w:rsidRDefault="00B0555B"/>
  </w:endnote>
  <w:endnote w:type="continuationSeparator" w:id="0">
    <w:p w:rsidR="00B0555B" w:rsidRDefault="00B0555B" w:rsidP="00124A51">
      <w:r>
        <w:continuationSeparator/>
      </w:r>
    </w:p>
    <w:p w:rsidR="00B0555B" w:rsidRDefault="00B0555B"/>
    <w:p w:rsidR="00B0555B" w:rsidRDefault="00B05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OTNEJMScalaSansLF">
    <w:altName w:val="Yu Gothic"/>
    <w:panose1 w:val="00000000000000000000"/>
    <w:charset w:val="86"/>
    <w:family w:val="swiss"/>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B" w:rsidRDefault="00B0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19" w:rsidRDefault="006D2B19">
    <w:pPr>
      <w:pStyle w:val="Footer"/>
      <w:jc w:val="center"/>
    </w:pPr>
  </w:p>
  <w:p w:rsidR="006D2B19" w:rsidRPr="00E60A13" w:rsidRDefault="00815794">
    <w:pPr>
      <w:pStyle w:val="Footer"/>
      <w:jc w:val="center"/>
    </w:pPr>
    <w:sdt>
      <w:sdtPr>
        <w:rPr>
          <w:b/>
        </w:rPr>
        <w:id w:val="-967586775"/>
        <w:docPartObj>
          <w:docPartGallery w:val="Page Numbers (Bottom of Page)"/>
          <w:docPartUnique/>
        </w:docPartObj>
      </w:sdtPr>
      <w:sdtEndPr>
        <w:rPr>
          <w:b w:val="0"/>
          <w:noProof/>
        </w:rPr>
      </w:sdtEndPr>
      <w:sdtContent>
        <w:r w:rsidR="006D2B19" w:rsidRPr="00E60A13">
          <w:fldChar w:fldCharType="begin"/>
        </w:r>
        <w:r w:rsidR="006D2B19" w:rsidRPr="00E60A13">
          <w:instrText xml:space="preserve"> PAGE   \* MERGEFORMAT </w:instrText>
        </w:r>
        <w:r w:rsidR="006D2B19" w:rsidRPr="00E60A13">
          <w:fldChar w:fldCharType="separate"/>
        </w:r>
        <w:r>
          <w:rPr>
            <w:noProof/>
          </w:rPr>
          <w:t>36</w:t>
        </w:r>
        <w:r w:rsidR="006D2B19" w:rsidRPr="00E60A13">
          <w:rPr>
            <w:noProof/>
          </w:rPr>
          <w:fldChar w:fldCharType="end"/>
        </w:r>
      </w:sdtContent>
    </w:sdt>
  </w:p>
  <w:p w:rsidR="006D2B19" w:rsidRDefault="006D2B1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B" w:rsidRDefault="00B0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5B" w:rsidRDefault="00B0555B" w:rsidP="00124A51">
      <w:r>
        <w:separator/>
      </w:r>
    </w:p>
    <w:p w:rsidR="00B0555B" w:rsidRDefault="00B0555B"/>
    <w:p w:rsidR="00B0555B" w:rsidRDefault="00B0555B"/>
  </w:footnote>
  <w:footnote w:type="continuationSeparator" w:id="0">
    <w:p w:rsidR="00B0555B" w:rsidRDefault="00B0555B" w:rsidP="00124A51">
      <w:r>
        <w:continuationSeparator/>
      </w:r>
    </w:p>
    <w:p w:rsidR="00B0555B" w:rsidRDefault="00B0555B"/>
    <w:p w:rsidR="00B0555B" w:rsidRDefault="00B0555B"/>
  </w:footnote>
  <w:footnote w:id="1">
    <w:p w:rsidR="006D2B19" w:rsidRPr="007D7344" w:rsidRDefault="006D2B19">
      <w:pPr>
        <w:pStyle w:val="FootnoteText"/>
        <w:rPr>
          <w:rFonts w:ascii="Arial Narrow" w:hAnsi="Arial Narrow"/>
        </w:rPr>
      </w:pPr>
      <w:r w:rsidRPr="007D7344">
        <w:rPr>
          <w:rStyle w:val="FootnoteReference"/>
          <w:rFonts w:ascii="Arial Narrow" w:hAnsi="Arial Narrow"/>
        </w:rPr>
        <w:footnoteRef/>
      </w:r>
      <w:r w:rsidRPr="007D7344">
        <w:rPr>
          <w:rFonts w:ascii="Arial Narrow" w:hAnsi="Arial Narrow"/>
        </w:rPr>
        <w:t xml:space="preserve"> </w:t>
      </w:r>
      <w:proofErr w:type="spellStart"/>
      <w:r w:rsidRPr="007D7344">
        <w:rPr>
          <w:rFonts w:ascii="Arial Narrow" w:hAnsi="Arial Narrow"/>
        </w:rPr>
        <w:t>Kantarjian</w:t>
      </w:r>
      <w:proofErr w:type="spellEnd"/>
      <w:r w:rsidRPr="007D7344">
        <w:rPr>
          <w:rFonts w:ascii="Arial Narrow" w:hAnsi="Arial Narrow"/>
        </w:rPr>
        <w:t xml:space="preserve"> H, et al. Blinatumomab versus Chemotherapy for Advanced Acute Lymphoblastic </w:t>
      </w:r>
      <w:proofErr w:type="spellStart"/>
      <w:r w:rsidRPr="007D7344">
        <w:rPr>
          <w:rFonts w:ascii="Arial Narrow" w:hAnsi="Arial Narrow"/>
        </w:rPr>
        <w:t>Leukemia</w:t>
      </w:r>
      <w:proofErr w:type="spellEnd"/>
      <w:r w:rsidRPr="007D7344">
        <w:rPr>
          <w:rFonts w:ascii="Arial Narrow" w:hAnsi="Arial Narrow"/>
        </w:rPr>
        <w:t xml:space="preserve">. N </w:t>
      </w:r>
      <w:proofErr w:type="spellStart"/>
      <w:r w:rsidRPr="007D7344">
        <w:rPr>
          <w:rFonts w:ascii="Arial Narrow" w:hAnsi="Arial Narrow"/>
        </w:rPr>
        <w:t>Engl</w:t>
      </w:r>
      <w:proofErr w:type="spellEnd"/>
      <w:r w:rsidRPr="007D7344">
        <w:rPr>
          <w:rFonts w:ascii="Arial Narrow" w:hAnsi="Arial Narrow"/>
        </w:rPr>
        <w:t xml:space="preserve"> J Med 2017; 376:836-847</w:t>
      </w:r>
    </w:p>
  </w:footnote>
  <w:footnote w:id="2">
    <w:p w:rsidR="006D2B19" w:rsidRPr="00247CE9" w:rsidRDefault="006D2B19">
      <w:pPr>
        <w:pStyle w:val="FootnoteText"/>
        <w:rPr>
          <w:rFonts w:ascii="Arial Narrow" w:hAnsi="Arial Narrow"/>
        </w:rPr>
      </w:pPr>
      <w:r>
        <w:rPr>
          <w:rStyle w:val="FootnoteReference"/>
        </w:rPr>
        <w:footnoteRef/>
      </w:r>
      <w:r>
        <w:t xml:space="preserve"> </w:t>
      </w:r>
      <w:proofErr w:type="spellStart"/>
      <w:r w:rsidRPr="00247CE9">
        <w:rPr>
          <w:rFonts w:ascii="Arial Narrow" w:hAnsi="Arial Narrow"/>
        </w:rPr>
        <w:t>Kantarjian</w:t>
      </w:r>
      <w:proofErr w:type="spellEnd"/>
      <w:r w:rsidRPr="00247CE9">
        <w:rPr>
          <w:rFonts w:ascii="Arial Narrow" w:hAnsi="Arial Narrow"/>
        </w:rPr>
        <w:t xml:space="preserve"> H et al, Hepatic adverse event profile of inotuzumab </w:t>
      </w:r>
      <w:proofErr w:type="spellStart"/>
      <w:r w:rsidRPr="00247CE9">
        <w:rPr>
          <w:rFonts w:ascii="Arial Narrow" w:hAnsi="Arial Narrow"/>
        </w:rPr>
        <w:t>ozogamicin</w:t>
      </w:r>
      <w:proofErr w:type="spellEnd"/>
      <w:r w:rsidRPr="00247CE9">
        <w:rPr>
          <w:rFonts w:ascii="Arial Narrow" w:hAnsi="Arial Narrow"/>
        </w:rPr>
        <w:t xml:space="preserve"> in adult patients with relapsed or refractory acute lymphoblastic leukaemia: results from the open-label, randomised, phase 3 INO-VATE study. The Lancet Haematology. 2017. 4(8), PE387-E398</w:t>
      </w:r>
    </w:p>
  </w:footnote>
  <w:footnote w:id="3">
    <w:p w:rsidR="006D2B19" w:rsidRPr="00247CE9" w:rsidRDefault="006D2B19" w:rsidP="00247CE9">
      <w:pPr>
        <w:rPr>
          <w:rFonts w:ascii="Arial Narrow" w:hAnsi="Arial Narrow"/>
          <w:sz w:val="20"/>
          <w:szCs w:val="20"/>
        </w:rPr>
      </w:pPr>
      <w:r w:rsidRPr="00247CE9">
        <w:rPr>
          <w:rStyle w:val="FootnoteReference"/>
          <w:rFonts w:ascii="Arial Narrow" w:hAnsi="Arial Narrow"/>
          <w:sz w:val="20"/>
          <w:szCs w:val="20"/>
        </w:rPr>
        <w:footnoteRef/>
      </w:r>
      <w:r w:rsidRPr="00247CE9">
        <w:rPr>
          <w:rFonts w:ascii="Arial Narrow" w:hAnsi="Arial Narrow"/>
          <w:sz w:val="20"/>
          <w:szCs w:val="20"/>
        </w:rPr>
        <w:t xml:space="preserve"> McDonald G, et al. Liver complications following treatment of hematologic malignancy with anti</w:t>
      </w:r>
      <w:r w:rsidRPr="00247CE9">
        <w:rPr>
          <w:rFonts w:ascii="Cambria Math" w:hAnsi="Cambria Math" w:cs="Cambria Math"/>
          <w:sz w:val="20"/>
          <w:szCs w:val="20"/>
        </w:rPr>
        <w:t>‐</w:t>
      </w:r>
      <w:r w:rsidRPr="00247CE9">
        <w:rPr>
          <w:rFonts w:ascii="Arial Narrow" w:hAnsi="Arial Narrow"/>
          <w:sz w:val="20"/>
          <w:szCs w:val="20"/>
        </w:rPr>
        <w:t>cd22</w:t>
      </w:r>
      <w:r w:rsidRPr="00247CE9">
        <w:rPr>
          <w:rFonts w:ascii="Cambria Math" w:hAnsi="Cambria Math" w:cs="Cambria Math"/>
          <w:sz w:val="20"/>
          <w:szCs w:val="20"/>
        </w:rPr>
        <w:t>‐</w:t>
      </w:r>
      <w:r w:rsidRPr="00247CE9">
        <w:rPr>
          <w:rFonts w:ascii="Arial Narrow" w:hAnsi="Arial Narrow"/>
          <w:sz w:val="20"/>
          <w:szCs w:val="20"/>
        </w:rPr>
        <w:t xml:space="preserve">calicheamicin (Inotuzumab </w:t>
      </w:r>
      <w:proofErr w:type="spellStart"/>
      <w:r w:rsidRPr="00247CE9">
        <w:rPr>
          <w:rFonts w:ascii="Arial Narrow" w:hAnsi="Arial Narrow"/>
          <w:sz w:val="20"/>
          <w:szCs w:val="20"/>
        </w:rPr>
        <w:t>Ozogamicin</w:t>
      </w:r>
      <w:proofErr w:type="spellEnd"/>
      <w:r w:rsidRPr="00247CE9">
        <w:rPr>
          <w:rFonts w:ascii="Arial Narrow" w:hAnsi="Arial Narrow"/>
          <w:sz w:val="20"/>
          <w:szCs w:val="20"/>
        </w:rPr>
        <w:t xml:space="preserve">). </w:t>
      </w:r>
      <w:proofErr w:type="spellStart"/>
      <w:r w:rsidRPr="00247CE9">
        <w:rPr>
          <w:rFonts w:ascii="Arial Narrow" w:hAnsi="Arial Narrow"/>
          <w:sz w:val="20"/>
          <w:szCs w:val="20"/>
        </w:rPr>
        <w:t>Hepatology</w:t>
      </w:r>
      <w:proofErr w:type="spellEnd"/>
      <w:r w:rsidRPr="00247CE9">
        <w:rPr>
          <w:rFonts w:ascii="Arial Narrow" w:hAnsi="Arial Narrow"/>
          <w:sz w:val="20"/>
          <w:szCs w:val="20"/>
        </w:rPr>
        <w:t xml:space="preserve">. </w:t>
      </w:r>
      <w:proofErr w:type="spellStart"/>
      <w:proofErr w:type="gramStart"/>
      <w:r w:rsidRPr="00247CE9">
        <w:rPr>
          <w:rFonts w:ascii="Arial Narrow" w:hAnsi="Arial Narrow"/>
          <w:sz w:val="20"/>
          <w:szCs w:val="20"/>
        </w:rPr>
        <w:t>doi</w:t>
      </w:r>
      <w:proofErr w:type="spellEnd"/>
      <w:proofErr w:type="gramEnd"/>
      <w:r w:rsidRPr="00247CE9">
        <w:rPr>
          <w:rFonts w:ascii="Arial Narrow" w:hAnsi="Arial Narrow"/>
          <w:sz w:val="20"/>
          <w:szCs w:val="20"/>
        </w:rPr>
        <w:t>: 10.1002/hep.30222.</w:t>
      </w:r>
    </w:p>
    <w:p w:rsidR="006D2B19" w:rsidRPr="00247CE9" w:rsidRDefault="006D2B19">
      <w:pPr>
        <w:pStyle w:val="FootnoteText"/>
        <w:rPr>
          <w:rFonts w:ascii="Arial Narrow" w:hAnsi="Arial Narrow"/>
        </w:rPr>
      </w:pPr>
    </w:p>
  </w:footnote>
  <w:footnote w:id="4">
    <w:p w:rsidR="006D2B19" w:rsidRDefault="006D2B19">
      <w:pPr>
        <w:pStyle w:val="FootnoteText"/>
      </w:pPr>
      <w:r>
        <w:rPr>
          <w:rStyle w:val="FootnoteReference"/>
        </w:rPr>
        <w:footnoteRef/>
      </w:r>
      <w:r>
        <w:t xml:space="preserve"> Available at </w:t>
      </w:r>
      <w:r w:rsidRPr="007911CB">
        <w:t>http://www.pbs.gov.au/info/industry/pricing/ex-manufacturer-price</w:t>
      </w:r>
    </w:p>
  </w:footnote>
  <w:footnote w:id="5">
    <w:p w:rsidR="006D2B19" w:rsidRDefault="006D2B19">
      <w:pPr>
        <w:pStyle w:val="FootnoteText"/>
      </w:pPr>
      <w:r>
        <w:rPr>
          <w:rStyle w:val="FootnoteReference"/>
        </w:rPr>
        <w:footnoteRef/>
      </w:r>
      <w:r>
        <w:t xml:space="preserve"> P</w:t>
      </w:r>
      <w:r w:rsidRPr="00D54604">
        <w:t xml:space="preserve">age 95 of the </w:t>
      </w:r>
      <w:r w:rsidRPr="00D54604">
        <w:rPr>
          <w:i/>
        </w:rPr>
        <w:t xml:space="preserve">Guidelines for preparing a submission to the PBAC, Version 5.0, </w:t>
      </w:r>
      <w:proofErr w:type="gramStart"/>
      <w:r w:rsidRPr="00D54604">
        <w:rPr>
          <w:i/>
        </w:rPr>
        <w:t>September</w:t>
      </w:r>
      <w:proofErr w:type="gramEnd"/>
      <w:r w:rsidRPr="00D54604">
        <w:rPr>
          <w:i/>
        </w:rPr>
        <w:t xml:space="preserve"> 2016</w:t>
      </w:r>
      <w:r w:rsidRPr="00D54604">
        <w:t xml:space="preserve"> states: “Irrespective of the therapeutic claim, if the adverse effect profiles of a proposed medicine and its main comparator are significantly different in nature, it is unlikely that the cost-minimisation approach will suffice. The implications of these differences, for both health outcomes (ideally, utility) and resource use, should be explored in a full economic evaluation.”</w:t>
      </w:r>
    </w:p>
  </w:footnote>
  <w:footnote w:id="6">
    <w:p w:rsidR="006D2B19" w:rsidRDefault="006D2B19">
      <w:pPr>
        <w:pStyle w:val="FootnoteText"/>
      </w:pPr>
      <w:r>
        <w:rPr>
          <w:rStyle w:val="FootnoteReference"/>
        </w:rPr>
        <w:footnoteRef/>
      </w:r>
      <w:r>
        <w:t xml:space="preserve"> P</w:t>
      </w:r>
      <w:r w:rsidRPr="00D54604">
        <w:t xml:space="preserve">age </w:t>
      </w:r>
      <w:r>
        <w:t>60</w:t>
      </w:r>
      <w:r w:rsidRPr="00D54604">
        <w:t xml:space="preserve"> of the </w:t>
      </w:r>
      <w:r w:rsidRPr="00D54604">
        <w:rPr>
          <w:i/>
        </w:rPr>
        <w:t>Guidelines for preparing a submission to the PBAC, Version 5.0, September 2016</w:t>
      </w:r>
      <w:r w:rsidRPr="00D54604">
        <w:t xml:space="preserve"> states:</w:t>
      </w:r>
      <w:r>
        <w:t xml:space="preserve"> “</w:t>
      </w:r>
      <w:r w:rsidRPr="00D54604">
        <w:t>A cost-minimisation approach is appropriate where</w:t>
      </w:r>
      <w:r>
        <w:t>…</w:t>
      </w:r>
      <w:r w:rsidRPr="00D54604">
        <w:t xml:space="preserve"> the safety profile is equivalent or superior (in both nature and magnitude), and use of the proposed medicine is anticipated to result in equivalent or lesser costs to the health system.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B" w:rsidRDefault="00B0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19" w:rsidRPr="00DD02B3" w:rsidRDefault="006D2B19" w:rsidP="002A7CC6">
    <w:pPr>
      <w:tabs>
        <w:tab w:val="center" w:pos="4513"/>
        <w:tab w:val="right" w:pos="9026"/>
      </w:tabs>
      <w:ind w:left="360"/>
      <w:jc w:val="center"/>
      <w:rPr>
        <w:rFonts w:asciiTheme="minorHAnsi" w:hAnsiTheme="minorHAnsi"/>
        <w:i/>
        <w:color w:val="808080"/>
        <w:szCs w:val="24"/>
      </w:rPr>
    </w:pPr>
    <w:r>
      <w:rPr>
        <w:rFonts w:asciiTheme="minorHAnsi" w:hAnsiTheme="minorHAnsi"/>
        <w:i/>
        <w:color w:val="808080"/>
        <w:szCs w:val="24"/>
      </w:rPr>
      <w:t>Public Summary Document</w:t>
    </w:r>
    <w:r w:rsidRPr="00DD02B3">
      <w:rPr>
        <w:rFonts w:asciiTheme="minorHAnsi" w:hAnsiTheme="minorHAnsi"/>
        <w:i/>
        <w:color w:val="808080"/>
        <w:szCs w:val="24"/>
      </w:rPr>
      <w:t xml:space="preserve"> – November 2018 PBAC Meeting</w:t>
    </w:r>
  </w:p>
  <w:p w:rsidR="006D2B19" w:rsidRDefault="006D2B1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B" w:rsidRDefault="00B0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0F8C264"/>
    <w:lvl w:ilvl="0">
      <w:start w:val="1"/>
      <w:numFmt w:val="decimal"/>
      <w:pStyle w:val="ListNumber"/>
      <w:lvlText w:val="%1."/>
      <w:lvlJc w:val="left"/>
      <w:pPr>
        <w:ind w:left="720" w:hanging="360"/>
      </w:pPr>
      <w:rPr>
        <w:rFonts w:ascii="Calibri Light" w:hAnsi="Calibri Light" w:hint="default"/>
        <w:b w:val="0"/>
        <w:i w:val="0"/>
        <w:color w:val="FF595A"/>
        <w:sz w:val="22"/>
        <w:u w:val="none"/>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4C1120"/>
    <w:multiLevelType w:val="hybridMultilevel"/>
    <w:tmpl w:val="C840CF3C"/>
    <w:lvl w:ilvl="0" w:tplc="3C6A3E3A">
      <w:numFmt w:val="bullet"/>
      <w:lvlText w:val="-"/>
      <w:lvlJc w:val="left"/>
      <w:pPr>
        <w:ind w:left="1080" w:hanging="360"/>
      </w:pPr>
      <w:rPr>
        <w:rFonts w:ascii="Calibri" w:eastAsia="Times New Roman" w:hAnsi="Calibri" w:cs="Calibri"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257ED7"/>
    <w:multiLevelType w:val="hybridMultilevel"/>
    <w:tmpl w:val="F0383F58"/>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D03E3A"/>
    <w:multiLevelType w:val="hybridMultilevel"/>
    <w:tmpl w:val="3B44EB06"/>
    <w:lvl w:ilvl="0" w:tplc="6450B62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4E6825"/>
    <w:multiLevelType w:val="multilevel"/>
    <w:tmpl w:val="1E9CB3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E2E6660"/>
    <w:multiLevelType w:val="hybridMultilevel"/>
    <w:tmpl w:val="9BEC2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DE500D"/>
    <w:multiLevelType w:val="hybridMultilevel"/>
    <w:tmpl w:val="A8509AE0"/>
    <w:lvl w:ilvl="0" w:tplc="9D32270E">
      <w:numFmt w:val="bullet"/>
      <w:pStyle w:val="ExecutiveSummaryBullet1"/>
      <w:lvlText w:val="•"/>
      <w:lvlJc w:val="left"/>
      <w:pPr>
        <w:ind w:left="360" w:hanging="360"/>
      </w:pPr>
      <w:rPr>
        <w:rFonts w:cs="Times New Roman" w:hint="default"/>
        <w:color w:val="FF5A5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5E8"/>
    <w:multiLevelType w:val="hybridMultilevel"/>
    <w:tmpl w:val="99C8F770"/>
    <w:lvl w:ilvl="0" w:tplc="6F7091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15" w15:restartNumberingAfterBreak="0">
    <w:nsid w:val="69B93922"/>
    <w:multiLevelType w:val="hybridMultilevel"/>
    <w:tmpl w:val="C422B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026D0"/>
    <w:multiLevelType w:val="hybridMultilevel"/>
    <w:tmpl w:val="974A856E"/>
    <w:lvl w:ilvl="0" w:tplc="A99C61D2">
      <w:start w:val="1"/>
      <w:numFmt w:val="bullet"/>
      <w:pStyle w:val="BulletedText"/>
      <w:lvlText w:val=""/>
      <w:lvlJc w:val="left"/>
      <w:pPr>
        <w:ind w:left="717" w:hanging="360"/>
      </w:pPr>
      <w:rPr>
        <w:rFonts w:ascii="Symbol" w:hAnsi="Symbol" w:hint="default"/>
        <w:color w:val="auto"/>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4D033C"/>
    <w:multiLevelType w:val="multilevel"/>
    <w:tmpl w:val="370AD88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D15917"/>
    <w:multiLevelType w:val="hybridMultilevel"/>
    <w:tmpl w:val="0846E270"/>
    <w:lvl w:ilvl="0" w:tplc="B09A7FB6">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4"/>
  </w:num>
  <w:num w:numId="5">
    <w:abstractNumId w:val="3"/>
  </w:num>
  <w:num w:numId="6">
    <w:abstractNumId w:val="6"/>
  </w:num>
  <w:num w:numId="7">
    <w:abstractNumId w:val="10"/>
  </w:num>
  <w:num w:numId="8">
    <w:abstractNumId w:val="0"/>
  </w:num>
  <w:num w:numId="9">
    <w:abstractNumId w:val="3"/>
  </w:num>
  <w:num w:numId="10">
    <w:abstractNumId w:val="11"/>
  </w:num>
  <w:num w:numId="11">
    <w:abstractNumId w:val="15"/>
  </w:num>
  <w:num w:numId="12">
    <w:abstractNumId w:val="9"/>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3"/>
  </w:num>
  <w:num w:numId="20">
    <w:abstractNumId w:val="4"/>
  </w:num>
  <w:num w:numId="21">
    <w:abstractNumId w:val="1"/>
  </w:num>
  <w:num w:numId="22">
    <w:abstractNumId w:val="7"/>
  </w:num>
  <w:num w:numId="23">
    <w:abstractNumId w:val="12"/>
  </w:num>
  <w:num w:numId="24">
    <w:abstractNumId w:val="8"/>
  </w:num>
  <w:num w:numId="25">
    <w:abstractNumId w:val="18"/>
  </w:num>
  <w:num w:numId="26">
    <w:abstractNumId w:val="2"/>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7416919-1FE3-44EF-A402-38E862BA6FF7}"/>
    <w:docVar w:name="dgnword-eventsink" w:val="292148920"/>
  </w:docVars>
  <w:rsids>
    <w:rsidRoot w:val="00E65E79"/>
    <w:rsid w:val="00000259"/>
    <w:rsid w:val="00000790"/>
    <w:rsid w:val="0000095F"/>
    <w:rsid w:val="00000EF7"/>
    <w:rsid w:val="00000FB8"/>
    <w:rsid w:val="0000110B"/>
    <w:rsid w:val="00002F9B"/>
    <w:rsid w:val="00003499"/>
    <w:rsid w:val="000039B7"/>
    <w:rsid w:val="00003F45"/>
    <w:rsid w:val="00005781"/>
    <w:rsid w:val="00007933"/>
    <w:rsid w:val="00007D60"/>
    <w:rsid w:val="0001155F"/>
    <w:rsid w:val="00012EEF"/>
    <w:rsid w:val="00013247"/>
    <w:rsid w:val="00015886"/>
    <w:rsid w:val="0001590C"/>
    <w:rsid w:val="000162EF"/>
    <w:rsid w:val="0001667F"/>
    <w:rsid w:val="0002225F"/>
    <w:rsid w:val="00022E51"/>
    <w:rsid w:val="00023763"/>
    <w:rsid w:val="00023E82"/>
    <w:rsid w:val="00024549"/>
    <w:rsid w:val="000257BF"/>
    <w:rsid w:val="000267F6"/>
    <w:rsid w:val="00026CEA"/>
    <w:rsid w:val="00030DDE"/>
    <w:rsid w:val="000313EB"/>
    <w:rsid w:val="00033863"/>
    <w:rsid w:val="000350B6"/>
    <w:rsid w:val="00035737"/>
    <w:rsid w:val="00035DC0"/>
    <w:rsid w:val="00035DD5"/>
    <w:rsid w:val="00036829"/>
    <w:rsid w:val="00037158"/>
    <w:rsid w:val="00040895"/>
    <w:rsid w:val="00042D9B"/>
    <w:rsid w:val="00042E6F"/>
    <w:rsid w:val="00043481"/>
    <w:rsid w:val="0004373C"/>
    <w:rsid w:val="00043C37"/>
    <w:rsid w:val="0004474D"/>
    <w:rsid w:val="00044E10"/>
    <w:rsid w:val="00045017"/>
    <w:rsid w:val="00045196"/>
    <w:rsid w:val="00045A2B"/>
    <w:rsid w:val="0004698F"/>
    <w:rsid w:val="00050389"/>
    <w:rsid w:val="00051369"/>
    <w:rsid w:val="00052094"/>
    <w:rsid w:val="00052663"/>
    <w:rsid w:val="000532EA"/>
    <w:rsid w:val="000533C2"/>
    <w:rsid w:val="00053441"/>
    <w:rsid w:val="000539D0"/>
    <w:rsid w:val="00054621"/>
    <w:rsid w:val="000546D7"/>
    <w:rsid w:val="0005477D"/>
    <w:rsid w:val="00062530"/>
    <w:rsid w:val="00062684"/>
    <w:rsid w:val="00062734"/>
    <w:rsid w:val="00062898"/>
    <w:rsid w:val="00066360"/>
    <w:rsid w:val="00067172"/>
    <w:rsid w:val="00070353"/>
    <w:rsid w:val="00071248"/>
    <w:rsid w:val="00071AEF"/>
    <w:rsid w:val="00071F2B"/>
    <w:rsid w:val="00071FCE"/>
    <w:rsid w:val="000720B9"/>
    <w:rsid w:val="000737F7"/>
    <w:rsid w:val="000741EB"/>
    <w:rsid w:val="00074B5C"/>
    <w:rsid w:val="00074C37"/>
    <w:rsid w:val="0007672F"/>
    <w:rsid w:val="00076AAC"/>
    <w:rsid w:val="000774F0"/>
    <w:rsid w:val="00080909"/>
    <w:rsid w:val="00080F08"/>
    <w:rsid w:val="000812CA"/>
    <w:rsid w:val="0008258D"/>
    <w:rsid w:val="00082BF8"/>
    <w:rsid w:val="00082F8A"/>
    <w:rsid w:val="00083E99"/>
    <w:rsid w:val="000856C5"/>
    <w:rsid w:val="000873AB"/>
    <w:rsid w:val="00090137"/>
    <w:rsid w:val="00090C7E"/>
    <w:rsid w:val="00091C55"/>
    <w:rsid w:val="00092600"/>
    <w:rsid w:val="0009262B"/>
    <w:rsid w:val="00092A33"/>
    <w:rsid w:val="00093310"/>
    <w:rsid w:val="000938F4"/>
    <w:rsid w:val="00093A3A"/>
    <w:rsid w:val="0009445C"/>
    <w:rsid w:val="00095FE5"/>
    <w:rsid w:val="00096284"/>
    <w:rsid w:val="00097AE7"/>
    <w:rsid w:val="000A1154"/>
    <w:rsid w:val="000A17B1"/>
    <w:rsid w:val="000A1A8A"/>
    <w:rsid w:val="000A270D"/>
    <w:rsid w:val="000A2AFD"/>
    <w:rsid w:val="000A2BB1"/>
    <w:rsid w:val="000A5731"/>
    <w:rsid w:val="000A6E04"/>
    <w:rsid w:val="000A7D08"/>
    <w:rsid w:val="000B0670"/>
    <w:rsid w:val="000B0943"/>
    <w:rsid w:val="000B0E75"/>
    <w:rsid w:val="000B10C2"/>
    <w:rsid w:val="000B398A"/>
    <w:rsid w:val="000B3B16"/>
    <w:rsid w:val="000B42F2"/>
    <w:rsid w:val="000B4A46"/>
    <w:rsid w:val="000B573D"/>
    <w:rsid w:val="000B6CAC"/>
    <w:rsid w:val="000B7612"/>
    <w:rsid w:val="000B78D5"/>
    <w:rsid w:val="000C05BD"/>
    <w:rsid w:val="000C1D23"/>
    <w:rsid w:val="000C2485"/>
    <w:rsid w:val="000C3851"/>
    <w:rsid w:val="000C3C43"/>
    <w:rsid w:val="000C3DF9"/>
    <w:rsid w:val="000C404A"/>
    <w:rsid w:val="000C4A07"/>
    <w:rsid w:val="000C4AC4"/>
    <w:rsid w:val="000C4E4E"/>
    <w:rsid w:val="000C5054"/>
    <w:rsid w:val="000C59AC"/>
    <w:rsid w:val="000C5EF7"/>
    <w:rsid w:val="000C5F59"/>
    <w:rsid w:val="000C6713"/>
    <w:rsid w:val="000C7ACE"/>
    <w:rsid w:val="000C7F1A"/>
    <w:rsid w:val="000D124E"/>
    <w:rsid w:val="000D1BFC"/>
    <w:rsid w:val="000D281A"/>
    <w:rsid w:val="000D326A"/>
    <w:rsid w:val="000D3B85"/>
    <w:rsid w:val="000D3F1F"/>
    <w:rsid w:val="000D438A"/>
    <w:rsid w:val="000D51FB"/>
    <w:rsid w:val="000D52D7"/>
    <w:rsid w:val="000D5D2A"/>
    <w:rsid w:val="000D5E4B"/>
    <w:rsid w:val="000D62FF"/>
    <w:rsid w:val="000E057C"/>
    <w:rsid w:val="000E0FE6"/>
    <w:rsid w:val="000E135D"/>
    <w:rsid w:val="000E179A"/>
    <w:rsid w:val="000E248B"/>
    <w:rsid w:val="000E4F25"/>
    <w:rsid w:val="000F00BA"/>
    <w:rsid w:val="000F034D"/>
    <w:rsid w:val="000F316A"/>
    <w:rsid w:val="000F31E8"/>
    <w:rsid w:val="000F3C74"/>
    <w:rsid w:val="000F40FA"/>
    <w:rsid w:val="000F462F"/>
    <w:rsid w:val="000F4BAA"/>
    <w:rsid w:val="000F4BB8"/>
    <w:rsid w:val="000F695A"/>
    <w:rsid w:val="000F7127"/>
    <w:rsid w:val="000F7CFC"/>
    <w:rsid w:val="0010093D"/>
    <w:rsid w:val="00100F8A"/>
    <w:rsid w:val="0010374B"/>
    <w:rsid w:val="00103ED9"/>
    <w:rsid w:val="00105AE2"/>
    <w:rsid w:val="001064AC"/>
    <w:rsid w:val="001064C2"/>
    <w:rsid w:val="00106ADD"/>
    <w:rsid w:val="00106B80"/>
    <w:rsid w:val="00110149"/>
    <w:rsid w:val="0011032E"/>
    <w:rsid w:val="00110A4C"/>
    <w:rsid w:val="001111D2"/>
    <w:rsid w:val="00111ED6"/>
    <w:rsid w:val="001121E5"/>
    <w:rsid w:val="00112931"/>
    <w:rsid w:val="0011348B"/>
    <w:rsid w:val="00114226"/>
    <w:rsid w:val="0011494E"/>
    <w:rsid w:val="00115982"/>
    <w:rsid w:val="00116008"/>
    <w:rsid w:val="00116C53"/>
    <w:rsid w:val="0011789A"/>
    <w:rsid w:val="00120773"/>
    <w:rsid w:val="0012137B"/>
    <w:rsid w:val="00121799"/>
    <w:rsid w:val="00121A41"/>
    <w:rsid w:val="00121BE3"/>
    <w:rsid w:val="001222FC"/>
    <w:rsid w:val="0012291C"/>
    <w:rsid w:val="00124A51"/>
    <w:rsid w:val="00126621"/>
    <w:rsid w:val="001272D9"/>
    <w:rsid w:val="001301E9"/>
    <w:rsid w:val="00130EC2"/>
    <w:rsid w:val="00131D82"/>
    <w:rsid w:val="00133D36"/>
    <w:rsid w:val="00134A75"/>
    <w:rsid w:val="001358D2"/>
    <w:rsid w:val="00137645"/>
    <w:rsid w:val="00137D9E"/>
    <w:rsid w:val="00137F63"/>
    <w:rsid w:val="0014015A"/>
    <w:rsid w:val="001401DB"/>
    <w:rsid w:val="00140E99"/>
    <w:rsid w:val="00143C2B"/>
    <w:rsid w:val="001440AB"/>
    <w:rsid w:val="00145540"/>
    <w:rsid w:val="001456B0"/>
    <w:rsid w:val="00146FE6"/>
    <w:rsid w:val="00147A49"/>
    <w:rsid w:val="00151BD1"/>
    <w:rsid w:val="00154570"/>
    <w:rsid w:val="001554EF"/>
    <w:rsid w:val="00155D79"/>
    <w:rsid w:val="00157130"/>
    <w:rsid w:val="001576B1"/>
    <w:rsid w:val="0015781F"/>
    <w:rsid w:val="001608E2"/>
    <w:rsid w:val="00160A4C"/>
    <w:rsid w:val="00162913"/>
    <w:rsid w:val="00162CE5"/>
    <w:rsid w:val="00163E36"/>
    <w:rsid w:val="00163EFF"/>
    <w:rsid w:val="0016416C"/>
    <w:rsid w:val="00164775"/>
    <w:rsid w:val="00165132"/>
    <w:rsid w:val="001654F5"/>
    <w:rsid w:val="0016576A"/>
    <w:rsid w:val="001661FB"/>
    <w:rsid w:val="001667E9"/>
    <w:rsid w:val="001672A4"/>
    <w:rsid w:val="00170098"/>
    <w:rsid w:val="0017034C"/>
    <w:rsid w:val="00170967"/>
    <w:rsid w:val="001714CF"/>
    <w:rsid w:val="00173565"/>
    <w:rsid w:val="00173B07"/>
    <w:rsid w:val="00174C8A"/>
    <w:rsid w:val="0017516A"/>
    <w:rsid w:val="00175528"/>
    <w:rsid w:val="00175855"/>
    <w:rsid w:val="00176385"/>
    <w:rsid w:val="001777C7"/>
    <w:rsid w:val="00181D9C"/>
    <w:rsid w:val="0018281A"/>
    <w:rsid w:val="00182870"/>
    <w:rsid w:val="0018297D"/>
    <w:rsid w:val="0018476A"/>
    <w:rsid w:val="001855B2"/>
    <w:rsid w:val="00186215"/>
    <w:rsid w:val="0018752F"/>
    <w:rsid w:val="00192FA4"/>
    <w:rsid w:val="00193B30"/>
    <w:rsid w:val="00194F55"/>
    <w:rsid w:val="00195222"/>
    <w:rsid w:val="00196269"/>
    <w:rsid w:val="0019695C"/>
    <w:rsid w:val="00196D53"/>
    <w:rsid w:val="00197258"/>
    <w:rsid w:val="00197288"/>
    <w:rsid w:val="001975D8"/>
    <w:rsid w:val="001A078D"/>
    <w:rsid w:val="001A0D82"/>
    <w:rsid w:val="001A1AA0"/>
    <w:rsid w:val="001A3D03"/>
    <w:rsid w:val="001A43FA"/>
    <w:rsid w:val="001A59FB"/>
    <w:rsid w:val="001A6354"/>
    <w:rsid w:val="001A747B"/>
    <w:rsid w:val="001A7AE8"/>
    <w:rsid w:val="001B0E4F"/>
    <w:rsid w:val="001B1FDB"/>
    <w:rsid w:val="001B204E"/>
    <w:rsid w:val="001B25DD"/>
    <w:rsid w:val="001B3443"/>
    <w:rsid w:val="001B3816"/>
    <w:rsid w:val="001B3F67"/>
    <w:rsid w:val="001B4D20"/>
    <w:rsid w:val="001B4FA6"/>
    <w:rsid w:val="001B63BB"/>
    <w:rsid w:val="001C2A3C"/>
    <w:rsid w:val="001C2A9B"/>
    <w:rsid w:val="001C4299"/>
    <w:rsid w:val="001C4301"/>
    <w:rsid w:val="001C49B0"/>
    <w:rsid w:val="001C5F94"/>
    <w:rsid w:val="001C6639"/>
    <w:rsid w:val="001C6E66"/>
    <w:rsid w:val="001C7201"/>
    <w:rsid w:val="001C74C3"/>
    <w:rsid w:val="001C77AE"/>
    <w:rsid w:val="001D0EFF"/>
    <w:rsid w:val="001D1EE6"/>
    <w:rsid w:val="001D2602"/>
    <w:rsid w:val="001D387F"/>
    <w:rsid w:val="001D48D7"/>
    <w:rsid w:val="001D4C5B"/>
    <w:rsid w:val="001D5110"/>
    <w:rsid w:val="001D5755"/>
    <w:rsid w:val="001D7A90"/>
    <w:rsid w:val="001E05C4"/>
    <w:rsid w:val="001E238E"/>
    <w:rsid w:val="001E2483"/>
    <w:rsid w:val="001E2B1E"/>
    <w:rsid w:val="001E30D4"/>
    <w:rsid w:val="001E52EB"/>
    <w:rsid w:val="001E61D2"/>
    <w:rsid w:val="001E740C"/>
    <w:rsid w:val="001E75CE"/>
    <w:rsid w:val="001F03F1"/>
    <w:rsid w:val="001F0789"/>
    <w:rsid w:val="001F1235"/>
    <w:rsid w:val="001F14F3"/>
    <w:rsid w:val="001F1CB3"/>
    <w:rsid w:val="001F3106"/>
    <w:rsid w:val="001F38B5"/>
    <w:rsid w:val="001F4E7E"/>
    <w:rsid w:val="001F592D"/>
    <w:rsid w:val="001F6257"/>
    <w:rsid w:val="001F6ADE"/>
    <w:rsid w:val="001F7361"/>
    <w:rsid w:val="002011B0"/>
    <w:rsid w:val="002020BE"/>
    <w:rsid w:val="00203181"/>
    <w:rsid w:val="00203783"/>
    <w:rsid w:val="0020385F"/>
    <w:rsid w:val="00203FF9"/>
    <w:rsid w:val="00204D18"/>
    <w:rsid w:val="00204D3B"/>
    <w:rsid w:val="002058ED"/>
    <w:rsid w:val="00206CD5"/>
    <w:rsid w:val="00207021"/>
    <w:rsid w:val="0020732F"/>
    <w:rsid w:val="002077EE"/>
    <w:rsid w:val="00207D00"/>
    <w:rsid w:val="002105C1"/>
    <w:rsid w:val="002110E6"/>
    <w:rsid w:val="00211202"/>
    <w:rsid w:val="00211526"/>
    <w:rsid w:val="0021159C"/>
    <w:rsid w:val="00211B38"/>
    <w:rsid w:val="00211BDF"/>
    <w:rsid w:val="00212042"/>
    <w:rsid w:val="00212059"/>
    <w:rsid w:val="00212D9F"/>
    <w:rsid w:val="00215331"/>
    <w:rsid w:val="00216E74"/>
    <w:rsid w:val="00221202"/>
    <w:rsid w:val="00223B49"/>
    <w:rsid w:val="00224B5D"/>
    <w:rsid w:val="00224DD4"/>
    <w:rsid w:val="00225CF4"/>
    <w:rsid w:val="002309CC"/>
    <w:rsid w:val="00231A94"/>
    <w:rsid w:val="0023209F"/>
    <w:rsid w:val="002323A7"/>
    <w:rsid w:val="0023246F"/>
    <w:rsid w:val="0023555B"/>
    <w:rsid w:val="0023629D"/>
    <w:rsid w:val="00237255"/>
    <w:rsid w:val="002424AF"/>
    <w:rsid w:val="0024380C"/>
    <w:rsid w:val="002439DC"/>
    <w:rsid w:val="00243B6B"/>
    <w:rsid w:val="00244DC8"/>
    <w:rsid w:val="002458BA"/>
    <w:rsid w:val="0024636C"/>
    <w:rsid w:val="002465F9"/>
    <w:rsid w:val="0024682F"/>
    <w:rsid w:val="00246C8B"/>
    <w:rsid w:val="00247925"/>
    <w:rsid w:val="00247CE9"/>
    <w:rsid w:val="002511D9"/>
    <w:rsid w:val="00252F2F"/>
    <w:rsid w:val="00254DCF"/>
    <w:rsid w:val="0025534B"/>
    <w:rsid w:val="00255BB7"/>
    <w:rsid w:val="00257541"/>
    <w:rsid w:val="002601BD"/>
    <w:rsid w:val="00260E19"/>
    <w:rsid w:val="00262A1A"/>
    <w:rsid w:val="00262A87"/>
    <w:rsid w:val="00262EB0"/>
    <w:rsid w:val="0026470B"/>
    <w:rsid w:val="00264795"/>
    <w:rsid w:val="00264D20"/>
    <w:rsid w:val="00264D26"/>
    <w:rsid w:val="0026632E"/>
    <w:rsid w:val="00266E2E"/>
    <w:rsid w:val="00267642"/>
    <w:rsid w:val="00267AEA"/>
    <w:rsid w:val="002700E6"/>
    <w:rsid w:val="00270339"/>
    <w:rsid w:val="002710E1"/>
    <w:rsid w:val="002712DF"/>
    <w:rsid w:val="0027176D"/>
    <w:rsid w:val="0027294B"/>
    <w:rsid w:val="0027372D"/>
    <w:rsid w:val="002744E1"/>
    <w:rsid w:val="00275289"/>
    <w:rsid w:val="00275C5A"/>
    <w:rsid w:val="00276C9B"/>
    <w:rsid w:val="00276D03"/>
    <w:rsid w:val="00276E99"/>
    <w:rsid w:val="0027771E"/>
    <w:rsid w:val="00281014"/>
    <w:rsid w:val="002815D0"/>
    <w:rsid w:val="002850D0"/>
    <w:rsid w:val="002861AD"/>
    <w:rsid w:val="002862AF"/>
    <w:rsid w:val="00290754"/>
    <w:rsid w:val="002912E5"/>
    <w:rsid w:val="002917D5"/>
    <w:rsid w:val="00293442"/>
    <w:rsid w:val="00293751"/>
    <w:rsid w:val="00293E80"/>
    <w:rsid w:val="002968F2"/>
    <w:rsid w:val="002969BB"/>
    <w:rsid w:val="00296C7F"/>
    <w:rsid w:val="00297DC1"/>
    <w:rsid w:val="002A14AB"/>
    <w:rsid w:val="002A2F50"/>
    <w:rsid w:val="002A46D9"/>
    <w:rsid w:val="002A7CC6"/>
    <w:rsid w:val="002B09A4"/>
    <w:rsid w:val="002B1A8E"/>
    <w:rsid w:val="002B1C1F"/>
    <w:rsid w:val="002B2A01"/>
    <w:rsid w:val="002B2AED"/>
    <w:rsid w:val="002B33E6"/>
    <w:rsid w:val="002B432F"/>
    <w:rsid w:val="002B4FFC"/>
    <w:rsid w:val="002B5FD5"/>
    <w:rsid w:val="002B62B3"/>
    <w:rsid w:val="002B632D"/>
    <w:rsid w:val="002B6754"/>
    <w:rsid w:val="002B6C2E"/>
    <w:rsid w:val="002B6CCE"/>
    <w:rsid w:val="002B6DE8"/>
    <w:rsid w:val="002C028F"/>
    <w:rsid w:val="002C06DD"/>
    <w:rsid w:val="002C2037"/>
    <w:rsid w:val="002C2510"/>
    <w:rsid w:val="002C2594"/>
    <w:rsid w:val="002C2635"/>
    <w:rsid w:val="002C2775"/>
    <w:rsid w:val="002C27C1"/>
    <w:rsid w:val="002C2B3A"/>
    <w:rsid w:val="002C3EE9"/>
    <w:rsid w:val="002C5099"/>
    <w:rsid w:val="002C5889"/>
    <w:rsid w:val="002C71CE"/>
    <w:rsid w:val="002D255D"/>
    <w:rsid w:val="002D2E46"/>
    <w:rsid w:val="002D37D1"/>
    <w:rsid w:val="002D46F0"/>
    <w:rsid w:val="002D51B1"/>
    <w:rsid w:val="002D5394"/>
    <w:rsid w:val="002D577C"/>
    <w:rsid w:val="002D68FD"/>
    <w:rsid w:val="002D758B"/>
    <w:rsid w:val="002D7D9B"/>
    <w:rsid w:val="002E0333"/>
    <w:rsid w:val="002E05EA"/>
    <w:rsid w:val="002E069C"/>
    <w:rsid w:val="002E15B9"/>
    <w:rsid w:val="002E2158"/>
    <w:rsid w:val="002E3752"/>
    <w:rsid w:val="002E5745"/>
    <w:rsid w:val="002E6054"/>
    <w:rsid w:val="002E70E6"/>
    <w:rsid w:val="002E7353"/>
    <w:rsid w:val="002E7722"/>
    <w:rsid w:val="002F07BA"/>
    <w:rsid w:val="002F0DA9"/>
    <w:rsid w:val="002F2E75"/>
    <w:rsid w:val="002F3EF7"/>
    <w:rsid w:val="002F52BF"/>
    <w:rsid w:val="002F55EA"/>
    <w:rsid w:val="002F6302"/>
    <w:rsid w:val="002F643C"/>
    <w:rsid w:val="002F6F34"/>
    <w:rsid w:val="002F71C0"/>
    <w:rsid w:val="00301017"/>
    <w:rsid w:val="0030155F"/>
    <w:rsid w:val="00303433"/>
    <w:rsid w:val="003042AB"/>
    <w:rsid w:val="0030587B"/>
    <w:rsid w:val="00305E3B"/>
    <w:rsid w:val="00305F53"/>
    <w:rsid w:val="00306D98"/>
    <w:rsid w:val="0030786C"/>
    <w:rsid w:val="0031031A"/>
    <w:rsid w:val="00310981"/>
    <w:rsid w:val="003127D0"/>
    <w:rsid w:val="00315498"/>
    <w:rsid w:val="00316330"/>
    <w:rsid w:val="00317672"/>
    <w:rsid w:val="0031799E"/>
    <w:rsid w:val="00322107"/>
    <w:rsid w:val="00322846"/>
    <w:rsid w:val="00323D11"/>
    <w:rsid w:val="00323F76"/>
    <w:rsid w:val="0032568C"/>
    <w:rsid w:val="003256A9"/>
    <w:rsid w:val="0032598D"/>
    <w:rsid w:val="00326DA7"/>
    <w:rsid w:val="003270E4"/>
    <w:rsid w:val="00327D1A"/>
    <w:rsid w:val="00330400"/>
    <w:rsid w:val="00330F5C"/>
    <w:rsid w:val="00332441"/>
    <w:rsid w:val="00333C96"/>
    <w:rsid w:val="00334664"/>
    <w:rsid w:val="003366C9"/>
    <w:rsid w:val="00336DA8"/>
    <w:rsid w:val="003371B0"/>
    <w:rsid w:val="00340DF1"/>
    <w:rsid w:val="00340EDB"/>
    <w:rsid w:val="003411DF"/>
    <w:rsid w:val="00344542"/>
    <w:rsid w:val="003458DD"/>
    <w:rsid w:val="00346FC7"/>
    <w:rsid w:val="00347728"/>
    <w:rsid w:val="00347F43"/>
    <w:rsid w:val="003517F9"/>
    <w:rsid w:val="0035280E"/>
    <w:rsid w:val="00352A76"/>
    <w:rsid w:val="00354EB7"/>
    <w:rsid w:val="00355AB6"/>
    <w:rsid w:val="0035620E"/>
    <w:rsid w:val="0036058A"/>
    <w:rsid w:val="003618BD"/>
    <w:rsid w:val="00361F68"/>
    <w:rsid w:val="003624C4"/>
    <w:rsid w:val="00362A27"/>
    <w:rsid w:val="00362F2B"/>
    <w:rsid w:val="003654AC"/>
    <w:rsid w:val="00367C47"/>
    <w:rsid w:val="003707F3"/>
    <w:rsid w:val="00370FE8"/>
    <w:rsid w:val="003710CF"/>
    <w:rsid w:val="0037189C"/>
    <w:rsid w:val="00372AAA"/>
    <w:rsid w:val="0037358A"/>
    <w:rsid w:val="003736BA"/>
    <w:rsid w:val="003745AF"/>
    <w:rsid w:val="003750F6"/>
    <w:rsid w:val="003760FC"/>
    <w:rsid w:val="003764FF"/>
    <w:rsid w:val="003771E4"/>
    <w:rsid w:val="00380EA2"/>
    <w:rsid w:val="00381DF1"/>
    <w:rsid w:val="00382901"/>
    <w:rsid w:val="0038365C"/>
    <w:rsid w:val="0038369B"/>
    <w:rsid w:val="00383711"/>
    <w:rsid w:val="00383B78"/>
    <w:rsid w:val="00383E14"/>
    <w:rsid w:val="003846DD"/>
    <w:rsid w:val="0038583E"/>
    <w:rsid w:val="00385A9D"/>
    <w:rsid w:val="00386AEC"/>
    <w:rsid w:val="0038757A"/>
    <w:rsid w:val="003902B1"/>
    <w:rsid w:val="0039091E"/>
    <w:rsid w:val="00393092"/>
    <w:rsid w:val="00396896"/>
    <w:rsid w:val="00396FD0"/>
    <w:rsid w:val="003A050B"/>
    <w:rsid w:val="003A1A7A"/>
    <w:rsid w:val="003A1EB3"/>
    <w:rsid w:val="003A2392"/>
    <w:rsid w:val="003A2831"/>
    <w:rsid w:val="003A3057"/>
    <w:rsid w:val="003A39B0"/>
    <w:rsid w:val="003A3ED1"/>
    <w:rsid w:val="003A4DCF"/>
    <w:rsid w:val="003A4E0C"/>
    <w:rsid w:val="003A4EF6"/>
    <w:rsid w:val="003A5A32"/>
    <w:rsid w:val="003B0920"/>
    <w:rsid w:val="003B13D7"/>
    <w:rsid w:val="003B5A42"/>
    <w:rsid w:val="003B5B61"/>
    <w:rsid w:val="003B74B4"/>
    <w:rsid w:val="003B789D"/>
    <w:rsid w:val="003B7B4E"/>
    <w:rsid w:val="003B7C20"/>
    <w:rsid w:val="003C0C20"/>
    <w:rsid w:val="003C1654"/>
    <w:rsid w:val="003C2A81"/>
    <w:rsid w:val="003C6234"/>
    <w:rsid w:val="003C7D19"/>
    <w:rsid w:val="003D0064"/>
    <w:rsid w:val="003D0E14"/>
    <w:rsid w:val="003D1828"/>
    <w:rsid w:val="003D1DE4"/>
    <w:rsid w:val="003D2422"/>
    <w:rsid w:val="003D2AA5"/>
    <w:rsid w:val="003D39A1"/>
    <w:rsid w:val="003D3FBF"/>
    <w:rsid w:val="003D4A30"/>
    <w:rsid w:val="003D575C"/>
    <w:rsid w:val="003D5949"/>
    <w:rsid w:val="003D6753"/>
    <w:rsid w:val="003D79BB"/>
    <w:rsid w:val="003D7C98"/>
    <w:rsid w:val="003E0543"/>
    <w:rsid w:val="003E193D"/>
    <w:rsid w:val="003E36FD"/>
    <w:rsid w:val="003E37A8"/>
    <w:rsid w:val="003E3940"/>
    <w:rsid w:val="003E7678"/>
    <w:rsid w:val="003E7788"/>
    <w:rsid w:val="003E7F71"/>
    <w:rsid w:val="003F0EEE"/>
    <w:rsid w:val="003F1420"/>
    <w:rsid w:val="003F2860"/>
    <w:rsid w:val="003F3B57"/>
    <w:rsid w:val="003F4156"/>
    <w:rsid w:val="003F466C"/>
    <w:rsid w:val="003F4CA2"/>
    <w:rsid w:val="003F6C92"/>
    <w:rsid w:val="00400523"/>
    <w:rsid w:val="004009EB"/>
    <w:rsid w:val="00400B29"/>
    <w:rsid w:val="00403027"/>
    <w:rsid w:val="004035BD"/>
    <w:rsid w:val="00404E33"/>
    <w:rsid w:val="0040504B"/>
    <w:rsid w:val="0040642D"/>
    <w:rsid w:val="00410708"/>
    <w:rsid w:val="00410EC7"/>
    <w:rsid w:val="00411B39"/>
    <w:rsid w:val="00412D1F"/>
    <w:rsid w:val="00413164"/>
    <w:rsid w:val="00413640"/>
    <w:rsid w:val="00413A1E"/>
    <w:rsid w:val="00414476"/>
    <w:rsid w:val="00414C2E"/>
    <w:rsid w:val="004151CF"/>
    <w:rsid w:val="00415AA1"/>
    <w:rsid w:val="00416364"/>
    <w:rsid w:val="00416ECC"/>
    <w:rsid w:val="00420671"/>
    <w:rsid w:val="0042073D"/>
    <w:rsid w:val="00420AA6"/>
    <w:rsid w:val="00420B9F"/>
    <w:rsid w:val="00421ED3"/>
    <w:rsid w:val="00422260"/>
    <w:rsid w:val="0042413F"/>
    <w:rsid w:val="00424828"/>
    <w:rsid w:val="00424909"/>
    <w:rsid w:val="00425A01"/>
    <w:rsid w:val="0042757A"/>
    <w:rsid w:val="00427EE6"/>
    <w:rsid w:val="004319F8"/>
    <w:rsid w:val="00431E55"/>
    <w:rsid w:val="004321F6"/>
    <w:rsid w:val="00432779"/>
    <w:rsid w:val="00433044"/>
    <w:rsid w:val="00433D3A"/>
    <w:rsid w:val="0043566C"/>
    <w:rsid w:val="004371FF"/>
    <w:rsid w:val="004375B9"/>
    <w:rsid w:val="004379C0"/>
    <w:rsid w:val="00437D4C"/>
    <w:rsid w:val="004400F1"/>
    <w:rsid w:val="004428D0"/>
    <w:rsid w:val="00442CE2"/>
    <w:rsid w:val="00442DF0"/>
    <w:rsid w:val="00442E46"/>
    <w:rsid w:val="004430F8"/>
    <w:rsid w:val="004443A7"/>
    <w:rsid w:val="0044442C"/>
    <w:rsid w:val="0044449E"/>
    <w:rsid w:val="00444501"/>
    <w:rsid w:val="00444565"/>
    <w:rsid w:val="00445941"/>
    <w:rsid w:val="004464EB"/>
    <w:rsid w:val="00446E16"/>
    <w:rsid w:val="00447A42"/>
    <w:rsid w:val="00447D26"/>
    <w:rsid w:val="004506D7"/>
    <w:rsid w:val="00450F53"/>
    <w:rsid w:val="00451D81"/>
    <w:rsid w:val="0045231A"/>
    <w:rsid w:val="00455D45"/>
    <w:rsid w:val="0045671B"/>
    <w:rsid w:val="00460354"/>
    <w:rsid w:val="00461A78"/>
    <w:rsid w:val="00464595"/>
    <w:rsid w:val="004669F8"/>
    <w:rsid w:val="00470F12"/>
    <w:rsid w:val="00472A79"/>
    <w:rsid w:val="00473CE7"/>
    <w:rsid w:val="00473F19"/>
    <w:rsid w:val="00474998"/>
    <w:rsid w:val="00475241"/>
    <w:rsid w:val="00475673"/>
    <w:rsid w:val="00475E22"/>
    <w:rsid w:val="00476812"/>
    <w:rsid w:val="00476B76"/>
    <w:rsid w:val="00476C43"/>
    <w:rsid w:val="0047718C"/>
    <w:rsid w:val="00480781"/>
    <w:rsid w:val="0048088E"/>
    <w:rsid w:val="00482720"/>
    <w:rsid w:val="00482D46"/>
    <w:rsid w:val="004835E7"/>
    <w:rsid w:val="004851CA"/>
    <w:rsid w:val="004867E2"/>
    <w:rsid w:val="004868D5"/>
    <w:rsid w:val="00490803"/>
    <w:rsid w:val="00491B3A"/>
    <w:rsid w:val="00492CFD"/>
    <w:rsid w:val="004938B7"/>
    <w:rsid w:val="0049454B"/>
    <w:rsid w:val="00494DD5"/>
    <w:rsid w:val="004962D2"/>
    <w:rsid w:val="004A0DA1"/>
    <w:rsid w:val="004A1B3C"/>
    <w:rsid w:val="004A27BB"/>
    <w:rsid w:val="004A34C3"/>
    <w:rsid w:val="004A3C2C"/>
    <w:rsid w:val="004A52E9"/>
    <w:rsid w:val="004A5C45"/>
    <w:rsid w:val="004A6597"/>
    <w:rsid w:val="004A67D3"/>
    <w:rsid w:val="004A7419"/>
    <w:rsid w:val="004A759E"/>
    <w:rsid w:val="004A7848"/>
    <w:rsid w:val="004B07E8"/>
    <w:rsid w:val="004B0998"/>
    <w:rsid w:val="004B0A34"/>
    <w:rsid w:val="004B1560"/>
    <w:rsid w:val="004B15E9"/>
    <w:rsid w:val="004B1CB4"/>
    <w:rsid w:val="004B2F18"/>
    <w:rsid w:val="004B3DDB"/>
    <w:rsid w:val="004B44FD"/>
    <w:rsid w:val="004B4F1E"/>
    <w:rsid w:val="004B5463"/>
    <w:rsid w:val="004B5CFC"/>
    <w:rsid w:val="004B6B92"/>
    <w:rsid w:val="004B7252"/>
    <w:rsid w:val="004B72C9"/>
    <w:rsid w:val="004B774D"/>
    <w:rsid w:val="004C21D9"/>
    <w:rsid w:val="004C4AED"/>
    <w:rsid w:val="004C5D0E"/>
    <w:rsid w:val="004C6031"/>
    <w:rsid w:val="004C61B3"/>
    <w:rsid w:val="004C630E"/>
    <w:rsid w:val="004C756D"/>
    <w:rsid w:val="004D14C4"/>
    <w:rsid w:val="004D2C2D"/>
    <w:rsid w:val="004D38F0"/>
    <w:rsid w:val="004D5B81"/>
    <w:rsid w:val="004D68AF"/>
    <w:rsid w:val="004D7227"/>
    <w:rsid w:val="004E0E7F"/>
    <w:rsid w:val="004E0EB8"/>
    <w:rsid w:val="004E0F8A"/>
    <w:rsid w:val="004E17A4"/>
    <w:rsid w:val="004E18CD"/>
    <w:rsid w:val="004E2ADC"/>
    <w:rsid w:val="004E2D39"/>
    <w:rsid w:val="004E43B2"/>
    <w:rsid w:val="004E48AF"/>
    <w:rsid w:val="004E4ED2"/>
    <w:rsid w:val="004E784F"/>
    <w:rsid w:val="004F0FB2"/>
    <w:rsid w:val="004F1D02"/>
    <w:rsid w:val="004F1E86"/>
    <w:rsid w:val="004F2679"/>
    <w:rsid w:val="004F26EE"/>
    <w:rsid w:val="004F2F21"/>
    <w:rsid w:val="004F3C5E"/>
    <w:rsid w:val="004F4DAB"/>
    <w:rsid w:val="004F5A88"/>
    <w:rsid w:val="004F5F2C"/>
    <w:rsid w:val="004F6913"/>
    <w:rsid w:val="004F6E78"/>
    <w:rsid w:val="004F7336"/>
    <w:rsid w:val="004F7865"/>
    <w:rsid w:val="0050185D"/>
    <w:rsid w:val="00501878"/>
    <w:rsid w:val="0050219B"/>
    <w:rsid w:val="00502A4B"/>
    <w:rsid w:val="00503F17"/>
    <w:rsid w:val="00503FF5"/>
    <w:rsid w:val="00504FD9"/>
    <w:rsid w:val="00506928"/>
    <w:rsid w:val="00507001"/>
    <w:rsid w:val="0050792A"/>
    <w:rsid w:val="005106F2"/>
    <w:rsid w:val="00510F37"/>
    <w:rsid w:val="00511953"/>
    <w:rsid w:val="0051250B"/>
    <w:rsid w:val="00512EC4"/>
    <w:rsid w:val="00513AF0"/>
    <w:rsid w:val="005152B5"/>
    <w:rsid w:val="00521319"/>
    <w:rsid w:val="00522BC8"/>
    <w:rsid w:val="00523652"/>
    <w:rsid w:val="00523C28"/>
    <w:rsid w:val="005252CB"/>
    <w:rsid w:val="00526F58"/>
    <w:rsid w:val="00527EC1"/>
    <w:rsid w:val="005305E4"/>
    <w:rsid w:val="00531B27"/>
    <w:rsid w:val="005320F7"/>
    <w:rsid w:val="00532A2D"/>
    <w:rsid w:val="00532FC4"/>
    <w:rsid w:val="00533444"/>
    <w:rsid w:val="00534B90"/>
    <w:rsid w:val="00536F42"/>
    <w:rsid w:val="00537182"/>
    <w:rsid w:val="00541D70"/>
    <w:rsid w:val="0054200F"/>
    <w:rsid w:val="00542743"/>
    <w:rsid w:val="00542C2D"/>
    <w:rsid w:val="005454F0"/>
    <w:rsid w:val="00551985"/>
    <w:rsid w:val="00552BD3"/>
    <w:rsid w:val="005535D8"/>
    <w:rsid w:val="00555109"/>
    <w:rsid w:val="00556636"/>
    <w:rsid w:val="005569B2"/>
    <w:rsid w:val="00556B1B"/>
    <w:rsid w:val="00561B19"/>
    <w:rsid w:val="00562EC5"/>
    <w:rsid w:val="00565518"/>
    <w:rsid w:val="00565F55"/>
    <w:rsid w:val="0056696F"/>
    <w:rsid w:val="00567928"/>
    <w:rsid w:val="0057069B"/>
    <w:rsid w:val="00570831"/>
    <w:rsid w:val="00572269"/>
    <w:rsid w:val="0057244A"/>
    <w:rsid w:val="00572794"/>
    <w:rsid w:val="00572BF3"/>
    <w:rsid w:val="0057397B"/>
    <w:rsid w:val="00575D8D"/>
    <w:rsid w:val="00576972"/>
    <w:rsid w:val="005770D5"/>
    <w:rsid w:val="00580C81"/>
    <w:rsid w:val="0058199D"/>
    <w:rsid w:val="00581DF2"/>
    <w:rsid w:val="00582943"/>
    <w:rsid w:val="00583699"/>
    <w:rsid w:val="005846CB"/>
    <w:rsid w:val="005847D1"/>
    <w:rsid w:val="00585CDD"/>
    <w:rsid w:val="00587058"/>
    <w:rsid w:val="00591957"/>
    <w:rsid w:val="00592377"/>
    <w:rsid w:val="00592801"/>
    <w:rsid w:val="005944FD"/>
    <w:rsid w:val="005968AE"/>
    <w:rsid w:val="005970AE"/>
    <w:rsid w:val="00597389"/>
    <w:rsid w:val="005978C9"/>
    <w:rsid w:val="00597BF9"/>
    <w:rsid w:val="005A0BF2"/>
    <w:rsid w:val="005A1BB8"/>
    <w:rsid w:val="005A272B"/>
    <w:rsid w:val="005A2FF2"/>
    <w:rsid w:val="005A373D"/>
    <w:rsid w:val="005A4905"/>
    <w:rsid w:val="005A6A8B"/>
    <w:rsid w:val="005A7AD8"/>
    <w:rsid w:val="005A7B38"/>
    <w:rsid w:val="005B37F0"/>
    <w:rsid w:val="005B3C36"/>
    <w:rsid w:val="005B4BA2"/>
    <w:rsid w:val="005B4C7D"/>
    <w:rsid w:val="005B5857"/>
    <w:rsid w:val="005B6A74"/>
    <w:rsid w:val="005B72B4"/>
    <w:rsid w:val="005B736A"/>
    <w:rsid w:val="005C1B83"/>
    <w:rsid w:val="005C2186"/>
    <w:rsid w:val="005C2D51"/>
    <w:rsid w:val="005C2D55"/>
    <w:rsid w:val="005C346B"/>
    <w:rsid w:val="005C4219"/>
    <w:rsid w:val="005C4679"/>
    <w:rsid w:val="005C6D5D"/>
    <w:rsid w:val="005D044D"/>
    <w:rsid w:val="005D0ABD"/>
    <w:rsid w:val="005D0C98"/>
    <w:rsid w:val="005D125A"/>
    <w:rsid w:val="005D18AD"/>
    <w:rsid w:val="005D1F19"/>
    <w:rsid w:val="005D1FE6"/>
    <w:rsid w:val="005D23C6"/>
    <w:rsid w:val="005D26B4"/>
    <w:rsid w:val="005D2BE7"/>
    <w:rsid w:val="005D2EBC"/>
    <w:rsid w:val="005D4C41"/>
    <w:rsid w:val="005D735C"/>
    <w:rsid w:val="005D753C"/>
    <w:rsid w:val="005D7A20"/>
    <w:rsid w:val="005E0AA4"/>
    <w:rsid w:val="005E0F55"/>
    <w:rsid w:val="005E1734"/>
    <w:rsid w:val="005E3701"/>
    <w:rsid w:val="005E49CA"/>
    <w:rsid w:val="005E534D"/>
    <w:rsid w:val="005E6348"/>
    <w:rsid w:val="005E6CBC"/>
    <w:rsid w:val="005E73C0"/>
    <w:rsid w:val="005F001E"/>
    <w:rsid w:val="005F00F6"/>
    <w:rsid w:val="005F03D2"/>
    <w:rsid w:val="005F2706"/>
    <w:rsid w:val="005F2E3A"/>
    <w:rsid w:val="005F3B90"/>
    <w:rsid w:val="005F49A7"/>
    <w:rsid w:val="005F4EDA"/>
    <w:rsid w:val="005F5EE6"/>
    <w:rsid w:val="005F6A8F"/>
    <w:rsid w:val="005F7D3A"/>
    <w:rsid w:val="00600212"/>
    <w:rsid w:val="00600B18"/>
    <w:rsid w:val="00600B74"/>
    <w:rsid w:val="006010A2"/>
    <w:rsid w:val="00601A98"/>
    <w:rsid w:val="00602BFD"/>
    <w:rsid w:val="00602E73"/>
    <w:rsid w:val="00603DB9"/>
    <w:rsid w:val="00604265"/>
    <w:rsid w:val="00604AA1"/>
    <w:rsid w:val="006063A4"/>
    <w:rsid w:val="00607503"/>
    <w:rsid w:val="00607669"/>
    <w:rsid w:val="00607AFD"/>
    <w:rsid w:val="006123FB"/>
    <w:rsid w:val="00612F97"/>
    <w:rsid w:val="0061345D"/>
    <w:rsid w:val="00613902"/>
    <w:rsid w:val="00613F11"/>
    <w:rsid w:val="00615C6F"/>
    <w:rsid w:val="0061614E"/>
    <w:rsid w:val="00616500"/>
    <w:rsid w:val="00616802"/>
    <w:rsid w:val="00617E12"/>
    <w:rsid w:val="00620019"/>
    <w:rsid w:val="00621477"/>
    <w:rsid w:val="00621E94"/>
    <w:rsid w:val="00622CE7"/>
    <w:rsid w:val="006264B6"/>
    <w:rsid w:val="00630101"/>
    <w:rsid w:val="00630514"/>
    <w:rsid w:val="0063158F"/>
    <w:rsid w:val="00631D6B"/>
    <w:rsid w:val="0063234E"/>
    <w:rsid w:val="006330A1"/>
    <w:rsid w:val="006339D9"/>
    <w:rsid w:val="0063479F"/>
    <w:rsid w:val="006353F0"/>
    <w:rsid w:val="006364A1"/>
    <w:rsid w:val="00636D7E"/>
    <w:rsid w:val="00636E79"/>
    <w:rsid w:val="006370E1"/>
    <w:rsid w:val="00637BFD"/>
    <w:rsid w:val="00637C0B"/>
    <w:rsid w:val="00640182"/>
    <w:rsid w:val="00641735"/>
    <w:rsid w:val="00641C4E"/>
    <w:rsid w:val="00642413"/>
    <w:rsid w:val="0064286B"/>
    <w:rsid w:val="00643446"/>
    <w:rsid w:val="006437EE"/>
    <w:rsid w:val="00644854"/>
    <w:rsid w:val="006471CC"/>
    <w:rsid w:val="0064757F"/>
    <w:rsid w:val="00650667"/>
    <w:rsid w:val="0065079F"/>
    <w:rsid w:val="0065379F"/>
    <w:rsid w:val="006559DF"/>
    <w:rsid w:val="00655C34"/>
    <w:rsid w:val="00655FD9"/>
    <w:rsid w:val="0065676E"/>
    <w:rsid w:val="006607FF"/>
    <w:rsid w:val="0066198A"/>
    <w:rsid w:val="00661991"/>
    <w:rsid w:val="00661C6B"/>
    <w:rsid w:val="00661FDB"/>
    <w:rsid w:val="0066255E"/>
    <w:rsid w:val="00662938"/>
    <w:rsid w:val="006630C9"/>
    <w:rsid w:val="006634A8"/>
    <w:rsid w:val="006670A4"/>
    <w:rsid w:val="00674E42"/>
    <w:rsid w:val="00675909"/>
    <w:rsid w:val="00680051"/>
    <w:rsid w:val="00682112"/>
    <w:rsid w:val="0068451B"/>
    <w:rsid w:val="00686957"/>
    <w:rsid w:val="0068709B"/>
    <w:rsid w:val="006872BA"/>
    <w:rsid w:val="00691648"/>
    <w:rsid w:val="00691668"/>
    <w:rsid w:val="006917D7"/>
    <w:rsid w:val="00691DF4"/>
    <w:rsid w:val="00694F44"/>
    <w:rsid w:val="006955B3"/>
    <w:rsid w:val="00696A80"/>
    <w:rsid w:val="006A0C27"/>
    <w:rsid w:val="006A1A58"/>
    <w:rsid w:val="006A29FD"/>
    <w:rsid w:val="006A3245"/>
    <w:rsid w:val="006A44DD"/>
    <w:rsid w:val="006A54D6"/>
    <w:rsid w:val="006A5FE2"/>
    <w:rsid w:val="006A6BAA"/>
    <w:rsid w:val="006A781F"/>
    <w:rsid w:val="006A7E5F"/>
    <w:rsid w:val="006B0A1E"/>
    <w:rsid w:val="006B261B"/>
    <w:rsid w:val="006B2C90"/>
    <w:rsid w:val="006B4BBA"/>
    <w:rsid w:val="006B6DD0"/>
    <w:rsid w:val="006B7921"/>
    <w:rsid w:val="006B792C"/>
    <w:rsid w:val="006C11A8"/>
    <w:rsid w:val="006C29A9"/>
    <w:rsid w:val="006C2A8E"/>
    <w:rsid w:val="006C33FB"/>
    <w:rsid w:val="006C36A5"/>
    <w:rsid w:val="006C4BD7"/>
    <w:rsid w:val="006C60A0"/>
    <w:rsid w:val="006C6735"/>
    <w:rsid w:val="006D0997"/>
    <w:rsid w:val="006D2274"/>
    <w:rsid w:val="006D2467"/>
    <w:rsid w:val="006D2B19"/>
    <w:rsid w:val="006D3783"/>
    <w:rsid w:val="006D3C7D"/>
    <w:rsid w:val="006D5376"/>
    <w:rsid w:val="006D5D5F"/>
    <w:rsid w:val="006D7710"/>
    <w:rsid w:val="006E043E"/>
    <w:rsid w:val="006E2FC6"/>
    <w:rsid w:val="006E7DCE"/>
    <w:rsid w:val="006F06DA"/>
    <w:rsid w:val="006F306C"/>
    <w:rsid w:val="006F37B9"/>
    <w:rsid w:val="006F4BA4"/>
    <w:rsid w:val="006F508B"/>
    <w:rsid w:val="006F5EC4"/>
    <w:rsid w:val="006F63A5"/>
    <w:rsid w:val="006F682C"/>
    <w:rsid w:val="006F6C69"/>
    <w:rsid w:val="006F7260"/>
    <w:rsid w:val="007001C1"/>
    <w:rsid w:val="0070142B"/>
    <w:rsid w:val="00701BBD"/>
    <w:rsid w:val="0070276E"/>
    <w:rsid w:val="00702F8F"/>
    <w:rsid w:val="007047E2"/>
    <w:rsid w:val="00707DF3"/>
    <w:rsid w:val="00711A36"/>
    <w:rsid w:val="007125C6"/>
    <w:rsid w:val="0071262C"/>
    <w:rsid w:val="0071529C"/>
    <w:rsid w:val="007162AC"/>
    <w:rsid w:val="00716CAA"/>
    <w:rsid w:val="007172AD"/>
    <w:rsid w:val="00717925"/>
    <w:rsid w:val="007179D4"/>
    <w:rsid w:val="00722B1B"/>
    <w:rsid w:val="007237BB"/>
    <w:rsid w:val="0072416F"/>
    <w:rsid w:val="0072459E"/>
    <w:rsid w:val="0072591D"/>
    <w:rsid w:val="00725E56"/>
    <w:rsid w:val="00727C94"/>
    <w:rsid w:val="00727F7D"/>
    <w:rsid w:val="00730C13"/>
    <w:rsid w:val="00731EAE"/>
    <w:rsid w:val="007336A9"/>
    <w:rsid w:val="00734D3E"/>
    <w:rsid w:val="00735033"/>
    <w:rsid w:val="00735328"/>
    <w:rsid w:val="00735D7C"/>
    <w:rsid w:val="0073685B"/>
    <w:rsid w:val="00737CDA"/>
    <w:rsid w:val="00740E66"/>
    <w:rsid w:val="007410E8"/>
    <w:rsid w:val="007410ED"/>
    <w:rsid w:val="00743AE8"/>
    <w:rsid w:val="007453CB"/>
    <w:rsid w:val="007508CC"/>
    <w:rsid w:val="00750E36"/>
    <w:rsid w:val="00750FFF"/>
    <w:rsid w:val="00752142"/>
    <w:rsid w:val="007523F9"/>
    <w:rsid w:val="00755C63"/>
    <w:rsid w:val="007573E8"/>
    <w:rsid w:val="00760C4E"/>
    <w:rsid w:val="007617D6"/>
    <w:rsid w:val="00765B1A"/>
    <w:rsid w:val="00766015"/>
    <w:rsid w:val="00766D46"/>
    <w:rsid w:val="00767416"/>
    <w:rsid w:val="0076779C"/>
    <w:rsid w:val="00767EF5"/>
    <w:rsid w:val="00773088"/>
    <w:rsid w:val="007761FD"/>
    <w:rsid w:val="007766C5"/>
    <w:rsid w:val="00776829"/>
    <w:rsid w:val="007773B2"/>
    <w:rsid w:val="00777463"/>
    <w:rsid w:val="00780898"/>
    <w:rsid w:val="007843F2"/>
    <w:rsid w:val="00785D4A"/>
    <w:rsid w:val="007866CA"/>
    <w:rsid w:val="0078779D"/>
    <w:rsid w:val="007911CB"/>
    <w:rsid w:val="00791E61"/>
    <w:rsid w:val="0079224C"/>
    <w:rsid w:val="007936BE"/>
    <w:rsid w:val="00793E59"/>
    <w:rsid w:val="0079451D"/>
    <w:rsid w:val="007A09EB"/>
    <w:rsid w:val="007A0A12"/>
    <w:rsid w:val="007A132D"/>
    <w:rsid w:val="007A3F2A"/>
    <w:rsid w:val="007A4ED8"/>
    <w:rsid w:val="007A5169"/>
    <w:rsid w:val="007A62F2"/>
    <w:rsid w:val="007A7B63"/>
    <w:rsid w:val="007A7B9C"/>
    <w:rsid w:val="007B0D68"/>
    <w:rsid w:val="007B2436"/>
    <w:rsid w:val="007B251D"/>
    <w:rsid w:val="007B4F58"/>
    <w:rsid w:val="007B528D"/>
    <w:rsid w:val="007B5DB0"/>
    <w:rsid w:val="007B6B87"/>
    <w:rsid w:val="007B77D1"/>
    <w:rsid w:val="007C1CD9"/>
    <w:rsid w:val="007C1EDD"/>
    <w:rsid w:val="007C361D"/>
    <w:rsid w:val="007C4960"/>
    <w:rsid w:val="007C4B84"/>
    <w:rsid w:val="007C634A"/>
    <w:rsid w:val="007C6FAC"/>
    <w:rsid w:val="007D004F"/>
    <w:rsid w:val="007D0B38"/>
    <w:rsid w:val="007D0E23"/>
    <w:rsid w:val="007D30C7"/>
    <w:rsid w:val="007D3CC2"/>
    <w:rsid w:val="007D4DFF"/>
    <w:rsid w:val="007D5440"/>
    <w:rsid w:val="007D583E"/>
    <w:rsid w:val="007D6417"/>
    <w:rsid w:val="007D71A9"/>
    <w:rsid w:val="007D7344"/>
    <w:rsid w:val="007E2038"/>
    <w:rsid w:val="007E26D3"/>
    <w:rsid w:val="007E2F63"/>
    <w:rsid w:val="007E317A"/>
    <w:rsid w:val="007E46F8"/>
    <w:rsid w:val="007E764E"/>
    <w:rsid w:val="007E7F32"/>
    <w:rsid w:val="007F1017"/>
    <w:rsid w:val="007F117F"/>
    <w:rsid w:val="007F4A3F"/>
    <w:rsid w:val="007F4A61"/>
    <w:rsid w:val="007F51EF"/>
    <w:rsid w:val="007F61C2"/>
    <w:rsid w:val="007F6DFB"/>
    <w:rsid w:val="007F7140"/>
    <w:rsid w:val="008019BB"/>
    <w:rsid w:val="008035E7"/>
    <w:rsid w:val="00805142"/>
    <w:rsid w:val="00805907"/>
    <w:rsid w:val="00807A8B"/>
    <w:rsid w:val="00810291"/>
    <w:rsid w:val="00811383"/>
    <w:rsid w:val="00812149"/>
    <w:rsid w:val="0081282C"/>
    <w:rsid w:val="00812CAC"/>
    <w:rsid w:val="008133B5"/>
    <w:rsid w:val="008152B5"/>
    <w:rsid w:val="00815794"/>
    <w:rsid w:val="00815DB0"/>
    <w:rsid w:val="00816349"/>
    <w:rsid w:val="008166EF"/>
    <w:rsid w:val="008174DA"/>
    <w:rsid w:val="00817E1C"/>
    <w:rsid w:val="00817E9D"/>
    <w:rsid w:val="008205EC"/>
    <w:rsid w:val="00820CAF"/>
    <w:rsid w:val="00821C02"/>
    <w:rsid w:val="00821FA6"/>
    <w:rsid w:val="008223A8"/>
    <w:rsid w:val="0082281E"/>
    <w:rsid w:val="008229BD"/>
    <w:rsid w:val="00822A16"/>
    <w:rsid w:val="00825751"/>
    <w:rsid w:val="008264BD"/>
    <w:rsid w:val="008264EB"/>
    <w:rsid w:val="00833B05"/>
    <w:rsid w:val="00834F9C"/>
    <w:rsid w:val="008362B4"/>
    <w:rsid w:val="008401B3"/>
    <w:rsid w:val="00840CA2"/>
    <w:rsid w:val="00842BB6"/>
    <w:rsid w:val="00842FC6"/>
    <w:rsid w:val="0084374F"/>
    <w:rsid w:val="00843C57"/>
    <w:rsid w:val="0084639F"/>
    <w:rsid w:val="00846FC3"/>
    <w:rsid w:val="00847DF5"/>
    <w:rsid w:val="008500D2"/>
    <w:rsid w:val="00850D5C"/>
    <w:rsid w:val="008514F5"/>
    <w:rsid w:val="00851D3B"/>
    <w:rsid w:val="008524B1"/>
    <w:rsid w:val="0085309D"/>
    <w:rsid w:val="00853F0A"/>
    <w:rsid w:val="0085516F"/>
    <w:rsid w:val="0085561E"/>
    <w:rsid w:val="00856897"/>
    <w:rsid w:val="00856E9A"/>
    <w:rsid w:val="0086075D"/>
    <w:rsid w:val="00862502"/>
    <w:rsid w:val="00862BA7"/>
    <w:rsid w:val="00863808"/>
    <w:rsid w:val="00863AB6"/>
    <w:rsid w:val="00863E31"/>
    <w:rsid w:val="008645D5"/>
    <w:rsid w:val="00865954"/>
    <w:rsid w:val="00865ADB"/>
    <w:rsid w:val="008660D4"/>
    <w:rsid w:val="00867D9D"/>
    <w:rsid w:val="0087039F"/>
    <w:rsid w:val="008706C6"/>
    <w:rsid w:val="00870853"/>
    <w:rsid w:val="0087098E"/>
    <w:rsid w:val="00870A4D"/>
    <w:rsid w:val="0087153E"/>
    <w:rsid w:val="0087178E"/>
    <w:rsid w:val="00871FA9"/>
    <w:rsid w:val="008728E9"/>
    <w:rsid w:val="00872E39"/>
    <w:rsid w:val="00872F42"/>
    <w:rsid w:val="00873002"/>
    <w:rsid w:val="00873583"/>
    <w:rsid w:val="00873663"/>
    <w:rsid w:val="0087467F"/>
    <w:rsid w:val="00875416"/>
    <w:rsid w:val="008755DC"/>
    <w:rsid w:val="0087646E"/>
    <w:rsid w:val="00877145"/>
    <w:rsid w:val="00877713"/>
    <w:rsid w:val="00881B21"/>
    <w:rsid w:val="00882874"/>
    <w:rsid w:val="008831BC"/>
    <w:rsid w:val="00883787"/>
    <w:rsid w:val="00883D7E"/>
    <w:rsid w:val="00884139"/>
    <w:rsid w:val="00886CD2"/>
    <w:rsid w:val="00886E60"/>
    <w:rsid w:val="00890CFB"/>
    <w:rsid w:val="00891B09"/>
    <w:rsid w:val="00892A36"/>
    <w:rsid w:val="00893239"/>
    <w:rsid w:val="00893CCC"/>
    <w:rsid w:val="00893D0F"/>
    <w:rsid w:val="008943DC"/>
    <w:rsid w:val="00894489"/>
    <w:rsid w:val="00894CD7"/>
    <w:rsid w:val="00894EE6"/>
    <w:rsid w:val="008953B6"/>
    <w:rsid w:val="008963A5"/>
    <w:rsid w:val="008976B0"/>
    <w:rsid w:val="008A1B0E"/>
    <w:rsid w:val="008A3363"/>
    <w:rsid w:val="008A3371"/>
    <w:rsid w:val="008A3C3E"/>
    <w:rsid w:val="008A6A1E"/>
    <w:rsid w:val="008A79DE"/>
    <w:rsid w:val="008B1011"/>
    <w:rsid w:val="008B1757"/>
    <w:rsid w:val="008B20C3"/>
    <w:rsid w:val="008B2888"/>
    <w:rsid w:val="008B4307"/>
    <w:rsid w:val="008B5AF5"/>
    <w:rsid w:val="008B67DE"/>
    <w:rsid w:val="008B778A"/>
    <w:rsid w:val="008B7D7E"/>
    <w:rsid w:val="008C00D9"/>
    <w:rsid w:val="008C05C7"/>
    <w:rsid w:val="008C16C6"/>
    <w:rsid w:val="008C1F59"/>
    <w:rsid w:val="008C3A6D"/>
    <w:rsid w:val="008C3C53"/>
    <w:rsid w:val="008C4757"/>
    <w:rsid w:val="008C7ECB"/>
    <w:rsid w:val="008D0889"/>
    <w:rsid w:val="008D0C5E"/>
    <w:rsid w:val="008D1B95"/>
    <w:rsid w:val="008D3598"/>
    <w:rsid w:val="008D4755"/>
    <w:rsid w:val="008D4C3D"/>
    <w:rsid w:val="008D584D"/>
    <w:rsid w:val="008D599A"/>
    <w:rsid w:val="008D5A44"/>
    <w:rsid w:val="008D6088"/>
    <w:rsid w:val="008E00C9"/>
    <w:rsid w:val="008E0AE0"/>
    <w:rsid w:val="008E0D3C"/>
    <w:rsid w:val="008E18D1"/>
    <w:rsid w:val="008E1B9E"/>
    <w:rsid w:val="008E2041"/>
    <w:rsid w:val="008E28A0"/>
    <w:rsid w:val="008E300E"/>
    <w:rsid w:val="008E34F9"/>
    <w:rsid w:val="008E55AB"/>
    <w:rsid w:val="008E705D"/>
    <w:rsid w:val="008E7CB1"/>
    <w:rsid w:val="008F120A"/>
    <w:rsid w:val="008F1B52"/>
    <w:rsid w:val="008F1FD4"/>
    <w:rsid w:val="008F27E0"/>
    <w:rsid w:val="008F315B"/>
    <w:rsid w:val="008F48EB"/>
    <w:rsid w:val="008F4F0B"/>
    <w:rsid w:val="008F733D"/>
    <w:rsid w:val="008F767A"/>
    <w:rsid w:val="008F7E0F"/>
    <w:rsid w:val="00904090"/>
    <w:rsid w:val="009046C4"/>
    <w:rsid w:val="00904B1E"/>
    <w:rsid w:val="00905245"/>
    <w:rsid w:val="009062A5"/>
    <w:rsid w:val="00906EB0"/>
    <w:rsid w:val="00911272"/>
    <w:rsid w:val="00913042"/>
    <w:rsid w:val="009135D6"/>
    <w:rsid w:val="00914C77"/>
    <w:rsid w:val="00914F01"/>
    <w:rsid w:val="009154CA"/>
    <w:rsid w:val="009155C4"/>
    <w:rsid w:val="0091609E"/>
    <w:rsid w:val="00921AA4"/>
    <w:rsid w:val="00921E2C"/>
    <w:rsid w:val="00922CC0"/>
    <w:rsid w:val="0092369B"/>
    <w:rsid w:val="00923A01"/>
    <w:rsid w:val="00923C58"/>
    <w:rsid w:val="00925983"/>
    <w:rsid w:val="00926107"/>
    <w:rsid w:val="00926EEB"/>
    <w:rsid w:val="00932BAA"/>
    <w:rsid w:val="00934E33"/>
    <w:rsid w:val="00936283"/>
    <w:rsid w:val="00937603"/>
    <w:rsid w:val="0093787B"/>
    <w:rsid w:val="00940981"/>
    <w:rsid w:val="00941B49"/>
    <w:rsid w:val="0094231D"/>
    <w:rsid w:val="0094335F"/>
    <w:rsid w:val="00944E27"/>
    <w:rsid w:val="0094519F"/>
    <w:rsid w:val="0094716A"/>
    <w:rsid w:val="009506BF"/>
    <w:rsid w:val="009510A2"/>
    <w:rsid w:val="00952825"/>
    <w:rsid w:val="00953257"/>
    <w:rsid w:val="00953859"/>
    <w:rsid w:val="0096017D"/>
    <w:rsid w:val="00962004"/>
    <w:rsid w:val="00962CB9"/>
    <w:rsid w:val="009633AE"/>
    <w:rsid w:val="00964312"/>
    <w:rsid w:val="009644ED"/>
    <w:rsid w:val="00964D87"/>
    <w:rsid w:val="00965B8A"/>
    <w:rsid w:val="009714DF"/>
    <w:rsid w:val="009717AC"/>
    <w:rsid w:val="00972682"/>
    <w:rsid w:val="00974AA4"/>
    <w:rsid w:val="00975046"/>
    <w:rsid w:val="009760E5"/>
    <w:rsid w:val="009777D0"/>
    <w:rsid w:val="009802EC"/>
    <w:rsid w:val="00980F7A"/>
    <w:rsid w:val="009831B2"/>
    <w:rsid w:val="009835E2"/>
    <w:rsid w:val="00983E57"/>
    <w:rsid w:val="0098675D"/>
    <w:rsid w:val="00991B15"/>
    <w:rsid w:val="00995158"/>
    <w:rsid w:val="00996B1A"/>
    <w:rsid w:val="00996C7C"/>
    <w:rsid w:val="009A0C39"/>
    <w:rsid w:val="009A1418"/>
    <w:rsid w:val="009A1D46"/>
    <w:rsid w:val="009A4229"/>
    <w:rsid w:val="009A469F"/>
    <w:rsid w:val="009A73F2"/>
    <w:rsid w:val="009A7F10"/>
    <w:rsid w:val="009B2631"/>
    <w:rsid w:val="009B2B87"/>
    <w:rsid w:val="009B31DA"/>
    <w:rsid w:val="009B3E26"/>
    <w:rsid w:val="009B68E8"/>
    <w:rsid w:val="009B7C48"/>
    <w:rsid w:val="009C1392"/>
    <w:rsid w:val="009C19EA"/>
    <w:rsid w:val="009C1FBE"/>
    <w:rsid w:val="009C36B6"/>
    <w:rsid w:val="009C5DD9"/>
    <w:rsid w:val="009C6CEA"/>
    <w:rsid w:val="009C73C2"/>
    <w:rsid w:val="009C7B85"/>
    <w:rsid w:val="009D20B2"/>
    <w:rsid w:val="009D2297"/>
    <w:rsid w:val="009D4006"/>
    <w:rsid w:val="009D4AD3"/>
    <w:rsid w:val="009D4B7A"/>
    <w:rsid w:val="009D5B91"/>
    <w:rsid w:val="009D73B1"/>
    <w:rsid w:val="009D792E"/>
    <w:rsid w:val="009E0DFE"/>
    <w:rsid w:val="009E24C6"/>
    <w:rsid w:val="009E2AE0"/>
    <w:rsid w:val="009E33C4"/>
    <w:rsid w:val="009E38A0"/>
    <w:rsid w:val="009E39FA"/>
    <w:rsid w:val="009E4C07"/>
    <w:rsid w:val="009E54D8"/>
    <w:rsid w:val="009E5768"/>
    <w:rsid w:val="009E62CE"/>
    <w:rsid w:val="009E651D"/>
    <w:rsid w:val="009E73F6"/>
    <w:rsid w:val="009E7C51"/>
    <w:rsid w:val="009F09E1"/>
    <w:rsid w:val="009F4F72"/>
    <w:rsid w:val="009F722F"/>
    <w:rsid w:val="00A0037D"/>
    <w:rsid w:val="00A003D4"/>
    <w:rsid w:val="00A01184"/>
    <w:rsid w:val="00A01420"/>
    <w:rsid w:val="00A0352A"/>
    <w:rsid w:val="00A03D43"/>
    <w:rsid w:val="00A04380"/>
    <w:rsid w:val="00A05526"/>
    <w:rsid w:val="00A05F06"/>
    <w:rsid w:val="00A06851"/>
    <w:rsid w:val="00A06897"/>
    <w:rsid w:val="00A07687"/>
    <w:rsid w:val="00A102C7"/>
    <w:rsid w:val="00A105E4"/>
    <w:rsid w:val="00A1168D"/>
    <w:rsid w:val="00A11CD0"/>
    <w:rsid w:val="00A13600"/>
    <w:rsid w:val="00A13948"/>
    <w:rsid w:val="00A13BF4"/>
    <w:rsid w:val="00A1555B"/>
    <w:rsid w:val="00A155C5"/>
    <w:rsid w:val="00A15775"/>
    <w:rsid w:val="00A16AD8"/>
    <w:rsid w:val="00A2050A"/>
    <w:rsid w:val="00A208AE"/>
    <w:rsid w:val="00A21CF3"/>
    <w:rsid w:val="00A239C3"/>
    <w:rsid w:val="00A23B0B"/>
    <w:rsid w:val="00A23C52"/>
    <w:rsid w:val="00A25A0A"/>
    <w:rsid w:val="00A25CDE"/>
    <w:rsid w:val="00A26D26"/>
    <w:rsid w:val="00A27AEC"/>
    <w:rsid w:val="00A320DB"/>
    <w:rsid w:val="00A33BC6"/>
    <w:rsid w:val="00A35D16"/>
    <w:rsid w:val="00A36E10"/>
    <w:rsid w:val="00A37020"/>
    <w:rsid w:val="00A37227"/>
    <w:rsid w:val="00A37BCD"/>
    <w:rsid w:val="00A41811"/>
    <w:rsid w:val="00A43C59"/>
    <w:rsid w:val="00A45353"/>
    <w:rsid w:val="00A45B4B"/>
    <w:rsid w:val="00A45E9B"/>
    <w:rsid w:val="00A46FAC"/>
    <w:rsid w:val="00A4787E"/>
    <w:rsid w:val="00A50ECD"/>
    <w:rsid w:val="00A518F3"/>
    <w:rsid w:val="00A52729"/>
    <w:rsid w:val="00A53675"/>
    <w:rsid w:val="00A55576"/>
    <w:rsid w:val="00A564D7"/>
    <w:rsid w:val="00A569F3"/>
    <w:rsid w:val="00A56B6A"/>
    <w:rsid w:val="00A578DC"/>
    <w:rsid w:val="00A57BA9"/>
    <w:rsid w:val="00A608C6"/>
    <w:rsid w:val="00A64564"/>
    <w:rsid w:val="00A6693E"/>
    <w:rsid w:val="00A6725B"/>
    <w:rsid w:val="00A70605"/>
    <w:rsid w:val="00A708BB"/>
    <w:rsid w:val="00A72040"/>
    <w:rsid w:val="00A73134"/>
    <w:rsid w:val="00A7520F"/>
    <w:rsid w:val="00A752DB"/>
    <w:rsid w:val="00A75F8A"/>
    <w:rsid w:val="00A7633C"/>
    <w:rsid w:val="00A777B2"/>
    <w:rsid w:val="00A8045D"/>
    <w:rsid w:val="00A80F9F"/>
    <w:rsid w:val="00A824FA"/>
    <w:rsid w:val="00A8371D"/>
    <w:rsid w:val="00A8414F"/>
    <w:rsid w:val="00A86C59"/>
    <w:rsid w:val="00A86E8B"/>
    <w:rsid w:val="00A87164"/>
    <w:rsid w:val="00A904D1"/>
    <w:rsid w:val="00A91345"/>
    <w:rsid w:val="00A91989"/>
    <w:rsid w:val="00A9228F"/>
    <w:rsid w:val="00A93072"/>
    <w:rsid w:val="00A93953"/>
    <w:rsid w:val="00A944F4"/>
    <w:rsid w:val="00A94DE8"/>
    <w:rsid w:val="00A95775"/>
    <w:rsid w:val="00A959D8"/>
    <w:rsid w:val="00A973F4"/>
    <w:rsid w:val="00AA113D"/>
    <w:rsid w:val="00AA2795"/>
    <w:rsid w:val="00AA2BB9"/>
    <w:rsid w:val="00AA57F5"/>
    <w:rsid w:val="00AA5F70"/>
    <w:rsid w:val="00AA6C7D"/>
    <w:rsid w:val="00AA6CEF"/>
    <w:rsid w:val="00AA7FD6"/>
    <w:rsid w:val="00AB042A"/>
    <w:rsid w:val="00AB1973"/>
    <w:rsid w:val="00AB1BFB"/>
    <w:rsid w:val="00AB2306"/>
    <w:rsid w:val="00AB29FB"/>
    <w:rsid w:val="00AB2D34"/>
    <w:rsid w:val="00AB308E"/>
    <w:rsid w:val="00AB3430"/>
    <w:rsid w:val="00AB3E93"/>
    <w:rsid w:val="00AB4AD1"/>
    <w:rsid w:val="00AB5D22"/>
    <w:rsid w:val="00AB7CFA"/>
    <w:rsid w:val="00AC0495"/>
    <w:rsid w:val="00AC1795"/>
    <w:rsid w:val="00AC261A"/>
    <w:rsid w:val="00AC5500"/>
    <w:rsid w:val="00AC5B48"/>
    <w:rsid w:val="00AC75D9"/>
    <w:rsid w:val="00AD0B5E"/>
    <w:rsid w:val="00AD198A"/>
    <w:rsid w:val="00AD1EF5"/>
    <w:rsid w:val="00AD4BF1"/>
    <w:rsid w:val="00AD549E"/>
    <w:rsid w:val="00AD5537"/>
    <w:rsid w:val="00AD58AE"/>
    <w:rsid w:val="00AD6502"/>
    <w:rsid w:val="00AD6A61"/>
    <w:rsid w:val="00AD7103"/>
    <w:rsid w:val="00AE0989"/>
    <w:rsid w:val="00AE268A"/>
    <w:rsid w:val="00AE6E88"/>
    <w:rsid w:val="00AE711C"/>
    <w:rsid w:val="00AF1315"/>
    <w:rsid w:val="00AF197E"/>
    <w:rsid w:val="00AF19BF"/>
    <w:rsid w:val="00AF1B3B"/>
    <w:rsid w:val="00AF209B"/>
    <w:rsid w:val="00AF2DC3"/>
    <w:rsid w:val="00AF6873"/>
    <w:rsid w:val="00AF7412"/>
    <w:rsid w:val="00AF79D5"/>
    <w:rsid w:val="00B002A7"/>
    <w:rsid w:val="00B01585"/>
    <w:rsid w:val="00B033E5"/>
    <w:rsid w:val="00B03993"/>
    <w:rsid w:val="00B03A29"/>
    <w:rsid w:val="00B03A63"/>
    <w:rsid w:val="00B03E68"/>
    <w:rsid w:val="00B0555B"/>
    <w:rsid w:val="00B07618"/>
    <w:rsid w:val="00B07691"/>
    <w:rsid w:val="00B117EB"/>
    <w:rsid w:val="00B12BCA"/>
    <w:rsid w:val="00B12D2E"/>
    <w:rsid w:val="00B13858"/>
    <w:rsid w:val="00B201A4"/>
    <w:rsid w:val="00B213A6"/>
    <w:rsid w:val="00B2357C"/>
    <w:rsid w:val="00B24020"/>
    <w:rsid w:val="00B24D31"/>
    <w:rsid w:val="00B24DF6"/>
    <w:rsid w:val="00B25A54"/>
    <w:rsid w:val="00B260F0"/>
    <w:rsid w:val="00B27B42"/>
    <w:rsid w:val="00B32376"/>
    <w:rsid w:val="00B33100"/>
    <w:rsid w:val="00B33528"/>
    <w:rsid w:val="00B34FE2"/>
    <w:rsid w:val="00B357D8"/>
    <w:rsid w:val="00B37BFC"/>
    <w:rsid w:val="00B40358"/>
    <w:rsid w:val="00B41614"/>
    <w:rsid w:val="00B41C57"/>
    <w:rsid w:val="00B41C71"/>
    <w:rsid w:val="00B42851"/>
    <w:rsid w:val="00B42F80"/>
    <w:rsid w:val="00B435CB"/>
    <w:rsid w:val="00B463D5"/>
    <w:rsid w:val="00B47871"/>
    <w:rsid w:val="00B47B37"/>
    <w:rsid w:val="00B47D67"/>
    <w:rsid w:val="00B50DB8"/>
    <w:rsid w:val="00B53654"/>
    <w:rsid w:val="00B53905"/>
    <w:rsid w:val="00B54898"/>
    <w:rsid w:val="00B54B5B"/>
    <w:rsid w:val="00B54E38"/>
    <w:rsid w:val="00B5562E"/>
    <w:rsid w:val="00B57000"/>
    <w:rsid w:val="00B57094"/>
    <w:rsid w:val="00B57717"/>
    <w:rsid w:val="00B57F74"/>
    <w:rsid w:val="00B6038F"/>
    <w:rsid w:val="00B60939"/>
    <w:rsid w:val="00B60AFD"/>
    <w:rsid w:val="00B60DB2"/>
    <w:rsid w:val="00B62715"/>
    <w:rsid w:val="00B652FE"/>
    <w:rsid w:val="00B65DD2"/>
    <w:rsid w:val="00B66DEA"/>
    <w:rsid w:val="00B741F6"/>
    <w:rsid w:val="00B76511"/>
    <w:rsid w:val="00B765EC"/>
    <w:rsid w:val="00B77455"/>
    <w:rsid w:val="00B80220"/>
    <w:rsid w:val="00B81011"/>
    <w:rsid w:val="00B818A4"/>
    <w:rsid w:val="00B81BC7"/>
    <w:rsid w:val="00B84117"/>
    <w:rsid w:val="00B84E9B"/>
    <w:rsid w:val="00B8536E"/>
    <w:rsid w:val="00B85AA2"/>
    <w:rsid w:val="00B8649C"/>
    <w:rsid w:val="00B86ECA"/>
    <w:rsid w:val="00B87732"/>
    <w:rsid w:val="00B87F0A"/>
    <w:rsid w:val="00B91089"/>
    <w:rsid w:val="00B918E4"/>
    <w:rsid w:val="00B92D0B"/>
    <w:rsid w:val="00B94897"/>
    <w:rsid w:val="00B94945"/>
    <w:rsid w:val="00B94CA0"/>
    <w:rsid w:val="00B95AC9"/>
    <w:rsid w:val="00B95D3C"/>
    <w:rsid w:val="00B96190"/>
    <w:rsid w:val="00B9709F"/>
    <w:rsid w:val="00B9795F"/>
    <w:rsid w:val="00B97D94"/>
    <w:rsid w:val="00BA1848"/>
    <w:rsid w:val="00BA322D"/>
    <w:rsid w:val="00BA5028"/>
    <w:rsid w:val="00BA56CC"/>
    <w:rsid w:val="00BB002C"/>
    <w:rsid w:val="00BB0BDD"/>
    <w:rsid w:val="00BB2A73"/>
    <w:rsid w:val="00BB436A"/>
    <w:rsid w:val="00BB4ACC"/>
    <w:rsid w:val="00BB6A2E"/>
    <w:rsid w:val="00BB703E"/>
    <w:rsid w:val="00BB7405"/>
    <w:rsid w:val="00BC10C6"/>
    <w:rsid w:val="00BC3631"/>
    <w:rsid w:val="00BC467B"/>
    <w:rsid w:val="00BC700E"/>
    <w:rsid w:val="00BC7553"/>
    <w:rsid w:val="00BC7DBA"/>
    <w:rsid w:val="00BD0F90"/>
    <w:rsid w:val="00BD1A51"/>
    <w:rsid w:val="00BD3124"/>
    <w:rsid w:val="00BD3799"/>
    <w:rsid w:val="00BD3AA3"/>
    <w:rsid w:val="00BD68A3"/>
    <w:rsid w:val="00BD6938"/>
    <w:rsid w:val="00BD6CF3"/>
    <w:rsid w:val="00BD7058"/>
    <w:rsid w:val="00BD7864"/>
    <w:rsid w:val="00BD7E30"/>
    <w:rsid w:val="00BE2180"/>
    <w:rsid w:val="00BE21F2"/>
    <w:rsid w:val="00BE3ED5"/>
    <w:rsid w:val="00BE4275"/>
    <w:rsid w:val="00BE4468"/>
    <w:rsid w:val="00BE5DE1"/>
    <w:rsid w:val="00BF0F95"/>
    <w:rsid w:val="00BF2433"/>
    <w:rsid w:val="00BF34AD"/>
    <w:rsid w:val="00BF3771"/>
    <w:rsid w:val="00BF579A"/>
    <w:rsid w:val="00BF61C9"/>
    <w:rsid w:val="00BF6B41"/>
    <w:rsid w:val="00BF6C94"/>
    <w:rsid w:val="00C00424"/>
    <w:rsid w:val="00C006F6"/>
    <w:rsid w:val="00C034C7"/>
    <w:rsid w:val="00C03C5E"/>
    <w:rsid w:val="00C05FB4"/>
    <w:rsid w:val="00C06A24"/>
    <w:rsid w:val="00C10E84"/>
    <w:rsid w:val="00C113BE"/>
    <w:rsid w:val="00C12C14"/>
    <w:rsid w:val="00C13CD2"/>
    <w:rsid w:val="00C169B8"/>
    <w:rsid w:val="00C17624"/>
    <w:rsid w:val="00C17907"/>
    <w:rsid w:val="00C17D6E"/>
    <w:rsid w:val="00C200AA"/>
    <w:rsid w:val="00C2045C"/>
    <w:rsid w:val="00C20497"/>
    <w:rsid w:val="00C21625"/>
    <w:rsid w:val="00C237ED"/>
    <w:rsid w:val="00C2389F"/>
    <w:rsid w:val="00C24611"/>
    <w:rsid w:val="00C24632"/>
    <w:rsid w:val="00C25418"/>
    <w:rsid w:val="00C25D9C"/>
    <w:rsid w:val="00C2778B"/>
    <w:rsid w:val="00C31140"/>
    <w:rsid w:val="00C31649"/>
    <w:rsid w:val="00C32298"/>
    <w:rsid w:val="00C32B38"/>
    <w:rsid w:val="00C34DA1"/>
    <w:rsid w:val="00C36F98"/>
    <w:rsid w:val="00C37152"/>
    <w:rsid w:val="00C40385"/>
    <w:rsid w:val="00C4089B"/>
    <w:rsid w:val="00C42926"/>
    <w:rsid w:val="00C42A4C"/>
    <w:rsid w:val="00C42C28"/>
    <w:rsid w:val="00C42D7F"/>
    <w:rsid w:val="00C42F8A"/>
    <w:rsid w:val="00C431CD"/>
    <w:rsid w:val="00C4560B"/>
    <w:rsid w:val="00C45611"/>
    <w:rsid w:val="00C45A7D"/>
    <w:rsid w:val="00C475AA"/>
    <w:rsid w:val="00C47DA5"/>
    <w:rsid w:val="00C5181D"/>
    <w:rsid w:val="00C51A5D"/>
    <w:rsid w:val="00C52027"/>
    <w:rsid w:val="00C52207"/>
    <w:rsid w:val="00C53AF9"/>
    <w:rsid w:val="00C54406"/>
    <w:rsid w:val="00C57824"/>
    <w:rsid w:val="00C57C24"/>
    <w:rsid w:val="00C60FB6"/>
    <w:rsid w:val="00C6325C"/>
    <w:rsid w:val="00C65576"/>
    <w:rsid w:val="00C66165"/>
    <w:rsid w:val="00C663E1"/>
    <w:rsid w:val="00C67728"/>
    <w:rsid w:val="00C677AE"/>
    <w:rsid w:val="00C700E1"/>
    <w:rsid w:val="00C70E06"/>
    <w:rsid w:val="00C7151A"/>
    <w:rsid w:val="00C71F60"/>
    <w:rsid w:val="00C72241"/>
    <w:rsid w:val="00C7282A"/>
    <w:rsid w:val="00C72868"/>
    <w:rsid w:val="00C750C8"/>
    <w:rsid w:val="00C7553E"/>
    <w:rsid w:val="00C7560F"/>
    <w:rsid w:val="00C76B56"/>
    <w:rsid w:val="00C76E02"/>
    <w:rsid w:val="00C779C4"/>
    <w:rsid w:val="00C804A4"/>
    <w:rsid w:val="00C80A0E"/>
    <w:rsid w:val="00C81252"/>
    <w:rsid w:val="00C8213F"/>
    <w:rsid w:val="00C83347"/>
    <w:rsid w:val="00C8416E"/>
    <w:rsid w:val="00C849CA"/>
    <w:rsid w:val="00C85390"/>
    <w:rsid w:val="00C866C3"/>
    <w:rsid w:val="00C8797A"/>
    <w:rsid w:val="00C900B8"/>
    <w:rsid w:val="00C90BB0"/>
    <w:rsid w:val="00C90C71"/>
    <w:rsid w:val="00C93119"/>
    <w:rsid w:val="00C931CF"/>
    <w:rsid w:val="00C938CF"/>
    <w:rsid w:val="00C93EA8"/>
    <w:rsid w:val="00C9624D"/>
    <w:rsid w:val="00C969DA"/>
    <w:rsid w:val="00CA0D20"/>
    <w:rsid w:val="00CA0D51"/>
    <w:rsid w:val="00CA2C77"/>
    <w:rsid w:val="00CA444F"/>
    <w:rsid w:val="00CA46D1"/>
    <w:rsid w:val="00CA519A"/>
    <w:rsid w:val="00CA5245"/>
    <w:rsid w:val="00CA60BB"/>
    <w:rsid w:val="00CA60C8"/>
    <w:rsid w:val="00CA6F20"/>
    <w:rsid w:val="00CA71F4"/>
    <w:rsid w:val="00CA7B09"/>
    <w:rsid w:val="00CB205D"/>
    <w:rsid w:val="00CB20C5"/>
    <w:rsid w:val="00CB2F2A"/>
    <w:rsid w:val="00CB372F"/>
    <w:rsid w:val="00CB3B75"/>
    <w:rsid w:val="00CB4182"/>
    <w:rsid w:val="00CB4360"/>
    <w:rsid w:val="00CB52F2"/>
    <w:rsid w:val="00CB5B1A"/>
    <w:rsid w:val="00CB6B22"/>
    <w:rsid w:val="00CB7519"/>
    <w:rsid w:val="00CB77C9"/>
    <w:rsid w:val="00CB7F5F"/>
    <w:rsid w:val="00CC0E8E"/>
    <w:rsid w:val="00CC124A"/>
    <w:rsid w:val="00CC1A38"/>
    <w:rsid w:val="00CC1B39"/>
    <w:rsid w:val="00CC25A0"/>
    <w:rsid w:val="00CC7913"/>
    <w:rsid w:val="00CD22BB"/>
    <w:rsid w:val="00CD4736"/>
    <w:rsid w:val="00CD6ADC"/>
    <w:rsid w:val="00CD7760"/>
    <w:rsid w:val="00CE0AEC"/>
    <w:rsid w:val="00CE42D9"/>
    <w:rsid w:val="00CE42F3"/>
    <w:rsid w:val="00CE4495"/>
    <w:rsid w:val="00CE566F"/>
    <w:rsid w:val="00CE6274"/>
    <w:rsid w:val="00CE6C91"/>
    <w:rsid w:val="00CE74C7"/>
    <w:rsid w:val="00CF1301"/>
    <w:rsid w:val="00CF2B8D"/>
    <w:rsid w:val="00CF2D57"/>
    <w:rsid w:val="00CF37AE"/>
    <w:rsid w:val="00CF391C"/>
    <w:rsid w:val="00CF3F05"/>
    <w:rsid w:val="00CF4356"/>
    <w:rsid w:val="00CF456B"/>
    <w:rsid w:val="00CF4E67"/>
    <w:rsid w:val="00CF5A22"/>
    <w:rsid w:val="00CF5E43"/>
    <w:rsid w:val="00CF6DA6"/>
    <w:rsid w:val="00CF6DF5"/>
    <w:rsid w:val="00CF7D01"/>
    <w:rsid w:val="00D01775"/>
    <w:rsid w:val="00D0262E"/>
    <w:rsid w:val="00D02A61"/>
    <w:rsid w:val="00D032F8"/>
    <w:rsid w:val="00D03890"/>
    <w:rsid w:val="00D05871"/>
    <w:rsid w:val="00D05B0E"/>
    <w:rsid w:val="00D06181"/>
    <w:rsid w:val="00D10141"/>
    <w:rsid w:val="00D10488"/>
    <w:rsid w:val="00D109BC"/>
    <w:rsid w:val="00D110BD"/>
    <w:rsid w:val="00D11D15"/>
    <w:rsid w:val="00D121C4"/>
    <w:rsid w:val="00D12ECA"/>
    <w:rsid w:val="00D13435"/>
    <w:rsid w:val="00D13675"/>
    <w:rsid w:val="00D141E1"/>
    <w:rsid w:val="00D15768"/>
    <w:rsid w:val="00D17D6C"/>
    <w:rsid w:val="00D17DB7"/>
    <w:rsid w:val="00D207AD"/>
    <w:rsid w:val="00D21260"/>
    <w:rsid w:val="00D212B4"/>
    <w:rsid w:val="00D21784"/>
    <w:rsid w:val="00D22074"/>
    <w:rsid w:val="00D22778"/>
    <w:rsid w:val="00D23278"/>
    <w:rsid w:val="00D232B6"/>
    <w:rsid w:val="00D24FB1"/>
    <w:rsid w:val="00D25A30"/>
    <w:rsid w:val="00D25D65"/>
    <w:rsid w:val="00D26FDF"/>
    <w:rsid w:val="00D2754D"/>
    <w:rsid w:val="00D276EC"/>
    <w:rsid w:val="00D27AE8"/>
    <w:rsid w:val="00D27B27"/>
    <w:rsid w:val="00D3110E"/>
    <w:rsid w:val="00D315E9"/>
    <w:rsid w:val="00D31E44"/>
    <w:rsid w:val="00D33BE9"/>
    <w:rsid w:val="00D343A1"/>
    <w:rsid w:val="00D357FF"/>
    <w:rsid w:val="00D36500"/>
    <w:rsid w:val="00D40C7D"/>
    <w:rsid w:val="00D40DDA"/>
    <w:rsid w:val="00D41F39"/>
    <w:rsid w:val="00D424C7"/>
    <w:rsid w:val="00D43B2A"/>
    <w:rsid w:val="00D43B2B"/>
    <w:rsid w:val="00D453BA"/>
    <w:rsid w:val="00D45742"/>
    <w:rsid w:val="00D45F14"/>
    <w:rsid w:val="00D47575"/>
    <w:rsid w:val="00D50A03"/>
    <w:rsid w:val="00D518CA"/>
    <w:rsid w:val="00D521BF"/>
    <w:rsid w:val="00D525F5"/>
    <w:rsid w:val="00D525FD"/>
    <w:rsid w:val="00D53085"/>
    <w:rsid w:val="00D5388C"/>
    <w:rsid w:val="00D5438B"/>
    <w:rsid w:val="00D54604"/>
    <w:rsid w:val="00D56205"/>
    <w:rsid w:val="00D57288"/>
    <w:rsid w:val="00D601E7"/>
    <w:rsid w:val="00D62148"/>
    <w:rsid w:val="00D637C5"/>
    <w:rsid w:val="00D70F16"/>
    <w:rsid w:val="00D719D8"/>
    <w:rsid w:val="00D7280E"/>
    <w:rsid w:val="00D750F8"/>
    <w:rsid w:val="00D756E4"/>
    <w:rsid w:val="00D76153"/>
    <w:rsid w:val="00D761FF"/>
    <w:rsid w:val="00D76A44"/>
    <w:rsid w:val="00D77E7A"/>
    <w:rsid w:val="00D80022"/>
    <w:rsid w:val="00D805EC"/>
    <w:rsid w:val="00D815EF"/>
    <w:rsid w:val="00D81A74"/>
    <w:rsid w:val="00D81B5B"/>
    <w:rsid w:val="00D833D7"/>
    <w:rsid w:val="00D84FCD"/>
    <w:rsid w:val="00D8537C"/>
    <w:rsid w:val="00D86642"/>
    <w:rsid w:val="00D86C36"/>
    <w:rsid w:val="00D87D8E"/>
    <w:rsid w:val="00D9129C"/>
    <w:rsid w:val="00D91923"/>
    <w:rsid w:val="00D9207C"/>
    <w:rsid w:val="00D93753"/>
    <w:rsid w:val="00D939AA"/>
    <w:rsid w:val="00D94A5C"/>
    <w:rsid w:val="00D9567C"/>
    <w:rsid w:val="00D95C3F"/>
    <w:rsid w:val="00D96287"/>
    <w:rsid w:val="00D96CEA"/>
    <w:rsid w:val="00D9751C"/>
    <w:rsid w:val="00DA0132"/>
    <w:rsid w:val="00DA0559"/>
    <w:rsid w:val="00DA3167"/>
    <w:rsid w:val="00DA321B"/>
    <w:rsid w:val="00DA3978"/>
    <w:rsid w:val="00DA4DC3"/>
    <w:rsid w:val="00DA51D7"/>
    <w:rsid w:val="00DA5B38"/>
    <w:rsid w:val="00DA6179"/>
    <w:rsid w:val="00DA7241"/>
    <w:rsid w:val="00DA77A5"/>
    <w:rsid w:val="00DB12C6"/>
    <w:rsid w:val="00DB16AC"/>
    <w:rsid w:val="00DB2119"/>
    <w:rsid w:val="00DB24A0"/>
    <w:rsid w:val="00DB416F"/>
    <w:rsid w:val="00DB484F"/>
    <w:rsid w:val="00DB5621"/>
    <w:rsid w:val="00DB5C2C"/>
    <w:rsid w:val="00DB6301"/>
    <w:rsid w:val="00DC04F6"/>
    <w:rsid w:val="00DC0AE3"/>
    <w:rsid w:val="00DC13B0"/>
    <w:rsid w:val="00DC16CF"/>
    <w:rsid w:val="00DC1A19"/>
    <w:rsid w:val="00DC2132"/>
    <w:rsid w:val="00DC22BB"/>
    <w:rsid w:val="00DC3504"/>
    <w:rsid w:val="00DC3C57"/>
    <w:rsid w:val="00DC5501"/>
    <w:rsid w:val="00DC6263"/>
    <w:rsid w:val="00DD02B3"/>
    <w:rsid w:val="00DD1125"/>
    <w:rsid w:val="00DD146D"/>
    <w:rsid w:val="00DD273C"/>
    <w:rsid w:val="00DD3B14"/>
    <w:rsid w:val="00DD3F28"/>
    <w:rsid w:val="00DD4537"/>
    <w:rsid w:val="00DD4E15"/>
    <w:rsid w:val="00DD4E3D"/>
    <w:rsid w:val="00DD5D56"/>
    <w:rsid w:val="00DD7348"/>
    <w:rsid w:val="00DE065F"/>
    <w:rsid w:val="00DE088F"/>
    <w:rsid w:val="00DE0C66"/>
    <w:rsid w:val="00DE1899"/>
    <w:rsid w:val="00DE197F"/>
    <w:rsid w:val="00DE3138"/>
    <w:rsid w:val="00DE37F8"/>
    <w:rsid w:val="00DE4FCB"/>
    <w:rsid w:val="00DE7832"/>
    <w:rsid w:val="00DF18FC"/>
    <w:rsid w:val="00DF34ED"/>
    <w:rsid w:val="00DF5D2B"/>
    <w:rsid w:val="00DF710B"/>
    <w:rsid w:val="00DF7F58"/>
    <w:rsid w:val="00E00739"/>
    <w:rsid w:val="00E00E8E"/>
    <w:rsid w:val="00E0252D"/>
    <w:rsid w:val="00E041E3"/>
    <w:rsid w:val="00E048EA"/>
    <w:rsid w:val="00E05630"/>
    <w:rsid w:val="00E06DBB"/>
    <w:rsid w:val="00E10149"/>
    <w:rsid w:val="00E108DB"/>
    <w:rsid w:val="00E110D5"/>
    <w:rsid w:val="00E120F5"/>
    <w:rsid w:val="00E12165"/>
    <w:rsid w:val="00E12E45"/>
    <w:rsid w:val="00E13672"/>
    <w:rsid w:val="00E14414"/>
    <w:rsid w:val="00E16372"/>
    <w:rsid w:val="00E177C1"/>
    <w:rsid w:val="00E20A02"/>
    <w:rsid w:val="00E20E4D"/>
    <w:rsid w:val="00E20ED6"/>
    <w:rsid w:val="00E21358"/>
    <w:rsid w:val="00E21894"/>
    <w:rsid w:val="00E2249B"/>
    <w:rsid w:val="00E22616"/>
    <w:rsid w:val="00E22A0D"/>
    <w:rsid w:val="00E23148"/>
    <w:rsid w:val="00E23FA1"/>
    <w:rsid w:val="00E244A0"/>
    <w:rsid w:val="00E2771E"/>
    <w:rsid w:val="00E27AB1"/>
    <w:rsid w:val="00E27D47"/>
    <w:rsid w:val="00E342ED"/>
    <w:rsid w:val="00E34948"/>
    <w:rsid w:val="00E37569"/>
    <w:rsid w:val="00E41E30"/>
    <w:rsid w:val="00E42647"/>
    <w:rsid w:val="00E42727"/>
    <w:rsid w:val="00E43022"/>
    <w:rsid w:val="00E43D70"/>
    <w:rsid w:val="00E4530A"/>
    <w:rsid w:val="00E466F3"/>
    <w:rsid w:val="00E47B2C"/>
    <w:rsid w:val="00E50224"/>
    <w:rsid w:val="00E50C54"/>
    <w:rsid w:val="00E511A1"/>
    <w:rsid w:val="00E51560"/>
    <w:rsid w:val="00E53DA0"/>
    <w:rsid w:val="00E54347"/>
    <w:rsid w:val="00E54447"/>
    <w:rsid w:val="00E54EE2"/>
    <w:rsid w:val="00E54F7D"/>
    <w:rsid w:val="00E55424"/>
    <w:rsid w:val="00E55B5D"/>
    <w:rsid w:val="00E55BB5"/>
    <w:rsid w:val="00E56F2B"/>
    <w:rsid w:val="00E57EB4"/>
    <w:rsid w:val="00E60A13"/>
    <w:rsid w:val="00E63CC8"/>
    <w:rsid w:val="00E6454B"/>
    <w:rsid w:val="00E65A27"/>
    <w:rsid w:val="00E65E79"/>
    <w:rsid w:val="00E669EE"/>
    <w:rsid w:val="00E66BA2"/>
    <w:rsid w:val="00E67416"/>
    <w:rsid w:val="00E678A7"/>
    <w:rsid w:val="00E707F2"/>
    <w:rsid w:val="00E7128C"/>
    <w:rsid w:val="00E717AC"/>
    <w:rsid w:val="00E718B6"/>
    <w:rsid w:val="00E723BA"/>
    <w:rsid w:val="00E73581"/>
    <w:rsid w:val="00E7425D"/>
    <w:rsid w:val="00E80BB6"/>
    <w:rsid w:val="00E81EEC"/>
    <w:rsid w:val="00E8270F"/>
    <w:rsid w:val="00E833F7"/>
    <w:rsid w:val="00E83ABC"/>
    <w:rsid w:val="00E83BDF"/>
    <w:rsid w:val="00E85020"/>
    <w:rsid w:val="00E85781"/>
    <w:rsid w:val="00E859F2"/>
    <w:rsid w:val="00E86B2D"/>
    <w:rsid w:val="00E87618"/>
    <w:rsid w:val="00E87A1D"/>
    <w:rsid w:val="00E926A5"/>
    <w:rsid w:val="00E93A5F"/>
    <w:rsid w:val="00E948B0"/>
    <w:rsid w:val="00E9492B"/>
    <w:rsid w:val="00E94B5D"/>
    <w:rsid w:val="00E96578"/>
    <w:rsid w:val="00E96D72"/>
    <w:rsid w:val="00E97AC2"/>
    <w:rsid w:val="00EA0804"/>
    <w:rsid w:val="00EA138C"/>
    <w:rsid w:val="00EA17C3"/>
    <w:rsid w:val="00EA2CAA"/>
    <w:rsid w:val="00EA3864"/>
    <w:rsid w:val="00EA457B"/>
    <w:rsid w:val="00EA7516"/>
    <w:rsid w:val="00EA778D"/>
    <w:rsid w:val="00EA7926"/>
    <w:rsid w:val="00EB0770"/>
    <w:rsid w:val="00EB15B6"/>
    <w:rsid w:val="00EB230D"/>
    <w:rsid w:val="00EB3156"/>
    <w:rsid w:val="00EB3E33"/>
    <w:rsid w:val="00EB4916"/>
    <w:rsid w:val="00EB5D7D"/>
    <w:rsid w:val="00EC00C9"/>
    <w:rsid w:val="00EC11E9"/>
    <w:rsid w:val="00EC2649"/>
    <w:rsid w:val="00EC33EF"/>
    <w:rsid w:val="00EC3555"/>
    <w:rsid w:val="00EC3E14"/>
    <w:rsid w:val="00EC50C4"/>
    <w:rsid w:val="00EC618D"/>
    <w:rsid w:val="00EC725B"/>
    <w:rsid w:val="00EC72AB"/>
    <w:rsid w:val="00ED094A"/>
    <w:rsid w:val="00ED0CB3"/>
    <w:rsid w:val="00ED1D58"/>
    <w:rsid w:val="00ED57EA"/>
    <w:rsid w:val="00ED61FB"/>
    <w:rsid w:val="00ED6E75"/>
    <w:rsid w:val="00ED7267"/>
    <w:rsid w:val="00ED7E5E"/>
    <w:rsid w:val="00EE07D3"/>
    <w:rsid w:val="00EE22AF"/>
    <w:rsid w:val="00EE23A4"/>
    <w:rsid w:val="00EE3ECE"/>
    <w:rsid w:val="00EE4E60"/>
    <w:rsid w:val="00EE604E"/>
    <w:rsid w:val="00EF0171"/>
    <w:rsid w:val="00EF0CEB"/>
    <w:rsid w:val="00EF1B25"/>
    <w:rsid w:val="00EF2755"/>
    <w:rsid w:val="00EF30EF"/>
    <w:rsid w:val="00EF40A5"/>
    <w:rsid w:val="00EF4747"/>
    <w:rsid w:val="00EF4BF8"/>
    <w:rsid w:val="00EF5EFE"/>
    <w:rsid w:val="00F0068B"/>
    <w:rsid w:val="00F006A3"/>
    <w:rsid w:val="00F00BA9"/>
    <w:rsid w:val="00F00DB5"/>
    <w:rsid w:val="00F02253"/>
    <w:rsid w:val="00F03C2E"/>
    <w:rsid w:val="00F04A66"/>
    <w:rsid w:val="00F0516C"/>
    <w:rsid w:val="00F053D5"/>
    <w:rsid w:val="00F067A2"/>
    <w:rsid w:val="00F07361"/>
    <w:rsid w:val="00F07769"/>
    <w:rsid w:val="00F1263A"/>
    <w:rsid w:val="00F12A51"/>
    <w:rsid w:val="00F12D6C"/>
    <w:rsid w:val="00F13B28"/>
    <w:rsid w:val="00F13D1F"/>
    <w:rsid w:val="00F204E0"/>
    <w:rsid w:val="00F2255B"/>
    <w:rsid w:val="00F24837"/>
    <w:rsid w:val="00F24972"/>
    <w:rsid w:val="00F256A1"/>
    <w:rsid w:val="00F2575F"/>
    <w:rsid w:val="00F268FE"/>
    <w:rsid w:val="00F269CF"/>
    <w:rsid w:val="00F27565"/>
    <w:rsid w:val="00F27641"/>
    <w:rsid w:val="00F30088"/>
    <w:rsid w:val="00F310D4"/>
    <w:rsid w:val="00F31D5A"/>
    <w:rsid w:val="00F33DE9"/>
    <w:rsid w:val="00F3619A"/>
    <w:rsid w:val="00F40AAA"/>
    <w:rsid w:val="00F40BA7"/>
    <w:rsid w:val="00F419B5"/>
    <w:rsid w:val="00F4331C"/>
    <w:rsid w:val="00F43552"/>
    <w:rsid w:val="00F450EE"/>
    <w:rsid w:val="00F45732"/>
    <w:rsid w:val="00F45B75"/>
    <w:rsid w:val="00F462C6"/>
    <w:rsid w:val="00F46CB6"/>
    <w:rsid w:val="00F47B9F"/>
    <w:rsid w:val="00F47DE8"/>
    <w:rsid w:val="00F50506"/>
    <w:rsid w:val="00F51417"/>
    <w:rsid w:val="00F52917"/>
    <w:rsid w:val="00F542C1"/>
    <w:rsid w:val="00F54AF2"/>
    <w:rsid w:val="00F55255"/>
    <w:rsid w:val="00F55B40"/>
    <w:rsid w:val="00F55DB4"/>
    <w:rsid w:val="00F55E73"/>
    <w:rsid w:val="00F55EDA"/>
    <w:rsid w:val="00F56F8A"/>
    <w:rsid w:val="00F57679"/>
    <w:rsid w:val="00F60092"/>
    <w:rsid w:val="00F60A7B"/>
    <w:rsid w:val="00F63441"/>
    <w:rsid w:val="00F63B5D"/>
    <w:rsid w:val="00F64FCD"/>
    <w:rsid w:val="00F650C9"/>
    <w:rsid w:val="00F65F4B"/>
    <w:rsid w:val="00F70C9D"/>
    <w:rsid w:val="00F72A80"/>
    <w:rsid w:val="00F7323F"/>
    <w:rsid w:val="00F7375B"/>
    <w:rsid w:val="00F74CD9"/>
    <w:rsid w:val="00F75682"/>
    <w:rsid w:val="00F75F6A"/>
    <w:rsid w:val="00F76F02"/>
    <w:rsid w:val="00F77F8C"/>
    <w:rsid w:val="00F80046"/>
    <w:rsid w:val="00F80A7B"/>
    <w:rsid w:val="00F80C84"/>
    <w:rsid w:val="00F80E5D"/>
    <w:rsid w:val="00F82BDE"/>
    <w:rsid w:val="00F851CE"/>
    <w:rsid w:val="00F87330"/>
    <w:rsid w:val="00F87647"/>
    <w:rsid w:val="00F90C26"/>
    <w:rsid w:val="00F91219"/>
    <w:rsid w:val="00F9333B"/>
    <w:rsid w:val="00F94BE9"/>
    <w:rsid w:val="00F958F5"/>
    <w:rsid w:val="00F95B4E"/>
    <w:rsid w:val="00F96F7D"/>
    <w:rsid w:val="00F97836"/>
    <w:rsid w:val="00F97A78"/>
    <w:rsid w:val="00FA057C"/>
    <w:rsid w:val="00FA0B20"/>
    <w:rsid w:val="00FA0F48"/>
    <w:rsid w:val="00FA149B"/>
    <w:rsid w:val="00FA1550"/>
    <w:rsid w:val="00FA24E7"/>
    <w:rsid w:val="00FA4F1E"/>
    <w:rsid w:val="00FB2014"/>
    <w:rsid w:val="00FB2E7C"/>
    <w:rsid w:val="00FB2FCB"/>
    <w:rsid w:val="00FB5741"/>
    <w:rsid w:val="00FB7E8D"/>
    <w:rsid w:val="00FC1074"/>
    <w:rsid w:val="00FC1884"/>
    <w:rsid w:val="00FC3047"/>
    <w:rsid w:val="00FC3113"/>
    <w:rsid w:val="00FC371D"/>
    <w:rsid w:val="00FC3F8D"/>
    <w:rsid w:val="00FC4DDB"/>
    <w:rsid w:val="00FC5AFC"/>
    <w:rsid w:val="00FC5DFA"/>
    <w:rsid w:val="00FC5F0B"/>
    <w:rsid w:val="00FD069E"/>
    <w:rsid w:val="00FD2100"/>
    <w:rsid w:val="00FD313E"/>
    <w:rsid w:val="00FD436C"/>
    <w:rsid w:val="00FD446D"/>
    <w:rsid w:val="00FD561D"/>
    <w:rsid w:val="00FD5DB5"/>
    <w:rsid w:val="00FD6394"/>
    <w:rsid w:val="00FD78C3"/>
    <w:rsid w:val="00FE0E6C"/>
    <w:rsid w:val="00FE24D6"/>
    <w:rsid w:val="00FE2AE6"/>
    <w:rsid w:val="00FE491F"/>
    <w:rsid w:val="00FE4E65"/>
    <w:rsid w:val="00FE6DFC"/>
    <w:rsid w:val="00FE70C3"/>
    <w:rsid w:val="00FE77D4"/>
    <w:rsid w:val="00FE7A27"/>
    <w:rsid w:val="00FF3A5F"/>
    <w:rsid w:val="00FF3DCF"/>
    <w:rsid w:val="00FF3F83"/>
    <w:rsid w:val="00FF492C"/>
    <w:rsid w:val="00FF493E"/>
    <w:rsid w:val="00FF4A21"/>
    <w:rsid w:val="00FF5568"/>
    <w:rsid w:val="00FF5AA3"/>
    <w:rsid w:val="00FF5AD8"/>
    <w:rsid w:val="00FF5F31"/>
    <w:rsid w:val="00FF679C"/>
    <w:rsid w:val="00FF70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57"/>
    <w:pPr>
      <w:widowControl w:val="0"/>
      <w:jc w:val="both"/>
    </w:pPr>
    <w:rPr>
      <w:rFonts w:ascii="Calibri" w:hAnsi="Calibri" w:cs="Arial"/>
      <w:snapToGrid w:val="0"/>
      <w:sz w:val="24"/>
      <w:szCs w:val="22"/>
      <w:lang w:eastAsia="en-US"/>
    </w:rPr>
  </w:style>
  <w:style w:type="paragraph" w:styleId="Heading1">
    <w:name w:val="heading 1"/>
    <w:basedOn w:val="PBACHeading1"/>
    <w:next w:val="Normal"/>
    <w:uiPriority w:val="1"/>
    <w:qFormat/>
    <w:rsid w:val="00DD02B3"/>
    <w:pPr>
      <w:keepNext/>
      <w:spacing w:before="240"/>
      <w:outlineLvl w:val="0"/>
    </w:pPr>
  </w:style>
  <w:style w:type="paragraph" w:styleId="Heading2">
    <w:name w:val="heading 2"/>
    <w:basedOn w:val="Normal"/>
    <w:next w:val="Normal"/>
    <w:link w:val="Heading2Char"/>
    <w:qFormat/>
    <w:rsid w:val="00F96F7D"/>
    <w:pPr>
      <w:spacing w:before="120" w:after="120"/>
      <w:outlineLvl w:val="1"/>
    </w:pPr>
    <w:rPr>
      <w:rFonts w:asciiTheme="minorHAnsi" w:hAnsiTheme="minorHAnsi"/>
      <w:b/>
      <w:bCs/>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6F7D"/>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heading,Lengende,Table + Not Bold,Caption Char1,Caption Char Char,legend,表タイトル,Figure header,NICE Caption,Caption_aa,fig cadre,Caption Char Char Char Char,fig cadre Char2,Caption Char2,fig cadre Char Char,Char1,c,Char,SMC Caption,- H17"/>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Figure heading Char,Lengende Char,Table + Not Bold Char,Caption Char1 Char,Caption Char Char Char,legend Char,表タイトル Char,Figure header Char,NICE Caption Char,Caption_aa Char,fig cadre Char,Caption Char Char Char Char Char,Caption Char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Section heading,Footnote"/>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Section heading Char,Footnote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E317A"/>
    <w:pPr>
      <w:numPr>
        <w:numId w:val="1"/>
      </w:numPr>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8264BD"/>
    <w:pPr>
      <w:widowControl/>
      <w:spacing w:before="60" w:after="60"/>
      <w:contextualSpacing/>
      <w:jc w:val="left"/>
    </w:pPr>
    <w:rPr>
      <w:rFonts w:ascii="Arial" w:hAnsi="Arial" w:cs="Times New Roman"/>
      <w:snapToGrid/>
      <w:sz w:val="18"/>
      <w:szCs w:val="20"/>
      <w:lang w:eastAsia="en-AU"/>
    </w:rPr>
  </w:style>
  <w:style w:type="paragraph" w:customStyle="1" w:styleId="TextUnderTable">
    <w:name w:val="Text Under Table"/>
    <w:basedOn w:val="Normal"/>
    <w:link w:val="TextUnderTableChar"/>
    <w:qFormat/>
    <w:rsid w:val="008264BD"/>
    <w:pPr>
      <w:widowControl/>
      <w:spacing w:before="120" w:after="120" w:line="276" w:lineRule="auto"/>
      <w:contextualSpacing/>
      <w:jc w:val="left"/>
    </w:pPr>
    <w:rPr>
      <w:rFonts w:ascii="Arial" w:hAnsi="Arial" w:cs="Times New Roman"/>
      <w:i/>
      <w:snapToGrid/>
      <w:sz w:val="16"/>
      <w:lang w:eastAsia="en-AU"/>
    </w:rPr>
  </w:style>
  <w:style w:type="character" w:customStyle="1" w:styleId="TextUnderTableChar">
    <w:name w:val="Text Under Table Char"/>
    <w:link w:val="TextUnderTable"/>
    <w:rsid w:val="008264BD"/>
    <w:rPr>
      <w:rFonts w:ascii="Arial" w:hAnsi="Arial"/>
      <w:i/>
      <w:sz w:val="16"/>
      <w:szCs w:val="22"/>
    </w:rPr>
  </w:style>
  <w:style w:type="character" w:customStyle="1" w:styleId="TableTextChar0">
    <w:name w:val="Table Text Char"/>
    <w:basedOn w:val="DefaultParagraphFont"/>
    <w:link w:val="TableText0"/>
    <w:rsid w:val="008264BD"/>
    <w:rPr>
      <w:rFonts w:ascii="Arial" w:hAnsi="Arial"/>
      <w:sz w:val="18"/>
    </w:rPr>
  </w:style>
  <w:style w:type="paragraph" w:customStyle="1" w:styleId="MainBodyText">
    <w:name w:val="Main Body Text"/>
    <w:basedOn w:val="Normal"/>
    <w:link w:val="MainBodyTextChar"/>
    <w:rsid w:val="008174DA"/>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8174DA"/>
    <w:rPr>
      <w:rFonts w:ascii="Arial" w:hAnsi="Arial"/>
      <w:sz w:val="22"/>
      <w:szCs w:val="22"/>
    </w:rPr>
  </w:style>
  <w:style w:type="paragraph" w:customStyle="1" w:styleId="TextUnderFigure">
    <w:name w:val="Text Under Figure"/>
    <w:basedOn w:val="Normal"/>
    <w:next w:val="MainBodyText"/>
    <w:rsid w:val="008174DA"/>
    <w:pPr>
      <w:widowControl/>
      <w:spacing w:before="120" w:after="120" w:line="276" w:lineRule="auto"/>
      <w:contextualSpacing/>
      <w:jc w:val="left"/>
    </w:pPr>
    <w:rPr>
      <w:rFonts w:ascii="Arial" w:hAnsi="Arial" w:cs="Times New Roman"/>
      <w:i/>
      <w:snapToGrid/>
      <w:sz w:val="16"/>
      <w:lang w:eastAsia="en-AU"/>
    </w:rPr>
  </w:style>
  <w:style w:type="paragraph" w:customStyle="1" w:styleId="FigureCaption">
    <w:name w:val="FigureCaption"/>
    <w:basedOn w:val="Caption"/>
    <w:next w:val="MainBodyText"/>
    <w:qFormat/>
    <w:rsid w:val="008174DA"/>
    <w:pPr>
      <w:keepNext/>
      <w:widowControl/>
      <w:tabs>
        <w:tab w:val="left" w:pos="1701"/>
      </w:tabs>
      <w:spacing w:before="180" w:after="120" w:line="276" w:lineRule="auto"/>
      <w:ind w:left="1701" w:hanging="1701"/>
      <w:jc w:val="left"/>
      <w:outlineLvl w:val="2"/>
    </w:pPr>
    <w:rPr>
      <w:rFonts w:ascii="Arial" w:hAnsi="Arial" w:cs="Times New Roman"/>
      <w:snapToGrid/>
      <w:color w:val="auto"/>
      <w:sz w:val="22"/>
      <w:szCs w:val="20"/>
      <w:lang w:eastAsia="en-AU"/>
    </w:rPr>
  </w:style>
  <w:style w:type="paragraph" w:customStyle="1" w:styleId="TableCaption">
    <w:name w:val="TableCaption"/>
    <w:basedOn w:val="Caption"/>
    <w:next w:val="Normal"/>
    <w:qFormat/>
    <w:rsid w:val="005A0BF2"/>
    <w:pPr>
      <w:keepNext/>
      <w:widowControl/>
      <w:tabs>
        <w:tab w:val="left" w:pos="1701"/>
      </w:tabs>
      <w:spacing w:before="180" w:after="120" w:line="276" w:lineRule="auto"/>
      <w:ind w:left="1701" w:hanging="1701"/>
      <w:jc w:val="left"/>
      <w:outlineLvl w:val="2"/>
    </w:pPr>
    <w:rPr>
      <w:rFonts w:ascii="Arial" w:hAnsi="Arial" w:cs="Times New Roman"/>
      <w:snapToGrid/>
      <w:color w:val="auto"/>
      <w:sz w:val="22"/>
      <w:szCs w:val="20"/>
      <w:lang w:eastAsia="en-AU"/>
    </w:rPr>
  </w:style>
  <w:style w:type="paragraph" w:customStyle="1" w:styleId="TableText1">
    <w:name w:val="TableText"/>
    <w:basedOn w:val="Normal"/>
    <w:link w:val="TableTextChar1"/>
    <w:qFormat/>
    <w:rsid w:val="00581DF2"/>
    <w:pPr>
      <w:widowControl/>
      <w:spacing w:before="60" w:after="60"/>
      <w:jc w:val="left"/>
    </w:pPr>
    <w:rPr>
      <w:rFonts w:ascii="Arial" w:hAnsi="Arial" w:cs="Times New Roman"/>
      <w:snapToGrid/>
      <w:sz w:val="18"/>
      <w:lang w:eastAsia="en-AU"/>
    </w:rPr>
  </w:style>
  <w:style w:type="paragraph" w:customStyle="1" w:styleId="TableTextCentered">
    <w:name w:val="TableText Centered"/>
    <w:link w:val="TableTextCenteredChar"/>
    <w:rsid w:val="00581DF2"/>
    <w:pPr>
      <w:jc w:val="center"/>
    </w:pPr>
    <w:rPr>
      <w:lang w:val="en-US" w:eastAsia="en-US"/>
    </w:rPr>
  </w:style>
  <w:style w:type="character" w:customStyle="1" w:styleId="TableTextChar1">
    <w:name w:val="TableText Char"/>
    <w:link w:val="TableText1"/>
    <w:rsid w:val="00581DF2"/>
    <w:rPr>
      <w:rFonts w:ascii="Arial" w:hAnsi="Arial"/>
      <w:sz w:val="18"/>
      <w:szCs w:val="22"/>
    </w:rPr>
  </w:style>
  <w:style w:type="character" w:customStyle="1" w:styleId="TableText9">
    <w:name w:val="TableText 9"/>
    <w:rsid w:val="00581DF2"/>
    <w:rPr>
      <w:rFonts w:ascii="Times New Roman" w:hAnsi="Times New Roman"/>
      <w:sz w:val="18"/>
    </w:rPr>
  </w:style>
  <w:style w:type="character" w:customStyle="1" w:styleId="TableTextCenteredChar">
    <w:name w:val="TableText Centered Char"/>
    <w:link w:val="TableTextCentered"/>
    <w:locked/>
    <w:rsid w:val="00581DF2"/>
    <w:rPr>
      <w:lang w:val="en-US" w:eastAsia="en-US"/>
    </w:rPr>
  </w:style>
  <w:style w:type="paragraph" w:customStyle="1" w:styleId="BulletedText">
    <w:name w:val="Bulleted Text"/>
    <w:basedOn w:val="MainBodyText"/>
    <w:uiPriority w:val="99"/>
    <w:rsid w:val="00A23C52"/>
    <w:pPr>
      <w:numPr>
        <w:numId w:val="3"/>
      </w:numPr>
      <w:spacing w:after="120"/>
    </w:pPr>
  </w:style>
  <w:style w:type="paragraph" w:customStyle="1" w:styleId="LOFHeading">
    <w:name w:val="L.O.F Heading"/>
    <w:basedOn w:val="Normal"/>
    <w:next w:val="Normal"/>
    <w:rsid w:val="00114226"/>
    <w:pPr>
      <w:keepNext/>
      <w:widowControl/>
      <w:spacing w:before="240" w:after="360" w:line="276" w:lineRule="auto"/>
      <w:jc w:val="left"/>
    </w:pPr>
    <w:rPr>
      <w:rFonts w:ascii="Arial" w:hAnsi="Arial" w:cs="Times New Roman"/>
      <w:b/>
      <w:caps/>
      <w:snapToGrid/>
      <w:sz w:val="28"/>
      <w:szCs w:val="28"/>
      <w:lang w:eastAsia="en-AU"/>
    </w:rPr>
  </w:style>
  <w:style w:type="paragraph" w:customStyle="1" w:styleId="Default">
    <w:name w:val="Default"/>
    <w:link w:val="DefaultChar"/>
    <w:rsid w:val="00114226"/>
    <w:pPr>
      <w:autoSpaceDE w:val="0"/>
      <w:autoSpaceDN w:val="0"/>
      <w:adjustRightInd w:val="0"/>
    </w:pPr>
    <w:rPr>
      <w:rFonts w:ascii="Arial" w:hAnsi="Arial" w:cs="Arial"/>
      <w:color w:val="000000"/>
      <w:sz w:val="24"/>
      <w:szCs w:val="24"/>
      <w:lang w:val="en-US"/>
    </w:rPr>
  </w:style>
  <w:style w:type="character" w:customStyle="1" w:styleId="DefaultChar">
    <w:name w:val="Default Char"/>
    <w:basedOn w:val="DefaultParagraphFont"/>
    <w:link w:val="Default"/>
    <w:locked/>
    <w:rsid w:val="00114226"/>
    <w:rPr>
      <w:rFonts w:ascii="Arial" w:hAnsi="Arial" w:cs="Arial"/>
      <w:color w:val="000000"/>
      <w:sz w:val="24"/>
      <w:szCs w:val="24"/>
      <w:lang w:val="en-US"/>
    </w:rPr>
  </w:style>
  <w:style w:type="paragraph" w:styleId="ListBullet">
    <w:name w:val="List Bullet"/>
    <w:basedOn w:val="Normal"/>
    <w:uiPriority w:val="99"/>
    <w:unhideWhenUsed/>
    <w:rsid w:val="00FA0F48"/>
    <w:pPr>
      <w:widowControl/>
      <w:numPr>
        <w:numId w:val="4"/>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FA0F48"/>
    <w:pPr>
      <w:numPr>
        <w:ilvl w:val="2"/>
      </w:numPr>
    </w:pPr>
  </w:style>
  <w:style w:type="paragraph" w:customStyle="1" w:styleId="ListBulletlvl4">
    <w:name w:val="List Bullet lvl 4"/>
    <w:basedOn w:val="ListBullet"/>
    <w:qFormat/>
    <w:rsid w:val="00FA0F48"/>
    <w:pPr>
      <w:numPr>
        <w:ilvl w:val="3"/>
      </w:numPr>
    </w:pPr>
  </w:style>
  <w:style w:type="paragraph" w:customStyle="1" w:styleId="ListBulletlvl5">
    <w:name w:val="List Bullet lvl 5"/>
    <w:basedOn w:val="ListBullet"/>
    <w:qFormat/>
    <w:rsid w:val="00FA0F48"/>
    <w:pPr>
      <w:numPr>
        <w:ilvl w:val="4"/>
      </w:numPr>
    </w:pPr>
  </w:style>
  <w:style w:type="paragraph" w:customStyle="1" w:styleId="ListBulletlvl6">
    <w:name w:val="List Bullet lvl 6"/>
    <w:basedOn w:val="ListBullet"/>
    <w:qFormat/>
    <w:rsid w:val="00FA0F48"/>
    <w:pPr>
      <w:numPr>
        <w:ilvl w:val="5"/>
      </w:numPr>
    </w:pPr>
  </w:style>
  <w:style w:type="paragraph" w:customStyle="1" w:styleId="ListBulletlvl7">
    <w:name w:val="List Bullet lvl 7"/>
    <w:basedOn w:val="ListBullet"/>
    <w:qFormat/>
    <w:rsid w:val="00FA0F48"/>
    <w:pPr>
      <w:numPr>
        <w:ilvl w:val="6"/>
      </w:numPr>
    </w:pPr>
  </w:style>
  <w:style w:type="paragraph" w:customStyle="1" w:styleId="ListBulletlvl8">
    <w:name w:val="List Bullet lvl 8"/>
    <w:basedOn w:val="ListBullet"/>
    <w:qFormat/>
    <w:rsid w:val="00FA0F48"/>
    <w:pPr>
      <w:numPr>
        <w:ilvl w:val="7"/>
      </w:numPr>
    </w:pPr>
  </w:style>
  <w:style w:type="paragraph" w:customStyle="1" w:styleId="ListBulletlvl9">
    <w:name w:val="List Bullet lvl 9"/>
    <w:basedOn w:val="ListBullet"/>
    <w:qFormat/>
    <w:rsid w:val="00FA0F48"/>
    <w:pPr>
      <w:numPr>
        <w:ilvl w:val="8"/>
      </w:numPr>
    </w:pPr>
  </w:style>
  <w:style w:type="paragraph" w:customStyle="1" w:styleId="Tablename0">
    <w:name w:val="Table name"/>
    <w:basedOn w:val="Normal"/>
    <w:uiPriority w:val="4"/>
    <w:qFormat/>
    <w:rsid w:val="00382901"/>
    <w:pPr>
      <w:keepNext/>
      <w:widowControl/>
      <w:tabs>
        <w:tab w:val="left" w:pos="1418"/>
      </w:tabs>
      <w:spacing w:before="120" w:after="120"/>
      <w:ind w:left="1418" w:hanging="1418"/>
      <w:jc w:val="left"/>
    </w:pPr>
    <w:rPr>
      <w:rFonts w:cs="Times New Roman"/>
      <w:b/>
      <w:bCs/>
      <w:snapToGrid/>
      <w:sz w:val="22"/>
      <w:szCs w:val="20"/>
    </w:rPr>
  </w:style>
  <w:style w:type="paragraph" w:customStyle="1" w:styleId="ListNumberedlvl2">
    <w:name w:val="List Numbered lvl 2"/>
    <w:basedOn w:val="Normal"/>
    <w:qFormat/>
    <w:rsid w:val="00A45353"/>
    <w:pPr>
      <w:widowControl/>
      <w:spacing w:after="240"/>
      <w:ind w:left="1080" w:hanging="360"/>
      <w:jc w:val="left"/>
    </w:pPr>
    <w:rPr>
      <w:rFonts w:asciiTheme="minorHAnsi" w:eastAsiaTheme="minorHAnsi" w:hAnsiTheme="minorHAnsi" w:cstheme="minorBidi"/>
      <w:snapToGrid/>
    </w:rPr>
  </w:style>
  <w:style w:type="paragraph" w:customStyle="1" w:styleId="TableTextHeading">
    <w:name w:val="Table Text Heading"/>
    <w:basedOn w:val="Normal"/>
    <w:rsid w:val="00362F2B"/>
    <w:pPr>
      <w:widowControl/>
      <w:spacing w:before="60" w:after="60"/>
      <w:jc w:val="center"/>
    </w:pPr>
    <w:rPr>
      <w:rFonts w:ascii="Arial Bold" w:hAnsi="Arial Bold" w:cs="Times New Roman"/>
      <w:b/>
      <w:snapToGrid/>
      <w:sz w:val="18"/>
      <w:szCs w:val="20"/>
      <w:lang w:eastAsia="en-AU"/>
    </w:rPr>
  </w:style>
  <w:style w:type="character" w:customStyle="1" w:styleId="COMBodyChar">
    <w:name w:val="COMBody Char"/>
    <w:basedOn w:val="DefaultParagraphFont"/>
    <w:link w:val="COMBody"/>
    <w:locked/>
    <w:rsid w:val="00AB29FB"/>
    <w:rPr>
      <w:rFonts w:ascii="Calibri" w:hAnsi="Calibri" w:cs="Arial"/>
      <w:sz w:val="24"/>
    </w:rPr>
  </w:style>
  <w:style w:type="paragraph" w:customStyle="1" w:styleId="COMBody">
    <w:name w:val="COMBody"/>
    <w:basedOn w:val="Normal"/>
    <w:link w:val="COMBodyChar"/>
    <w:qFormat/>
    <w:rsid w:val="00AB29FB"/>
    <w:pPr>
      <w:snapToGrid w:val="0"/>
    </w:pPr>
    <w:rPr>
      <w:snapToGrid/>
      <w:szCs w:val="20"/>
      <w:lang w:eastAsia="en-AU"/>
    </w:rPr>
  </w:style>
  <w:style w:type="paragraph" w:customStyle="1" w:styleId="V50Instructions">
    <w:name w:val="V5.0 Instructions"/>
    <w:basedOn w:val="Normal"/>
    <w:link w:val="V50InstructionsChar"/>
    <w:qFormat/>
    <w:rsid w:val="00A01420"/>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A01420"/>
    <w:rPr>
      <w:rFonts w:asciiTheme="minorHAnsi" w:eastAsiaTheme="minorHAnsi" w:hAnsiTheme="minorHAnsi" w:cstheme="minorBidi"/>
      <w:color w:val="4BACC6" w:themeColor="accent5"/>
      <w:sz w:val="24"/>
      <w:szCs w:val="22"/>
      <w:lang w:eastAsia="en-US"/>
    </w:rPr>
  </w:style>
  <w:style w:type="paragraph" w:customStyle="1" w:styleId="TableHeading0">
    <w:name w:val="Table Heading"/>
    <w:basedOn w:val="Normal"/>
    <w:qFormat/>
    <w:rsid w:val="00A01420"/>
    <w:pPr>
      <w:keepNext/>
      <w:widowControl/>
      <w:spacing w:after="60"/>
      <w:jc w:val="left"/>
    </w:pPr>
    <w:rPr>
      <w:rFonts w:ascii="Arial Narrow" w:eastAsiaTheme="minorHAnsi" w:hAnsi="Arial Narrow" w:cstheme="minorBidi"/>
      <w:b/>
      <w:snapToGrid/>
      <w:sz w:val="20"/>
    </w:rPr>
  </w:style>
  <w:style w:type="table" w:customStyle="1" w:styleId="TableStyle">
    <w:name w:val="Table Style"/>
    <w:basedOn w:val="TableNormal"/>
    <w:uiPriority w:val="99"/>
    <w:rsid w:val="005A2FF2"/>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character" w:customStyle="1" w:styleId="NoSpacingChar">
    <w:name w:val="No Spacing Char"/>
    <w:basedOn w:val="DefaultParagraphFont"/>
    <w:link w:val="NoSpacing"/>
    <w:uiPriority w:val="1"/>
    <w:rsid w:val="005A2FF2"/>
    <w:rPr>
      <w:rFonts w:ascii="Arial" w:hAnsi="Arial" w:cs="Arial"/>
      <w:snapToGrid w:val="0"/>
      <w:sz w:val="22"/>
      <w:lang w:eastAsia="en-US"/>
    </w:rPr>
  </w:style>
  <w:style w:type="paragraph" w:customStyle="1" w:styleId="TableBullet">
    <w:name w:val="Table Bullet"/>
    <w:basedOn w:val="TableText0"/>
    <w:qFormat/>
    <w:rsid w:val="005A2FF2"/>
    <w:pPr>
      <w:numPr>
        <w:numId w:val="6"/>
      </w:numPr>
    </w:pPr>
    <w:rPr>
      <w:rFonts w:eastAsiaTheme="minorHAnsi" w:cstheme="minorBidi"/>
      <w:szCs w:val="22"/>
      <w:lang w:eastAsia="en-US"/>
    </w:rPr>
  </w:style>
  <w:style w:type="paragraph" w:customStyle="1" w:styleId="ExecutiveSummaryBullet1">
    <w:name w:val="Executive Summary Bullet 1"/>
    <w:basedOn w:val="BodyText"/>
    <w:qFormat/>
    <w:rsid w:val="005A2FF2"/>
    <w:pPr>
      <w:widowControl/>
      <w:numPr>
        <w:numId w:val="7"/>
      </w:numPr>
      <w:spacing w:before="40" w:after="40"/>
    </w:pPr>
    <w:rPr>
      <w:rFonts w:ascii="Calibri Light" w:eastAsiaTheme="minorHAnsi" w:hAnsi="Calibri Light" w:cstheme="minorBidi"/>
      <w:snapToGrid/>
      <w:sz w:val="22"/>
      <w:szCs w:val="24"/>
      <w:lang w:val="en-US"/>
    </w:rPr>
  </w:style>
  <w:style w:type="paragraph" w:styleId="ListNumber">
    <w:name w:val="List Number"/>
    <w:aliases w:val="List Number 1"/>
    <w:basedOn w:val="Normal"/>
    <w:qFormat/>
    <w:rsid w:val="005A2FF2"/>
    <w:pPr>
      <w:widowControl/>
      <w:numPr>
        <w:numId w:val="8"/>
      </w:numPr>
      <w:spacing w:after="120"/>
      <w:jc w:val="left"/>
    </w:pPr>
    <w:rPr>
      <w:rFonts w:ascii="Calibri Light" w:hAnsi="Calibri Light" w:cs="Times New Roman"/>
      <w:snapToGrid/>
      <w:sz w:val="22"/>
      <w:szCs w:val="24"/>
      <w:lang w:val="en-US"/>
    </w:rPr>
  </w:style>
  <w:style w:type="paragraph" w:styleId="FootnoteText">
    <w:name w:val="footnote text"/>
    <w:basedOn w:val="Normal"/>
    <w:link w:val="FootnoteTextChar"/>
    <w:uiPriority w:val="99"/>
    <w:unhideWhenUsed/>
    <w:rsid w:val="007911CB"/>
    <w:rPr>
      <w:sz w:val="20"/>
      <w:szCs w:val="20"/>
    </w:rPr>
  </w:style>
  <w:style w:type="character" w:customStyle="1" w:styleId="FootnoteTextChar">
    <w:name w:val="Footnote Text Char"/>
    <w:basedOn w:val="DefaultParagraphFont"/>
    <w:link w:val="FootnoteText"/>
    <w:uiPriority w:val="99"/>
    <w:rsid w:val="007911CB"/>
    <w:rPr>
      <w:rFonts w:ascii="Calibri" w:hAnsi="Calibri" w:cs="Arial"/>
      <w:snapToGrid w:val="0"/>
      <w:lang w:eastAsia="en-US"/>
    </w:rPr>
  </w:style>
  <w:style w:type="character" w:styleId="FootnoteReference">
    <w:name w:val="footnote reference"/>
    <w:basedOn w:val="DefaultParagraphFont"/>
    <w:unhideWhenUsed/>
    <w:rsid w:val="007911CB"/>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256A1"/>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846">
      <w:bodyDiv w:val="1"/>
      <w:marLeft w:val="0"/>
      <w:marRight w:val="0"/>
      <w:marTop w:val="0"/>
      <w:marBottom w:val="0"/>
      <w:divBdr>
        <w:top w:val="none" w:sz="0" w:space="0" w:color="auto"/>
        <w:left w:val="none" w:sz="0" w:space="0" w:color="auto"/>
        <w:bottom w:val="none" w:sz="0" w:space="0" w:color="auto"/>
        <w:right w:val="none" w:sz="0" w:space="0" w:color="auto"/>
      </w:divBdr>
    </w:div>
    <w:div w:id="96022905">
      <w:bodyDiv w:val="1"/>
      <w:marLeft w:val="0"/>
      <w:marRight w:val="0"/>
      <w:marTop w:val="0"/>
      <w:marBottom w:val="0"/>
      <w:divBdr>
        <w:top w:val="none" w:sz="0" w:space="0" w:color="auto"/>
        <w:left w:val="none" w:sz="0" w:space="0" w:color="auto"/>
        <w:bottom w:val="none" w:sz="0" w:space="0" w:color="auto"/>
        <w:right w:val="none" w:sz="0" w:space="0" w:color="auto"/>
      </w:divBdr>
    </w:div>
    <w:div w:id="200367757">
      <w:bodyDiv w:val="1"/>
      <w:marLeft w:val="0"/>
      <w:marRight w:val="0"/>
      <w:marTop w:val="0"/>
      <w:marBottom w:val="0"/>
      <w:divBdr>
        <w:top w:val="none" w:sz="0" w:space="0" w:color="auto"/>
        <w:left w:val="none" w:sz="0" w:space="0" w:color="auto"/>
        <w:bottom w:val="none" w:sz="0" w:space="0" w:color="auto"/>
        <w:right w:val="none" w:sz="0" w:space="0" w:color="auto"/>
      </w:divBdr>
    </w:div>
    <w:div w:id="662664863">
      <w:bodyDiv w:val="1"/>
      <w:marLeft w:val="0"/>
      <w:marRight w:val="0"/>
      <w:marTop w:val="0"/>
      <w:marBottom w:val="0"/>
      <w:divBdr>
        <w:top w:val="none" w:sz="0" w:space="0" w:color="auto"/>
        <w:left w:val="none" w:sz="0" w:space="0" w:color="auto"/>
        <w:bottom w:val="none" w:sz="0" w:space="0" w:color="auto"/>
        <w:right w:val="none" w:sz="0" w:space="0" w:color="auto"/>
      </w:divBdr>
      <w:divsChild>
        <w:div w:id="1625649868">
          <w:marLeft w:val="0"/>
          <w:marRight w:val="0"/>
          <w:marTop w:val="0"/>
          <w:marBottom w:val="0"/>
          <w:divBdr>
            <w:top w:val="none" w:sz="0" w:space="0" w:color="auto"/>
            <w:left w:val="none" w:sz="0" w:space="0" w:color="auto"/>
            <w:bottom w:val="none" w:sz="0" w:space="0" w:color="auto"/>
            <w:right w:val="none" w:sz="0" w:space="0" w:color="auto"/>
          </w:divBdr>
          <w:divsChild>
            <w:div w:id="573122635">
              <w:marLeft w:val="0"/>
              <w:marRight w:val="0"/>
              <w:marTop w:val="0"/>
              <w:marBottom w:val="0"/>
              <w:divBdr>
                <w:top w:val="none" w:sz="0" w:space="0" w:color="auto"/>
                <w:left w:val="none" w:sz="0" w:space="0" w:color="auto"/>
                <w:bottom w:val="none" w:sz="0" w:space="0" w:color="auto"/>
                <w:right w:val="none" w:sz="0" w:space="0" w:color="auto"/>
              </w:divBdr>
              <w:divsChild>
                <w:div w:id="511145353">
                  <w:marLeft w:val="0"/>
                  <w:marRight w:val="0"/>
                  <w:marTop w:val="0"/>
                  <w:marBottom w:val="0"/>
                  <w:divBdr>
                    <w:top w:val="none" w:sz="0" w:space="0" w:color="auto"/>
                    <w:left w:val="none" w:sz="0" w:space="0" w:color="auto"/>
                    <w:bottom w:val="none" w:sz="0" w:space="0" w:color="auto"/>
                    <w:right w:val="none" w:sz="0" w:space="0" w:color="auto"/>
                  </w:divBdr>
                  <w:divsChild>
                    <w:div w:id="1891107754">
                      <w:marLeft w:val="0"/>
                      <w:marRight w:val="0"/>
                      <w:marTop w:val="0"/>
                      <w:marBottom w:val="0"/>
                      <w:divBdr>
                        <w:top w:val="none" w:sz="0" w:space="0" w:color="auto"/>
                        <w:left w:val="none" w:sz="0" w:space="0" w:color="auto"/>
                        <w:bottom w:val="none" w:sz="0" w:space="0" w:color="auto"/>
                        <w:right w:val="none" w:sz="0" w:space="0" w:color="auto"/>
                      </w:divBdr>
                      <w:divsChild>
                        <w:div w:id="1950774820">
                          <w:marLeft w:val="0"/>
                          <w:marRight w:val="0"/>
                          <w:marTop w:val="0"/>
                          <w:marBottom w:val="0"/>
                          <w:divBdr>
                            <w:top w:val="none" w:sz="0" w:space="0" w:color="auto"/>
                            <w:left w:val="none" w:sz="0" w:space="0" w:color="auto"/>
                            <w:bottom w:val="none" w:sz="0" w:space="0" w:color="auto"/>
                            <w:right w:val="none" w:sz="0" w:space="0" w:color="auto"/>
                          </w:divBdr>
                          <w:divsChild>
                            <w:div w:id="517544154">
                              <w:marLeft w:val="0"/>
                              <w:marRight w:val="0"/>
                              <w:marTop w:val="0"/>
                              <w:marBottom w:val="0"/>
                              <w:divBdr>
                                <w:top w:val="none" w:sz="0" w:space="0" w:color="auto"/>
                                <w:left w:val="none" w:sz="0" w:space="0" w:color="auto"/>
                                <w:bottom w:val="none" w:sz="0" w:space="0" w:color="auto"/>
                                <w:right w:val="none" w:sz="0" w:space="0" w:color="auto"/>
                              </w:divBdr>
                              <w:divsChild>
                                <w:div w:id="1394233040">
                                  <w:marLeft w:val="-225"/>
                                  <w:marRight w:val="-225"/>
                                  <w:marTop w:val="0"/>
                                  <w:marBottom w:val="0"/>
                                  <w:divBdr>
                                    <w:top w:val="none" w:sz="0" w:space="0" w:color="auto"/>
                                    <w:left w:val="none" w:sz="0" w:space="0" w:color="auto"/>
                                    <w:bottom w:val="none" w:sz="0" w:space="0" w:color="auto"/>
                                    <w:right w:val="none" w:sz="0" w:space="0" w:color="auto"/>
                                  </w:divBdr>
                                  <w:divsChild>
                                    <w:div w:id="1913464470">
                                      <w:marLeft w:val="0"/>
                                      <w:marRight w:val="0"/>
                                      <w:marTop w:val="0"/>
                                      <w:marBottom w:val="0"/>
                                      <w:divBdr>
                                        <w:top w:val="none" w:sz="0" w:space="0" w:color="auto"/>
                                        <w:left w:val="none" w:sz="0" w:space="0" w:color="auto"/>
                                        <w:bottom w:val="none" w:sz="0" w:space="0" w:color="auto"/>
                                        <w:right w:val="none" w:sz="0" w:space="0" w:color="auto"/>
                                      </w:divBdr>
                                      <w:divsChild>
                                        <w:div w:id="607127539">
                                          <w:marLeft w:val="0"/>
                                          <w:marRight w:val="0"/>
                                          <w:marTop w:val="0"/>
                                          <w:marBottom w:val="0"/>
                                          <w:divBdr>
                                            <w:top w:val="none" w:sz="0" w:space="0" w:color="auto"/>
                                            <w:left w:val="none" w:sz="0" w:space="0" w:color="auto"/>
                                            <w:bottom w:val="none" w:sz="0" w:space="0" w:color="auto"/>
                                            <w:right w:val="none" w:sz="0" w:space="0" w:color="auto"/>
                                          </w:divBdr>
                                          <w:divsChild>
                                            <w:div w:id="978921492">
                                              <w:marLeft w:val="-225"/>
                                              <w:marRight w:val="-225"/>
                                              <w:marTop w:val="0"/>
                                              <w:marBottom w:val="0"/>
                                              <w:divBdr>
                                                <w:top w:val="none" w:sz="0" w:space="0" w:color="auto"/>
                                                <w:left w:val="none" w:sz="0" w:space="0" w:color="auto"/>
                                                <w:bottom w:val="none" w:sz="0" w:space="0" w:color="auto"/>
                                                <w:right w:val="none" w:sz="0" w:space="0" w:color="auto"/>
                                              </w:divBdr>
                                              <w:divsChild>
                                                <w:div w:id="1697921536">
                                                  <w:marLeft w:val="0"/>
                                                  <w:marRight w:val="0"/>
                                                  <w:marTop w:val="0"/>
                                                  <w:marBottom w:val="0"/>
                                                  <w:divBdr>
                                                    <w:top w:val="none" w:sz="0" w:space="0" w:color="auto"/>
                                                    <w:left w:val="none" w:sz="0" w:space="0" w:color="auto"/>
                                                    <w:bottom w:val="none" w:sz="0" w:space="0" w:color="auto"/>
                                                    <w:right w:val="none" w:sz="0" w:space="0" w:color="auto"/>
                                                  </w:divBdr>
                                                  <w:divsChild>
                                                    <w:div w:id="184249811">
                                                      <w:marLeft w:val="0"/>
                                                      <w:marRight w:val="0"/>
                                                      <w:marTop w:val="0"/>
                                                      <w:marBottom w:val="0"/>
                                                      <w:divBdr>
                                                        <w:top w:val="none" w:sz="0" w:space="0" w:color="auto"/>
                                                        <w:left w:val="none" w:sz="0" w:space="0" w:color="auto"/>
                                                        <w:bottom w:val="none" w:sz="0" w:space="0" w:color="auto"/>
                                                        <w:right w:val="none" w:sz="0" w:space="0" w:color="auto"/>
                                                      </w:divBdr>
                                                      <w:divsChild>
                                                        <w:div w:id="642348781">
                                                          <w:marLeft w:val="0"/>
                                                          <w:marRight w:val="0"/>
                                                          <w:marTop w:val="0"/>
                                                          <w:marBottom w:val="0"/>
                                                          <w:divBdr>
                                                            <w:top w:val="none" w:sz="0" w:space="0" w:color="auto"/>
                                                            <w:left w:val="none" w:sz="0" w:space="0" w:color="auto"/>
                                                            <w:bottom w:val="none" w:sz="0" w:space="0" w:color="auto"/>
                                                            <w:right w:val="none" w:sz="0" w:space="0" w:color="auto"/>
                                                          </w:divBdr>
                                                          <w:divsChild>
                                                            <w:div w:id="1091245295">
                                                              <w:marLeft w:val="0"/>
                                                              <w:marRight w:val="0"/>
                                                              <w:marTop w:val="225"/>
                                                              <w:marBottom w:val="225"/>
                                                              <w:divBdr>
                                                                <w:top w:val="none" w:sz="0" w:space="0" w:color="auto"/>
                                                                <w:left w:val="none" w:sz="0" w:space="0" w:color="auto"/>
                                                                <w:bottom w:val="none" w:sz="0" w:space="0" w:color="auto"/>
                                                                <w:right w:val="none" w:sz="0" w:space="0" w:color="auto"/>
                                                              </w:divBdr>
                                                              <w:divsChild>
                                                                <w:div w:id="2483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388213">
      <w:bodyDiv w:val="1"/>
      <w:marLeft w:val="0"/>
      <w:marRight w:val="0"/>
      <w:marTop w:val="0"/>
      <w:marBottom w:val="0"/>
      <w:divBdr>
        <w:top w:val="none" w:sz="0" w:space="0" w:color="auto"/>
        <w:left w:val="none" w:sz="0" w:space="0" w:color="auto"/>
        <w:bottom w:val="none" w:sz="0" w:space="0" w:color="auto"/>
        <w:right w:val="none" w:sz="0" w:space="0" w:color="auto"/>
      </w:divBdr>
    </w:div>
    <w:div w:id="928659495">
      <w:bodyDiv w:val="1"/>
      <w:marLeft w:val="0"/>
      <w:marRight w:val="0"/>
      <w:marTop w:val="0"/>
      <w:marBottom w:val="0"/>
      <w:divBdr>
        <w:top w:val="none" w:sz="0" w:space="0" w:color="auto"/>
        <w:left w:val="none" w:sz="0" w:space="0" w:color="auto"/>
        <w:bottom w:val="none" w:sz="0" w:space="0" w:color="auto"/>
        <w:right w:val="none" w:sz="0" w:space="0" w:color="auto"/>
      </w:divBdr>
      <w:divsChild>
        <w:div w:id="487866040">
          <w:marLeft w:val="0"/>
          <w:marRight w:val="0"/>
          <w:marTop w:val="0"/>
          <w:marBottom w:val="0"/>
          <w:divBdr>
            <w:top w:val="none" w:sz="0" w:space="0" w:color="auto"/>
            <w:left w:val="none" w:sz="0" w:space="0" w:color="auto"/>
            <w:bottom w:val="none" w:sz="0" w:space="0" w:color="auto"/>
            <w:right w:val="none" w:sz="0" w:space="0" w:color="auto"/>
          </w:divBdr>
          <w:divsChild>
            <w:div w:id="1141846424">
              <w:marLeft w:val="0"/>
              <w:marRight w:val="0"/>
              <w:marTop w:val="0"/>
              <w:marBottom w:val="0"/>
              <w:divBdr>
                <w:top w:val="none" w:sz="0" w:space="0" w:color="auto"/>
                <w:left w:val="none" w:sz="0" w:space="0" w:color="auto"/>
                <w:bottom w:val="none" w:sz="0" w:space="0" w:color="auto"/>
                <w:right w:val="none" w:sz="0" w:space="0" w:color="auto"/>
              </w:divBdr>
              <w:divsChild>
                <w:div w:id="262881720">
                  <w:marLeft w:val="0"/>
                  <w:marRight w:val="0"/>
                  <w:marTop w:val="0"/>
                  <w:marBottom w:val="0"/>
                  <w:divBdr>
                    <w:top w:val="none" w:sz="0" w:space="0" w:color="auto"/>
                    <w:left w:val="none" w:sz="0" w:space="0" w:color="auto"/>
                    <w:bottom w:val="none" w:sz="0" w:space="0" w:color="auto"/>
                    <w:right w:val="none" w:sz="0" w:space="0" w:color="auto"/>
                  </w:divBdr>
                  <w:divsChild>
                    <w:div w:id="1231112858">
                      <w:marLeft w:val="0"/>
                      <w:marRight w:val="0"/>
                      <w:marTop w:val="0"/>
                      <w:marBottom w:val="0"/>
                      <w:divBdr>
                        <w:top w:val="none" w:sz="0" w:space="0" w:color="auto"/>
                        <w:left w:val="none" w:sz="0" w:space="0" w:color="auto"/>
                        <w:bottom w:val="none" w:sz="0" w:space="0" w:color="auto"/>
                        <w:right w:val="none" w:sz="0" w:space="0" w:color="auto"/>
                      </w:divBdr>
                      <w:divsChild>
                        <w:div w:id="18852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4969">
      <w:bodyDiv w:val="1"/>
      <w:marLeft w:val="0"/>
      <w:marRight w:val="0"/>
      <w:marTop w:val="0"/>
      <w:marBottom w:val="0"/>
      <w:divBdr>
        <w:top w:val="none" w:sz="0" w:space="0" w:color="auto"/>
        <w:left w:val="none" w:sz="0" w:space="0" w:color="auto"/>
        <w:bottom w:val="none" w:sz="0" w:space="0" w:color="auto"/>
        <w:right w:val="none" w:sz="0" w:space="0" w:color="auto"/>
      </w:divBdr>
    </w:div>
    <w:div w:id="1070343798">
      <w:bodyDiv w:val="1"/>
      <w:marLeft w:val="0"/>
      <w:marRight w:val="0"/>
      <w:marTop w:val="0"/>
      <w:marBottom w:val="0"/>
      <w:divBdr>
        <w:top w:val="none" w:sz="0" w:space="0" w:color="auto"/>
        <w:left w:val="none" w:sz="0" w:space="0" w:color="auto"/>
        <w:bottom w:val="none" w:sz="0" w:space="0" w:color="auto"/>
        <w:right w:val="none" w:sz="0" w:space="0" w:color="auto"/>
      </w:divBdr>
    </w:div>
    <w:div w:id="1263873416">
      <w:bodyDiv w:val="1"/>
      <w:marLeft w:val="0"/>
      <w:marRight w:val="0"/>
      <w:marTop w:val="0"/>
      <w:marBottom w:val="0"/>
      <w:divBdr>
        <w:top w:val="none" w:sz="0" w:space="0" w:color="auto"/>
        <w:left w:val="none" w:sz="0" w:space="0" w:color="auto"/>
        <w:bottom w:val="none" w:sz="0" w:space="0" w:color="auto"/>
        <w:right w:val="none" w:sz="0" w:space="0" w:color="auto"/>
      </w:divBdr>
      <w:divsChild>
        <w:div w:id="1079057133">
          <w:marLeft w:val="360"/>
          <w:marRight w:val="0"/>
          <w:marTop w:val="200"/>
          <w:marBottom w:val="0"/>
          <w:divBdr>
            <w:top w:val="none" w:sz="0" w:space="0" w:color="auto"/>
            <w:left w:val="none" w:sz="0" w:space="0" w:color="auto"/>
            <w:bottom w:val="none" w:sz="0" w:space="0" w:color="auto"/>
            <w:right w:val="none" w:sz="0" w:space="0" w:color="auto"/>
          </w:divBdr>
        </w:div>
        <w:div w:id="1623027913">
          <w:marLeft w:val="1080"/>
          <w:marRight w:val="0"/>
          <w:marTop w:val="100"/>
          <w:marBottom w:val="0"/>
          <w:divBdr>
            <w:top w:val="none" w:sz="0" w:space="0" w:color="auto"/>
            <w:left w:val="none" w:sz="0" w:space="0" w:color="auto"/>
            <w:bottom w:val="none" w:sz="0" w:space="0" w:color="auto"/>
            <w:right w:val="none" w:sz="0" w:space="0" w:color="auto"/>
          </w:divBdr>
        </w:div>
        <w:div w:id="356083851">
          <w:marLeft w:val="1080"/>
          <w:marRight w:val="0"/>
          <w:marTop w:val="100"/>
          <w:marBottom w:val="0"/>
          <w:divBdr>
            <w:top w:val="none" w:sz="0" w:space="0" w:color="auto"/>
            <w:left w:val="none" w:sz="0" w:space="0" w:color="auto"/>
            <w:bottom w:val="none" w:sz="0" w:space="0" w:color="auto"/>
            <w:right w:val="none" w:sz="0" w:space="0" w:color="auto"/>
          </w:divBdr>
        </w:div>
      </w:divsChild>
    </w:div>
    <w:div w:id="1275402866">
      <w:bodyDiv w:val="1"/>
      <w:marLeft w:val="0"/>
      <w:marRight w:val="0"/>
      <w:marTop w:val="0"/>
      <w:marBottom w:val="0"/>
      <w:divBdr>
        <w:top w:val="none" w:sz="0" w:space="0" w:color="auto"/>
        <w:left w:val="none" w:sz="0" w:space="0" w:color="auto"/>
        <w:bottom w:val="none" w:sz="0" w:space="0" w:color="auto"/>
        <w:right w:val="none" w:sz="0" w:space="0" w:color="auto"/>
      </w:divBdr>
    </w:div>
    <w:div w:id="1282882965">
      <w:bodyDiv w:val="1"/>
      <w:marLeft w:val="0"/>
      <w:marRight w:val="0"/>
      <w:marTop w:val="0"/>
      <w:marBottom w:val="0"/>
      <w:divBdr>
        <w:top w:val="none" w:sz="0" w:space="0" w:color="auto"/>
        <w:left w:val="none" w:sz="0" w:space="0" w:color="auto"/>
        <w:bottom w:val="none" w:sz="0" w:space="0" w:color="auto"/>
        <w:right w:val="none" w:sz="0" w:space="0" w:color="auto"/>
      </w:divBdr>
    </w:div>
    <w:div w:id="1370883527">
      <w:bodyDiv w:val="1"/>
      <w:marLeft w:val="0"/>
      <w:marRight w:val="0"/>
      <w:marTop w:val="0"/>
      <w:marBottom w:val="0"/>
      <w:divBdr>
        <w:top w:val="none" w:sz="0" w:space="0" w:color="auto"/>
        <w:left w:val="none" w:sz="0" w:space="0" w:color="auto"/>
        <w:bottom w:val="none" w:sz="0" w:space="0" w:color="auto"/>
        <w:right w:val="none" w:sz="0" w:space="0" w:color="auto"/>
      </w:divBdr>
      <w:divsChild>
        <w:div w:id="1764448164">
          <w:marLeft w:val="1080"/>
          <w:marRight w:val="0"/>
          <w:marTop w:val="134"/>
          <w:marBottom w:val="0"/>
          <w:divBdr>
            <w:top w:val="none" w:sz="0" w:space="0" w:color="auto"/>
            <w:left w:val="none" w:sz="0" w:space="0" w:color="auto"/>
            <w:bottom w:val="none" w:sz="0" w:space="0" w:color="auto"/>
            <w:right w:val="none" w:sz="0" w:space="0" w:color="auto"/>
          </w:divBdr>
        </w:div>
      </w:divsChild>
    </w:div>
    <w:div w:id="1371029623">
      <w:bodyDiv w:val="1"/>
      <w:marLeft w:val="0"/>
      <w:marRight w:val="0"/>
      <w:marTop w:val="0"/>
      <w:marBottom w:val="0"/>
      <w:divBdr>
        <w:top w:val="none" w:sz="0" w:space="0" w:color="auto"/>
        <w:left w:val="none" w:sz="0" w:space="0" w:color="auto"/>
        <w:bottom w:val="none" w:sz="0" w:space="0" w:color="auto"/>
        <w:right w:val="none" w:sz="0" w:space="0" w:color="auto"/>
      </w:divBdr>
    </w:div>
    <w:div w:id="1385258064">
      <w:bodyDiv w:val="1"/>
      <w:marLeft w:val="0"/>
      <w:marRight w:val="0"/>
      <w:marTop w:val="0"/>
      <w:marBottom w:val="0"/>
      <w:divBdr>
        <w:top w:val="none" w:sz="0" w:space="0" w:color="auto"/>
        <w:left w:val="none" w:sz="0" w:space="0" w:color="auto"/>
        <w:bottom w:val="none" w:sz="0" w:space="0" w:color="auto"/>
        <w:right w:val="none" w:sz="0" w:space="0" w:color="auto"/>
      </w:divBdr>
    </w:div>
    <w:div w:id="1539077041">
      <w:bodyDiv w:val="1"/>
      <w:marLeft w:val="0"/>
      <w:marRight w:val="0"/>
      <w:marTop w:val="0"/>
      <w:marBottom w:val="0"/>
      <w:divBdr>
        <w:top w:val="none" w:sz="0" w:space="0" w:color="auto"/>
        <w:left w:val="none" w:sz="0" w:space="0" w:color="auto"/>
        <w:bottom w:val="none" w:sz="0" w:space="0" w:color="auto"/>
        <w:right w:val="none" w:sz="0" w:space="0" w:color="auto"/>
      </w:divBdr>
    </w:div>
    <w:div w:id="1556509547">
      <w:bodyDiv w:val="1"/>
      <w:marLeft w:val="0"/>
      <w:marRight w:val="0"/>
      <w:marTop w:val="0"/>
      <w:marBottom w:val="0"/>
      <w:divBdr>
        <w:top w:val="none" w:sz="0" w:space="0" w:color="auto"/>
        <w:left w:val="none" w:sz="0" w:space="0" w:color="auto"/>
        <w:bottom w:val="none" w:sz="0" w:space="0" w:color="auto"/>
        <w:right w:val="none" w:sz="0" w:space="0" w:color="auto"/>
      </w:divBdr>
    </w:div>
    <w:div w:id="1559436155">
      <w:bodyDiv w:val="1"/>
      <w:marLeft w:val="0"/>
      <w:marRight w:val="0"/>
      <w:marTop w:val="0"/>
      <w:marBottom w:val="0"/>
      <w:divBdr>
        <w:top w:val="none" w:sz="0" w:space="0" w:color="auto"/>
        <w:left w:val="none" w:sz="0" w:space="0" w:color="auto"/>
        <w:bottom w:val="none" w:sz="0" w:space="0" w:color="auto"/>
        <w:right w:val="none" w:sz="0" w:space="0" w:color="auto"/>
      </w:divBdr>
    </w:div>
    <w:div w:id="1577208668">
      <w:bodyDiv w:val="1"/>
      <w:marLeft w:val="0"/>
      <w:marRight w:val="0"/>
      <w:marTop w:val="0"/>
      <w:marBottom w:val="0"/>
      <w:divBdr>
        <w:top w:val="none" w:sz="0" w:space="0" w:color="auto"/>
        <w:left w:val="none" w:sz="0" w:space="0" w:color="auto"/>
        <w:bottom w:val="none" w:sz="0" w:space="0" w:color="auto"/>
        <w:right w:val="none" w:sz="0" w:space="0" w:color="auto"/>
      </w:divBdr>
    </w:div>
    <w:div w:id="1600260168">
      <w:bodyDiv w:val="1"/>
      <w:marLeft w:val="0"/>
      <w:marRight w:val="0"/>
      <w:marTop w:val="0"/>
      <w:marBottom w:val="0"/>
      <w:divBdr>
        <w:top w:val="none" w:sz="0" w:space="0" w:color="auto"/>
        <w:left w:val="none" w:sz="0" w:space="0" w:color="auto"/>
        <w:bottom w:val="none" w:sz="0" w:space="0" w:color="auto"/>
        <w:right w:val="none" w:sz="0" w:space="0" w:color="auto"/>
      </w:divBdr>
      <w:divsChild>
        <w:div w:id="373045228">
          <w:marLeft w:val="0"/>
          <w:marRight w:val="0"/>
          <w:marTop w:val="100"/>
          <w:marBottom w:val="100"/>
          <w:divBdr>
            <w:top w:val="none" w:sz="0" w:space="0" w:color="auto"/>
            <w:left w:val="none" w:sz="0" w:space="0" w:color="auto"/>
            <w:bottom w:val="none" w:sz="0" w:space="0" w:color="auto"/>
            <w:right w:val="none" w:sz="0" w:space="0" w:color="auto"/>
          </w:divBdr>
          <w:divsChild>
            <w:div w:id="343750540">
              <w:marLeft w:val="0"/>
              <w:marRight w:val="0"/>
              <w:marTop w:val="0"/>
              <w:marBottom w:val="0"/>
              <w:divBdr>
                <w:top w:val="none" w:sz="0" w:space="0" w:color="auto"/>
                <w:left w:val="none" w:sz="0" w:space="0" w:color="auto"/>
                <w:bottom w:val="none" w:sz="0" w:space="0" w:color="auto"/>
                <w:right w:val="none" w:sz="0" w:space="0" w:color="auto"/>
              </w:divBdr>
              <w:divsChild>
                <w:div w:id="1013919948">
                  <w:marLeft w:val="0"/>
                  <w:marRight w:val="0"/>
                  <w:marTop w:val="0"/>
                  <w:marBottom w:val="0"/>
                  <w:divBdr>
                    <w:top w:val="none" w:sz="0" w:space="0" w:color="auto"/>
                    <w:left w:val="none" w:sz="0" w:space="0" w:color="auto"/>
                    <w:bottom w:val="none" w:sz="0" w:space="0" w:color="auto"/>
                    <w:right w:val="none" w:sz="0" w:space="0" w:color="auto"/>
                  </w:divBdr>
                  <w:divsChild>
                    <w:div w:id="435291925">
                      <w:marLeft w:val="0"/>
                      <w:marRight w:val="0"/>
                      <w:marTop w:val="0"/>
                      <w:marBottom w:val="0"/>
                      <w:divBdr>
                        <w:top w:val="none" w:sz="0" w:space="0" w:color="auto"/>
                        <w:left w:val="none" w:sz="0" w:space="0" w:color="auto"/>
                        <w:bottom w:val="none" w:sz="0" w:space="0" w:color="auto"/>
                        <w:right w:val="none" w:sz="0" w:space="0" w:color="auto"/>
                      </w:divBdr>
                      <w:divsChild>
                        <w:div w:id="662245194">
                          <w:marLeft w:val="0"/>
                          <w:marRight w:val="0"/>
                          <w:marTop w:val="0"/>
                          <w:marBottom w:val="0"/>
                          <w:divBdr>
                            <w:top w:val="none" w:sz="0" w:space="0" w:color="auto"/>
                            <w:left w:val="none" w:sz="0" w:space="0" w:color="auto"/>
                            <w:bottom w:val="none" w:sz="0" w:space="0" w:color="auto"/>
                            <w:right w:val="none" w:sz="0" w:space="0" w:color="auto"/>
                          </w:divBdr>
                          <w:divsChild>
                            <w:div w:id="1651406033">
                              <w:marLeft w:val="0"/>
                              <w:marRight w:val="0"/>
                              <w:marTop w:val="0"/>
                              <w:marBottom w:val="0"/>
                              <w:divBdr>
                                <w:top w:val="none" w:sz="0" w:space="0" w:color="auto"/>
                                <w:left w:val="none" w:sz="0" w:space="0" w:color="auto"/>
                                <w:bottom w:val="none" w:sz="0" w:space="0" w:color="auto"/>
                                <w:right w:val="none" w:sz="0" w:space="0" w:color="auto"/>
                              </w:divBdr>
                              <w:divsChild>
                                <w:div w:id="144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64274">
      <w:bodyDiv w:val="1"/>
      <w:marLeft w:val="0"/>
      <w:marRight w:val="0"/>
      <w:marTop w:val="0"/>
      <w:marBottom w:val="0"/>
      <w:divBdr>
        <w:top w:val="none" w:sz="0" w:space="0" w:color="auto"/>
        <w:left w:val="none" w:sz="0" w:space="0" w:color="auto"/>
        <w:bottom w:val="none" w:sz="0" w:space="0" w:color="auto"/>
        <w:right w:val="none" w:sz="0" w:space="0" w:color="auto"/>
      </w:divBdr>
      <w:divsChild>
        <w:div w:id="98526605">
          <w:marLeft w:val="1080"/>
          <w:marRight w:val="0"/>
          <w:marTop w:val="134"/>
          <w:marBottom w:val="0"/>
          <w:divBdr>
            <w:top w:val="none" w:sz="0" w:space="0" w:color="auto"/>
            <w:left w:val="none" w:sz="0" w:space="0" w:color="auto"/>
            <w:bottom w:val="none" w:sz="0" w:space="0" w:color="auto"/>
            <w:right w:val="none" w:sz="0" w:space="0" w:color="auto"/>
          </w:divBdr>
        </w:div>
      </w:divsChild>
    </w:div>
    <w:div w:id="1875463806">
      <w:bodyDiv w:val="1"/>
      <w:marLeft w:val="0"/>
      <w:marRight w:val="0"/>
      <w:marTop w:val="0"/>
      <w:marBottom w:val="0"/>
      <w:divBdr>
        <w:top w:val="none" w:sz="0" w:space="0" w:color="auto"/>
        <w:left w:val="none" w:sz="0" w:space="0" w:color="auto"/>
        <w:bottom w:val="none" w:sz="0" w:space="0" w:color="auto"/>
        <w:right w:val="none" w:sz="0" w:space="0" w:color="auto"/>
      </w:divBdr>
    </w:div>
    <w:div w:id="1970471303">
      <w:bodyDiv w:val="1"/>
      <w:marLeft w:val="0"/>
      <w:marRight w:val="0"/>
      <w:marTop w:val="0"/>
      <w:marBottom w:val="0"/>
      <w:divBdr>
        <w:top w:val="none" w:sz="0" w:space="0" w:color="auto"/>
        <w:left w:val="none" w:sz="0" w:space="0" w:color="auto"/>
        <w:bottom w:val="none" w:sz="0" w:space="0" w:color="auto"/>
        <w:right w:val="none" w:sz="0" w:space="0" w:color="auto"/>
      </w:divBdr>
      <w:divsChild>
        <w:div w:id="455104478">
          <w:marLeft w:val="1166"/>
          <w:marRight w:val="0"/>
          <w:marTop w:val="58"/>
          <w:marBottom w:val="0"/>
          <w:divBdr>
            <w:top w:val="none" w:sz="0" w:space="0" w:color="auto"/>
            <w:left w:val="none" w:sz="0" w:space="0" w:color="auto"/>
            <w:bottom w:val="none" w:sz="0" w:space="0" w:color="auto"/>
            <w:right w:val="none" w:sz="0" w:space="0" w:color="auto"/>
          </w:divBdr>
        </w:div>
      </w:divsChild>
    </w:div>
    <w:div w:id="21132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4927-AE8F-4E81-9183-8653392E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17183</Words>
  <Characters>98880</Characters>
  <Application>Microsoft Office Word</Application>
  <DocSecurity>0</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2019-02-20T04:27:00Z</dcterms:created>
  <dcterms:modified xsi:type="dcterms:W3CDTF">2019-02-25T02:58:00Z</dcterms:modified>
</cp:coreProperties>
</file>