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27" w:rsidRDefault="00FA3B26" w:rsidP="009F5057">
      <w:pPr>
        <w:pStyle w:val="aTitle"/>
        <w:widowControl/>
        <w:spacing w:before="240"/>
        <w:ind w:left="851" w:hanging="851"/>
        <w:jc w:val="left"/>
      </w:pPr>
      <w:bookmarkStart w:id="0" w:name="_GoBack"/>
      <w:bookmarkEnd w:id="0"/>
      <w:r>
        <w:t>5.08</w:t>
      </w:r>
      <w:r>
        <w:tab/>
      </w:r>
      <w:r w:rsidR="00745C95" w:rsidRPr="00EA5C02">
        <w:t>INSULIN ASPART</w:t>
      </w:r>
      <w:r w:rsidR="00B60939" w:rsidRPr="00EA5C02">
        <w:t xml:space="preserve">, </w:t>
      </w:r>
    </w:p>
    <w:p w:rsidR="007E7B27" w:rsidRDefault="00EB3EFA" w:rsidP="002F637F">
      <w:pPr>
        <w:pStyle w:val="aTitle"/>
        <w:widowControl/>
        <w:ind w:left="851" w:hanging="851"/>
        <w:jc w:val="left"/>
      </w:pPr>
      <w:r w:rsidRPr="00EA5C02">
        <w:t>I</w:t>
      </w:r>
      <w:r w:rsidR="00745C95" w:rsidRPr="00EA5C02">
        <w:t>njections</w:t>
      </w:r>
      <w:r w:rsidR="00B60939" w:rsidRPr="00EA5C02">
        <w:t xml:space="preserve">, </w:t>
      </w:r>
      <w:r w:rsidR="007E7B27">
        <w:t xml:space="preserve">100 units per </w:t>
      </w:r>
      <w:r w:rsidR="00745C95" w:rsidRPr="00EA5C02">
        <w:t>mL</w:t>
      </w:r>
      <w:r w:rsidR="00B60939" w:rsidRPr="00EA5C02">
        <w:t xml:space="preserve">, </w:t>
      </w:r>
      <w:r w:rsidR="007E7B27">
        <w:t>1 x 10 mL vial</w:t>
      </w:r>
    </w:p>
    <w:p w:rsidR="007F3814" w:rsidRDefault="007E7B27" w:rsidP="007F3814">
      <w:pPr>
        <w:pStyle w:val="aTitle"/>
        <w:widowControl/>
        <w:jc w:val="left"/>
      </w:pPr>
      <w:r>
        <w:t xml:space="preserve">Injections, 100 units per </w:t>
      </w:r>
      <w:r w:rsidRPr="00EA5C02">
        <w:t>mL</w:t>
      </w:r>
      <w:r>
        <w:t xml:space="preserve">, </w:t>
      </w:r>
      <w:r w:rsidR="007F3814">
        <w:t>5 x 3 mL cartridges</w:t>
      </w:r>
    </w:p>
    <w:p w:rsidR="007F3814" w:rsidRDefault="007F3814" w:rsidP="007F3814">
      <w:pPr>
        <w:pStyle w:val="aTitle"/>
        <w:widowControl/>
        <w:jc w:val="left"/>
      </w:pPr>
      <w:r>
        <w:t xml:space="preserve">Injections, 100 units per </w:t>
      </w:r>
      <w:r w:rsidRPr="00EA5C02">
        <w:t>mL</w:t>
      </w:r>
      <w:r>
        <w:t>, 5 x 3 mL injection devices</w:t>
      </w:r>
    </w:p>
    <w:p w:rsidR="00B60939" w:rsidRPr="00EA5C02" w:rsidRDefault="00745C95" w:rsidP="007F3814">
      <w:pPr>
        <w:pStyle w:val="aTitle"/>
        <w:widowControl/>
        <w:jc w:val="left"/>
      </w:pPr>
      <w:r w:rsidRPr="00EA5C02">
        <w:t>F</w:t>
      </w:r>
      <w:r w:rsidR="007205D1">
        <w:t>iasp</w:t>
      </w:r>
      <w:r w:rsidR="00B60939" w:rsidRPr="00EA5C02">
        <w:t>®,</w:t>
      </w:r>
      <w:r w:rsidR="00FA3B26">
        <w:t xml:space="preserve"> </w:t>
      </w:r>
      <w:r w:rsidRPr="00EA5C02">
        <w:t>Novo</w:t>
      </w:r>
      <w:r w:rsidR="007205D1">
        <w:t xml:space="preserve"> </w:t>
      </w:r>
      <w:r w:rsidRPr="00EA5C02">
        <w:t>Nordisk</w:t>
      </w:r>
      <w:r w:rsidR="007205D1">
        <w:t xml:space="preserve"> Pharmaceuticals Pty Ltd</w:t>
      </w:r>
    </w:p>
    <w:p w:rsidR="00B60939" w:rsidRPr="00E35188" w:rsidRDefault="00B60939" w:rsidP="002F637F">
      <w:pPr>
        <w:widowControl/>
      </w:pPr>
    </w:p>
    <w:p w:rsidR="00B50DB8" w:rsidRPr="00FA3B26" w:rsidRDefault="00B50DB8" w:rsidP="002F637F">
      <w:pPr>
        <w:pStyle w:val="Heading1"/>
      </w:pPr>
      <w:bookmarkStart w:id="1" w:name="_Toc521797521"/>
      <w:r w:rsidRPr="00FA3B26">
        <w:t>Purpose of Application</w:t>
      </w:r>
      <w:bookmarkEnd w:id="1"/>
    </w:p>
    <w:p w:rsidR="00192433" w:rsidRPr="003A38F7" w:rsidRDefault="00683EF8" w:rsidP="002F637F">
      <w:pPr>
        <w:pStyle w:val="ListParagraph"/>
        <w:widowControl/>
        <w:numPr>
          <w:ilvl w:val="1"/>
          <w:numId w:val="3"/>
        </w:numPr>
        <w:spacing w:after="120"/>
        <w:rPr>
          <w:iCs/>
        </w:rPr>
      </w:pPr>
      <w:r>
        <w:t>The submission requested a</w:t>
      </w:r>
      <w:r w:rsidR="00C203CC" w:rsidRPr="003A38F7">
        <w:t xml:space="preserve">n unrestricted </w:t>
      </w:r>
      <w:r w:rsidR="008B1757" w:rsidRPr="003A38F7">
        <w:t xml:space="preserve">listing for </w:t>
      </w:r>
      <w:r w:rsidR="00C203CC" w:rsidRPr="003A38F7">
        <w:t xml:space="preserve">insulin aspart (Fiasp®) </w:t>
      </w:r>
      <w:r w:rsidR="008B1757" w:rsidRPr="003A38F7">
        <w:t xml:space="preserve">for treatment of </w:t>
      </w:r>
      <w:r w:rsidR="00C203CC" w:rsidRPr="003A38F7">
        <w:t>type 1 and type 2 diabetes mellitus (T1DM and T2DM)</w:t>
      </w:r>
      <w:r w:rsidR="00E67554" w:rsidRPr="003A38F7">
        <w:rPr>
          <w:iCs/>
        </w:rPr>
        <w:t>.</w:t>
      </w:r>
    </w:p>
    <w:p w:rsidR="00E725FE" w:rsidRPr="003A38F7" w:rsidRDefault="00E67554" w:rsidP="002F637F">
      <w:pPr>
        <w:pStyle w:val="ListParagraph"/>
        <w:widowControl/>
        <w:numPr>
          <w:ilvl w:val="1"/>
          <w:numId w:val="3"/>
        </w:numPr>
        <w:spacing w:after="120"/>
      </w:pPr>
      <w:r w:rsidRPr="003A38F7">
        <w:t>A</w:t>
      </w:r>
      <w:r w:rsidR="00E725FE" w:rsidRPr="003A38F7">
        <w:t xml:space="preserve">n existing formulation of </w:t>
      </w:r>
      <w:r w:rsidRPr="003A38F7">
        <w:t xml:space="preserve">insulin aspart </w:t>
      </w:r>
      <w:r w:rsidR="00683EF8">
        <w:t>(</w:t>
      </w:r>
      <w:r w:rsidR="00683EF8" w:rsidRPr="003A38F7">
        <w:t>NovoRapid®</w:t>
      </w:r>
      <w:r w:rsidR="00683EF8">
        <w:t>) is already listed on the PBS.</w:t>
      </w:r>
      <w:r w:rsidR="00E725FE" w:rsidRPr="003A38F7">
        <w:t xml:space="preserve"> </w:t>
      </w:r>
      <w:r w:rsidR="00713357">
        <w:t>T</w:t>
      </w:r>
      <w:r w:rsidR="00713357" w:rsidRPr="003A38F7">
        <w:t>he new formulation</w:t>
      </w:r>
      <w:r w:rsidR="00713357">
        <w:t xml:space="preserve">, </w:t>
      </w:r>
      <w:r w:rsidR="00195936">
        <w:t>Fiasp</w:t>
      </w:r>
      <w:r w:rsidR="00750468" w:rsidRPr="003A38F7">
        <w:t xml:space="preserve">, </w:t>
      </w:r>
      <w:r w:rsidR="00E92F7A" w:rsidRPr="003A38F7">
        <w:t xml:space="preserve">has </w:t>
      </w:r>
      <w:r w:rsidR="0001354B" w:rsidRPr="003A38F7">
        <w:t xml:space="preserve">a </w:t>
      </w:r>
      <w:r w:rsidRPr="003A38F7">
        <w:t>fast</w:t>
      </w:r>
      <w:r w:rsidR="00750468" w:rsidRPr="003A38F7">
        <w:t>er onset of action</w:t>
      </w:r>
      <w:r w:rsidR="00512524">
        <w:t xml:space="preserve"> </w:t>
      </w:r>
      <w:r w:rsidR="002737A3">
        <w:t xml:space="preserve">resulting from the addition of the excipient niacinamide. </w:t>
      </w:r>
    </w:p>
    <w:p w:rsidR="00163FB4" w:rsidRDefault="0001354B" w:rsidP="00163FB4">
      <w:pPr>
        <w:pStyle w:val="ListParagraph"/>
        <w:widowControl/>
        <w:numPr>
          <w:ilvl w:val="1"/>
          <w:numId w:val="3"/>
        </w:numPr>
        <w:spacing w:after="120"/>
      </w:pPr>
      <w:r w:rsidRPr="003A38F7">
        <w:t>Table 1 summarises key components of the clinical issues addressed by the submission.</w:t>
      </w:r>
    </w:p>
    <w:p w:rsidR="008B1757" w:rsidRPr="00E35188" w:rsidRDefault="008B1757" w:rsidP="002F637F">
      <w:pPr>
        <w:widowControl/>
        <w:rPr>
          <w:rStyle w:val="CommentReference"/>
        </w:rPr>
      </w:pPr>
      <w:r w:rsidRPr="00E35188">
        <w:rPr>
          <w:rStyle w:val="CommentReference"/>
        </w:rPr>
        <w:t xml:space="preserve">Table </w:t>
      </w:r>
      <w:r w:rsidR="008825AA">
        <w:rPr>
          <w:rStyle w:val="CommentReference"/>
        </w:rPr>
        <w:t>1</w:t>
      </w:r>
      <w:r w:rsidRPr="00E35188">
        <w:rPr>
          <w:rStyle w:val="CommentReference"/>
        </w:rPr>
        <w:t>:</w:t>
      </w:r>
      <w:r w:rsidR="00713357">
        <w:rPr>
          <w:rStyle w:val="CommentReference"/>
        </w:rPr>
        <w:t xml:space="preserve"> </w:t>
      </w:r>
      <w:r w:rsidRPr="00E35188">
        <w:rPr>
          <w:rStyle w:val="CommentReference"/>
        </w:rPr>
        <w:t>Key components of the clinical issue</w:t>
      </w:r>
      <w:r w:rsidR="0001354B">
        <w:rPr>
          <w:rStyle w:val="CommentReference"/>
        </w:rPr>
        <w:t>s</w:t>
      </w:r>
      <w:r w:rsidRPr="00E35188">
        <w:rPr>
          <w:rStyle w:val="CommentReference"/>
        </w:rPr>
        <w:t xml:space="preserv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885"/>
      </w:tblGrid>
      <w:tr w:rsidR="008825AA" w:rsidRPr="00E35188" w:rsidTr="005C7675">
        <w:tc>
          <w:tcPr>
            <w:tcW w:w="1271" w:type="dxa"/>
            <w:vAlign w:val="center"/>
          </w:tcPr>
          <w:p w:rsidR="008825AA" w:rsidRPr="00E35188" w:rsidRDefault="008825AA" w:rsidP="002F637F">
            <w:pPr>
              <w:pStyle w:val="Tabletext"/>
              <w:rPr>
                <w:b/>
              </w:rPr>
            </w:pPr>
            <w:r w:rsidRPr="00E35188">
              <w:rPr>
                <w:b/>
              </w:rPr>
              <w:t>Component</w:t>
            </w:r>
          </w:p>
        </w:tc>
        <w:tc>
          <w:tcPr>
            <w:tcW w:w="7885" w:type="dxa"/>
            <w:vAlign w:val="center"/>
          </w:tcPr>
          <w:p w:rsidR="008825AA" w:rsidRPr="00E35188" w:rsidRDefault="008825AA" w:rsidP="002F637F">
            <w:pPr>
              <w:pStyle w:val="Tabletext"/>
              <w:jc w:val="center"/>
              <w:rPr>
                <w:b/>
              </w:rPr>
            </w:pPr>
            <w:r w:rsidRPr="00E35188">
              <w:rPr>
                <w:b/>
              </w:rPr>
              <w:t>Description</w:t>
            </w:r>
          </w:p>
        </w:tc>
      </w:tr>
      <w:tr w:rsidR="008825AA" w:rsidRPr="00E35188" w:rsidTr="005C7675">
        <w:tc>
          <w:tcPr>
            <w:tcW w:w="1271" w:type="dxa"/>
            <w:vAlign w:val="center"/>
          </w:tcPr>
          <w:p w:rsidR="008825AA" w:rsidRPr="00E35188" w:rsidRDefault="008825AA" w:rsidP="002F637F">
            <w:pPr>
              <w:pStyle w:val="Tabletext"/>
            </w:pPr>
            <w:r w:rsidRPr="00E35188">
              <w:t>Population</w:t>
            </w:r>
          </w:p>
        </w:tc>
        <w:tc>
          <w:tcPr>
            <w:tcW w:w="7885" w:type="dxa"/>
            <w:vAlign w:val="center"/>
          </w:tcPr>
          <w:p w:rsidR="008825AA" w:rsidRPr="00E35188" w:rsidRDefault="008825AA" w:rsidP="002F637F">
            <w:pPr>
              <w:pStyle w:val="Tabletext"/>
            </w:pPr>
            <w:r w:rsidRPr="00E35188">
              <w:t>Patients with Type 1 and Type 2 diabetes mellitus requiring bolus insulin.</w:t>
            </w:r>
          </w:p>
        </w:tc>
      </w:tr>
      <w:tr w:rsidR="008825AA" w:rsidRPr="00E35188" w:rsidTr="005C7675">
        <w:tc>
          <w:tcPr>
            <w:tcW w:w="1271" w:type="dxa"/>
            <w:vAlign w:val="center"/>
          </w:tcPr>
          <w:p w:rsidR="008825AA" w:rsidRPr="00E35188" w:rsidRDefault="008825AA" w:rsidP="002F637F">
            <w:pPr>
              <w:pStyle w:val="Tabletext"/>
            </w:pPr>
            <w:r w:rsidRPr="00E35188">
              <w:t>Intervention</w:t>
            </w:r>
          </w:p>
        </w:tc>
        <w:tc>
          <w:tcPr>
            <w:tcW w:w="7885" w:type="dxa"/>
            <w:vAlign w:val="center"/>
          </w:tcPr>
          <w:p w:rsidR="008825AA" w:rsidRPr="00E35188" w:rsidRDefault="0038197A" w:rsidP="0038197A">
            <w:pPr>
              <w:pStyle w:val="Tabletext"/>
            </w:pPr>
            <w:r>
              <w:t>I</w:t>
            </w:r>
            <w:r w:rsidR="008825AA" w:rsidRPr="00E35188">
              <w:t xml:space="preserve">nsulin </w:t>
            </w:r>
            <w:r w:rsidR="00195936">
              <w:t>aspart (Fiasp</w:t>
            </w:r>
            <w:r w:rsidR="008825AA" w:rsidRPr="00E35188">
              <w:t>) delivered either as bolus subcutaneous injections or via external continuous subcutaneous insulin infusion (CSII).</w:t>
            </w:r>
          </w:p>
        </w:tc>
      </w:tr>
      <w:tr w:rsidR="008825AA" w:rsidRPr="00E35188" w:rsidTr="005C7675">
        <w:tc>
          <w:tcPr>
            <w:tcW w:w="1271" w:type="dxa"/>
            <w:vAlign w:val="center"/>
          </w:tcPr>
          <w:p w:rsidR="008825AA" w:rsidRPr="00E35188" w:rsidRDefault="008825AA" w:rsidP="002F637F">
            <w:pPr>
              <w:pStyle w:val="Tabletext"/>
            </w:pPr>
            <w:r w:rsidRPr="00E35188">
              <w:t>Comparator</w:t>
            </w:r>
          </w:p>
        </w:tc>
        <w:tc>
          <w:tcPr>
            <w:tcW w:w="7885" w:type="dxa"/>
            <w:vAlign w:val="center"/>
          </w:tcPr>
          <w:p w:rsidR="008825AA" w:rsidRPr="00E35188" w:rsidRDefault="00195936" w:rsidP="002F637F">
            <w:pPr>
              <w:pStyle w:val="Tabletext"/>
            </w:pPr>
            <w:r>
              <w:t>Insulin aspart (NovoRapid</w:t>
            </w:r>
            <w:r w:rsidR="008825AA" w:rsidRPr="00E35188">
              <w:t xml:space="preserve">) </w:t>
            </w:r>
          </w:p>
        </w:tc>
      </w:tr>
      <w:tr w:rsidR="008825AA" w:rsidRPr="00E35188" w:rsidTr="005C7675">
        <w:tc>
          <w:tcPr>
            <w:tcW w:w="1271" w:type="dxa"/>
            <w:vAlign w:val="center"/>
          </w:tcPr>
          <w:p w:rsidR="008825AA" w:rsidRPr="00E35188" w:rsidRDefault="008825AA" w:rsidP="002F637F">
            <w:pPr>
              <w:pStyle w:val="Tabletext"/>
            </w:pPr>
            <w:r w:rsidRPr="00E35188">
              <w:t>Outcomes</w:t>
            </w:r>
          </w:p>
        </w:tc>
        <w:tc>
          <w:tcPr>
            <w:tcW w:w="7885" w:type="dxa"/>
            <w:vAlign w:val="center"/>
          </w:tcPr>
          <w:p w:rsidR="008825AA" w:rsidRPr="00E35188" w:rsidRDefault="008825AA" w:rsidP="002F637F">
            <w:pPr>
              <w:pStyle w:val="Tabletext"/>
            </w:pPr>
            <w:r w:rsidRPr="00E35188">
              <w:t>Glycaemic control measured by mean decrease in HbA1c, post prandial glucose, rates of hypoglycaemia.</w:t>
            </w:r>
          </w:p>
        </w:tc>
      </w:tr>
      <w:tr w:rsidR="008825AA" w:rsidRPr="00E35188" w:rsidTr="005C7675">
        <w:tc>
          <w:tcPr>
            <w:tcW w:w="1271" w:type="dxa"/>
            <w:vAlign w:val="center"/>
          </w:tcPr>
          <w:p w:rsidR="008825AA" w:rsidRPr="00E35188" w:rsidRDefault="008825AA" w:rsidP="002F637F">
            <w:pPr>
              <w:pStyle w:val="Tabletext"/>
            </w:pPr>
            <w:r w:rsidRPr="00E35188">
              <w:t>Clinical claim</w:t>
            </w:r>
          </w:p>
        </w:tc>
        <w:tc>
          <w:tcPr>
            <w:tcW w:w="7885" w:type="dxa"/>
            <w:vAlign w:val="center"/>
          </w:tcPr>
          <w:p w:rsidR="008825AA" w:rsidRPr="00E35188" w:rsidRDefault="008825AA" w:rsidP="00195936">
            <w:pPr>
              <w:pStyle w:val="Tabletext"/>
            </w:pPr>
            <w:r w:rsidRPr="00E35188">
              <w:t>The submission claimed insulin aspart (Fiasp®) to be no worse than insulin aspart (NovoRapid) at improving HbA1c and no worse in terms of safety.</w:t>
            </w:r>
          </w:p>
        </w:tc>
      </w:tr>
    </w:tbl>
    <w:p w:rsidR="008825AA" w:rsidRPr="002F637F" w:rsidRDefault="008825AA" w:rsidP="002F637F">
      <w:pPr>
        <w:pStyle w:val="TableFooter"/>
        <w:widowControl/>
        <w:rPr>
          <w:iCs/>
        </w:rPr>
      </w:pPr>
      <w:r w:rsidRPr="002F637F">
        <w:rPr>
          <w:iCs/>
        </w:rPr>
        <w:t xml:space="preserve">Source: </w:t>
      </w:r>
      <w:r w:rsidR="008C0E8F" w:rsidRPr="002F637F">
        <w:rPr>
          <w:iCs/>
        </w:rPr>
        <w:t xml:space="preserve">compiled during the evaluation based on information contained in </w:t>
      </w:r>
      <w:r w:rsidRPr="002F637F">
        <w:rPr>
          <w:iCs/>
        </w:rPr>
        <w:t>Table 1.1.1, p17 of the submission.</w:t>
      </w:r>
    </w:p>
    <w:p w:rsidR="002F637F" w:rsidRPr="008C0E8F" w:rsidRDefault="002F637F" w:rsidP="002F637F">
      <w:pPr>
        <w:pStyle w:val="TableFooter"/>
        <w:widowControl/>
        <w:rPr>
          <w:i/>
          <w:iCs/>
        </w:rPr>
      </w:pPr>
    </w:p>
    <w:p w:rsidR="00B60939" w:rsidRPr="00E35188" w:rsidRDefault="00B50DB8" w:rsidP="002F637F">
      <w:pPr>
        <w:pStyle w:val="Heading1"/>
      </w:pPr>
      <w:bookmarkStart w:id="2" w:name="_Toc521797522"/>
      <w:r w:rsidRPr="00E35188">
        <w:t>Requested listing</w:t>
      </w:r>
      <w:bookmarkEnd w:id="2"/>
    </w:p>
    <w:p w:rsidR="004D4B0D" w:rsidRPr="00F453A9" w:rsidRDefault="004D4B0D" w:rsidP="005F1703">
      <w:pPr>
        <w:pStyle w:val="ListParagraph"/>
        <w:widowControl/>
        <w:numPr>
          <w:ilvl w:val="1"/>
          <w:numId w:val="3"/>
        </w:numPr>
        <w:spacing w:after="120"/>
      </w:pPr>
      <w:r w:rsidRPr="005F1703">
        <w:t>Suggestions and additions proposed by the Secretariat to the requested listing are added in italics and suggested deletions are crossed out with strikethrough</w:t>
      </w:r>
      <w:r w:rsidRPr="00F453A9">
        <w:t xml:space="preserve"> </w:t>
      </w:r>
    </w:p>
    <w:p w:rsidR="00ED1B31" w:rsidRDefault="00ED1B31" w:rsidP="002F637F">
      <w:pPr>
        <w:widowControl/>
      </w:pP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333"/>
        <w:gridCol w:w="1289"/>
        <w:gridCol w:w="1271"/>
        <w:gridCol w:w="924"/>
        <w:gridCol w:w="1735"/>
        <w:gridCol w:w="1684"/>
      </w:tblGrid>
      <w:tr w:rsidR="007C2B6E" w:rsidRPr="00E35188" w:rsidTr="005C7675">
        <w:tc>
          <w:tcPr>
            <w:tcW w:w="0" w:type="auto"/>
          </w:tcPr>
          <w:p w:rsidR="002D51A1" w:rsidRPr="00E35188" w:rsidRDefault="002D51A1" w:rsidP="002F637F">
            <w:pPr>
              <w:pStyle w:val="Tabletext"/>
              <w:keepNext/>
              <w:keepLines/>
              <w:rPr>
                <w:b/>
                <w:bCs/>
              </w:rPr>
            </w:pPr>
            <w:r w:rsidRPr="00E35188">
              <w:rPr>
                <w:b/>
              </w:rPr>
              <w:lastRenderedPageBreak/>
              <w:t>Name, restriction, manner of administration, form</w:t>
            </w:r>
          </w:p>
        </w:tc>
        <w:tc>
          <w:tcPr>
            <w:tcW w:w="0" w:type="auto"/>
          </w:tcPr>
          <w:p w:rsidR="002D51A1" w:rsidRPr="00E35188" w:rsidRDefault="002D51A1" w:rsidP="002F637F">
            <w:pPr>
              <w:pStyle w:val="Tabletext"/>
              <w:keepNext/>
              <w:keepLines/>
              <w:jc w:val="center"/>
              <w:rPr>
                <w:b/>
                <w:bCs/>
              </w:rPr>
            </w:pPr>
            <w:r w:rsidRPr="00E35188">
              <w:rPr>
                <w:b/>
              </w:rPr>
              <w:t>Maximum quantity (packs)</w:t>
            </w:r>
          </w:p>
        </w:tc>
        <w:tc>
          <w:tcPr>
            <w:tcW w:w="0" w:type="auto"/>
          </w:tcPr>
          <w:p w:rsidR="002D51A1" w:rsidRPr="00E35188" w:rsidRDefault="002D51A1" w:rsidP="002F637F">
            <w:pPr>
              <w:pStyle w:val="Tabletext"/>
              <w:keepNext/>
              <w:keepLines/>
              <w:jc w:val="center"/>
              <w:rPr>
                <w:b/>
                <w:bCs/>
              </w:rPr>
            </w:pPr>
            <w:r w:rsidRPr="00E35188">
              <w:rPr>
                <w:b/>
              </w:rPr>
              <w:t>Maximum quantity (units)</w:t>
            </w:r>
          </w:p>
        </w:tc>
        <w:tc>
          <w:tcPr>
            <w:tcW w:w="0" w:type="auto"/>
          </w:tcPr>
          <w:p w:rsidR="002D51A1" w:rsidRPr="00E35188" w:rsidRDefault="002D51A1" w:rsidP="002F637F">
            <w:pPr>
              <w:pStyle w:val="Tabletext"/>
              <w:keepNext/>
              <w:keepLines/>
              <w:rPr>
                <w:b/>
                <w:bCs/>
              </w:rPr>
            </w:pPr>
            <w:r w:rsidRPr="00E35188">
              <w:rPr>
                <w:b/>
              </w:rPr>
              <w:t>No. of repeats</w:t>
            </w:r>
          </w:p>
        </w:tc>
        <w:tc>
          <w:tcPr>
            <w:tcW w:w="0" w:type="auto"/>
          </w:tcPr>
          <w:p w:rsidR="002D51A1" w:rsidRPr="00E35188" w:rsidRDefault="002D51A1" w:rsidP="002F637F">
            <w:pPr>
              <w:pStyle w:val="Tabletext"/>
              <w:keepNext/>
              <w:keepLines/>
              <w:rPr>
                <w:b/>
                <w:bCs/>
              </w:rPr>
            </w:pPr>
            <w:r w:rsidRPr="00E35188">
              <w:rPr>
                <w:b/>
              </w:rPr>
              <w:t>Dispensed price for maximum quantity (DPMQ)</w:t>
            </w:r>
          </w:p>
        </w:tc>
        <w:tc>
          <w:tcPr>
            <w:tcW w:w="0" w:type="auto"/>
          </w:tcPr>
          <w:p w:rsidR="002D51A1" w:rsidRPr="00E35188" w:rsidRDefault="002D51A1" w:rsidP="002F637F">
            <w:pPr>
              <w:pStyle w:val="Tabletext"/>
              <w:keepNext/>
              <w:keepLines/>
              <w:rPr>
                <w:b/>
                <w:bCs/>
              </w:rPr>
            </w:pPr>
            <w:r w:rsidRPr="00E35188">
              <w:rPr>
                <w:b/>
              </w:rPr>
              <w:t>Proprietary name and manufacturer</w:t>
            </w:r>
          </w:p>
        </w:tc>
      </w:tr>
      <w:tr w:rsidR="007C2B6E" w:rsidRPr="00E35188" w:rsidTr="005C7675">
        <w:tc>
          <w:tcPr>
            <w:tcW w:w="0" w:type="auto"/>
          </w:tcPr>
          <w:p w:rsidR="002D51A1" w:rsidRPr="003A38F7" w:rsidRDefault="002D51A1" w:rsidP="002F637F">
            <w:pPr>
              <w:pStyle w:val="Tabletext"/>
              <w:keepNext/>
              <w:keepLines/>
              <w:rPr>
                <w:b/>
                <w:bCs/>
              </w:rPr>
            </w:pPr>
            <w:r w:rsidRPr="004D4B0D">
              <w:rPr>
                <w:strike/>
              </w:rPr>
              <w:t>Fast-acting</w:t>
            </w:r>
            <w:r w:rsidRPr="003A38F7">
              <w:t xml:space="preserve"> insulin aspart, 100units/mL injection, 1x10mL vial</w:t>
            </w:r>
          </w:p>
        </w:tc>
        <w:tc>
          <w:tcPr>
            <w:tcW w:w="0" w:type="auto"/>
          </w:tcPr>
          <w:p w:rsidR="002D51A1" w:rsidRPr="003A38F7" w:rsidRDefault="002D51A1" w:rsidP="002F637F">
            <w:pPr>
              <w:pStyle w:val="Tabletext"/>
              <w:keepNext/>
              <w:keepLines/>
              <w:jc w:val="center"/>
              <w:rPr>
                <w:rFonts w:ascii="Times" w:hAnsi="Times"/>
              </w:rPr>
            </w:pPr>
            <w:r w:rsidRPr="003A38F7">
              <w:t>5</w:t>
            </w:r>
          </w:p>
        </w:tc>
        <w:tc>
          <w:tcPr>
            <w:tcW w:w="0" w:type="auto"/>
          </w:tcPr>
          <w:p w:rsidR="002D51A1" w:rsidRPr="003A38F7" w:rsidRDefault="002D51A1" w:rsidP="002F637F">
            <w:pPr>
              <w:pStyle w:val="Tabletext"/>
              <w:keepNext/>
              <w:keepLines/>
              <w:jc w:val="center"/>
              <w:rPr>
                <w:rFonts w:ascii="Times" w:hAnsi="Times"/>
              </w:rPr>
            </w:pPr>
            <w:r w:rsidRPr="003A38F7">
              <w:t>5</w:t>
            </w:r>
          </w:p>
        </w:tc>
        <w:tc>
          <w:tcPr>
            <w:tcW w:w="0" w:type="auto"/>
          </w:tcPr>
          <w:p w:rsidR="002D51A1" w:rsidRPr="003A38F7" w:rsidRDefault="002D51A1" w:rsidP="002F637F">
            <w:pPr>
              <w:pStyle w:val="Tabletext"/>
              <w:keepNext/>
              <w:keepLines/>
              <w:jc w:val="center"/>
              <w:rPr>
                <w:rFonts w:ascii="Times" w:hAnsi="Times"/>
              </w:rPr>
            </w:pPr>
            <w:r w:rsidRPr="003A38F7">
              <w:t>2</w:t>
            </w:r>
          </w:p>
        </w:tc>
        <w:tc>
          <w:tcPr>
            <w:tcW w:w="0" w:type="auto"/>
          </w:tcPr>
          <w:p w:rsidR="002D51A1" w:rsidRPr="003A38F7" w:rsidRDefault="002D51A1" w:rsidP="002F637F">
            <w:pPr>
              <w:pStyle w:val="Tabletext"/>
              <w:keepNext/>
              <w:keepLines/>
            </w:pPr>
            <w:r w:rsidRPr="003A38F7">
              <w:t xml:space="preserve">$143.39* </w:t>
            </w:r>
          </w:p>
        </w:tc>
        <w:tc>
          <w:tcPr>
            <w:tcW w:w="0" w:type="auto"/>
          </w:tcPr>
          <w:p w:rsidR="002D51A1" w:rsidRPr="003A38F7" w:rsidRDefault="002D51A1" w:rsidP="00D50B09">
            <w:pPr>
              <w:pStyle w:val="Tabletext"/>
              <w:keepNext/>
              <w:keepLines/>
              <w:rPr>
                <w:rFonts w:ascii="Times" w:hAnsi="Times"/>
              </w:rPr>
            </w:pPr>
            <w:r w:rsidRPr="003A38F7">
              <w:t>Fiasp Vial, Novo Nordisk</w:t>
            </w:r>
          </w:p>
        </w:tc>
      </w:tr>
      <w:tr w:rsidR="007C2B6E" w:rsidRPr="00E35188" w:rsidTr="005C7675">
        <w:tc>
          <w:tcPr>
            <w:tcW w:w="0" w:type="auto"/>
          </w:tcPr>
          <w:p w:rsidR="002D51A1" w:rsidRPr="003A38F7" w:rsidRDefault="002D51A1" w:rsidP="002F637F">
            <w:pPr>
              <w:pStyle w:val="Tabletext"/>
              <w:keepNext/>
              <w:keepLines/>
            </w:pPr>
            <w:r w:rsidRPr="004D4B0D">
              <w:rPr>
                <w:strike/>
              </w:rPr>
              <w:t>Fast-acting</w:t>
            </w:r>
            <w:r w:rsidRPr="003A38F7">
              <w:t xml:space="preserve"> insulin aspart 100units/mL injection, 5x3mL </w:t>
            </w:r>
            <w:r w:rsidR="007C2B6E" w:rsidRPr="003A38F7">
              <w:t>pre</w:t>
            </w:r>
            <w:r w:rsidR="001E757C" w:rsidRPr="003A38F7">
              <w:t xml:space="preserve"> </w:t>
            </w:r>
            <w:r w:rsidR="007C2B6E" w:rsidRPr="003A38F7">
              <w:t xml:space="preserve">filled pens </w:t>
            </w:r>
          </w:p>
        </w:tc>
        <w:tc>
          <w:tcPr>
            <w:tcW w:w="0" w:type="auto"/>
          </w:tcPr>
          <w:p w:rsidR="002D51A1" w:rsidRPr="003A38F7" w:rsidRDefault="002D51A1" w:rsidP="002F637F">
            <w:pPr>
              <w:pStyle w:val="Tabletext"/>
              <w:keepNext/>
              <w:keepLines/>
              <w:jc w:val="center"/>
            </w:pPr>
            <w:r w:rsidRPr="003A38F7">
              <w:t>5</w:t>
            </w:r>
          </w:p>
        </w:tc>
        <w:tc>
          <w:tcPr>
            <w:tcW w:w="0" w:type="auto"/>
          </w:tcPr>
          <w:p w:rsidR="002D51A1" w:rsidRPr="003A38F7" w:rsidRDefault="002D51A1" w:rsidP="002F637F">
            <w:pPr>
              <w:pStyle w:val="Tabletext"/>
              <w:keepNext/>
              <w:keepLines/>
              <w:jc w:val="center"/>
            </w:pPr>
            <w:r w:rsidRPr="003A38F7">
              <w:t>5</w:t>
            </w:r>
          </w:p>
        </w:tc>
        <w:tc>
          <w:tcPr>
            <w:tcW w:w="0" w:type="auto"/>
          </w:tcPr>
          <w:p w:rsidR="002D51A1" w:rsidRPr="003A38F7" w:rsidRDefault="002D51A1" w:rsidP="002F637F">
            <w:pPr>
              <w:pStyle w:val="Tabletext"/>
              <w:keepNext/>
              <w:keepLines/>
              <w:jc w:val="center"/>
            </w:pPr>
            <w:r w:rsidRPr="003A38F7">
              <w:t>1</w:t>
            </w:r>
          </w:p>
        </w:tc>
        <w:tc>
          <w:tcPr>
            <w:tcW w:w="0" w:type="auto"/>
          </w:tcPr>
          <w:p w:rsidR="002D51A1" w:rsidRPr="003A38F7" w:rsidRDefault="002D51A1" w:rsidP="002F637F">
            <w:pPr>
              <w:pStyle w:val="Tabletext"/>
              <w:keepNext/>
              <w:keepLines/>
            </w:pPr>
            <w:r w:rsidRPr="003A38F7">
              <w:t>$240.84*</w:t>
            </w:r>
          </w:p>
        </w:tc>
        <w:tc>
          <w:tcPr>
            <w:tcW w:w="0" w:type="auto"/>
          </w:tcPr>
          <w:p w:rsidR="002D51A1" w:rsidRPr="003A38F7" w:rsidRDefault="00D50B09" w:rsidP="002F637F">
            <w:pPr>
              <w:pStyle w:val="Tabletext"/>
              <w:keepNext/>
              <w:keepLines/>
            </w:pPr>
            <w:r>
              <w:t xml:space="preserve">Fiasp </w:t>
            </w:r>
            <w:r w:rsidR="002D51A1" w:rsidRPr="003A38F7">
              <w:t>FlexTouch</w:t>
            </w:r>
            <w:r>
              <w:t>,</w:t>
            </w:r>
            <w:r w:rsidR="002D51A1" w:rsidRPr="003A38F7">
              <w:t xml:space="preserve"> </w:t>
            </w:r>
          </w:p>
          <w:p w:rsidR="002D51A1" w:rsidRPr="003A38F7" w:rsidRDefault="002D51A1" w:rsidP="002F637F">
            <w:pPr>
              <w:pStyle w:val="Tabletext"/>
              <w:keepNext/>
              <w:keepLines/>
            </w:pPr>
            <w:r w:rsidRPr="003A38F7">
              <w:t>Novo Nordisk</w:t>
            </w:r>
          </w:p>
        </w:tc>
      </w:tr>
      <w:tr w:rsidR="007C2B6E" w:rsidRPr="00E35188" w:rsidTr="005C7675">
        <w:tc>
          <w:tcPr>
            <w:tcW w:w="0" w:type="auto"/>
          </w:tcPr>
          <w:p w:rsidR="008C0E8F" w:rsidRPr="003A38F7" w:rsidRDefault="008C0E8F" w:rsidP="002F637F">
            <w:pPr>
              <w:pStyle w:val="Tabletext"/>
              <w:keepNext/>
              <w:keepLines/>
            </w:pPr>
            <w:r w:rsidRPr="004D4B0D">
              <w:rPr>
                <w:strike/>
              </w:rPr>
              <w:t>Fast-acting</w:t>
            </w:r>
            <w:r w:rsidRPr="003A38F7">
              <w:t xml:space="preserve"> insulin aspart 100un</w:t>
            </w:r>
            <w:r w:rsidR="007C2B6E" w:rsidRPr="003A38F7">
              <w:t>its/mL injection, 5x3mL cartridges</w:t>
            </w:r>
          </w:p>
        </w:tc>
        <w:tc>
          <w:tcPr>
            <w:tcW w:w="0" w:type="auto"/>
          </w:tcPr>
          <w:p w:rsidR="008C0E8F" w:rsidRPr="003A38F7" w:rsidRDefault="008C0E8F" w:rsidP="002F637F">
            <w:pPr>
              <w:pStyle w:val="Tabletext"/>
              <w:keepNext/>
              <w:keepLines/>
              <w:jc w:val="center"/>
            </w:pPr>
            <w:r w:rsidRPr="003A38F7">
              <w:t>5</w:t>
            </w:r>
          </w:p>
        </w:tc>
        <w:tc>
          <w:tcPr>
            <w:tcW w:w="0" w:type="auto"/>
          </w:tcPr>
          <w:p w:rsidR="008C0E8F" w:rsidRPr="003A38F7" w:rsidRDefault="008C0E8F" w:rsidP="002F637F">
            <w:pPr>
              <w:pStyle w:val="Tabletext"/>
              <w:keepNext/>
              <w:keepLines/>
              <w:jc w:val="center"/>
            </w:pPr>
            <w:r w:rsidRPr="003A38F7">
              <w:t>5</w:t>
            </w:r>
          </w:p>
        </w:tc>
        <w:tc>
          <w:tcPr>
            <w:tcW w:w="0" w:type="auto"/>
          </w:tcPr>
          <w:p w:rsidR="008C0E8F" w:rsidRPr="003A38F7" w:rsidRDefault="008C0E8F" w:rsidP="002F637F">
            <w:pPr>
              <w:pStyle w:val="Tabletext"/>
              <w:keepNext/>
              <w:keepLines/>
              <w:jc w:val="center"/>
            </w:pPr>
            <w:r w:rsidRPr="003A38F7">
              <w:t>1</w:t>
            </w:r>
          </w:p>
        </w:tc>
        <w:tc>
          <w:tcPr>
            <w:tcW w:w="0" w:type="auto"/>
          </w:tcPr>
          <w:p w:rsidR="008C0E8F" w:rsidRPr="003A38F7" w:rsidRDefault="008C0E8F" w:rsidP="002F637F">
            <w:pPr>
              <w:pStyle w:val="Tabletext"/>
              <w:keepNext/>
              <w:keepLines/>
            </w:pPr>
            <w:r w:rsidRPr="003A38F7">
              <w:t>$240.84*</w:t>
            </w:r>
          </w:p>
        </w:tc>
        <w:tc>
          <w:tcPr>
            <w:tcW w:w="0" w:type="auto"/>
          </w:tcPr>
          <w:p w:rsidR="008C0E8F" w:rsidRPr="003A38F7" w:rsidRDefault="008C0E8F" w:rsidP="00D50B09">
            <w:pPr>
              <w:pStyle w:val="Tabletext"/>
              <w:keepNext/>
              <w:keepLines/>
            </w:pPr>
            <w:r w:rsidRPr="003A38F7">
              <w:t>Fiasp Penfill, Novo Nordisk</w:t>
            </w:r>
          </w:p>
        </w:tc>
      </w:tr>
    </w:tbl>
    <w:p w:rsidR="002D51A1" w:rsidRPr="00E35188" w:rsidRDefault="002D51A1" w:rsidP="002F637F">
      <w:pPr>
        <w:pStyle w:val="TableFooter"/>
        <w:keepNext/>
        <w:keepLines/>
        <w:widowControl/>
        <w:rPr>
          <w:i/>
        </w:rPr>
      </w:pPr>
      <w:r w:rsidRPr="00E35188">
        <w:rPr>
          <w:i/>
        </w:rPr>
        <w:t>*</w:t>
      </w:r>
      <w:r w:rsidRPr="003A38F7">
        <w:t>updated during the evaluation based on sponsor prices stated in PB11 using latest dispensing and administration, handling and infrastructure (AHI) fees from 1 July 2018.</w:t>
      </w:r>
    </w:p>
    <w:p w:rsidR="002D51A1" w:rsidRPr="00E35188" w:rsidRDefault="002D51A1" w:rsidP="002F637F">
      <w:pPr>
        <w:pStyle w:val="TableFooter"/>
        <w:keepNext/>
        <w:keepLines/>
        <w:widowControl/>
      </w:pPr>
      <w:r w:rsidRPr="00D5617E">
        <w:t xml:space="preserve">Source: </w:t>
      </w:r>
      <w:r w:rsidR="0078605F" w:rsidRPr="00D5617E">
        <w:t>Adapted using</w:t>
      </w:r>
      <w:r w:rsidR="0078605F">
        <w:t xml:space="preserve"> </w:t>
      </w:r>
      <w:r w:rsidRPr="00E35188">
        <w:t>Table 1.4.1, p32 of the submission and PB11 form accompanying the submission.</w:t>
      </w:r>
    </w:p>
    <w:p w:rsidR="00B60939" w:rsidRPr="00E35188" w:rsidRDefault="00B60939" w:rsidP="002F637F">
      <w:pPr>
        <w:widowControl/>
      </w:pPr>
    </w:p>
    <w:p w:rsidR="00603D02" w:rsidRPr="003A38F7" w:rsidRDefault="00603D02" w:rsidP="002F637F">
      <w:pPr>
        <w:pStyle w:val="ListParagraph"/>
        <w:widowControl/>
        <w:numPr>
          <w:ilvl w:val="1"/>
          <w:numId w:val="3"/>
        </w:numPr>
      </w:pPr>
      <w:r w:rsidRPr="003A38F7">
        <w:t xml:space="preserve">An unrestricted PBS listing was requested for Fiasp, </w:t>
      </w:r>
      <w:r w:rsidRPr="00AD303F">
        <w:t>which is consistent with the listing of other fast acting insulin preparations on the PBS</w:t>
      </w:r>
      <w:r w:rsidR="00AD303F" w:rsidRPr="00AD303F">
        <w:t>.</w:t>
      </w:r>
    </w:p>
    <w:p w:rsidR="005F1703" w:rsidRPr="005F1703" w:rsidRDefault="005F1703" w:rsidP="002F637F">
      <w:pPr>
        <w:pStyle w:val="ListParagraph"/>
        <w:widowControl/>
        <w:numPr>
          <w:ilvl w:val="1"/>
          <w:numId w:val="3"/>
        </w:numPr>
        <w:rPr>
          <w:color w:val="000000" w:themeColor="text1"/>
          <w:szCs w:val="24"/>
        </w:rPr>
      </w:pPr>
      <w:r>
        <w:t>T</w:t>
      </w:r>
      <w:r w:rsidR="00444BD8" w:rsidRPr="003A38F7">
        <w:t>he submission request</w:t>
      </w:r>
      <w:r>
        <w:t>ed</w:t>
      </w:r>
      <w:r w:rsidR="00444BD8" w:rsidRPr="003A38F7">
        <w:t xml:space="preserve"> </w:t>
      </w:r>
      <w:r>
        <w:t xml:space="preserve">that, as per Section 5.7 of the Strategic Agreement between the Commonwealth and Medicines Australia, the DPMQ of Fiasp be equivalent to the price of NovoRapid prior to the application of the 14.5% Statutory Price Reduction that was applied on 1 June 2018. </w:t>
      </w:r>
      <w:r>
        <w:rPr>
          <w:color w:val="000000" w:themeColor="text1"/>
          <w:szCs w:val="24"/>
        </w:rPr>
        <w:t xml:space="preserve">The ESC noted that this is a matter for the Minister (or delegate). </w:t>
      </w:r>
    </w:p>
    <w:p w:rsidR="00AD303F" w:rsidRPr="005F1703" w:rsidRDefault="00DD1DDD" w:rsidP="002F637F">
      <w:pPr>
        <w:pStyle w:val="ListParagraph"/>
        <w:widowControl/>
        <w:numPr>
          <w:ilvl w:val="1"/>
          <w:numId w:val="3"/>
        </w:numPr>
        <w:rPr>
          <w:color w:val="000000" w:themeColor="text1"/>
          <w:szCs w:val="24"/>
        </w:rPr>
      </w:pPr>
      <w:r w:rsidRPr="005F1703">
        <w:rPr>
          <w:color w:val="000000" w:themeColor="text1"/>
          <w:szCs w:val="24"/>
        </w:rPr>
        <w:t xml:space="preserve">The PSCR </w:t>
      </w:r>
      <w:r w:rsidR="00195936">
        <w:rPr>
          <w:color w:val="000000" w:themeColor="text1"/>
          <w:szCs w:val="24"/>
        </w:rPr>
        <w:t>highlighted that</w:t>
      </w:r>
      <w:r w:rsidRPr="005F1703">
        <w:rPr>
          <w:color w:val="000000" w:themeColor="text1"/>
          <w:szCs w:val="24"/>
        </w:rPr>
        <w:t xml:space="preserve"> the submission assumed that Section 99ACB of the </w:t>
      </w:r>
      <w:r w:rsidRPr="005F1703">
        <w:rPr>
          <w:i/>
          <w:color w:val="000000" w:themeColor="text1"/>
          <w:szCs w:val="24"/>
        </w:rPr>
        <w:t>National Health Act 1953</w:t>
      </w:r>
      <w:r w:rsidR="001867F4">
        <w:rPr>
          <w:i/>
          <w:color w:val="000000" w:themeColor="text1"/>
          <w:szCs w:val="24"/>
        </w:rPr>
        <w:t xml:space="preserve"> </w:t>
      </w:r>
      <w:r w:rsidRPr="005F1703">
        <w:rPr>
          <w:color w:val="000000" w:themeColor="text1"/>
          <w:szCs w:val="24"/>
        </w:rPr>
        <w:t xml:space="preserve">did not apply to </w:t>
      </w:r>
      <w:r w:rsidR="005F1703" w:rsidRPr="005F1703">
        <w:rPr>
          <w:color w:val="000000" w:themeColor="text1"/>
          <w:szCs w:val="24"/>
        </w:rPr>
        <w:t>Fiasp</w:t>
      </w:r>
      <w:r w:rsidRPr="005F1703">
        <w:rPr>
          <w:color w:val="000000" w:themeColor="text1"/>
          <w:szCs w:val="24"/>
        </w:rPr>
        <w:t xml:space="preserve"> and </w:t>
      </w:r>
      <w:r w:rsidR="005F1703" w:rsidRPr="005F1703">
        <w:rPr>
          <w:color w:val="000000" w:themeColor="text1"/>
          <w:szCs w:val="24"/>
        </w:rPr>
        <w:t>NovoRapid</w:t>
      </w:r>
      <w:r w:rsidR="00195936">
        <w:rPr>
          <w:color w:val="000000" w:themeColor="text1"/>
          <w:szCs w:val="24"/>
        </w:rPr>
        <w:t>, that is, that Fiasp was not a new brand of the existing pharmaceutical item insulin aspart</w:t>
      </w:r>
      <w:r w:rsidR="00195936" w:rsidRPr="005F1703">
        <w:rPr>
          <w:color w:val="000000" w:themeColor="text1"/>
          <w:szCs w:val="24"/>
        </w:rPr>
        <w:t xml:space="preserve"> </w:t>
      </w:r>
      <w:r w:rsidRPr="005F1703">
        <w:rPr>
          <w:color w:val="000000" w:themeColor="text1"/>
          <w:szCs w:val="24"/>
        </w:rPr>
        <w:t>given their dif</w:t>
      </w:r>
      <w:r w:rsidR="00195936">
        <w:rPr>
          <w:color w:val="000000" w:themeColor="text1"/>
          <w:szCs w:val="24"/>
        </w:rPr>
        <w:t xml:space="preserve">ferent pharmacokinetic </w:t>
      </w:r>
      <w:r w:rsidR="00683EF8">
        <w:rPr>
          <w:color w:val="000000" w:themeColor="text1"/>
          <w:szCs w:val="24"/>
        </w:rPr>
        <w:t xml:space="preserve">and pharmacodynamics </w:t>
      </w:r>
      <w:r w:rsidR="00195936">
        <w:rPr>
          <w:color w:val="000000" w:themeColor="text1"/>
          <w:szCs w:val="24"/>
        </w:rPr>
        <w:t xml:space="preserve">profiles. </w:t>
      </w:r>
    </w:p>
    <w:p w:rsidR="00444BD8" w:rsidRDefault="005C43A4" w:rsidP="002F637F">
      <w:pPr>
        <w:pStyle w:val="ListParagraph"/>
        <w:widowControl/>
        <w:numPr>
          <w:ilvl w:val="1"/>
          <w:numId w:val="3"/>
        </w:numPr>
      </w:pPr>
      <w:r>
        <w:t>The potential use of Fiasp</w:t>
      </w:r>
      <w:r w:rsidR="00444BD8" w:rsidRPr="00C54AAF">
        <w:t xml:space="preserve"> on </w:t>
      </w:r>
      <w:r w:rsidR="009735B4" w:rsidRPr="00C54AAF">
        <w:t xml:space="preserve">the </w:t>
      </w:r>
      <w:r w:rsidR="00444BD8" w:rsidRPr="00C54AAF">
        <w:t>PBS may be broader than its TGA approved indication, which is for treatment of diabetes mellitus in adults.</w:t>
      </w:r>
      <w:r w:rsidR="00713357" w:rsidRPr="00C54AAF">
        <w:t xml:space="preserve"> </w:t>
      </w:r>
      <w:r w:rsidR="00444BD8" w:rsidRPr="00C54AAF">
        <w:t>The lack of data for safety and efficacy in children was a concern for the TGA, particularly as more children are affected by T1DM.</w:t>
      </w:r>
      <w:r w:rsidR="00713357" w:rsidRPr="00C54AAF">
        <w:t xml:space="preserve"> </w:t>
      </w:r>
      <w:r w:rsidR="00444BD8" w:rsidRPr="00C54AAF">
        <w:t>The TGA evaluator considered the use of a fast acting insulin with meals has many advantages in children (particularly toddlers), where food refusal can be problematic.</w:t>
      </w:r>
      <w:r w:rsidR="00713357" w:rsidRPr="00C54AAF">
        <w:t xml:space="preserve"> </w:t>
      </w:r>
      <w:r w:rsidR="00444BD8" w:rsidRPr="00C54AAF">
        <w:t>The TGA considered off label use in this population was therefore likely.</w:t>
      </w:r>
      <w:r w:rsidR="00713357" w:rsidRPr="00C54AAF">
        <w:t xml:space="preserve"> </w:t>
      </w:r>
      <w:r w:rsidR="00444BD8" w:rsidRPr="00C54AAF">
        <w:t>Given the unrestricted nature of the requested listing, use in children would also be likely on PBS.</w:t>
      </w:r>
      <w:r w:rsidR="00713357" w:rsidRPr="00C54AAF">
        <w:t xml:space="preserve"> </w:t>
      </w:r>
      <w:r w:rsidR="00736785">
        <w:t xml:space="preserve">Additionally </w:t>
      </w:r>
      <w:r w:rsidR="00444BD8" w:rsidRPr="00C54AAF">
        <w:t>NovoR</w:t>
      </w:r>
      <w:r w:rsidR="00195936">
        <w:t xml:space="preserve">apid </w:t>
      </w:r>
      <w:r w:rsidR="00444BD8" w:rsidRPr="00C54AAF">
        <w:t>is approved for use in both children and adults.</w:t>
      </w:r>
      <w:r w:rsidR="00663ECF" w:rsidRPr="00C54AAF">
        <w:t xml:space="preserve"> The PSCR stated that clinical data on use of Fiasp in paediatrics with </w:t>
      </w:r>
      <w:r w:rsidR="00110D8F" w:rsidRPr="00C54AAF">
        <w:t>T1DM</w:t>
      </w:r>
      <w:r w:rsidR="00663ECF" w:rsidRPr="00C54AAF">
        <w:t xml:space="preserve"> has become available and that should Fiasp become listed on the </w:t>
      </w:r>
      <w:r w:rsidR="00D5617E" w:rsidRPr="00C54AAF">
        <w:t>PBS</w:t>
      </w:r>
      <w:r w:rsidR="00663ECF" w:rsidRPr="00C54AAF">
        <w:t>, the sponsor would consider seeking TGA regi</w:t>
      </w:r>
      <w:r w:rsidR="00D5617E" w:rsidRPr="00C54AAF">
        <w:t>stration in paediatric patients.</w:t>
      </w:r>
      <w:r w:rsidR="00713357" w:rsidRPr="00C54AAF">
        <w:t xml:space="preserve"> </w:t>
      </w:r>
    </w:p>
    <w:p w:rsidR="00163FB4" w:rsidRPr="00861BBA" w:rsidRDefault="00163FB4" w:rsidP="00195936">
      <w:pPr>
        <w:pStyle w:val="ListParagraph"/>
        <w:widowControl/>
        <w:spacing w:after="120"/>
      </w:pPr>
      <w:r w:rsidRPr="00861BBA">
        <w:rPr>
          <w:i/>
        </w:rPr>
        <w:t>For more detail on PBAC’s view, see section 7 PBAC outcome.</w:t>
      </w:r>
    </w:p>
    <w:p w:rsidR="00B50DB8" w:rsidRPr="00E35188" w:rsidRDefault="00B50DB8" w:rsidP="002F637F">
      <w:pPr>
        <w:pStyle w:val="Heading1"/>
      </w:pPr>
      <w:bookmarkStart w:id="3" w:name="_Toc521797523"/>
      <w:r w:rsidRPr="00E35188">
        <w:lastRenderedPageBreak/>
        <w:t>Background</w:t>
      </w:r>
      <w:bookmarkEnd w:id="3"/>
    </w:p>
    <w:p w:rsidR="00B60939" w:rsidRPr="00FA3B26" w:rsidRDefault="00591957" w:rsidP="002F637F">
      <w:pPr>
        <w:pStyle w:val="Heading2"/>
        <w:widowControl/>
      </w:pPr>
      <w:r w:rsidRPr="00FA3B26">
        <w:t>Registration status</w:t>
      </w:r>
    </w:p>
    <w:p w:rsidR="00B60939" w:rsidRPr="00730727" w:rsidRDefault="00195936" w:rsidP="002F637F">
      <w:pPr>
        <w:pStyle w:val="ListParagraph"/>
        <w:widowControl/>
        <w:numPr>
          <w:ilvl w:val="1"/>
          <w:numId w:val="3"/>
        </w:numPr>
      </w:pPr>
      <w:r>
        <w:t>Fiasp</w:t>
      </w:r>
      <w:r w:rsidR="008D0213" w:rsidRPr="008D0213">
        <w:t xml:space="preserve"> (in vial, </w:t>
      </w:r>
      <w:r w:rsidR="00DC46E6">
        <w:t>P</w:t>
      </w:r>
      <w:r w:rsidR="008D0213" w:rsidRPr="008D0213">
        <w:t xml:space="preserve">enfill and Flextouch preparations) was approved by the TGA (28 June </w:t>
      </w:r>
      <w:r w:rsidR="008D0213" w:rsidRPr="00730727">
        <w:t>2017) for the following indication: “Treatment of diabetes mellitus in adults”.</w:t>
      </w:r>
      <w:r w:rsidR="00713357">
        <w:t xml:space="preserve"> </w:t>
      </w:r>
    </w:p>
    <w:p w:rsidR="00B033E5" w:rsidRPr="00FA3B26" w:rsidRDefault="00B033E5" w:rsidP="002F637F">
      <w:pPr>
        <w:pStyle w:val="Heading2"/>
        <w:widowControl/>
      </w:pPr>
      <w:r w:rsidRPr="00FA3B26">
        <w:t>Previous PBAC consideration</w:t>
      </w:r>
    </w:p>
    <w:p w:rsidR="00E55BB5" w:rsidRPr="00163FB4" w:rsidRDefault="00444BD8" w:rsidP="002F637F">
      <w:pPr>
        <w:pStyle w:val="ListParagraph"/>
        <w:widowControl/>
        <w:numPr>
          <w:ilvl w:val="1"/>
          <w:numId w:val="3"/>
        </w:numPr>
      </w:pPr>
      <w:r w:rsidRPr="00730727">
        <w:t>T</w:t>
      </w:r>
      <w:r w:rsidR="001C2F12" w:rsidRPr="00730727">
        <w:t>his</w:t>
      </w:r>
      <w:r w:rsidR="001C2F12" w:rsidRPr="00730727">
        <w:rPr>
          <w:rFonts w:cs="Calibri"/>
          <w:snapToGrid/>
          <w:szCs w:val="24"/>
          <w:lang w:eastAsia="en-AU"/>
        </w:rPr>
        <w:t xml:space="preserve"> was the first PBAC submission for </w:t>
      </w:r>
      <w:r w:rsidR="00195936">
        <w:rPr>
          <w:rFonts w:cs="Calibri"/>
          <w:snapToGrid/>
          <w:szCs w:val="24"/>
          <w:lang w:eastAsia="en-AU"/>
        </w:rPr>
        <w:t>Fiasp</w:t>
      </w:r>
      <w:r w:rsidR="005C22EA">
        <w:rPr>
          <w:rFonts w:cs="Calibri"/>
          <w:snapToGrid/>
          <w:szCs w:val="24"/>
          <w:lang w:eastAsia="en-AU"/>
        </w:rPr>
        <w:t xml:space="preserve">. </w:t>
      </w:r>
      <w:r w:rsidR="005C43A4">
        <w:rPr>
          <w:rFonts w:cs="Calibri"/>
          <w:snapToGrid/>
          <w:szCs w:val="24"/>
          <w:lang w:eastAsia="en-AU"/>
        </w:rPr>
        <w:t xml:space="preserve">The existing formulation of insulin aspart, </w:t>
      </w:r>
      <w:r w:rsidR="00F620F7">
        <w:rPr>
          <w:rFonts w:cs="Calibri"/>
          <w:snapToGrid/>
          <w:szCs w:val="24"/>
          <w:lang w:eastAsia="en-AU"/>
        </w:rPr>
        <w:t xml:space="preserve">NovoRapid, </w:t>
      </w:r>
      <w:r w:rsidR="00C17B3F">
        <w:rPr>
          <w:rFonts w:cs="Calibri"/>
          <w:snapToGrid/>
          <w:szCs w:val="24"/>
          <w:lang w:eastAsia="en-AU"/>
        </w:rPr>
        <w:t xml:space="preserve">was </w:t>
      </w:r>
      <w:r w:rsidR="005C43A4">
        <w:rPr>
          <w:rFonts w:cs="Calibri"/>
          <w:snapToGrid/>
          <w:szCs w:val="24"/>
          <w:lang w:eastAsia="en-AU"/>
        </w:rPr>
        <w:t xml:space="preserve">considered by the PBAC in March 2000 and was </w:t>
      </w:r>
      <w:r w:rsidR="00C17B3F">
        <w:rPr>
          <w:rFonts w:cs="Calibri"/>
          <w:snapToGrid/>
          <w:szCs w:val="24"/>
          <w:lang w:eastAsia="en-AU"/>
        </w:rPr>
        <w:t xml:space="preserve">first listed </w:t>
      </w:r>
      <w:r w:rsidR="005C43A4">
        <w:rPr>
          <w:rFonts w:cs="Calibri"/>
          <w:snapToGrid/>
          <w:szCs w:val="24"/>
          <w:lang w:eastAsia="en-AU"/>
        </w:rPr>
        <w:t xml:space="preserve">on the PBS </w:t>
      </w:r>
      <w:r w:rsidR="005C22EA">
        <w:rPr>
          <w:rFonts w:cs="Calibri"/>
          <w:snapToGrid/>
          <w:szCs w:val="24"/>
          <w:lang w:eastAsia="en-AU"/>
        </w:rPr>
        <w:t xml:space="preserve">in </w:t>
      </w:r>
      <w:r w:rsidR="00C17B3F">
        <w:rPr>
          <w:rFonts w:cs="Calibri"/>
          <w:snapToGrid/>
          <w:szCs w:val="24"/>
          <w:lang w:eastAsia="en-AU"/>
        </w:rPr>
        <w:t>2002</w:t>
      </w:r>
      <w:r w:rsidR="001C2F12" w:rsidRPr="00730727">
        <w:rPr>
          <w:rFonts w:cs="Calibri"/>
          <w:snapToGrid/>
          <w:szCs w:val="24"/>
          <w:lang w:eastAsia="en-AU"/>
        </w:rPr>
        <w:t>.</w:t>
      </w:r>
      <w:r w:rsidR="00713357">
        <w:rPr>
          <w:rFonts w:cs="Calibri"/>
          <w:snapToGrid/>
          <w:szCs w:val="24"/>
          <w:lang w:eastAsia="en-AU"/>
        </w:rPr>
        <w:t xml:space="preserve"> </w:t>
      </w:r>
    </w:p>
    <w:p w:rsidR="00B50DB8" w:rsidRPr="00730727" w:rsidRDefault="00203181" w:rsidP="002F637F">
      <w:pPr>
        <w:pStyle w:val="Heading1"/>
      </w:pPr>
      <w:bookmarkStart w:id="4" w:name="_Toc521797524"/>
      <w:r w:rsidRPr="00730727">
        <w:t xml:space="preserve">Population and </w:t>
      </w:r>
      <w:r w:rsidR="008E0D3C" w:rsidRPr="00730727">
        <w:t>d</w:t>
      </w:r>
      <w:r w:rsidRPr="00730727">
        <w:t>isease</w:t>
      </w:r>
      <w:bookmarkEnd w:id="4"/>
    </w:p>
    <w:p w:rsidR="002C2775" w:rsidRDefault="008D24C1" w:rsidP="002F637F">
      <w:pPr>
        <w:pStyle w:val="ListParagraph"/>
        <w:widowControl/>
        <w:numPr>
          <w:ilvl w:val="1"/>
          <w:numId w:val="3"/>
        </w:numPr>
      </w:pPr>
      <w:r w:rsidRPr="00730727">
        <w:t>Diabetes (type 1 and type 2) is a chronic metabolic disorder characterised by elevated levels</w:t>
      </w:r>
      <w:r w:rsidRPr="008D24C1">
        <w:t xml:space="preserve"> of blood glucose.</w:t>
      </w:r>
      <w:r w:rsidR="00713357">
        <w:t xml:space="preserve"> </w:t>
      </w:r>
      <w:r w:rsidRPr="008D24C1">
        <w:t>Long-term complications of the disease, which are a consequence of continuously prolonged hyperglycaemia, include retinopathy, nephropathy, neuropathy and cardiovascular disease (Campbell and Martin 2009).</w:t>
      </w:r>
      <w:r w:rsidR="00713357">
        <w:t xml:space="preserve"> </w:t>
      </w:r>
      <w:r w:rsidRPr="008D24C1">
        <w:t>These complications have a considerable impact on health, a negative impact on health-related quality of life (HRQoL) (Rubin and Peyrot 1999, UK Prospective Diabetes Study Group 1999), and represent a significant proportion of the economic burden of diabetes mellitus (Baker IDI Heart and Diabetes Institute in partnership with Diabetes Australia and Juvenile Diabetes Research Foundation (JDRF)</w:t>
      </w:r>
      <w:r>
        <w:t xml:space="preserve"> 2012, Schofield et al. 2017).</w:t>
      </w:r>
    </w:p>
    <w:p w:rsidR="008D24C1" w:rsidRDefault="00192433" w:rsidP="002F637F">
      <w:pPr>
        <w:pStyle w:val="ListParagraph"/>
        <w:widowControl/>
        <w:numPr>
          <w:ilvl w:val="1"/>
          <w:numId w:val="3"/>
        </w:numPr>
      </w:pPr>
      <w:r w:rsidRPr="00192433">
        <w:t>Insulin aspart (</w:t>
      </w:r>
      <w:r w:rsidR="00195936">
        <w:t>Fiasp</w:t>
      </w:r>
      <w:r w:rsidRPr="00192433">
        <w:t>) will provide another treatment option for patients with T</w:t>
      </w:r>
      <w:r w:rsidR="00BE44EF">
        <w:t>1DM and T2DM</w:t>
      </w:r>
      <w:r w:rsidRPr="00192433">
        <w:t xml:space="preserve"> requiring a combination of a basal and a prandial insulin to maintain appropriate glycaemic control.</w:t>
      </w:r>
    </w:p>
    <w:p w:rsidR="00B50DB8" w:rsidRPr="00E35188" w:rsidRDefault="00B50DB8" w:rsidP="002F637F">
      <w:pPr>
        <w:pStyle w:val="Heading1"/>
      </w:pPr>
      <w:bookmarkStart w:id="5" w:name="_Toc521797525"/>
      <w:r w:rsidRPr="00E35188">
        <w:t>Comparator</w:t>
      </w:r>
      <w:bookmarkEnd w:id="5"/>
    </w:p>
    <w:p w:rsidR="004E0D12" w:rsidRDefault="00970465" w:rsidP="004E0D12">
      <w:pPr>
        <w:pStyle w:val="ListParagraph"/>
        <w:widowControl/>
        <w:numPr>
          <w:ilvl w:val="1"/>
          <w:numId w:val="3"/>
        </w:numPr>
        <w:rPr>
          <w:color w:val="000000" w:themeColor="text1"/>
        </w:rPr>
      </w:pPr>
      <w:r w:rsidRPr="004E0D12">
        <w:rPr>
          <w:color w:val="000000" w:themeColor="text1"/>
        </w:rPr>
        <w:t>The submission nomi</w:t>
      </w:r>
      <w:r w:rsidR="004E0D12" w:rsidRPr="004E0D12">
        <w:rPr>
          <w:color w:val="000000" w:themeColor="text1"/>
        </w:rPr>
        <w:t>nated insulin aspart (NovoRapid) as the main comparator</w:t>
      </w:r>
      <w:r w:rsidR="004E0D12">
        <w:rPr>
          <w:color w:val="000000" w:themeColor="text1"/>
        </w:rPr>
        <w:t xml:space="preserve">. </w:t>
      </w:r>
      <w:r w:rsidRPr="004E0D12">
        <w:rPr>
          <w:color w:val="000000" w:themeColor="text1"/>
        </w:rPr>
        <w:t>While three fast acting insulins are listed on the PBS (insulin aspart (NovoRapid®), insulin lispro (Humalog®) and insulin glulisin</w:t>
      </w:r>
      <w:r w:rsidR="00AA1074" w:rsidRPr="004E0D12">
        <w:rPr>
          <w:color w:val="000000" w:themeColor="text1"/>
        </w:rPr>
        <w:t>e (Ap</w:t>
      </w:r>
      <w:r w:rsidRPr="004E0D12">
        <w:rPr>
          <w:color w:val="000000" w:themeColor="text1"/>
        </w:rPr>
        <w:t>idra®)</w:t>
      </w:r>
      <w:r w:rsidR="00D50B09">
        <w:rPr>
          <w:color w:val="000000" w:themeColor="text1"/>
        </w:rPr>
        <w:t>)</w:t>
      </w:r>
      <w:r w:rsidRPr="004E0D12">
        <w:rPr>
          <w:color w:val="000000" w:themeColor="text1"/>
        </w:rPr>
        <w:t>, PBS utilisation data indicated insulin aspart (NovoRapid®) to have approximately 80% of the current market share.</w:t>
      </w:r>
    </w:p>
    <w:p w:rsidR="00970465" w:rsidRPr="004E0D12" w:rsidRDefault="004E0D12" w:rsidP="004E0D12">
      <w:pPr>
        <w:pStyle w:val="ListParagraph"/>
        <w:widowControl/>
        <w:numPr>
          <w:ilvl w:val="1"/>
          <w:numId w:val="3"/>
        </w:numPr>
        <w:rPr>
          <w:color w:val="000000" w:themeColor="text1"/>
        </w:rPr>
      </w:pPr>
      <w:r>
        <w:rPr>
          <w:color w:val="000000" w:themeColor="text1"/>
        </w:rPr>
        <w:t>The submission considered that despite</w:t>
      </w:r>
      <w:r w:rsidR="00970465" w:rsidRPr="004E0D12">
        <w:rPr>
          <w:color w:val="000000" w:themeColor="text1"/>
        </w:rPr>
        <w:t xml:space="preserve"> differ</w:t>
      </w:r>
      <w:r>
        <w:rPr>
          <w:color w:val="000000" w:themeColor="text1"/>
        </w:rPr>
        <w:t>ing formulations, NovoRapid was the appropriate main comparator as it</w:t>
      </w:r>
      <w:r w:rsidR="00970465" w:rsidRPr="004E0D12">
        <w:rPr>
          <w:color w:val="000000" w:themeColor="text1"/>
        </w:rPr>
        <w:t xml:space="preserve"> contains the same </w:t>
      </w:r>
      <w:r w:rsidR="00460B85">
        <w:rPr>
          <w:color w:val="000000" w:themeColor="text1"/>
        </w:rPr>
        <w:t>drug</w:t>
      </w:r>
      <w:r w:rsidR="00970465" w:rsidRPr="004E0D12">
        <w:rPr>
          <w:color w:val="000000" w:themeColor="text1"/>
        </w:rPr>
        <w:t xml:space="preserve"> as </w:t>
      </w:r>
      <w:r w:rsidR="00195936" w:rsidRPr="004E0D12">
        <w:rPr>
          <w:color w:val="000000" w:themeColor="text1"/>
        </w:rPr>
        <w:t>Fiasp</w:t>
      </w:r>
      <w:r w:rsidR="00970465" w:rsidRPr="004E0D12">
        <w:rPr>
          <w:color w:val="000000" w:themeColor="text1"/>
        </w:rPr>
        <w:t>.</w:t>
      </w:r>
    </w:p>
    <w:p w:rsidR="004A2F52" w:rsidRDefault="00970465" w:rsidP="002F637F">
      <w:pPr>
        <w:pStyle w:val="ListParagraph"/>
        <w:widowControl/>
        <w:numPr>
          <w:ilvl w:val="1"/>
          <w:numId w:val="3"/>
        </w:numPr>
        <w:rPr>
          <w:color w:val="000000" w:themeColor="text1"/>
        </w:rPr>
      </w:pPr>
      <w:r w:rsidRPr="003A38F7">
        <w:rPr>
          <w:color w:val="000000" w:themeColor="text1"/>
        </w:rPr>
        <w:t xml:space="preserve">The nomination of the main comparator </w:t>
      </w:r>
      <w:r w:rsidR="004E0D12">
        <w:rPr>
          <w:color w:val="000000" w:themeColor="text1"/>
        </w:rPr>
        <w:t>was</w:t>
      </w:r>
      <w:r w:rsidRPr="003A38F7">
        <w:rPr>
          <w:color w:val="000000" w:themeColor="text1"/>
        </w:rPr>
        <w:t xml:space="preserve"> reasonable</w:t>
      </w:r>
      <w:r w:rsidR="0089485D" w:rsidRPr="003A38F7">
        <w:rPr>
          <w:color w:val="000000" w:themeColor="text1"/>
        </w:rPr>
        <w:t>;</w:t>
      </w:r>
      <w:r w:rsidRPr="003A38F7">
        <w:rPr>
          <w:color w:val="000000" w:themeColor="text1"/>
        </w:rPr>
        <w:t xml:space="preserve"> however</w:t>
      </w:r>
      <w:r w:rsidR="0089485D" w:rsidRPr="003A38F7">
        <w:rPr>
          <w:color w:val="000000" w:themeColor="text1"/>
        </w:rPr>
        <w:t>,</w:t>
      </w:r>
      <w:r w:rsidRPr="003A38F7">
        <w:rPr>
          <w:color w:val="000000" w:themeColor="text1"/>
        </w:rPr>
        <w:t xml:space="preserve"> given all fast acting insulins were listed on a cost minimisation basis to each other</w:t>
      </w:r>
      <w:r w:rsidR="004E0D12">
        <w:rPr>
          <w:color w:val="000000" w:themeColor="text1"/>
        </w:rPr>
        <w:t>,</w:t>
      </w:r>
      <w:r w:rsidR="00FF2911">
        <w:rPr>
          <w:color w:val="000000" w:themeColor="text1"/>
        </w:rPr>
        <w:t xml:space="preserve"> </w:t>
      </w:r>
      <w:r w:rsidRPr="003A38F7">
        <w:rPr>
          <w:color w:val="000000" w:themeColor="text1"/>
        </w:rPr>
        <w:t xml:space="preserve">all PBS listed fast acting insulins could therefore be replaced by </w:t>
      </w:r>
      <w:r w:rsidR="00195936">
        <w:rPr>
          <w:color w:val="000000" w:themeColor="text1"/>
        </w:rPr>
        <w:t>Fiasp</w:t>
      </w:r>
      <w:r w:rsidRPr="003A38F7">
        <w:rPr>
          <w:color w:val="000000" w:themeColor="text1"/>
        </w:rPr>
        <w:t xml:space="preserve"> in practice.</w:t>
      </w:r>
      <w:r w:rsidR="00713357">
        <w:rPr>
          <w:color w:val="000000" w:themeColor="text1"/>
        </w:rPr>
        <w:t xml:space="preserve"> </w:t>
      </w:r>
      <w:r w:rsidR="004A2F52">
        <w:rPr>
          <w:color w:val="000000" w:themeColor="text1"/>
        </w:rPr>
        <w:t xml:space="preserve">Based </w:t>
      </w:r>
      <w:r w:rsidR="004A2F52" w:rsidRPr="00FF2911">
        <w:rPr>
          <w:color w:val="000000" w:themeColor="text1"/>
        </w:rPr>
        <w:t>on the PBS Therapeutic Relativity Sheets</w:t>
      </w:r>
      <w:r w:rsidR="004A2F52">
        <w:rPr>
          <w:color w:val="000000" w:themeColor="text1"/>
        </w:rPr>
        <w:t>:</w:t>
      </w:r>
    </w:p>
    <w:p w:rsidR="004A2F52" w:rsidRPr="004A2F52" w:rsidRDefault="004E0D12" w:rsidP="002F637F">
      <w:pPr>
        <w:pStyle w:val="ListParagraph"/>
        <w:widowControl/>
        <w:numPr>
          <w:ilvl w:val="0"/>
          <w:numId w:val="11"/>
        </w:numPr>
        <w:rPr>
          <w:color w:val="000000" w:themeColor="text1"/>
        </w:rPr>
      </w:pPr>
      <w:r>
        <w:rPr>
          <w:color w:val="000000" w:themeColor="text1"/>
        </w:rPr>
        <w:lastRenderedPageBreak/>
        <w:t>insulin lispro (Humalog</w:t>
      </w:r>
      <w:r w:rsidR="004A2F52" w:rsidRPr="004A2F52">
        <w:rPr>
          <w:color w:val="000000" w:themeColor="text1"/>
        </w:rPr>
        <w:t>) was accepted for listing on the basis of advantage (taken directly before a meal) over short acting insulin;</w:t>
      </w:r>
    </w:p>
    <w:p w:rsidR="004A2F52" w:rsidRPr="004A2F52" w:rsidRDefault="004E0D12" w:rsidP="002F637F">
      <w:pPr>
        <w:pStyle w:val="ListParagraph"/>
        <w:widowControl/>
        <w:numPr>
          <w:ilvl w:val="0"/>
          <w:numId w:val="11"/>
        </w:numPr>
        <w:rPr>
          <w:color w:val="000000" w:themeColor="text1"/>
        </w:rPr>
      </w:pPr>
      <w:r>
        <w:rPr>
          <w:color w:val="000000" w:themeColor="text1"/>
        </w:rPr>
        <w:t>insulin aspart (NovoRapid</w:t>
      </w:r>
      <w:r w:rsidR="004A2F52" w:rsidRPr="004A2F52">
        <w:rPr>
          <w:color w:val="000000" w:themeColor="text1"/>
        </w:rPr>
        <w:t>) was accepted on a cost minimisation basis compared with insulin lispro (unit for unit); and</w:t>
      </w:r>
    </w:p>
    <w:p w:rsidR="004A2F52" w:rsidRPr="004A2F52" w:rsidRDefault="004E0D12" w:rsidP="002F637F">
      <w:pPr>
        <w:pStyle w:val="ListParagraph"/>
        <w:widowControl/>
        <w:numPr>
          <w:ilvl w:val="0"/>
          <w:numId w:val="11"/>
        </w:numPr>
        <w:rPr>
          <w:color w:val="000000" w:themeColor="text1"/>
        </w:rPr>
      </w:pPr>
      <w:r>
        <w:rPr>
          <w:color w:val="000000" w:themeColor="text1"/>
        </w:rPr>
        <w:t>insulin glulisine (Apidra</w:t>
      </w:r>
      <w:r w:rsidR="004A2F52" w:rsidRPr="004A2F52">
        <w:rPr>
          <w:color w:val="000000" w:themeColor="text1"/>
        </w:rPr>
        <w:t>) was recommended for listing on a cost minimisation basis compared to insulin lispro with the equi-effective doses being 1 unit of insulin glulisine = 1 unit of insulin lispro.</w:t>
      </w:r>
    </w:p>
    <w:p w:rsidR="004E0D12" w:rsidRDefault="00970465" w:rsidP="00C54AAF">
      <w:pPr>
        <w:pStyle w:val="ListParagraph"/>
        <w:widowControl/>
        <w:numPr>
          <w:ilvl w:val="1"/>
          <w:numId w:val="3"/>
        </w:numPr>
        <w:jc w:val="left"/>
        <w:rPr>
          <w:color w:val="000000" w:themeColor="text1"/>
        </w:rPr>
      </w:pPr>
      <w:r w:rsidRPr="003A38F7">
        <w:rPr>
          <w:color w:val="000000" w:themeColor="text1"/>
        </w:rPr>
        <w:t>Current PBS listings indicate N</w:t>
      </w:r>
      <w:r w:rsidR="004E0D12">
        <w:rPr>
          <w:color w:val="000000" w:themeColor="text1"/>
        </w:rPr>
        <w:t>ovoRapid</w:t>
      </w:r>
      <w:r w:rsidRPr="003A38F7">
        <w:rPr>
          <w:color w:val="000000" w:themeColor="text1"/>
        </w:rPr>
        <w:t xml:space="preserve"> and Humalog to have identical pricing on a unit to unit basis, whereas the DPM</w:t>
      </w:r>
      <w:r w:rsidR="004E0D12">
        <w:rPr>
          <w:color w:val="000000" w:themeColor="text1"/>
        </w:rPr>
        <w:t>Qs of insulin glulisine (Apidra</w:t>
      </w:r>
      <w:r w:rsidRPr="003A38F7">
        <w:rPr>
          <w:color w:val="000000" w:themeColor="text1"/>
        </w:rPr>
        <w:t>) are approximately 5% higher for both its cartridge and vial formulations.</w:t>
      </w:r>
      <w:r w:rsidR="00713357">
        <w:rPr>
          <w:color w:val="000000" w:themeColor="text1"/>
        </w:rPr>
        <w:t xml:space="preserve"> </w:t>
      </w:r>
    </w:p>
    <w:p w:rsidR="00FF2911" w:rsidRPr="00C54AAF" w:rsidRDefault="00660434" w:rsidP="00C54AAF">
      <w:pPr>
        <w:pStyle w:val="ListParagraph"/>
        <w:widowControl/>
        <w:numPr>
          <w:ilvl w:val="1"/>
          <w:numId w:val="3"/>
        </w:numPr>
        <w:jc w:val="left"/>
        <w:rPr>
          <w:color w:val="000000" w:themeColor="text1"/>
        </w:rPr>
      </w:pPr>
      <w:r w:rsidRPr="00C54AAF">
        <w:rPr>
          <w:color w:val="000000" w:themeColor="text1"/>
        </w:rPr>
        <w:t xml:space="preserve">The ESC considered the main comparator to be reasonable </w:t>
      </w:r>
      <w:r w:rsidR="00F83420" w:rsidRPr="00C54AAF">
        <w:rPr>
          <w:color w:val="000000" w:themeColor="text1"/>
        </w:rPr>
        <w:t xml:space="preserve">due to </w:t>
      </w:r>
      <w:r w:rsidR="00AA1074" w:rsidRPr="00C54AAF">
        <w:rPr>
          <w:color w:val="000000" w:themeColor="text1"/>
        </w:rPr>
        <w:t xml:space="preserve">similarity in </w:t>
      </w:r>
      <w:r w:rsidR="00F83420" w:rsidRPr="00C54AAF">
        <w:rPr>
          <w:color w:val="000000" w:themeColor="text1"/>
        </w:rPr>
        <w:t>formulation</w:t>
      </w:r>
      <w:r w:rsidR="00BA7273">
        <w:rPr>
          <w:color w:val="000000" w:themeColor="text1"/>
        </w:rPr>
        <w:t>.</w:t>
      </w:r>
      <w:r w:rsidR="00713357" w:rsidRPr="00C54AAF">
        <w:rPr>
          <w:color w:val="000000" w:themeColor="text1"/>
        </w:rPr>
        <w:t xml:space="preserve"> </w:t>
      </w:r>
      <w:r w:rsidR="00F83420" w:rsidRPr="00C54AAF">
        <w:rPr>
          <w:color w:val="000000" w:themeColor="text1"/>
        </w:rPr>
        <w:t xml:space="preserve">The ESC </w:t>
      </w:r>
      <w:r w:rsidRPr="00C54AAF">
        <w:rPr>
          <w:color w:val="000000" w:themeColor="text1"/>
        </w:rPr>
        <w:t xml:space="preserve">noted </w:t>
      </w:r>
      <w:r w:rsidR="00AA1074" w:rsidRPr="00C54AAF">
        <w:rPr>
          <w:color w:val="000000" w:themeColor="text1"/>
        </w:rPr>
        <w:t xml:space="preserve">that </w:t>
      </w:r>
      <w:r w:rsidRPr="00C54AAF">
        <w:rPr>
          <w:color w:val="000000" w:themeColor="text1"/>
        </w:rPr>
        <w:t>other fast ac</w:t>
      </w:r>
      <w:r w:rsidR="00C54AAF">
        <w:rPr>
          <w:color w:val="000000" w:themeColor="text1"/>
        </w:rPr>
        <w:t>ting insulins listed on the PBS</w:t>
      </w:r>
      <w:r w:rsidR="00713357" w:rsidRPr="00C54AAF">
        <w:rPr>
          <w:color w:val="000000" w:themeColor="text1"/>
        </w:rPr>
        <w:t xml:space="preserve"> </w:t>
      </w:r>
      <w:r w:rsidR="00AA1074" w:rsidRPr="00C54AAF">
        <w:rPr>
          <w:color w:val="000000" w:themeColor="text1"/>
        </w:rPr>
        <w:t xml:space="preserve">may also be relevant comparators. </w:t>
      </w:r>
    </w:p>
    <w:p w:rsidR="00163FB4" w:rsidRPr="00DC229E" w:rsidRDefault="00163FB4" w:rsidP="004E0D12">
      <w:pPr>
        <w:pStyle w:val="ListParagraph"/>
        <w:widowControl/>
        <w:spacing w:after="120"/>
      </w:pPr>
      <w:r w:rsidRPr="00DC229E">
        <w:rPr>
          <w:i/>
        </w:rPr>
        <w:t>For more detail on PBAC’s view, see section 7 PBAC outcome.</w:t>
      </w:r>
    </w:p>
    <w:p w:rsidR="00B50DB8" w:rsidRPr="00730727" w:rsidRDefault="00BD6CF3" w:rsidP="002F637F">
      <w:pPr>
        <w:pStyle w:val="Heading1"/>
      </w:pPr>
      <w:bookmarkStart w:id="6" w:name="_Toc521797526"/>
      <w:r w:rsidRPr="00730727">
        <w:t>C</w:t>
      </w:r>
      <w:r w:rsidR="00B50DB8" w:rsidRPr="00730727">
        <w:t>onsideration of the evidence</w:t>
      </w:r>
      <w:bookmarkEnd w:id="6"/>
    </w:p>
    <w:p w:rsidR="00163FB4" w:rsidRPr="00525B39" w:rsidRDefault="00163FB4" w:rsidP="00235ABF">
      <w:pPr>
        <w:pStyle w:val="Heading2"/>
      </w:pPr>
      <w:bookmarkStart w:id="7" w:name="_Toc521797527"/>
      <w:r w:rsidRPr="00525B39">
        <w:t>Sponsor hearing</w:t>
      </w:r>
    </w:p>
    <w:p w:rsidR="00163FB4" w:rsidRPr="00525B39" w:rsidRDefault="00163FB4" w:rsidP="00163FB4">
      <w:pPr>
        <w:numPr>
          <w:ilvl w:val="1"/>
          <w:numId w:val="3"/>
        </w:numPr>
        <w:spacing w:after="120"/>
        <w:rPr>
          <w:rFonts w:asciiTheme="minorHAnsi" w:hAnsiTheme="minorHAnsi"/>
          <w:bCs/>
        </w:rPr>
      </w:pPr>
      <w:r w:rsidRPr="00525B39">
        <w:rPr>
          <w:rFonts w:asciiTheme="minorHAnsi" w:hAnsiTheme="minorHAnsi"/>
          <w:bCs/>
        </w:rPr>
        <w:t>There was no hearing for this item.</w:t>
      </w:r>
    </w:p>
    <w:p w:rsidR="00163FB4" w:rsidRPr="00525B39" w:rsidRDefault="00163FB4" w:rsidP="00235ABF">
      <w:pPr>
        <w:pStyle w:val="Heading2"/>
      </w:pPr>
      <w:r w:rsidRPr="00525B39">
        <w:t>Consumer comments</w:t>
      </w:r>
    </w:p>
    <w:p w:rsidR="00C701A8" w:rsidRPr="00CF4102" w:rsidRDefault="00163FB4" w:rsidP="00163FB4">
      <w:pPr>
        <w:numPr>
          <w:ilvl w:val="1"/>
          <w:numId w:val="3"/>
        </w:numPr>
        <w:spacing w:after="120"/>
        <w:rPr>
          <w:rFonts w:asciiTheme="minorHAnsi" w:hAnsiTheme="minorHAnsi"/>
          <w:bCs/>
        </w:rPr>
      </w:pPr>
      <w:r w:rsidRPr="00CF4102">
        <w:rPr>
          <w:rFonts w:asciiTheme="minorHAnsi" w:hAnsiTheme="minorHAnsi"/>
          <w:bCs/>
        </w:rPr>
        <w:t>The PBAC noted and welcomed the input from</w:t>
      </w:r>
      <w:r w:rsidR="002C67C4" w:rsidRPr="00CF4102">
        <w:rPr>
          <w:rFonts w:asciiTheme="minorHAnsi" w:hAnsiTheme="minorHAnsi"/>
          <w:bCs/>
        </w:rPr>
        <w:t xml:space="preserve"> </w:t>
      </w:r>
      <w:r w:rsidR="002C67C4" w:rsidRPr="00736785">
        <w:rPr>
          <w:rFonts w:asciiTheme="minorHAnsi" w:hAnsiTheme="minorHAnsi"/>
          <w:bCs/>
        </w:rPr>
        <w:t>a</w:t>
      </w:r>
      <w:r w:rsidRPr="00736785">
        <w:rPr>
          <w:rFonts w:asciiTheme="minorHAnsi" w:hAnsiTheme="minorHAnsi"/>
          <w:bCs/>
        </w:rPr>
        <w:t xml:space="preserve"> health care professional (1) and </w:t>
      </w:r>
      <w:r w:rsidR="00186BF3" w:rsidRPr="00736785">
        <w:rPr>
          <w:rFonts w:asciiTheme="minorHAnsi" w:hAnsiTheme="minorHAnsi"/>
          <w:bCs/>
        </w:rPr>
        <w:t>an</w:t>
      </w:r>
      <w:r w:rsidR="00186BF3" w:rsidRPr="00CF4102">
        <w:rPr>
          <w:rFonts w:asciiTheme="minorHAnsi" w:hAnsiTheme="minorHAnsi"/>
          <w:bCs/>
        </w:rPr>
        <w:t xml:space="preserve"> </w:t>
      </w:r>
      <w:r w:rsidRPr="00CF4102">
        <w:rPr>
          <w:rFonts w:asciiTheme="minorHAnsi" w:hAnsiTheme="minorHAnsi"/>
          <w:bCs/>
        </w:rPr>
        <w:t xml:space="preserve">organisation (1) via the Consumer Comments facility on the PBS website. The comments described </w:t>
      </w:r>
      <w:r w:rsidR="002C67C4" w:rsidRPr="00CF4102">
        <w:rPr>
          <w:rFonts w:asciiTheme="minorHAnsi" w:hAnsiTheme="minorHAnsi"/>
          <w:bCs/>
        </w:rPr>
        <w:t xml:space="preserve">the </w:t>
      </w:r>
      <w:r w:rsidR="004E0D12">
        <w:rPr>
          <w:rFonts w:asciiTheme="minorHAnsi" w:hAnsiTheme="minorHAnsi"/>
          <w:bCs/>
        </w:rPr>
        <w:t>positive impact on target blood glucose levels obtained through a</w:t>
      </w:r>
      <w:r w:rsidR="005D2ECA">
        <w:rPr>
          <w:rFonts w:asciiTheme="minorHAnsi" w:hAnsiTheme="minorHAnsi"/>
          <w:bCs/>
        </w:rPr>
        <w:t>n insulin</w:t>
      </w:r>
      <w:r w:rsidR="004E0D12">
        <w:rPr>
          <w:rFonts w:asciiTheme="minorHAnsi" w:hAnsiTheme="minorHAnsi"/>
          <w:bCs/>
        </w:rPr>
        <w:t xml:space="preserve"> product that can be administered with</w:t>
      </w:r>
      <w:r w:rsidR="005D2ECA">
        <w:rPr>
          <w:rFonts w:asciiTheme="minorHAnsi" w:hAnsiTheme="minorHAnsi"/>
          <w:bCs/>
        </w:rPr>
        <w:t>,</w:t>
      </w:r>
      <w:r w:rsidR="004E0D12">
        <w:rPr>
          <w:rFonts w:asciiTheme="minorHAnsi" w:hAnsiTheme="minorHAnsi"/>
          <w:bCs/>
        </w:rPr>
        <w:t xml:space="preserve"> rather than prior to</w:t>
      </w:r>
      <w:r w:rsidR="005D2ECA">
        <w:rPr>
          <w:rFonts w:asciiTheme="minorHAnsi" w:hAnsiTheme="minorHAnsi"/>
          <w:bCs/>
        </w:rPr>
        <w:t>,</w:t>
      </w:r>
      <w:r w:rsidR="004E0D12">
        <w:rPr>
          <w:rFonts w:asciiTheme="minorHAnsi" w:hAnsiTheme="minorHAnsi"/>
          <w:bCs/>
        </w:rPr>
        <w:t xml:space="preserve"> a meal. </w:t>
      </w:r>
    </w:p>
    <w:p w:rsidR="00163FB4" w:rsidRPr="004322C0" w:rsidRDefault="00163FB4" w:rsidP="004322C0">
      <w:pPr>
        <w:numPr>
          <w:ilvl w:val="1"/>
          <w:numId w:val="3"/>
        </w:numPr>
        <w:spacing w:after="120"/>
        <w:rPr>
          <w:rFonts w:asciiTheme="minorHAnsi" w:hAnsiTheme="minorHAnsi"/>
          <w:bCs/>
        </w:rPr>
      </w:pPr>
      <w:r w:rsidRPr="00CF4102">
        <w:rPr>
          <w:rFonts w:asciiTheme="minorHAnsi" w:hAnsiTheme="minorHAnsi"/>
          <w:bCs/>
        </w:rPr>
        <w:t xml:space="preserve">The PBAC noted the advice received from </w:t>
      </w:r>
      <w:r w:rsidR="005D2ECA">
        <w:rPr>
          <w:rFonts w:asciiTheme="minorHAnsi" w:hAnsiTheme="minorHAnsi"/>
          <w:bCs/>
        </w:rPr>
        <w:t>J</w:t>
      </w:r>
      <w:r w:rsidR="00736785">
        <w:rPr>
          <w:rFonts w:asciiTheme="minorHAnsi" w:hAnsiTheme="minorHAnsi"/>
          <w:bCs/>
        </w:rPr>
        <w:t>D</w:t>
      </w:r>
      <w:r w:rsidR="005D2ECA">
        <w:rPr>
          <w:rFonts w:asciiTheme="minorHAnsi" w:hAnsiTheme="minorHAnsi"/>
          <w:bCs/>
        </w:rPr>
        <w:t>R</w:t>
      </w:r>
      <w:r w:rsidR="00736785">
        <w:rPr>
          <w:rFonts w:asciiTheme="minorHAnsi" w:hAnsiTheme="minorHAnsi"/>
          <w:bCs/>
        </w:rPr>
        <w:t>F Australia welcoming any product that allows</w:t>
      </w:r>
      <w:r w:rsidR="005D2ECA">
        <w:rPr>
          <w:rFonts w:asciiTheme="minorHAnsi" w:hAnsiTheme="minorHAnsi"/>
          <w:bCs/>
        </w:rPr>
        <w:t xml:space="preserve"> for</w:t>
      </w:r>
      <w:r w:rsidR="00736785">
        <w:rPr>
          <w:rFonts w:asciiTheme="minorHAnsi" w:hAnsiTheme="minorHAnsi"/>
          <w:bCs/>
        </w:rPr>
        <w:t xml:space="preserve"> faster action of insulin in the T1DM community.  </w:t>
      </w:r>
    </w:p>
    <w:p w:rsidR="00B60939" w:rsidRPr="00E35188" w:rsidRDefault="00B60939" w:rsidP="002F637F">
      <w:pPr>
        <w:pStyle w:val="Heading2"/>
        <w:widowControl/>
      </w:pPr>
      <w:r w:rsidRPr="00E35188">
        <w:t>Clinical trials</w:t>
      </w:r>
      <w:bookmarkEnd w:id="7"/>
    </w:p>
    <w:p w:rsidR="002811B7" w:rsidRPr="00E35188" w:rsidRDefault="002811B7" w:rsidP="002F637F">
      <w:pPr>
        <w:pStyle w:val="ListParagraph"/>
        <w:widowControl/>
        <w:numPr>
          <w:ilvl w:val="1"/>
          <w:numId w:val="3"/>
        </w:numPr>
      </w:pPr>
      <w:r w:rsidRPr="00E35188">
        <w:t xml:space="preserve">The submission was based on four head-to-head randomised trials comparing </w:t>
      </w:r>
      <w:r w:rsidR="00195936">
        <w:t>Fiasp</w:t>
      </w:r>
      <w:r w:rsidRPr="00E35188">
        <w:t xml:space="preserve"> to NovoRapid.</w:t>
      </w:r>
      <w:r w:rsidR="00713357">
        <w:t xml:space="preserve"> </w:t>
      </w:r>
      <w:r w:rsidRPr="00E35188">
        <w:t>The trial evidence included:</w:t>
      </w:r>
    </w:p>
    <w:p w:rsidR="002811B7" w:rsidRPr="00E35188" w:rsidRDefault="00555CE5" w:rsidP="002F637F">
      <w:pPr>
        <w:pStyle w:val="ListParagraph"/>
        <w:widowControl/>
        <w:numPr>
          <w:ilvl w:val="0"/>
          <w:numId w:val="5"/>
        </w:numPr>
        <w:spacing w:after="0"/>
        <w:ind w:left="1077" w:hanging="357"/>
      </w:pPr>
      <w:r>
        <w:t>O</w:t>
      </w:r>
      <w:r w:rsidR="002811B7" w:rsidRPr="00E35188">
        <w:t>ne RCT in patients with T2DM</w:t>
      </w:r>
      <w:r w:rsidR="00FC7AFF">
        <w:t xml:space="preserve"> (bolus/basal </w:t>
      </w:r>
      <w:r w:rsidR="004E702D" w:rsidRPr="00372130">
        <w:t>regimen</w:t>
      </w:r>
      <w:r w:rsidR="00FC7AFF" w:rsidRPr="00372130">
        <w:t>)</w:t>
      </w:r>
      <w:r w:rsidR="002811B7" w:rsidRPr="00372130">
        <w:t>: onset 2 (results</w:t>
      </w:r>
      <w:r w:rsidR="002811B7" w:rsidRPr="00E35188">
        <w:t xml:space="preserve"> reported at 26 weeks)</w:t>
      </w:r>
      <w:r w:rsidR="00660434">
        <w:t xml:space="preserve">. </w:t>
      </w:r>
    </w:p>
    <w:p w:rsidR="002811B7" w:rsidRDefault="002811B7" w:rsidP="002F637F">
      <w:pPr>
        <w:pStyle w:val="ListParagraph"/>
        <w:widowControl/>
        <w:numPr>
          <w:ilvl w:val="0"/>
          <w:numId w:val="5"/>
        </w:numPr>
        <w:spacing w:after="0"/>
        <w:ind w:left="1077" w:hanging="357"/>
      </w:pPr>
      <w:r>
        <w:t>Three</w:t>
      </w:r>
      <w:r w:rsidRPr="00E35188">
        <w:t xml:space="preserve"> RCT</w:t>
      </w:r>
      <w:r w:rsidR="00372130">
        <w:t>s</w:t>
      </w:r>
      <w:r w:rsidRPr="00E35188">
        <w:t xml:space="preserve"> in patients with T1DM</w:t>
      </w:r>
      <w:r>
        <w:t>:</w:t>
      </w:r>
    </w:p>
    <w:p w:rsidR="002811B7" w:rsidRDefault="002811B7" w:rsidP="002F637F">
      <w:pPr>
        <w:pStyle w:val="ListParagraph"/>
        <w:widowControl/>
        <w:numPr>
          <w:ilvl w:val="0"/>
          <w:numId w:val="10"/>
        </w:numPr>
        <w:spacing w:after="0"/>
        <w:ind w:left="1502" w:hanging="284"/>
      </w:pPr>
      <w:r>
        <w:t>One</w:t>
      </w:r>
      <w:r w:rsidRPr="00E35188">
        <w:t xml:space="preserve"> </w:t>
      </w:r>
      <w:r>
        <w:t>RCT</w:t>
      </w:r>
      <w:r w:rsidR="004E741C">
        <w:t xml:space="preserve"> </w:t>
      </w:r>
      <w:r w:rsidR="00FC7AFF">
        <w:t xml:space="preserve">using </w:t>
      </w:r>
      <w:r>
        <w:t>bolus</w:t>
      </w:r>
      <w:r w:rsidR="00FC7AFF">
        <w:t xml:space="preserve">/basal </w:t>
      </w:r>
      <w:r w:rsidR="004E702D">
        <w:t>regimen</w:t>
      </w:r>
      <w:r w:rsidR="00FC7AFF">
        <w:t>:</w:t>
      </w:r>
      <w:r w:rsidRPr="00E35188">
        <w:t xml:space="preserve"> onset 1 (results</w:t>
      </w:r>
      <w:r>
        <w:t xml:space="preserve"> reported at 26 and 52 weeks); and </w:t>
      </w:r>
    </w:p>
    <w:p w:rsidR="002811B7" w:rsidRPr="00E35188" w:rsidRDefault="002811B7" w:rsidP="002F637F">
      <w:pPr>
        <w:pStyle w:val="ListParagraph"/>
        <w:widowControl/>
        <w:numPr>
          <w:ilvl w:val="0"/>
          <w:numId w:val="10"/>
        </w:numPr>
        <w:spacing w:after="0"/>
        <w:ind w:left="1502" w:hanging="284"/>
      </w:pPr>
      <w:r>
        <w:t>T</w:t>
      </w:r>
      <w:r w:rsidRPr="00E35188">
        <w:t xml:space="preserve">wo RCTs </w:t>
      </w:r>
      <w:r>
        <w:t xml:space="preserve">of using </w:t>
      </w:r>
      <w:r w:rsidRPr="00E35188">
        <w:rPr>
          <w:rFonts w:cs="Calibri"/>
        </w:rPr>
        <w:t>continuous subcutaneous insulin infusion (CSII) system</w:t>
      </w:r>
      <w:r>
        <w:rPr>
          <w:rFonts w:cs="Calibri"/>
        </w:rPr>
        <w:t>s</w:t>
      </w:r>
      <w:r w:rsidR="00FC7AFF">
        <w:t>:</w:t>
      </w:r>
      <w:r w:rsidRPr="00E35188">
        <w:t xml:space="preserve"> onset 4 and onset 5 (results reported at 6 and 16 weeks, respectively).</w:t>
      </w:r>
      <w:r w:rsidR="00713357">
        <w:t xml:space="preserve"> </w:t>
      </w:r>
      <w:r w:rsidRPr="00E35188">
        <w:t xml:space="preserve">The </w:t>
      </w:r>
      <w:r w:rsidRPr="00E35188">
        <w:lastRenderedPageBreak/>
        <w:t>onset 4 trial was a short trial of 6 weeks</w:t>
      </w:r>
      <w:r>
        <w:t xml:space="preserve"> treatment duration</w:t>
      </w:r>
      <w:r w:rsidRPr="00E35188">
        <w:t xml:space="preserve">, with the primary objective of evaluating the compatibility of </w:t>
      </w:r>
      <w:r w:rsidR="00195936">
        <w:t>Fiasp</w:t>
      </w:r>
      <w:r w:rsidRPr="00E35188">
        <w:t xml:space="preserve"> and NovoRapid</w:t>
      </w:r>
      <w:r w:rsidRPr="00E35188">
        <w:rPr>
          <w:rFonts w:cs="Calibri"/>
        </w:rPr>
        <w:t xml:space="preserve">® with CSII, </w:t>
      </w:r>
      <w:r>
        <w:rPr>
          <w:rFonts w:cs="Calibri"/>
        </w:rPr>
        <w:t xml:space="preserve">it was therefore </w:t>
      </w:r>
      <w:r w:rsidRPr="00E35188">
        <w:rPr>
          <w:rFonts w:cs="Calibri"/>
        </w:rPr>
        <w:t xml:space="preserve">considered </w:t>
      </w:r>
      <w:r>
        <w:rPr>
          <w:rFonts w:cs="Calibri"/>
        </w:rPr>
        <w:t xml:space="preserve">to </w:t>
      </w:r>
      <w:r w:rsidR="00A34540">
        <w:rPr>
          <w:rFonts w:cs="Calibri"/>
        </w:rPr>
        <w:t xml:space="preserve">be </w:t>
      </w:r>
      <w:r w:rsidRPr="00E35188">
        <w:rPr>
          <w:rFonts w:cs="Calibri"/>
        </w:rPr>
        <w:t xml:space="preserve">supportive </w:t>
      </w:r>
      <w:r>
        <w:rPr>
          <w:rFonts w:cs="Calibri"/>
        </w:rPr>
        <w:t xml:space="preserve">evidence </w:t>
      </w:r>
      <w:r w:rsidRPr="00E35188">
        <w:rPr>
          <w:rFonts w:cs="Calibri"/>
        </w:rPr>
        <w:t xml:space="preserve">to </w:t>
      </w:r>
      <w:r>
        <w:rPr>
          <w:rFonts w:cs="Calibri"/>
        </w:rPr>
        <w:t>the onset 5 trial.</w:t>
      </w:r>
    </w:p>
    <w:p w:rsidR="002811B7" w:rsidRDefault="002811B7" w:rsidP="002F637F">
      <w:pPr>
        <w:widowControl/>
      </w:pPr>
    </w:p>
    <w:p w:rsidR="0028778E" w:rsidRPr="00C54AAF" w:rsidRDefault="0028778E" w:rsidP="002F637F">
      <w:pPr>
        <w:pStyle w:val="ListParagraph"/>
        <w:widowControl/>
        <w:numPr>
          <w:ilvl w:val="1"/>
          <w:numId w:val="3"/>
        </w:numPr>
      </w:pPr>
      <w:r w:rsidRPr="00C54AAF">
        <w:t>The ESC noted only a single study was provided to support the claim of non-inferiority for T2DM patients.</w:t>
      </w:r>
    </w:p>
    <w:p w:rsidR="00EE2C35" w:rsidRPr="00C54AAF" w:rsidRDefault="002811B7" w:rsidP="002F637F">
      <w:pPr>
        <w:pStyle w:val="ListParagraph"/>
        <w:widowControl/>
        <w:numPr>
          <w:ilvl w:val="1"/>
          <w:numId w:val="3"/>
        </w:numPr>
      </w:pPr>
      <w:r w:rsidRPr="00C54AAF">
        <w:t xml:space="preserve">With the exception of onset 4, all </w:t>
      </w:r>
      <w:r w:rsidR="00067924" w:rsidRPr="00C54AAF">
        <w:t>included trials were non-inferiority</w:t>
      </w:r>
      <w:r w:rsidR="003030A3" w:rsidRPr="00C54AAF">
        <w:t xml:space="preserve"> trials</w:t>
      </w:r>
      <w:r w:rsidR="00067924" w:rsidRPr="00C54AAF">
        <w:t xml:space="preserve"> reporting the </w:t>
      </w:r>
      <w:r w:rsidRPr="00C54AAF">
        <w:t>primary outcome</w:t>
      </w:r>
      <w:r w:rsidR="003030A3" w:rsidRPr="00C54AAF">
        <w:t>:</w:t>
      </w:r>
      <w:r w:rsidRPr="00C54AAF">
        <w:t xml:space="preserve"> change </w:t>
      </w:r>
      <w:r w:rsidR="003030A3" w:rsidRPr="00C54AAF">
        <w:t xml:space="preserve">from baseline </w:t>
      </w:r>
      <w:r w:rsidRPr="00C54AAF">
        <w:t>in glycosylated haemoglobin (HbA1c)</w:t>
      </w:r>
      <w:r w:rsidR="003030A3" w:rsidRPr="00C54AAF">
        <w:t>,</w:t>
      </w:r>
      <w:r w:rsidRPr="00C54AAF">
        <w:t xml:space="preserve"> with the pre-specified non-inferiority margin of 0.4%.</w:t>
      </w:r>
      <w:r w:rsidR="00713357" w:rsidRPr="00C54AAF">
        <w:t xml:space="preserve"> </w:t>
      </w:r>
      <w:r w:rsidRPr="00C54AAF">
        <w:t>The submission’s non-inferiority claim was al</w:t>
      </w:r>
      <w:r w:rsidR="00CC1F4F" w:rsidRPr="00C54AAF">
        <w:t>so based on this outcome and</w:t>
      </w:r>
      <w:r w:rsidRPr="00C54AAF">
        <w:t xml:space="preserve"> margin.</w:t>
      </w:r>
      <w:r w:rsidR="00713357" w:rsidRPr="00C54AAF">
        <w:t xml:space="preserve"> </w:t>
      </w:r>
      <w:r w:rsidR="003030A3" w:rsidRPr="00C54AAF">
        <w:t xml:space="preserve">Both the nominated </w:t>
      </w:r>
      <w:r w:rsidR="00067924" w:rsidRPr="00C54AAF">
        <w:t>outcome and non-inferiority margin ha</w:t>
      </w:r>
      <w:r w:rsidR="003030A3" w:rsidRPr="00C54AAF">
        <w:t xml:space="preserve">d </w:t>
      </w:r>
      <w:r w:rsidR="00067924" w:rsidRPr="00C54AAF">
        <w:t>previously been accepted by the PBAC</w:t>
      </w:r>
      <w:r w:rsidR="00663ECF" w:rsidRPr="00C54AAF">
        <w:t>.</w:t>
      </w:r>
      <w:r w:rsidR="00713357" w:rsidRPr="00C54AAF">
        <w:t xml:space="preserve"> </w:t>
      </w:r>
      <w:r w:rsidR="00660434" w:rsidRPr="00C54AAF">
        <w:t>The ESC noted that this outcome was reasonable.</w:t>
      </w:r>
    </w:p>
    <w:p w:rsidR="008A04EF" w:rsidRPr="00C54AAF" w:rsidRDefault="00A73134" w:rsidP="002F637F">
      <w:pPr>
        <w:pStyle w:val="ListParagraph"/>
        <w:widowControl/>
        <w:numPr>
          <w:ilvl w:val="1"/>
          <w:numId w:val="3"/>
        </w:numPr>
      </w:pPr>
      <w:r w:rsidRPr="00C54AAF">
        <w:rPr>
          <w:rFonts w:cs="Calibri"/>
          <w:snapToGrid/>
          <w:szCs w:val="24"/>
          <w:lang w:eastAsia="en-AU"/>
        </w:rPr>
        <w:t>Details of the trials presented in the submission ar</w:t>
      </w:r>
      <w:r w:rsidR="002811B7" w:rsidRPr="00C54AAF">
        <w:rPr>
          <w:rFonts w:cs="Calibri"/>
          <w:snapToGrid/>
          <w:szCs w:val="24"/>
          <w:lang w:eastAsia="en-AU"/>
        </w:rPr>
        <w:t xml:space="preserve">e provided in </w:t>
      </w:r>
      <w:r w:rsidR="00FA3B26" w:rsidRPr="00C54AAF">
        <w:rPr>
          <w:rFonts w:cs="Calibri"/>
          <w:snapToGrid/>
          <w:szCs w:val="24"/>
          <w:lang w:eastAsia="en-AU"/>
        </w:rPr>
        <w:t>Table 2</w:t>
      </w:r>
      <w:r w:rsidR="002811B7" w:rsidRPr="00C54AAF">
        <w:rPr>
          <w:rFonts w:cs="Calibri"/>
          <w:snapToGrid/>
          <w:szCs w:val="24"/>
          <w:lang w:eastAsia="en-AU"/>
        </w:rPr>
        <w:t xml:space="preserve">. </w:t>
      </w:r>
    </w:p>
    <w:p w:rsidR="00DF5ECE" w:rsidRPr="002F637F" w:rsidRDefault="00DF5ECE" w:rsidP="002F637F">
      <w:pPr>
        <w:keepNext/>
        <w:rPr>
          <w:rFonts w:ascii="Arial Narrow" w:hAnsi="Arial Narrow"/>
          <w:sz w:val="20"/>
          <w:szCs w:val="20"/>
        </w:rPr>
      </w:pPr>
      <w:bookmarkStart w:id="8" w:name="_Toc521797528"/>
      <w:r w:rsidRPr="002F637F">
        <w:rPr>
          <w:rStyle w:val="CommentReference"/>
          <w:bCs/>
          <w:szCs w:val="20"/>
        </w:rPr>
        <w:t>Table</w:t>
      </w:r>
      <w:r w:rsidR="0040360C" w:rsidRPr="002F637F">
        <w:rPr>
          <w:rStyle w:val="CommentReference"/>
          <w:bCs/>
          <w:szCs w:val="20"/>
        </w:rPr>
        <w:t xml:space="preserve"> 2</w:t>
      </w:r>
      <w:r w:rsidRPr="002F637F">
        <w:rPr>
          <w:rStyle w:val="CommentReference"/>
          <w:bCs/>
          <w:szCs w:val="20"/>
        </w:rPr>
        <w:t>: Trials and associated reports presented in the submission</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6"/>
        <w:gridCol w:w="5379"/>
        <w:gridCol w:w="2138"/>
      </w:tblGrid>
      <w:tr w:rsidR="00DF5ECE" w:rsidRPr="00E35188" w:rsidTr="002C4E16">
        <w:trPr>
          <w:tblHeader/>
        </w:trPr>
        <w:tc>
          <w:tcPr>
            <w:tcW w:w="862" w:type="pct"/>
            <w:vAlign w:val="center"/>
          </w:tcPr>
          <w:p w:rsidR="00DF5ECE" w:rsidRPr="00E35188" w:rsidRDefault="00DF5ECE" w:rsidP="002F637F">
            <w:pPr>
              <w:pStyle w:val="Tabletext"/>
              <w:keepNext/>
              <w:rPr>
                <w:b/>
              </w:rPr>
            </w:pPr>
            <w:r w:rsidRPr="00E35188">
              <w:rPr>
                <w:b/>
              </w:rPr>
              <w:t>Trial ID</w:t>
            </w:r>
          </w:p>
        </w:tc>
        <w:tc>
          <w:tcPr>
            <w:tcW w:w="2961" w:type="pct"/>
            <w:vAlign w:val="center"/>
          </w:tcPr>
          <w:p w:rsidR="00DF5ECE" w:rsidRPr="00E35188" w:rsidRDefault="00DF5ECE" w:rsidP="002F637F">
            <w:pPr>
              <w:pStyle w:val="Tabletext"/>
              <w:keepNext/>
              <w:jc w:val="center"/>
              <w:rPr>
                <w:b/>
              </w:rPr>
            </w:pPr>
            <w:r w:rsidRPr="00E35188">
              <w:rPr>
                <w:b/>
              </w:rPr>
              <w:t>Protocol title/ Publication title</w:t>
            </w:r>
          </w:p>
        </w:tc>
        <w:tc>
          <w:tcPr>
            <w:tcW w:w="1177" w:type="pct"/>
            <w:vAlign w:val="center"/>
          </w:tcPr>
          <w:p w:rsidR="00DF5ECE" w:rsidRPr="00E35188" w:rsidRDefault="00DF5ECE" w:rsidP="002F637F">
            <w:pPr>
              <w:pStyle w:val="Tabletext"/>
              <w:keepNext/>
              <w:jc w:val="center"/>
              <w:rPr>
                <w:b/>
              </w:rPr>
            </w:pPr>
            <w:r w:rsidRPr="00E35188">
              <w:rPr>
                <w:b/>
              </w:rPr>
              <w:t>Publication citation</w:t>
            </w:r>
          </w:p>
        </w:tc>
      </w:tr>
      <w:tr w:rsidR="00DF5ECE" w:rsidRPr="00E35188" w:rsidTr="0040360C">
        <w:tc>
          <w:tcPr>
            <w:tcW w:w="862" w:type="pct"/>
            <w:tcBorders>
              <w:bottom w:val="nil"/>
            </w:tcBorders>
            <w:vAlign w:val="bottom"/>
          </w:tcPr>
          <w:p w:rsidR="00DF5ECE" w:rsidRPr="003A38F7" w:rsidRDefault="00DF5ECE" w:rsidP="002F637F">
            <w:pPr>
              <w:pStyle w:val="Tabletext"/>
              <w:keepNext/>
              <w:rPr>
                <w:rFonts w:ascii="Times" w:hAnsi="Times"/>
              </w:rPr>
            </w:pPr>
            <w:r w:rsidRPr="003A38F7">
              <w:t>onset 1(26 weeks)</w:t>
            </w:r>
          </w:p>
        </w:tc>
        <w:tc>
          <w:tcPr>
            <w:tcW w:w="2961" w:type="pct"/>
            <w:tcBorders>
              <w:bottom w:val="nil"/>
            </w:tcBorders>
            <w:vAlign w:val="center"/>
          </w:tcPr>
          <w:p w:rsidR="00DF5ECE" w:rsidRPr="003A38F7" w:rsidRDefault="00DF5ECE" w:rsidP="002F637F">
            <w:pPr>
              <w:pStyle w:val="Tabletext"/>
              <w:keepNext/>
              <w:rPr>
                <w:szCs w:val="18"/>
              </w:rPr>
            </w:pPr>
            <w:r w:rsidRPr="003A38F7">
              <w:rPr>
                <w:szCs w:val="18"/>
              </w:rPr>
              <w:t>Efficacy and Safety of FIAsp Compared to Insulin Aspart Both in Combination with Insulin Detemir in Adults with Type 1 Diabetes.</w:t>
            </w:r>
          </w:p>
          <w:p w:rsidR="00DF5ECE" w:rsidRPr="003A38F7" w:rsidRDefault="00DF5ECE" w:rsidP="002F637F">
            <w:pPr>
              <w:pStyle w:val="Tabletext"/>
              <w:keepNext/>
              <w:rPr>
                <w:szCs w:val="18"/>
              </w:rPr>
            </w:pPr>
          </w:p>
        </w:tc>
        <w:tc>
          <w:tcPr>
            <w:tcW w:w="1177" w:type="pct"/>
            <w:tcBorders>
              <w:bottom w:val="nil"/>
            </w:tcBorders>
            <w:vAlign w:val="center"/>
          </w:tcPr>
          <w:p w:rsidR="00DF5ECE" w:rsidRPr="003A38F7" w:rsidRDefault="00DF5ECE" w:rsidP="002F637F">
            <w:pPr>
              <w:pStyle w:val="Tabletext"/>
              <w:keepNext/>
              <w:rPr>
                <w:rFonts w:ascii="Times" w:hAnsi="Times"/>
              </w:rPr>
            </w:pPr>
            <w:r w:rsidRPr="003A38F7">
              <w:t>September 2015</w:t>
            </w:r>
          </w:p>
        </w:tc>
      </w:tr>
      <w:tr w:rsidR="00DF5ECE" w:rsidRPr="00E35188" w:rsidTr="002C4E16">
        <w:tc>
          <w:tcPr>
            <w:tcW w:w="862" w:type="pct"/>
            <w:tcBorders>
              <w:top w:val="nil"/>
              <w:bottom w:val="nil"/>
            </w:tcBorders>
            <w:vAlign w:val="center"/>
          </w:tcPr>
          <w:p w:rsidR="00DF5ECE" w:rsidRPr="003A38F7" w:rsidRDefault="00DF5ECE" w:rsidP="002F637F">
            <w:pPr>
              <w:pStyle w:val="Tabletext"/>
              <w:keepNext/>
            </w:pPr>
          </w:p>
        </w:tc>
        <w:tc>
          <w:tcPr>
            <w:tcW w:w="2961" w:type="pct"/>
            <w:tcBorders>
              <w:top w:val="nil"/>
              <w:bottom w:val="nil"/>
            </w:tcBorders>
            <w:vAlign w:val="center"/>
          </w:tcPr>
          <w:p w:rsidR="00DF5ECE" w:rsidRPr="003A38F7" w:rsidRDefault="00DF5ECE" w:rsidP="002F637F">
            <w:pPr>
              <w:pStyle w:val="Tabletext"/>
              <w:keepNext/>
              <w:rPr>
                <w:szCs w:val="18"/>
                <w:lang w:eastAsia="en-AU"/>
              </w:rPr>
            </w:pPr>
            <w:r w:rsidRPr="003A38F7">
              <w:rPr>
                <w:szCs w:val="18"/>
                <w:lang w:eastAsia="en-AU"/>
              </w:rPr>
              <w:t>Russell-Jones D, Bode BW, De Block C et al.</w:t>
            </w:r>
            <w:r w:rsidR="00713357">
              <w:rPr>
                <w:szCs w:val="18"/>
                <w:lang w:eastAsia="en-AU"/>
              </w:rPr>
              <w:t xml:space="preserve"> </w:t>
            </w:r>
            <w:r w:rsidRPr="003A38F7">
              <w:rPr>
                <w:szCs w:val="18"/>
                <w:lang w:eastAsia="en-AU"/>
              </w:rPr>
              <w:t>Fast-acting insulin aspart improves glycemic control in basal-bolus treatment for type 1 diabetes: Results of a 26-week multicentre, active-controlled, treat-to-target, randomised, parallel-group trial (onset 1).</w:t>
            </w:r>
          </w:p>
        </w:tc>
        <w:tc>
          <w:tcPr>
            <w:tcW w:w="1177" w:type="pct"/>
            <w:tcBorders>
              <w:top w:val="nil"/>
              <w:bottom w:val="nil"/>
            </w:tcBorders>
            <w:vAlign w:val="center"/>
          </w:tcPr>
          <w:p w:rsidR="00DF5ECE" w:rsidRPr="003A38F7" w:rsidRDefault="00DF5ECE" w:rsidP="002F637F">
            <w:pPr>
              <w:pStyle w:val="Tabletext"/>
              <w:keepNext/>
              <w:rPr>
                <w:szCs w:val="18"/>
                <w:lang w:eastAsia="en-AU"/>
              </w:rPr>
            </w:pPr>
            <w:r w:rsidRPr="003A38F7">
              <w:rPr>
                <w:szCs w:val="18"/>
                <w:lang w:eastAsia="en-AU"/>
              </w:rPr>
              <w:t>Diabetes Care 2017; 40(7):943-950</w:t>
            </w:r>
          </w:p>
        </w:tc>
      </w:tr>
      <w:tr w:rsidR="00DF5ECE" w:rsidRPr="00E35188" w:rsidTr="0040360C">
        <w:tc>
          <w:tcPr>
            <w:tcW w:w="862" w:type="pct"/>
            <w:tcBorders>
              <w:bottom w:val="nil"/>
            </w:tcBorders>
            <w:vAlign w:val="bottom"/>
          </w:tcPr>
          <w:p w:rsidR="00DF5ECE" w:rsidRPr="003A38F7" w:rsidRDefault="00DF5ECE" w:rsidP="002F637F">
            <w:pPr>
              <w:pStyle w:val="Tabletext"/>
              <w:keepNext/>
              <w:rPr>
                <w:rFonts w:ascii="Times" w:hAnsi="Times"/>
              </w:rPr>
            </w:pPr>
            <w:r w:rsidRPr="003A38F7">
              <w:t>onset 1 (52 weeks)</w:t>
            </w:r>
          </w:p>
        </w:tc>
        <w:tc>
          <w:tcPr>
            <w:tcW w:w="2961" w:type="pct"/>
            <w:tcBorders>
              <w:bottom w:val="nil"/>
            </w:tcBorders>
            <w:vAlign w:val="center"/>
          </w:tcPr>
          <w:p w:rsidR="00DF5ECE" w:rsidRPr="003A38F7" w:rsidRDefault="00DF5ECE" w:rsidP="002F637F">
            <w:pPr>
              <w:pStyle w:val="Tabletext"/>
              <w:keepNext/>
              <w:rPr>
                <w:szCs w:val="18"/>
              </w:rPr>
            </w:pPr>
            <w:r w:rsidRPr="003A38F7">
              <w:rPr>
                <w:szCs w:val="18"/>
              </w:rPr>
              <w:t>Efficacy and Safety of FIAsp Compared to Insulin Aspart Both in Combination with Insulin Detemir in Adults with Type 1 Diabetes. This report covers the entire 52-week treatment period.</w:t>
            </w:r>
          </w:p>
          <w:p w:rsidR="00DF5ECE" w:rsidRPr="003A38F7" w:rsidRDefault="00DF5ECE" w:rsidP="002F637F">
            <w:pPr>
              <w:pStyle w:val="Tabletext"/>
              <w:keepNext/>
              <w:rPr>
                <w:rFonts w:ascii="Times" w:hAnsi="Times"/>
                <w:highlight w:val="yellow"/>
              </w:rPr>
            </w:pPr>
          </w:p>
        </w:tc>
        <w:tc>
          <w:tcPr>
            <w:tcW w:w="1177" w:type="pct"/>
            <w:tcBorders>
              <w:bottom w:val="nil"/>
            </w:tcBorders>
            <w:vAlign w:val="center"/>
          </w:tcPr>
          <w:p w:rsidR="00DF5ECE" w:rsidRPr="003A38F7" w:rsidRDefault="00DF5ECE" w:rsidP="002F637F">
            <w:pPr>
              <w:pStyle w:val="Tabletext"/>
              <w:keepNext/>
              <w:rPr>
                <w:highlight w:val="yellow"/>
              </w:rPr>
            </w:pPr>
            <w:r w:rsidRPr="003A38F7">
              <w:t>January 2016</w:t>
            </w:r>
          </w:p>
        </w:tc>
      </w:tr>
      <w:tr w:rsidR="00DF5ECE" w:rsidRPr="00E35188" w:rsidTr="002C4E16">
        <w:tc>
          <w:tcPr>
            <w:tcW w:w="862" w:type="pct"/>
            <w:tcBorders>
              <w:top w:val="nil"/>
              <w:bottom w:val="nil"/>
            </w:tcBorders>
            <w:vAlign w:val="center"/>
          </w:tcPr>
          <w:p w:rsidR="00DF5ECE" w:rsidRPr="003A38F7" w:rsidRDefault="00DF5ECE" w:rsidP="002F637F">
            <w:pPr>
              <w:pStyle w:val="Tabletext"/>
              <w:keepNext/>
            </w:pPr>
          </w:p>
        </w:tc>
        <w:tc>
          <w:tcPr>
            <w:tcW w:w="2961" w:type="pct"/>
            <w:tcBorders>
              <w:top w:val="nil"/>
              <w:bottom w:val="nil"/>
            </w:tcBorders>
            <w:vAlign w:val="center"/>
          </w:tcPr>
          <w:p w:rsidR="00DF5ECE" w:rsidRPr="003A38F7" w:rsidRDefault="00DF5ECE" w:rsidP="002F637F">
            <w:pPr>
              <w:pStyle w:val="Tabletext"/>
              <w:keepNext/>
              <w:rPr>
                <w:szCs w:val="18"/>
                <w:highlight w:val="yellow"/>
              </w:rPr>
            </w:pPr>
            <w:r w:rsidRPr="003A38F7">
              <w:rPr>
                <w:szCs w:val="18"/>
                <w:lang w:val="fr-FR" w:eastAsia="en-AU"/>
              </w:rPr>
              <w:t>Mathieu C, Bode BW, Franek E et al.</w:t>
            </w:r>
            <w:r w:rsidR="00713357">
              <w:rPr>
                <w:szCs w:val="18"/>
                <w:lang w:val="fr-FR" w:eastAsia="en-AU"/>
              </w:rPr>
              <w:t xml:space="preserve"> </w:t>
            </w:r>
            <w:r w:rsidRPr="003A38F7">
              <w:rPr>
                <w:szCs w:val="18"/>
                <w:lang w:eastAsia="en-AU"/>
              </w:rPr>
              <w:t>Efficacy and safety of fast-acting insulin aspart in comparison with insulin aspart in type 1 diabetes (onset 1): A 52-week, randomized, treat-to-target, phase III trial.</w:t>
            </w:r>
          </w:p>
        </w:tc>
        <w:tc>
          <w:tcPr>
            <w:tcW w:w="1177" w:type="pct"/>
            <w:tcBorders>
              <w:top w:val="nil"/>
              <w:bottom w:val="nil"/>
            </w:tcBorders>
            <w:vAlign w:val="center"/>
          </w:tcPr>
          <w:p w:rsidR="00DF5ECE" w:rsidRPr="003A38F7" w:rsidRDefault="00DF5ECE" w:rsidP="002F637F">
            <w:pPr>
              <w:pStyle w:val="Tabletext"/>
              <w:keepNext/>
              <w:rPr>
                <w:highlight w:val="yellow"/>
              </w:rPr>
            </w:pPr>
            <w:r w:rsidRPr="003A38F7">
              <w:rPr>
                <w:szCs w:val="18"/>
                <w:lang w:eastAsia="en-AU"/>
              </w:rPr>
              <w:t>Diabetes Obes Metab. 2018; 20: 1148-1155.</w:t>
            </w:r>
          </w:p>
        </w:tc>
      </w:tr>
      <w:tr w:rsidR="00DF5ECE" w:rsidRPr="00E35188" w:rsidTr="002C4E16">
        <w:tc>
          <w:tcPr>
            <w:tcW w:w="862" w:type="pct"/>
            <w:tcBorders>
              <w:bottom w:val="nil"/>
            </w:tcBorders>
            <w:vAlign w:val="center"/>
          </w:tcPr>
          <w:p w:rsidR="00DF5ECE" w:rsidRPr="003A38F7" w:rsidRDefault="00DF5ECE" w:rsidP="002F637F">
            <w:pPr>
              <w:pStyle w:val="Tabletext"/>
              <w:keepNext/>
            </w:pPr>
            <w:r w:rsidRPr="003A38F7">
              <w:t>onset 2</w:t>
            </w:r>
          </w:p>
        </w:tc>
        <w:tc>
          <w:tcPr>
            <w:tcW w:w="2961" w:type="pct"/>
            <w:tcBorders>
              <w:bottom w:val="nil"/>
            </w:tcBorders>
            <w:vAlign w:val="center"/>
          </w:tcPr>
          <w:p w:rsidR="00DF5ECE" w:rsidRPr="003A38F7" w:rsidRDefault="00DF5ECE" w:rsidP="002F637F">
            <w:pPr>
              <w:pStyle w:val="Tabletext"/>
              <w:keepNext/>
              <w:rPr>
                <w:szCs w:val="18"/>
              </w:rPr>
            </w:pPr>
            <w:r w:rsidRPr="003A38F7">
              <w:rPr>
                <w:szCs w:val="18"/>
              </w:rPr>
              <w:t xml:space="preserve">Efficacy and Safety of FIAsp Compared to Insulin Aspart Both in Combination with Insulin Glargine and Metformin </w:t>
            </w:r>
            <w:r w:rsidR="0040360C" w:rsidRPr="003A38F7">
              <w:rPr>
                <w:szCs w:val="18"/>
              </w:rPr>
              <w:t>in Adults with Type 2 Diabetes.</w:t>
            </w:r>
          </w:p>
          <w:p w:rsidR="0040360C" w:rsidRPr="003A38F7" w:rsidRDefault="0040360C" w:rsidP="002F637F">
            <w:pPr>
              <w:pStyle w:val="Tabletext"/>
              <w:keepNext/>
              <w:rPr>
                <w:szCs w:val="18"/>
              </w:rPr>
            </w:pPr>
          </w:p>
        </w:tc>
        <w:tc>
          <w:tcPr>
            <w:tcW w:w="1177" w:type="pct"/>
            <w:tcBorders>
              <w:bottom w:val="nil"/>
            </w:tcBorders>
            <w:vAlign w:val="center"/>
          </w:tcPr>
          <w:p w:rsidR="00DF5ECE" w:rsidRPr="003A38F7" w:rsidRDefault="00DF5ECE" w:rsidP="002F637F">
            <w:pPr>
              <w:pStyle w:val="Tabletext"/>
              <w:keepNext/>
              <w:rPr>
                <w:rFonts w:ascii="Times" w:hAnsi="Times"/>
              </w:rPr>
            </w:pPr>
            <w:r w:rsidRPr="003A38F7">
              <w:t>September 2015</w:t>
            </w:r>
          </w:p>
        </w:tc>
      </w:tr>
      <w:tr w:rsidR="00DF5ECE" w:rsidRPr="00E35188" w:rsidTr="002C4E16">
        <w:tc>
          <w:tcPr>
            <w:tcW w:w="862" w:type="pct"/>
            <w:tcBorders>
              <w:top w:val="nil"/>
              <w:bottom w:val="single" w:sz="4" w:space="0" w:color="auto"/>
            </w:tcBorders>
            <w:vAlign w:val="center"/>
          </w:tcPr>
          <w:p w:rsidR="00DF5ECE" w:rsidRPr="003A38F7" w:rsidRDefault="00DF5ECE" w:rsidP="002F637F">
            <w:pPr>
              <w:pStyle w:val="Tabletext"/>
              <w:keepNext/>
            </w:pPr>
          </w:p>
        </w:tc>
        <w:tc>
          <w:tcPr>
            <w:tcW w:w="2961" w:type="pct"/>
            <w:tcBorders>
              <w:top w:val="nil"/>
              <w:bottom w:val="single" w:sz="4" w:space="0" w:color="auto"/>
            </w:tcBorders>
            <w:vAlign w:val="center"/>
          </w:tcPr>
          <w:p w:rsidR="00DF5ECE" w:rsidRPr="003A38F7" w:rsidRDefault="00DF5ECE" w:rsidP="002F637F">
            <w:pPr>
              <w:pStyle w:val="Tabletext"/>
              <w:keepNext/>
              <w:rPr>
                <w:szCs w:val="18"/>
              </w:rPr>
            </w:pPr>
            <w:r w:rsidRPr="003A38F7">
              <w:rPr>
                <w:szCs w:val="18"/>
                <w:lang w:eastAsia="en-AU"/>
              </w:rPr>
              <w:t>Bowering K, Case C, Harvey J et al.</w:t>
            </w:r>
            <w:r w:rsidR="00713357">
              <w:rPr>
                <w:szCs w:val="18"/>
                <w:lang w:eastAsia="en-AU"/>
              </w:rPr>
              <w:t xml:space="preserve"> </w:t>
            </w:r>
            <w:r w:rsidRPr="003A38F7">
              <w:rPr>
                <w:szCs w:val="18"/>
                <w:lang w:eastAsia="en-AU"/>
              </w:rPr>
              <w:t>Faster aspart versus insulin aspart as part of a basal-bolus regimen in inadequately controlled type 2 diabetes: The onset 2 trial.</w:t>
            </w:r>
          </w:p>
        </w:tc>
        <w:tc>
          <w:tcPr>
            <w:tcW w:w="1177" w:type="pct"/>
            <w:tcBorders>
              <w:top w:val="nil"/>
              <w:bottom w:val="single" w:sz="4" w:space="0" w:color="auto"/>
            </w:tcBorders>
            <w:vAlign w:val="center"/>
          </w:tcPr>
          <w:p w:rsidR="00DF5ECE" w:rsidRPr="003A38F7" w:rsidRDefault="00DF5ECE" w:rsidP="002F637F">
            <w:pPr>
              <w:pStyle w:val="Tabletext"/>
              <w:keepNext/>
            </w:pPr>
            <w:r w:rsidRPr="003A38F7">
              <w:rPr>
                <w:szCs w:val="18"/>
                <w:lang w:eastAsia="en-AU"/>
              </w:rPr>
              <w:t>Diabetes Care 2017; 40:951-957.</w:t>
            </w:r>
          </w:p>
        </w:tc>
      </w:tr>
      <w:tr w:rsidR="00DF5ECE" w:rsidRPr="00E35188" w:rsidTr="0040360C">
        <w:trPr>
          <w:trHeight w:val="667"/>
        </w:trPr>
        <w:tc>
          <w:tcPr>
            <w:tcW w:w="862" w:type="pct"/>
            <w:tcBorders>
              <w:top w:val="single" w:sz="4" w:space="0" w:color="auto"/>
              <w:left w:val="single" w:sz="4" w:space="0" w:color="auto"/>
              <w:bottom w:val="nil"/>
              <w:right w:val="single" w:sz="4" w:space="0" w:color="auto"/>
            </w:tcBorders>
            <w:vAlign w:val="center"/>
          </w:tcPr>
          <w:p w:rsidR="00DF5ECE" w:rsidRPr="003A38F7" w:rsidRDefault="00DF5ECE" w:rsidP="002F637F">
            <w:pPr>
              <w:pStyle w:val="Tabletext"/>
              <w:keepNext/>
            </w:pPr>
            <w:r w:rsidRPr="003A38F7">
              <w:t>onset 4</w:t>
            </w:r>
          </w:p>
        </w:tc>
        <w:tc>
          <w:tcPr>
            <w:tcW w:w="2961" w:type="pct"/>
            <w:tcBorders>
              <w:top w:val="single" w:sz="4" w:space="0" w:color="auto"/>
              <w:left w:val="single" w:sz="4" w:space="0" w:color="auto"/>
              <w:bottom w:val="nil"/>
              <w:right w:val="single" w:sz="4" w:space="0" w:color="auto"/>
            </w:tcBorders>
            <w:vAlign w:val="center"/>
          </w:tcPr>
          <w:p w:rsidR="00DF5ECE" w:rsidRPr="003A38F7" w:rsidRDefault="00DF5ECE" w:rsidP="002F637F">
            <w:pPr>
              <w:pStyle w:val="Tabletext"/>
              <w:keepNext/>
              <w:rPr>
                <w:szCs w:val="18"/>
              </w:rPr>
            </w:pPr>
            <w:r w:rsidRPr="003A38F7">
              <w:rPr>
                <w:szCs w:val="18"/>
              </w:rPr>
              <w:t>A 6-Week Randomised, Double-Blind, Parallel-Group Trial Evaluating Compatibility and Safety of FIAsp and Insulin Aspart with an External Continuous Insulin Infusion System in Adult</w:t>
            </w:r>
            <w:r w:rsidR="0040360C" w:rsidRPr="003A38F7">
              <w:rPr>
                <w:szCs w:val="18"/>
              </w:rPr>
              <w:t xml:space="preserve"> Subjects with Type 1 Diabetes.</w:t>
            </w:r>
          </w:p>
        </w:tc>
        <w:tc>
          <w:tcPr>
            <w:tcW w:w="1177" w:type="pct"/>
            <w:tcBorders>
              <w:top w:val="single" w:sz="4" w:space="0" w:color="auto"/>
              <w:left w:val="single" w:sz="4" w:space="0" w:color="auto"/>
              <w:bottom w:val="nil"/>
              <w:right w:val="single" w:sz="4" w:space="0" w:color="auto"/>
            </w:tcBorders>
            <w:vAlign w:val="center"/>
          </w:tcPr>
          <w:p w:rsidR="00DF5ECE" w:rsidRPr="003A38F7" w:rsidRDefault="00DF5ECE" w:rsidP="002F637F">
            <w:pPr>
              <w:pStyle w:val="Tabletext"/>
              <w:keepNext/>
              <w:rPr>
                <w:szCs w:val="18"/>
                <w:lang w:eastAsia="en-AU"/>
              </w:rPr>
            </w:pPr>
            <w:r w:rsidRPr="003A38F7">
              <w:t>September 2015</w:t>
            </w:r>
          </w:p>
        </w:tc>
      </w:tr>
      <w:tr w:rsidR="00DF5ECE" w:rsidRPr="00E35188" w:rsidTr="002C4E16">
        <w:tc>
          <w:tcPr>
            <w:tcW w:w="862" w:type="pct"/>
            <w:tcBorders>
              <w:top w:val="nil"/>
              <w:left w:val="single" w:sz="4" w:space="0" w:color="auto"/>
              <w:bottom w:val="single" w:sz="4" w:space="0" w:color="auto"/>
              <w:right w:val="single" w:sz="4" w:space="0" w:color="auto"/>
            </w:tcBorders>
            <w:vAlign w:val="center"/>
          </w:tcPr>
          <w:p w:rsidR="00DF5ECE" w:rsidRPr="003A38F7" w:rsidRDefault="00DF5ECE" w:rsidP="002F637F">
            <w:pPr>
              <w:pStyle w:val="Tabletext"/>
              <w:keepNext/>
            </w:pPr>
          </w:p>
        </w:tc>
        <w:tc>
          <w:tcPr>
            <w:tcW w:w="2961" w:type="pct"/>
            <w:tcBorders>
              <w:top w:val="nil"/>
              <w:left w:val="single" w:sz="4" w:space="0" w:color="auto"/>
              <w:bottom w:val="single" w:sz="4" w:space="0" w:color="auto"/>
              <w:right w:val="single" w:sz="4" w:space="0" w:color="auto"/>
            </w:tcBorders>
            <w:vAlign w:val="center"/>
          </w:tcPr>
          <w:p w:rsidR="00DF5ECE" w:rsidRPr="003A38F7" w:rsidRDefault="00DF5ECE" w:rsidP="002F637F">
            <w:pPr>
              <w:pStyle w:val="Tabletext"/>
              <w:keepNext/>
              <w:rPr>
                <w:szCs w:val="18"/>
                <w:lang w:eastAsia="en-AU"/>
              </w:rPr>
            </w:pPr>
            <w:r w:rsidRPr="003A38F7">
              <w:rPr>
                <w:szCs w:val="18"/>
                <w:lang w:eastAsia="en-AU"/>
              </w:rPr>
              <w:t>Zijlstra E, Demissie M, Graungaard T et al.</w:t>
            </w:r>
            <w:r w:rsidR="00713357">
              <w:rPr>
                <w:szCs w:val="18"/>
                <w:lang w:eastAsia="en-AU"/>
              </w:rPr>
              <w:t xml:space="preserve"> </w:t>
            </w:r>
            <w:r w:rsidRPr="003A38F7">
              <w:rPr>
                <w:szCs w:val="18"/>
                <w:lang w:eastAsia="en-AU"/>
              </w:rPr>
              <w:t>Investigation of pump compatibility of fast-acting insulin aspart in subjects with type 1 diabetes.</w:t>
            </w:r>
          </w:p>
        </w:tc>
        <w:tc>
          <w:tcPr>
            <w:tcW w:w="1177" w:type="pct"/>
            <w:tcBorders>
              <w:top w:val="nil"/>
              <w:left w:val="single" w:sz="4" w:space="0" w:color="auto"/>
              <w:bottom w:val="single" w:sz="4" w:space="0" w:color="auto"/>
              <w:right w:val="single" w:sz="4" w:space="0" w:color="auto"/>
            </w:tcBorders>
            <w:vAlign w:val="center"/>
          </w:tcPr>
          <w:p w:rsidR="00DF5ECE" w:rsidRPr="003A38F7" w:rsidRDefault="00DF5ECE" w:rsidP="002F637F">
            <w:pPr>
              <w:pStyle w:val="Tabletext"/>
              <w:keepNext/>
              <w:rPr>
                <w:szCs w:val="18"/>
                <w:lang w:eastAsia="en-AU"/>
              </w:rPr>
            </w:pPr>
            <w:r w:rsidRPr="003A38F7">
              <w:rPr>
                <w:szCs w:val="18"/>
                <w:lang w:eastAsia="en-AU"/>
              </w:rPr>
              <w:t>Journal of Diabetes Science and Technology 2018; 12(1): 145-151.</w:t>
            </w:r>
          </w:p>
        </w:tc>
      </w:tr>
      <w:tr w:rsidR="00DF5ECE" w:rsidRPr="00E35188" w:rsidTr="002C4E16">
        <w:tc>
          <w:tcPr>
            <w:tcW w:w="862" w:type="pct"/>
            <w:vAlign w:val="center"/>
          </w:tcPr>
          <w:p w:rsidR="00DF5ECE" w:rsidRPr="003A38F7" w:rsidRDefault="00DF5ECE" w:rsidP="002F637F">
            <w:pPr>
              <w:pStyle w:val="Tabletext"/>
              <w:keepNext/>
            </w:pPr>
            <w:r w:rsidRPr="003A38F7">
              <w:t>onset 5</w:t>
            </w:r>
          </w:p>
        </w:tc>
        <w:tc>
          <w:tcPr>
            <w:tcW w:w="2961" w:type="pct"/>
            <w:vAlign w:val="center"/>
          </w:tcPr>
          <w:p w:rsidR="00DF5ECE" w:rsidRPr="003A38F7" w:rsidRDefault="00DF5ECE" w:rsidP="002F637F">
            <w:pPr>
              <w:pStyle w:val="Tabletext"/>
              <w:keepNext/>
              <w:rPr>
                <w:szCs w:val="18"/>
              </w:rPr>
            </w:pPr>
            <w:r w:rsidRPr="003A38F7">
              <w:rPr>
                <w:szCs w:val="18"/>
              </w:rPr>
              <w:t>Efficacy and Safety of Continuous Subcutaneous Insulin Infusion of Faster-acting Insulin Aspart compared to NovoRapid® in Adults with Type 1 Diabetes.</w:t>
            </w:r>
          </w:p>
        </w:tc>
        <w:tc>
          <w:tcPr>
            <w:tcW w:w="1177" w:type="pct"/>
            <w:vAlign w:val="center"/>
          </w:tcPr>
          <w:p w:rsidR="00DF5ECE" w:rsidRPr="003A38F7" w:rsidRDefault="00DF5ECE" w:rsidP="002F637F">
            <w:pPr>
              <w:pStyle w:val="Tabletext"/>
              <w:keepNext/>
              <w:rPr>
                <w:szCs w:val="18"/>
                <w:lang w:eastAsia="en-AU"/>
              </w:rPr>
            </w:pPr>
            <w:r w:rsidRPr="003A38F7">
              <w:t>February 2018</w:t>
            </w:r>
          </w:p>
        </w:tc>
      </w:tr>
    </w:tbl>
    <w:p w:rsidR="00DF5ECE" w:rsidRPr="00C54AAF" w:rsidRDefault="00DF5ECE" w:rsidP="002F637F">
      <w:pPr>
        <w:pStyle w:val="TableFooter"/>
        <w:widowControl/>
      </w:pPr>
      <w:bookmarkStart w:id="9" w:name="_Toc521797529"/>
      <w:r w:rsidRPr="00C54AAF">
        <w:t>Note: only main trial citations have been included in this table.</w:t>
      </w:r>
      <w:bookmarkEnd w:id="9"/>
    </w:p>
    <w:p w:rsidR="00DF5ECE" w:rsidRPr="00C54AAF" w:rsidRDefault="0040360C" w:rsidP="002F637F">
      <w:pPr>
        <w:pStyle w:val="TableFooter"/>
        <w:widowControl/>
      </w:pPr>
      <w:bookmarkStart w:id="10" w:name="_Toc521797530"/>
      <w:r w:rsidRPr="00C54AAF">
        <w:rPr>
          <w:vertAlign w:val="superscript"/>
        </w:rPr>
        <w:lastRenderedPageBreak/>
        <w:t>a</w:t>
      </w:r>
      <w:r w:rsidRPr="00C54AAF">
        <w:rPr>
          <w:vertAlign w:val="superscript"/>
        </w:rPr>
        <w:tab/>
      </w:r>
      <w:r w:rsidR="00DF5ECE" w:rsidRPr="00C54AAF">
        <w:t xml:space="preserve">This trial </w:t>
      </w:r>
      <w:r w:rsidR="00DF5ECE" w:rsidRPr="00C54AAF">
        <w:rPr>
          <w:iCs/>
        </w:rPr>
        <w:t>appears to only be identified in the submission</w:t>
      </w:r>
      <w:r w:rsidR="00DF5ECE" w:rsidRPr="00C54AAF">
        <w:t xml:space="preserve"> from a literature search conducted in PubMed on 30</w:t>
      </w:r>
      <w:r w:rsidR="00DF5ECE" w:rsidRPr="00C54AAF">
        <w:rPr>
          <w:vertAlign w:val="superscript"/>
        </w:rPr>
        <w:t>th</w:t>
      </w:r>
      <w:r w:rsidR="00DF5ECE" w:rsidRPr="00C54AAF">
        <w:t xml:space="preserve"> May 2018 to identify any additional studies pertaining to the safety profile on </w:t>
      </w:r>
      <w:r w:rsidR="00195936">
        <w:t>Fiasp</w:t>
      </w:r>
      <w:r w:rsidR="00DF5ECE" w:rsidRPr="00C54AAF">
        <w:t>.</w:t>
      </w:r>
      <w:bookmarkEnd w:id="10"/>
    </w:p>
    <w:p w:rsidR="00DF5ECE" w:rsidRPr="00C54AAF" w:rsidRDefault="00DF5ECE" w:rsidP="002F637F">
      <w:pPr>
        <w:pStyle w:val="TableFooter"/>
        <w:widowControl/>
      </w:pPr>
      <w:bookmarkStart w:id="11" w:name="_Toc521797531"/>
      <w:r w:rsidRPr="00C54AAF">
        <w:t>Source: Table 2.2.2, pp.39-41 of the submission.</w:t>
      </w:r>
      <w:bookmarkEnd w:id="11"/>
    </w:p>
    <w:p w:rsidR="00102D42" w:rsidRPr="00E35188" w:rsidRDefault="00102D42" w:rsidP="002F637F">
      <w:pPr>
        <w:widowControl/>
      </w:pPr>
    </w:p>
    <w:p w:rsidR="007F1017" w:rsidRDefault="008F120A" w:rsidP="002F637F">
      <w:pPr>
        <w:pStyle w:val="ListParagraph"/>
        <w:widowControl/>
        <w:numPr>
          <w:ilvl w:val="1"/>
          <w:numId w:val="3"/>
        </w:numPr>
      </w:pPr>
      <w:r w:rsidRPr="00E35188">
        <w:t>The key features o</w:t>
      </w:r>
      <w:r w:rsidR="00D1012E">
        <w:t>f the direct randomised trials</w:t>
      </w:r>
      <w:r w:rsidRPr="00E35188">
        <w:t xml:space="preserve"> are summarised in </w:t>
      </w:r>
      <w:r w:rsidR="002F637F">
        <w:t>Table 3</w:t>
      </w:r>
      <w:r w:rsidRPr="00E35188">
        <w:t>.</w:t>
      </w:r>
      <w:r w:rsidR="00713357">
        <w:t xml:space="preserve"> </w:t>
      </w:r>
    </w:p>
    <w:p w:rsidR="00DF5ECE" w:rsidRPr="00FA3B26" w:rsidRDefault="002811B7" w:rsidP="002F637F">
      <w:pPr>
        <w:keepNext/>
        <w:widowControl/>
        <w:rPr>
          <w:rStyle w:val="CommentReference"/>
          <w:iCs/>
        </w:rPr>
      </w:pPr>
      <w:r w:rsidRPr="00FA3B26">
        <w:rPr>
          <w:rStyle w:val="CommentReference"/>
          <w:iCs/>
        </w:rPr>
        <w:t>Table 3:</w:t>
      </w:r>
      <w:r w:rsidR="00DF5ECE" w:rsidRPr="00FA3B26">
        <w:rPr>
          <w:rStyle w:val="CommentReference"/>
          <w:iCs/>
        </w:rPr>
        <w:t xml:space="preserve"> Key features of the included evidence</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97"/>
        <w:gridCol w:w="749"/>
        <w:gridCol w:w="2345"/>
        <w:gridCol w:w="762"/>
        <w:gridCol w:w="1334"/>
        <w:gridCol w:w="2026"/>
        <w:gridCol w:w="868"/>
      </w:tblGrid>
      <w:tr w:rsidR="0040360C" w:rsidRPr="003A38F7" w:rsidTr="0040360C">
        <w:tc>
          <w:tcPr>
            <w:tcW w:w="671" w:type="pct"/>
            <w:shd w:val="clear" w:color="auto" w:fill="auto"/>
            <w:vAlign w:val="center"/>
          </w:tcPr>
          <w:p w:rsidR="00DF5ECE" w:rsidRPr="003A38F7" w:rsidRDefault="00DF5ECE" w:rsidP="002F637F">
            <w:pPr>
              <w:pStyle w:val="Tabletext"/>
              <w:keepNext/>
              <w:rPr>
                <w:b/>
                <w:iCs/>
              </w:rPr>
            </w:pPr>
            <w:r w:rsidRPr="003A38F7">
              <w:rPr>
                <w:b/>
                <w:iCs/>
              </w:rPr>
              <w:t>Trial</w:t>
            </w:r>
          </w:p>
        </w:tc>
        <w:tc>
          <w:tcPr>
            <w:tcW w:w="430" w:type="pct"/>
            <w:shd w:val="clear" w:color="auto" w:fill="auto"/>
            <w:vAlign w:val="center"/>
          </w:tcPr>
          <w:p w:rsidR="00DF5ECE" w:rsidRPr="003A38F7" w:rsidRDefault="00DF5ECE" w:rsidP="002F637F">
            <w:pPr>
              <w:pStyle w:val="Tabletext"/>
              <w:keepNext/>
              <w:jc w:val="center"/>
              <w:rPr>
                <w:b/>
                <w:iCs/>
              </w:rPr>
            </w:pPr>
            <w:r w:rsidRPr="003A38F7">
              <w:rPr>
                <w:b/>
                <w:iCs/>
              </w:rPr>
              <w:t>N</w:t>
            </w:r>
          </w:p>
        </w:tc>
        <w:tc>
          <w:tcPr>
            <w:tcW w:w="1290" w:type="pct"/>
            <w:shd w:val="clear" w:color="auto" w:fill="auto"/>
            <w:vAlign w:val="center"/>
          </w:tcPr>
          <w:p w:rsidR="00DF5ECE" w:rsidRPr="003A38F7" w:rsidRDefault="00DF5ECE" w:rsidP="002F637F">
            <w:pPr>
              <w:pStyle w:val="Tabletext"/>
              <w:keepNext/>
              <w:jc w:val="center"/>
              <w:rPr>
                <w:b/>
                <w:iCs/>
              </w:rPr>
            </w:pPr>
            <w:r w:rsidRPr="003A38F7">
              <w:rPr>
                <w:b/>
                <w:iCs/>
              </w:rPr>
              <w:t>Design/ duration</w:t>
            </w:r>
          </w:p>
        </w:tc>
        <w:tc>
          <w:tcPr>
            <w:tcW w:w="437" w:type="pct"/>
            <w:shd w:val="clear" w:color="auto" w:fill="auto"/>
            <w:vAlign w:val="center"/>
          </w:tcPr>
          <w:p w:rsidR="00DF5ECE" w:rsidRPr="003A38F7" w:rsidRDefault="00DF5ECE" w:rsidP="002F637F">
            <w:pPr>
              <w:pStyle w:val="Tabletext"/>
              <w:keepNext/>
              <w:jc w:val="center"/>
              <w:rPr>
                <w:b/>
                <w:iCs/>
              </w:rPr>
            </w:pPr>
            <w:r w:rsidRPr="003A38F7">
              <w:rPr>
                <w:b/>
                <w:iCs/>
              </w:rPr>
              <w:t>Risk of bias</w:t>
            </w:r>
          </w:p>
        </w:tc>
        <w:tc>
          <w:tcPr>
            <w:tcW w:w="745" w:type="pct"/>
            <w:shd w:val="clear" w:color="auto" w:fill="auto"/>
            <w:vAlign w:val="center"/>
          </w:tcPr>
          <w:p w:rsidR="00DF5ECE" w:rsidRPr="003A38F7" w:rsidRDefault="00DF5ECE" w:rsidP="002F637F">
            <w:pPr>
              <w:pStyle w:val="Tabletext"/>
              <w:keepNext/>
              <w:jc w:val="center"/>
              <w:rPr>
                <w:b/>
                <w:iCs/>
              </w:rPr>
            </w:pPr>
            <w:r w:rsidRPr="003A38F7">
              <w:rPr>
                <w:b/>
                <w:iCs/>
              </w:rPr>
              <w:t>Patient population</w:t>
            </w:r>
          </w:p>
        </w:tc>
        <w:tc>
          <w:tcPr>
            <w:tcW w:w="1118" w:type="pct"/>
            <w:shd w:val="clear" w:color="auto" w:fill="auto"/>
            <w:vAlign w:val="center"/>
          </w:tcPr>
          <w:p w:rsidR="0040360C" w:rsidRPr="003A38F7" w:rsidRDefault="0040360C" w:rsidP="002F637F">
            <w:pPr>
              <w:pStyle w:val="Tabletext"/>
              <w:keepNext/>
              <w:jc w:val="center"/>
              <w:rPr>
                <w:b/>
                <w:iCs/>
              </w:rPr>
            </w:pPr>
            <w:r w:rsidRPr="003A38F7">
              <w:rPr>
                <w:b/>
                <w:iCs/>
              </w:rPr>
              <w:t>Main</w:t>
            </w:r>
          </w:p>
          <w:p w:rsidR="00DF5ECE" w:rsidRPr="003A38F7" w:rsidRDefault="00DF5ECE" w:rsidP="002F637F">
            <w:pPr>
              <w:pStyle w:val="Tabletext"/>
              <w:keepNext/>
              <w:jc w:val="center"/>
              <w:rPr>
                <w:b/>
                <w:iCs/>
              </w:rPr>
            </w:pPr>
            <w:r w:rsidRPr="003A38F7">
              <w:rPr>
                <w:b/>
                <w:iCs/>
              </w:rPr>
              <w:t>Outcome</w:t>
            </w:r>
            <w:r w:rsidR="0040360C" w:rsidRPr="003A38F7">
              <w:rPr>
                <w:b/>
                <w:iCs/>
              </w:rPr>
              <w:t>s</w:t>
            </w:r>
          </w:p>
        </w:tc>
        <w:tc>
          <w:tcPr>
            <w:tcW w:w="310" w:type="pct"/>
            <w:shd w:val="clear" w:color="auto" w:fill="auto"/>
            <w:vAlign w:val="center"/>
          </w:tcPr>
          <w:p w:rsidR="00DF5ECE" w:rsidRPr="003A38F7" w:rsidRDefault="00DF5ECE" w:rsidP="002F637F">
            <w:pPr>
              <w:pStyle w:val="Tabletext"/>
              <w:keepNext/>
              <w:jc w:val="center"/>
              <w:rPr>
                <w:b/>
                <w:iCs/>
              </w:rPr>
            </w:pPr>
            <w:r w:rsidRPr="003A38F7">
              <w:rPr>
                <w:b/>
                <w:iCs/>
              </w:rPr>
              <w:t>Use in modelled evaluation</w:t>
            </w:r>
          </w:p>
        </w:tc>
      </w:tr>
      <w:tr w:rsidR="00DF5ECE" w:rsidRPr="003A38F7" w:rsidTr="00DF5ECE">
        <w:tc>
          <w:tcPr>
            <w:tcW w:w="5000" w:type="pct"/>
            <w:gridSpan w:val="7"/>
            <w:shd w:val="clear" w:color="auto" w:fill="auto"/>
            <w:vAlign w:val="center"/>
          </w:tcPr>
          <w:p w:rsidR="00DF5ECE" w:rsidRPr="003A38F7" w:rsidRDefault="00DF5ECE" w:rsidP="002F637F">
            <w:pPr>
              <w:pStyle w:val="Tabletext"/>
              <w:keepNext/>
              <w:rPr>
                <w:b/>
                <w:iCs/>
              </w:rPr>
            </w:pPr>
            <w:r w:rsidRPr="003A38F7">
              <w:rPr>
                <w:b/>
                <w:iCs/>
              </w:rPr>
              <w:t>Fast aspart (</w:t>
            </w:r>
            <w:r w:rsidR="00195936">
              <w:rPr>
                <w:b/>
                <w:iCs/>
              </w:rPr>
              <w:t>Fiasp</w:t>
            </w:r>
            <w:r w:rsidRPr="003A38F7">
              <w:rPr>
                <w:b/>
                <w:iCs/>
              </w:rPr>
              <w:t>) versus insulin aspart (NovoRapid®)</w:t>
            </w:r>
          </w:p>
        </w:tc>
      </w:tr>
      <w:tr w:rsidR="0040360C" w:rsidRPr="003A38F7" w:rsidTr="0040360C">
        <w:tc>
          <w:tcPr>
            <w:tcW w:w="671" w:type="pct"/>
            <w:shd w:val="clear" w:color="auto" w:fill="auto"/>
            <w:vAlign w:val="center"/>
          </w:tcPr>
          <w:p w:rsidR="00DF5ECE" w:rsidRPr="003A38F7" w:rsidRDefault="00DF5ECE" w:rsidP="002F637F">
            <w:pPr>
              <w:pStyle w:val="Tabletext"/>
              <w:keepNext/>
              <w:rPr>
                <w:iCs/>
              </w:rPr>
            </w:pPr>
            <w:r w:rsidRPr="003A38F7">
              <w:rPr>
                <w:iCs/>
              </w:rPr>
              <w:t>onset 1 (26</w:t>
            </w:r>
            <w:r w:rsidR="008A2D02" w:rsidRPr="003A38F7">
              <w:rPr>
                <w:iCs/>
              </w:rPr>
              <w:t xml:space="preserve"> </w:t>
            </w:r>
            <w:r w:rsidRPr="003A38F7">
              <w:rPr>
                <w:iCs/>
              </w:rPr>
              <w:t>weeks data)</w:t>
            </w:r>
          </w:p>
        </w:tc>
        <w:tc>
          <w:tcPr>
            <w:tcW w:w="430" w:type="pct"/>
            <w:shd w:val="clear" w:color="auto" w:fill="auto"/>
            <w:vAlign w:val="center"/>
          </w:tcPr>
          <w:p w:rsidR="00DF5ECE" w:rsidRPr="003A38F7" w:rsidRDefault="00DF5ECE" w:rsidP="002F637F">
            <w:pPr>
              <w:pStyle w:val="Tabletext"/>
              <w:keepNext/>
              <w:jc w:val="center"/>
              <w:rPr>
                <w:iCs/>
              </w:rPr>
            </w:pPr>
            <w:r w:rsidRPr="003A38F7">
              <w:rPr>
                <w:iCs/>
              </w:rPr>
              <w:t>1143</w:t>
            </w:r>
          </w:p>
        </w:tc>
        <w:tc>
          <w:tcPr>
            <w:tcW w:w="1290" w:type="pct"/>
            <w:vMerge w:val="restart"/>
            <w:shd w:val="clear" w:color="auto" w:fill="auto"/>
            <w:vAlign w:val="center"/>
          </w:tcPr>
          <w:p w:rsidR="00DF5ECE" w:rsidRPr="003A38F7" w:rsidRDefault="00DF5ECE" w:rsidP="002F637F">
            <w:pPr>
              <w:pStyle w:val="Tabletext"/>
              <w:keepNext/>
              <w:jc w:val="center"/>
              <w:rPr>
                <w:iCs/>
              </w:rPr>
            </w:pPr>
            <w:r w:rsidRPr="003A38F7">
              <w:rPr>
                <w:iCs/>
              </w:rPr>
              <w:t xml:space="preserve">R, MC, </w:t>
            </w:r>
            <w:r w:rsidR="00F952ED" w:rsidRPr="003A38F7">
              <w:rPr>
                <w:iCs/>
              </w:rPr>
              <w:t xml:space="preserve">P3, </w:t>
            </w:r>
            <w:r w:rsidRPr="003A38F7">
              <w:rPr>
                <w:iCs/>
              </w:rPr>
              <w:t>AC, TTT, DB (meal time dose arms</w:t>
            </w:r>
            <w:r w:rsidR="002C7176" w:rsidRPr="003A38F7">
              <w:rPr>
                <w:iCs/>
              </w:rPr>
              <w:t xml:space="preserve"> </w:t>
            </w:r>
            <w:r w:rsidR="00195936">
              <w:rPr>
                <w:iCs/>
              </w:rPr>
              <w:t>Fiasp</w:t>
            </w:r>
            <w:r w:rsidR="002C7176" w:rsidRPr="003A38F7">
              <w:rPr>
                <w:iCs/>
              </w:rPr>
              <w:t xml:space="preserve"> and NovoRapid®) and</w:t>
            </w:r>
            <w:r w:rsidRPr="003A38F7">
              <w:rPr>
                <w:iCs/>
              </w:rPr>
              <w:t xml:space="preserve"> open label post meal </w:t>
            </w:r>
            <w:r w:rsidR="00195936">
              <w:rPr>
                <w:iCs/>
              </w:rPr>
              <w:t>Fiasp</w:t>
            </w:r>
            <w:r w:rsidR="002C7176" w:rsidRPr="003A38F7">
              <w:rPr>
                <w:iCs/>
              </w:rPr>
              <w:t xml:space="preserve"> </w:t>
            </w:r>
            <w:r w:rsidRPr="003A38F7">
              <w:rPr>
                <w:iCs/>
              </w:rPr>
              <w:t>dose arm, non-inferiority approach, 8W run-in*, W26 to W52 only compared the 2 mealtime insulin arms (investigator and participant remain blinded to assignment, but the sponsor became unbl</w:t>
            </w:r>
            <w:r w:rsidR="00A20672" w:rsidRPr="003A38F7">
              <w:rPr>
                <w:iCs/>
              </w:rPr>
              <w:t>i</w:t>
            </w:r>
            <w:r w:rsidRPr="003A38F7">
              <w:rPr>
                <w:iCs/>
              </w:rPr>
              <w:t>nded).</w:t>
            </w:r>
          </w:p>
        </w:tc>
        <w:tc>
          <w:tcPr>
            <w:tcW w:w="437" w:type="pct"/>
            <w:shd w:val="clear" w:color="auto" w:fill="auto"/>
            <w:vAlign w:val="center"/>
          </w:tcPr>
          <w:p w:rsidR="00DF5ECE" w:rsidRPr="003A38F7" w:rsidRDefault="00DF5ECE" w:rsidP="002F637F">
            <w:pPr>
              <w:pStyle w:val="Tabletext"/>
              <w:keepNext/>
              <w:jc w:val="center"/>
              <w:rPr>
                <w:iCs/>
              </w:rPr>
            </w:pPr>
            <w:r w:rsidRPr="003A38F7">
              <w:rPr>
                <w:iCs/>
              </w:rPr>
              <w:t>Low (for mealtime arms) High for post meal arm</w:t>
            </w:r>
          </w:p>
        </w:tc>
        <w:tc>
          <w:tcPr>
            <w:tcW w:w="745" w:type="pct"/>
            <w:vMerge w:val="restart"/>
            <w:shd w:val="clear" w:color="auto" w:fill="auto"/>
            <w:vAlign w:val="center"/>
          </w:tcPr>
          <w:p w:rsidR="00DF5ECE" w:rsidRPr="003A38F7" w:rsidRDefault="00DF5ECE" w:rsidP="002F637F">
            <w:pPr>
              <w:pStyle w:val="Tabletext"/>
              <w:keepNext/>
              <w:jc w:val="center"/>
              <w:rPr>
                <w:iCs/>
              </w:rPr>
            </w:pPr>
            <w:r w:rsidRPr="003A38F7">
              <w:rPr>
                <w:iCs/>
              </w:rPr>
              <w:t>Adults with T1DM, use in combination with daily or BD insulin detemir (NovoLog®)</w:t>
            </w:r>
          </w:p>
        </w:tc>
        <w:tc>
          <w:tcPr>
            <w:tcW w:w="1118" w:type="pct"/>
            <w:shd w:val="clear" w:color="auto" w:fill="auto"/>
            <w:vAlign w:val="center"/>
          </w:tcPr>
          <w:p w:rsidR="00DF5ECE" w:rsidRPr="003A38F7" w:rsidRDefault="00DF5ECE" w:rsidP="002F637F">
            <w:pPr>
              <w:pStyle w:val="Tabletext"/>
              <w:keepNext/>
              <w:ind w:left="201"/>
              <w:jc w:val="center"/>
              <w:rPr>
                <w:iCs/>
              </w:rPr>
            </w:pPr>
            <w:r w:rsidRPr="003A38F7">
              <w:rPr>
                <w:iCs/>
              </w:rPr>
              <w:t>∆ HbA1c W26</w:t>
            </w:r>
          </w:p>
          <w:p w:rsidR="0040360C" w:rsidRPr="003A38F7" w:rsidRDefault="0040360C" w:rsidP="002F637F">
            <w:pPr>
              <w:pStyle w:val="Tabletext"/>
              <w:keepNext/>
              <w:ind w:left="201"/>
              <w:jc w:val="center"/>
              <w:rPr>
                <w:iCs/>
              </w:rPr>
            </w:pPr>
            <w:r w:rsidRPr="003A38F7">
              <w:rPr>
                <w:iCs/>
              </w:rPr>
              <w:t>∆ PPG</w:t>
            </w:r>
          </w:p>
          <w:p w:rsidR="0040360C" w:rsidRPr="003A38F7" w:rsidRDefault="0040360C" w:rsidP="002F637F">
            <w:pPr>
              <w:pStyle w:val="Tabletext"/>
              <w:keepNext/>
              <w:ind w:left="201"/>
              <w:jc w:val="center"/>
              <w:rPr>
                <w:iCs/>
              </w:rPr>
            </w:pPr>
            <w:r w:rsidRPr="003A38F7">
              <w:rPr>
                <w:iCs/>
              </w:rPr>
              <w:t>∆ body weight</w:t>
            </w:r>
          </w:p>
          <w:p w:rsidR="0040360C" w:rsidRPr="003A38F7" w:rsidRDefault="0040360C" w:rsidP="002F637F">
            <w:pPr>
              <w:pStyle w:val="Tabletext"/>
              <w:keepNext/>
              <w:ind w:left="201"/>
              <w:jc w:val="center"/>
              <w:rPr>
                <w:iCs/>
              </w:rPr>
            </w:pPr>
            <w:r w:rsidRPr="003A38F7">
              <w:rPr>
                <w:iCs/>
              </w:rPr>
              <w:t>Hypoglycaemia events</w:t>
            </w:r>
          </w:p>
        </w:tc>
        <w:tc>
          <w:tcPr>
            <w:tcW w:w="310" w:type="pct"/>
            <w:shd w:val="clear" w:color="auto" w:fill="auto"/>
            <w:vAlign w:val="center"/>
          </w:tcPr>
          <w:p w:rsidR="00DF5ECE" w:rsidRPr="003A38F7" w:rsidRDefault="00DF5ECE" w:rsidP="002F637F">
            <w:pPr>
              <w:pStyle w:val="Tabletext"/>
              <w:keepNext/>
              <w:jc w:val="center"/>
              <w:rPr>
                <w:iCs/>
              </w:rPr>
            </w:pPr>
            <w:r w:rsidRPr="003A38F7">
              <w:rPr>
                <w:iCs/>
              </w:rPr>
              <w:t>NA</w:t>
            </w:r>
          </w:p>
        </w:tc>
      </w:tr>
      <w:tr w:rsidR="0040360C" w:rsidRPr="003A38F7" w:rsidTr="0040360C">
        <w:tc>
          <w:tcPr>
            <w:tcW w:w="671" w:type="pct"/>
            <w:shd w:val="clear" w:color="auto" w:fill="auto"/>
            <w:vAlign w:val="center"/>
          </w:tcPr>
          <w:p w:rsidR="00DF5ECE" w:rsidRPr="003A38F7" w:rsidRDefault="00DF5ECE" w:rsidP="002F637F">
            <w:pPr>
              <w:pStyle w:val="Tabletext"/>
              <w:keepNext/>
              <w:rPr>
                <w:iCs/>
              </w:rPr>
            </w:pPr>
            <w:r w:rsidRPr="003A38F7">
              <w:rPr>
                <w:iCs/>
              </w:rPr>
              <w:t>onset 1 (52 weeks data)</w:t>
            </w:r>
          </w:p>
        </w:tc>
        <w:tc>
          <w:tcPr>
            <w:tcW w:w="430" w:type="pct"/>
            <w:shd w:val="clear" w:color="auto" w:fill="auto"/>
            <w:vAlign w:val="center"/>
          </w:tcPr>
          <w:p w:rsidR="00DF5ECE" w:rsidRPr="003A38F7" w:rsidRDefault="00DF5ECE" w:rsidP="002F637F">
            <w:pPr>
              <w:pStyle w:val="Tabletext"/>
              <w:keepNext/>
              <w:jc w:val="center"/>
              <w:rPr>
                <w:iCs/>
              </w:rPr>
            </w:pPr>
            <w:r w:rsidRPr="003A38F7">
              <w:rPr>
                <w:iCs/>
              </w:rPr>
              <w:t>1143</w:t>
            </w:r>
          </w:p>
        </w:tc>
        <w:tc>
          <w:tcPr>
            <w:tcW w:w="1290" w:type="pct"/>
            <w:vMerge/>
            <w:shd w:val="clear" w:color="auto" w:fill="auto"/>
            <w:vAlign w:val="center"/>
          </w:tcPr>
          <w:p w:rsidR="00DF5ECE" w:rsidRPr="003A38F7" w:rsidRDefault="00DF5ECE" w:rsidP="002F637F">
            <w:pPr>
              <w:pStyle w:val="Tabletext"/>
              <w:keepNext/>
              <w:rPr>
                <w:iCs/>
              </w:rPr>
            </w:pPr>
          </w:p>
        </w:tc>
        <w:tc>
          <w:tcPr>
            <w:tcW w:w="437" w:type="pct"/>
            <w:shd w:val="clear" w:color="auto" w:fill="auto"/>
            <w:vAlign w:val="center"/>
          </w:tcPr>
          <w:p w:rsidR="00DF5ECE" w:rsidRPr="003A38F7" w:rsidRDefault="00DF5ECE" w:rsidP="002F637F">
            <w:pPr>
              <w:pStyle w:val="Tabletext"/>
              <w:keepNext/>
              <w:jc w:val="center"/>
              <w:rPr>
                <w:iCs/>
              </w:rPr>
            </w:pPr>
            <w:r w:rsidRPr="003A38F7">
              <w:rPr>
                <w:iCs/>
              </w:rPr>
              <w:t>Unclear</w:t>
            </w:r>
          </w:p>
        </w:tc>
        <w:tc>
          <w:tcPr>
            <w:tcW w:w="745" w:type="pct"/>
            <w:vMerge/>
            <w:shd w:val="clear" w:color="auto" w:fill="auto"/>
            <w:vAlign w:val="center"/>
          </w:tcPr>
          <w:p w:rsidR="00DF5ECE" w:rsidRPr="003A38F7" w:rsidRDefault="00DF5ECE" w:rsidP="002F637F">
            <w:pPr>
              <w:pStyle w:val="Tabletext"/>
              <w:keepNext/>
              <w:jc w:val="center"/>
              <w:rPr>
                <w:iCs/>
              </w:rPr>
            </w:pPr>
          </w:p>
        </w:tc>
        <w:tc>
          <w:tcPr>
            <w:tcW w:w="1118" w:type="pct"/>
            <w:shd w:val="clear" w:color="auto" w:fill="auto"/>
            <w:vAlign w:val="center"/>
          </w:tcPr>
          <w:p w:rsidR="00DF5ECE" w:rsidRPr="003A38F7" w:rsidRDefault="00DF5ECE" w:rsidP="002F637F">
            <w:pPr>
              <w:pStyle w:val="Tabletext"/>
              <w:keepNext/>
              <w:jc w:val="center"/>
              <w:rPr>
                <w:iCs/>
              </w:rPr>
            </w:pPr>
            <w:r w:rsidRPr="003A38F7">
              <w:rPr>
                <w:iCs/>
              </w:rPr>
              <w:t>∆ HbA1c W52</w:t>
            </w:r>
          </w:p>
          <w:p w:rsidR="0040360C" w:rsidRPr="003A38F7" w:rsidRDefault="0040360C" w:rsidP="002F637F">
            <w:pPr>
              <w:pStyle w:val="Tabletext"/>
              <w:keepNext/>
              <w:ind w:left="201"/>
              <w:jc w:val="center"/>
              <w:rPr>
                <w:iCs/>
              </w:rPr>
            </w:pPr>
            <w:r w:rsidRPr="003A38F7">
              <w:rPr>
                <w:iCs/>
              </w:rPr>
              <w:t>∆ PPG</w:t>
            </w:r>
          </w:p>
          <w:p w:rsidR="0040360C" w:rsidRPr="003A38F7" w:rsidRDefault="0040360C" w:rsidP="002F637F">
            <w:pPr>
              <w:pStyle w:val="Tabletext"/>
              <w:keepNext/>
              <w:ind w:left="201"/>
              <w:jc w:val="center"/>
              <w:rPr>
                <w:iCs/>
              </w:rPr>
            </w:pPr>
            <w:r w:rsidRPr="003A38F7">
              <w:rPr>
                <w:iCs/>
              </w:rPr>
              <w:t>∆ body weight</w:t>
            </w:r>
          </w:p>
          <w:p w:rsidR="0040360C" w:rsidRPr="003A38F7" w:rsidRDefault="0040360C" w:rsidP="002F637F">
            <w:pPr>
              <w:pStyle w:val="Tabletext"/>
              <w:keepNext/>
              <w:jc w:val="center"/>
              <w:rPr>
                <w:iCs/>
              </w:rPr>
            </w:pPr>
            <w:r w:rsidRPr="003A38F7">
              <w:rPr>
                <w:iCs/>
              </w:rPr>
              <w:t>Hypoglycaemia events</w:t>
            </w:r>
          </w:p>
        </w:tc>
        <w:tc>
          <w:tcPr>
            <w:tcW w:w="310" w:type="pct"/>
            <w:shd w:val="clear" w:color="auto" w:fill="auto"/>
            <w:vAlign w:val="center"/>
          </w:tcPr>
          <w:p w:rsidR="00DF5ECE" w:rsidRPr="003A38F7" w:rsidRDefault="00DF5ECE" w:rsidP="002F637F">
            <w:pPr>
              <w:pStyle w:val="Tabletext"/>
              <w:keepNext/>
              <w:jc w:val="center"/>
              <w:rPr>
                <w:iCs/>
              </w:rPr>
            </w:pPr>
            <w:r w:rsidRPr="003A38F7">
              <w:rPr>
                <w:iCs/>
              </w:rPr>
              <w:t>NA</w:t>
            </w:r>
          </w:p>
        </w:tc>
      </w:tr>
      <w:tr w:rsidR="0040360C" w:rsidRPr="003A38F7" w:rsidTr="0040360C">
        <w:tc>
          <w:tcPr>
            <w:tcW w:w="671" w:type="pct"/>
            <w:shd w:val="clear" w:color="auto" w:fill="auto"/>
            <w:vAlign w:val="center"/>
          </w:tcPr>
          <w:p w:rsidR="00DF5ECE" w:rsidRPr="003A38F7" w:rsidRDefault="00DF5ECE" w:rsidP="002F637F">
            <w:pPr>
              <w:pStyle w:val="Tabletext"/>
              <w:keepNext/>
              <w:rPr>
                <w:iCs/>
              </w:rPr>
            </w:pPr>
            <w:r w:rsidRPr="003A38F7">
              <w:rPr>
                <w:iCs/>
              </w:rPr>
              <w:t xml:space="preserve">onset 2 </w:t>
            </w:r>
          </w:p>
        </w:tc>
        <w:tc>
          <w:tcPr>
            <w:tcW w:w="430" w:type="pct"/>
            <w:shd w:val="clear" w:color="auto" w:fill="auto"/>
            <w:vAlign w:val="center"/>
          </w:tcPr>
          <w:p w:rsidR="00DF5ECE" w:rsidRPr="003A38F7" w:rsidRDefault="00DF5ECE" w:rsidP="002F637F">
            <w:pPr>
              <w:pStyle w:val="Tabletext"/>
              <w:keepNext/>
              <w:jc w:val="center"/>
              <w:rPr>
                <w:iCs/>
              </w:rPr>
            </w:pPr>
            <w:r w:rsidRPr="003A38F7">
              <w:rPr>
                <w:iCs/>
              </w:rPr>
              <w:t>689</w:t>
            </w:r>
          </w:p>
        </w:tc>
        <w:tc>
          <w:tcPr>
            <w:tcW w:w="1290" w:type="pct"/>
            <w:shd w:val="clear" w:color="auto" w:fill="auto"/>
            <w:vAlign w:val="center"/>
          </w:tcPr>
          <w:p w:rsidR="00DF5ECE" w:rsidRPr="003A38F7" w:rsidRDefault="00DF5ECE" w:rsidP="002F637F">
            <w:pPr>
              <w:pStyle w:val="Tabletext"/>
              <w:keepNext/>
              <w:jc w:val="center"/>
              <w:rPr>
                <w:iCs/>
              </w:rPr>
            </w:pPr>
            <w:r w:rsidRPr="003A38F7">
              <w:rPr>
                <w:iCs/>
              </w:rPr>
              <w:t xml:space="preserve">R, MC, DB, </w:t>
            </w:r>
            <w:r w:rsidR="00F952ED" w:rsidRPr="003A38F7">
              <w:rPr>
                <w:iCs/>
              </w:rPr>
              <w:t xml:space="preserve">P3, </w:t>
            </w:r>
            <w:r w:rsidRPr="003A38F7">
              <w:rPr>
                <w:iCs/>
              </w:rPr>
              <w:t xml:space="preserve">AC, TTT, 8W run in*, </w:t>
            </w:r>
            <w:r w:rsidR="002C7176" w:rsidRPr="003A38F7">
              <w:rPr>
                <w:iCs/>
              </w:rPr>
              <w:t>26W treatment, non-inferiority approach</w:t>
            </w:r>
          </w:p>
        </w:tc>
        <w:tc>
          <w:tcPr>
            <w:tcW w:w="437" w:type="pct"/>
            <w:shd w:val="clear" w:color="auto" w:fill="auto"/>
            <w:vAlign w:val="center"/>
          </w:tcPr>
          <w:p w:rsidR="00DF5ECE" w:rsidRPr="003A38F7" w:rsidRDefault="00DF5ECE" w:rsidP="002F637F">
            <w:pPr>
              <w:pStyle w:val="Tabletext"/>
              <w:keepNext/>
              <w:jc w:val="center"/>
              <w:rPr>
                <w:iCs/>
              </w:rPr>
            </w:pPr>
            <w:r w:rsidRPr="003A38F7">
              <w:rPr>
                <w:iCs/>
              </w:rPr>
              <w:t>Low</w:t>
            </w:r>
          </w:p>
        </w:tc>
        <w:tc>
          <w:tcPr>
            <w:tcW w:w="745" w:type="pct"/>
            <w:shd w:val="clear" w:color="auto" w:fill="auto"/>
            <w:vAlign w:val="center"/>
          </w:tcPr>
          <w:p w:rsidR="00DF5ECE" w:rsidRPr="003A38F7" w:rsidRDefault="00DF5ECE" w:rsidP="002F637F">
            <w:pPr>
              <w:pStyle w:val="Tabletext"/>
              <w:keepNext/>
              <w:jc w:val="center"/>
              <w:rPr>
                <w:iCs/>
              </w:rPr>
            </w:pPr>
            <w:r w:rsidRPr="003A38F7">
              <w:rPr>
                <w:iCs/>
              </w:rPr>
              <w:t>Adults with T2DM, in combination with insulin glargine and metformin, baseline HbA1c 7-9.5%.</w:t>
            </w:r>
          </w:p>
        </w:tc>
        <w:tc>
          <w:tcPr>
            <w:tcW w:w="1118" w:type="pct"/>
            <w:shd w:val="clear" w:color="auto" w:fill="auto"/>
            <w:vAlign w:val="center"/>
          </w:tcPr>
          <w:p w:rsidR="00DF5ECE" w:rsidRPr="003A38F7" w:rsidRDefault="00DF5ECE" w:rsidP="002F637F">
            <w:pPr>
              <w:pStyle w:val="Tabletext"/>
              <w:keepNext/>
              <w:jc w:val="center"/>
              <w:rPr>
                <w:iCs/>
              </w:rPr>
            </w:pPr>
            <w:r w:rsidRPr="003A38F7">
              <w:rPr>
                <w:iCs/>
              </w:rPr>
              <w:t>∆ HbA1c W26</w:t>
            </w:r>
          </w:p>
          <w:p w:rsidR="0040360C" w:rsidRPr="003A38F7" w:rsidRDefault="0040360C" w:rsidP="002F637F">
            <w:pPr>
              <w:pStyle w:val="Tabletext"/>
              <w:keepNext/>
              <w:ind w:left="201"/>
              <w:jc w:val="center"/>
              <w:rPr>
                <w:iCs/>
              </w:rPr>
            </w:pPr>
            <w:r w:rsidRPr="003A38F7">
              <w:rPr>
                <w:iCs/>
              </w:rPr>
              <w:t>∆ PPG</w:t>
            </w:r>
          </w:p>
          <w:p w:rsidR="0040360C" w:rsidRPr="003A38F7" w:rsidRDefault="0040360C" w:rsidP="002F637F">
            <w:pPr>
              <w:pStyle w:val="Tabletext"/>
              <w:keepNext/>
              <w:ind w:left="201"/>
              <w:jc w:val="center"/>
              <w:rPr>
                <w:iCs/>
              </w:rPr>
            </w:pPr>
            <w:r w:rsidRPr="003A38F7">
              <w:rPr>
                <w:iCs/>
              </w:rPr>
              <w:t>∆ body weight</w:t>
            </w:r>
          </w:p>
          <w:p w:rsidR="0040360C" w:rsidRPr="003A38F7" w:rsidRDefault="0040360C" w:rsidP="002F637F">
            <w:pPr>
              <w:pStyle w:val="Tabletext"/>
              <w:keepNext/>
              <w:jc w:val="center"/>
              <w:rPr>
                <w:iCs/>
              </w:rPr>
            </w:pPr>
            <w:r w:rsidRPr="003A38F7">
              <w:rPr>
                <w:iCs/>
              </w:rPr>
              <w:t>Hypoglycaemia events</w:t>
            </w:r>
          </w:p>
        </w:tc>
        <w:tc>
          <w:tcPr>
            <w:tcW w:w="310" w:type="pct"/>
            <w:shd w:val="clear" w:color="auto" w:fill="auto"/>
            <w:vAlign w:val="center"/>
          </w:tcPr>
          <w:p w:rsidR="00DF5ECE" w:rsidRPr="003A38F7" w:rsidRDefault="00DF5ECE" w:rsidP="002F637F">
            <w:pPr>
              <w:pStyle w:val="Tabletext"/>
              <w:keepNext/>
              <w:jc w:val="center"/>
              <w:rPr>
                <w:iCs/>
              </w:rPr>
            </w:pPr>
            <w:r w:rsidRPr="003A38F7">
              <w:rPr>
                <w:iCs/>
              </w:rPr>
              <w:t>NA</w:t>
            </w:r>
          </w:p>
        </w:tc>
      </w:tr>
      <w:tr w:rsidR="0040360C" w:rsidRPr="003A38F7" w:rsidTr="0040360C">
        <w:tc>
          <w:tcPr>
            <w:tcW w:w="671" w:type="pct"/>
            <w:shd w:val="clear" w:color="auto" w:fill="auto"/>
            <w:vAlign w:val="center"/>
          </w:tcPr>
          <w:p w:rsidR="00DF5ECE" w:rsidRPr="003A38F7" w:rsidRDefault="00DF5ECE" w:rsidP="002F637F">
            <w:pPr>
              <w:pStyle w:val="Tabletext"/>
              <w:keepNext/>
              <w:rPr>
                <w:iCs/>
              </w:rPr>
            </w:pPr>
            <w:r w:rsidRPr="003A38F7">
              <w:rPr>
                <w:iCs/>
              </w:rPr>
              <w:t>onset 4 (CSII)</w:t>
            </w:r>
          </w:p>
        </w:tc>
        <w:tc>
          <w:tcPr>
            <w:tcW w:w="430" w:type="pct"/>
            <w:shd w:val="clear" w:color="auto" w:fill="auto"/>
            <w:vAlign w:val="center"/>
          </w:tcPr>
          <w:p w:rsidR="00DF5ECE" w:rsidRPr="003A38F7" w:rsidRDefault="00DF5ECE" w:rsidP="002F637F">
            <w:pPr>
              <w:pStyle w:val="Tabletext"/>
              <w:keepNext/>
              <w:jc w:val="center"/>
              <w:rPr>
                <w:iCs/>
              </w:rPr>
            </w:pPr>
            <w:r w:rsidRPr="003A38F7">
              <w:rPr>
                <w:iCs/>
              </w:rPr>
              <w:t>37</w:t>
            </w:r>
          </w:p>
        </w:tc>
        <w:tc>
          <w:tcPr>
            <w:tcW w:w="1290" w:type="pct"/>
            <w:shd w:val="clear" w:color="auto" w:fill="auto"/>
            <w:vAlign w:val="center"/>
          </w:tcPr>
          <w:p w:rsidR="00DF5ECE" w:rsidRPr="003A38F7" w:rsidRDefault="00DF5ECE" w:rsidP="002F637F">
            <w:pPr>
              <w:pStyle w:val="Tabletext"/>
              <w:keepNext/>
              <w:jc w:val="center"/>
              <w:rPr>
                <w:iCs/>
              </w:rPr>
            </w:pPr>
            <w:r w:rsidRPr="003A38F7">
              <w:rPr>
                <w:iCs/>
              </w:rPr>
              <w:t xml:space="preserve">R, 2 centre, </w:t>
            </w:r>
            <w:r w:rsidR="00F952ED" w:rsidRPr="003A38F7">
              <w:rPr>
                <w:iCs/>
              </w:rPr>
              <w:t xml:space="preserve">P3a, </w:t>
            </w:r>
            <w:r w:rsidRPr="003A38F7">
              <w:rPr>
                <w:iCs/>
              </w:rPr>
              <w:t>DB, 2W run in</w:t>
            </w:r>
            <w:r w:rsidRPr="003A38F7">
              <w:rPr>
                <w:iCs/>
                <w:vertAlign w:val="superscript"/>
              </w:rPr>
              <w:t>#</w:t>
            </w:r>
            <w:r w:rsidRPr="003A38F7">
              <w:rPr>
                <w:iCs/>
              </w:rPr>
              <w:t>, 6W treatment, administration via CSII.</w:t>
            </w:r>
          </w:p>
        </w:tc>
        <w:tc>
          <w:tcPr>
            <w:tcW w:w="437" w:type="pct"/>
            <w:shd w:val="clear" w:color="auto" w:fill="auto"/>
            <w:vAlign w:val="center"/>
          </w:tcPr>
          <w:p w:rsidR="00DF5ECE" w:rsidRPr="003A38F7" w:rsidRDefault="00DF5ECE" w:rsidP="002F637F">
            <w:pPr>
              <w:pStyle w:val="Tabletext"/>
              <w:keepNext/>
              <w:jc w:val="center"/>
              <w:rPr>
                <w:iCs/>
              </w:rPr>
            </w:pPr>
            <w:r w:rsidRPr="003A38F7">
              <w:rPr>
                <w:iCs/>
              </w:rPr>
              <w:t>Low</w:t>
            </w:r>
          </w:p>
        </w:tc>
        <w:tc>
          <w:tcPr>
            <w:tcW w:w="745" w:type="pct"/>
            <w:shd w:val="clear" w:color="auto" w:fill="auto"/>
            <w:vAlign w:val="center"/>
          </w:tcPr>
          <w:p w:rsidR="00DF5ECE" w:rsidRPr="003A38F7" w:rsidRDefault="00DF5ECE" w:rsidP="002F637F">
            <w:pPr>
              <w:pStyle w:val="Tabletext"/>
              <w:keepNext/>
              <w:jc w:val="center"/>
              <w:rPr>
                <w:iCs/>
              </w:rPr>
            </w:pPr>
            <w:r w:rsidRPr="003A38F7">
              <w:rPr>
                <w:iCs/>
              </w:rPr>
              <w:t>Adults with T1DM, no additional anti-diabetes treatments allowed.</w:t>
            </w:r>
          </w:p>
        </w:tc>
        <w:tc>
          <w:tcPr>
            <w:tcW w:w="1118" w:type="pct"/>
            <w:shd w:val="clear" w:color="auto" w:fill="auto"/>
            <w:vAlign w:val="center"/>
          </w:tcPr>
          <w:p w:rsidR="00DF5ECE" w:rsidRPr="003A38F7" w:rsidRDefault="00DF5ECE" w:rsidP="002F637F">
            <w:pPr>
              <w:pStyle w:val="Tabletext"/>
              <w:keepNext/>
              <w:jc w:val="center"/>
              <w:rPr>
                <w:iCs/>
              </w:rPr>
            </w:pPr>
            <w:r w:rsidRPr="003A38F7">
              <w:rPr>
                <w:iCs/>
              </w:rPr>
              <w:t>Safety &amp; feasibility of CSII W6</w:t>
            </w:r>
          </w:p>
          <w:p w:rsidR="0040360C" w:rsidRPr="003A38F7" w:rsidRDefault="0040360C" w:rsidP="002F637F">
            <w:pPr>
              <w:pStyle w:val="Tabletext"/>
              <w:keepNext/>
              <w:jc w:val="center"/>
              <w:rPr>
                <w:iCs/>
              </w:rPr>
            </w:pPr>
            <w:r w:rsidRPr="003A38F7">
              <w:rPr>
                <w:iCs/>
              </w:rPr>
              <w:t>∆ HbA1c W6</w:t>
            </w:r>
          </w:p>
          <w:p w:rsidR="0040360C" w:rsidRPr="003A38F7" w:rsidRDefault="0040360C" w:rsidP="002F637F">
            <w:pPr>
              <w:pStyle w:val="Tabletext"/>
              <w:keepNext/>
              <w:ind w:left="201"/>
              <w:jc w:val="center"/>
              <w:rPr>
                <w:iCs/>
              </w:rPr>
            </w:pPr>
            <w:r w:rsidRPr="003A38F7">
              <w:rPr>
                <w:iCs/>
              </w:rPr>
              <w:t>∆ PPG</w:t>
            </w:r>
          </w:p>
          <w:p w:rsidR="0040360C" w:rsidRPr="003A38F7" w:rsidRDefault="0040360C" w:rsidP="002F637F">
            <w:pPr>
              <w:pStyle w:val="Tabletext"/>
              <w:keepNext/>
              <w:jc w:val="center"/>
              <w:rPr>
                <w:iCs/>
              </w:rPr>
            </w:pPr>
            <w:r w:rsidRPr="003A38F7">
              <w:rPr>
                <w:iCs/>
              </w:rPr>
              <w:t>Hypoglycaemia events</w:t>
            </w:r>
          </w:p>
          <w:p w:rsidR="0040360C" w:rsidRPr="003A38F7" w:rsidRDefault="0040360C" w:rsidP="002F637F">
            <w:pPr>
              <w:pStyle w:val="Tabletext"/>
              <w:keepNext/>
              <w:jc w:val="center"/>
              <w:rPr>
                <w:iCs/>
              </w:rPr>
            </w:pPr>
            <w:r w:rsidRPr="003A38F7">
              <w:rPr>
                <w:iCs/>
              </w:rPr>
              <w:t>Infusion set occlusion events</w:t>
            </w:r>
          </w:p>
        </w:tc>
        <w:tc>
          <w:tcPr>
            <w:tcW w:w="310" w:type="pct"/>
            <w:shd w:val="clear" w:color="auto" w:fill="auto"/>
            <w:vAlign w:val="center"/>
          </w:tcPr>
          <w:p w:rsidR="00DF5ECE" w:rsidRPr="003A38F7" w:rsidRDefault="00DF5ECE" w:rsidP="002F637F">
            <w:pPr>
              <w:pStyle w:val="Tabletext"/>
              <w:keepNext/>
              <w:jc w:val="center"/>
              <w:rPr>
                <w:iCs/>
              </w:rPr>
            </w:pPr>
            <w:r w:rsidRPr="003A38F7">
              <w:rPr>
                <w:iCs/>
              </w:rPr>
              <w:t>NA</w:t>
            </w:r>
          </w:p>
        </w:tc>
      </w:tr>
      <w:tr w:rsidR="0040360C" w:rsidRPr="003A38F7" w:rsidTr="0040360C">
        <w:tc>
          <w:tcPr>
            <w:tcW w:w="671" w:type="pct"/>
            <w:shd w:val="clear" w:color="auto" w:fill="auto"/>
            <w:vAlign w:val="center"/>
          </w:tcPr>
          <w:p w:rsidR="00DF5ECE" w:rsidRPr="003A38F7" w:rsidRDefault="00DF5ECE" w:rsidP="002F637F">
            <w:pPr>
              <w:pStyle w:val="Tabletext"/>
              <w:keepNext/>
              <w:rPr>
                <w:iCs/>
              </w:rPr>
            </w:pPr>
            <w:r w:rsidRPr="003A38F7">
              <w:rPr>
                <w:iCs/>
              </w:rPr>
              <w:t>onset 5 (CSII)</w:t>
            </w:r>
          </w:p>
        </w:tc>
        <w:tc>
          <w:tcPr>
            <w:tcW w:w="430" w:type="pct"/>
            <w:shd w:val="clear" w:color="auto" w:fill="auto"/>
            <w:vAlign w:val="center"/>
          </w:tcPr>
          <w:p w:rsidR="00DF5ECE" w:rsidRPr="003A38F7" w:rsidRDefault="00DF5ECE" w:rsidP="002F637F">
            <w:pPr>
              <w:pStyle w:val="Tabletext"/>
              <w:keepNext/>
              <w:jc w:val="center"/>
              <w:rPr>
                <w:iCs/>
              </w:rPr>
            </w:pPr>
            <w:r w:rsidRPr="003A38F7">
              <w:rPr>
                <w:iCs/>
              </w:rPr>
              <w:t>472</w:t>
            </w:r>
          </w:p>
        </w:tc>
        <w:tc>
          <w:tcPr>
            <w:tcW w:w="1290" w:type="pct"/>
            <w:shd w:val="clear" w:color="auto" w:fill="auto"/>
            <w:vAlign w:val="center"/>
          </w:tcPr>
          <w:p w:rsidR="00DF5ECE" w:rsidRPr="003A38F7" w:rsidRDefault="00DF5ECE" w:rsidP="002F637F">
            <w:pPr>
              <w:pStyle w:val="Tabletext"/>
              <w:keepNext/>
              <w:jc w:val="center"/>
              <w:rPr>
                <w:iCs/>
              </w:rPr>
            </w:pPr>
            <w:r w:rsidRPr="003A38F7">
              <w:rPr>
                <w:iCs/>
              </w:rPr>
              <w:t xml:space="preserve">R, MC, DB, </w:t>
            </w:r>
            <w:r w:rsidR="00F952ED" w:rsidRPr="003A38F7">
              <w:rPr>
                <w:iCs/>
              </w:rPr>
              <w:t xml:space="preserve">P3b, </w:t>
            </w:r>
            <w:r w:rsidRPr="003A38F7">
              <w:rPr>
                <w:iCs/>
              </w:rPr>
              <w:t>AC, TTT, 4W run in^, 26W treatment, administration via CSII</w:t>
            </w:r>
          </w:p>
          <w:p w:rsidR="00DF5ECE" w:rsidRPr="003A38F7" w:rsidRDefault="00DF5ECE" w:rsidP="002F637F">
            <w:pPr>
              <w:pStyle w:val="Tabletext"/>
              <w:keepNext/>
              <w:jc w:val="center"/>
              <w:rPr>
                <w:iCs/>
              </w:rPr>
            </w:pPr>
            <w:r w:rsidRPr="003A38F7">
              <w:rPr>
                <w:iCs/>
              </w:rPr>
              <w:t>non-inferiority approach</w:t>
            </w:r>
          </w:p>
        </w:tc>
        <w:tc>
          <w:tcPr>
            <w:tcW w:w="437" w:type="pct"/>
            <w:shd w:val="clear" w:color="auto" w:fill="auto"/>
            <w:vAlign w:val="center"/>
          </w:tcPr>
          <w:p w:rsidR="00DF5ECE" w:rsidRPr="003A38F7" w:rsidRDefault="00DF5ECE" w:rsidP="002F637F">
            <w:pPr>
              <w:pStyle w:val="Tabletext"/>
              <w:keepNext/>
              <w:jc w:val="center"/>
              <w:rPr>
                <w:iCs/>
              </w:rPr>
            </w:pPr>
            <w:r w:rsidRPr="003A38F7">
              <w:rPr>
                <w:iCs/>
              </w:rPr>
              <w:t>Low</w:t>
            </w:r>
          </w:p>
        </w:tc>
        <w:tc>
          <w:tcPr>
            <w:tcW w:w="745" w:type="pct"/>
            <w:shd w:val="clear" w:color="auto" w:fill="auto"/>
            <w:vAlign w:val="center"/>
          </w:tcPr>
          <w:p w:rsidR="00DF5ECE" w:rsidRPr="003A38F7" w:rsidRDefault="00DF5ECE" w:rsidP="002F637F">
            <w:pPr>
              <w:pStyle w:val="Tabletext"/>
              <w:keepNext/>
              <w:jc w:val="center"/>
              <w:rPr>
                <w:iCs/>
              </w:rPr>
            </w:pPr>
            <w:r w:rsidRPr="003A38F7">
              <w:rPr>
                <w:iCs/>
              </w:rPr>
              <w:t>Adults with T1DM</w:t>
            </w:r>
          </w:p>
        </w:tc>
        <w:tc>
          <w:tcPr>
            <w:tcW w:w="1118" w:type="pct"/>
            <w:shd w:val="clear" w:color="auto" w:fill="auto"/>
            <w:vAlign w:val="center"/>
          </w:tcPr>
          <w:p w:rsidR="00DF5ECE" w:rsidRPr="003A38F7" w:rsidRDefault="00DF5ECE" w:rsidP="002F637F">
            <w:pPr>
              <w:pStyle w:val="Tabletext"/>
              <w:keepNext/>
              <w:jc w:val="center"/>
              <w:rPr>
                <w:iCs/>
              </w:rPr>
            </w:pPr>
            <w:r w:rsidRPr="003A38F7">
              <w:rPr>
                <w:iCs/>
              </w:rPr>
              <w:t>∆ HbA1c W26</w:t>
            </w:r>
          </w:p>
          <w:p w:rsidR="0040360C" w:rsidRPr="003A38F7" w:rsidRDefault="0040360C" w:rsidP="002F637F">
            <w:pPr>
              <w:pStyle w:val="Tabletext"/>
              <w:keepNext/>
              <w:ind w:left="201"/>
              <w:jc w:val="center"/>
              <w:rPr>
                <w:iCs/>
              </w:rPr>
            </w:pPr>
            <w:r w:rsidRPr="003A38F7">
              <w:rPr>
                <w:iCs/>
              </w:rPr>
              <w:t>∆ PPG</w:t>
            </w:r>
          </w:p>
          <w:p w:rsidR="0040360C" w:rsidRPr="003A38F7" w:rsidRDefault="0040360C" w:rsidP="002F637F">
            <w:pPr>
              <w:pStyle w:val="Tabletext"/>
              <w:keepNext/>
              <w:ind w:left="201"/>
              <w:jc w:val="center"/>
              <w:rPr>
                <w:iCs/>
              </w:rPr>
            </w:pPr>
            <w:r w:rsidRPr="003A38F7">
              <w:rPr>
                <w:iCs/>
              </w:rPr>
              <w:t>∆ body weight</w:t>
            </w:r>
          </w:p>
          <w:p w:rsidR="0040360C" w:rsidRPr="003A38F7" w:rsidRDefault="0040360C" w:rsidP="002F637F">
            <w:pPr>
              <w:pStyle w:val="Tabletext"/>
              <w:keepNext/>
              <w:jc w:val="center"/>
              <w:rPr>
                <w:iCs/>
              </w:rPr>
            </w:pPr>
            <w:r w:rsidRPr="003A38F7">
              <w:rPr>
                <w:iCs/>
              </w:rPr>
              <w:t>Hypoglycaemia events</w:t>
            </w:r>
          </w:p>
          <w:p w:rsidR="0040360C" w:rsidRPr="003A38F7" w:rsidRDefault="0040360C" w:rsidP="002F637F">
            <w:pPr>
              <w:pStyle w:val="Tabletext"/>
              <w:keepNext/>
              <w:jc w:val="center"/>
              <w:rPr>
                <w:iCs/>
              </w:rPr>
            </w:pPr>
            <w:r w:rsidRPr="003A38F7">
              <w:rPr>
                <w:iCs/>
              </w:rPr>
              <w:t>Infusion set changes</w:t>
            </w:r>
          </w:p>
        </w:tc>
        <w:tc>
          <w:tcPr>
            <w:tcW w:w="310" w:type="pct"/>
            <w:shd w:val="clear" w:color="auto" w:fill="auto"/>
            <w:vAlign w:val="center"/>
          </w:tcPr>
          <w:p w:rsidR="00DF5ECE" w:rsidRPr="003A38F7" w:rsidRDefault="00DF5ECE" w:rsidP="002F637F">
            <w:pPr>
              <w:pStyle w:val="Tabletext"/>
              <w:keepNext/>
              <w:jc w:val="center"/>
              <w:rPr>
                <w:iCs/>
              </w:rPr>
            </w:pPr>
            <w:r w:rsidRPr="003A38F7">
              <w:rPr>
                <w:iCs/>
              </w:rPr>
              <w:t>NA</w:t>
            </w:r>
          </w:p>
        </w:tc>
      </w:tr>
    </w:tbl>
    <w:p w:rsidR="00DF5ECE" w:rsidRPr="003A38F7" w:rsidRDefault="00DF5ECE" w:rsidP="002F637F">
      <w:pPr>
        <w:pStyle w:val="TableFooter"/>
        <w:widowControl/>
        <w:rPr>
          <w:iCs/>
        </w:rPr>
      </w:pPr>
      <w:r w:rsidRPr="003A38F7">
        <w:rPr>
          <w:iCs/>
        </w:rPr>
        <w:t>Abbreviations: DB=double blind; MC=multi-centre; OL=open label; AC=active controlled, TTT=treat to target, R=randomised, CSII=continuous subcutaneous insulin infusion, W=weeks, BD=twice daily,</w:t>
      </w:r>
      <w:r w:rsidR="00F952ED" w:rsidRPr="003A38F7">
        <w:rPr>
          <w:iCs/>
        </w:rPr>
        <w:t xml:space="preserve"> HbA1c=glycosylated haemoglobin, P=phase.</w:t>
      </w:r>
    </w:p>
    <w:p w:rsidR="00DF5ECE" w:rsidRPr="003A38F7" w:rsidRDefault="00DF5ECE" w:rsidP="002F637F">
      <w:pPr>
        <w:pStyle w:val="TableFooter"/>
        <w:widowControl/>
        <w:rPr>
          <w:iCs/>
        </w:rPr>
      </w:pPr>
      <w:r w:rsidRPr="003A38F7">
        <w:rPr>
          <w:iCs/>
        </w:rPr>
        <w:t>*</w:t>
      </w:r>
      <w:r w:rsidRPr="003A38F7">
        <w:rPr>
          <w:iCs/>
        </w:rPr>
        <w:tab/>
        <w:t>to optimise basal insulin</w:t>
      </w:r>
    </w:p>
    <w:p w:rsidR="00DF5ECE" w:rsidRPr="003A38F7" w:rsidRDefault="00DF5ECE" w:rsidP="002F637F">
      <w:pPr>
        <w:pStyle w:val="TableFooter"/>
        <w:widowControl/>
        <w:ind w:left="165" w:hanging="165"/>
        <w:rPr>
          <w:iCs/>
        </w:rPr>
      </w:pPr>
      <w:r w:rsidRPr="003A38F7">
        <w:rPr>
          <w:iCs/>
          <w:vertAlign w:val="superscript"/>
        </w:rPr>
        <w:t>#</w:t>
      </w:r>
      <w:r w:rsidRPr="003A38F7">
        <w:rPr>
          <w:iCs/>
          <w:vertAlign w:val="superscript"/>
        </w:rPr>
        <w:tab/>
      </w:r>
      <w:r w:rsidRPr="003A38F7">
        <w:rPr>
          <w:iCs/>
        </w:rPr>
        <w:t>during the 2 week run in period, all subjects were switched from their previous rapid-acting analog treatment to insulin aspart. Subjects’ knowledge on using an insulin pump, handling of transfusion sets, and keeping a travel diary was reinforced.</w:t>
      </w:r>
    </w:p>
    <w:p w:rsidR="00DF5ECE" w:rsidRPr="003A38F7" w:rsidRDefault="00DF5ECE" w:rsidP="002F637F">
      <w:pPr>
        <w:pStyle w:val="TableFooter"/>
        <w:widowControl/>
        <w:ind w:left="165" w:hanging="165"/>
        <w:rPr>
          <w:iCs/>
        </w:rPr>
      </w:pPr>
      <w:r w:rsidRPr="003A38F7">
        <w:rPr>
          <w:iCs/>
        </w:rPr>
        <w:t>^</w:t>
      </w:r>
      <w:r w:rsidRPr="003A38F7">
        <w:rPr>
          <w:iCs/>
        </w:rPr>
        <w:tab/>
        <w:t>The 4-week run-in period was primarily for reinforcement of subject training in trial procedures, diabetes education and collecting baseline assessments</w:t>
      </w:r>
    </w:p>
    <w:p w:rsidR="00DF5ECE" w:rsidRPr="003A38F7" w:rsidRDefault="00DF5ECE" w:rsidP="002F637F">
      <w:pPr>
        <w:pStyle w:val="TableFooter"/>
        <w:widowControl/>
        <w:rPr>
          <w:iCs/>
          <w:sz w:val="20"/>
        </w:rPr>
      </w:pPr>
      <w:r w:rsidRPr="003A38F7">
        <w:rPr>
          <w:iCs/>
        </w:rPr>
        <w:t>Source: complied during evaluation based on information presented on pp42-44 of the submission.</w:t>
      </w:r>
    </w:p>
    <w:p w:rsidR="00DF5ECE" w:rsidRPr="003A38F7" w:rsidRDefault="00DF5ECE" w:rsidP="002F637F">
      <w:pPr>
        <w:widowControl/>
        <w:rPr>
          <w:rStyle w:val="CommentReference"/>
        </w:rPr>
      </w:pPr>
    </w:p>
    <w:p w:rsidR="00E40B02" w:rsidRPr="003A38F7" w:rsidRDefault="0028778E" w:rsidP="002F637F">
      <w:pPr>
        <w:pStyle w:val="ListParagraph"/>
        <w:widowControl/>
        <w:numPr>
          <w:ilvl w:val="1"/>
          <w:numId w:val="3"/>
        </w:numPr>
        <w:rPr>
          <w:color w:val="000000" w:themeColor="text1"/>
        </w:rPr>
      </w:pPr>
      <w:r>
        <w:rPr>
          <w:color w:val="000000" w:themeColor="text1"/>
        </w:rPr>
        <w:t>A</w:t>
      </w:r>
      <w:r w:rsidR="00E40B02" w:rsidRPr="003A38F7">
        <w:rPr>
          <w:color w:val="000000" w:themeColor="text1"/>
        </w:rPr>
        <w:t>ttrition and overall risk of bias was low in each of the key trials except for onset 1.</w:t>
      </w:r>
      <w:r w:rsidR="00713357">
        <w:rPr>
          <w:color w:val="000000" w:themeColor="text1"/>
        </w:rPr>
        <w:t xml:space="preserve"> </w:t>
      </w:r>
      <w:r w:rsidR="00E40B02" w:rsidRPr="003A38F7">
        <w:rPr>
          <w:color w:val="000000" w:themeColor="text1"/>
        </w:rPr>
        <w:t xml:space="preserve">In onset 1, treatment assignment to the post meal </w:t>
      </w:r>
      <w:r w:rsidR="00195936">
        <w:rPr>
          <w:color w:val="000000" w:themeColor="text1"/>
        </w:rPr>
        <w:t>Fiasp</w:t>
      </w:r>
      <w:r w:rsidR="00E40B02" w:rsidRPr="003A38F7">
        <w:rPr>
          <w:color w:val="000000" w:themeColor="text1"/>
        </w:rPr>
        <w:t xml:space="preserve"> was unblinded to patients and investigators, and beyond Week 26, although the investigators and participants remained blinded to treatment assignment in the other two meal time dose arms, </w:t>
      </w:r>
      <w:r w:rsidR="00E40B02" w:rsidRPr="003A38F7">
        <w:rPr>
          <w:color w:val="000000" w:themeColor="text1"/>
        </w:rPr>
        <w:lastRenderedPageBreak/>
        <w:t>concealment was broken to the sponsor. While the full implication of unblinded treatment was unclear, as the main outcome was change in HbA1c from baseline, which was an objective measurement, it was unlikely to</w:t>
      </w:r>
      <w:r w:rsidR="00CC1F4F" w:rsidRPr="003A38F7">
        <w:rPr>
          <w:color w:val="000000" w:themeColor="text1"/>
        </w:rPr>
        <w:t xml:space="preserve"> be impacted significantly</w:t>
      </w:r>
      <w:r w:rsidR="00E40B02" w:rsidRPr="003A38F7">
        <w:rPr>
          <w:color w:val="000000" w:themeColor="text1"/>
        </w:rPr>
        <w:t>.</w:t>
      </w:r>
    </w:p>
    <w:p w:rsidR="00045017" w:rsidRPr="003A38F7" w:rsidRDefault="00663ECF" w:rsidP="002F637F">
      <w:pPr>
        <w:pStyle w:val="ListParagraph"/>
        <w:widowControl/>
        <w:numPr>
          <w:ilvl w:val="1"/>
          <w:numId w:val="3"/>
        </w:numPr>
        <w:rPr>
          <w:color w:val="000000" w:themeColor="text1"/>
        </w:rPr>
      </w:pPr>
      <w:r>
        <w:rPr>
          <w:color w:val="000000" w:themeColor="text1"/>
        </w:rPr>
        <w:t>F</w:t>
      </w:r>
      <w:r w:rsidR="00E40B02" w:rsidRPr="003A38F7">
        <w:rPr>
          <w:color w:val="000000" w:themeColor="text1"/>
        </w:rPr>
        <w:t>low of patients through the randomised double-blind treatment period</w:t>
      </w:r>
      <w:r w:rsidR="00F31AA6">
        <w:rPr>
          <w:color w:val="000000" w:themeColor="text1"/>
        </w:rPr>
        <w:t>:</w:t>
      </w:r>
      <w:r w:rsidR="00E40B02" w:rsidRPr="003A38F7">
        <w:rPr>
          <w:color w:val="000000" w:themeColor="text1"/>
        </w:rPr>
        <w:t xml:space="preserve"> </w:t>
      </w:r>
      <w:r w:rsidR="0028778E">
        <w:rPr>
          <w:color w:val="000000" w:themeColor="text1"/>
        </w:rPr>
        <w:t>e</w:t>
      </w:r>
      <w:r w:rsidR="00E40B02" w:rsidRPr="003A38F7">
        <w:rPr>
          <w:color w:val="000000" w:themeColor="text1"/>
        </w:rPr>
        <w:t>ach trial included a run-in period prior to randomisation. The numbers of patients lost to follow up or discontinued were similar</w:t>
      </w:r>
      <w:r w:rsidR="00E40B02" w:rsidRPr="003A38F7">
        <w:rPr>
          <w:color w:val="3366FF"/>
        </w:rPr>
        <w:t xml:space="preserve"> </w:t>
      </w:r>
      <w:r w:rsidR="00E40B02" w:rsidRPr="003A38F7">
        <w:rPr>
          <w:color w:val="000000" w:themeColor="text1"/>
        </w:rPr>
        <w:t>between the treatment arms in the included trials.</w:t>
      </w:r>
      <w:r w:rsidR="00713357">
        <w:rPr>
          <w:color w:val="000000" w:themeColor="text1"/>
        </w:rPr>
        <w:t xml:space="preserve"> </w:t>
      </w:r>
      <w:r w:rsidR="00E40B02" w:rsidRPr="003A38F7">
        <w:rPr>
          <w:color w:val="000000" w:themeColor="text1"/>
        </w:rPr>
        <w:t>The most common reason for discontinuation was decision by subject.</w:t>
      </w:r>
      <w:r w:rsidR="00DF5ECE" w:rsidRPr="003A38F7">
        <w:rPr>
          <w:color w:val="000000" w:themeColor="text1"/>
        </w:rPr>
        <w:t xml:space="preserve"> </w:t>
      </w:r>
    </w:p>
    <w:p w:rsidR="001214F8" w:rsidRPr="003A38F7" w:rsidRDefault="00663ECF" w:rsidP="002F637F">
      <w:pPr>
        <w:pStyle w:val="ListParagraph"/>
        <w:widowControl/>
        <w:numPr>
          <w:ilvl w:val="1"/>
          <w:numId w:val="3"/>
        </w:numPr>
        <w:rPr>
          <w:color w:val="000000" w:themeColor="text1"/>
        </w:rPr>
      </w:pPr>
      <w:r>
        <w:rPr>
          <w:color w:val="000000" w:themeColor="text1"/>
        </w:rPr>
        <w:t>K</w:t>
      </w:r>
      <w:r w:rsidR="001214F8" w:rsidRPr="003A38F7">
        <w:rPr>
          <w:color w:val="000000" w:themeColor="text1"/>
        </w:rPr>
        <w:t>ey inclusion and exclusion criteria in the included trials</w:t>
      </w:r>
      <w:r w:rsidR="0028778E">
        <w:rPr>
          <w:color w:val="000000" w:themeColor="text1"/>
        </w:rPr>
        <w:t>: t</w:t>
      </w:r>
      <w:r w:rsidR="001214F8" w:rsidRPr="003A38F7">
        <w:rPr>
          <w:color w:val="000000" w:themeColor="text1"/>
        </w:rPr>
        <w:t>he trials generally enrolled similar patient populations, consisting of adult diabetic patients.</w:t>
      </w:r>
      <w:r w:rsidR="00713357">
        <w:rPr>
          <w:color w:val="000000" w:themeColor="text1"/>
        </w:rPr>
        <w:t xml:space="preserve"> </w:t>
      </w:r>
      <w:r w:rsidR="001214F8" w:rsidRPr="003A38F7">
        <w:rPr>
          <w:color w:val="000000" w:themeColor="text1"/>
        </w:rPr>
        <w:t>The main difference was that the onset 2 trial enrolled T2DM patients whilst the other three trials enrolled T1DM patients.</w:t>
      </w:r>
      <w:r w:rsidR="00713357">
        <w:rPr>
          <w:color w:val="000000" w:themeColor="text1"/>
        </w:rPr>
        <w:t xml:space="preserve"> </w:t>
      </w:r>
      <w:r w:rsidR="001214F8" w:rsidRPr="003A38F7">
        <w:rPr>
          <w:color w:val="000000" w:themeColor="text1"/>
        </w:rPr>
        <w:t>All trials required patients to have inadequate glycaemic control at trial entry, demonstrated by a HbA1c level of between 7.0% and 9.5% in onset 1 and onset 2, between 7.0% and 9.0% in onset 5, and a level of less or equal to 9.0% in onset 4.</w:t>
      </w:r>
      <w:r w:rsidR="00713357">
        <w:rPr>
          <w:color w:val="000000" w:themeColor="text1"/>
        </w:rPr>
        <w:t xml:space="preserve"> </w:t>
      </w:r>
      <w:r w:rsidR="001214F8" w:rsidRPr="003A38F7">
        <w:rPr>
          <w:color w:val="000000" w:themeColor="text1"/>
        </w:rPr>
        <w:t>In clinical practice, inadequate glycaemic control is indicated by a HbA1c level &gt; 7.0%.</w:t>
      </w:r>
    </w:p>
    <w:p w:rsidR="001214F8" w:rsidRPr="003A38F7" w:rsidRDefault="00663ECF" w:rsidP="002F637F">
      <w:pPr>
        <w:pStyle w:val="ListParagraph"/>
        <w:widowControl/>
        <w:numPr>
          <w:ilvl w:val="1"/>
          <w:numId w:val="3"/>
        </w:numPr>
        <w:rPr>
          <w:color w:val="000000" w:themeColor="text1"/>
        </w:rPr>
      </w:pPr>
      <w:r>
        <w:rPr>
          <w:color w:val="000000" w:themeColor="text1"/>
        </w:rPr>
        <w:t>B</w:t>
      </w:r>
      <w:r w:rsidR="001214F8" w:rsidRPr="003A38F7">
        <w:rPr>
          <w:color w:val="000000" w:themeColor="text1"/>
        </w:rPr>
        <w:t>aseline patient characteristics</w:t>
      </w:r>
      <w:r w:rsidR="0028778E">
        <w:rPr>
          <w:color w:val="000000" w:themeColor="text1"/>
        </w:rPr>
        <w:t>:</w:t>
      </w:r>
      <w:r w:rsidR="001214F8" w:rsidRPr="003A38F7">
        <w:rPr>
          <w:color w:val="000000" w:themeColor="text1"/>
        </w:rPr>
        <w:t xml:space="preserve"> </w:t>
      </w:r>
      <w:r>
        <w:rPr>
          <w:color w:val="000000" w:themeColor="text1"/>
        </w:rPr>
        <w:t>r</w:t>
      </w:r>
      <w:r w:rsidR="001214F8" w:rsidRPr="003A38F7">
        <w:rPr>
          <w:color w:val="000000" w:themeColor="text1"/>
        </w:rPr>
        <w:t>andomisation</w:t>
      </w:r>
      <w:r w:rsidR="00000AC7" w:rsidRPr="003A38F7">
        <w:rPr>
          <w:color w:val="000000" w:themeColor="text1"/>
        </w:rPr>
        <w:t xml:space="preserve"> appeared successful within most </w:t>
      </w:r>
      <w:r w:rsidR="001214F8" w:rsidRPr="003A38F7">
        <w:rPr>
          <w:color w:val="000000" w:themeColor="text1"/>
        </w:rPr>
        <w:t>trials</w:t>
      </w:r>
      <w:r w:rsidR="0028778E">
        <w:rPr>
          <w:color w:val="000000" w:themeColor="text1"/>
        </w:rPr>
        <w:t>.</w:t>
      </w:r>
      <w:r w:rsidR="00000AC7" w:rsidRPr="003A38F7">
        <w:rPr>
          <w:color w:val="000000" w:themeColor="text1"/>
        </w:rPr>
        <w:t xml:space="preserve"> </w:t>
      </w:r>
      <w:r w:rsidR="0028778E">
        <w:rPr>
          <w:color w:val="000000" w:themeColor="text1"/>
        </w:rPr>
        <w:t>W</w:t>
      </w:r>
      <w:r w:rsidR="00000AC7" w:rsidRPr="003A38F7">
        <w:rPr>
          <w:color w:val="000000" w:themeColor="text1"/>
        </w:rPr>
        <w:t xml:space="preserve">here differences were detected, the noted differences were small and were unlikely to impact on the results. </w:t>
      </w:r>
      <w:r w:rsidR="001214F8" w:rsidRPr="003A38F7">
        <w:rPr>
          <w:color w:val="000000" w:themeColor="text1"/>
        </w:rPr>
        <w:t>Between the trials, patient characteristics at baseline were broadly similar in patients with T1DM (onset 1, onset 4 and onset 5).</w:t>
      </w:r>
      <w:r w:rsidR="00713357">
        <w:rPr>
          <w:color w:val="000000" w:themeColor="text1"/>
        </w:rPr>
        <w:t xml:space="preserve"> </w:t>
      </w:r>
      <w:r w:rsidR="001214F8" w:rsidRPr="003A38F7">
        <w:rPr>
          <w:color w:val="000000" w:themeColor="text1"/>
        </w:rPr>
        <w:t xml:space="preserve">Patients </w:t>
      </w:r>
      <w:r w:rsidR="00B220B2" w:rsidRPr="003A38F7">
        <w:rPr>
          <w:color w:val="000000" w:themeColor="text1"/>
        </w:rPr>
        <w:t xml:space="preserve">with </w:t>
      </w:r>
      <w:r w:rsidR="001214F8" w:rsidRPr="003A38F7">
        <w:rPr>
          <w:color w:val="000000" w:themeColor="text1"/>
        </w:rPr>
        <w:t xml:space="preserve">T2DM </w:t>
      </w:r>
      <w:r w:rsidR="00B220B2" w:rsidRPr="003A38F7">
        <w:rPr>
          <w:color w:val="000000" w:themeColor="text1"/>
        </w:rPr>
        <w:t>(</w:t>
      </w:r>
      <w:r w:rsidR="001214F8" w:rsidRPr="003A38F7">
        <w:rPr>
          <w:color w:val="000000" w:themeColor="text1"/>
        </w:rPr>
        <w:t>onset 2</w:t>
      </w:r>
      <w:r w:rsidR="00B220B2" w:rsidRPr="003A38F7">
        <w:rPr>
          <w:color w:val="000000" w:themeColor="text1"/>
        </w:rPr>
        <w:t>)</w:t>
      </w:r>
      <w:r w:rsidR="001214F8" w:rsidRPr="003A38F7">
        <w:rPr>
          <w:color w:val="000000" w:themeColor="text1"/>
        </w:rPr>
        <w:t xml:space="preserve"> </w:t>
      </w:r>
      <w:r w:rsidR="00973FA9" w:rsidRPr="003A38F7">
        <w:rPr>
          <w:color w:val="000000" w:themeColor="text1"/>
        </w:rPr>
        <w:t xml:space="preserve">were on average older (59.5 years in onset 2 versus 34.7-46.1 years), </w:t>
      </w:r>
      <w:r w:rsidR="001214F8" w:rsidRPr="003A38F7">
        <w:rPr>
          <w:color w:val="000000" w:themeColor="text1"/>
        </w:rPr>
        <w:t>heavier</w:t>
      </w:r>
      <w:r w:rsidR="00973FA9" w:rsidRPr="003A38F7">
        <w:rPr>
          <w:color w:val="000000" w:themeColor="text1"/>
        </w:rPr>
        <w:t xml:space="preserve"> (</w:t>
      </w:r>
      <w:r w:rsidR="001214F8" w:rsidRPr="003A38F7">
        <w:rPr>
          <w:color w:val="000000" w:themeColor="text1"/>
        </w:rPr>
        <w:t xml:space="preserve">88-89 kg </w:t>
      </w:r>
      <w:r w:rsidR="00B220B2" w:rsidRPr="003A38F7">
        <w:rPr>
          <w:color w:val="000000" w:themeColor="text1"/>
        </w:rPr>
        <w:t>vs 76 and 84 kg) and had</w:t>
      </w:r>
      <w:r w:rsidR="001214F8" w:rsidRPr="003A38F7">
        <w:rPr>
          <w:color w:val="000000" w:themeColor="text1"/>
        </w:rPr>
        <w:t xml:space="preserve"> higher baseline BMI </w:t>
      </w:r>
      <w:r w:rsidR="00973FA9" w:rsidRPr="003A38F7">
        <w:rPr>
          <w:color w:val="000000" w:themeColor="text1"/>
        </w:rPr>
        <w:t>(</w:t>
      </w:r>
      <w:r w:rsidR="00973FA9" w:rsidRPr="003A38F7">
        <w:rPr>
          <w:color w:val="000000" w:themeColor="text1"/>
        </w:rPr>
        <w:sym w:font="Symbol" w:char="F0BB"/>
      </w:r>
      <w:r w:rsidR="001214F8" w:rsidRPr="003A38F7">
        <w:rPr>
          <w:color w:val="000000" w:themeColor="text1"/>
        </w:rPr>
        <w:t>31 kg/m2</w:t>
      </w:r>
      <w:r w:rsidR="00B220B2" w:rsidRPr="003A38F7">
        <w:rPr>
          <w:color w:val="000000" w:themeColor="text1"/>
        </w:rPr>
        <w:t xml:space="preserve"> (vs </w:t>
      </w:r>
      <w:r w:rsidR="00973FA9" w:rsidRPr="003A38F7">
        <w:rPr>
          <w:color w:val="000000" w:themeColor="text1"/>
        </w:rPr>
        <w:t>25-27 kg/m2) than T1DM patients in other included trials</w:t>
      </w:r>
      <w:r w:rsidR="000363F1" w:rsidRPr="003A38F7">
        <w:rPr>
          <w:color w:val="000000" w:themeColor="text1"/>
        </w:rPr>
        <w:t>.</w:t>
      </w:r>
      <w:r w:rsidR="00713357">
        <w:rPr>
          <w:color w:val="000000" w:themeColor="text1"/>
        </w:rPr>
        <w:t xml:space="preserve"> </w:t>
      </w:r>
      <w:r w:rsidR="00CE32DD" w:rsidRPr="003A38F7">
        <w:rPr>
          <w:color w:val="000000" w:themeColor="text1"/>
        </w:rPr>
        <w:t xml:space="preserve">Consistent with the natural history of the disease, </w:t>
      </w:r>
      <w:r w:rsidR="001214F8" w:rsidRPr="003A38F7">
        <w:rPr>
          <w:color w:val="000000" w:themeColor="text1"/>
        </w:rPr>
        <w:t xml:space="preserve">T2DM patients in the onset 2 trial </w:t>
      </w:r>
      <w:r w:rsidR="00CE32DD" w:rsidRPr="003A38F7">
        <w:rPr>
          <w:color w:val="000000" w:themeColor="text1"/>
        </w:rPr>
        <w:t xml:space="preserve">also </w:t>
      </w:r>
      <w:r w:rsidR="001214F8" w:rsidRPr="003A38F7">
        <w:rPr>
          <w:color w:val="000000" w:themeColor="text1"/>
        </w:rPr>
        <w:t xml:space="preserve">had the shortest duration of diabetes (12.3-13.2 years) </w:t>
      </w:r>
      <w:r w:rsidR="00CE32DD" w:rsidRPr="003A38F7">
        <w:rPr>
          <w:color w:val="000000" w:themeColor="text1"/>
        </w:rPr>
        <w:t xml:space="preserve">versus T1DM patients </w:t>
      </w:r>
      <w:r w:rsidR="001214F8" w:rsidRPr="003A38F7">
        <w:rPr>
          <w:color w:val="000000" w:themeColor="text1"/>
        </w:rPr>
        <w:t>(</w:t>
      </w:r>
      <w:r w:rsidR="00CE32DD" w:rsidRPr="003A38F7">
        <w:rPr>
          <w:color w:val="000000" w:themeColor="text1"/>
        </w:rPr>
        <w:t>19.3-</w:t>
      </w:r>
      <w:r w:rsidR="001214F8" w:rsidRPr="003A38F7">
        <w:rPr>
          <w:color w:val="000000" w:themeColor="text1"/>
        </w:rPr>
        <w:t>25.9 years</w:t>
      </w:r>
      <w:r w:rsidR="00CE32DD" w:rsidRPr="003A38F7">
        <w:rPr>
          <w:color w:val="000000" w:themeColor="text1"/>
        </w:rPr>
        <w:t>).</w:t>
      </w:r>
    </w:p>
    <w:p w:rsidR="001214F8" w:rsidRDefault="00FC7AFF" w:rsidP="002F637F">
      <w:pPr>
        <w:pStyle w:val="ListParagraph"/>
        <w:widowControl/>
        <w:numPr>
          <w:ilvl w:val="1"/>
          <w:numId w:val="3"/>
        </w:numPr>
        <w:rPr>
          <w:color w:val="000000" w:themeColor="text1"/>
        </w:rPr>
      </w:pPr>
      <w:r w:rsidRPr="003A38F7">
        <w:rPr>
          <w:color w:val="000000" w:themeColor="text1"/>
        </w:rPr>
        <w:t>Broadly, t</w:t>
      </w:r>
      <w:r w:rsidR="005273AB" w:rsidRPr="003A38F7">
        <w:rPr>
          <w:color w:val="000000" w:themeColor="text1"/>
        </w:rPr>
        <w:t>he included trials employed similar dosing regimens with similar target blood glucose levels for basal and bolus insulin doses.</w:t>
      </w:r>
      <w:r w:rsidR="00713357">
        <w:rPr>
          <w:color w:val="000000" w:themeColor="text1"/>
        </w:rPr>
        <w:t xml:space="preserve"> </w:t>
      </w:r>
      <w:r w:rsidR="005273AB" w:rsidRPr="003A38F7">
        <w:rPr>
          <w:color w:val="000000" w:themeColor="text1"/>
        </w:rPr>
        <w:t xml:space="preserve">The dosing of </w:t>
      </w:r>
      <w:r w:rsidR="00195936">
        <w:rPr>
          <w:color w:val="000000" w:themeColor="text1"/>
        </w:rPr>
        <w:t>Fiasp</w:t>
      </w:r>
      <w:r w:rsidR="005273AB" w:rsidRPr="003A38F7">
        <w:rPr>
          <w:color w:val="000000" w:themeColor="text1"/>
        </w:rPr>
        <w:t>, NovoRapid and concomitant medications were also consistent with the PIs, and reflected recommended Australian practice.</w:t>
      </w:r>
      <w:r w:rsidR="00713357">
        <w:rPr>
          <w:color w:val="000000" w:themeColor="text1"/>
        </w:rPr>
        <w:t xml:space="preserve"> </w:t>
      </w:r>
      <w:r w:rsidR="005273AB" w:rsidRPr="003A38F7">
        <w:rPr>
          <w:color w:val="000000" w:themeColor="text1"/>
        </w:rPr>
        <w:t xml:space="preserve">The majority of the trials had compared meal time </w:t>
      </w:r>
      <w:r w:rsidR="00195936">
        <w:rPr>
          <w:color w:val="000000" w:themeColor="text1"/>
        </w:rPr>
        <w:t>Fiasp</w:t>
      </w:r>
      <w:r w:rsidR="005D2ECA">
        <w:rPr>
          <w:color w:val="000000" w:themeColor="text1"/>
        </w:rPr>
        <w:t xml:space="preserve"> to meal time NovoRapid</w:t>
      </w:r>
      <w:r w:rsidR="005273AB" w:rsidRPr="003A38F7">
        <w:rPr>
          <w:color w:val="000000" w:themeColor="text1"/>
        </w:rPr>
        <w:t xml:space="preserve">, with the exception of the onset 1 trial, which also included an open label treatment arm administering </w:t>
      </w:r>
      <w:r w:rsidR="00195936">
        <w:rPr>
          <w:color w:val="000000" w:themeColor="text1"/>
        </w:rPr>
        <w:t>Fiasp</w:t>
      </w:r>
      <w:r w:rsidR="005273AB" w:rsidRPr="003A38F7">
        <w:rPr>
          <w:color w:val="000000" w:themeColor="text1"/>
        </w:rPr>
        <w:t xml:space="preserve"> at 20 minutes after the start of the meal.</w:t>
      </w:r>
    </w:p>
    <w:p w:rsidR="00813028" w:rsidRPr="00C54AAF" w:rsidRDefault="00813028" w:rsidP="002F637F">
      <w:pPr>
        <w:pStyle w:val="ListParagraph"/>
        <w:widowControl/>
        <w:numPr>
          <w:ilvl w:val="1"/>
          <w:numId w:val="3"/>
        </w:numPr>
        <w:rPr>
          <w:color w:val="000000" w:themeColor="text1"/>
        </w:rPr>
      </w:pPr>
      <w:r w:rsidRPr="00C54AAF">
        <w:rPr>
          <w:color w:val="000000" w:themeColor="text1"/>
        </w:rPr>
        <w:t>The ESC noted the trial evidence provided with the submission and agreed that the data were broadly applicable to the Australian setting.</w:t>
      </w:r>
    </w:p>
    <w:p w:rsidR="00B60939" w:rsidRPr="00E35188" w:rsidRDefault="00B60939" w:rsidP="002F637F">
      <w:pPr>
        <w:pStyle w:val="Heading2"/>
        <w:widowControl/>
      </w:pPr>
      <w:bookmarkStart w:id="12" w:name="_Toc521797532"/>
      <w:r w:rsidRPr="00E35188">
        <w:t>Comparative effectiveness</w:t>
      </w:r>
      <w:bookmarkEnd w:id="12"/>
    </w:p>
    <w:p w:rsidR="00DA3167" w:rsidRPr="00E9538B" w:rsidRDefault="00E9538B" w:rsidP="002F637F">
      <w:pPr>
        <w:pStyle w:val="ListParagraph"/>
        <w:widowControl/>
        <w:numPr>
          <w:ilvl w:val="1"/>
          <w:numId w:val="3"/>
        </w:numPr>
        <w:rPr>
          <w:color w:val="000000" w:themeColor="text1"/>
        </w:rPr>
      </w:pPr>
      <w:r>
        <w:rPr>
          <w:rFonts w:cs="Calibri"/>
          <w:snapToGrid/>
          <w:color w:val="000000" w:themeColor="text1"/>
          <w:szCs w:val="24"/>
          <w:lang w:eastAsia="en-AU"/>
        </w:rPr>
        <w:t>Table 4 summarises the main outcomes from the included trials.</w:t>
      </w:r>
      <w:r w:rsidR="00713357">
        <w:rPr>
          <w:rFonts w:cs="Calibri"/>
          <w:snapToGrid/>
          <w:color w:val="000000" w:themeColor="text1"/>
          <w:szCs w:val="24"/>
          <w:lang w:eastAsia="en-AU"/>
        </w:rPr>
        <w:t xml:space="preserve"> </w:t>
      </w:r>
    </w:p>
    <w:p w:rsidR="009C090F" w:rsidRPr="00A0199C" w:rsidRDefault="009C090F" w:rsidP="002F637F">
      <w:pPr>
        <w:keepNext/>
        <w:widowControl/>
        <w:jc w:val="left"/>
        <w:rPr>
          <w:rFonts w:ascii="Arial Narrow" w:hAnsi="Arial Narrow"/>
          <w:b/>
          <w:bCs/>
          <w:sz w:val="20"/>
          <w:szCs w:val="20"/>
        </w:rPr>
      </w:pPr>
      <w:r w:rsidRPr="00A0199C">
        <w:rPr>
          <w:rFonts w:ascii="Arial Narrow" w:hAnsi="Arial Narrow"/>
          <w:b/>
          <w:bCs/>
          <w:sz w:val="20"/>
          <w:szCs w:val="20"/>
        </w:rPr>
        <w:lastRenderedPageBreak/>
        <w:t>Table</w:t>
      </w:r>
      <w:r w:rsidR="00E9538B" w:rsidRPr="00A0199C">
        <w:rPr>
          <w:rFonts w:ascii="Arial Narrow" w:hAnsi="Arial Narrow"/>
          <w:b/>
          <w:bCs/>
          <w:sz w:val="20"/>
          <w:szCs w:val="20"/>
        </w:rPr>
        <w:t xml:space="preserve"> 4:</w:t>
      </w:r>
      <w:r w:rsidRPr="00A0199C">
        <w:rPr>
          <w:rFonts w:ascii="Arial Narrow" w:hAnsi="Arial Narrow"/>
          <w:b/>
          <w:bCs/>
          <w:sz w:val="20"/>
          <w:szCs w:val="20"/>
        </w:rPr>
        <w:t xml:space="preserve"> </w:t>
      </w:r>
      <w:r w:rsidR="00E9538B" w:rsidRPr="00A0199C">
        <w:rPr>
          <w:rFonts w:ascii="Arial Narrow" w:hAnsi="Arial Narrow"/>
          <w:b/>
          <w:bCs/>
          <w:sz w:val="20"/>
          <w:szCs w:val="20"/>
        </w:rPr>
        <w:t>S</w:t>
      </w:r>
      <w:r w:rsidRPr="00A0199C">
        <w:rPr>
          <w:rFonts w:ascii="Arial Narrow" w:hAnsi="Arial Narrow"/>
          <w:b/>
          <w:bCs/>
          <w:sz w:val="20"/>
          <w:szCs w:val="20"/>
        </w:rPr>
        <w:t xml:space="preserve">ummary of main outcomes in the trials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276"/>
        <w:gridCol w:w="992"/>
        <w:gridCol w:w="1041"/>
        <w:gridCol w:w="1054"/>
        <w:gridCol w:w="1023"/>
        <w:gridCol w:w="992"/>
        <w:gridCol w:w="992"/>
        <w:gridCol w:w="1134"/>
      </w:tblGrid>
      <w:tr w:rsidR="00554329" w:rsidRPr="00E94CE0" w:rsidTr="00AA010F">
        <w:trPr>
          <w:trHeight w:val="375"/>
          <w:tblHeader/>
        </w:trPr>
        <w:tc>
          <w:tcPr>
            <w:tcW w:w="705" w:type="dxa"/>
            <w:vMerge w:val="restart"/>
            <w:shd w:val="clear" w:color="auto" w:fill="auto"/>
            <w:vAlign w:val="center"/>
          </w:tcPr>
          <w:p w:rsidR="00554329" w:rsidRPr="00E94CE0"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Trial ID</w:t>
            </w:r>
          </w:p>
        </w:tc>
        <w:tc>
          <w:tcPr>
            <w:tcW w:w="1276" w:type="dxa"/>
            <w:vMerge w:val="restart"/>
            <w:vAlign w:val="center"/>
          </w:tcPr>
          <w:p w:rsidR="00554329" w:rsidRPr="00E94CE0" w:rsidRDefault="00554329" w:rsidP="002F637F">
            <w:pPr>
              <w:keepNext/>
              <w:widowControl/>
              <w:jc w:val="left"/>
              <w:rPr>
                <w:rFonts w:ascii="Arial Narrow" w:hAnsi="Arial Narrow"/>
                <w:b/>
                <w:bCs/>
                <w:sz w:val="18"/>
                <w:szCs w:val="20"/>
              </w:rPr>
            </w:pPr>
            <w:r w:rsidRPr="00E94CE0">
              <w:rPr>
                <w:rFonts w:ascii="Arial Narrow" w:hAnsi="Arial Narrow"/>
                <w:b/>
                <w:bCs/>
                <w:sz w:val="18"/>
                <w:szCs w:val="20"/>
              </w:rPr>
              <w:t>Comparison</w:t>
            </w:r>
          </w:p>
        </w:tc>
        <w:tc>
          <w:tcPr>
            <w:tcW w:w="992" w:type="dxa"/>
            <w:vMerge w:val="restart"/>
            <w:shd w:val="clear" w:color="auto" w:fill="auto"/>
            <w:vAlign w:val="center"/>
          </w:tcPr>
          <w:p w:rsidR="00554329" w:rsidRPr="00723B83" w:rsidRDefault="00554329" w:rsidP="002F637F">
            <w:pPr>
              <w:keepNext/>
              <w:widowControl/>
              <w:jc w:val="center"/>
              <w:rPr>
                <w:rFonts w:ascii="Arial Narrow" w:hAnsi="Arial Narrow"/>
                <w:b/>
                <w:bCs/>
                <w:sz w:val="18"/>
                <w:szCs w:val="20"/>
                <w:lang w:val="it-IT"/>
              </w:rPr>
            </w:pPr>
            <w:r w:rsidRPr="00723B83">
              <w:rPr>
                <w:rFonts w:ascii="Arial Narrow" w:hAnsi="Arial Narrow"/>
                <w:b/>
                <w:bCs/>
                <w:sz w:val="18"/>
                <w:szCs w:val="20"/>
                <w:lang w:val="it-IT"/>
              </w:rPr>
              <w:t>Diff in</w:t>
            </w:r>
          </w:p>
          <w:p w:rsidR="00554329" w:rsidRPr="00723B83" w:rsidRDefault="00554329" w:rsidP="002F637F">
            <w:pPr>
              <w:keepNext/>
              <w:widowControl/>
              <w:jc w:val="center"/>
              <w:rPr>
                <w:rFonts w:ascii="Arial Narrow" w:hAnsi="Arial Narrow"/>
                <w:b/>
                <w:bCs/>
                <w:sz w:val="18"/>
                <w:szCs w:val="20"/>
                <w:lang w:val="it-IT"/>
              </w:rPr>
            </w:pPr>
            <w:r w:rsidRPr="00723B83">
              <w:rPr>
                <w:rFonts w:ascii="Arial Narrow" w:hAnsi="Arial Narrow"/>
                <w:b/>
                <w:bCs/>
                <w:sz w:val="18"/>
                <w:szCs w:val="20"/>
                <w:lang w:val="it-IT"/>
              </w:rPr>
              <w:t>∆HbA1c</w:t>
            </w:r>
          </w:p>
          <w:p w:rsidR="00554329" w:rsidRPr="00723B83" w:rsidRDefault="00554329" w:rsidP="002F637F">
            <w:pPr>
              <w:keepNext/>
              <w:widowControl/>
              <w:jc w:val="center"/>
              <w:rPr>
                <w:rFonts w:ascii="Arial Narrow" w:hAnsi="Arial Narrow"/>
                <w:b/>
                <w:bCs/>
                <w:sz w:val="18"/>
                <w:szCs w:val="20"/>
                <w:lang w:val="it-IT"/>
              </w:rPr>
            </w:pPr>
            <w:r w:rsidRPr="00723B83">
              <w:rPr>
                <w:rFonts w:ascii="Arial Narrow" w:hAnsi="Arial Narrow"/>
                <w:b/>
                <w:bCs/>
                <w:sz w:val="18"/>
                <w:szCs w:val="20"/>
                <w:lang w:val="it-IT"/>
              </w:rPr>
              <w:t>(%, 95% CI)</w:t>
            </w:r>
            <w:r w:rsidRPr="00723B83">
              <w:rPr>
                <w:rFonts w:ascii="Arial Narrow" w:hAnsi="Arial Narrow"/>
                <w:b/>
                <w:bCs/>
                <w:sz w:val="18"/>
                <w:szCs w:val="20"/>
                <w:vertAlign w:val="superscript"/>
                <w:lang w:val="it-IT"/>
              </w:rPr>
              <w:t>a</w:t>
            </w:r>
          </w:p>
        </w:tc>
        <w:tc>
          <w:tcPr>
            <w:tcW w:w="0" w:type="auto"/>
            <w:gridSpan w:val="2"/>
            <w:shd w:val="clear" w:color="auto" w:fill="auto"/>
            <w:vAlign w:val="center"/>
          </w:tcPr>
          <w:p w:rsidR="00554329" w:rsidRPr="00723B83" w:rsidRDefault="00554329" w:rsidP="002F637F">
            <w:pPr>
              <w:keepNext/>
              <w:widowControl/>
              <w:jc w:val="center"/>
              <w:rPr>
                <w:rFonts w:ascii="Arial Narrow" w:hAnsi="Arial Narrow"/>
                <w:b/>
                <w:bCs/>
                <w:sz w:val="18"/>
                <w:szCs w:val="20"/>
              </w:rPr>
            </w:pPr>
            <w:r w:rsidRPr="00723B83">
              <w:rPr>
                <w:rFonts w:ascii="Arial Narrow" w:hAnsi="Arial Narrow"/>
                <w:b/>
                <w:bCs/>
                <w:sz w:val="18"/>
                <w:szCs w:val="20"/>
              </w:rPr>
              <w:t>Diff in % patient attaining</w:t>
            </w:r>
          </w:p>
          <w:p w:rsidR="00554329" w:rsidRPr="00723B83" w:rsidRDefault="00554329" w:rsidP="002F637F">
            <w:pPr>
              <w:keepNext/>
              <w:widowControl/>
              <w:jc w:val="center"/>
              <w:rPr>
                <w:rFonts w:ascii="Arial Narrow" w:hAnsi="Arial Narrow"/>
                <w:b/>
                <w:bCs/>
                <w:sz w:val="18"/>
                <w:szCs w:val="20"/>
              </w:rPr>
            </w:pPr>
            <w:r w:rsidRPr="00723B83">
              <w:rPr>
                <w:rFonts w:ascii="Arial Narrow" w:hAnsi="Arial Narrow"/>
                <w:b/>
                <w:bCs/>
                <w:sz w:val="18"/>
                <w:szCs w:val="20"/>
              </w:rPr>
              <w:t>RD (95% CI)</w:t>
            </w:r>
            <w:r w:rsidRPr="00723B83">
              <w:rPr>
                <w:rFonts w:ascii="Arial Narrow" w:hAnsi="Arial Narrow"/>
                <w:b/>
                <w:bCs/>
                <w:sz w:val="18"/>
                <w:szCs w:val="20"/>
                <w:vertAlign w:val="superscript"/>
              </w:rPr>
              <w:t>a</w:t>
            </w:r>
          </w:p>
        </w:tc>
        <w:tc>
          <w:tcPr>
            <w:tcW w:w="2015" w:type="dxa"/>
            <w:gridSpan w:val="2"/>
            <w:shd w:val="clear" w:color="auto" w:fill="auto"/>
            <w:vAlign w:val="center"/>
          </w:tcPr>
          <w:p w:rsidR="00554329" w:rsidRPr="00E94CE0"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w:t>
            </w:r>
            <w:r>
              <w:rPr>
                <w:rFonts w:ascii="Arial Narrow" w:hAnsi="Arial Narrow"/>
                <w:b/>
                <w:bCs/>
                <w:sz w:val="18"/>
                <w:szCs w:val="20"/>
              </w:rPr>
              <w:t xml:space="preserve"> </w:t>
            </w:r>
            <w:r w:rsidRPr="00E94CE0">
              <w:rPr>
                <w:rFonts w:ascii="Arial Narrow" w:hAnsi="Arial Narrow"/>
                <w:b/>
                <w:bCs/>
                <w:sz w:val="18"/>
                <w:szCs w:val="20"/>
              </w:rPr>
              <w:t>PPG increment (mmol/L)</w:t>
            </w:r>
          </w:p>
          <w:p w:rsidR="00554329" w:rsidRPr="00E94CE0"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 95% CI)</w:t>
            </w:r>
            <w:r w:rsidRPr="00E94CE0">
              <w:rPr>
                <w:rFonts w:ascii="Arial Narrow" w:hAnsi="Arial Narrow"/>
                <w:b/>
                <w:bCs/>
                <w:sz w:val="18"/>
                <w:szCs w:val="20"/>
                <w:vertAlign w:val="superscript"/>
              </w:rPr>
              <w:t>a</w:t>
            </w:r>
          </w:p>
        </w:tc>
        <w:tc>
          <w:tcPr>
            <w:tcW w:w="992" w:type="dxa"/>
            <w:vMerge w:val="restart"/>
            <w:shd w:val="clear" w:color="auto" w:fill="auto"/>
            <w:vAlign w:val="center"/>
          </w:tcPr>
          <w:p w:rsidR="00554329" w:rsidRPr="00E94CE0"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 body weight (kg)</w:t>
            </w:r>
          </w:p>
          <w:p w:rsidR="00554329" w:rsidRPr="00E94CE0"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 95% CI)</w:t>
            </w:r>
            <w:r w:rsidRPr="00E94CE0">
              <w:rPr>
                <w:rFonts w:ascii="Arial Narrow" w:hAnsi="Arial Narrow"/>
                <w:b/>
                <w:bCs/>
                <w:sz w:val="18"/>
                <w:szCs w:val="20"/>
                <w:vertAlign w:val="superscript"/>
              </w:rPr>
              <w:t>a</w:t>
            </w:r>
          </w:p>
        </w:tc>
        <w:tc>
          <w:tcPr>
            <w:tcW w:w="1134" w:type="dxa"/>
            <w:vMerge w:val="restart"/>
            <w:shd w:val="clear" w:color="auto" w:fill="auto"/>
            <w:vAlign w:val="center"/>
          </w:tcPr>
          <w:p w:rsidR="00554329" w:rsidRPr="00E94CE0" w:rsidRDefault="00554329" w:rsidP="002F637F">
            <w:pPr>
              <w:keepNext/>
              <w:widowControl/>
              <w:jc w:val="center"/>
              <w:rPr>
                <w:rFonts w:ascii="Arial Narrow" w:hAnsi="Arial Narrow"/>
                <w:b/>
                <w:bCs/>
                <w:sz w:val="18"/>
                <w:szCs w:val="20"/>
                <w:vertAlign w:val="superscript"/>
              </w:rPr>
            </w:pPr>
            <w:r>
              <w:rPr>
                <w:rFonts w:ascii="Arial Narrow" w:hAnsi="Arial Narrow"/>
                <w:b/>
                <w:bCs/>
                <w:sz w:val="18"/>
                <w:szCs w:val="20"/>
              </w:rPr>
              <w:t>D</w:t>
            </w:r>
            <w:r w:rsidRPr="00E94CE0">
              <w:rPr>
                <w:rFonts w:ascii="Arial Narrow" w:hAnsi="Arial Narrow"/>
                <w:b/>
                <w:bCs/>
                <w:sz w:val="18"/>
                <w:szCs w:val="20"/>
              </w:rPr>
              <w:t>iff in hypoglycaemic event</w:t>
            </w:r>
            <w:r>
              <w:rPr>
                <w:rFonts w:ascii="Arial Narrow" w:hAnsi="Arial Narrow"/>
                <w:b/>
                <w:bCs/>
                <w:sz w:val="18"/>
                <w:szCs w:val="20"/>
              </w:rPr>
              <w:t>s</w:t>
            </w:r>
            <w:r>
              <w:rPr>
                <w:rFonts w:ascii="Arial Narrow" w:hAnsi="Arial Narrow"/>
                <w:b/>
                <w:bCs/>
                <w:sz w:val="18"/>
                <w:szCs w:val="20"/>
                <w:vertAlign w:val="superscript"/>
              </w:rPr>
              <w:t>d</w:t>
            </w:r>
          </w:p>
          <w:p w:rsidR="00554329"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rate ratio</w:t>
            </w:r>
          </w:p>
          <w:p w:rsidR="00554329" w:rsidRPr="00E94CE0"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(95% CI)</w:t>
            </w:r>
            <w:r w:rsidRPr="00E94CE0">
              <w:rPr>
                <w:rFonts w:ascii="Arial Narrow" w:hAnsi="Arial Narrow"/>
                <w:b/>
                <w:bCs/>
                <w:sz w:val="18"/>
                <w:szCs w:val="20"/>
                <w:vertAlign w:val="superscript"/>
              </w:rPr>
              <w:t>c</w:t>
            </w:r>
          </w:p>
        </w:tc>
      </w:tr>
      <w:tr w:rsidR="00554329" w:rsidRPr="00E94CE0" w:rsidTr="00AA010F">
        <w:trPr>
          <w:trHeight w:val="50"/>
          <w:tblHeader/>
        </w:trPr>
        <w:tc>
          <w:tcPr>
            <w:tcW w:w="705" w:type="dxa"/>
            <w:vMerge/>
            <w:shd w:val="clear" w:color="auto" w:fill="auto"/>
            <w:vAlign w:val="center"/>
          </w:tcPr>
          <w:p w:rsidR="00554329" w:rsidRPr="00E94CE0" w:rsidRDefault="00554329" w:rsidP="002F637F">
            <w:pPr>
              <w:keepNext/>
              <w:widowControl/>
              <w:jc w:val="center"/>
              <w:rPr>
                <w:rFonts w:ascii="Arial Narrow" w:hAnsi="Arial Narrow"/>
                <w:b/>
                <w:bCs/>
                <w:sz w:val="18"/>
                <w:szCs w:val="20"/>
              </w:rPr>
            </w:pPr>
          </w:p>
        </w:tc>
        <w:tc>
          <w:tcPr>
            <w:tcW w:w="1276" w:type="dxa"/>
            <w:vMerge/>
            <w:vAlign w:val="center"/>
          </w:tcPr>
          <w:p w:rsidR="00554329" w:rsidRPr="00E94CE0" w:rsidRDefault="00554329" w:rsidP="002F637F">
            <w:pPr>
              <w:keepNext/>
              <w:widowControl/>
              <w:jc w:val="left"/>
              <w:rPr>
                <w:rFonts w:ascii="Arial Narrow" w:hAnsi="Arial Narrow"/>
                <w:b/>
                <w:bCs/>
                <w:sz w:val="18"/>
                <w:szCs w:val="20"/>
              </w:rPr>
            </w:pPr>
          </w:p>
        </w:tc>
        <w:tc>
          <w:tcPr>
            <w:tcW w:w="992" w:type="dxa"/>
            <w:vMerge/>
            <w:shd w:val="clear" w:color="auto" w:fill="auto"/>
            <w:vAlign w:val="center"/>
          </w:tcPr>
          <w:p w:rsidR="00554329" w:rsidRPr="00E94CE0" w:rsidRDefault="00554329" w:rsidP="002F637F">
            <w:pPr>
              <w:keepNext/>
              <w:widowControl/>
              <w:jc w:val="center"/>
              <w:rPr>
                <w:rFonts w:ascii="Arial Narrow" w:hAnsi="Arial Narrow"/>
                <w:b/>
                <w:bCs/>
                <w:sz w:val="18"/>
                <w:szCs w:val="20"/>
              </w:rPr>
            </w:pPr>
          </w:p>
        </w:tc>
        <w:tc>
          <w:tcPr>
            <w:tcW w:w="0" w:type="auto"/>
            <w:shd w:val="clear" w:color="auto" w:fill="auto"/>
            <w:vAlign w:val="center"/>
          </w:tcPr>
          <w:p w:rsidR="00554329" w:rsidRPr="00E94CE0" w:rsidRDefault="00554329" w:rsidP="002F637F">
            <w:pPr>
              <w:keepNext/>
              <w:widowControl/>
              <w:jc w:val="center"/>
              <w:rPr>
                <w:rFonts w:ascii="Arial Narrow" w:hAnsi="Arial Narrow"/>
                <w:b/>
                <w:bCs/>
                <w:sz w:val="18"/>
                <w:szCs w:val="20"/>
                <w:lang w:val="it-IT"/>
              </w:rPr>
            </w:pPr>
            <w:r>
              <w:rPr>
                <w:rFonts w:ascii="Arial Narrow" w:hAnsi="Arial Narrow"/>
                <w:b/>
                <w:bCs/>
                <w:sz w:val="18"/>
                <w:szCs w:val="20"/>
                <w:lang w:val="it-IT"/>
              </w:rPr>
              <w:t>HbA1c &lt;7.0%</w:t>
            </w:r>
          </w:p>
        </w:tc>
        <w:tc>
          <w:tcPr>
            <w:tcW w:w="0" w:type="auto"/>
            <w:shd w:val="clear" w:color="auto" w:fill="auto"/>
            <w:vAlign w:val="center"/>
          </w:tcPr>
          <w:p w:rsidR="00554329" w:rsidRPr="00E94CE0" w:rsidRDefault="00554329" w:rsidP="002F637F">
            <w:pPr>
              <w:keepNext/>
              <w:widowControl/>
              <w:jc w:val="center"/>
              <w:rPr>
                <w:rFonts w:ascii="Arial Narrow" w:hAnsi="Arial Narrow"/>
                <w:b/>
                <w:bCs/>
                <w:sz w:val="18"/>
                <w:szCs w:val="20"/>
                <w:lang w:val="it-IT"/>
              </w:rPr>
            </w:pPr>
            <w:r>
              <w:rPr>
                <w:rFonts w:ascii="Arial Narrow" w:hAnsi="Arial Narrow"/>
                <w:b/>
                <w:bCs/>
                <w:sz w:val="18"/>
                <w:szCs w:val="20"/>
                <w:lang w:val="it-IT"/>
              </w:rPr>
              <w:t>HbA1c ≤6.5%</w:t>
            </w:r>
          </w:p>
        </w:tc>
        <w:tc>
          <w:tcPr>
            <w:tcW w:w="1023" w:type="dxa"/>
            <w:shd w:val="clear" w:color="auto" w:fill="auto"/>
            <w:vAlign w:val="center"/>
          </w:tcPr>
          <w:p w:rsidR="00554329" w:rsidRPr="00E94CE0"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1h</w:t>
            </w:r>
            <w:r>
              <w:rPr>
                <w:rFonts w:ascii="Arial Narrow" w:hAnsi="Arial Narrow"/>
                <w:b/>
                <w:bCs/>
                <w:sz w:val="18"/>
                <w:szCs w:val="20"/>
              </w:rPr>
              <w:t xml:space="preserve"> post meal</w:t>
            </w:r>
          </w:p>
        </w:tc>
        <w:tc>
          <w:tcPr>
            <w:tcW w:w="992" w:type="dxa"/>
            <w:vAlign w:val="center"/>
          </w:tcPr>
          <w:p w:rsidR="00554329" w:rsidRPr="00E94CE0" w:rsidRDefault="00554329" w:rsidP="002F637F">
            <w:pPr>
              <w:keepNext/>
              <w:widowControl/>
              <w:jc w:val="center"/>
              <w:rPr>
                <w:rFonts w:ascii="Arial Narrow" w:hAnsi="Arial Narrow"/>
                <w:b/>
                <w:bCs/>
                <w:sz w:val="18"/>
                <w:szCs w:val="20"/>
              </w:rPr>
            </w:pPr>
            <w:r w:rsidRPr="00E94CE0">
              <w:rPr>
                <w:rFonts w:ascii="Arial Narrow" w:hAnsi="Arial Narrow"/>
                <w:b/>
                <w:bCs/>
                <w:sz w:val="18"/>
                <w:szCs w:val="20"/>
              </w:rPr>
              <w:t>2h</w:t>
            </w:r>
            <w:r>
              <w:rPr>
                <w:rFonts w:ascii="Arial Narrow" w:hAnsi="Arial Narrow"/>
                <w:b/>
                <w:bCs/>
                <w:sz w:val="18"/>
                <w:szCs w:val="20"/>
              </w:rPr>
              <w:t xml:space="preserve"> post meal</w:t>
            </w:r>
          </w:p>
        </w:tc>
        <w:tc>
          <w:tcPr>
            <w:tcW w:w="992" w:type="dxa"/>
            <w:vMerge/>
            <w:shd w:val="clear" w:color="auto" w:fill="auto"/>
            <w:vAlign w:val="center"/>
          </w:tcPr>
          <w:p w:rsidR="00554329" w:rsidRPr="00E94CE0" w:rsidRDefault="00554329" w:rsidP="002F637F">
            <w:pPr>
              <w:keepNext/>
              <w:widowControl/>
              <w:jc w:val="center"/>
              <w:rPr>
                <w:rFonts w:ascii="Arial Narrow" w:hAnsi="Arial Narrow"/>
                <w:b/>
                <w:bCs/>
                <w:sz w:val="18"/>
                <w:szCs w:val="20"/>
              </w:rPr>
            </w:pPr>
          </w:p>
        </w:tc>
        <w:tc>
          <w:tcPr>
            <w:tcW w:w="1134" w:type="dxa"/>
            <w:vMerge/>
            <w:shd w:val="clear" w:color="auto" w:fill="auto"/>
            <w:vAlign w:val="center"/>
          </w:tcPr>
          <w:p w:rsidR="00554329" w:rsidRPr="00E94CE0" w:rsidRDefault="00554329" w:rsidP="002F637F">
            <w:pPr>
              <w:keepNext/>
              <w:widowControl/>
              <w:jc w:val="center"/>
              <w:rPr>
                <w:rFonts w:ascii="Arial Narrow" w:hAnsi="Arial Narrow"/>
                <w:b/>
                <w:bCs/>
                <w:sz w:val="18"/>
                <w:szCs w:val="20"/>
              </w:rPr>
            </w:pPr>
          </w:p>
        </w:tc>
      </w:tr>
      <w:tr w:rsidR="00554329" w:rsidRPr="00E94CE0" w:rsidTr="00554329">
        <w:tc>
          <w:tcPr>
            <w:tcW w:w="705" w:type="dxa"/>
            <w:vMerge w:val="restart"/>
            <w:shd w:val="clear" w:color="auto" w:fill="auto"/>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onset 1</w:t>
            </w:r>
          </w:p>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(26 wks)</w:t>
            </w:r>
          </w:p>
        </w:tc>
        <w:tc>
          <w:tcPr>
            <w:tcW w:w="1276" w:type="dxa"/>
            <w:vAlign w:val="center"/>
          </w:tcPr>
          <w:p w:rsidR="00236759" w:rsidRPr="00E94CE0" w:rsidRDefault="00195936" w:rsidP="002F637F">
            <w:pPr>
              <w:keepNext/>
              <w:widowControl/>
              <w:jc w:val="left"/>
              <w:rPr>
                <w:rFonts w:ascii="Arial Narrow" w:hAnsi="Arial Narrow"/>
                <w:sz w:val="18"/>
                <w:szCs w:val="20"/>
              </w:rPr>
            </w:pPr>
            <w:r>
              <w:rPr>
                <w:rFonts w:ascii="Arial Narrow" w:hAnsi="Arial Narrow"/>
                <w:sz w:val="18"/>
                <w:szCs w:val="20"/>
              </w:rPr>
              <w:t>Fiasp</w:t>
            </w:r>
            <w:r w:rsidR="00236759" w:rsidRPr="00E94CE0">
              <w:rPr>
                <w:rFonts w:ascii="Arial Narrow" w:hAnsi="Arial Narrow"/>
                <w:sz w:val="18"/>
                <w:szCs w:val="20"/>
              </w:rPr>
              <w:t xml:space="preserve"> meal vs NovoRapid®</w:t>
            </w:r>
          </w:p>
        </w:tc>
        <w:tc>
          <w:tcPr>
            <w:tcW w:w="992" w:type="dxa"/>
            <w:shd w:val="clear" w:color="auto" w:fill="auto"/>
            <w:vAlign w:val="center"/>
          </w:tcPr>
          <w:p w:rsidR="00236759" w:rsidRPr="00E94CE0" w:rsidRDefault="00236759" w:rsidP="002F637F">
            <w:pPr>
              <w:keepNext/>
              <w:widowControl/>
              <w:jc w:val="center"/>
              <w:rPr>
                <w:rFonts w:ascii="Arial Narrow" w:hAnsi="Arial Narrow"/>
                <w:b/>
                <w:bCs/>
                <w:sz w:val="18"/>
                <w:szCs w:val="20"/>
              </w:rPr>
            </w:pPr>
            <w:r w:rsidRPr="00E94CE0">
              <w:rPr>
                <w:rFonts w:ascii="Arial Narrow" w:hAnsi="Arial Narrow"/>
                <w:b/>
                <w:bCs/>
                <w:sz w:val="18"/>
                <w:szCs w:val="20"/>
              </w:rPr>
              <w:t>-0.15</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b/>
                <w:bCs/>
                <w:sz w:val="18"/>
                <w:szCs w:val="20"/>
              </w:rPr>
              <w:t xml:space="preserve">(-0.23; </w:t>
            </w:r>
            <w:r w:rsidRPr="00E94CE0">
              <w:rPr>
                <w:rFonts w:ascii="Arial Narrow" w:hAnsi="Arial Narrow"/>
                <w:b/>
                <w:bCs/>
                <w:sz w:val="18"/>
                <w:szCs w:val="20"/>
              </w:rPr>
              <w:noBreakHyphen/>
              <w:t>0.07)</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0.05</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(-0.01, 0.12)</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w:t>
            </w:r>
            <w:r w:rsidR="00F74A32">
              <w:rPr>
                <w:rFonts w:ascii="Arial Narrow" w:hAnsi="Arial Narrow"/>
                <w:sz w:val="18"/>
              </w:rPr>
              <w:t>.02</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(-0.03, 0.07)</w:t>
            </w:r>
          </w:p>
        </w:tc>
        <w:tc>
          <w:tcPr>
            <w:tcW w:w="1023" w:type="dxa"/>
            <w:shd w:val="clear" w:color="auto" w:fill="auto"/>
            <w:vAlign w:val="center"/>
          </w:tcPr>
          <w:p w:rsidR="00F74A32" w:rsidRDefault="00236759" w:rsidP="002F637F">
            <w:pPr>
              <w:keepNext/>
              <w:widowControl/>
              <w:jc w:val="center"/>
              <w:rPr>
                <w:rFonts w:ascii="Arial Narrow" w:hAnsi="Arial Narrow"/>
                <w:b/>
                <w:bCs/>
                <w:sz w:val="18"/>
                <w:szCs w:val="18"/>
              </w:rPr>
            </w:pPr>
            <w:r w:rsidRPr="00E94CE0">
              <w:rPr>
                <w:rFonts w:ascii="Arial Narrow" w:hAnsi="Arial Narrow"/>
                <w:b/>
                <w:bCs/>
                <w:sz w:val="18"/>
                <w:szCs w:val="18"/>
              </w:rPr>
              <w:t>-1.18</w:t>
            </w:r>
          </w:p>
          <w:p w:rsidR="00236759" w:rsidRPr="00E94CE0" w:rsidRDefault="00236759" w:rsidP="002F637F">
            <w:pPr>
              <w:keepNext/>
              <w:widowControl/>
              <w:jc w:val="center"/>
              <w:rPr>
                <w:rFonts w:ascii="Arial Narrow" w:hAnsi="Arial Narrow"/>
                <w:b/>
                <w:bCs/>
                <w:sz w:val="18"/>
                <w:szCs w:val="20"/>
              </w:rPr>
            </w:pPr>
            <w:r w:rsidRPr="00E94CE0">
              <w:rPr>
                <w:rFonts w:ascii="Arial Narrow" w:hAnsi="Arial Narrow"/>
                <w:b/>
                <w:bCs/>
                <w:sz w:val="18"/>
                <w:szCs w:val="18"/>
              </w:rPr>
              <w:t>(-1.65, -0.71)</w:t>
            </w:r>
          </w:p>
        </w:tc>
        <w:tc>
          <w:tcPr>
            <w:tcW w:w="992" w:type="dxa"/>
            <w:vAlign w:val="center"/>
          </w:tcPr>
          <w:p w:rsidR="00F74A32" w:rsidRDefault="00236759" w:rsidP="002F637F">
            <w:pPr>
              <w:keepNext/>
              <w:widowControl/>
              <w:jc w:val="center"/>
              <w:rPr>
                <w:rFonts w:ascii="Arial Narrow" w:eastAsia="SimSun" w:hAnsi="Arial Narrow"/>
                <w:b/>
                <w:bCs/>
                <w:sz w:val="18"/>
                <w:szCs w:val="18"/>
              </w:rPr>
            </w:pPr>
            <w:r w:rsidRPr="00E94CE0">
              <w:rPr>
                <w:rFonts w:ascii="Arial Narrow" w:eastAsia="SimSun" w:hAnsi="Arial Narrow"/>
                <w:b/>
                <w:bCs/>
                <w:sz w:val="18"/>
                <w:szCs w:val="18"/>
              </w:rPr>
              <w:t>-0.67</w:t>
            </w:r>
          </w:p>
          <w:p w:rsidR="00236759" w:rsidRPr="00E94CE0" w:rsidRDefault="00F74A32" w:rsidP="002F637F">
            <w:pPr>
              <w:keepNext/>
              <w:widowControl/>
              <w:jc w:val="center"/>
              <w:rPr>
                <w:rFonts w:ascii="Arial Narrow" w:hAnsi="Arial Narrow"/>
                <w:sz w:val="18"/>
                <w:szCs w:val="20"/>
              </w:rPr>
            </w:pPr>
            <w:r>
              <w:rPr>
                <w:rFonts w:ascii="Arial Narrow" w:eastAsia="SimSun" w:hAnsi="Arial Narrow"/>
                <w:b/>
                <w:bCs/>
                <w:sz w:val="18"/>
                <w:szCs w:val="18"/>
              </w:rPr>
              <w:t xml:space="preserve">(-1.29, </w:t>
            </w:r>
            <w:r w:rsidR="00236759" w:rsidRPr="00E94CE0">
              <w:rPr>
                <w:rFonts w:ascii="Arial Narrow" w:eastAsia="SimSun" w:hAnsi="Arial Narrow"/>
                <w:b/>
                <w:bCs/>
                <w:sz w:val="18"/>
                <w:szCs w:val="18"/>
              </w:rPr>
              <w:noBreakHyphen/>
              <w:t>0.04)</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0.12</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(-0.30</w:t>
            </w:r>
            <w:r w:rsidR="00F74A32">
              <w:rPr>
                <w:rFonts w:ascii="Arial Narrow" w:hAnsi="Arial Narrow"/>
                <w:sz w:val="18"/>
                <w:szCs w:val="20"/>
              </w:rPr>
              <w:t>,</w:t>
            </w:r>
            <w:r w:rsidRPr="00E94CE0">
              <w:rPr>
                <w:rFonts w:ascii="Arial Narrow" w:hAnsi="Arial Narrow"/>
                <w:sz w:val="18"/>
                <w:szCs w:val="20"/>
              </w:rPr>
              <w:t xml:space="preserve"> 0.55)</w:t>
            </w:r>
          </w:p>
        </w:tc>
        <w:tc>
          <w:tcPr>
            <w:tcW w:w="1134"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1.01</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(0.88</w:t>
            </w:r>
            <w:r w:rsidR="00F74A32">
              <w:rPr>
                <w:rFonts w:ascii="Arial Narrow" w:hAnsi="Arial Narrow"/>
                <w:sz w:val="18"/>
                <w:szCs w:val="20"/>
              </w:rPr>
              <w:t>,</w:t>
            </w:r>
            <w:r w:rsidRPr="00E94CE0">
              <w:rPr>
                <w:rFonts w:ascii="Arial Narrow" w:hAnsi="Arial Narrow"/>
                <w:sz w:val="18"/>
                <w:szCs w:val="20"/>
              </w:rPr>
              <w:t xml:space="preserve"> 1.15)</w:t>
            </w:r>
          </w:p>
        </w:tc>
      </w:tr>
      <w:tr w:rsidR="00554329" w:rsidRPr="00E94CE0" w:rsidTr="00554329">
        <w:tc>
          <w:tcPr>
            <w:tcW w:w="705" w:type="dxa"/>
            <w:vMerge/>
            <w:shd w:val="clear" w:color="auto" w:fill="auto"/>
            <w:vAlign w:val="center"/>
          </w:tcPr>
          <w:p w:rsidR="00236759" w:rsidRPr="00E94CE0" w:rsidRDefault="00236759" w:rsidP="002F637F">
            <w:pPr>
              <w:keepNext/>
              <w:widowControl/>
              <w:jc w:val="left"/>
              <w:rPr>
                <w:rFonts w:ascii="Arial Narrow" w:hAnsi="Arial Narrow"/>
                <w:sz w:val="18"/>
                <w:szCs w:val="20"/>
              </w:rPr>
            </w:pPr>
          </w:p>
        </w:tc>
        <w:tc>
          <w:tcPr>
            <w:tcW w:w="1276" w:type="dxa"/>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P</w:t>
            </w:r>
            <w:r w:rsidR="00BD3D8C">
              <w:rPr>
                <w:rFonts w:ascii="Arial Narrow" w:hAnsi="Arial Narrow"/>
                <w:sz w:val="18"/>
                <w:szCs w:val="20"/>
              </w:rPr>
              <w:t>ost</w:t>
            </w:r>
            <w:r w:rsidRPr="00E94CE0">
              <w:rPr>
                <w:rFonts w:ascii="Arial Narrow" w:hAnsi="Arial Narrow"/>
                <w:sz w:val="18"/>
                <w:szCs w:val="20"/>
              </w:rPr>
              <w:t xml:space="preserve">meal </w:t>
            </w:r>
            <w:r w:rsidR="00195936">
              <w:rPr>
                <w:rFonts w:ascii="Arial Narrow" w:hAnsi="Arial Narrow"/>
                <w:sz w:val="18"/>
                <w:szCs w:val="20"/>
              </w:rPr>
              <w:t>Fiasp</w:t>
            </w:r>
            <w:r w:rsidRPr="00E94CE0">
              <w:rPr>
                <w:rFonts w:ascii="Arial Narrow" w:hAnsi="Arial Narrow"/>
                <w:sz w:val="18"/>
                <w:szCs w:val="20"/>
              </w:rPr>
              <w:t xml:space="preserve"> vs NovoRapid®</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0.04</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(-0.04; 0.12)</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-0.05</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(-0.11, 0.01)</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-0.04</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(-0.09, 0.00)</w:t>
            </w:r>
          </w:p>
        </w:tc>
        <w:tc>
          <w:tcPr>
            <w:tcW w:w="1023" w:type="dxa"/>
            <w:shd w:val="clear" w:color="auto" w:fill="auto"/>
            <w:vAlign w:val="center"/>
          </w:tcPr>
          <w:p w:rsidR="00F74A32" w:rsidRDefault="00236759" w:rsidP="002F637F">
            <w:pPr>
              <w:keepNext/>
              <w:widowControl/>
              <w:jc w:val="center"/>
              <w:rPr>
                <w:rFonts w:ascii="Arial Narrow" w:hAnsi="Arial Narrow"/>
                <w:b/>
                <w:bCs/>
                <w:sz w:val="18"/>
                <w:szCs w:val="18"/>
              </w:rPr>
            </w:pPr>
            <w:r w:rsidRPr="00E94CE0">
              <w:rPr>
                <w:rFonts w:ascii="Arial Narrow" w:hAnsi="Arial Narrow"/>
                <w:b/>
                <w:bCs/>
                <w:sz w:val="18"/>
                <w:szCs w:val="18"/>
              </w:rPr>
              <w:t>0.93</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b/>
                <w:bCs/>
                <w:sz w:val="18"/>
                <w:szCs w:val="18"/>
              </w:rPr>
              <w:t>(0.46, 1.40)</w:t>
            </w:r>
          </w:p>
        </w:tc>
        <w:tc>
          <w:tcPr>
            <w:tcW w:w="992" w:type="dxa"/>
            <w:vAlign w:val="center"/>
          </w:tcPr>
          <w:p w:rsidR="00F74A32" w:rsidRDefault="00236759" w:rsidP="002F637F">
            <w:pPr>
              <w:keepNext/>
              <w:widowControl/>
              <w:jc w:val="center"/>
              <w:rPr>
                <w:rFonts w:ascii="Arial Narrow" w:eastAsia="SimSun" w:hAnsi="Arial Narrow"/>
                <w:sz w:val="18"/>
                <w:szCs w:val="18"/>
              </w:rPr>
            </w:pPr>
            <w:r w:rsidRPr="00E94CE0">
              <w:rPr>
                <w:rFonts w:ascii="Arial Narrow" w:eastAsia="SimSun" w:hAnsi="Arial Narrow"/>
                <w:sz w:val="18"/>
                <w:szCs w:val="18"/>
              </w:rPr>
              <w:t>0.30</w:t>
            </w:r>
          </w:p>
          <w:p w:rsidR="00236759" w:rsidRPr="00E94CE0" w:rsidRDefault="00F74A32" w:rsidP="002F637F">
            <w:pPr>
              <w:keepNext/>
              <w:widowControl/>
              <w:jc w:val="center"/>
              <w:rPr>
                <w:rFonts w:ascii="Arial Narrow" w:hAnsi="Arial Narrow"/>
                <w:sz w:val="18"/>
                <w:szCs w:val="20"/>
              </w:rPr>
            </w:pPr>
            <w:r>
              <w:rPr>
                <w:rFonts w:ascii="Arial Narrow" w:eastAsia="SimSun" w:hAnsi="Arial Narrow"/>
                <w:sz w:val="18"/>
                <w:szCs w:val="18"/>
              </w:rPr>
              <w:t xml:space="preserve">(-0.34, </w:t>
            </w:r>
            <w:r w:rsidR="00236759" w:rsidRPr="00E94CE0">
              <w:rPr>
                <w:rFonts w:ascii="Arial Narrow" w:eastAsia="SimSun" w:hAnsi="Arial Narrow"/>
                <w:sz w:val="18"/>
                <w:szCs w:val="18"/>
              </w:rPr>
              <w:t>0.93)^</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0.16</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(-0.27</w:t>
            </w:r>
            <w:r w:rsidR="00F74A32">
              <w:rPr>
                <w:rFonts w:ascii="Arial Narrow" w:hAnsi="Arial Narrow"/>
                <w:sz w:val="18"/>
                <w:szCs w:val="20"/>
              </w:rPr>
              <w:t>,</w:t>
            </w:r>
            <w:r w:rsidRPr="00E94CE0">
              <w:rPr>
                <w:rFonts w:ascii="Arial Narrow" w:hAnsi="Arial Narrow"/>
                <w:sz w:val="18"/>
                <w:szCs w:val="20"/>
              </w:rPr>
              <w:t xml:space="preserve"> 0.58)</w:t>
            </w:r>
          </w:p>
        </w:tc>
        <w:tc>
          <w:tcPr>
            <w:tcW w:w="1134"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0.92</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(0.81</w:t>
            </w:r>
            <w:r w:rsidR="00F74A32">
              <w:rPr>
                <w:rFonts w:ascii="Arial Narrow" w:hAnsi="Arial Narrow"/>
                <w:sz w:val="18"/>
                <w:szCs w:val="20"/>
              </w:rPr>
              <w:t>,</w:t>
            </w:r>
            <w:r w:rsidRPr="00E94CE0">
              <w:rPr>
                <w:rFonts w:ascii="Arial Narrow" w:hAnsi="Arial Narrow"/>
                <w:sz w:val="18"/>
                <w:szCs w:val="20"/>
              </w:rPr>
              <w:t xml:space="preserve"> 1.06)</w:t>
            </w:r>
          </w:p>
        </w:tc>
      </w:tr>
      <w:tr w:rsidR="00554329" w:rsidRPr="00E94CE0" w:rsidTr="00554329">
        <w:tc>
          <w:tcPr>
            <w:tcW w:w="705" w:type="dxa"/>
            <w:shd w:val="clear" w:color="auto" w:fill="auto"/>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onset 1</w:t>
            </w:r>
          </w:p>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(52 wks)</w:t>
            </w:r>
          </w:p>
        </w:tc>
        <w:tc>
          <w:tcPr>
            <w:tcW w:w="1276" w:type="dxa"/>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 xml:space="preserve">Meal </w:t>
            </w:r>
            <w:r w:rsidR="00195936">
              <w:rPr>
                <w:rFonts w:ascii="Arial Narrow" w:hAnsi="Arial Narrow"/>
                <w:sz w:val="18"/>
                <w:szCs w:val="20"/>
              </w:rPr>
              <w:t>Fiasp</w:t>
            </w:r>
            <w:r w:rsidRPr="00E94CE0">
              <w:rPr>
                <w:rFonts w:ascii="Arial Narrow" w:hAnsi="Arial Narrow"/>
                <w:sz w:val="18"/>
                <w:szCs w:val="20"/>
              </w:rPr>
              <w:t xml:space="preserve"> vs NovoRapid</w:t>
            </w:r>
          </w:p>
        </w:tc>
        <w:tc>
          <w:tcPr>
            <w:tcW w:w="992" w:type="dxa"/>
            <w:shd w:val="clear" w:color="auto" w:fill="auto"/>
            <w:vAlign w:val="center"/>
          </w:tcPr>
          <w:p w:rsidR="00236759" w:rsidRPr="00E94CE0" w:rsidRDefault="00236759" w:rsidP="002F637F">
            <w:pPr>
              <w:keepNext/>
              <w:widowControl/>
              <w:jc w:val="center"/>
              <w:rPr>
                <w:rFonts w:ascii="Arial Narrow" w:hAnsi="Arial Narrow"/>
                <w:b/>
                <w:bCs/>
                <w:sz w:val="18"/>
                <w:szCs w:val="20"/>
              </w:rPr>
            </w:pPr>
            <w:r w:rsidRPr="00E94CE0">
              <w:rPr>
                <w:rFonts w:ascii="Arial Narrow" w:hAnsi="Arial Narrow"/>
                <w:b/>
                <w:bCs/>
                <w:sz w:val="18"/>
                <w:szCs w:val="20"/>
              </w:rPr>
              <w:t>-0.10</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b/>
                <w:bCs/>
                <w:sz w:val="18"/>
                <w:szCs w:val="20"/>
              </w:rPr>
              <w:t xml:space="preserve">(-0.19; </w:t>
            </w:r>
            <w:r w:rsidRPr="00E94CE0">
              <w:rPr>
                <w:rFonts w:ascii="Arial Narrow" w:hAnsi="Arial Narrow"/>
                <w:b/>
                <w:bCs/>
                <w:sz w:val="18"/>
                <w:szCs w:val="20"/>
              </w:rPr>
              <w:noBreakHyphen/>
              <w:t>0.00)</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-0.01</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(-0.07, 0.05)</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0.00</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(-0.04, 0.04)</w:t>
            </w:r>
          </w:p>
        </w:tc>
        <w:tc>
          <w:tcPr>
            <w:tcW w:w="1023" w:type="dxa"/>
            <w:shd w:val="clear" w:color="auto" w:fill="auto"/>
            <w:vAlign w:val="center"/>
          </w:tcPr>
          <w:p w:rsidR="00F74A32" w:rsidRDefault="00236759" w:rsidP="002F637F">
            <w:pPr>
              <w:keepNext/>
              <w:widowControl/>
              <w:jc w:val="center"/>
              <w:rPr>
                <w:rFonts w:ascii="Arial Narrow" w:hAnsi="Arial Narrow"/>
                <w:b/>
                <w:bCs/>
                <w:sz w:val="18"/>
                <w:szCs w:val="18"/>
              </w:rPr>
            </w:pPr>
            <w:r w:rsidRPr="00E94CE0">
              <w:rPr>
                <w:rFonts w:ascii="Arial Narrow" w:hAnsi="Arial Narrow"/>
                <w:b/>
                <w:bCs/>
                <w:sz w:val="18"/>
                <w:szCs w:val="18"/>
              </w:rPr>
              <w:t>-0.91</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b/>
                <w:bCs/>
                <w:sz w:val="18"/>
                <w:szCs w:val="18"/>
              </w:rPr>
              <w:t>(-1.40, -0.43)</w:t>
            </w:r>
          </w:p>
        </w:tc>
        <w:tc>
          <w:tcPr>
            <w:tcW w:w="992" w:type="dxa"/>
            <w:vAlign w:val="center"/>
          </w:tcPr>
          <w:p w:rsidR="00F74A32" w:rsidRDefault="00236759" w:rsidP="002F637F">
            <w:pPr>
              <w:keepNext/>
              <w:widowControl/>
              <w:jc w:val="center"/>
              <w:rPr>
                <w:rFonts w:ascii="Arial Narrow" w:eastAsia="SimSun" w:hAnsi="Arial Narrow"/>
                <w:sz w:val="18"/>
                <w:szCs w:val="18"/>
              </w:rPr>
            </w:pPr>
            <w:r w:rsidRPr="00E94CE0">
              <w:rPr>
                <w:rFonts w:ascii="Arial Narrow" w:eastAsia="SimSun" w:hAnsi="Arial Narrow"/>
                <w:sz w:val="18"/>
                <w:szCs w:val="18"/>
              </w:rPr>
              <w:t>-0.42</w:t>
            </w:r>
          </w:p>
          <w:p w:rsidR="00236759" w:rsidRPr="00E94CE0" w:rsidRDefault="00236759" w:rsidP="002F637F">
            <w:pPr>
              <w:keepNext/>
              <w:widowControl/>
              <w:jc w:val="center"/>
              <w:rPr>
                <w:rFonts w:ascii="Arial Narrow" w:hAnsi="Arial Narrow"/>
                <w:sz w:val="18"/>
                <w:szCs w:val="20"/>
              </w:rPr>
            </w:pPr>
            <w:r w:rsidRPr="00E94CE0">
              <w:rPr>
                <w:rFonts w:ascii="Arial Narrow" w:eastAsia="SimSun" w:hAnsi="Arial Narrow"/>
                <w:sz w:val="18"/>
                <w:szCs w:val="18"/>
              </w:rPr>
              <w:t>(-1.11</w:t>
            </w:r>
            <w:r w:rsidR="00F74A32">
              <w:rPr>
                <w:rFonts w:ascii="Arial Narrow" w:eastAsia="SimSun" w:hAnsi="Arial Narrow"/>
                <w:sz w:val="18"/>
                <w:szCs w:val="18"/>
              </w:rPr>
              <w:t>,</w:t>
            </w:r>
            <w:r w:rsidRPr="00E94CE0">
              <w:rPr>
                <w:rFonts w:ascii="Arial Narrow" w:eastAsia="SimSun" w:hAnsi="Arial Narrow"/>
                <w:sz w:val="18"/>
                <w:szCs w:val="18"/>
              </w:rPr>
              <w:t xml:space="preserve"> 0.27)</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0.13</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(-0.38</w:t>
            </w:r>
            <w:r w:rsidR="00F74A32">
              <w:rPr>
                <w:rFonts w:ascii="Arial Narrow" w:hAnsi="Arial Narrow"/>
                <w:sz w:val="18"/>
                <w:szCs w:val="20"/>
              </w:rPr>
              <w:t>,</w:t>
            </w:r>
            <w:r w:rsidRPr="00E94CE0">
              <w:rPr>
                <w:rFonts w:ascii="Arial Narrow" w:hAnsi="Arial Narrow"/>
                <w:sz w:val="18"/>
                <w:szCs w:val="20"/>
              </w:rPr>
              <w:t xml:space="preserve"> 0.65)</w:t>
            </w:r>
          </w:p>
        </w:tc>
        <w:tc>
          <w:tcPr>
            <w:tcW w:w="1134"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1.01</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(0.88</w:t>
            </w:r>
            <w:r w:rsidR="00F74A32">
              <w:rPr>
                <w:rFonts w:ascii="Arial Narrow" w:hAnsi="Arial Narrow"/>
                <w:sz w:val="18"/>
                <w:szCs w:val="20"/>
              </w:rPr>
              <w:t>,</w:t>
            </w:r>
            <w:r w:rsidRPr="00E94CE0">
              <w:rPr>
                <w:rFonts w:ascii="Arial Narrow" w:hAnsi="Arial Narrow"/>
                <w:sz w:val="18"/>
                <w:szCs w:val="20"/>
              </w:rPr>
              <w:t xml:space="preserve"> 1.15)</w:t>
            </w:r>
          </w:p>
        </w:tc>
      </w:tr>
      <w:tr w:rsidR="00554329" w:rsidRPr="00E94CE0" w:rsidTr="00554329">
        <w:tc>
          <w:tcPr>
            <w:tcW w:w="705" w:type="dxa"/>
            <w:shd w:val="clear" w:color="auto" w:fill="auto"/>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onset 2</w:t>
            </w:r>
          </w:p>
        </w:tc>
        <w:tc>
          <w:tcPr>
            <w:tcW w:w="1276" w:type="dxa"/>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 xml:space="preserve">Meal </w:t>
            </w:r>
            <w:r w:rsidR="00195936">
              <w:rPr>
                <w:rFonts w:ascii="Arial Narrow" w:hAnsi="Arial Narrow"/>
                <w:sz w:val="18"/>
                <w:szCs w:val="20"/>
              </w:rPr>
              <w:t>Fiasp</w:t>
            </w:r>
            <w:r w:rsidRPr="00E94CE0">
              <w:rPr>
                <w:rFonts w:ascii="Arial Narrow" w:hAnsi="Arial Narrow"/>
                <w:sz w:val="18"/>
                <w:szCs w:val="20"/>
              </w:rPr>
              <w:t xml:space="preserve"> vs NovoRapid</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-0.02</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(-0.15; 0.10)</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-0.01</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(-0.08, 0.05)</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-0.02</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(-0.09, 0.06)</w:t>
            </w:r>
          </w:p>
        </w:tc>
        <w:tc>
          <w:tcPr>
            <w:tcW w:w="1023" w:type="dxa"/>
            <w:shd w:val="clear" w:color="auto" w:fill="auto"/>
            <w:vAlign w:val="center"/>
          </w:tcPr>
          <w:p w:rsidR="00F74A32" w:rsidRDefault="00236759" w:rsidP="002F637F">
            <w:pPr>
              <w:keepNext/>
              <w:widowControl/>
              <w:jc w:val="center"/>
              <w:rPr>
                <w:rFonts w:ascii="Arial Narrow" w:hAnsi="Arial Narrow"/>
                <w:b/>
                <w:bCs/>
                <w:sz w:val="18"/>
                <w:szCs w:val="18"/>
              </w:rPr>
            </w:pPr>
            <w:r w:rsidRPr="00E94CE0">
              <w:rPr>
                <w:rFonts w:ascii="Arial Narrow" w:hAnsi="Arial Narrow"/>
                <w:b/>
                <w:bCs/>
                <w:sz w:val="18"/>
                <w:szCs w:val="18"/>
              </w:rPr>
              <w:t>-0.59</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b/>
                <w:bCs/>
                <w:sz w:val="18"/>
                <w:szCs w:val="18"/>
              </w:rPr>
              <w:t>(-1.09, -0.09)</w:t>
            </w:r>
          </w:p>
        </w:tc>
        <w:tc>
          <w:tcPr>
            <w:tcW w:w="992" w:type="dxa"/>
            <w:vAlign w:val="center"/>
          </w:tcPr>
          <w:p w:rsidR="00F74A32" w:rsidRDefault="00236759" w:rsidP="002F637F">
            <w:pPr>
              <w:keepNext/>
              <w:widowControl/>
              <w:jc w:val="center"/>
              <w:rPr>
                <w:rFonts w:ascii="Arial Narrow" w:eastAsia="SimSun" w:hAnsi="Arial Narrow"/>
                <w:sz w:val="18"/>
                <w:szCs w:val="18"/>
              </w:rPr>
            </w:pPr>
            <w:r w:rsidRPr="00E94CE0">
              <w:rPr>
                <w:rFonts w:ascii="Arial Narrow" w:eastAsia="SimSun" w:hAnsi="Arial Narrow"/>
                <w:sz w:val="18"/>
                <w:szCs w:val="18"/>
              </w:rPr>
              <w:t>-0.36</w:t>
            </w:r>
          </w:p>
          <w:p w:rsidR="00236759" w:rsidRPr="00E94CE0" w:rsidRDefault="00F74A32" w:rsidP="002F637F">
            <w:pPr>
              <w:keepNext/>
              <w:widowControl/>
              <w:jc w:val="center"/>
              <w:rPr>
                <w:rFonts w:ascii="Arial Narrow" w:hAnsi="Arial Narrow"/>
                <w:sz w:val="18"/>
                <w:szCs w:val="20"/>
              </w:rPr>
            </w:pPr>
            <w:r>
              <w:rPr>
                <w:rFonts w:ascii="Arial Narrow" w:eastAsia="SimSun" w:hAnsi="Arial Narrow"/>
                <w:sz w:val="18"/>
                <w:szCs w:val="18"/>
              </w:rPr>
              <w:t>(-0.81,</w:t>
            </w:r>
            <w:r w:rsidR="00236759" w:rsidRPr="00E94CE0">
              <w:rPr>
                <w:rFonts w:ascii="Arial Narrow" w:eastAsia="SimSun" w:hAnsi="Arial Narrow"/>
                <w:sz w:val="18"/>
                <w:szCs w:val="18"/>
              </w:rPr>
              <w:t xml:space="preserve"> 0.08)</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0.00</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(-0.60</w:t>
            </w:r>
            <w:r w:rsidR="00F74A32">
              <w:rPr>
                <w:rFonts w:ascii="Arial Narrow" w:hAnsi="Arial Narrow"/>
                <w:sz w:val="18"/>
                <w:szCs w:val="20"/>
              </w:rPr>
              <w:t>,</w:t>
            </w:r>
            <w:r w:rsidRPr="00E94CE0">
              <w:rPr>
                <w:rFonts w:ascii="Arial Narrow" w:hAnsi="Arial Narrow"/>
                <w:sz w:val="18"/>
                <w:szCs w:val="20"/>
              </w:rPr>
              <w:t xml:space="preserve"> 0.61)</w:t>
            </w:r>
          </w:p>
        </w:tc>
        <w:tc>
          <w:tcPr>
            <w:tcW w:w="1134"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1.09</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(0.88</w:t>
            </w:r>
            <w:r w:rsidR="00F74A32">
              <w:rPr>
                <w:rFonts w:ascii="Arial Narrow" w:hAnsi="Arial Narrow"/>
                <w:sz w:val="18"/>
                <w:szCs w:val="20"/>
              </w:rPr>
              <w:t>,</w:t>
            </w:r>
            <w:r w:rsidRPr="00E94CE0">
              <w:rPr>
                <w:rFonts w:ascii="Arial Narrow" w:hAnsi="Arial Narrow"/>
                <w:sz w:val="18"/>
                <w:szCs w:val="20"/>
              </w:rPr>
              <w:t xml:space="preserve"> 1.36)</w:t>
            </w:r>
          </w:p>
        </w:tc>
      </w:tr>
      <w:tr w:rsidR="00554329" w:rsidRPr="00E94CE0" w:rsidTr="00554329">
        <w:tc>
          <w:tcPr>
            <w:tcW w:w="705" w:type="dxa"/>
            <w:shd w:val="clear" w:color="auto" w:fill="auto"/>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onset 4 (6wks)</w:t>
            </w:r>
          </w:p>
        </w:tc>
        <w:tc>
          <w:tcPr>
            <w:tcW w:w="1276" w:type="dxa"/>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 xml:space="preserve">CSII: </w:t>
            </w:r>
            <w:r w:rsidR="00195936">
              <w:rPr>
                <w:rFonts w:ascii="Arial Narrow" w:hAnsi="Arial Narrow"/>
                <w:sz w:val="18"/>
                <w:szCs w:val="20"/>
              </w:rPr>
              <w:t>Fiasp</w:t>
            </w:r>
            <w:r w:rsidRPr="00E94CE0">
              <w:rPr>
                <w:rFonts w:ascii="Arial Narrow" w:hAnsi="Arial Narrow"/>
                <w:sz w:val="18"/>
                <w:szCs w:val="20"/>
              </w:rPr>
              <w:t xml:space="preserve"> vs NovoRapid®</w:t>
            </w:r>
          </w:p>
        </w:tc>
        <w:tc>
          <w:tcPr>
            <w:tcW w:w="992" w:type="dxa"/>
            <w:shd w:val="clear" w:color="auto" w:fill="auto"/>
            <w:vAlign w:val="center"/>
          </w:tcPr>
          <w:p w:rsidR="00BD3D8C" w:rsidRDefault="00BD3D8C" w:rsidP="002F637F">
            <w:pPr>
              <w:keepNext/>
              <w:widowControl/>
              <w:jc w:val="center"/>
              <w:rPr>
                <w:rFonts w:ascii="Arial Narrow" w:hAnsi="Arial Narrow"/>
                <w:b/>
                <w:bCs/>
                <w:sz w:val="18"/>
                <w:szCs w:val="20"/>
              </w:rPr>
            </w:pPr>
            <w:r w:rsidRPr="00BD3D8C">
              <w:rPr>
                <w:rFonts w:ascii="Arial Narrow" w:hAnsi="Arial Narrow"/>
                <w:b/>
                <w:bCs/>
                <w:sz w:val="18"/>
                <w:szCs w:val="20"/>
              </w:rPr>
              <w:t xml:space="preserve">-0.14 </w:t>
            </w:r>
          </w:p>
          <w:p w:rsidR="00236759" w:rsidRPr="00E94CE0" w:rsidRDefault="00BD3D8C" w:rsidP="002F637F">
            <w:pPr>
              <w:keepNext/>
              <w:widowControl/>
              <w:jc w:val="center"/>
              <w:rPr>
                <w:rFonts w:ascii="Arial Narrow" w:hAnsi="Arial Narrow"/>
                <w:b/>
                <w:bCs/>
                <w:sz w:val="18"/>
                <w:szCs w:val="20"/>
              </w:rPr>
            </w:pPr>
            <w:r w:rsidRPr="00BD3D8C">
              <w:rPr>
                <w:rFonts w:ascii="Arial Narrow" w:hAnsi="Arial Narrow"/>
                <w:b/>
                <w:bCs/>
                <w:sz w:val="18"/>
                <w:szCs w:val="20"/>
              </w:rPr>
              <w:t>(-0.40, 0.11)</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0.19</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(-0.09, 0.48)</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0.16</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(-0.07, 0.39)</w:t>
            </w:r>
          </w:p>
        </w:tc>
        <w:tc>
          <w:tcPr>
            <w:tcW w:w="1023"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18"/>
              </w:rPr>
              <w:t>-</w:t>
            </w:r>
          </w:p>
        </w:tc>
        <w:tc>
          <w:tcPr>
            <w:tcW w:w="992" w:type="dxa"/>
            <w:vAlign w:val="center"/>
          </w:tcPr>
          <w:p w:rsidR="00F74A32" w:rsidRDefault="00236759" w:rsidP="002F637F">
            <w:pPr>
              <w:keepNext/>
              <w:widowControl/>
              <w:jc w:val="center"/>
              <w:rPr>
                <w:rFonts w:ascii="Arial Narrow" w:hAnsi="Arial Narrow"/>
                <w:sz w:val="18"/>
                <w:szCs w:val="18"/>
              </w:rPr>
            </w:pPr>
            <w:r w:rsidRPr="00E94CE0">
              <w:rPr>
                <w:rFonts w:ascii="Arial Narrow" w:hAnsi="Arial Narrow"/>
                <w:sz w:val="18"/>
                <w:szCs w:val="18"/>
              </w:rPr>
              <w:t>-0.77</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18"/>
              </w:rPr>
              <w:t>(-2.06, 0.51)</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w:t>
            </w:r>
          </w:p>
        </w:tc>
        <w:tc>
          <w:tcPr>
            <w:tcW w:w="1134" w:type="dxa"/>
            <w:shd w:val="clear" w:color="auto" w:fill="auto"/>
            <w:vAlign w:val="center"/>
          </w:tcPr>
          <w:p w:rsidR="00236759" w:rsidRPr="00E94CE0" w:rsidRDefault="00BD3D8C" w:rsidP="002F637F">
            <w:pPr>
              <w:keepNext/>
              <w:widowControl/>
              <w:jc w:val="center"/>
              <w:rPr>
                <w:rFonts w:ascii="Arial Narrow" w:hAnsi="Arial Narrow"/>
                <w:sz w:val="18"/>
                <w:szCs w:val="20"/>
              </w:rPr>
            </w:pPr>
            <w:r>
              <w:rPr>
                <w:rFonts w:ascii="Arial Narrow" w:hAnsi="Arial Narrow"/>
                <w:sz w:val="18"/>
                <w:szCs w:val="20"/>
              </w:rPr>
              <w:t>-</w:t>
            </w:r>
          </w:p>
        </w:tc>
      </w:tr>
      <w:tr w:rsidR="00554329" w:rsidRPr="00E94CE0" w:rsidTr="00554329">
        <w:tc>
          <w:tcPr>
            <w:tcW w:w="705" w:type="dxa"/>
            <w:shd w:val="clear" w:color="auto" w:fill="auto"/>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onset 5</w:t>
            </w:r>
          </w:p>
        </w:tc>
        <w:tc>
          <w:tcPr>
            <w:tcW w:w="1276" w:type="dxa"/>
            <w:vAlign w:val="center"/>
          </w:tcPr>
          <w:p w:rsidR="00236759" w:rsidRPr="00E94CE0" w:rsidRDefault="00236759" w:rsidP="002F637F">
            <w:pPr>
              <w:keepNext/>
              <w:widowControl/>
              <w:jc w:val="left"/>
              <w:rPr>
                <w:rFonts w:ascii="Arial Narrow" w:hAnsi="Arial Narrow"/>
                <w:sz w:val="18"/>
                <w:szCs w:val="20"/>
              </w:rPr>
            </w:pPr>
            <w:r w:rsidRPr="00E94CE0">
              <w:rPr>
                <w:rFonts w:ascii="Arial Narrow" w:hAnsi="Arial Narrow"/>
                <w:sz w:val="18"/>
                <w:szCs w:val="20"/>
              </w:rPr>
              <w:t xml:space="preserve">CSII: </w:t>
            </w:r>
            <w:r w:rsidR="00195936">
              <w:rPr>
                <w:rFonts w:ascii="Arial Narrow" w:hAnsi="Arial Narrow"/>
                <w:sz w:val="18"/>
                <w:szCs w:val="20"/>
              </w:rPr>
              <w:t>Fiasp</w:t>
            </w:r>
            <w:r w:rsidRPr="00E94CE0">
              <w:rPr>
                <w:rFonts w:ascii="Arial Narrow" w:hAnsi="Arial Narrow"/>
                <w:sz w:val="18"/>
                <w:szCs w:val="20"/>
              </w:rPr>
              <w:t xml:space="preserve"> vs NovoRapid®</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0.09</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(0.01; 0.17)</w:t>
            </w:r>
          </w:p>
        </w:tc>
        <w:tc>
          <w:tcPr>
            <w:tcW w:w="0" w:type="auto"/>
            <w:shd w:val="clear" w:color="auto" w:fill="auto"/>
            <w:vAlign w:val="center"/>
          </w:tcPr>
          <w:p w:rsidR="00F74A32" w:rsidRDefault="00236759" w:rsidP="002F637F">
            <w:pPr>
              <w:keepNext/>
              <w:widowControl/>
              <w:jc w:val="center"/>
              <w:rPr>
                <w:rFonts w:ascii="Arial Narrow" w:hAnsi="Arial Narrow"/>
                <w:sz w:val="18"/>
              </w:rPr>
            </w:pPr>
            <w:r w:rsidRPr="00E94CE0">
              <w:rPr>
                <w:rFonts w:ascii="Arial Narrow" w:hAnsi="Arial Narrow"/>
                <w:sz w:val="18"/>
              </w:rPr>
              <w:t>-0.03</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rPr>
              <w:t>(-0.10, 0.05)</w:t>
            </w:r>
          </w:p>
        </w:tc>
        <w:tc>
          <w:tcPr>
            <w:tcW w:w="0" w:type="auto"/>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w:t>
            </w:r>
          </w:p>
        </w:tc>
        <w:tc>
          <w:tcPr>
            <w:tcW w:w="1023" w:type="dxa"/>
            <w:shd w:val="clear" w:color="auto" w:fill="auto"/>
            <w:vAlign w:val="center"/>
          </w:tcPr>
          <w:p w:rsidR="00F74A32" w:rsidRDefault="00236759" w:rsidP="002F637F">
            <w:pPr>
              <w:keepNext/>
              <w:widowControl/>
              <w:jc w:val="center"/>
              <w:rPr>
                <w:rFonts w:ascii="Arial Narrow" w:hAnsi="Arial Narrow"/>
                <w:b/>
                <w:bCs/>
                <w:sz w:val="18"/>
                <w:szCs w:val="18"/>
              </w:rPr>
            </w:pPr>
            <w:r w:rsidRPr="00E94CE0">
              <w:rPr>
                <w:rFonts w:ascii="Arial Narrow" w:hAnsi="Arial Narrow"/>
                <w:b/>
                <w:bCs/>
                <w:sz w:val="18"/>
                <w:szCs w:val="18"/>
              </w:rPr>
              <w:t>-0.91</w:t>
            </w:r>
          </w:p>
          <w:p w:rsidR="00236759" w:rsidRPr="00E94CE0" w:rsidRDefault="00F74A32" w:rsidP="002F637F">
            <w:pPr>
              <w:keepNext/>
              <w:widowControl/>
              <w:jc w:val="center"/>
              <w:rPr>
                <w:rFonts w:ascii="Arial Narrow" w:hAnsi="Arial Narrow"/>
                <w:sz w:val="18"/>
                <w:szCs w:val="20"/>
              </w:rPr>
            </w:pPr>
            <w:r>
              <w:rPr>
                <w:rFonts w:ascii="Arial Narrow" w:hAnsi="Arial Narrow"/>
                <w:b/>
                <w:bCs/>
                <w:sz w:val="18"/>
                <w:szCs w:val="18"/>
              </w:rPr>
              <w:t>(-1.43,</w:t>
            </w:r>
            <w:r w:rsidR="00236759" w:rsidRPr="00E94CE0">
              <w:rPr>
                <w:rFonts w:ascii="Arial Narrow" w:hAnsi="Arial Narrow"/>
                <w:b/>
                <w:bCs/>
                <w:sz w:val="18"/>
                <w:szCs w:val="18"/>
              </w:rPr>
              <w:t>-0.39)</w:t>
            </w:r>
          </w:p>
        </w:tc>
        <w:tc>
          <w:tcPr>
            <w:tcW w:w="992" w:type="dxa"/>
            <w:vAlign w:val="center"/>
          </w:tcPr>
          <w:p w:rsidR="00F74A32" w:rsidRDefault="00F74A32" w:rsidP="002F637F">
            <w:pPr>
              <w:keepNext/>
              <w:widowControl/>
              <w:jc w:val="center"/>
              <w:rPr>
                <w:rFonts w:ascii="Arial Narrow" w:eastAsia="SimSun" w:hAnsi="Arial Narrow"/>
                <w:b/>
                <w:bCs/>
                <w:sz w:val="18"/>
                <w:szCs w:val="18"/>
              </w:rPr>
            </w:pPr>
            <w:r>
              <w:rPr>
                <w:rFonts w:ascii="Arial Narrow" w:eastAsia="SimSun" w:hAnsi="Arial Narrow"/>
                <w:b/>
                <w:bCs/>
                <w:sz w:val="18"/>
                <w:szCs w:val="18"/>
              </w:rPr>
              <w:t>-0.90</w:t>
            </w:r>
          </w:p>
          <w:p w:rsidR="00236759" w:rsidRPr="00E94CE0" w:rsidRDefault="00F74A32" w:rsidP="002F637F">
            <w:pPr>
              <w:keepNext/>
              <w:widowControl/>
              <w:jc w:val="center"/>
              <w:rPr>
                <w:rFonts w:ascii="Arial Narrow" w:hAnsi="Arial Narrow"/>
                <w:sz w:val="18"/>
                <w:szCs w:val="20"/>
              </w:rPr>
            </w:pPr>
            <w:r>
              <w:rPr>
                <w:rFonts w:ascii="Arial Narrow" w:eastAsia="SimSun" w:hAnsi="Arial Narrow"/>
                <w:b/>
                <w:bCs/>
                <w:sz w:val="18"/>
                <w:szCs w:val="18"/>
              </w:rPr>
              <w:t>(-1.58,</w:t>
            </w:r>
            <w:r w:rsidR="00236759" w:rsidRPr="00E94CE0">
              <w:rPr>
                <w:rFonts w:ascii="Arial Narrow" w:eastAsia="SimSun" w:hAnsi="Arial Narrow"/>
                <w:b/>
                <w:bCs/>
                <w:sz w:val="18"/>
                <w:szCs w:val="18"/>
              </w:rPr>
              <w:t>-0.22)</w:t>
            </w:r>
          </w:p>
        </w:tc>
        <w:tc>
          <w:tcPr>
            <w:tcW w:w="992"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-0.43</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(-0.81</w:t>
            </w:r>
            <w:r w:rsidR="00F74A32">
              <w:rPr>
                <w:rFonts w:ascii="Arial Narrow" w:hAnsi="Arial Narrow"/>
                <w:sz w:val="18"/>
                <w:szCs w:val="20"/>
              </w:rPr>
              <w:t>,</w:t>
            </w:r>
            <w:r w:rsidRPr="00E94CE0">
              <w:rPr>
                <w:rFonts w:ascii="Arial Narrow" w:hAnsi="Arial Narrow"/>
                <w:sz w:val="18"/>
                <w:szCs w:val="20"/>
              </w:rPr>
              <w:t xml:space="preserve"> -0.06)</w:t>
            </w:r>
          </w:p>
        </w:tc>
        <w:tc>
          <w:tcPr>
            <w:tcW w:w="1134" w:type="dxa"/>
            <w:shd w:val="clear" w:color="auto" w:fill="auto"/>
            <w:vAlign w:val="center"/>
          </w:tcPr>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1.00</w:t>
            </w:r>
          </w:p>
          <w:p w:rsidR="00236759" w:rsidRPr="00E94CE0" w:rsidRDefault="00236759" w:rsidP="002F637F">
            <w:pPr>
              <w:keepNext/>
              <w:widowControl/>
              <w:jc w:val="center"/>
              <w:rPr>
                <w:rFonts w:ascii="Arial Narrow" w:hAnsi="Arial Narrow"/>
                <w:sz w:val="18"/>
                <w:szCs w:val="20"/>
              </w:rPr>
            </w:pPr>
            <w:r w:rsidRPr="00E94CE0">
              <w:rPr>
                <w:rFonts w:ascii="Arial Narrow" w:hAnsi="Arial Narrow"/>
                <w:sz w:val="18"/>
                <w:szCs w:val="20"/>
              </w:rPr>
              <w:t>(0.85</w:t>
            </w:r>
            <w:r w:rsidR="00F74A32">
              <w:rPr>
                <w:rFonts w:ascii="Arial Narrow" w:hAnsi="Arial Narrow"/>
                <w:sz w:val="18"/>
                <w:szCs w:val="20"/>
              </w:rPr>
              <w:t>,</w:t>
            </w:r>
            <w:r w:rsidRPr="00E94CE0">
              <w:rPr>
                <w:rFonts w:ascii="Arial Narrow" w:hAnsi="Arial Narrow"/>
                <w:sz w:val="18"/>
                <w:szCs w:val="20"/>
              </w:rPr>
              <w:t xml:space="preserve"> 1.16)</w:t>
            </w:r>
          </w:p>
        </w:tc>
      </w:tr>
    </w:tbl>
    <w:p w:rsidR="009C090F" w:rsidRPr="00E35188" w:rsidRDefault="009C090F" w:rsidP="002F637F">
      <w:pPr>
        <w:keepNext/>
        <w:widowControl/>
        <w:rPr>
          <w:rFonts w:ascii="Arial Narrow" w:hAnsi="Arial Narrow"/>
          <w:sz w:val="20"/>
          <w:szCs w:val="18"/>
        </w:rPr>
      </w:pPr>
      <w:r w:rsidRPr="00E35188">
        <w:rPr>
          <w:rFonts w:ascii="Arial Narrow" w:hAnsi="Arial Narrow"/>
          <w:sz w:val="20"/>
          <w:szCs w:val="18"/>
        </w:rPr>
        <w:t>Bolded typography indicates statistically significant results.</w:t>
      </w:r>
    </w:p>
    <w:p w:rsidR="009C090F" w:rsidRPr="00E35188" w:rsidRDefault="009C090F" w:rsidP="002F637F">
      <w:pPr>
        <w:widowControl/>
        <w:rPr>
          <w:rFonts w:ascii="Arial Narrow" w:hAnsi="Arial Narrow"/>
          <w:sz w:val="20"/>
          <w:szCs w:val="18"/>
        </w:rPr>
      </w:pPr>
      <w:r w:rsidRPr="00E35188">
        <w:rPr>
          <w:rFonts w:ascii="Arial Narrow" w:hAnsi="Arial Narrow"/>
          <w:sz w:val="20"/>
          <w:szCs w:val="18"/>
        </w:rPr>
        <w:t>Abbreviations: PPG, postprandial glucose, BG, blood glucose</w:t>
      </w:r>
    </w:p>
    <w:p w:rsidR="009C090F" w:rsidRPr="00730727" w:rsidRDefault="009C090F" w:rsidP="002F637F">
      <w:pPr>
        <w:widowControl/>
        <w:rPr>
          <w:rFonts w:ascii="Arial Narrow" w:hAnsi="Arial Narrow"/>
          <w:sz w:val="20"/>
          <w:szCs w:val="18"/>
          <w:vertAlign w:val="superscript"/>
        </w:rPr>
      </w:pPr>
      <w:r w:rsidRPr="00E35188">
        <w:rPr>
          <w:rFonts w:ascii="Arial Narrow" w:hAnsi="Arial Narrow"/>
          <w:sz w:val="20"/>
          <w:szCs w:val="18"/>
          <w:vertAlign w:val="superscript"/>
        </w:rPr>
        <w:t>a</w:t>
      </w:r>
      <w:r w:rsidRPr="00E35188">
        <w:rPr>
          <w:rFonts w:ascii="Arial Narrow" w:hAnsi="Arial Narrow"/>
          <w:sz w:val="20"/>
          <w:szCs w:val="18"/>
        </w:rPr>
        <w:tab/>
        <w:t xml:space="preserve">Intervention versus NovoRapid®, </w:t>
      </w:r>
      <w:r w:rsidRPr="00E35188">
        <w:rPr>
          <w:rFonts w:ascii="Arial Narrow" w:hAnsi="Arial Narrow"/>
          <w:sz w:val="20"/>
          <w:szCs w:val="18"/>
          <w:vertAlign w:val="superscript"/>
        </w:rPr>
        <w:t>b</w:t>
      </w:r>
      <w:r w:rsidRPr="00E35188">
        <w:rPr>
          <w:rFonts w:ascii="Arial Narrow" w:hAnsi="Arial Narrow"/>
          <w:sz w:val="20"/>
          <w:szCs w:val="18"/>
        </w:rPr>
        <w:tab/>
        <w:t>All hypoglycaemic events,</w:t>
      </w:r>
      <w:r w:rsidR="00713357">
        <w:rPr>
          <w:rFonts w:ascii="Arial Narrow" w:hAnsi="Arial Narrow"/>
          <w:sz w:val="20"/>
          <w:szCs w:val="18"/>
        </w:rPr>
        <w:t xml:space="preserve"> </w:t>
      </w:r>
      <w:r w:rsidRPr="00E35188">
        <w:rPr>
          <w:rFonts w:ascii="Arial Narrow" w:hAnsi="Arial Narrow"/>
          <w:sz w:val="20"/>
          <w:szCs w:val="18"/>
          <w:vertAlign w:val="superscript"/>
        </w:rPr>
        <w:t>c</w:t>
      </w:r>
      <w:r w:rsidRPr="00E35188">
        <w:rPr>
          <w:rFonts w:ascii="Arial Narrow" w:hAnsi="Arial Narrow"/>
          <w:sz w:val="20"/>
          <w:szCs w:val="18"/>
        </w:rPr>
        <w:t xml:space="preserve"> Rate ratio of events/100 patient years of exposure was calculated on FAS </w:t>
      </w:r>
      <w:r w:rsidR="00E94CE0">
        <w:rPr>
          <w:rFonts w:ascii="Arial Narrow" w:hAnsi="Arial Narrow"/>
          <w:sz w:val="20"/>
          <w:szCs w:val="18"/>
          <w:vertAlign w:val="superscript"/>
        </w:rPr>
        <w:t>d</w:t>
      </w:r>
      <w:r w:rsidR="00E94CE0">
        <w:rPr>
          <w:rFonts w:ascii="Arial Narrow" w:hAnsi="Arial Narrow"/>
          <w:sz w:val="20"/>
          <w:szCs w:val="18"/>
          <w:vertAlign w:val="superscript"/>
        </w:rPr>
        <w:tab/>
      </w:r>
      <w:r w:rsidR="00E94CE0" w:rsidRPr="00E94CE0">
        <w:rPr>
          <w:rFonts w:ascii="Arial Narrow" w:hAnsi="Arial Narrow"/>
          <w:sz w:val="20"/>
          <w:szCs w:val="18"/>
        </w:rPr>
        <w:t xml:space="preserve">severe or BG </w:t>
      </w:r>
      <w:r w:rsidR="00E94CE0" w:rsidRPr="00730727">
        <w:rPr>
          <w:rFonts w:ascii="Arial Narrow" w:hAnsi="Arial Narrow"/>
          <w:sz w:val="20"/>
          <w:szCs w:val="18"/>
        </w:rPr>
        <w:t>confirmed</w:t>
      </w:r>
    </w:p>
    <w:p w:rsidR="009C090F" w:rsidRPr="00E35188" w:rsidRDefault="009C090F" w:rsidP="002F637F">
      <w:pPr>
        <w:widowControl/>
        <w:rPr>
          <w:rFonts w:ascii="Arial Narrow" w:hAnsi="Arial Narrow"/>
          <w:sz w:val="20"/>
          <w:szCs w:val="18"/>
        </w:rPr>
      </w:pPr>
      <w:r w:rsidRPr="00730727">
        <w:rPr>
          <w:rFonts w:ascii="Arial Narrow" w:hAnsi="Arial Narrow"/>
          <w:sz w:val="20"/>
          <w:szCs w:val="18"/>
        </w:rPr>
        <w:t xml:space="preserve">Source: </w:t>
      </w:r>
      <w:r w:rsidRPr="00730727">
        <w:rPr>
          <w:rFonts w:ascii="Arial Narrow" w:hAnsi="Arial Narrow"/>
          <w:sz w:val="20"/>
          <w:szCs w:val="18"/>
        </w:rPr>
        <w:tab/>
      </w:r>
      <w:r w:rsidR="0061519E" w:rsidRPr="00C54AAF">
        <w:rPr>
          <w:rFonts w:ascii="Arial Narrow" w:hAnsi="Arial Narrow"/>
          <w:sz w:val="20"/>
          <w:szCs w:val="20"/>
        </w:rPr>
        <w:t>compiled during the evaluation, using</w:t>
      </w:r>
      <w:r w:rsidR="0061519E" w:rsidRPr="00730727">
        <w:rPr>
          <w:rFonts w:ascii="Arial Narrow" w:hAnsi="Arial Narrow"/>
          <w:sz w:val="20"/>
          <w:szCs w:val="18"/>
        </w:rPr>
        <w:t xml:space="preserve"> </w:t>
      </w:r>
      <w:r w:rsidR="00B44649" w:rsidRPr="00730727">
        <w:rPr>
          <w:rFonts w:ascii="Arial Narrow" w:hAnsi="Arial Narrow"/>
          <w:sz w:val="20"/>
          <w:szCs w:val="18"/>
        </w:rPr>
        <w:t xml:space="preserve">Tables 2.5.1, </w:t>
      </w:r>
      <w:r w:rsidR="00F31AA6" w:rsidRPr="00F31AA6">
        <w:rPr>
          <w:rFonts w:ascii="Arial Narrow" w:hAnsi="Arial Narrow"/>
          <w:sz w:val="20"/>
          <w:szCs w:val="20"/>
        </w:rPr>
        <w:t>2.6.1-2.6.2</w:t>
      </w:r>
      <w:r w:rsidR="00F31AA6">
        <w:t xml:space="preserve"> </w:t>
      </w:r>
      <w:r w:rsidR="00B44649" w:rsidRPr="00730727">
        <w:rPr>
          <w:rFonts w:ascii="Arial Narrow" w:hAnsi="Arial Narrow"/>
          <w:sz w:val="20"/>
          <w:szCs w:val="18"/>
        </w:rPr>
        <w:t xml:space="preserve">and </w:t>
      </w:r>
      <w:r w:rsidR="00763A28">
        <w:rPr>
          <w:rFonts w:ascii="Arial Narrow" w:hAnsi="Arial Narrow"/>
          <w:sz w:val="20"/>
          <w:szCs w:val="18"/>
        </w:rPr>
        <w:t>ES.3</w:t>
      </w:r>
      <w:r w:rsidR="00B44649" w:rsidRPr="00730727">
        <w:rPr>
          <w:rFonts w:ascii="Arial Narrow" w:hAnsi="Arial Narrow"/>
          <w:sz w:val="20"/>
          <w:szCs w:val="18"/>
        </w:rPr>
        <w:t xml:space="preserve"> of the </w:t>
      </w:r>
      <w:r w:rsidR="0061519E" w:rsidRPr="00730727">
        <w:rPr>
          <w:rFonts w:ascii="Arial Narrow" w:hAnsi="Arial Narrow"/>
          <w:sz w:val="20"/>
          <w:szCs w:val="18"/>
        </w:rPr>
        <w:t>submission</w:t>
      </w:r>
      <w:r w:rsidR="00B44649" w:rsidRPr="00730727">
        <w:rPr>
          <w:rFonts w:ascii="Arial Narrow" w:hAnsi="Arial Narrow"/>
          <w:sz w:val="20"/>
          <w:szCs w:val="18"/>
        </w:rPr>
        <w:t>.</w:t>
      </w:r>
    </w:p>
    <w:p w:rsidR="009C090F" w:rsidRDefault="009C090F" w:rsidP="002F637F">
      <w:pPr>
        <w:widowControl/>
      </w:pPr>
    </w:p>
    <w:p w:rsidR="00F35323" w:rsidRPr="00E35188" w:rsidRDefault="00F35323" w:rsidP="002F637F">
      <w:pPr>
        <w:pStyle w:val="Heading3"/>
        <w:widowControl/>
        <w:spacing w:after="120"/>
        <w:rPr>
          <w:b/>
          <w:bCs/>
          <w:szCs w:val="20"/>
          <w:u w:val="none"/>
        </w:rPr>
      </w:pPr>
      <w:r w:rsidRPr="00E35188">
        <w:rPr>
          <w:b/>
          <w:bCs/>
          <w:szCs w:val="20"/>
          <w:u w:val="none"/>
        </w:rPr>
        <w:t>HbA1c outcomes in the trials</w:t>
      </w:r>
    </w:p>
    <w:p w:rsidR="00F35323" w:rsidRPr="003A38F7" w:rsidRDefault="00763A28" w:rsidP="002F637F">
      <w:pPr>
        <w:pStyle w:val="ListParagraph"/>
        <w:widowControl/>
        <w:numPr>
          <w:ilvl w:val="1"/>
          <w:numId w:val="3"/>
        </w:numPr>
        <w:rPr>
          <w:rFonts w:asciiTheme="minorHAnsi" w:hAnsiTheme="minorHAnsi" w:cstheme="minorHAnsi"/>
          <w:iCs/>
          <w:szCs w:val="24"/>
        </w:rPr>
      </w:pPr>
      <w:r w:rsidRPr="00C54AAF">
        <w:rPr>
          <w:rFonts w:asciiTheme="minorHAnsi" w:hAnsiTheme="minorHAnsi" w:cstheme="minorHAnsi"/>
          <w:iCs/>
          <w:szCs w:val="24"/>
        </w:rPr>
        <w:t>The ESC agreed that b</w:t>
      </w:r>
      <w:r w:rsidR="00F35323" w:rsidRPr="00C54AAF">
        <w:rPr>
          <w:rFonts w:asciiTheme="minorHAnsi" w:hAnsiTheme="minorHAnsi" w:cstheme="minorHAnsi"/>
          <w:iCs/>
          <w:szCs w:val="24"/>
        </w:rPr>
        <w:t>ased</w:t>
      </w:r>
      <w:r w:rsidR="00F35323" w:rsidRPr="003A38F7">
        <w:rPr>
          <w:rFonts w:asciiTheme="minorHAnsi" w:hAnsiTheme="minorHAnsi" w:cstheme="minorHAnsi"/>
          <w:iCs/>
          <w:szCs w:val="24"/>
        </w:rPr>
        <w:t xml:space="preserve"> on HbA1c outcomes from the included trials, the submission’s claim of non-inferiority between </w:t>
      </w:r>
      <w:r w:rsidR="00195936">
        <w:rPr>
          <w:rFonts w:asciiTheme="minorHAnsi" w:hAnsiTheme="minorHAnsi" w:cstheme="minorHAnsi"/>
          <w:iCs/>
          <w:szCs w:val="24"/>
        </w:rPr>
        <w:t>Fiasp</w:t>
      </w:r>
      <w:r w:rsidR="00F35323" w:rsidRPr="003A38F7">
        <w:rPr>
          <w:rFonts w:asciiTheme="minorHAnsi" w:hAnsiTheme="minorHAnsi" w:cstheme="minorHAnsi"/>
          <w:iCs/>
          <w:szCs w:val="24"/>
        </w:rPr>
        <w:t xml:space="preserve"> and NovoRapid® </w:t>
      </w:r>
      <w:r w:rsidR="00890653" w:rsidRPr="003A38F7">
        <w:rPr>
          <w:rFonts w:asciiTheme="minorHAnsi" w:hAnsiTheme="minorHAnsi" w:cstheme="minorHAnsi"/>
          <w:iCs/>
          <w:szCs w:val="24"/>
        </w:rPr>
        <w:t xml:space="preserve">appears </w:t>
      </w:r>
      <w:r w:rsidR="00F35323" w:rsidRPr="003A38F7">
        <w:rPr>
          <w:rFonts w:asciiTheme="minorHAnsi" w:hAnsiTheme="minorHAnsi" w:cstheme="minorHAnsi"/>
          <w:iCs/>
          <w:szCs w:val="24"/>
        </w:rPr>
        <w:t>reasonable</w:t>
      </w:r>
      <w:r w:rsidR="00660434">
        <w:rPr>
          <w:rFonts w:asciiTheme="minorHAnsi" w:hAnsiTheme="minorHAnsi" w:cstheme="minorHAnsi"/>
          <w:iCs/>
          <w:szCs w:val="24"/>
        </w:rPr>
        <w:t xml:space="preserve">. </w:t>
      </w:r>
      <w:r w:rsidR="00F35323" w:rsidRPr="003A38F7">
        <w:rPr>
          <w:rFonts w:asciiTheme="minorHAnsi" w:hAnsiTheme="minorHAnsi" w:cstheme="minorHAnsi"/>
          <w:iCs/>
          <w:szCs w:val="24"/>
        </w:rPr>
        <w:t>The following results were noted:</w:t>
      </w:r>
    </w:p>
    <w:p w:rsidR="00F35323" w:rsidRPr="003A38F7" w:rsidRDefault="00F35323" w:rsidP="002F637F">
      <w:pPr>
        <w:pStyle w:val="ListParagraph"/>
        <w:widowControl/>
        <w:numPr>
          <w:ilvl w:val="0"/>
          <w:numId w:val="2"/>
        </w:numPr>
        <w:ind w:left="1134"/>
        <w:rPr>
          <w:rFonts w:asciiTheme="minorHAnsi" w:hAnsiTheme="minorHAnsi" w:cstheme="minorHAnsi"/>
          <w:iCs/>
          <w:szCs w:val="24"/>
        </w:rPr>
      </w:pPr>
      <w:r w:rsidRPr="003A38F7">
        <w:rPr>
          <w:rFonts w:asciiTheme="minorHAnsi" w:hAnsiTheme="minorHAnsi" w:cstheme="minorHAnsi"/>
          <w:iCs/>
          <w:szCs w:val="24"/>
        </w:rPr>
        <w:t xml:space="preserve">Both </w:t>
      </w:r>
      <w:r w:rsidR="00195936">
        <w:rPr>
          <w:rFonts w:asciiTheme="minorHAnsi" w:hAnsiTheme="minorHAnsi" w:cstheme="minorHAnsi"/>
          <w:iCs/>
          <w:szCs w:val="24"/>
        </w:rPr>
        <w:t>Fiasp</w:t>
      </w:r>
      <w:r w:rsidRPr="003A38F7">
        <w:rPr>
          <w:rFonts w:asciiTheme="minorHAnsi" w:hAnsiTheme="minorHAnsi" w:cstheme="minorHAnsi"/>
          <w:iCs/>
          <w:szCs w:val="24"/>
        </w:rPr>
        <w:t xml:space="preserve"> (administered 0-2min before meal or 20min after the start of a meal) and NovoRapid (administered 0-2min before meal) were associated with significant reductions in HbA1c from baseline.</w:t>
      </w:r>
    </w:p>
    <w:p w:rsidR="00F35323" w:rsidRPr="003A38F7" w:rsidRDefault="00F35323" w:rsidP="002F637F">
      <w:pPr>
        <w:pStyle w:val="ListParagraph"/>
        <w:widowControl/>
        <w:numPr>
          <w:ilvl w:val="0"/>
          <w:numId w:val="2"/>
        </w:numPr>
        <w:ind w:left="1134"/>
        <w:rPr>
          <w:rFonts w:asciiTheme="minorHAnsi" w:hAnsiTheme="minorHAnsi" w:cstheme="minorHAnsi"/>
          <w:iCs/>
          <w:szCs w:val="24"/>
        </w:rPr>
      </w:pPr>
      <w:r w:rsidRPr="003A38F7">
        <w:rPr>
          <w:rFonts w:asciiTheme="minorHAnsi" w:hAnsiTheme="minorHAnsi" w:cstheme="minorHAnsi"/>
          <w:iCs/>
          <w:szCs w:val="24"/>
        </w:rPr>
        <w:t xml:space="preserve">In patients with T1DM, the reductions in HbA1c were significantly larger for meal time </w:t>
      </w:r>
      <w:r w:rsidR="00195936">
        <w:rPr>
          <w:rFonts w:asciiTheme="minorHAnsi" w:hAnsiTheme="minorHAnsi" w:cstheme="minorHAnsi"/>
          <w:iCs/>
          <w:szCs w:val="24"/>
        </w:rPr>
        <w:t>Fiasp</w:t>
      </w:r>
      <w:r w:rsidR="005D2ECA">
        <w:rPr>
          <w:rFonts w:asciiTheme="minorHAnsi" w:hAnsiTheme="minorHAnsi" w:cstheme="minorHAnsi"/>
          <w:iCs/>
          <w:szCs w:val="24"/>
        </w:rPr>
        <w:t xml:space="preserve"> versus NovoRapid</w:t>
      </w:r>
      <w:r w:rsidRPr="003A38F7">
        <w:rPr>
          <w:rFonts w:asciiTheme="minorHAnsi" w:hAnsiTheme="minorHAnsi" w:cstheme="minorHAnsi"/>
          <w:iCs/>
          <w:szCs w:val="24"/>
        </w:rPr>
        <w:t xml:space="preserve"> in the onset 1 trial, at both 26 and 52 weeks, difference (95%CI): -0.15 (-0.23, -0.07) and -0.10 (-0.19, -0.00), supporting the conclusion of non-inferiority.</w:t>
      </w:r>
      <w:r w:rsidR="00713357">
        <w:rPr>
          <w:rFonts w:asciiTheme="minorHAnsi" w:hAnsiTheme="minorHAnsi" w:cstheme="minorHAnsi"/>
          <w:iCs/>
          <w:szCs w:val="24"/>
        </w:rPr>
        <w:t xml:space="preserve"> </w:t>
      </w:r>
      <w:r w:rsidR="008575EE" w:rsidRPr="003A38F7">
        <w:rPr>
          <w:rFonts w:asciiTheme="minorHAnsi" w:hAnsiTheme="minorHAnsi" w:cstheme="minorHAnsi"/>
          <w:iCs/>
          <w:szCs w:val="24"/>
        </w:rPr>
        <w:t>A</w:t>
      </w:r>
      <w:r w:rsidRPr="003A38F7">
        <w:rPr>
          <w:rFonts w:asciiTheme="minorHAnsi" w:hAnsiTheme="minorHAnsi" w:cstheme="minorHAnsi"/>
          <w:iCs/>
          <w:szCs w:val="24"/>
        </w:rPr>
        <w:t xml:space="preserve">s superiority was not part of the testing procedure, superiority of </w:t>
      </w:r>
      <w:r w:rsidR="00195936">
        <w:rPr>
          <w:rFonts w:asciiTheme="minorHAnsi" w:hAnsiTheme="minorHAnsi" w:cstheme="minorHAnsi"/>
          <w:iCs/>
          <w:szCs w:val="24"/>
        </w:rPr>
        <w:t>Fiasp</w:t>
      </w:r>
      <w:r w:rsidRPr="003A38F7">
        <w:rPr>
          <w:rFonts w:asciiTheme="minorHAnsi" w:hAnsiTheme="minorHAnsi" w:cstheme="minorHAnsi"/>
          <w:iCs/>
          <w:szCs w:val="24"/>
        </w:rPr>
        <w:t xml:space="preserve"> cannot be concluded from these results.</w:t>
      </w:r>
      <w:r w:rsidR="00713357">
        <w:rPr>
          <w:rFonts w:asciiTheme="minorHAnsi" w:hAnsiTheme="minorHAnsi" w:cstheme="minorHAnsi"/>
          <w:iCs/>
          <w:szCs w:val="24"/>
        </w:rPr>
        <w:t xml:space="preserve"> </w:t>
      </w:r>
      <w:r w:rsidRPr="003A38F7">
        <w:rPr>
          <w:rFonts w:asciiTheme="minorHAnsi" w:hAnsiTheme="minorHAnsi" w:cstheme="minorHAnsi"/>
          <w:iCs/>
          <w:szCs w:val="24"/>
        </w:rPr>
        <w:t xml:space="preserve">It was noted the direction of effect was opposite for </w:t>
      </w:r>
      <w:r w:rsidR="008575EE" w:rsidRPr="003A38F7">
        <w:rPr>
          <w:rFonts w:asciiTheme="minorHAnsi" w:hAnsiTheme="minorHAnsi" w:cstheme="minorHAnsi"/>
          <w:iCs/>
          <w:szCs w:val="24"/>
        </w:rPr>
        <w:t xml:space="preserve">the </w:t>
      </w:r>
      <w:r w:rsidRPr="003A38F7">
        <w:rPr>
          <w:rFonts w:asciiTheme="minorHAnsi" w:hAnsiTheme="minorHAnsi" w:cstheme="minorHAnsi"/>
          <w:iCs/>
          <w:szCs w:val="24"/>
        </w:rPr>
        <w:t xml:space="preserve">comparison of post meal </w:t>
      </w:r>
      <w:r w:rsidR="00195936">
        <w:rPr>
          <w:rFonts w:asciiTheme="minorHAnsi" w:hAnsiTheme="minorHAnsi" w:cstheme="minorHAnsi"/>
          <w:iCs/>
          <w:szCs w:val="24"/>
        </w:rPr>
        <w:t>Fiasp</w:t>
      </w:r>
      <w:r w:rsidRPr="003A38F7">
        <w:rPr>
          <w:rFonts w:asciiTheme="minorHAnsi" w:hAnsiTheme="minorHAnsi" w:cstheme="minorHAnsi"/>
          <w:iCs/>
          <w:szCs w:val="24"/>
        </w:rPr>
        <w:t xml:space="preserve"> versus NovoRapid (difference (95%CI): 0.04 (-0.04, 0.12)) and in onset 5 after 16 weeks of CSII administration (difference (95%CI): 0.09 (0.01, 0.17)).</w:t>
      </w:r>
      <w:r w:rsidR="00713357">
        <w:rPr>
          <w:rFonts w:asciiTheme="minorHAnsi" w:hAnsiTheme="minorHAnsi" w:cstheme="minorHAnsi"/>
          <w:iCs/>
          <w:szCs w:val="24"/>
        </w:rPr>
        <w:t xml:space="preserve"> </w:t>
      </w:r>
      <w:r w:rsidRPr="003A38F7">
        <w:rPr>
          <w:rFonts w:asciiTheme="minorHAnsi" w:hAnsiTheme="minorHAnsi" w:cstheme="minorHAnsi"/>
          <w:iCs/>
          <w:szCs w:val="24"/>
        </w:rPr>
        <w:t>However despite th</w:t>
      </w:r>
      <w:r w:rsidR="008575EE" w:rsidRPr="003A38F7">
        <w:rPr>
          <w:rFonts w:asciiTheme="minorHAnsi" w:hAnsiTheme="minorHAnsi" w:cstheme="minorHAnsi"/>
          <w:iCs/>
          <w:szCs w:val="24"/>
        </w:rPr>
        <w:t>is</w:t>
      </w:r>
      <w:r w:rsidRPr="003A38F7">
        <w:rPr>
          <w:rFonts w:asciiTheme="minorHAnsi" w:hAnsiTheme="minorHAnsi" w:cstheme="minorHAnsi"/>
          <w:iCs/>
          <w:szCs w:val="24"/>
        </w:rPr>
        <w:t>, as the results did not reach statistical significance and</w:t>
      </w:r>
      <w:r w:rsidR="00713357">
        <w:rPr>
          <w:rFonts w:asciiTheme="minorHAnsi" w:hAnsiTheme="minorHAnsi" w:cstheme="minorHAnsi"/>
          <w:iCs/>
          <w:szCs w:val="24"/>
        </w:rPr>
        <w:t xml:space="preserve"> </w:t>
      </w:r>
      <w:r w:rsidRPr="003A38F7">
        <w:rPr>
          <w:rFonts w:asciiTheme="minorHAnsi" w:hAnsiTheme="minorHAnsi" w:cstheme="minorHAnsi"/>
          <w:iCs/>
          <w:szCs w:val="24"/>
        </w:rPr>
        <w:t>the upper 95%CI of estimated mean differences in HbA1c did not exceed the predefined non-inferiority margin of 0.4%, a conclusion of non-inferiority appeared to be supported.</w:t>
      </w:r>
    </w:p>
    <w:p w:rsidR="00F35323" w:rsidRPr="003A38F7" w:rsidRDefault="00F35323" w:rsidP="002F637F">
      <w:pPr>
        <w:pStyle w:val="ListParagraph"/>
        <w:widowControl/>
        <w:numPr>
          <w:ilvl w:val="0"/>
          <w:numId w:val="2"/>
        </w:numPr>
        <w:ind w:left="1134"/>
        <w:rPr>
          <w:rFonts w:asciiTheme="minorHAnsi" w:hAnsiTheme="minorHAnsi" w:cstheme="minorHAnsi"/>
          <w:iCs/>
          <w:szCs w:val="24"/>
        </w:rPr>
      </w:pPr>
      <w:r w:rsidRPr="003A38F7">
        <w:rPr>
          <w:rFonts w:asciiTheme="minorHAnsi" w:hAnsiTheme="minorHAnsi" w:cstheme="minorHAnsi"/>
          <w:iCs/>
          <w:szCs w:val="24"/>
        </w:rPr>
        <w:t xml:space="preserve">For patients with T2DM, no significant difference was observed between meal time </w:t>
      </w:r>
      <w:r w:rsidR="00195936">
        <w:rPr>
          <w:rFonts w:asciiTheme="minorHAnsi" w:hAnsiTheme="minorHAnsi" w:cstheme="minorHAnsi"/>
          <w:iCs/>
          <w:szCs w:val="24"/>
        </w:rPr>
        <w:t>Fiasp</w:t>
      </w:r>
      <w:r w:rsidR="005D2ECA">
        <w:rPr>
          <w:rFonts w:asciiTheme="minorHAnsi" w:hAnsiTheme="minorHAnsi" w:cstheme="minorHAnsi"/>
          <w:iCs/>
          <w:szCs w:val="24"/>
        </w:rPr>
        <w:t xml:space="preserve"> and NovoRapid</w:t>
      </w:r>
      <w:r w:rsidRPr="003A38F7">
        <w:rPr>
          <w:rFonts w:asciiTheme="minorHAnsi" w:hAnsiTheme="minorHAnsi" w:cstheme="minorHAnsi"/>
          <w:iCs/>
          <w:szCs w:val="24"/>
        </w:rPr>
        <w:t xml:space="preserve"> with respect to HbA1c reduction in </w:t>
      </w:r>
      <w:r w:rsidR="00F24A37" w:rsidRPr="003A38F7">
        <w:rPr>
          <w:rFonts w:asciiTheme="minorHAnsi" w:hAnsiTheme="minorHAnsi" w:cstheme="minorHAnsi"/>
          <w:iCs/>
          <w:szCs w:val="24"/>
        </w:rPr>
        <w:t xml:space="preserve">the </w:t>
      </w:r>
      <w:r w:rsidRPr="003A38F7">
        <w:rPr>
          <w:rFonts w:asciiTheme="minorHAnsi" w:hAnsiTheme="minorHAnsi" w:cstheme="minorHAnsi"/>
          <w:iCs/>
          <w:szCs w:val="24"/>
        </w:rPr>
        <w:t>onset 2 trial (difference (95%CI): -0.02 (-0.15, 0.10)), satisfying non-inferiority.</w:t>
      </w:r>
    </w:p>
    <w:p w:rsidR="00F35323" w:rsidRPr="003A38F7" w:rsidRDefault="00F35323" w:rsidP="002F637F">
      <w:pPr>
        <w:pStyle w:val="ListParagraph"/>
        <w:widowControl/>
        <w:numPr>
          <w:ilvl w:val="0"/>
          <w:numId w:val="2"/>
        </w:numPr>
        <w:ind w:left="1134"/>
        <w:rPr>
          <w:rFonts w:asciiTheme="minorHAnsi" w:hAnsiTheme="minorHAnsi" w:cstheme="minorHAnsi"/>
          <w:iCs/>
          <w:szCs w:val="24"/>
        </w:rPr>
      </w:pPr>
      <w:r w:rsidRPr="003A38F7">
        <w:rPr>
          <w:rFonts w:asciiTheme="minorHAnsi" w:hAnsiTheme="minorHAnsi" w:cstheme="minorHAnsi"/>
          <w:iCs/>
          <w:szCs w:val="24"/>
        </w:rPr>
        <w:lastRenderedPageBreak/>
        <w:t xml:space="preserve">Supportive evidence also indicated there to be no significant difference between </w:t>
      </w:r>
      <w:r w:rsidR="00195936">
        <w:rPr>
          <w:rFonts w:asciiTheme="minorHAnsi" w:hAnsiTheme="minorHAnsi" w:cstheme="minorHAnsi"/>
          <w:iCs/>
          <w:szCs w:val="24"/>
        </w:rPr>
        <w:t>Fiasp</w:t>
      </w:r>
      <w:r w:rsidRPr="003A38F7">
        <w:rPr>
          <w:rFonts w:asciiTheme="minorHAnsi" w:hAnsiTheme="minorHAnsi" w:cstheme="minorHAnsi"/>
          <w:iCs/>
          <w:szCs w:val="24"/>
        </w:rPr>
        <w:t xml:space="preserve"> and NovoRapid® in terms of HbA1c responders (defined as achieving either HbA1c &lt;7% or ≤6.5%) in any of the included trials at any assessment time point.</w:t>
      </w:r>
    </w:p>
    <w:p w:rsidR="00F35323" w:rsidRPr="00E35188" w:rsidRDefault="00F35323" w:rsidP="002F637F">
      <w:pPr>
        <w:pStyle w:val="Heading3"/>
        <w:widowControl/>
        <w:spacing w:after="120"/>
        <w:rPr>
          <w:b/>
          <w:bCs/>
          <w:szCs w:val="20"/>
          <w:u w:val="none"/>
        </w:rPr>
      </w:pPr>
      <w:r w:rsidRPr="00E35188">
        <w:rPr>
          <w:b/>
          <w:bCs/>
          <w:szCs w:val="20"/>
          <w:u w:val="none"/>
        </w:rPr>
        <w:t>Other secondary outcomes of glucose control</w:t>
      </w:r>
    </w:p>
    <w:p w:rsidR="00F35323" w:rsidRPr="003A38F7" w:rsidRDefault="005D2ECA" w:rsidP="002F637F">
      <w:pPr>
        <w:pStyle w:val="ListParagraph"/>
        <w:widowControl/>
        <w:numPr>
          <w:ilvl w:val="1"/>
          <w:numId w:val="3"/>
        </w:numPr>
        <w:rPr>
          <w:rFonts w:asciiTheme="minorHAnsi" w:hAnsiTheme="minorHAnsi" w:cstheme="minorHAnsi"/>
          <w:iCs/>
          <w:szCs w:val="24"/>
        </w:rPr>
      </w:pPr>
      <w:r>
        <w:rPr>
          <w:rFonts w:asciiTheme="minorHAnsi" w:hAnsiTheme="minorHAnsi" w:cstheme="minorHAnsi"/>
          <w:iCs/>
          <w:szCs w:val="24"/>
        </w:rPr>
        <w:t>S</w:t>
      </w:r>
      <w:r w:rsidR="00F35323" w:rsidRPr="003A38F7">
        <w:rPr>
          <w:rFonts w:asciiTheme="minorHAnsi" w:hAnsiTheme="minorHAnsi" w:cstheme="minorHAnsi"/>
          <w:iCs/>
          <w:szCs w:val="24"/>
        </w:rPr>
        <w:t xml:space="preserve">econdary outcomes in glucose control generally supported the conclusion of non-inferiority between </w:t>
      </w:r>
      <w:r w:rsidR="00195936">
        <w:rPr>
          <w:rFonts w:asciiTheme="minorHAnsi" w:hAnsiTheme="minorHAnsi" w:cstheme="minorHAnsi"/>
          <w:iCs/>
          <w:szCs w:val="24"/>
        </w:rPr>
        <w:t>Fiasp</w:t>
      </w:r>
      <w:r w:rsidR="00F35323" w:rsidRPr="003A38F7">
        <w:rPr>
          <w:rFonts w:asciiTheme="minorHAnsi" w:hAnsiTheme="minorHAnsi" w:cstheme="minorHAnsi"/>
          <w:iCs/>
          <w:szCs w:val="24"/>
        </w:rPr>
        <w:t xml:space="preserve"> and NovoRapid, some notable results were:</w:t>
      </w:r>
    </w:p>
    <w:p w:rsidR="00F35323" w:rsidRPr="00736785" w:rsidRDefault="00F35323" w:rsidP="002F637F">
      <w:pPr>
        <w:pStyle w:val="ListParagraph"/>
        <w:widowControl/>
        <w:numPr>
          <w:ilvl w:val="1"/>
          <w:numId w:val="2"/>
        </w:numPr>
        <w:tabs>
          <w:tab w:val="left" w:pos="1134"/>
        </w:tabs>
        <w:ind w:left="1134"/>
        <w:rPr>
          <w:rFonts w:asciiTheme="minorHAnsi" w:hAnsiTheme="minorHAnsi" w:cstheme="minorHAnsi"/>
          <w:iCs/>
          <w:szCs w:val="24"/>
        </w:rPr>
      </w:pPr>
      <w:r w:rsidRPr="003A38F7">
        <w:rPr>
          <w:rFonts w:asciiTheme="minorHAnsi" w:hAnsiTheme="minorHAnsi" w:cstheme="minorHAnsi"/>
          <w:iCs/>
          <w:szCs w:val="24"/>
        </w:rPr>
        <w:t xml:space="preserve">In terms of difference in change from baseline in post prandial glucose (PPG) increment (meal test), owing to its faster onset of action, when administered at meal time, the results generally favoured </w:t>
      </w:r>
      <w:r w:rsidR="00195936">
        <w:rPr>
          <w:rFonts w:asciiTheme="minorHAnsi" w:hAnsiTheme="minorHAnsi" w:cstheme="minorHAnsi"/>
          <w:iCs/>
          <w:szCs w:val="24"/>
        </w:rPr>
        <w:t>Fiasp</w:t>
      </w:r>
      <w:r w:rsidRPr="003A38F7">
        <w:rPr>
          <w:rFonts w:asciiTheme="minorHAnsi" w:hAnsiTheme="minorHAnsi" w:cstheme="minorHAnsi"/>
          <w:iCs/>
          <w:szCs w:val="24"/>
        </w:rPr>
        <w:t xml:space="preserve"> and were statistical</w:t>
      </w:r>
      <w:r w:rsidR="00F24A37" w:rsidRPr="003A38F7">
        <w:rPr>
          <w:rFonts w:asciiTheme="minorHAnsi" w:hAnsiTheme="minorHAnsi" w:cstheme="minorHAnsi"/>
          <w:iCs/>
          <w:szCs w:val="24"/>
        </w:rPr>
        <w:t>ly</w:t>
      </w:r>
      <w:r w:rsidRPr="003A38F7">
        <w:rPr>
          <w:rFonts w:asciiTheme="minorHAnsi" w:hAnsiTheme="minorHAnsi" w:cstheme="minorHAnsi"/>
          <w:iCs/>
          <w:szCs w:val="24"/>
        </w:rPr>
        <w:t xml:space="preserve"> significant for measurements taken 1 hour post meal.</w:t>
      </w:r>
      <w:r w:rsidR="00713357">
        <w:rPr>
          <w:rFonts w:asciiTheme="minorHAnsi" w:hAnsiTheme="minorHAnsi" w:cstheme="minorHAnsi"/>
          <w:iCs/>
          <w:szCs w:val="24"/>
        </w:rPr>
        <w:t xml:space="preserve"> </w:t>
      </w:r>
      <w:r w:rsidRPr="003A38F7">
        <w:rPr>
          <w:rFonts w:asciiTheme="minorHAnsi" w:hAnsiTheme="minorHAnsi" w:cstheme="minorHAnsi"/>
          <w:iCs/>
          <w:szCs w:val="24"/>
        </w:rPr>
        <w:t xml:space="preserve">However, by 2 hours post meal, the differences were no longer significant except for </w:t>
      </w:r>
      <w:r w:rsidR="001E3FE9" w:rsidRPr="003A38F7">
        <w:rPr>
          <w:rFonts w:asciiTheme="minorHAnsi" w:hAnsiTheme="minorHAnsi" w:cstheme="minorHAnsi"/>
          <w:iCs/>
          <w:szCs w:val="24"/>
        </w:rPr>
        <w:t xml:space="preserve">in </w:t>
      </w:r>
      <w:r w:rsidRPr="003A38F7">
        <w:rPr>
          <w:rFonts w:asciiTheme="minorHAnsi" w:hAnsiTheme="minorHAnsi" w:cstheme="minorHAnsi"/>
          <w:iCs/>
          <w:szCs w:val="24"/>
        </w:rPr>
        <w:t>onset 1 at 26 weeks and in onset 5 at 16 weeks.</w:t>
      </w:r>
      <w:r w:rsidR="00713357">
        <w:rPr>
          <w:rFonts w:asciiTheme="minorHAnsi" w:hAnsiTheme="minorHAnsi" w:cstheme="minorHAnsi"/>
          <w:iCs/>
          <w:szCs w:val="24"/>
        </w:rPr>
        <w:t xml:space="preserve"> </w:t>
      </w:r>
      <w:r w:rsidRPr="003A38F7">
        <w:rPr>
          <w:rFonts w:asciiTheme="minorHAnsi" w:hAnsiTheme="minorHAnsi" w:cstheme="minorHAnsi"/>
          <w:iCs/>
          <w:szCs w:val="24"/>
        </w:rPr>
        <w:t xml:space="preserve">Importantly, it was noted that post meal </w:t>
      </w:r>
      <w:r w:rsidR="00195936">
        <w:rPr>
          <w:rFonts w:asciiTheme="minorHAnsi" w:hAnsiTheme="minorHAnsi" w:cstheme="minorHAnsi"/>
          <w:iCs/>
          <w:szCs w:val="24"/>
        </w:rPr>
        <w:t>Fiasp</w:t>
      </w:r>
      <w:r w:rsidRPr="003A38F7">
        <w:rPr>
          <w:rFonts w:asciiTheme="minorHAnsi" w:hAnsiTheme="minorHAnsi" w:cstheme="minorHAnsi"/>
          <w:iCs/>
          <w:szCs w:val="24"/>
        </w:rPr>
        <w:t xml:space="preserve"> performed sig</w:t>
      </w:r>
      <w:r w:rsidR="008A7BEF">
        <w:rPr>
          <w:rFonts w:asciiTheme="minorHAnsi" w:hAnsiTheme="minorHAnsi" w:cstheme="minorHAnsi"/>
          <w:iCs/>
          <w:szCs w:val="24"/>
        </w:rPr>
        <w:t>nificantly worse than NovoRapid</w:t>
      </w:r>
      <w:r w:rsidRPr="003A38F7">
        <w:rPr>
          <w:rFonts w:asciiTheme="minorHAnsi" w:hAnsiTheme="minorHAnsi" w:cstheme="minorHAnsi"/>
          <w:iCs/>
          <w:szCs w:val="24"/>
        </w:rPr>
        <w:t xml:space="preserve"> in the 1 hour post meal PPG test (difference (95%CI): 0.93 (0.46, 1.40)</w:t>
      </w:r>
      <w:r w:rsidR="001E3FE9" w:rsidRPr="003A38F7">
        <w:rPr>
          <w:rFonts w:asciiTheme="minorHAnsi" w:hAnsiTheme="minorHAnsi" w:cstheme="minorHAnsi"/>
          <w:iCs/>
          <w:szCs w:val="24"/>
        </w:rPr>
        <w:t>)</w:t>
      </w:r>
      <w:r w:rsidRPr="003A38F7">
        <w:rPr>
          <w:rFonts w:asciiTheme="minorHAnsi" w:hAnsiTheme="minorHAnsi" w:cstheme="minorHAnsi"/>
          <w:iCs/>
          <w:szCs w:val="24"/>
        </w:rPr>
        <w:t>, however the difference was no longer significant at the 2 hour mark (difference (95%CI): 0.30 (-0.34, 0.93)).</w:t>
      </w:r>
      <w:r w:rsidR="009D1300">
        <w:rPr>
          <w:rFonts w:asciiTheme="minorHAnsi" w:hAnsiTheme="minorHAnsi" w:cstheme="minorHAnsi"/>
          <w:iCs/>
          <w:szCs w:val="24"/>
        </w:rPr>
        <w:t xml:space="preserve"> </w:t>
      </w:r>
      <w:r w:rsidR="009D1300" w:rsidRPr="00736785">
        <w:rPr>
          <w:color w:val="000000" w:themeColor="text1"/>
          <w:szCs w:val="24"/>
        </w:rPr>
        <w:t xml:space="preserve">The Pre-Sub Committee Response (PSCR) reiterated the sponsor’s view that the reduction in post prandial glucose (PPG) at 1 and 2 hours post meal was clinically significant; however, the ESC </w:t>
      </w:r>
      <w:r w:rsidR="008A7BEF">
        <w:rPr>
          <w:color w:val="000000" w:themeColor="text1"/>
          <w:szCs w:val="24"/>
        </w:rPr>
        <w:t>questioned</w:t>
      </w:r>
      <w:r w:rsidR="009D1300" w:rsidRPr="00736785">
        <w:rPr>
          <w:color w:val="000000" w:themeColor="text1"/>
          <w:szCs w:val="24"/>
        </w:rPr>
        <w:t xml:space="preserve"> whether the dosing flexibility is clinically meaningful for patients.  Further, the ESC considered that there was a lack of data in patients with Type 2 Diabetes Mellitus (T2DM), particularly in relation to post prandial hypoglycaemia.</w:t>
      </w:r>
    </w:p>
    <w:p w:rsidR="00F35323" w:rsidRPr="00C54AAF" w:rsidRDefault="00F35323" w:rsidP="002F637F">
      <w:pPr>
        <w:pStyle w:val="ListParagraph"/>
        <w:widowControl/>
        <w:numPr>
          <w:ilvl w:val="1"/>
          <w:numId w:val="2"/>
        </w:numPr>
        <w:tabs>
          <w:tab w:val="left" w:pos="1134"/>
        </w:tabs>
        <w:ind w:left="1134"/>
        <w:rPr>
          <w:rFonts w:asciiTheme="minorHAnsi" w:hAnsiTheme="minorHAnsi" w:cstheme="minorHAnsi"/>
          <w:iCs/>
          <w:szCs w:val="24"/>
        </w:rPr>
      </w:pPr>
      <w:r w:rsidRPr="003A38F7">
        <w:rPr>
          <w:rFonts w:asciiTheme="minorHAnsi" w:hAnsiTheme="minorHAnsi" w:cstheme="minorHAnsi"/>
          <w:iCs/>
          <w:szCs w:val="24"/>
        </w:rPr>
        <w:t xml:space="preserve">Overall, no meaningful differences were observed in the number of severe or blood glucose (BG) confirmed hypoglycaemic events between </w:t>
      </w:r>
      <w:r w:rsidR="00195936">
        <w:rPr>
          <w:rFonts w:asciiTheme="minorHAnsi" w:hAnsiTheme="minorHAnsi" w:cstheme="minorHAnsi"/>
          <w:iCs/>
          <w:szCs w:val="24"/>
        </w:rPr>
        <w:t>Fiasp</w:t>
      </w:r>
      <w:r w:rsidRPr="003A38F7">
        <w:rPr>
          <w:rFonts w:asciiTheme="minorHAnsi" w:hAnsiTheme="minorHAnsi" w:cstheme="minorHAnsi"/>
          <w:iCs/>
          <w:szCs w:val="24"/>
        </w:rPr>
        <w:t xml:space="preserve"> and NovoRapid.</w:t>
      </w:r>
      <w:r w:rsidR="00713357">
        <w:rPr>
          <w:rFonts w:asciiTheme="minorHAnsi" w:hAnsiTheme="minorHAnsi" w:cstheme="minorHAnsi"/>
          <w:iCs/>
          <w:szCs w:val="24"/>
        </w:rPr>
        <w:t xml:space="preserve"> </w:t>
      </w:r>
      <w:r w:rsidRPr="003A38F7">
        <w:rPr>
          <w:rFonts w:asciiTheme="minorHAnsi" w:hAnsiTheme="minorHAnsi" w:cstheme="minorHAnsi"/>
          <w:iCs/>
          <w:szCs w:val="24"/>
        </w:rPr>
        <w:t xml:space="preserve">Numerically, fewer events were observed for T1DM patients in onset 1 for patients treated with </w:t>
      </w:r>
      <w:r w:rsidR="00195936">
        <w:rPr>
          <w:rFonts w:asciiTheme="minorHAnsi" w:hAnsiTheme="minorHAnsi" w:cstheme="minorHAnsi"/>
          <w:iCs/>
          <w:szCs w:val="24"/>
        </w:rPr>
        <w:t>Fiasp</w:t>
      </w:r>
      <w:r w:rsidRPr="003A38F7">
        <w:rPr>
          <w:rFonts w:asciiTheme="minorHAnsi" w:hAnsiTheme="minorHAnsi" w:cstheme="minorHAnsi"/>
          <w:iCs/>
          <w:szCs w:val="24"/>
        </w:rPr>
        <w:t xml:space="preserve"> (including significantly fewer patients with events) whereas more events were observed for </w:t>
      </w:r>
      <w:r w:rsidR="00195936">
        <w:rPr>
          <w:rFonts w:asciiTheme="minorHAnsi" w:hAnsiTheme="minorHAnsi" w:cstheme="minorHAnsi"/>
          <w:iCs/>
          <w:szCs w:val="24"/>
        </w:rPr>
        <w:t>Fiasp</w:t>
      </w:r>
      <w:r w:rsidRPr="003A38F7">
        <w:rPr>
          <w:rFonts w:asciiTheme="minorHAnsi" w:hAnsiTheme="minorHAnsi" w:cstheme="minorHAnsi"/>
          <w:iCs/>
          <w:szCs w:val="24"/>
        </w:rPr>
        <w:t xml:space="preserve"> treated patients in the T2DM trial (onset 2) and the T1DM CSII trials (onset 4 and onset 5).</w:t>
      </w:r>
      <w:r w:rsidR="00FF5818">
        <w:rPr>
          <w:rFonts w:asciiTheme="minorHAnsi" w:hAnsiTheme="minorHAnsi" w:cstheme="minorHAnsi"/>
          <w:iCs/>
          <w:szCs w:val="24"/>
        </w:rPr>
        <w:t xml:space="preserve"> </w:t>
      </w:r>
      <w:r w:rsidR="00FF5818" w:rsidRPr="00C54AAF">
        <w:rPr>
          <w:rFonts w:asciiTheme="minorHAnsi" w:hAnsiTheme="minorHAnsi" w:cstheme="minorHAnsi"/>
          <w:iCs/>
          <w:szCs w:val="24"/>
        </w:rPr>
        <w:t xml:space="preserve">The ESC noted that for the single trial presented for T2DM patients, there were numerically more hypoglycaemic events observed in the </w:t>
      </w:r>
      <w:r w:rsidR="00195936">
        <w:rPr>
          <w:rFonts w:asciiTheme="minorHAnsi" w:hAnsiTheme="minorHAnsi" w:cstheme="minorHAnsi"/>
          <w:iCs/>
          <w:szCs w:val="24"/>
        </w:rPr>
        <w:t>Fiasp</w:t>
      </w:r>
      <w:r w:rsidR="00FF5818" w:rsidRPr="00C54AAF">
        <w:rPr>
          <w:rFonts w:asciiTheme="minorHAnsi" w:hAnsiTheme="minorHAnsi" w:cstheme="minorHAnsi"/>
          <w:iCs/>
          <w:szCs w:val="24"/>
        </w:rPr>
        <w:t xml:space="preserve"> trial arm.</w:t>
      </w:r>
    </w:p>
    <w:p w:rsidR="00F35323" w:rsidRPr="003A38F7" w:rsidRDefault="00F35323" w:rsidP="002F637F">
      <w:pPr>
        <w:pStyle w:val="ListParagraph"/>
        <w:widowControl/>
        <w:numPr>
          <w:ilvl w:val="1"/>
          <w:numId w:val="2"/>
        </w:numPr>
        <w:tabs>
          <w:tab w:val="left" w:pos="1134"/>
        </w:tabs>
        <w:ind w:left="1134"/>
        <w:rPr>
          <w:rFonts w:asciiTheme="minorHAnsi" w:hAnsiTheme="minorHAnsi" w:cstheme="minorHAnsi"/>
          <w:iCs/>
          <w:szCs w:val="24"/>
        </w:rPr>
      </w:pPr>
      <w:r w:rsidRPr="003A38F7">
        <w:rPr>
          <w:rFonts w:asciiTheme="minorHAnsi" w:hAnsiTheme="minorHAnsi" w:cstheme="minorHAnsi"/>
          <w:iCs/>
          <w:szCs w:val="24"/>
        </w:rPr>
        <w:t>The mean body weight of trial participants generally increased over the trial duration (0.36-2.68kg)</w:t>
      </w:r>
      <w:r w:rsidR="001E3FE9" w:rsidRPr="003A38F7">
        <w:rPr>
          <w:rFonts w:asciiTheme="minorHAnsi" w:hAnsiTheme="minorHAnsi" w:cstheme="minorHAnsi"/>
          <w:iCs/>
          <w:szCs w:val="24"/>
        </w:rPr>
        <w:t>,</w:t>
      </w:r>
      <w:r w:rsidRPr="003A38F7">
        <w:rPr>
          <w:rFonts w:asciiTheme="minorHAnsi" w:hAnsiTheme="minorHAnsi" w:cstheme="minorHAnsi"/>
          <w:iCs/>
          <w:szCs w:val="24"/>
        </w:rPr>
        <w:t xml:space="preserve"> but were generally similar between those treated with </w:t>
      </w:r>
      <w:r w:rsidR="00195936">
        <w:rPr>
          <w:rFonts w:asciiTheme="minorHAnsi" w:hAnsiTheme="minorHAnsi" w:cstheme="minorHAnsi"/>
          <w:iCs/>
          <w:szCs w:val="24"/>
        </w:rPr>
        <w:t>Fiasp</w:t>
      </w:r>
      <w:r w:rsidRPr="003A38F7">
        <w:rPr>
          <w:rFonts w:asciiTheme="minorHAnsi" w:hAnsiTheme="minorHAnsi" w:cstheme="minorHAnsi"/>
          <w:iCs/>
          <w:szCs w:val="24"/>
        </w:rPr>
        <w:t xml:space="preserve"> and NovoRapid.</w:t>
      </w:r>
      <w:r w:rsidR="00713357">
        <w:rPr>
          <w:rFonts w:asciiTheme="minorHAnsi" w:hAnsiTheme="minorHAnsi" w:cstheme="minorHAnsi"/>
          <w:iCs/>
          <w:szCs w:val="24"/>
        </w:rPr>
        <w:t xml:space="preserve"> </w:t>
      </w:r>
      <w:r w:rsidRPr="003A38F7">
        <w:rPr>
          <w:rFonts w:asciiTheme="minorHAnsi" w:hAnsiTheme="minorHAnsi" w:cstheme="minorHAnsi"/>
          <w:iCs/>
          <w:szCs w:val="24"/>
        </w:rPr>
        <w:t>In onset 5, although the weight increase from baseline after 16 weeks was statistically sig</w:t>
      </w:r>
      <w:r w:rsidR="00B15310">
        <w:rPr>
          <w:rFonts w:asciiTheme="minorHAnsi" w:hAnsiTheme="minorHAnsi" w:cstheme="minorHAnsi"/>
          <w:iCs/>
          <w:szCs w:val="24"/>
        </w:rPr>
        <w:t>nificantly larger for NovoRapid</w:t>
      </w:r>
      <w:r w:rsidRPr="003A38F7">
        <w:rPr>
          <w:rFonts w:asciiTheme="minorHAnsi" w:hAnsiTheme="minorHAnsi" w:cstheme="minorHAnsi"/>
          <w:iCs/>
          <w:szCs w:val="24"/>
        </w:rPr>
        <w:t xml:space="preserve"> versus </w:t>
      </w:r>
      <w:r w:rsidR="00195936">
        <w:rPr>
          <w:rFonts w:asciiTheme="minorHAnsi" w:hAnsiTheme="minorHAnsi" w:cstheme="minorHAnsi"/>
          <w:iCs/>
          <w:szCs w:val="24"/>
        </w:rPr>
        <w:t>Fiasp</w:t>
      </w:r>
      <w:r w:rsidR="00B15310">
        <w:rPr>
          <w:rFonts w:asciiTheme="minorHAnsi" w:hAnsiTheme="minorHAnsi" w:cstheme="minorHAnsi"/>
          <w:iCs/>
          <w:szCs w:val="24"/>
        </w:rPr>
        <w:t>, the submission</w:t>
      </w:r>
      <w:r w:rsidRPr="003A38F7">
        <w:rPr>
          <w:rFonts w:asciiTheme="minorHAnsi" w:hAnsiTheme="minorHAnsi" w:cstheme="minorHAnsi"/>
          <w:iCs/>
          <w:szCs w:val="24"/>
        </w:rPr>
        <w:t xml:space="preserve"> did not consider this small difference (-0.43kg (95%CI: -0.81, -0.06)) to be clinically relevant.</w:t>
      </w:r>
    </w:p>
    <w:p w:rsidR="00F35323" w:rsidRDefault="00F35323" w:rsidP="002F637F">
      <w:pPr>
        <w:pStyle w:val="Heading3"/>
        <w:widowControl/>
        <w:spacing w:after="120"/>
        <w:rPr>
          <w:b/>
          <w:bCs/>
          <w:szCs w:val="20"/>
          <w:u w:val="none"/>
        </w:rPr>
      </w:pPr>
      <w:r w:rsidRPr="00E35188">
        <w:rPr>
          <w:b/>
          <w:bCs/>
          <w:szCs w:val="20"/>
          <w:u w:val="none"/>
        </w:rPr>
        <w:t>Occlusion events in infusion sets</w:t>
      </w:r>
    </w:p>
    <w:p w:rsidR="00F35323" w:rsidRPr="00C54AAF" w:rsidRDefault="00F35323" w:rsidP="002F637F">
      <w:pPr>
        <w:pStyle w:val="ListParagraph"/>
        <w:widowControl/>
        <w:numPr>
          <w:ilvl w:val="1"/>
          <w:numId w:val="3"/>
        </w:numPr>
      </w:pPr>
      <w:r w:rsidRPr="00AA010F">
        <w:t xml:space="preserve">Occlusion </w:t>
      </w:r>
      <w:r w:rsidRPr="00AA010F">
        <w:rPr>
          <w:rFonts w:asciiTheme="minorHAnsi" w:hAnsiTheme="minorHAnsi" w:cstheme="minorHAnsi"/>
          <w:iCs/>
          <w:szCs w:val="24"/>
        </w:rPr>
        <w:t>events</w:t>
      </w:r>
      <w:r w:rsidRPr="00AA010F">
        <w:t xml:space="preserve"> in the CSII trials (onset 4 and onset 5)</w:t>
      </w:r>
      <w:r w:rsidR="00026284">
        <w:t>:</w:t>
      </w:r>
      <w:r w:rsidRPr="00AA010F">
        <w:t xml:space="preserve"> </w:t>
      </w:r>
      <w:r w:rsidRPr="00E35188">
        <w:t>no microscopically confirmed occlusive events were observed in the 6 week treatment duration of trial onset 4.</w:t>
      </w:r>
      <w:r w:rsidR="00713357">
        <w:t xml:space="preserve"> </w:t>
      </w:r>
      <w:r w:rsidRPr="00E35188">
        <w:t>There were however</w:t>
      </w:r>
      <w:r w:rsidR="001E3FE9">
        <w:t>,</w:t>
      </w:r>
      <w:r w:rsidRPr="00E35188">
        <w:t xml:space="preserve"> 7 possible but unconfirmed set occlusions (reported </w:t>
      </w:r>
      <w:r w:rsidRPr="00E35188">
        <w:lastRenderedPageBreak/>
        <w:t xml:space="preserve">by 5 (20%) of the patients) </w:t>
      </w:r>
      <w:r w:rsidR="00017066">
        <w:t xml:space="preserve">for patients treated with </w:t>
      </w:r>
      <w:r w:rsidR="00195936">
        <w:t>Fiasp</w:t>
      </w:r>
      <w:r w:rsidR="00017066">
        <w:t xml:space="preserve"> </w:t>
      </w:r>
      <w:r w:rsidRPr="00E35188">
        <w:t>and none for those treated with NovoRapid.</w:t>
      </w:r>
      <w:r w:rsidR="00713357">
        <w:t xml:space="preserve"> </w:t>
      </w:r>
      <w:r w:rsidRPr="00EF34F5">
        <w:rPr>
          <w:rFonts w:cs="Calibri"/>
        </w:rPr>
        <w:t xml:space="preserve">In the onset 5 trial, </w:t>
      </w:r>
      <w:r w:rsidRPr="00763A28">
        <w:rPr>
          <w:rFonts w:cs="Calibri"/>
          <w:iCs/>
        </w:rPr>
        <w:t>significantly</w:t>
      </w:r>
      <w:r w:rsidRPr="00763A28">
        <w:rPr>
          <w:rFonts w:cs="Calibri"/>
        </w:rPr>
        <w:t xml:space="preserve"> </w:t>
      </w:r>
      <w:r w:rsidRPr="00EF34F5">
        <w:rPr>
          <w:rFonts w:cs="Calibri"/>
        </w:rPr>
        <w:t xml:space="preserve">more patients reported non-routine changes of infusion set with </w:t>
      </w:r>
      <w:r w:rsidR="00195936">
        <w:t>Fiasp</w:t>
      </w:r>
      <w:r w:rsidR="00B15310">
        <w:t xml:space="preserve"> </w:t>
      </w:r>
      <w:r w:rsidRPr="00E35188">
        <w:t xml:space="preserve">(CSII) compared with </w:t>
      </w:r>
      <w:r w:rsidR="00B15310">
        <w:rPr>
          <w:rFonts w:cs="Calibri"/>
        </w:rPr>
        <w:t xml:space="preserve">NovoRapid </w:t>
      </w:r>
      <w:r w:rsidRPr="00EF34F5">
        <w:rPr>
          <w:rFonts w:cs="Calibri"/>
        </w:rPr>
        <w:t>(CSII) (71.2% versus 57.2%)</w:t>
      </w:r>
      <w:r w:rsidR="00017066">
        <w:rPr>
          <w:rFonts w:cs="Calibri"/>
        </w:rPr>
        <w:t>;</w:t>
      </w:r>
      <w:r w:rsidRPr="00EF34F5">
        <w:rPr>
          <w:rFonts w:cs="Calibri"/>
        </w:rPr>
        <w:t xml:space="preserve"> however</w:t>
      </w:r>
      <w:r w:rsidR="00017066">
        <w:rPr>
          <w:rFonts w:cs="Calibri"/>
        </w:rPr>
        <w:t>,</w:t>
      </w:r>
      <w:r w:rsidRPr="00EF34F5">
        <w:rPr>
          <w:rFonts w:cs="Calibri"/>
        </w:rPr>
        <w:t xml:space="preserve"> despite this, a similar rate of non-routine infusion set changes per 100 person years was observed with </w:t>
      </w:r>
      <w:r w:rsidR="00195936">
        <w:t>Fiasp</w:t>
      </w:r>
      <w:r w:rsidR="00B15310">
        <w:t xml:space="preserve"> </w:t>
      </w:r>
      <w:r w:rsidRPr="00E35188">
        <w:t xml:space="preserve">(CSII) compared to </w:t>
      </w:r>
      <w:r w:rsidRPr="00EF34F5">
        <w:rPr>
          <w:rFonts w:cs="Calibri"/>
        </w:rPr>
        <w:t>NovoRapid</w:t>
      </w:r>
      <w:r w:rsidR="00B15310">
        <w:rPr>
          <w:rFonts w:cs="Calibri"/>
        </w:rPr>
        <w:t xml:space="preserve"> </w:t>
      </w:r>
      <w:r w:rsidRPr="00EF34F5">
        <w:rPr>
          <w:rFonts w:cs="Calibri"/>
        </w:rPr>
        <w:t>(CSII) (697 versus 668).</w:t>
      </w:r>
      <w:r w:rsidR="00713357">
        <w:t xml:space="preserve"> </w:t>
      </w:r>
      <w:r w:rsidRPr="00EF34F5">
        <w:rPr>
          <w:rFonts w:cs="Calibri"/>
        </w:rPr>
        <w:t>The most frequently reported reason contributing to this was problems related to the infusion set.</w:t>
      </w:r>
      <w:r w:rsidR="00713357">
        <w:rPr>
          <w:rFonts w:cs="Calibri"/>
        </w:rPr>
        <w:t xml:space="preserve"> </w:t>
      </w:r>
      <w:r w:rsidRPr="00EF34F5">
        <w:rPr>
          <w:rFonts w:cs="Calibri"/>
        </w:rPr>
        <w:t xml:space="preserve">Changes in the category ‘infusion site reaction’ were numerically </w:t>
      </w:r>
      <w:r w:rsidRPr="003A38F7">
        <w:rPr>
          <w:rFonts w:cs="Calibri"/>
        </w:rPr>
        <w:t xml:space="preserve">higher for </w:t>
      </w:r>
      <w:r w:rsidR="00195936">
        <w:rPr>
          <w:rFonts w:cs="Calibri"/>
        </w:rPr>
        <w:t>Fiasp</w:t>
      </w:r>
      <w:r w:rsidRPr="003A38F7">
        <w:rPr>
          <w:rFonts w:cs="Calibri"/>
        </w:rPr>
        <w:t>.</w:t>
      </w:r>
      <w:r w:rsidR="00713357">
        <w:rPr>
          <w:rFonts w:cs="Calibri"/>
        </w:rPr>
        <w:t xml:space="preserve"> </w:t>
      </w:r>
      <w:r w:rsidRPr="003A38F7">
        <w:rPr>
          <w:rFonts w:cs="Calibri"/>
        </w:rPr>
        <w:t xml:space="preserve">A similar rate of changes in the category ‘any problems related to the infusion set’ was observed, despite a higher proportion of subjects with </w:t>
      </w:r>
      <w:r w:rsidR="00195936">
        <w:rPr>
          <w:rFonts w:cs="Calibri"/>
        </w:rPr>
        <w:t>Fiasp</w:t>
      </w:r>
      <w:r w:rsidRPr="003A38F7">
        <w:rPr>
          <w:rFonts w:cs="Calibri"/>
        </w:rPr>
        <w:t xml:space="preserve"> than with N</w:t>
      </w:r>
      <w:r w:rsidR="00B15310">
        <w:rPr>
          <w:rFonts w:cs="Calibri"/>
        </w:rPr>
        <w:t>ovoRapid</w:t>
      </w:r>
      <w:r w:rsidRPr="003A38F7">
        <w:rPr>
          <w:rFonts w:cs="Calibri"/>
        </w:rPr>
        <w:t>.</w:t>
      </w:r>
      <w:r w:rsidR="00713357">
        <w:rPr>
          <w:rFonts w:cs="Calibri"/>
        </w:rPr>
        <w:t xml:space="preserve"> </w:t>
      </w:r>
      <w:r w:rsidRPr="003A38F7">
        <w:rPr>
          <w:iCs/>
        </w:rPr>
        <w:t xml:space="preserve">It is uncertain whether a higher proportion of patients with infusion set issues with </w:t>
      </w:r>
      <w:r w:rsidR="00195936">
        <w:rPr>
          <w:iCs/>
        </w:rPr>
        <w:t>Fiasp</w:t>
      </w:r>
      <w:r w:rsidRPr="003A38F7">
        <w:rPr>
          <w:iCs/>
        </w:rPr>
        <w:t xml:space="preserve"> is likely to have resource implications in clinical practice.</w:t>
      </w:r>
      <w:r w:rsidR="00713357">
        <w:rPr>
          <w:iCs/>
        </w:rPr>
        <w:t xml:space="preserve"> </w:t>
      </w:r>
      <w:r w:rsidR="00660434" w:rsidRPr="00C54AAF">
        <w:rPr>
          <w:iCs/>
        </w:rPr>
        <w:t xml:space="preserve">The ESC noted that the most common use of </w:t>
      </w:r>
      <w:r w:rsidR="00195936">
        <w:rPr>
          <w:iCs/>
        </w:rPr>
        <w:t>Fiasp</w:t>
      </w:r>
      <w:r w:rsidR="00660434" w:rsidRPr="00C54AAF">
        <w:rPr>
          <w:iCs/>
        </w:rPr>
        <w:t xml:space="preserve"> may be in patients with insulin pumps and noted the</w:t>
      </w:r>
      <w:r w:rsidR="001F4D0B" w:rsidRPr="00C54AAF">
        <w:rPr>
          <w:iCs/>
        </w:rPr>
        <w:t xml:space="preserve"> </w:t>
      </w:r>
      <w:r w:rsidR="00763A28" w:rsidRPr="00C54AAF">
        <w:rPr>
          <w:iCs/>
        </w:rPr>
        <w:t xml:space="preserve">higher </w:t>
      </w:r>
      <w:r w:rsidR="001F4D0B" w:rsidRPr="00C54AAF">
        <w:rPr>
          <w:iCs/>
        </w:rPr>
        <w:t>number of</w:t>
      </w:r>
      <w:r w:rsidR="00660434" w:rsidRPr="00C54AAF">
        <w:rPr>
          <w:iCs/>
        </w:rPr>
        <w:t xml:space="preserve"> occlusion events observed in the </w:t>
      </w:r>
      <w:r w:rsidR="00195936">
        <w:rPr>
          <w:iCs/>
        </w:rPr>
        <w:t>Fiasp</w:t>
      </w:r>
      <w:r w:rsidR="00660434" w:rsidRPr="00C54AAF">
        <w:rPr>
          <w:iCs/>
        </w:rPr>
        <w:t xml:space="preserve"> trial arms</w:t>
      </w:r>
      <w:r w:rsidR="00813028" w:rsidRPr="00C54AAF">
        <w:rPr>
          <w:iCs/>
        </w:rPr>
        <w:t xml:space="preserve"> which</w:t>
      </w:r>
      <w:r w:rsidR="00660434" w:rsidRPr="00C54AAF">
        <w:rPr>
          <w:iCs/>
        </w:rPr>
        <w:t xml:space="preserve"> may translate to increased infusion set changes and associated costs in the real world setting.</w:t>
      </w:r>
    </w:p>
    <w:p w:rsidR="00B60939" w:rsidRPr="00E35188" w:rsidRDefault="00B60939" w:rsidP="002F637F">
      <w:pPr>
        <w:pStyle w:val="Heading2"/>
        <w:widowControl/>
      </w:pPr>
      <w:bookmarkStart w:id="13" w:name="_Toc521797533"/>
      <w:r w:rsidRPr="00E35188">
        <w:t>Comparative harms</w:t>
      </w:r>
      <w:bookmarkEnd w:id="13"/>
    </w:p>
    <w:p w:rsidR="00EA754B" w:rsidRPr="003A38F7" w:rsidRDefault="00EA754B" w:rsidP="002F637F">
      <w:pPr>
        <w:pStyle w:val="ListParagraph"/>
        <w:widowControl/>
        <w:numPr>
          <w:ilvl w:val="1"/>
          <w:numId w:val="3"/>
        </w:numPr>
        <w:rPr>
          <w:color w:val="000000" w:themeColor="text1"/>
        </w:rPr>
      </w:pPr>
      <w:r w:rsidRPr="003A38F7">
        <w:rPr>
          <w:color w:val="000000" w:themeColor="text1"/>
        </w:rPr>
        <w:t>The incidence of any AE, serious AE, and discontinuations due to AE, were similar between the treatment groups.</w:t>
      </w:r>
      <w:r w:rsidR="00713357">
        <w:rPr>
          <w:color w:val="000000" w:themeColor="text1"/>
        </w:rPr>
        <w:t xml:space="preserve"> </w:t>
      </w:r>
      <w:r w:rsidRPr="003A38F7">
        <w:rPr>
          <w:color w:val="000000" w:themeColor="text1"/>
        </w:rPr>
        <w:t xml:space="preserve">The most frequently reported AEs for both </w:t>
      </w:r>
      <w:r w:rsidR="00195936">
        <w:rPr>
          <w:color w:val="000000" w:themeColor="text1"/>
        </w:rPr>
        <w:t>Fiasp</w:t>
      </w:r>
      <w:r w:rsidRPr="003A38F7">
        <w:rPr>
          <w:color w:val="000000" w:themeColor="text1"/>
        </w:rPr>
        <w:t xml:space="preserve"> and NovoRapid were nasopharyngitis (onset 1, 2 and 4), and upper respiratory tract infection (onset 1, 2 and 5).</w:t>
      </w:r>
      <w:r w:rsidR="00713357">
        <w:rPr>
          <w:color w:val="000000" w:themeColor="text1"/>
        </w:rPr>
        <w:t xml:space="preserve"> </w:t>
      </w:r>
      <w:r w:rsidRPr="003A38F7">
        <w:rPr>
          <w:color w:val="000000" w:themeColor="text1"/>
        </w:rPr>
        <w:t>Adverse events of interest presented by the submission were medication errors concerning trial products (onset 1, onset 2 and onset 5) and cardiovascular events (onset 1 and onset 2).</w:t>
      </w:r>
      <w:r w:rsidR="00713357">
        <w:rPr>
          <w:color w:val="000000" w:themeColor="text1"/>
        </w:rPr>
        <w:t xml:space="preserve"> </w:t>
      </w:r>
      <w:r w:rsidRPr="003A38F7">
        <w:rPr>
          <w:color w:val="000000" w:themeColor="text1"/>
        </w:rPr>
        <w:t>The incidence of these events were also similar across the treatment groups.</w:t>
      </w:r>
      <w:r w:rsidR="00713357">
        <w:rPr>
          <w:color w:val="000000" w:themeColor="text1"/>
        </w:rPr>
        <w:t xml:space="preserve"> </w:t>
      </w:r>
      <w:r w:rsidRPr="003A38F7">
        <w:rPr>
          <w:color w:val="000000" w:themeColor="text1"/>
        </w:rPr>
        <w:t xml:space="preserve">It was noted by the submission (p119) that the only reported AE that significantly differed in frequency was upper abdominal pain in onset 1 (occurring in 3% and 1% of subjects in </w:t>
      </w:r>
      <w:r w:rsidR="00195936">
        <w:rPr>
          <w:color w:val="000000" w:themeColor="text1"/>
        </w:rPr>
        <w:t>Fiasp</w:t>
      </w:r>
      <w:r w:rsidR="00B15310">
        <w:rPr>
          <w:color w:val="000000" w:themeColor="text1"/>
        </w:rPr>
        <w:t xml:space="preserve"> (meal) and NovoRapid</w:t>
      </w:r>
      <w:r w:rsidRPr="003A38F7">
        <w:rPr>
          <w:color w:val="000000" w:themeColor="text1"/>
        </w:rPr>
        <w:t xml:space="preserve"> groups respectively, RD(95%CI): 3%(1%, 5%)).</w:t>
      </w:r>
      <w:r w:rsidR="00713357">
        <w:rPr>
          <w:color w:val="000000" w:themeColor="text1"/>
        </w:rPr>
        <w:t xml:space="preserve"> </w:t>
      </w:r>
      <w:r w:rsidR="00555CE5" w:rsidRPr="003A38F7">
        <w:rPr>
          <w:color w:val="000000" w:themeColor="text1"/>
        </w:rPr>
        <w:t xml:space="preserve">During the evaluation, it was </w:t>
      </w:r>
      <w:r w:rsidRPr="003A38F7">
        <w:rPr>
          <w:color w:val="000000" w:themeColor="text1"/>
        </w:rPr>
        <w:t xml:space="preserve">noted that the incidence of influenza also significantly differed in </w:t>
      </w:r>
      <w:r w:rsidR="00924624" w:rsidRPr="003A38F7">
        <w:rPr>
          <w:color w:val="000000" w:themeColor="text1"/>
        </w:rPr>
        <w:t xml:space="preserve">the </w:t>
      </w:r>
      <w:r w:rsidRPr="003A38F7">
        <w:rPr>
          <w:color w:val="000000" w:themeColor="text1"/>
        </w:rPr>
        <w:t xml:space="preserve">onset 1 (3% in </w:t>
      </w:r>
      <w:r w:rsidR="00195936">
        <w:rPr>
          <w:color w:val="000000" w:themeColor="text1"/>
        </w:rPr>
        <w:t>Fiasp</w:t>
      </w:r>
      <w:r w:rsidRPr="003A38F7">
        <w:rPr>
          <w:color w:val="000000" w:themeColor="text1"/>
        </w:rPr>
        <w:t xml:space="preserve"> </w:t>
      </w:r>
      <w:r w:rsidR="00B15310">
        <w:rPr>
          <w:color w:val="000000" w:themeColor="text1"/>
        </w:rPr>
        <w:t>(post meal) and 7% in NovoRapid</w:t>
      </w:r>
      <w:r w:rsidRPr="003A38F7">
        <w:rPr>
          <w:color w:val="000000" w:themeColor="text1"/>
        </w:rPr>
        <w:t xml:space="preserve"> groups respectively, RD: -4% (-7%, -1%)).</w:t>
      </w:r>
      <w:r w:rsidR="00713357">
        <w:rPr>
          <w:color w:val="000000" w:themeColor="text1"/>
        </w:rPr>
        <w:t xml:space="preserve"> </w:t>
      </w:r>
      <w:r w:rsidRPr="003A38F7">
        <w:rPr>
          <w:color w:val="000000" w:themeColor="text1"/>
        </w:rPr>
        <w:t>However, the incidences of both events were low and similar results were not observed in the other trials.</w:t>
      </w:r>
      <w:r w:rsidR="00713357">
        <w:rPr>
          <w:color w:val="000000" w:themeColor="text1"/>
        </w:rPr>
        <w:t xml:space="preserve"> </w:t>
      </w:r>
      <w:r w:rsidRPr="003A38F7">
        <w:rPr>
          <w:color w:val="000000" w:themeColor="text1"/>
        </w:rPr>
        <w:t xml:space="preserve">Overall, the submission’s conclusion of no meaningful differences between </w:t>
      </w:r>
      <w:r w:rsidR="00195936">
        <w:rPr>
          <w:color w:val="000000" w:themeColor="text1"/>
        </w:rPr>
        <w:t>Fiasp</w:t>
      </w:r>
      <w:r w:rsidRPr="003A38F7">
        <w:rPr>
          <w:color w:val="000000" w:themeColor="text1"/>
        </w:rPr>
        <w:t xml:space="preserve"> and NovoRapid in treatment emergent adverse events (AEs) appear</w:t>
      </w:r>
      <w:r w:rsidR="00890653" w:rsidRPr="003A38F7">
        <w:rPr>
          <w:color w:val="000000" w:themeColor="text1"/>
        </w:rPr>
        <w:t>s</w:t>
      </w:r>
      <w:r w:rsidRPr="003A38F7">
        <w:rPr>
          <w:color w:val="000000" w:themeColor="text1"/>
        </w:rPr>
        <w:t xml:space="preserve"> reasonable.</w:t>
      </w:r>
    </w:p>
    <w:p w:rsidR="007F1017" w:rsidRPr="00E35188" w:rsidRDefault="007F1017" w:rsidP="002F637F">
      <w:pPr>
        <w:pStyle w:val="Heading2"/>
        <w:widowControl/>
      </w:pPr>
      <w:bookmarkStart w:id="14" w:name="_Toc521797534"/>
      <w:r w:rsidRPr="00E35188">
        <w:t>Benefits/harms</w:t>
      </w:r>
      <w:bookmarkEnd w:id="14"/>
    </w:p>
    <w:p w:rsidR="004D2F95" w:rsidRDefault="00890653" w:rsidP="002F637F">
      <w:pPr>
        <w:pStyle w:val="ListParagraph"/>
        <w:widowControl/>
        <w:numPr>
          <w:ilvl w:val="1"/>
          <w:numId w:val="3"/>
        </w:numPr>
        <w:rPr>
          <w:rFonts w:cs="Calibri"/>
          <w:snapToGrid/>
          <w:color w:val="000000" w:themeColor="text1"/>
          <w:szCs w:val="24"/>
          <w:lang w:eastAsia="en-AU"/>
        </w:rPr>
      </w:pPr>
      <w:r>
        <w:rPr>
          <w:rFonts w:cs="Calibri"/>
          <w:snapToGrid/>
          <w:color w:val="000000" w:themeColor="text1"/>
          <w:szCs w:val="24"/>
          <w:lang w:eastAsia="en-AU"/>
        </w:rPr>
        <w:t>On the basis of the directly comparative evidence presented</w:t>
      </w:r>
      <w:r w:rsidRPr="006B0A87" w:rsidDel="00890653">
        <w:rPr>
          <w:rFonts w:cs="Calibri"/>
          <w:snapToGrid/>
          <w:color w:val="000000" w:themeColor="text1"/>
          <w:szCs w:val="24"/>
          <w:lang w:eastAsia="en-AU"/>
        </w:rPr>
        <w:t xml:space="preserve"> </w:t>
      </w:r>
      <w:r w:rsidR="006B0A87">
        <w:rPr>
          <w:rFonts w:cs="Calibri"/>
          <w:snapToGrid/>
          <w:color w:val="000000" w:themeColor="text1"/>
          <w:szCs w:val="24"/>
          <w:lang w:eastAsia="en-AU"/>
        </w:rPr>
        <w:t xml:space="preserve">in the submission </w:t>
      </w:r>
      <w:r w:rsidR="00195936">
        <w:rPr>
          <w:rFonts w:cs="Calibri"/>
          <w:snapToGrid/>
          <w:color w:val="000000" w:themeColor="text1"/>
          <w:szCs w:val="24"/>
          <w:lang w:eastAsia="en-AU"/>
        </w:rPr>
        <w:t>Fiasp</w:t>
      </w:r>
      <w:r w:rsidR="004D2F95" w:rsidRPr="006B0A87">
        <w:rPr>
          <w:rFonts w:cs="Calibri"/>
          <w:snapToGrid/>
          <w:color w:val="000000" w:themeColor="text1"/>
          <w:szCs w:val="24"/>
          <w:lang w:eastAsia="en-AU"/>
        </w:rPr>
        <w:t xml:space="preserve"> appear</w:t>
      </w:r>
      <w:r w:rsidR="00B15310">
        <w:rPr>
          <w:rFonts w:cs="Calibri"/>
          <w:snapToGrid/>
          <w:color w:val="000000" w:themeColor="text1"/>
          <w:szCs w:val="24"/>
          <w:lang w:eastAsia="en-AU"/>
        </w:rPr>
        <w:t>s to be no worse than NovoRapid</w:t>
      </w:r>
      <w:r w:rsidR="004D2F95" w:rsidRPr="006B0A87">
        <w:rPr>
          <w:rFonts w:cs="Calibri"/>
          <w:snapToGrid/>
          <w:color w:val="000000" w:themeColor="text1"/>
          <w:szCs w:val="24"/>
          <w:lang w:eastAsia="en-AU"/>
        </w:rPr>
        <w:t xml:space="preserve"> </w:t>
      </w:r>
      <w:r w:rsidR="00EA1CB0">
        <w:rPr>
          <w:rFonts w:cs="Calibri"/>
          <w:snapToGrid/>
          <w:color w:val="000000" w:themeColor="text1"/>
          <w:szCs w:val="24"/>
          <w:lang w:eastAsia="en-AU"/>
        </w:rPr>
        <w:t xml:space="preserve">when used in a bolus/basal insulin regimen or when used in CSII </w:t>
      </w:r>
      <w:r w:rsidR="00EA1CB0" w:rsidRPr="006B0A87">
        <w:rPr>
          <w:rFonts w:cs="Calibri"/>
          <w:snapToGrid/>
          <w:color w:val="000000" w:themeColor="text1"/>
          <w:szCs w:val="24"/>
          <w:lang w:eastAsia="en-AU"/>
        </w:rPr>
        <w:t>in the management of T1DM and T2DM</w:t>
      </w:r>
      <w:r w:rsidR="00EA1CB0">
        <w:rPr>
          <w:rFonts w:cs="Calibri"/>
          <w:snapToGrid/>
          <w:color w:val="000000" w:themeColor="text1"/>
          <w:szCs w:val="24"/>
          <w:lang w:eastAsia="en-AU"/>
        </w:rPr>
        <w:t xml:space="preserve"> in </w:t>
      </w:r>
      <w:r w:rsidR="006B0A87">
        <w:rPr>
          <w:rFonts w:cs="Calibri"/>
          <w:snapToGrid/>
          <w:color w:val="000000" w:themeColor="text1"/>
          <w:szCs w:val="24"/>
          <w:lang w:eastAsia="en-AU"/>
        </w:rPr>
        <w:t>adult patients.</w:t>
      </w:r>
    </w:p>
    <w:p w:rsidR="00A03996" w:rsidRPr="008A04EF" w:rsidRDefault="00EA1CB0" w:rsidP="002F637F">
      <w:pPr>
        <w:pStyle w:val="ListParagraph"/>
        <w:widowControl/>
        <w:numPr>
          <w:ilvl w:val="1"/>
          <w:numId w:val="3"/>
        </w:numPr>
        <w:rPr>
          <w:rFonts w:cs="Calibri"/>
          <w:snapToGrid/>
          <w:color w:val="000000" w:themeColor="text1"/>
          <w:szCs w:val="24"/>
          <w:lang w:eastAsia="en-AU"/>
        </w:rPr>
      </w:pPr>
      <w:r>
        <w:rPr>
          <w:rFonts w:cs="Calibri"/>
          <w:snapToGrid/>
          <w:color w:val="000000" w:themeColor="text1"/>
          <w:szCs w:val="24"/>
          <w:lang w:eastAsia="en-AU"/>
        </w:rPr>
        <w:t>On the basis of</w:t>
      </w:r>
      <w:r w:rsidR="001E50A3">
        <w:rPr>
          <w:rFonts w:cs="Calibri"/>
          <w:snapToGrid/>
          <w:color w:val="000000" w:themeColor="text1"/>
          <w:szCs w:val="24"/>
          <w:lang w:eastAsia="en-AU"/>
        </w:rPr>
        <w:t xml:space="preserve"> the directly comparative evidence presented, the two preparations were also comparable with respect to frequency of adverse events.</w:t>
      </w:r>
    </w:p>
    <w:p w:rsidR="00B60939" w:rsidRPr="00E35188" w:rsidRDefault="00B60939" w:rsidP="002F637F">
      <w:pPr>
        <w:pStyle w:val="Heading2"/>
        <w:widowControl/>
      </w:pPr>
      <w:bookmarkStart w:id="15" w:name="_Toc521797535"/>
      <w:r w:rsidRPr="00E35188">
        <w:lastRenderedPageBreak/>
        <w:t>Clinical claim</w:t>
      </w:r>
      <w:bookmarkEnd w:id="15"/>
    </w:p>
    <w:p w:rsidR="00B15310" w:rsidRDefault="001E50A3" w:rsidP="00B15310">
      <w:pPr>
        <w:pStyle w:val="ListParagraph"/>
        <w:widowControl/>
        <w:numPr>
          <w:ilvl w:val="1"/>
          <w:numId w:val="3"/>
        </w:numPr>
        <w:rPr>
          <w:color w:val="000000" w:themeColor="text1"/>
        </w:rPr>
      </w:pPr>
      <w:r w:rsidRPr="00690E00">
        <w:rPr>
          <w:color w:val="000000" w:themeColor="text1"/>
        </w:rPr>
        <w:t xml:space="preserve">The submission described </w:t>
      </w:r>
      <w:r w:rsidR="00195936">
        <w:rPr>
          <w:color w:val="000000" w:themeColor="text1"/>
        </w:rPr>
        <w:t>Fiasp</w:t>
      </w:r>
      <w:r w:rsidRPr="00690E00">
        <w:rPr>
          <w:color w:val="000000" w:themeColor="text1"/>
        </w:rPr>
        <w:t xml:space="preserve"> as non-inferior in terms of effectiveness and non-inferior in terms of safety compared to NovoRapid.</w:t>
      </w:r>
      <w:r w:rsidR="00713357">
        <w:rPr>
          <w:color w:val="000000" w:themeColor="text1"/>
        </w:rPr>
        <w:t xml:space="preserve"> </w:t>
      </w:r>
      <w:r w:rsidRPr="003A38F7">
        <w:rPr>
          <w:color w:val="000000" w:themeColor="text1"/>
        </w:rPr>
        <w:t>Based on results from the</w:t>
      </w:r>
      <w:r w:rsidRPr="004E702D">
        <w:rPr>
          <w:i/>
          <w:color w:val="000000" w:themeColor="text1"/>
        </w:rPr>
        <w:t xml:space="preserve"> </w:t>
      </w:r>
      <w:r w:rsidRPr="003A38F7">
        <w:rPr>
          <w:color w:val="000000" w:themeColor="text1"/>
        </w:rPr>
        <w:t xml:space="preserve">included trials, </w:t>
      </w:r>
      <w:r w:rsidR="001F4D0B" w:rsidRPr="00C54AAF">
        <w:rPr>
          <w:color w:val="000000" w:themeColor="text1"/>
        </w:rPr>
        <w:t xml:space="preserve">the </w:t>
      </w:r>
      <w:r w:rsidR="00110D8F" w:rsidRPr="00C54AAF">
        <w:rPr>
          <w:color w:val="000000" w:themeColor="text1"/>
        </w:rPr>
        <w:t xml:space="preserve">ESC </w:t>
      </w:r>
      <w:r w:rsidR="003F4D97" w:rsidRPr="00C54AAF">
        <w:rPr>
          <w:color w:val="000000" w:themeColor="text1"/>
        </w:rPr>
        <w:t>agreed</w:t>
      </w:r>
      <w:r w:rsidR="00110D8F" w:rsidRPr="00C54AAF">
        <w:rPr>
          <w:color w:val="000000" w:themeColor="text1"/>
        </w:rPr>
        <w:t xml:space="preserve"> that thi</w:t>
      </w:r>
      <w:r w:rsidRPr="00C54AAF">
        <w:rPr>
          <w:color w:val="000000" w:themeColor="text1"/>
        </w:rPr>
        <w:t xml:space="preserve">s conclusion </w:t>
      </w:r>
      <w:r w:rsidR="00026284" w:rsidRPr="00C54AAF">
        <w:rPr>
          <w:color w:val="000000" w:themeColor="text1"/>
        </w:rPr>
        <w:t>was</w:t>
      </w:r>
      <w:r w:rsidR="00110D8F" w:rsidRPr="00110D8F">
        <w:rPr>
          <w:i/>
          <w:color w:val="000000" w:themeColor="text1"/>
        </w:rPr>
        <w:t xml:space="preserve"> </w:t>
      </w:r>
      <w:r w:rsidRPr="003A38F7">
        <w:rPr>
          <w:color w:val="000000" w:themeColor="text1"/>
        </w:rPr>
        <w:t>reasonable for the management of T1DM and T2DM in adults.</w:t>
      </w:r>
      <w:r w:rsidR="00713357">
        <w:rPr>
          <w:color w:val="000000" w:themeColor="text1"/>
        </w:rPr>
        <w:t xml:space="preserve"> </w:t>
      </w:r>
      <w:r w:rsidRPr="003A38F7">
        <w:rPr>
          <w:color w:val="000000" w:themeColor="text1"/>
        </w:rPr>
        <w:t xml:space="preserve">The efficacy and safety of </w:t>
      </w:r>
      <w:r w:rsidR="00195936">
        <w:rPr>
          <w:color w:val="000000" w:themeColor="text1"/>
        </w:rPr>
        <w:t>Fiasp</w:t>
      </w:r>
      <w:r w:rsidRPr="003A38F7">
        <w:rPr>
          <w:color w:val="000000" w:themeColor="text1"/>
        </w:rPr>
        <w:t xml:space="preserve"> in children is yet to be established.</w:t>
      </w:r>
      <w:r w:rsidR="00110D8F">
        <w:rPr>
          <w:color w:val="000000" w:themeColor="text1"/>
        </w:rPr>
        <w:t xml:space="preserve"> </w:t>
      </w:r>
      <w:bookmarkStart w:id="16" w:name="_Toc521797536"/>
    </w:p>
    <w:p w:rsidR="00B15310" w:rsidRPr="00B15310" w:rsidRDefault="00DC229E" w:rsidP="00B15310">
      <w:pPr>
        <w:pStyle w:val="ListParagraph"/>
        <w:widowControl/>
        <w:numPr>
          <w:ilvl w:val="1"/>
          <w:numId w:val="3"/>
        </w:numPr>
        <w:rPr>
          <w:color w:val="000000" w:themeColor="text1"/>
        </w:rPr>
      </w:pPr>
      <w:r w:rsidRPr="00B15310">
        <w:rPr>
          <w:rFonts w:asciiTheme="minorHAnsi" w:hAnsiTheme="minorHAnsi"/>
          <w:szCs w:val="20"/>
        </w:rPr>
        <w:t>The PBAC considered that the claim of non-inferior comparative effectiveness was reasonable.</w:t>
      </w:r>
    </w:p>
    <w:p w:rsidR="00DC229E" w:rsidRPr="00B15310" w:rsidRDefault="00DC229E" w:rsidP="00B15310">
      <w:pPr>
        <w:pStyle w:val="ListParagraph"/>
        <w:widowControl/>
        <w:numPr>
          <w:ilvl w:val="1"/>
          <w:numId w:val="3"/>
        </w:numPr>
        <w:rPr>
          <w:color w:val="000000" w:themeColor="text1"/>
        </w:rPr>
      </w:pPr>
      <w:r w:rsidRPr="00B15310">
        <w:rPr>
          <w:rFonts w:asciiTheme="minorHAnsi" w:hAnsiTheme="minorHAnsi"/>
          <w:szCs w:val="20"/>
        </w:rPr>
        <w:t xml:space="preserve">The PBAC considered that the claim of </w:t>
      </w:r>
      <w:r w:rsidR="000034D8" w:rsidRPr="00B15310">
        <w:rPr>
          <w:rFonts w:asciiTheme="minorHAnsi" w:hAnsiTheme="minorHAnsi"/>
          <w:szCs w:val="20"/>
        </w:rPr>
        <w:t>non-inferior</w:t>
      </w:r>
      <w:r w:rsidRPr="00B15310">
        <w:rPr>
          <w:rFonts w:asciiTheme="minorHAnsi" w:hAnsiTheme="minorHAnsi"/>
          <w:szCs w:val="20"/>
        </w:rPr>
        <w:t xml:space="preserve"> comparative safety was reasonable.</w:t>
      </w:r>
    </w:p>
    <w:p w:rsidR="00B60939" w:rsidRPr="00E35188" w:rsidRDefault="00B60939" w:rsidP="002F637F">
      <w:pPr>
        <w:pStyle w:val="Heading2"/>
        <w:widowControl/>
      </w:pPr>
      <w:r w:rsidRPr="00E35188">
        <w:t>Economic analysis</w:t>
      </w:r>
      <w:bookmarkEnd w:id="16"/>
      <w:r w:rsidR="00491B3A" w:rsidRPr="00E35188">
        <w:t xml:space="preserve"> </w:t>
      </w:r>
    </w:p>
    <w:p w:rsidR="00275C5A" w:rsidRPr="00690E00" w:rsidRDefault="00690E00" w:rsidP="002F637F">
      <w:pPr>
        <w:pStyle w:val="ListParagraph"/>
        <w:widowControl/>
        <w:numPr>
          <w:ilvl w:val="1"/>
          <w:numId w:val="3"/>
        </w:numPr>
        <w:rPr>
          <w:color w:val="000000" w:themeColor="text1"/>
        </w:rPr>
      </w:pPr>
      <w:r>
        <w:rPr>
          <w:rFonts w:cs="Calibri"/>
          <w:snapToGrid/>
          <w:color w:val="000000" w:themeColor="text1"/>
          <w:szCs w:val="24"/>
          <w:lang w:eastAsia="en-AU"/>
        </w:rPr>
        <w:t>Consistent</w:t>
      </w:r>
      <w:r w:rsidRPr="00690E00">
        <w:rPr>
          <w:rFonts w:cs="Calibri"/>
          <w:snapToGrid/>
          <w:color w:val="000000" w:themeColor="text1"/>
          <w:szCs w:val="24"/>
          <w:lang w:eastAsia="en-AU"/>
        </w:rPr>
        <w:t xml:space="preserve"> with its clinical claim</w:t>
      </w:r>
      <w:r w:rsidR="004A605D">
        <w:rPr>
          <w:rFonts w:cs="Calibri"/>
          <w:snapToGrid/>
          <w:color w:val="000000" w:themeColor="text1"/>
          <w:szCs w:val="24"/>
          <w:lang w:eastAsia="en-AU"/>
        </w:rPr>
        <w:t xml:space="preserve"> of non-inferiority</w:t>
      </w:r>
      <w:r w:rsidRPr="00690E00">
        <w:rPr>
          <w:rFonts w:cs="Calibri"/>
          <w:snapToGrid/>
          <w:color w:val="000000" w:themeColor="text1"/>
          <w:szCs w:val="24"/>
          <w:lang w:eastAsia="en-AU"/>
        </w:rPr>
        <w:t>, the submission presented a cost</w:t>
      </w:r>
      <w:r w:rsidR="00890653">
        <w:rPr>
          <w:rFonts w:cs="Calibri"/>
          <w:snapToGrid/>
          <w:color w:val="000000" w:themeColor="text1"/>
          <w:szCs w:val="24"/>
          <w:lang w:eastAsia="en-AU"/>
        </w:rPr>
        <w:t>-</w:t>
      </w:r>
      <w:r w:rsidRPr="00690E00">
        <w:rPr>
          <w:rFonts w:cs="Calibri"/>
          <w:snapToGrid/>
          <w:color w:val="000000" w:themeColor="text1"/>
          <w:szCs w:val="24"/>
          <w:lang w:eastAsia="en-AU"/>
        </w:rPr>
        <w:t>minimisation</w:t>
      </w:r>
      <w:r>
        <w:rPr>
          <w:rFonts w:cs="Calibri"/>
          <w:snapToGrid/>
          <w:color w:val="000000" w:themeColor="text1"/>
          <w:szCs w:val="24"/>
          <w:lang w:eastAsia="en-AU"/>
        </w:rPr>
        <w:t xml:space="preserve"> </w:t>
      </w:r>
      <w:r w:rsidR="00890653">
        <w:rPr>
          <w:rFonts w:cs="Calibri"/>
          <w:snapToGrid/>
          <w:color w:val="000000" w:themeColor="text1"/>
          <w:szCs w:val="24"/>
          <w:lang w:eastAsia="en-AU"/>
        </w:rPr>
        <w:t xml:space="preserve">analysis </w:t>
      </w:r>
      <w:r w:rsidR="00AA010F">
        <w:rPr>
          <w:rFonts w:cs="Calibri"/>
          <w:snapToGrid/>
          <w:color w:val="000000" w:themeColor="text1"/>
          <w:szCs w:val="24"/>
          <w:lang w:eastAsia="en-AU"/>
        </w:rPr>
        <w:t xml:space="preserve">comparing </w:t>
      </w:r>
      <w:r w:rsidR="00890653">
        <w:rPr>
          <w:rFonts w:cs="Calibri"/>
          <w:snapToGrid/>
          <w:color w:val="000000" w:themeColor="text1"/>
          <w:szCs w:val="24"/>
          <w:lang w:eastAsia="en-AU"/>
        </w:rPr>
        <w:t xml:space="preserve">the </w:t>
      </w:r>
      <w:r w:rsidR="00AA010F">
        <w:rPr>
          <w:rFonts w:cs="Calibri"/>
          <w:snapToGrid/>
          <w:color w:val="000000" w:themeColor="text1"/>
          <w:szCs w:val="24"/>
          <w:lang w:eastAsia="en-AU"/>
        </w:rPr>
        <w:t xml:space="preserve">daily treatment cost of </w:t>
      </w:r>
      <w:r w:rsidR="00195936">
        <w:rPr>
          <w:rFonts w:cs="Calibri"/>
          <w:snapToGrid/>
          <w:color w:val="000000" w:themeColor="text1"/>
          <w:szCs w:val="24"/>
          <w:lang w:eastAsia="en-AU"/>
        </w:rPr>
        <w:t>Fiasp</w:t>
      </w:r>
      <w:r w:rsidR="00E95149">
        <w:rPr>
          <w:rFonts w:cs="Calibri"/>
          <w:snapToGrid/>
          <w:color w:val="000000" w:themeColor="text1"/>
          <w:szCs w:val="24"/>
          <w:lang w:eastAsia="en-AU"/>
        </w:rPr>
        <w:t xml:space="preserve"> </w:t>
      </w:r>
      <w:r w:rsidR="00AA010F">
        <w:rPr>
          <w:rFonts w:cs="Calibri"/>
          <w:snapToGrid/>
          <w:color w:val="000000" w:themeColor="text1"/>
          <w:szCs w:val="24"/>
          <w:lang w:eastAsia="en-AU"/>
        </w:rPr>
        <w:t xml:space="preserve">and </w:t>
      </w:r>
      <w:r>
        <w:rPr>
          <w:rFonts w:cs="Calibri"/>
          <w:snapToGrid/>
          <w:color w:val="000000" w:themeColor="text1"/>
          <w:szCs w:val="24"/>
          <w:lang w:eastAsia="en-AU"/>
        </w:rPr>
        <w:t>NovoRapid.</w:t>
      </w:r>
      <w:r w:rsidR="00713357">
        <w:rPr>
          <w:rFonts w:cs="Calibri"/>
          <w:snapToGrid/>
          <w:color w:val="000000" w:themeColor="text1"/>
          <w:szCs w:val="24"/>
          <w:lang w:eastAsia="en-AU"/>
        </w:rPr>
        <w:t xml:space="preserve"> </w:t>
      </w:r>
      <w:r w:rsidR="00E95149">
        <w:rPr>
          <w:rFonts w:cs="Calibri"/>
          <w:snapToGrid/>
          <w:color w:val="000000" w:themeColor="text1"/>
          <w:szCs w:val="24"/>
          <w:lang w:eastAsia="en-AU"/>
        </w:rPr>
        <w:t>K</w:t>
      </w:r>
      <w:r w:rsidRPr="00690E00">
        <w:rPr>
          <w:rFonts w:cs="Calibri"/>
          <w:snapToGrid/>
          <w:color w:val="000000" w:themeColor="text1"/>
          <w:szCs w:val="24"/>
          <w:lang w:eastAsia="en-AU"/>
        </w:rPr>
        <w:t>ey components and assumptions of the cost-minimisation analysis</w:t>
      </w:r>
      <w:r w:rsidR="00E95149">
        <w:rPr>
          <w:rFonts w:cs="Calibri"/>
          <w:snapToGrid/>
          <w:color w:val="000000" w:themeColor="text1"/>
          <w:szCs w:val="24"/>
          <w:lang w:eastAsia="en-AU"/>
        </w:rPr>
        <w:t xml:space="preserve"> are summarised in Table 5. </w:t>
      </w:r>
    </w:p>
    <w:p w:rsidR="00E95149" w:rsidRPr="0053787B" w:rsidRDefault="00E95149" w:rsidP="002F637F">
      <w:pPr>
        <w:widowControl/>
        <w:rPr>
          <w:rFonts w:ascii="Arial Narrow" w:hAnsi="Arial Narrow"/>
          <w:b/>
          <w:bCs/>
          <w:sz w:val="20"/>
          <w:szCs w:val="20"/>
        </w:rPr>
      </w:pPr>
      <w:r>
        <w:rPr>
          <w:rFonts w:ascii="Arial Narrow" w:hAnsi="Arial Narrow"/>
          <w:b/>
          <w:bCs/>
          <w:sz w:val="20"/>
          <w:szCs w:val="20"/>
        </w:rPr>
        <w:t>Table 5</w:t>
      </w:r>
      <w:r w:rsidRPr="0053787B">
        <w:rPr>
          <w:rFonts w:ascii="Arial Narrow" w:hAnsi="Arial Narrow"/>
          <w:b/>
          <w:bCs/>
          <w:sz w:val="20"/>
          <w:szCs w:val="20"/>
        </w:rPr>
        <w:t>:</w:t>
      </w:r>
      <w:r w:rsidR="00713357">
        <w:rPr>
          <w:rFonts w:ascii="Arial Narrow" w:hAnsi="Arial Narrow"/>
          <w:b/>
          <w:bCs/>
          <w:sz w:val="20"/>
          <w:szCs w:val="20"/>
        </w:rPr>
        <w:t xml:space="preserve"> </w:t>
      </w:r>
      <w:r w:rsidRPr="0053787B">
        <w:rPr>
          <w:rFonts w:ascii="Arial Narrow" w:hAnsi="Arial Narrow"/>
          <w:b/>
          <w:bCs/>
          <w:sz w:val="20"/>
          <w:szCs w:val="20"/>
        </w:rPr>
        <w:t>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60"/>
        <w:gridCol w:w="6520"/>
      </w:tblGrid>
      <w:tr w:rsidR="00E95149" w:rsidRPr="0053787B" w:rsidTr="00AA010F">
        <w:tc>
          <w:tcPr>
            <w:tcW w:w="2660" w:type="dxa"/>
            <w:vAlign w:val="center"/>
          </w:tcPr>
          <w:p w:rsidR="00E95149" w:rsidRPr="0053787B" w:rsidRDefault="00E95149" w:rsidP="002F637F">
            <w:pPr>
              <w:widowControl/>
              <w:rPr>
                <w:rFonts w:ascii="Arial Narrow" w:hAnsi="Arial Narrow"/>
                <w:b/>
                <w:bCs/>
                <w:sz w:val="20"/>
                <w:szCs w:val="20"/>
              </w:rPr>
            </w:pPr>
            <w:r w:rsidRPr="0053787B">
              <w:rPr>
                <w:rFonts w:ascii="Arial Narrow" w:hAnsi="Arial Narrow"/>
                <w:b/>
                <w:bCs/>
                <w:sz w:val="20"/>
                <w:szCs w:val="20"/>
              </w:rPr>
              <w:t>Component</w:t>
            </w:r>
          </w:p>
        </w:tc>
        <w:tc>
          <w:tcPr>
            <w:tcW w:w="6520" w:type="dxa"/>
            <w:vAlign w:val="center"/>
          </w:tcPr>
          <w:p w:rsidR="00E95149" w:rsidRPr="0053787B" w:rsidRDefault="00E95149" w:rsidP="002F637F">
            <w:pPr>
              <w:widowControl/>
              <w:rPr>
                <w:rFonts w:ascii="Arial Narrow" w:hAnsi="Arial Narrow"/>
                <w:b/>
                <w:bCs/>
                <w:sz w:val="20"/>
                <w:szCs w:val="20"/>
              </w:rPr>
            </w:pPr>
            <w:r w:rsidRPr="0053787B">
              <w:rPr>
                <w:rFonts w:ascii="Arial Narrow" w:hAnsi="Arial Narrow"/>
                <w:b/>
                <w:bCs/>
                <w:sz w:val="20"/>
                <w:szCs w:val="20"/>
              </w:rPr>
              <w:t>Claim or assumption</w:t>
            </w:r>
          </w:p>
        </w:tc>
      </w:tr>
      <w:tr w:rsidR="00E95149" w:rsidRPr="0053787B" w:rsidTr="00AA010F">
        <w:tc>
          <w:tcPr>
            <w:tcW w:w="2660" w:type="dxa"/>
            <w:vAlign w:val="center"/>
          </w:tcPr>
          <w:p w:rsidR="00E95149" w:rsidRPr="0053787B" w:rsidRDefault="00E95149" w:rsidP="002F637F">
            <w:pPr>
              <w:widowControl/>
              <w:rPr>
                <w:rFonts w:ascii="Arial Narrow" w:hAnsi="Arial Narrow"/>
                <w:sz w:val="20"/>
                <w:szCs w:val="20"/>
              </w:rPr>
            </w:pPr>
            <w:r w:rsidRPr="0053787B">
              <w:rPr>
                <w:rFonts w:ascii="Arial Narrow" w:hAnsi="Arial Narrow"/>
                <w:sz w:val="20"/>
                <w:szCs w:val="20"/>
              </w:rPr>
              <w:t>Therapeutic claim: effectiveness</w:t>
            </w:r>
          </w:p>
        </w:tc>
        <w:tc>
          <w:tcPr>
            <w:tcW w:w="6520" w:type="dxa"/>
            <w:vAlign w:val="center"/>
          </w:tcPr>
          <w:p w:rsidR="00E95149" w:rsidRPr="00730727" w:rsidRDefault="00E95149" w:rsidP="002F637F">
            <w:pPr>
              <w:widowControl/>
              <w:rPr>
                <w:rFonts w:ascii="Arial Narrow" w:hAnsi="Arial Narrow"/>
                <w:sz w:val="20"/>
                <w:szCs w:val="20"/>
              </w:rPr>
            </w:pPr>
            <w:r w:rsidRPr="00730727">
              <w:rPr>
                <w:rFonts w:ascii="Arial Narrow" w:hAnsi="Arial Narrow"/>
                <w:sz w:val="20"/>
                <w:szCs w:val="20"/>
              </w:rPr>
              <w:t xml:space="preserve">Based on evidence presented </w:t>
            </w:r>
            <w:r w:rsidRPr="00C54AAF">
              <w:rPr>
                <w:rFonts w:ascii="Arial Narrow" w:hAnsi="Arial Narrow"/>
                <w:sz w:val="20"/>
                <w:szCs w:val="20"/>
              </w:rPr>
              <w:t xml:space="preserve">in </w:t>
            </w:r>
            <w:r w:rsidR="001F4D0B" w:rsidRPr="00C54AAF">
              <w:rPr>
                <w:rFonts w:ascii="Arial Narrow" w:hAnsi="Arial Narrow"/>
                <w:sz w:val="20"/>
                <w:szCs w:val="20"/>
              </w:rPr>
              <w:t>the submission</w:t>
            </w:r>
            <w:r w:rsidRPr="00730727">
              <w:rPr>
                <w:rFonts w:ascii="Arial Narrow" w:hAnsi="Arial Narrow"/>
                <w:sz w:val="20"/>
                <w:szCs w:val="20"/>
              </w:rPr>
              <w:t>, effectiveness is assumed to be non-inferior.</w:t>
            </w:r>
          </w:p>
        </w:tc>
      </w:tr>
      <w:tr w:rsidR="00E95149" w:rsidRPr="0053787B" w:rsidTr="00AA010F">
        <w:tc>
          <w:tcPr>
            <w:tcW w:w="2660" w:type="dxa"/>
            <w:vAlign w:val="center"/>
          </w:tcPr>
          <w:p w:rsidR="00E95149" w:rsidRPr="0053787B" w:rsidRDefault="00E95149" w:rsidP="002F637F">
            <w:pPr>
              <w:widowControl/>
              <w:rPr>
                <w:rFonts w:ascii="Arial Narrow" w:hAnsi="Arial Narrow"/>
                <w:sz w:val="20"/>
                <w:szCs w:val="20"/>
              </w:rPr>
            </w:pPr>
            <w:r w:rsidRPr="0053787B">
              <w:rPr>
                <w:rFonts w:ascii="Arial Narrow" w:hAnsi="Arial Narrow"/>
                <w:sz w:val="20"/>
                <w:szCs w:val="20"/>
              </w:rPr>
              <w:t>Therapeutic claim: safety</w:t>
            </w:r>
          </w:p>
        </w:tc>
        <w:tc>
          <w:tcPr>
            <w:tcW w:w="6520" w:type="dxa"/>
            <w:vAlign w:val="center"/>
          </w:tcPr>
          <w:p w:rsidR="00E95149" w:rsidRPr="00730727" w:rsidRDefault="00E95149" w:rsidP="002F637F">
            <w:pPr>
              <w:widowControl/>
              <w:rPr>
                <w:rFonts w:ascii="Arial Narrow" w:hAnsi="Arial Narrow"/>
                <w:sz w:val="20"/>
                <w:szCs w:val="20"/>
              </w:rPr>
            </w:pPr>
            <w:r w:rsidRPr="00730727">
              <w:rPr>
                <w:rFonts w:ascii="Arial Narrow" w:hAnsi="Arial Narrow"/>
                <w:sz w:val="20"/>
                <w:szCs w:val="20"/>
              </w:rPr>
              <w:t xml:space="preserve">Based on evidence presented in </w:t>
            </w:r>
            <w:r w:rsidR="001F4D0B" w:rsidRPr="00C54AAF">
              <w:rPr>
                <w:rFonts w:ascii="Arial Narrow" w:hAnsi="Arial Narrow"/>
                <w:sz w:val="20"/>
                <w:szCs w:val="20"/>
              </w:rPr>
              <w:t>the submission</w:t>
            </w:r>
            <w:r w:rsidRPr="00C54AAF">
              <w:rPr>
                <w:rFonts w:ascii="Arial Narrow" w:hAnsi="Arial Narrow"/>
                <w:sz w:val="20"/>
                <w:szCs w:val="20"/>
              </w:rPr>
              <w:t>,</w:t>
            </w:r>
            <w:r w:rsidRPr="00730727">
              <w:rPr>
                <w:rFonts w:ascii="Arial Narrow" w:hAnsi="Arial Narrow"/>
                <w:sz w:val="20"/>
                <w:szCs w:val="20"/>
              </w:rPr>
              <w:t xml:space="preserve"> safety is assumed to be non-inferior.</w:t>
            </w:r>
          </w:p>
        </w:tc>
      </w:tr>
      <w:tr w:rsidR="00E95149" w:rsidRPr="0053787B" w:rsidTr="00AA010F">
        <w:tc>
          <w:tcPr>
            <w:tcW w:w="2660" w:type="dxa"/>
            <w:vAlign w:val="center"/>
          </w:tcPr>
          <w:p w:rsidR="00E95149" w:rsidRPr="0053787B" w:rsidRDefault="00E95149" w:rsidP="002F637F">
            <w:pPr>
              <w:widowControl/>
              <w:rPr>
                <w:rFonts w:ascii="Arial Narrow" w:hAnsi="Arial Narrow"/>
                <w:sz w:val="20"/>
                <w:szCs w:val="20"/>
              </w:rPr>
            </w:pPr>
            <w:r w:rsidRPr="0053787B">
              <w:rPr>
                <w:rFonts w:ascii="Arial Narrow" w:hAnsi="Arial Narrow"/>
                <w:sz w:val="20"/>
                <w:szCs w:val="20"/>
              </w:rPr>
              <w:t>Evidence base</w:t>
            </w:r>
          </w:p>
        </w:tc>
        <w:tc>
          <w:tcPr>
            <w:tcW w:w="6520" w:type="dxa"/>
            <w:vAlign w:val="center"/>
          </w:tcPr>
          <w:p w:rsidR="00E95149" w:rsidRPr="00730727" w:rsidRDefault="00E95149" w:rsidP="002F637F">
            <w:pPr>
              <w:widowControl/>
              <w:rPr>
                <w:rFonts w:ascii="Arial Narrow" w:hAnsi="Arial Narrow"/>
                <w:sz w:val="20"/>
                <w:szCs w:val="20"/>
              </w:rPr>
            </w:pPr>
            <w:r w:rsidRPr="00730727">
              <w:rPr>
                <w:rFonts w:ascii="Arial Narrow" w:hAnsi="Arial Narrow"/>
                <w:sz w:val="20"/>
                <w:szCs w:val="20"/>
              </w:rPr>
              <w:t xml:space="preserve">Directly comparative trials of </w:t>
            </w:r>
            <w:r w:rsidR="00195936">
              <w:rPr>
                <w:rFonts w:ascii="Arial Narrow" w:hAnsi="Arial Narrow"/>
                <w:sz w:val="20"/>
                <w:szCs w:val="20"/>
              </w:rPr>
              <w:t>Fiasp</w:t>
            </w:r>
            <w:r w:rsidR="00B15310">
              <w:rPr>
                <w:rFonts w:ascii="Arial Narrow" w:hAnsi="Arial Narrow"/>
                <w:sz w:val="20"/>
                <w:szCs w:val="20"/>
              </w:rPr>
              <w:t xml:space="preserve"> versus NovoRapid</w:t>
            </w:r>
          </w:p>
        </w:tc>
      </w:tr>
      <w:tr w:rsidR="00E95149" w:rsidRPr="0053787B" w:rsidTr="00AA010F">
        <w:tc>
          <w:tcPr>
            <w:tcW w:w="2660" w:type="dxa"/>
            <w:shd w:val="clear" w:color="auto" w:fill="auto"/>
            <w:vAlign w:val="center"/>
          </w:tcPr>
          <w:p w:rsidR="00E95149" w:rsidRPr="0053787B" w:rsidRDefault="00E95149" w:rsidP="002F637F">
            <w:pPr>
              <w:widowControl/>
              <w:rPr>
                <w:rFonts w:ascii="Arial Narrow" w:hAnsi="Arial Narrow"/>
                <w:sz w:val="20"/>
                <w:szCs w:val="20"/>
              </w:rPr>
            </w:pPr>
            <w:r w:rsidRPr="0053787B">
              <w:rPr>
                <w:rFonts w:ascii="Arial Narrow" w:hAnsi="Arial Narrow"/>
                <w:sz w:val="20"/>
                <w:szCs w:val="20"/>
              </w:rPr>
              <w:t>Equi-effective doses</w:t>
            </w:r>
          </w:p>
        </w:tc>
        <w:tc>
          <w:tcPr>
            <w:tcW w:w="6520" w:type="dxa"/>
            <w:shd w:val="clear" w:color="auto" w:fill="auto"/>
            <w:vAlign w:val="center"/>
          </w:tcPr>
          <w:p w:rsidR="00E95149" w:rsidRPr="0053787B" w:rsidRDefault="00195936" w:rsidP="002F637F">
            <w:pPr>
              <w:widowControl/>
              <w:rPr>
                <w:rFonts w:ascii="Arial Narrow" w:hAnsi="Arial Narrow"/>
                <w:sz w:val="20"/>
                <w:szCs w:val="20"/>
              </w:rPr>
            </w:pPr>
            <w:r>
              <w:rPr>
                <w:rFonts w:ascii="Arial Narrow" w:hAnsi="Arial Narrow"/>
                <w:sz w:val="20"/>
                <w:szCs w:val="20"/>
              </w:rPr>
              <w:t>Fiasp</w:t>
            </w:r>
            <w:r w:rsidR="00B15310">
              <w:rPr>
                <w:rFonts w:ascii="Arial Narrow" w:hAnsi="Arial Narrow"/>
                <w:sz w:val="20"/>
                <w:szCs w:val="20"/>
              </w:rPr>
              <w:t xml:space="preserve"> and NovoRapid</w:t>
            </w:r>
            <w:r w:rsidR="00E95149">
              <w:rPr>
                <w:rFonts w:ascii="Arial Narrow" w:hAnsi="Arial Narrow"/>
                <w:sz w:val="20"/>
                <w:szCs w:val="20"/>
              </w:rPr>
              <w:t xml:space="preserve"> are equi-effective on a 1:</w:t>
            </w:r>
            <w:r w:rsidR="00E95149" w:rsidRPr="0053787B">
              <w:rPr>
                <w:rFonts w:ascii="Arial Narrow" w:hAnsi="Arial Narrow"/>
                <w:sz w:val="20"/>
                <w:szCs w:val="20"/>
              </w:rPr>
              <w:t>1 basis (unit to unit basis).</w:t>
            </w:r>
          </w:p>
        </w:tc>
      </w:tr>
      <w:tr w:rsidR="00E95149" w:rsidRPr="0053787B" w:rsidTr="00AA010F">
        <w:tc>
          <w:tcPr>
            <w:tcW w:w="2660" w:type="dxa"/>
            <w:vAlign w:val="center"/>
          </w:tcPr>
          <w:p w:rsidR="00E95149" w:rsidRPr="0053787B" w:rsidRDefault="00E95149" w:rsidP="002F637F">
            <w:pPr>
              <w:widowControl/>
              <w:rPr>
                <w:rFonts w:ascii="Arial Narrow" w:hAnsi="Arial Narrow"/>
                <w:sz w:val="20"/>
                <w:szCs w:val="20"/>
              </w:rPr>
            </w:pPr>
            <w:r w:rsidRPr="0053787B">
              <w:rPr>
                <w:rFonts w:ascii="Arial Narrow" w:hAnsi="Arial Narrow"/>
                <w:sz w:val="20"/>
                <w:szCs w:val="20"/>
              </w:rPr>
              <w:t>Direct medicine costs</w:t>
            </w:r>
          </w:p>
        </w:tc>
        <w:tc>
          <w:tcPr>
            <w:tcW w:w="6520" w:type="dxa"/>
            <w:vAlign w:val="center"/>
          </w:tcPr>
          <w:p w:rsidR="00E95149" w:rsidRPr="0053787B" w:rsidRDefault="00E95149" w:rsidP="002F637F">
            <w:pPr>
              <w:widowControl/>
              <w:rPr>
                <w:rFonts w:ascii="Arial Narrow" w:hAnsi="Arial Narrow"/>
                <w:sz w:val="20"/>
                <w:szCs w:val="20"/>
              </w:rPr>
            </w:pPr>
            <w:r w:rsidRPr="0053787B">
              <w:rPr>
                <w:rFonts w:ascii="Arial Narrow" w:hAnsi="Arial Narrow"/>
                <w:sz w:val="20"/>
                <w:szCs w:val="20"/>
              </w:rPr>
              <w:t xml:space="preserve">Daily costs per patient of </w:t>
            </w:r>
            <w:r w:rsidR="00195936">
              <w:rPr>
                <w:rFonts w:ascii="Arial Narrow" w:hAnsi="Arial Narrow"/>
                <w:sz w:val="20"/>
                <w:szCs w:val="20"/>
              </w:rPr>
              <w:t>Fiasp</w:t>
            </w:r>
            <w:r w:rsidR="00B15310">
              <w:rPr>
                <w:rFonts w:ascii="Arial Narrow" w:hAnsi="Arial Narrow"/>
                <w:sz w:val="20"/>
                <w:szCs w:val="20"/>
              </w:rPr>
              <w:t xml:space="preserve"> and NovoRapid</w:t>
            </w:r>
            <w:r w:rsidRPr="0053787B">
              <w:rPr>
                <w:rFonts w:ascii="Arial Narrow" w:hAnsi="Arial Narrow"/>
                <w:sz w:val="20"/>
                <w:szCs w:val="20"/>
              </w:rPr>
              <w:t xml:space="preserve"> are equivalent</w:t>
            </w:r>
            <w:r>
              <w:rPr>
                <w:rFonts w:ascii="Arial Narrow" w:hAnsi="Arial Narrow"/>
                <w:sz w:val="20"/>
                <w:szCs w:val="20"/>
              </w:rPr>
              <w:t>.</w:t>
            </w:r>
          </w:p>
        </w:tc>
      </w:tr>
      <w:tr w:rsidR="00E95149" w:rsidRPr="001F4D0B" w:rsidTr="00AA010F">
        <w:tc>
          <w:tcPr>
            <w:tcW w:w="2660" w:type="dxa"/>
            <w:vAlign w:val="center"/>
          </w:tcPr>
          <w:p w:rsidR="00E95149" w:rsidRPr="001F4D0B" w:rsidRDefault="00E95149" w:rsidP="002F637F">
            <w:pPr>
              <w:widowControl/>
              <w:rPr>
                <w:rFonts w:ascii="Arial Narrow" w:hAnsi="Arial Narrow"/>
                <w:sz w:val="20"/>
                <w:szCs w:val="20"/>
              </w:rPr>
            </w:pPr>
            <w:r w:rsidRPr="001F4D0B">
              <w:rPr>
                <w:rFonts w:ascii="Arial Narrow" w:hAnsi="Arial Narrow"/>
                <w:sz w:val="20"/>
                <w:szCs w:val="20"/>
              </w:rPr>
              <w:t>Other costs or cost offsets</w:t>
            </w:r>
          </w:p>
        </w:tc>
        <w:tc>
          <w:tcPr>
            <w:tcW w:w="6520" w:type="dxa"/>
            <w:vAlign w:val="center"/>
          </w:tcPr>
          <w:p w:rsidR="00E95149" w:rsidRPr="001F4D0B" w:rsidRDefault="00B15310" w:rsidP="002F637F">
            <w:pPr>
              <w:widowControl/>
              <w:rPr>
                <w:rFonts w:ascii="Arial Narrow" w:hAnsi="Arial Narrow"/>
                <w:sz w:val="20"/>
                <w:szCs w:val="20"/>
              </w:rPr>
            </w:pPr>
            <w:r>
              <w:rPr>
                <w:rFonts w:ascii="Arial Narrow" w:hAnsi="Arial Narrow"/>
                <w:sz w:val="20"/>
                <w:szCs w:val="20"/>
              </w:rPr>
              <w:t>None</w:t>
            </w:r>
          </w:p>
        </w:tc>
      </w:tr>
    </w:tbl>
    <w:p w:rsidR="00E95149" w:rsidRDefault="00E95149" w:rsidP="002F637F">
      <w:pPr>
        <w:pStyle w:val="TableFooter"/>
        <w:widowControl/>
      </w:pPr>
      <w:r w:rsidRPr="001F4D0B">
        <w:t>Source: Table 3.</w:t>
      </w:r>
      <w:r w:rsidRPr="00E35188">
        <w:t>1.1, p129 of the submission.</w:t>
      </w:r>
    </w:p>
    <w:p w:rsidR="00F90627" w:rsidRPr="00E35188" w:rsidRDefault="00F90627" w:rsidP="002F637F">
      <w:pPr>
        <w:pStyle w:val="TableFooter"/>
        <w:widowControl/>
        <w:rPr>
          <w:sz w:val="20"/>
        </w:rPr>
      </w:pPr>
    </w:p>
    <w:p w:rsidR="00B15310" w:rsidRPr="00B15310" w:rsidRDefault="00523521" w:rsidP="002F637F">
      <w:pPr>
        <w:pStyle w:val="ListParagraph"/>
        <w:widowControl/>
        <w:numPr>
          <w:ilvl w:val="1"/>
          <w:numId w:val="3"/>
        </w:numPr>
        <w:rPr>
          <w:color w:val="000000" w:themeColor="text1"/>
        </w:rPr>
      </w:pPr>
      <w:r w:rsidRPr="003A38F7">
        <w:rPr>
          <w:color w:val="000000" w:themeColor="text1"/>
        </w:rPr>
        <w:t xml:space="preserve">An important element of the submission was the request </w:t>
      </w:r>
      <w:r w:rsidR="0065476E">
        <w:rPr>
          <w:color w:val="000000" w:themeColor="text1"/>
        </w:rPr>
        <w:t>for consideration under</w:t>
      </w:r>
      <w:r w:rsidRPr="003A38F7">
        <w:rPr>
          <w:color w:val="000000" w:themeColor="text1"/>
        </w:rPr>
        <w:t xml:space="preserve"> Section 5.7 of the Strategic Agreement </w:t>
      </w:r>
      <w:r w:rsidR="0006299C" w:rsidRPr="003A38F7">
        <w:t>2017 between Medicines Australia and the Commonwealth of Australia (hereto referred as the Strategic Agreement)</w:t>
      </w:r>
      <w:r w:rsidR="0006299C">
        <w:t xml:space="preserve"> </w:t>
      </w:r>
      <w:r w:rsidRPr="003A38F7">
        <w:rPr>
          <w:color w:val="000000" w:themeColor="text1"/>
        </w:rPr>
        <w:t>to not apply the 14.5% Statutory Pric</w:t>
      </w:r>
      <w:r w:rsidR="0065476E">
        <w:rPr>
          <w:color w:val="000000" w:themeColor="text1"/>
        </w:rPr>
        <w:t>e</w:t>
      </w:r>
      <w:r w:rsidRPr="003A38F7">
        <w:rPr>
          <w:color w:val="000000" w:themeColor="text1"/>
        </w:rPr>
        <w:t xml:space="preserve"> </w:t>
      </w:r>
      <w:r w:rsidRPr="00C54AAF">
        <w:rPr>
          <w:color w:val="000000" w:themeColor="text1"/>
        </w:rPr>
        <w:t>Reduction that was applied to NovoRapid on 1 June 2018 to the pr</w:t>
      </w:r>
      <w:r w:rsidR="00713357" w:rsidRPr="00C54AAF">
        <w:rPr>
          <w:color w:val="000000" w:themeColor="text1"/>
        </w:rPr>
        <w:t xml:space="preserve">icing calculations for </w:t>
      </w:r>
      <w:r w:rsidR="00195936">
        <w:rPr>
          <w:color w:val="000000" w:themeColor="text1"/>
        </w:rPr>
        <w:t>Fiasp</w:t>
      </w:r>
      <w:r w:rsidR="00713357" w:rsidRPr="00C54AAF">
        <w:rPr>
          <w:color w:val="000000" w:themeColor="text1"/>
        </w:rPr>
        <w:t>, however this is not a matter for PBAC and will be determined by the Minister (or delegate</w:t>
      </w:r>
      <w:r w:rsidR="00713357" w:rsidRPr="0006299C">
        <w:rPr>
          <w:color w:val="000000" w:themeColor="text1"/>
        </w:rPr>
        <w:t>).</w:t>
      </w:r>
      <w:r w:rsidR="0006299C" w:rsidRPr="0006299C">
        <w:rPr>
          <w:color w:val="000000" w:themeColor="text1"/>
          <w:szCs w:val="24"/>
        </w:rPr>
        <w:t xml:space="preserve"> </w:t>
      </w:r>
    </w:p>
    <w:p w:rsidR="00713357" w:rsidRDefault="00530F16" w:rsidP="002F637F">
      <w:pPr>
        <w:pStyle w:val="ListParagraph"/>
        <w:widowControl/>
        <w:numPr>
          <w:ilvl w:val="1"/>
          <w:numId w:val="3"/>
        </w:numPr>
        <w:rPr>
          <w:color w:val="000000" w:themeColor="text1"/>
        </w:rPr>
      </w:pPr>
      <w:r>
        <w:rPr>
          <w:color w:val="000000" w:themeColor="text1"/>
        </w:rPr>
        <w:t>I</w:t>
      </w:r>
      <w:r w:rsidR="004322C0" w:rsidRPr="0006299C">
        <w:rPr>
          <w:color w:val="000000" w:themeColor="text1"/>
        </w:rPr>
        <w:t xml:space="preserve">f treatment with </w:t>
      </w:r>
      <w:r w:rsidR="00195936">
        <w:rPr>
          <w:color w:val="000000" w:themeColor="text1"/>
        </w:rPr>
        <w:t>Fiasp</w:t>
      </w:r>
      <w:r w:rsidR="004322C0" w:rsidRPr="0006299C">
        <w:rPr>
          <w:color w:val="000000" w:themeColor="text1"/>
        </w:rPr>
        <w:t xml:space="preserve"> is substantially more costly than an alternative therapy or alternative therapies, the PBAC c</w:t>
      </w:r>
      <w:r w:rsidR="004A605D">
        <w:rPr>
          <w:color w:val="000000" w:themeColor="text1"/>
        </w:rPr>
        <w:t>an</w:t>
      </w:r>
      <w:r w:rsidR="004322C0" w:rsidRPr="0006299C">
        <w:rPr>
          <w:color w:val="000000" w:themeColor="text1"/>
        </w:rPr>
        <w:t xml:space="preserve"> only recommend listing of </w:t>
      </w:r>
      <w:r w:rsidR="00195936">
        <w:rPr>
          <w:color w:val="000000" w:themeColor="text1"/>
        </w:rPr>
        <w:t>Fiasp</w:t>
      </w:r>
      <w:r w:rsidR="004322C0" w:rsidRPr="0006299C">
        <w:rPr>
          <w:color w:val="000000" w:themeColor="text1"/>
        </w:rPr>
        <w:t xml:space="preserve"> if it is satisfied tha</w:t>
      </w:r>
      <w:r w:rsidR="004322C0" w:rsidRPr="00730727">
        <w:rPr>
          <w:color w:val="000000" w:themeColor="text1"/>
        </w:rPr>
        <w:t xml:space="preserve">t </w:t>
      </w:r>
      <w:r w:rsidR="00195936">
        <w:rPr>
          <w:color w:val="000000" w:themeColor="text1"/>
        </w:rPr>
        <w:t>Fiasp</w:t>
      </w:r>
      <w:r w:rsidR="004322C0" w:rsidRPr="00730727">
        <w:rPr>
          <w:color w:val="000000" w:themeColor="text1"/>
        </w:rPr>
        <w:t xml:space="preserve"> provides, for some patients, a significant improvement in efficacy or reduction of toxicity over these alternative</w:t>
      </w:r>
      <w:r w:rsidR="00B15310">
        <w:rPr>
          <w:color w:val="000000" w:themeColor="text1"/>
        </w:rPr>
        <w:t>s</w:t>
      </w:r>
      <w:r w:rsidR="004322C0" w:rsidRPr="00C54AAF">
        <w:rPr>
          <w:color w:val="000000" w:themeColor="text1"/>
        </w:rPr>
        <w:t xml:space="preserve">. </w:t>
      </w:r>
      <w:r w:rsidR="0006299C" w:rsidRPr="0006299C">
        <w:rPr>
          <w:color w:val="000000" w:themeColor="text1"/>
          <w:szCs w:val="24"/>
        </w:rPr>
        <w:t>The ESC</w:t>
      </w:r>
      <w:r w:rsidR="00B15310">
        <w:rPr>
          <w:color w:val="000000" w:themeColor="text1"/>
          <w:szCs w:val="24"/>
        </w:rPr>
        <w:t xml:space="preserve"> </w:t>
      </w:r>
      <w:r w:rsidR="0006299C" w:rsidRPr="0006299C">
        <w:rPr>
          <w:color w:val="000000" w:themeColor="text1"/>
          <w:szCs w:val="24"/>
        </w:rPr>
        <w:t xml:space="preserve">noted that </w:t>
      </w:r>
      <w:r w:rsidR="0006299C" w:rsidRPr="0006299C">
        <w:t xml:space="preserve">the evidence presented did not demonstrate superiority of </w:t>
      </w:r>
      <w:r w:rsidR="00195936">
        <w:t>Fiasp</w:t>
      </w:r>
      <w:r w:rsidR="0006299C" w:rsidRPr="0006299C">
        <w:t xml:space="preserve"> over alternate therapies</w:t>
      </w:r>
      <w:r w:rsidR="00B15310">
        <w:t>.</w:t>
      </w:r>
      <w:r w:rsidR="0006299C" w:rsidRPr="004322C0">
        <w:t xml:space="preserve"> </w:t>
      </w:r>
    </w:p>
    <w:p w:rsidR="00523521" w:rsidRPr="003A38F7" w:rsidRDefault="00523521" w:rsidP="002F637F">
      <w:pPr>
        <w:pStyle w:val="ListParagraph"/>
        <w:widowControl/>
        <w:numPr>
          <w:ilvl w:val="1"/>
          <w:numId w:val="3"/>
        </w:numPr>
        <w:rPr>
          <w:color w:val="000000" w:themeColor="text1"/>
        </w:rPr>
      </w:pPr>
      <w:r w:rsidRPr="003A38F7">
        <w:rPr>
          <w:color w:val="000000" w:themeColor="text1"/>
        </w:rPr>
        <w:t xml:space="preserve">Prices assumed for NovoRapid in the cost minimisation analysis were based on prices prior to 1 June 2018 and </w:t>
      </w:r>
      <w:r w:rsidR="0065476E">
        <w:rPr>
          <w:color w:val="000000" w:themeColor="text1"/>
        </w:rPr>
        <w:t>were higher than</w:t>
      </w:r>
      <w:r w:rsidRPr="003A38F7">
        <w:rPr>
          <w:color w:val="000000" w:themeColor="text1"/>
        </w:rPr>
        <w:t xml:space="preserve"> current DPMQs.</w:t>
      </w:r>
      <w:r w:rsidR="00713357">
        <w:rPr>
          <w:color w:val="000000" w:themeColor="text1"/>
        </w:rPr>
        <w:t xml:space="preserve"> </w:t>
      </w:r>
      <w:r w:rsidRPr="003A38F7">
        <w:rPr>
          <w:color w:val="000000" w:themeColor="text1"/>
        </w:rPr>
        <w:t>This may not be appropriate</w:t>
      </w:r>
      <w:r w:rsidR="0065476E">
        <w:rPr>
          <w:color w:val="000000" w:themeColor="text1"/>
        </w:rPr>
        <w:t>.</w:t>
      </w:r>
      <w:r w:rsidRPr="003A38F7">
        <w:rPr>
          <w:color w:val="000000" w:themeColor="text1"/>
        </w:rPr>
        <w:t xml:space="preserve"> The usual process for evaluating a cost-minimisation </w:t>
      </w:r>
      <w:r w:rsidR="004A605D">
        <w:rPr>
          <w:color w:val="000000" w:themeColor="text1"/>
        </w:rPr>
        <w:t xml:space="preserve">analysis </w:t>
      </w:r>
      <w:r w:rsidRPr="003A38F7">
        <w:rPr>
          <w:color w:val="000000" w:themeColor="text1"/>
        </w:rPr>
        <w:t xml:space="preserve">would be </w:t>
      </w:r>
      <w:r w:rsidRPr="003A38F7">
        <w:rPr>
          <w:color w:val="000000" w:themeColor="text1"/>
        </w:rPr>
        <w:lastRenderedPageBreak/>
        <w:t>based on non-inferiority using equi-effective doses and current published prices of listed medicines.</w:t>
      </w:r>
      <w:r w:rsidR="00713357">
        <w:rPr>
          <w:color w:val="000000" w:themeColor="text1"/>
        </w:rPr>
        <w:t xml:space="preserve"> </w:t>
      </w:r>
    </w:p>
    <w:p w:rsidR="00523521" w:rsidRPr="003A38F7" w:rsidRDefault="00523521" w:rsidP="002F637F">
      <w:pPr>
        <w:pStyle w:val="ListParagraph"/>
        <w:widowControl/>
        <w:numPr>
          <w:ilvl w:val="1"/>
          <w:numId w:val="3"/>
        </w:numPr>
        <w:rPr>
          <w:color w:val="000000" w:themeColor="text1"/>
        </w:rPr>
      </w:pPr>
      <w:r w:rsidRPr="003A38F7">
        <w:rPr>
          <w:color w:val="000000" w:themeColor="text1"/>
        </w:rPr>
        <w:t xml:space="preserve">No apparent differences between </w:t>
      </w:r>
      <w:r w:rsidR="00195936">
        <w:rPr>
          <w:color w:val="000000" w:themeColor="text1"/>
        </w:rPr>
        <w:t>Fiasp</w:t>
      </w:r>
      <w:r w:rsidRPr="003A38F7">
        <w:rPr>
          <w:color w:val="000000" w:themeColor="text1"/>
        </w:rPr>
        <w:t xml:space="preserve"> and NovoRapid were identified in the observed </w:t>
      </w:r>
      <w:r w:rsidR="00663ECF" w:rsidRPr="003A38F7">
        <w:rPr>
          <w:color w:val="000000" w:themeColor="text1"/>
        </w:rPr>
        <w:t>mean daily insulin doses for bolus and basal insulins in the included trials</w:t>
      </w:r>
      <w:r w:rsidRPr="003A38F7">
        <w:rPr>
          <w:color w:val="000000" w:themeColor="text1"/>
        </w:rPr>
        <w:t>.</w:t>
      </w:r>
      <w:r w:rsidR="00713357">
        <w:rPr>
          <w:color w:val="000000" w:themeColor="text1"/>
        </w:rPr>
        <w:t xml:space="preserve"> </w:t>
      </w:r>
      <w:r w:rsidRPr="003A38F7">
        <w:rPr>
          <w:color w:val="000000" w:themeColor="text1"/>
        </w:rPr>
        <w:t xml:space="preserve">On this basis, the submission appropriately claimed that at steady state, following full titration, </w:t>
      </w:r>
      <w:r w:rsidR="00452BB2" w:rsidRPr="003A38F7">
        <w:rPr>
          <w:color w:val="000000" w:themeColor="text1"/>
        </w:rPr>
        <w:t>the equi-effec</w:t>
      </w:r>
      <w:r w:rsidR="00A21359" w:rsidRPr="003A38F7">
        <w:rPr>
          <w:color w:val="000000" w:themeColor="text1"/>
        </w:rPr>
        <w:t>t</w:t>
      </w:r>
      <w:r w:rsidR="00452BB2" w:rsidRPr="003A38F7">
        <w:rPr>
          <w:color w:val="000000" w:themeColor="text1"/>
        </w:rPr>
        <w:t>ive dose</w:t>
      </w:r>
      <w:r w:rsidR="00A21359" w:rsidRPr="003A38F7">
        <w:rPr>
          <w:color w:val="000000" w:themeColor="text1"/>
        </w:rPr>
        <w:t>s</w:t>
      </w:r>
      <w:r w:rsidR="00452BB2" w:rsidRPr="003A38F7">
        <w:rPr>
          <w:color w:val="000000" w:themeColor="text1"/>
        </w:rPr>
        <w:t xml:space="preserve"> of </w:t>
      </w:r>
      <w:r w:rsidR="00195936">
        <w:rPr>
          <w:color w:val="000000" w:themeColor="text1"/>
        </w:rPr>
        <w:t>Fiasp</w:t>
      </w:r>
      <w:r w:rsidR="00452BB2" w:rsidRPr="003A38F7">
        <w:rPr>
          <w:color w:val="000000" w:themeColor="text1"/>
        </w:rPr>
        <w:t xml:space="preserve"> to NovoRapid </w:t>
      </w:r>
      <w:r w:rsidR="00A21359" w:rsidRPr="003A38F7">
        <w:rPr>
          <w:color w:val="000000" w:themeColor="text1"/>
        </w:rPr>
        <w:t>would be</w:t>
      </w:r>
      <w:r w:rsidR="00452BB2" w:rsidRPr="003A38F7">
        <w:rPr>
          <w:color w:val="000000" w:themeColor="text1"/>
        </w:rPr>
        <w:t xml:space="preserve"> </w:t>
      </w:r>
      <w:r w:rsidRPr="003A38F7">
        <w:rPr>
          <w:color w:val="000000" w:themeColor="text1"/>
        </w:rPr>
        <w:t xml:space="preserve">1 unit </w:t>
      </w:r>
      <w:r w:rsidR="00195936">
        <w:rPr>
          <w:color w:val="000000" w:themeColor="text1"/>
        </w:rPr>
        <w:t>Fiasp</w:t>
      </w:r>
      <w:r w:rsidRPr="003A38F7">
        <w:rPr>
          <w:color w:val="000000" w:themeColor="text1"/>
        </w:rPr>
        <w:t xml:space="preserve"> </w:t>
      </w:r>
      <w:r w:rsidR="00452BB2" w:rsidRPr="003A38F7">
        <w:rPr>
          <w:color w:val="000000" w:themeColor="text1"/>
        </w:rPr>
        <w:sym w:font="Symbol" w:char="F0BA"/>
      </w:r>
      <w:r w:rsidR="00681C3D" w:rsidRPr="003A38F7">
        <w:rPr>
          <w:color w:val="000000" w:themeColor="text1"/>
        </w:rPr>
        <w:t xml:space="preserve"> </w:t>
      </w:r>
      <w:r w:rsidR="00452BB2" w:rsidRPr="003A38F7">
        <w:rPr>
          <w:color w:val="000000" w:themeColor="text1"/>
        </w:rPr>
        <w:t>1 unit NovoRapid</w:t>
      </w:r>
      <w:r w:rsidRPr="003A38F7">
        <w:rPr>
          <w:color w:val="000000" w:themeColor="text1"/>
        </w:rPr>
        <w:t>.</w:t>
      </w:r>
      <w:r w:rsidR="00813028">
        <w:rPr>
          <w:color w:val="000000" w:themeColor="text1"/>
        </w:rPr>
        <w:t xml:space="preserve"> </w:t>
      </w:r>
      <w:r w:rsidR="00813028" w:rsidRPr="00C54AAF">
        <w:rPr>
          <w:color w:val="000000" w:themeColor="text1"/>
        </w:rPr>
        <w:t>The ESC considered the equi-effective doses proposed to be reasonable.</w:t>
      </w:r>
    </w:p>
    <w:p w:rsidR="00DD16A4" w:rsidRPr="003A38F7" w:rsidRDefault="00DD16A4" w:rsidP="002F637F">
      <w:pPr>
        <w:pStyle w:val="ListParagraph"/>
        <w:widowControl/>
        <w:numPr>
          <w:ilvl w:val="1"/>
          <w:numId w:val="3"/>
        </w:numPr>
        <w:rPr>
          <w:color w:val="000000" w:themeColor="text1"/>
        </w:rPr>
      </w:pPr>
      <w:r w:rsidRPr="003A38F7">
        <w:rPr>
          <w:color w:val="000000" w:themeColor="text1"/>
        </w:rPr>
        <w:t xml:space="preserve">The submission assumed that as doses of basal, bolus and total insulin were equivalent for </w:t>
      </w:r>
      <w:r w:rsidR="00195936">
        <w:rPr>
          <w:color w:val="000000" w:themeColor="text1"/>
        </w:rPr>
        <w:t>Fiasp</w:t>
      </w:r>
      <w:r w:rsidR="0093068B" w:rsidRPr="003A38F7">
        <w:rPr>
          <w:color w:val="000000" w:themeColor="text1"/>
        </w:rPr>
        <w:t xml:space="preserve"> </w:t>
      </w:r>
      <w:r w:rsidRPr="003A38F7">
        <w:rPr>
          <w:color w:val="000000" w:themeColor="text1"/>
        </w:rPr>
        <w:t>and NovoRapid and</w:t>
      </w:r>
      <w:r w:rsidR="00452BB2" w:rsidRPr="003A38F7">
        <w:rPr>
          <w:color w:val="000000" w:themeColor="text1"/>
        </w:rPr>
        <w:t xml:space="preserve"> </w:t>
      </w:r>
      <w:r w:rsidRPr="003A38F7">
        <w:rPr>
          <w:color w:val="000000" w:themeColor="text1"/>
        </w:rPr>
        <w:t>there were no differences in the safety profiles</w:t>
      </w:r>
      <w:r w:rsidR="00681C3D" w:rsidRPr="003A38F7">
        <w:rPr>
          <w:color w:val="000000" w:themeColor="text1"/>
        </w:rPr>
        <w:t xml:space="preserve"> and</w:t>
      </w:r>
      <w:r w:rsidRPr="003A38F7">
        <w:rPr>
          <w:color w:val="000000" w:themeColor="text1"/>
        </w:rPr>
        <w:t xml:space="preserve"> no difference in additional resource use would be expected.</w:t>
      </w:r>
      <w:r w:rsidR="00713357">
        <w:rPr>
          <w:color w:val="000000" w:themeColor="text1"/>
        </w:rPr>
        <w:t xml:space="preserve"> </w:t>
      </w:r>
      <w:r w:rsidRPr="003A38F7">
        <w:rPr>
          <w:color w:val="000000" w:themeColor="text1"/>
        </w:rPr>
        <w:t xml:space="preserve">Although this was generally reasonable, it was noted that despite a similar rate of non-routine infusion set changes per 100 person years, in onset 5, </w:t>
      </w:r>
      <w:r w:rsidRPr="00026284">
        <w:rPr>
          <w:color w:val="000000" w:themeColor="text1"/>
        </w:rPr>
        <w:t xml:space="preserve">significantly </w:t>
      </w:r>
      <w:r w:rsidRPr="003A38F7">
        <w:rPr>
          <w:color w:val="000000" w:themeColor="text1"/>
        </w:rPr>
        <w:t>more patients</w:t>
      </w:r>
      <w:r w:rsidRPr="00452BB2">
        <w:rPr>
          <w:i/>
          <w:color w:val="000000" w:themeColor="text1"/>
        </w:rPr>
        <w:t xml:space="preserve"> </w:t>
      </w:r>
      <w:r w:rsidRPr="003A38F7">
        <w:rPr>
          <w:color w:val="000000" w:themeColor="text1"/>
        </w:rPr>
        <w:t xml:space="preserve">reported non-routine changes of infusion set with </w:t>
      </w:r>
      <w:r w:rsidR="00195936">
        <w:rPr>
          <w:color w:val="000000" w:themeColor="text1"/>
        </w:rPr>
        <w:t>Fiasp</w:t>
      </w:r>
      <w:r w:rsidR="00B15310">
        <w:rPr>
          <w:color w:val="000000" w:themeColor="text1"/>
        </w:rPr>
        <w:t xml:space="preserve"> </w:t>
      </w:r>
      <w:r w:rsidRPr="003A38F7">
        <w:rPr>
          <w:color w:val="000000" w:themeColor="text1"/>
        </w:rPr>
        <w:t>(CSII) compared with NovoRapid</w:t>
      </w:r>
      <w:r w:rsidR="00B15310">
        <w:rPr>
          <w:color w:val="000000" w:themeColor="text1"/>
        </w:rPr>
        <w:t xml:space="preserve"> (CSII) (71.2% versus 57.2%).</w:t>
      </w:r>
      <w:r w:rsidRPr="003A38F7">
        <w:rPr>
          <w:color w:val="000000" w:themeColor="text1"/>
        </w:rPr>
        <w:t xml:space="preserve"> </w:t>
      </w:r>
      <w:r w:rsidR="00B15310">
        <w:rPr>
          <w:color w:val="000000" w:themeColor="text1"/>
        </w:rPr>
        <w:t>This may</w:t>
      </w:r>
      <w:r w:rsidRPr="003A38F7">
        <w:rPr>
          <w:color w:val="000000" w:themeColor="text1"/>
        </w:rPr>
        <w:t xml:space="preserve"> have any resource implications in clinical practice.</w:t>
      </w:r>
    </w:p>
    <w:p w:rsidR="00DD16A4" w:rsidRPr="003A38F7" w:rsidRDefault="00335562" w:rsidP="002F637F">
      <w:pPr>
        <w:pStyle w:val="ListParagraph"/>
        <w:widowControl/>
        <w:numPr>
          <w:ilvl w:val="1"/>
          <w:numId w:val="3"/>
        </w:numPr>
        <w:rPr>
          <w:color w:val="000000" w:themeColor="text1"/>
        </w:rPr>
      </w:pPr>
      <w:r w:rsidRPr="003A38F7">
        <w:rPr>
          <w:color w:val="000000" w:themeColor="text1"/>
        </w:rPr>
        <w:t>T</w:t>
      </w:r>
      <w:r w:rsidR="00DD16A4" w:rsidRPr="003A38F7">
        <w:rPr>
          <w:color w:val="000000" w:themeColor="text1"/>
        </w:rPr>
        <w:t>he submission did not perform an</w:t>
      </w:r>
      <w:r w:rsidRPr="003A38F7">
        <w:rPr>
          <w:color w:val="000000" w:themeColor="text1"/>
        </w:rPr>
        <w:t>y</w:t>
      </w:r>
      <w:r w:rsidR="00DD16A4" w:rsidRPr="003A38F7">
        <w:rPr>
          <w:color w:val="000000" w:themeColor="text1"/>
        </w:rPr>
        <w:t xml:space="preserve"> analysis using current PBS prices of NovoRapid (</w:t>
      </w:r>
      <w:r w:rsidR="002F637F" w:rsidRPr="003A38F7">
        <w:rPr>
          <w:color w:val="000000" w:themeColor="text1"/>
        </w:rPr>
        <w:t>i.e.</w:t>
      </w:r>
      <w:r w:rsidR="00DD16A4" w:rsidRPr="003A38F7">
        <w:rPr>
          <w:color w:val="000000" w:themeColor="text1"/>
        </w:rPr>
        <w:t>, after the 1 June 2018 price reductions), which would be standard practice in cost minimisation analysis.</w:t>
      </w:r>
      <w:r w:rsidR="00713357">
        <w:rPr>
          <w:color w:val="000000" w:themeColor="text1"/>
        </w:rPr>
        <w:t xml:space="preserve"> </w:t>
      </w:r>
      <w:r w:rsidR="00DD16A4" w:rsidRPr="003A38F7">
        <w:rPr>
          <w:color w:val="000000" w:themeColor="text1"/>
        </w:rPr>
        <w:t xml:space="preserve">This was conducted during the </w:t>
      </w:r>
      <w:r w:rsidR="00E33519" w:rsidRPr="003A38F7">
        <w:rPr>
          <w:color w:val="000000" w:themeColor="text1"/>
        </w:rPr>
        <w:t>evaluation</w:t>
      </w:r>
      <w:r w:rsidR="005508BF" w:rsidRPr="003A38F7">
        <w:rPr>
          <w:color w:val="000000" w:themeColor="text1"/>
        </w:rPr>
        <w:t>.</w:t>
      </w:r>
      <w:r w:rsidR="004854C1" w:rsidRPr="003A38F7">
        <w:rPr>
          <w:color w:val="000000" w:themeColor="text1"/>
        </w:rPr>
        <w:t xml:space="preserve"> </w:t>
      </w:r>
      <w:r w:rsidR="007A6B0A" w:rsidRPr="003A38F7">
        <w:rPr>
          <w:color w:val="000000" w:themeColor="text1"/>
        </w:rPr>
        <w:t>R</w:t>
      </w:r>
      <w:r w:rsidRPr="003A38F7">
        <w:rPr>
          <w:color w:val="000000" w:themeColor="text1"/>
        </w:rPr>
        <w:t xml:space="preserve">esults are presented in Table 6 </w:t>
      </w:r>
      <w:r w:rsidR="00DD16A4" w:rsidRPr="003A38F7">
        <w:rPr>
          <w:color w:val="000000" w:themeColor="text1"/>
        </w:rPr>
        <w:t>below.</w:t>
      </w:r>
    </w:p>
    <w:p w:rsidR="00DD16A4" w:rsidRPr="004062F0" w:rsidRDefault="00335562" w:rsidP="002F637F">
      <w:pPr>
        <w:widowControl/>
        <w:rPr>
          <w:rStyle w:val="CommentReference"/>
          <w:iCs/>
        </w:rPr>
      </w:pPr>
      <w:r w:rsidRPr="004062F0">
        <w:rPr>
          <w:rStyle w:val="CommentReference"/>
          <w:iCs/>
        </w:rPr>
        <w:t>Table 6</w:t>
      </w:r>
      <w:r w:rsidR="00DD16A4" w:rsidRPr="004062F0">
        <w:rPr>
          <w:rStyle w:val="CommentReference"/>
          <w:iCs/>
        </w:rPr>
        <w:t xml:space="preserve">: </w:t>
      </w:r>
      <w:r w:rsidRPr="004062F0">
        <w:rPr>
          <w:rStyle w:val="CommentReference"/>
          <w:iCs/>
        </w:rPr>
        <w:t>C</w:t>
      </w:r>
      <w:r w:rsidR="00DD16A4" w:rsidRPr="004062F0">
        <w:rPr>
          <w:rStyle w:val="CommentReference"/>
          <w:iCs/>
        </w:rPr>
        <w:t>ost minimisation analysis using cost of NovoRapid® current as at 1 August 2018 – bolus doses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8"/>
        <w:gridCol w:w="2516"/>
        <w:gridCol w:w="3493"/>
      </w:tblGrid>
      <w:tr w:rsidR="00DD16A4" w:rsidRPr="003A38F7" w:rsidTr="00AA010F">
        <w:tc>
          <w:tcPr>
            <w:tcW w:w="3008" w:type="dxa"/>
          </w:tcPr>
          <w:p w:rsidR="00DD16A4" w:rsidRPr="003A38F7" w:rsidRDefault="00DD16A4" w:rsidP="002F637F">
            <w:pPr>
              <w:pStyle w:val="Tabletext"/>
              <w:rPr>
                <w:b/>
                <w:iCs/>
              </w:rPr>
            </w:pPr>
            <w:r w:rsidRPr="003A38F7">
              <w:rPr>
                <w:b/>
                <w:iCs/>
              </w:rPr>
              <w:t>Component</w:t>
            </w:r>
          </w:p>
        </w:tc>
        <w:tc>
          <w:tcPr>
            <w:tcW w:w="2516" w:type="dxa"/>
          </w:tcPr>
          <w:p w:rsidR="00DD16A4" w:rsidRPr="003A38F7" w:rsidRDefault="00195936" w:rsidP="002F637F">
            <w:pPr>
              <w:pStyle w:val="Tabletext"/>
              <w:jc w:val="center"/>
              <w:rPr>
                <w:b/>
                <w:iCs/>
              </w:rPr>
            </w:pPr>
            <w:r>
              <w:rPr>
                <w:b/>
                <w:iCs/>
              </w:rPr>
              <w:t>Fiasp</w:t>
            </w:r>
            <w:r w:rsidR="00DD16A4" w:rsidRPr="003A38F7">
              <w:rPr>
                <w:b/>
                <w:iCs/>
              </w:rPr>
              <w:t xml:space="preserve"> requested prices</w:t>
            </w:r>
          </w:p>
        </w:tc>
        <w:tc>
          <w:tcPr>
            <w:tcW w:w="3493" w:type="dxa"/>
          </w:tcPr>
          <w:p w:rsidR="00DD16A4" w:rsidRPr="003A38F7" w:rsidRDefault="00DD16A4" w:rsidP="002F637F">
            <w:pPr>
              <w:pStyle w:val="Tabletext"/>
              <w:jc w:val="center"/>
              <w:rPr>
                <w:b/>
                <w:iCs/>
              </w:rPr>
            </w:pPr>
            <w:r w:rsidRPr="003A38F7">
              <w:rPr>
                <w:b/>
                <w:iCs/>
              </w:rPr>
              <w:t>NovoRapid® (price at 1 August 2018)</w:t>
            </w:r>
          </w:p>
        </w:tc>
      </w:tr>
      <w:tr w:rsidR="00DD16A4" w:rsidRPr="003A38F7" w:rsidTr="00AA010F">
        <w:tc>
          <w:tcPr>
            <w:tcW w:w="9017" w:type="dxa"/>
            <w:gridSpan w:val="3"/>
          </w:tcPr>
          <w:p w:rsidR="00DD16A4" w:rsidRPr="003A38F7" w:rsidRDefault="00DD16A4" w:rsidP="002F637F">
            <w:pPr>
              <w:pStyle w:val="Tabletext"/>
              <w:rPr>
                <w:b/>
                <w:bCs/>
                <w:iCs/>
              </w:rPr>
            </w:pPr>
            <w:r w:rsidRPr="003A38F7">
              <w:rPr>
                <w:b/>
                <w:bCs/>
                <w:iCs/>
              </w:rPr>
              <w:t>T1DM</w:t>
            </w:r>
          </w:p>
        </w:tc>
      </w:tr>
      <w:tr w:rsidR="00DD16A4" w:rsidRPr="003A38F7" w:rsidTr="00AA010F">
        <w:tc>
          <w:tcPr>
            <w:tcW w:w="3008" w:type="dxa"/>
          </w:tcPr>
          <w:p w:rsidR="00DD16A4" w:rsidRPr="003A38F7" w:rsidRDefault="00DD16A4" w:rsidP="002F637F">
            <w:pPr>
              <w:pStyle w:val="Tabletext"/>
              <w:rPr>
                <w:iCs/>
              </w:rPr>
            </w:pPr>
            <w:r w:rsidRPr="003A38F7">
              <w:rPr>
                <w:iCs/>
              </w:rPr>
              <w:t>Cost per unit</w:t>
            </w:r>
          </w:p>
        </w:tc>
        <w:tc>
          <w:tcPr>
            <w:tcW w:w="2516" w:type="dxa"/>
          </w:tcPr>
          <w:p w:rsidR="00DD16A4" w:rsidRPr="003A38F7" w:rsidRDefault="00DD16A4" w:rsidP="002F637F">
            <w:pPr>
              <w:pStyle w:val="Tabletext"/>
              <w:jc w:val="center"/>
              <w:rPr>
                <w:iCs/>
              </w:rPr>
            </w:pPr>
            <w:r w:rsidRPr="003A38F7">
              <w:t>$0.032</w:t>
            </w:r>
          </w:p>
        </w:tc>
        <w:tc>
          <w:tcPr>
            <w:tcW w:w="3493" w:type="dxa"/>
          </w:tcPr>
          <w:p w:rsidR="00DD16A4" w:rsidRPr="003A38F7" w:rsidRDefault="00DD16A4" w:rsidP="002F637F">
            <w:pPr>
              <w:pStyle w:val="Tabletext"/>
              <w:jc w:val="center"/>
              <w:rPr>
                <w:iCs/>
              </w:rPr>
            </w:pPr>
            <w:r w:rsidRPr="003A38F7">
              <w:rPr>
                <w:iCs/>
              </w:rPr>
              <w:t>$0.028^</w:t>
            </w:r>
          </w:p>
        </w:tc>
      </w:tr>
      <w:tr w:rsidR="00DD16A4" w:rsidRPr="003A38F7" w:rsidTr="00AA010F">
        <w:tc>
          <w:tcPr>
            <w:tcW w:w="3008" w:type="dxa"/>
          </w:tcPr>
          <w:p w:rsidR="00DD16A4" w:rsidRPr="003A38F7" w:rsidRDefault="00DD16A4" w:rsidP="002F637F">
            <w:pPr>
              <w:pStyle w:val="Tabletext"/>
              <w:rPr>
                <w:iCs/>
              </w:rPr>
            </w:pPr>
            <w:r w:rsidRPr="003A38F7">
              <w:rPr>
                <w:iCs/>
              </w:rPr>
              <w:t>Mean daily dose, units</w:t>
            </w:r>
          </w:p>
        </w:tc>
        <w:tc>
          <w:tcPr>
            <w:tcW w:w="2516" w:type="dxa"/>
          </w:tcPr>
          <w:p w:rsidR="00DD16A4" w:rsidRPr="003A38F7" w:rsidRDefault="00DD16A4" w:rsidP="002F637F">
            <w:pPr>
              <w:pStyle w:val="Tabletext"/>
              <w:jc w:val="center"/>
              <w:rPr>
                <w:iCs/>
              </w:rPr>
            </w:pPr>
            <w:r w:rsidRPr="003A38F7">
              <w:t>37.0</w:t>
            </w:r>
          </w:p>
        </w:tc>
        <w:tc>
          <w:tcPr>
            <w:tcW w:w="3493" w:type="dxa"/>
          </w:tcPr>
          <w:p w:rsidR="00DD16A4" w:rsidRPr="003A38F7" w:rsidRDefault="00DD16A4" w:rsidP="002F637F">
            <w:pPr>
              <w:pStyle w:val="Tabletext"/>
              <w:jc w:val="center"/>
              <w:rPr>
                <w:iCs/>
              </w:rPr>
            </w:pPr>
            <w:r w:rsidRPr="003A38F7">
              <w:rPr>
                <w:iCs/>
              </w:rPr>
              <w:t>37.0</w:t>
            </w:r>
          </w:p>
        </w:tc>
      </w:tr>
      <w:tr w:rsidR="00DD16A4" w:rsidRPr="003A38F7" w:rsidTr="00AA010F">
        <w:tc>
          <w:tcPr>
            <w:tcW w:w="3008" w:type="dxa"/>
          </w:tcPr>
          <w:p w:rsidR="00DD16A4" w:rsidRPr="003A38F7" w:rsidRDefault="00DD16A4" w:rsidP="002F637F">
            <w:pPr>
              <w:pStyle w:val="Tabletext"/>
              <w:rPr>
                <w:iCs/>
              </w:rPr>
            </w:pPr>
            <w:r w:rsidRPr="003A38F7">
              <w:rPr>
                <w:iCs/>
              </w:rPr>
              <w:t>Total medicine cost per day</w:t>
            </w:r>
          </w:p>
        </w:tc>
        <w:tc>
          <w:tcPr>
            <w:tcW w:w="2516" w:type="dxa"/>
          </w:tcPr>
          <w:p w:rsidR="00DD16A4" w:rsidRPr="003A38F7" w:rsidRDefault="00DD16A4" w:rsidP="002F637F">
            <w:pPr>
              <w:pStyle w:val="Tabletext"/>
              <w:jc w:val="center"/>
              <w:rPr>
                <w:iCs/>
              </w:rPr>
            </w:pPr>
            <w:r w:rsidRPr="003A38F7">
              <w:t>$1.19</w:t>
            </w:r>
          </w:p>
        </w:tc>
        <w:tc>
          <w:tcPr>
            <w:tcW w:w="3493" w:type="dxa"/>
          </w:tcPr>
          <w:p w:rsidR="00DD16A4" w:rsidRPr="003A38F7" w:rsidRDefault="00DD16A4" w:rsidP="002F637F">
            <w:pPr>
              <w:pStyle w:val="Tabletext"/>
              <w:jc w:val="center"/>
              <w:rPr>
                <w:iCs/>
              </w:rPr>
            </w:pPr>
            <w:r w:rsidRPr="003A38F7">
              <w:rPr>
                <w:iCs/>
              </w:rPr>
              <w:t>$1.02</w:t>
            </w:r>
          </w:p>
        </w:tc>
      </w:tr>
      <w:tr w:rsidR="00DD16A4" w:rsidRPr="003A38F7" w:rsidTr="00AA010F">
        <w:tc>
          <w:tcPr>
            <w:tcW w:w="3008" w:type="dxa"/>
          </w:tcPr>
          <w:p w:rsidR="00DD16A4" w:rsidRPr="003A38F7" w:rsidRDefault="00DD16A4" w:rsidP="002F637F">
            <w:pPr>
              <w:pStyle w:val="Tabletext"/>
              <w:jc w:val="right"/>
              <w:rPr>
                <w:iCs/>
              </w:rPr>
            </w:pPr>
            <w:r w:rsidRPr="003A38F7">
              <w:rPr>
                <w:iCs/>
              </w:rPr>
              <w:t>Difference in cost per day</w:t>
            </w:r>
          </w:p>
        </w:tc>
        <w:tc>
          <w:tcPr>
            <w:tcW w:w="6009" w:type="dxa"/>
            <w:gridSpan w:val="2"/>
          </w:tcPr>
          <w:p w:rsidR="00DD16A4" w:rsidRPr="003A38F7" w:rsidRDefault="00DD16A4" w:rsidP="002F637F">
            <w:pPr>
              <w:pStyle w:val="Tabletext"/>
              <w:jc w:val="center"/>
              <w:rPr>
                <w:iCs/>
              </w:rPr>
            </w:pPr>
            <w:r w:rsidRPr="003A38F7">
              <w:rPr>
                <w:iCs/>
              </w:rPr>
              <w:t xml:space="preserve">$0.17 extra for </w:t>
            </w:r>
            <w:r w:rsidR="00195936">
              <w:rPr>
                <w:iCs/>
              </w:rPr>
              <w:t>Fiasp</w:t>
            </w:r>
          </w:p>
        </w:tc>
      </w:tr>
      <w:tr w:rsidR="00DD16A4" w:rsidRPr="003A38F7" w:rsidTr="00AA010F">
        <w:tc>
          <w:tcPr>
            <w:tcW w:w="9017" w:type="dxa"/>
            <w:gridSpan w:val="3"/>
          </w:tcPr>
          <w:p w:rsidR="00DD16A4" w:rsidRPr="003A38F7" w:rsidRDefault="00DD16A4" w:rsidP="002F637F">
            <w:pPr>
              <w:pStyle w:val="Tabletext"/>
              <w:rPr>
                <w:b/>
                <w:bCs/>
                <w:iCs/>
              </w:rPr>
            </w:pPr>
            <w:r w:rsidRPr="003A38F7">
              <w:rPr>
                <w:b/>
                <w:bCs/>
                <w:iCs/>
              </w:rPr>
              <w:t>T2DM</w:t>
            </w:r>
          </w:p>
        </w:tc>
      </w:tr>
      <w:tr w:rsidR="00DD16A4" w:rsidRPr="003A38F7" w:rsidTr="00AA010F">
        <w:tc>
          <w:tcPr>
            <w:tcW w:w="3008" w:type="dxa"/>
          </w:tcPr>
          <w:p w:rsidR="00DD16A4" w:rsidRPr="003A38F7" w:rsidRDefault="00DD16A4" w:rsidP="002F637F">
            <w:pPr>
              <w:pStyle w:val="Tabletext"/>
              <w:rPr>
                <w:iCs/>
              </w:rPr>
            </w:pPr>
            <w:r w:rsidRPr="003A38F7">
              <w:rPr>
                <w:iCs/>
              </w:rPr>
              <w:t>Cost per unit</w:t>
            </w:r>
          </w:p>
        </w:tc>
        <w:tc>
          <w:tcPr>
            <w:tcW w:w="2516" w:type="dxa"/>
          </w:tcPr>
          <w:p w:rsidR="00DD16A4" w:rsidRPr="003A38F7" w:rsidRDefault="00DD16A4" w:rsidP="002F637F">
            <w:pPr>
              <w:pStyle w:val="Tabletext"/>
              <w:jc w:val="center"/>
              <w:rPr>
                <w:iCs/>
              </w:rPr>
            </w:pPr>
            <w:r w:rsidRPr="003A38F7">
              <w:t>$0.032</w:t>
            </w:r>
          </w:p>
        </w:tc>
        <w:tc>
          <w:tcPr>
            <w:tcW w:w="3493" w:type="dxa"/>
          </w:tcPr>
          <w:p w:rsidR="00DD16A4" w:rsidRPr="003A38F7" w:rsidRDefault="00DD16A4" w:rsidP="002F637F">
            <w:pPr>
              <w:pStyle w:val="Tabletext"/>
              <w:jc w:val="center"/>
              <w:rPr>
                <w:iCs/>
              </w:rPr>
            </w:pPr>
            <w:r w:rsidRPr="003A38F7">
              <w:rPr>
                <w:iCs/>
              </w:rPr>
              <w:t>$0.028^</w:t>
            </w:r>
          </w:p>
        </w:tc>
      </w:tr>
      <w:tr w:rsidR="00DD16A4" w:rsidRPr="003A38F7" w:rsidTr="00AA010F">
        <w:tc>
          <w:tcPr>
            <w:tcW w:w="3008" w:type="dxa"/>
          </w:tcPr>
          <w:p w:rsidR="00DD16A4" w:rsidRPr="003A38F7" w:rsidRDefault="00DD16A4" w:rsidP="002F637F">
            <w:pPr>
              <w:pStyle w:val="Tabletext"/>
              <w:rPr>
                <w:iCs/>
              </w:rPr>
            </w:pPr>
            <w:r w:rsidRPr="003A38F7">
              <w:rPr>
                <w:iCs/>
              </w:rPr>
              <w:t>Mean daily dose, units</w:t>
            </w:r>
          </w:p>
        </w:tc>
        <w:tc>
          <w:tcPr>
            <w:tcW w:w="2516" w:type="dxa"/>
          </w:tcPr>
          <w:p w:rsidR="00DD16A4" w:rsidRPr="003A38F7" w:rsidRDefault="00DD16A4" w:rsidP="002F637F">
            <w:pPr>
              <w:pStyle w:val="Tabletext"/>
              <w:jc w:val="center"/>
              <w:rPr>
                <w:iCs/>
              </w:rPr>
            </w:pPr>
            <w:r w:rsidRPr="003A38F7">
              <w:t>61.0</w:t>
            </w:r>
          </w:p>
        </w:tc>
        <w:tc>
          <w:tcPr>
            <w:tcW w:w="3493" w:type="dxa"/>
          </w:tcPr>
          <w:p w:rsidR="00DD16A4" w:rsidRPr="003A38F7" w:rsidRDefault="00DD16A4" w:rsidP="002F637F">
            <w:pPr>
              <w:pStyle w:val="Tabletext"/>
              <w:jc w:val="center"/>
              <w:rPr>
                <w:iCs/>
              </w:rPr>
            </w:pPr>
            <w:r w:rsidRPr="003A38F7">
              <w:rPr>
                <w:iCs/>
              </w:rPr>
              <w:t>61.0</w:t>
            </w:r>
          </w:p>
        </w:tc>
      </w:tr>
      <w:tr w:rsidR="00DD16A4" w:rsidRPr="003A38F7" w:rsidTr="00AA010F">
        <w:tc>
          <w:tcPr>
            <w:tcW w:w="3008" w:type="dxa"/>
          </w:tcPr>
          <w:p w:rsidR="00DD16A4" w:rsidRPr="003A38F7" w:rsidRDefault="00DD16A4" w:rsidP="002F637F">
            <w:pPr>
              <w:pStyle w:val="Tabletext"/>
              <w:rPr>
                <w:iCs/>
              </w:rPr>
            </w:pPr>
            <w:r w:rsidRPr="003A38F7">
              <w:rPr>
                <w:iCs/>
              </w:rPr>
              <w:t>Total medicine cost per day</w:t>
            </w:r>
          </w:p>
        </w:tc>
        <w:tc>
          <w:tcPr>
            <w:tcW w:w="2516" w:type="dxa"/>
          </w:tcPr>
          <w:p w:rsidR="00DD16A4" w:rsidRPr="003A38F7" w:rsidRDefault="00DD16A4" w:rsidP="002F637F">
            <w:pPr>
              <w:pStyle w:val="Tabletext"/>
              <w:jc w:val="center"/>
              <w:rPr>
                <w:iCs/>
              </w:rPr>
            </w:pPr>
            <w:r w:rsidRPr="003A38F7">
              <w:t>$1.96</w:t>
            </w:r>
          </w:p>
        </w:tc>
        <w:tc>
          <w:tcPr>
            <w:tcW w:w="3493" w:type="dxa"/>
          </w:tcPr>
          <w:p w:rsidR="00DD16A4" w:rsidRPr="003A38F7" w:rsidRDefault="00DD16A4" w:rsidP="002F637F">
            <w:pPr>
              <w:pStyle w:val="Tabletext"/>
              <w:jc w:val="center"/>
              <w:rPr>
                <w:iCs/>
              </w:rPr>
            </w:pPr>
            <w:r w:rsidRPr="003A38F7">
              <w:rPr>
                <w:iCs/>
              </w:rPr>
              <w:t>$1.68</w:t>
            </w:r>
          </w:p>
        </w:tc>
      </w:tr>
      <w:tr w:rsidR="00DD16A4" w:rsidRPr="004062F0" w:rsidTr="00AA010F">
        <w:tc>
          <w:tcPr>
            <w:tcW w:w="3008" w:type="dxa"/>
          </w:tcPr>
          <w:p w:rsidR="00DD16A4" w:rsidRPr="004062F0" w:rsidRDefault="00DD16A4" w:rsidP="002F637F">
            <w:pPr>
              <w:pStyle w:val="Tabletext"/>
              <w:jc w:val="right"/>
              <w:rPr>
                <w:iCs/>
              </w:rPr>
            </w:pPr>
            <w:r w:rsidRPr="004062F0">
              <w:rPr>
                <w:iCs/>
              </w:rPr>
              <w:t>Difference in cost per day</w:t>
            </w:r>
          </w:p>
        </w:tc>
        <w:tc>
          <w:tcPr>
            <w:tcW w:w="6009" w:type="dxa"/>
            <w:gridSpan w:val="2"/>
          </w:tcPr>
          <w:p w:rsidR="00DD16A4" w:rsidRPr="004062F0" w:rsidRDefault="00DD16A4" w:rsidP="002F637F">
            <w:pPr>
              <w:pStyle w:val="Tabletext"/>
              <w:jc w:val="center"/>
              <w:rPr>
                <w:iCs/>
              </w:rPr>
            </w:pPr>
            <w:r w:rsidRPr="004062F0">
              <w:rPr>
                <w:iCs/>
              </w:rPr>
              <w:t xml:space="preserve">$0.28 extra for </w:t>
            </w:r>
            <w:r w:rsidR="00195936">
              <w:rPr>
                <w:iCs/>
              </w:rPr>
              <w:t>Fiasp</w:t>
            </w:r>
          </w:p>
        </w:tc>
      </w:tr>
    </w:tbl>
    <w:p w:rsidR="00DD16A4" w:rsidRPr="004062F0" w:rsidRDefault="00DD16A4" w:rsidP="002F637F">
      <w:pPr>
        <w:pStyle w:val="TableFooter"/>
        <w:widowControl/>
        <w:rPr>
          <w:iCs/>
        </w:rPr>
      </w:pPr>
      <w:r w:rsidRPr="004062F0">
        <w:rPr>
          <w:iCs/>
        </w:rPr>
        <w:t>^</w:t>
      </w:r>
      <w:r w:rsidRPr="004062F0">
        <w:rPr>
          <w:iCs/>
        </w:rPr>
        <w:tab/>
        <w:t xml:space="preserve">Based on current DPMQ of NovoRapid® 5x3mL cartridges (item:8435Y): $206.59 </w:t>
      </w:r>
    </w:p>
    <w:p w:rsidR="00DD16A4" w:rsidRDefault="00DD16A4" w:rsidP="002F637F">
      <w:pPr>
        <w:pStyle w:val="TableFooter"/>
        <w:widowControl/>
        <w:rPr>
          <w:iCs/>
        </w:rPr>
      </w:pPr>
      <w:r w:rsidRPr="004062F0">
        <w:rPr>
          <w:iCs/>
        </w:rPr>
        <w:t>Source: compiled during the evaluation.</w:t>
      </w:r>
    </w:p>
    <w:p w:rsidR="00A01DC4" w:rsidRPr="004062F0" w:rsidRDefault="00A01DC4" w:rsidP="002F637F">
      <w:pPr>
        <w:pStyle w:val="TableFooter"/>
        <w:widowControl/>
        <w:rPr>
          <w:iCs/>
          <w:sz w:val="20"/>
        </w:rPr>
      </w:pPr>
    </w:p>
    <w:p w:rsidR="00A0199C" w:rsidRPr="00026284" w:rsidRDefault="00DD16A4" w:rsidP="002F637F">
      <w:pPr>
        <w:pStyle w:val="ListParagraph"/>
        <w:widowControl/>
        <w:numPr>
          <w:ilvl w:val="1"/>
          <w:numId w:val="3"/>
        </w:numPr>
        <w:rPr>
          <w:color w:val="000000" w:themeColor="text1"/>
        </w:rPr>
      </w:pPr>
      <w:r w:rsidRPr="003A38F7">
        <w:rPr>
          <w:color w:val="000000" w:themeColor="text1"/>
        </w:rPr>
        <w:t>When compared to current DP</w:t>
      </w:r>
      <w:r w:rsidR="00681C3D" w:rsidRPr="003A38F7">
        <w:rPr>
          <w:color w:val="000000" w:themeColor="text1"/>
        </w:rPr>
        <w:t>MQ</w:t>
      </w:r>
      <w:r w:rsidRPr="003A38F7">
        <w:rPr>
          <w:color w:val="000000" w:themeColor="text1"/>
        </w:rPr>
        <w:t xml:space="preserve">s of NovoRapid, treatment cost with </w:t>
      </w:r>
      <w:r w:rsidR="00195936">
        <w:rPr>
          <w:color w:val="000000" w:themeColor="text1"/>
        </w:rPr>
        <w:t>Fiasp</w:t>
      </w:r>
      <w:r w:rsidRPr="003A38F7">
        <w:rPr>
          <w:color w:val="000000" w:themeColor="text1"/>
        </w:rPr>
        <w:t xml:space="preserve"> based on requeste</w:t>
      </w:r>
      <w:r w:rsidR="00F71B06">
        <w:rPr>
          <w:color w:val="000000" w:themeColor="text1"/>
        </w:rPr>
        <w:t>d prices would exceed NovoRapid</w:t>
      </w:r>
      <w:r w:rsidRPr="003A38F7">
        <w:rPr>
          <w:color w:val="000000" w:themeColor="text1"/>
        </w:rPr>
        <w:t xml:space="preserve"> by $0.17 an</w:t>
      </w:r>
      <w:r w:rsidR="00A21359" w:rsidRPr="003A38F7">
        <w:rPr>
          <w:color w:val="000000" w:themeColor="text1"/>
        </w:rPr>
        <w:t>d $0.28 per patient per day for</w:t>
      </w:r>
      <w:r w:rsidRPr="003A38F7">
        <w:rPr>
          <w:color w:val="000000" w:themeColor="text1"/>
        </w:rPr>
        <w:t xml:space="preserve"> T1DM and T2DM respectively.</w:t>
      </w:r>
      <w:bookmarkStart w:id="17" w:name="_Toc521797537"/>
      <w:r w:rsidR="00A0199C">
        <w:br w:type="page"/>
      </w:r>
    </w:p>
    <w:p w:rsidR="00A01DC4" w:rsidRDefault="00D20188" w:rsidP="002F637F">
      <w:pPr>
        <w:pStyle w:val="Heading2"/>
        <w:widowControl/>
      </w:pPr>
      <w:r>
        <w:lastRenderedPageBreak/>
        <w:t>Drug cost/patient/</w:t>
      </w:r>
      <w:r w:rsidR="00C25D9C" w:rsidRPr="00E35188">
        <w:t>year</w:t>
      </w:r>
      <w:r>
        <w:t xml:space="preserve">: </w:t>
      </w:r>
    </w:p>
    <w:p w:rsidR="00C25D9C" w:rsidRPr="00D41BAA" w:rsidRDefault="00D20188" w:rsidP="00D41BAA">
      <w:pPr>
        <w:pStyle w:val="BodyText"/>
        <w:spacing w:after="160"/>
        <w:rPr>
          <w:b/>
          <w:i/>
        </w:rPr>
      </w:pPr>
      <w:r w:rsidRPr="00D41BAA">
        <w:t>$434.35 (based on estimated cost of $1.19 per day for 365 days)</w:t>
      </w:r>
      <w:bookmarkEnd w:id="17"/>
    </w:p>
    <w:p w:rsidR="00B60939" w:rsidRPr="00E35188" w:rsidRDefault="00B60939" w:rsidP="002F637F">
      <w:pPr>
        <w:pStyle w:val="Heading2"/>
        <w:widowControl/>
      </w:pPr>
      <w:bookmarkStart w:id="18" w:name="_Toc521797538"/>
      <w:r w:rsidRPr="00E35188">
        <w:t>Estimated PBS usage &amp; financial implications</w:t>
      </w:r>
      <w:bookmarkEnd w:id="18"/>
    </w:p>
    <w:p w:rsidR="0072416F" w:rsidRPr="003A38F7" w:rsidRDefault="00C25D9C" w:rsidP="002F637F">
      <w:pPr>
        <w:pStyle w:val="ListParagraph"/>
        <w:widowControl/>
        <w:numPr>
          <w:ilvl w:val="1"/>
          <w:numId w:val="3"/>
        </w:numPr>
      </w:pPr>
      <w:r w:rsidRPr="003A38F7">
        <w:t xml:space="preserve">This submission </w:t>
      </w:r>
      <w:r w:rsidR="003A38F7">
        <w:t>was</w:t>
      </w:r>
      <w:r w:rsidR="007A6B0A" w:rsidRPr="003A38F7">
        <w:t xml:space="preserve"> </w:t>
      </w:r>
      <w:r w:rsidRPr="003A38F7">
        <w:t>not considered by DUSC</w:t>
      </w:r>
      <w:r w:rsidRPr="003A38F7">
        <w:rPr>
          <w:color w:val="000000" w:themeColor="text1"/>
        </w:rPr>
        <w:t>.</w:t>
      </w:r>
      <w:r w:rsidR="00713357">
        <w:rPr>
          <w:color w:val="000000" w:themeColor="text1"/>
        </w:rPr>
        <w:t xml:space="preserve"> </w:t>
      </w:r>
      <w:r w:rsidR="00986EA3" w:rsidRPr="003A38F7">
        <w:rPr>
          <w:color w:val="000000" w:themeColor="text1"/>
        </w:rPr>
        <w:t xml:space="preserve">The financial estimates were reasonably based on a market share approach, assuming that </w:t>
      </w:r>
      <w:r w:rsidR="00195936">
        <w:rPr>
          <w:color w:val="000000" w:themeColor="text1"/>
        </w:rPr>
        <w:t>Fiasp</w:t>
      </w:r>
      <w:r w:rsidR="00986EA3" w:rsidRPr="003A38F7">
        <w:rPr>
          <w:color w:val="000000" w:themeColor="text1"/>
        </w:rPr>
        <w:t>: i) would substitute for fast acting insulins (insulin aspart, insulin lispro and insulin glulisine) and ii) would not affect market growth (i.e. current growth unchanged).</w:t>
      </w:r>
      <w:r w:rsidR="00713357">
        <w:rPr>
          <w:color w:val="000000" w:themeColor="text1"/>
        </w:rPr>
        <w:t xml:space="preserve"> </w:t>
      </w:r>
      <w:r w:rsidR="00986EA3" w:rsidRPr="003A38F7">
        <w:rPr>
          <w:color w:val="000000" w:themeColor="text1"/>
        </w:rPr>
        <w:t xml:space="preserve">The model applied the assumed substitution rates of </w:t>
      </w:r>
      <w:r w:rsidR="00195936">
        <w:rPr>
          <w:color w:val="000000" w:themeColor="text1"/>
        </w:rPr>
        <w:t>Fiasp</w:t>
      </w:r>
      <w:r w:rsidR="00986EA3" w:rsidRPr="003A38F7">
        <w:rPr>
          <w:color w:val="000000" w:themeColor="text1"/>
        </w:rPr>
        <w:t xml:space="preserve"> to the total number of fast acting insulin scripts.</w:t>
      </w:r>
      <w:r w:rsidRPr="003A38F7">
        <w:rPr>
          <w:color w:val="000000" w:themeColor="text1"/>
        </w:rPr>
        <w:t xml:space="preserve"> </w:t>
      </w:r>
    </w:p>
    <w:p w:rsidR="00A0199C" w:rsidRPr="00813028" w:rsidRDefault="002C4027" w:rsidP="002F637F">
      <w:pPr>
        <w:pStyle w:val="ListParagraph"/>
        <w:widowControl/>
        <w:numPr>
          <w:ilvl w:val="1"/>
          <w:numId w:val="3"/>
        </w:numPr>
        <w:rPr>
          <w:iCs/>
        </w:rPr>
      </w:pPr>
      <w:r>
        <w:rPr>
          <w:iCs/>
        </w:rPr>
        <w:t>In the submission, the DPMQ</w:t>
      </w:r>
      <w:r w:rsidR="008E532F" w:rsidRPr="00813028">
        <w:rPr>
          <w:iCs/>
        </w:rPr>
        <w:t xml:space="preserve"> for </w:t>
      </w:r>
      <w:r w:rsidR="00195936">
        <w:rPr>
          <w:iCs/>
        </w:rPr>
        <w:t>Fiasp</w:t>
      </w:r>
      <w:r w:rsidR="008E532F" w:rsidRPr="00813028">
        <w:rPr>
          <w:iCs/>
        </w:rPr>
        <w:t xml:space="preserve"> w</w:t>
      </w:r>
      <w:r w:rsidR="001E757C" w:rsidRPr="00813028">
        <w:rPr>
          <w:iCs/>
        </w:rPr>
        <w:t>ere</w:t>
      </w:r>
      <w:r w:rsidR="008E532F" w:rsidRPr="00813028">
        <w:rPr>
          <w:iCs/>
        </w:rPr>
        <w:t xml:space="preserve"> based on the requested DPMQs (</w:t>
      </w:r>
      <w:r w:rsidR="002F637F" w:rsidRPr="00813028">
        <w:rPr>
          <w:iCs/>
        </w:rPr>
        <w:t>i.e.</w:t>
      </w:r>
      <w:r w:rsidR="008E532F" w:rsidRPr="00813028">
        <w:rPr>
          <w:iCs/>
        </w:rPr>
        <w:t>, equivalent to DPMQ</w:t>
      </w:r>
      <w:r>
        <w:rPr>
          <w:iCs/>
        </w:rPr>
        <w:t xml:space="preserve"> of NovoRapid</w:t>
      </w:r>
      <w:r w:rsidR="008E532F" w:rsidRPr="00813028">
        <w:rPr>
          <w:iCs/>
        </w:rPr>
        <w:t xml:space="preserve"> prior to the 14</w:t>
      </w:r>
      <w:r>
        <w:rPr>
          <w:iCs/>
        </w:rPr>
        <w:t>.5% statutory price reductions), whereas the DPMQ for s</w:t>
      </w:r>
      <w:r w:rsidR="008E532F" w:rsidRPr="00813028">
        <w:rPr>
          <w:iCs/>
        </w:rPr>
        <w:t>ubstituted therapies (NovoRapid and insulin glulisi</w:t>
      </w:r>
      <w:r w:rsidR="00713357">
        <w:rPr>
          <w:iCs/>
        </w:rPr>
        <w:t>ne</w:t>
      </w:r>
      <w:r>
        <w:rPr>
          <w:iCs/>
        </w:rPr>
        <w:t>)</w:t>
      </w:r>
      <w:r w:rsidR="00713357">
        <w:rPr>
          <w:iCs/>
        </w:rPr>
        <w:t xml:space="preserve"> were based on prices after 1 </w:t>
      </w:r>
      <w:r w:rsidR="008E532F" w:rsidRPr="00813028">
        <w:rPr>
          <w:iCs/>
        </w:rPr>
        <w:t>June 2018 Statutory Price Reductions.</w:t>
      </w:r>
      <w:r w:rsidR="00713357">
        <w:rPr>
          <w:iCs/>
        </w:rPr>
        <w:t xml:space="preserve"> </w:t>
      </w:r>
      <w:r w:rsidR="008E532F" w:rsidRPr="00813028">
        <w:rPr>
          <w:iCs/>
        </w:rPr>
        <w:t xml:space="preserve">The submission also incorporated a further 5% statutory price reduction for insulin glulisine in </w:t>
      </w:r>
      <w:r>
        <w:rPr>
          <w:iCs/>
        </w:rPr>
        <w:t xml:space="preserve">the </w:t>
      </w:r>
      <w:r w:rsidR="008E532F" w:rsidRPr="00813028">
        <w:rPr>
          <w:iCs/>
        </w:rPr>
        <w:t>Y</w:t>
      </w:r>
      <w:r w:rsidR="00F71B06">
        <w:rPr>
          <w:iCs/>
        </w:rPr>
        <w:t xml:space="preserve">ear </w:t>
      </w:r>
      <w:r w:rsidR="008E532F" w:rsidRPr="00813028">
        <w:rPr>
          <w:iCs/>
        </w:rPr>
        <w:t>6 estimates.</w:t>
      </w:r>
      <w:r w:rsidR="00713357">
        <w:rPr>
          <w:iCs/>
        </w:rPr>
        <w:t xml:space="preserve"> </w:t>
      </w:r>
      <w:r w:rsidR="008E532F" w:rsidRPr="00813028">
        <w:rPr>
          <w:iCs/>
        </w:rPr>
        <w:t xml:space="preserve">During the evaluation, it was noted the applied DPMQ for </w:t>
      </w:r>
      <w:r w:rsidR="00195936">
        <w:rPr>
          <w:iCs/>
        </w:rPr>
        <w:t>Fiasp</w:t>
      </w:r>
      <w:r w:rsidR="008E532F" w:rsidRPr="00813028">
        <w:rPr>
          <w:iCs/>
        </w:rPr>
        <w:t xml:space="preserve"> and other fast acting insulins were either incorrectly estimated or required updating to reflect the latest PBS fees.</w:t>
      </w:r>
      <w:r w:rsidR="00713357">
        <w:rPr>
          <w:iCs/>
        </w:rPr>
        <w:t xml:space="preserve"> </w:t>
      </w:r>
      <w:r w:rsidR="008E532F" w:rsidRPr="00813028">
        <w:rPr>
          <w:iCs/>
        </w:rPr>
        <w:t>A further coding error meant cost offsets associated with reduced utilisation of the insulin glulisine vial preparation was omitted from the submission’s calculations.</w:t>
      </w:r>
      <w:r w:rsidR="00713357">
        <w:rPr>
          <w:iCs/>
        </w:rPr>
        <w:t xml:space="preserve"> </w:t>
      </w:r>
      <w:r w:rsidR="008E532F" w:rsidRPr="00813028">
        <w:rPr>
          <w:iCs/>
        </w:rPr>
        <w:t xml:space="preserve">As estimates in the base case </w:t>
      </w:r>
      <w:r w:rsidR="00F71B06">
        <w:rPr>
          <w:iCs/>
        </w:rPr>
        <w:t xml:space="preserve">should </w:t>
      </w:r>
      <w:r w:rsidR="008E532F" w:rsidRPr="00813028">
        <w:rPr>
          <w:iCs/>
        </w:rPr>
        <w:t xml:space="preserve">reflect current prices and not include future price reductions, the estimates were further amended to remove the applied 5% statutory price reduction to insulin glulisine preparations in </w:t>
      </w:r>
      <w:r w:rsidR="00F71B06">
        <w:rPr>
          <w:iCs/>
        </w:rPr>
        <w:t>year 6</w:t>
      </w:r>
      <w:r w:rsidR="008E532F" w:rsidRPr="00813028">
        <w:rPr>
          <w:iCs/>
        </w:rPr>
        <w:t>.</w:t>
      </w:r>
      <w:r w:rsidR="00713357">
        <w:rPr>
          <w:iCs/>
        </w:rPr>
        <w:t xml:space="preserve"> </w:t>
      </w:r>
      <w:r w:rsidR="008E532F" w:rsidRPr="00813028">
        <w:rPr>
          <w:iCs/>
        </w:rPr>
        <w:t xml:space="preserve">Table 7 illustrates </w:t>
      </w:r>
      <w:r w:rsidR="00F71B06">
        <w:rPr>
          <w:iCs/>
        </w:rPr>
        <w:t xml:space="preserve">the estimated financial implications of the proposed listing of Fiasp </w:t>
      </w:r>
      <w:r w:rsidR="008E532F" w:rsidRPr="00813028">
        <w:rPr>
          <w:iCs/>
        </w:rPr>
        <w:t>after correcting for these errors and assumptions.</w:t>
      </w:r>
    </w:p>
    <w:p w:rsidR="00986EA3" w:rsidRPr="002F637F" w:rsidRDefault="007159C1" w:rsidP="002F637F">
      <w:pPr>
        <w:keepNext/>
        <w:rPr>
          <w:rFonts w:ascii="Arial Narrow" w:hAnsi="Arial Narrow"/>
          <w:b/>
          <w:sz w:val="20"/>
          <w:szCs w:val="20"/>
        </w:rPr>
      </w:pPr>
      <w:bookmarkStart w:id="19" w:name="_Toc521797539"/>
      <w:r w:rsidRPr="002F637F">
        <w:rPr>
          <w:rFonts w:ascii="Arial Narrow" w:hAnsi="Arial Narrow"/>
          <w:b/>
          <w:sz w:val="20"/>
          <w:szCs w:val="20"/>
        </w:rPr>
        <w:lastRenderedPageBreak/>
        <w:t>Table 7</w:t>
      </w:r>
      <w:r w:rsidR="00986EA3" w:rsidRPr="002F637F">
        <w:rPr>
          <w:rFonts w:ascii="Arial Narrow" w:hAnsi="Arial Narrow"/>
          <w:b/>
          <w:sz w:val="20"/>
          <w:szCs w:val="20"/>
        </w:rPr>
        <w:t xml:space="preserve">: Estimated net financial implications of the proposed </w:t>
      </w:r>
      <w:r w:rsidR="00195936">
        <w:rPr>
          <w:rFonts w:ascii="Arial Narrow" w:hAnsi="Arial Narrow"/>
          <w:b/>
          <w:sz w:val="20"/>
          <w:szCs w:val="20"/>
        </w:rPr>
        <w:t>Fiasp</w:t>
      </w:r>
      <w:r w:rsidR="00986EA3" w:rsidRPr="002F637F">
        <w:rPr>
          <w:rFonts w:ascii="Arial Narrow" w:hAnsi="Arial Narrow"/>
          <w:b/>
          <w:sz w:val="20"/>
          <w:szCs w:val="20"/>
        </w:rPr>
        <w:t xml:space="preserve"> listing</w:t>
      </w:r>
      <w:bookmarkEnd w:id="19"/>
    </w:p>
    <w:tbl>
      <w:tblPr>
        <w:tblStyle w:val="TableGrid"/>
        <w:tblW w:w="9209" w:type="dxa"/>
        <w:tblLayout w:type="fixed"/>
        <w:tblCellMar>
          <w:left w:w="28" w:type="dxa"/>
          <w:right w:w="28" w:type="dxa"/>
        </w:tblCellMar>
        <w:tblLook w:val="04A0" w:firstRow="1" w:lastRow="0" w:firstColumn="1" w:lastColumn="0" w:noHBand="0" w:noVBand="1"/>
        <w:tblCaption w:val="Estimated net financial implications of the proposed Fiasp listing"/>
      </w:tblPr>
      <w:tblGrid>
        <w:gridCol w:w="3396"/>
        <w:gridCol w:w="849"/>
        <w:gridCol w:w="992"/>
        <w:gridCol w:w="995"/>
        <w:gridCol w:w="993"/>
        <w:gridCol w:w="992"/>
        <w:gridCol w:w="992"/>
      </w:tblGrid>
      <w:tr w:rsidR="007033B9" w:rsidRPr="003A38F7" w:rsidTr="00673F28">
        <w:trPr>
          <w:cantSplit/>
          <w:tblHeader/>
        </w:trPr>
        <w:tc>
          <w:tcPr>
            <w:tcW w:w="3396" w:type="dxa"/>
          </w:tcPr>
          <w:p w:rsidR="007033B9" w:rsidRPr="003A38F7" w:rsidRDefault="007033B9" w:rsidP="00D41BAA">
            <w:pPr>
              <w:keepNext/>
              <w:widowControl/>
              <w:rPr>
                <w:rFonts w:ascii="Arial Narrow" w:hAnsi="Arial Narrow"/>
                <w:sz w:val="18"/>
                <w:szCs w:val="18"/>
              </w:rPr>
            </w:pPr>
            <w:bookmarkStart w:id="20" w:name="_Toc521797540"/>
          </w:p>
        </w:tc>
        <w:tc>
          <w:tcPr>
            <w:tcW w:w="849" w:type="dxa"/>
            <w:vAlign w:val="center"/>
          </w:tcPr>
          <w:p w:rsidR="007033B9" w:rsidRPr="003A38F7" w:rsidRDefault="007033B9" w:rsidP="00D41BAA">
            <w:pPr>
              <w:keepNext/>
              <w:widowControl/>
              <w:jc w:val="center"/>
              <w:rPr>
                <w:rFonts w:ascii="Arial Narrow" w:hAnsi="Arial Narrow"/>
                <w:b/>
                <w:bCs/>
                <w:sz w:val="18"/>
                <w:szCs w:val="18"/>
              </w:rPr>
            </w:pPr>
            <w:r w:rsidRPr="003A38F7">
              <w:rPr>
                <w:rFonts w:ascii="Arial Narrow" w:hAnsi="Arial Narrow"/>
                <w:b/>
                <w:bCs/>
                <w:sz w:val="18"/>
                <w:szCs w:val="18"/>
              </w:rPr>
              <w:t>2019</w:t>
            </w:r>
          </w:p>
        </w:tc>
        <w:tc>
          <w:tcPr>
            <w:tcW w:w="992" w:type="dxa"/>
            <w:vAlign w:val="center"/>
          </w:tcPr>
          <w:p w:rsidR="007033B9" w:rsidRPr="003A38F7" w:rsidRDefault="007033B9" w:rsidP="00D41BAA">
            <w:pPr>
              <w:keepNext/>
              <w:widowControl/>
              <w:jc w:val="center"/>
              <w:rPr>
                <w:rFonts w:ascii="Arial Narrow" w:hAnsi="Arial Narrow"/>
                <w:b/>
                <w:bCs/>
                <w:sz w:val="18"/>
                <w:szCs w:val="18"/>
              </w:rPr>
            </w:pPr>
            <w:r w:rsidRPr="003A38F7">
              <w:rPr>
                <w:rFonts w:ascii="Arial Narrow" w:hAnsi="Arial Narrow"/>
                <w:b/>
                <w:bCs/>
                <w:sz w:val="18"/>
                <w:szCs w:val="18"/>
              </w:rPr>
              <w:t>2020</w:t>
            </w:r>
          </w:p>
        </w:tc>
        <w:tc>
          <w:tcPr>
            <w:tcW w:w="995" w:type="dxa"/>
            <w:vAlign w:val="center"/>
          </w:tcPr>
          <w:p w:rsidR="007033B9" w:rsidRPr="003A38F7" w:rsidRDefault="007033B9" w:rsidP="00D41BAA">
            <w:pPr>
              <w:keepNext/>
              <w:widowControl/>
              <w:jc w:val="center"/>
              <w:rPr>
                <w:rFonts w:ascii="Arial Narrow" w:hAnsi="Arial Narrow"/>
                <w:b/>
                <w:bCs/>
                <w:sz w:val="18"/>
                <w:szCs w:val="18"/>
              </w:rPr>
            </w:pPr>
            <w:r w:rsidRPr="003A38F7">
              <w:rPr>
                <w:rFonts w:ascii="Arial Narrow" w:hAnsi="Arial Narrow"/>
                <w:b/>
                <w:bCs/>
                <w:sz w:val="18"/>
                <w:szCs w:val="18"/>
              </w:rPr>
              <w:t>2021</w:t>
            </w:r>
          </w:p>
        </w:tc>
        <w:tc>
          <w:tcPr>
            <w:tcW w:w="993" w:type="dxa"/>
            <w:vAlign w:val="center"/>
          </w:tcPr>
          <w:p w:rsidR="007033B9" w:rsidRPr="003A38F7" w:rsidRDefault="007033B9" w:rsidP="00D41BAA">
            <w:pPr>
              <w:keepNext/>
              <w:widowControl/>
              <w:jc w:val="center"/>
              <w:rPr>
                <w:rFonts w:ascii="Arial Narrow" w:hAnsi="Arial Narrow"/>
                <w:b/>
                <w:bCs/>
                <w:sz w:val="18"/>
                <w:szCs w:val="18"/>
              </w:rPr>
            </w:pPr>
            <w:r w:rsidRPr="003A38F7">
              <w:rPr>
                <w:rFonts w:ascii="Arial Narrow" w:hAnsi="Arial Narrow"/>
                <w:b/>
                <w:bCs/>
                <w:sz w:val="18"/>
                <w:szCs w:val="18"/>
              </w:rPr>
              <w:t>2022</w:t>
            </w:r>
          </w:p>
        </w:tc>
        <w:tc>
          <w:tcPr>
            <w:tcW w:w="992" w:type="dxa"/>
            <w:vAlign w:val="center"/>
          </w:tcPr>
          <w:p w:rsidR="007033B9" w:rsidRPr="003A38F7" w:rsidRDefault="007033B9" w:rsidP="00D41BAA">
            <w:pPr>
              <w:keepNext/>
              <w:widowControl/>
              <w:jc w:val="center"/>
              <w:rPr>
                <w:rFonts w:ascii="Arial Narrow" w:hAnsi="Arial Narrow"/>
                <w:b/>
                <w:bCs/>
                <w:sz w:val="18"/>
                <w:szCs w:val="18"/>
              </w:rPr>
            </w:pPr>
            <w:r w:rsidRPr="003A38F7">
              <w:rPr>
                <w:rFonts w:ascii="Arial Narrow" w:hAnsi="Arial Narrow"/>
                <w:b/>
                <w:bCs/>
                <w:sz w:val="18"/>
                <w:szCs w:val="18"/>
              </w:rPr>
              <w:t>2023</w:t>
            </w:r>
          </w:p>
        </w:tc>
        <w:tc>
          <w:tcPr>
            <w:tcW w:w="992" w:type="dxa"/>
            <w:vAlign w:val="center"/>
          </w:tcPr>
          <w:p w:rsidR="007033B9" w:rsidRPr="003A38F7" w:rsidRDefault="007033B9" w:rsidP="00D41BAA">
            <w:pPr>
              <w:keepNext/>
              <w:widowControl/>
              <w:jc w:val="center"/>
              <w:rPr>
                <w:rFonts w:ascii="Arial Narrow" w:hAnsi="Arial Narrow"/>
                <w:b/>
                <w:bCs/>
                <w:sz w:val="18"/>
                <w:szCs w:val="18"/>
              </w:rPr>
            </w:pPr>
            <w:r w:rsidRPr="003A38F7">
              <w:rPr>
                <w:rFonts w:ascii="Arial Narrow" w:hAnsi="Arial Narrow"/>
                <w:b/>
                <w:bCs/>
                <w:sz w:val="18"/>
                <w:szCs w:val="18"/>
              </w:rPr>
              <w:t>2024</w:t>
            </w:r>
          </w:p>
        </w:tc>
      </w:tr>
      <w:tr w:rsidR="007033B9" w:rsidRPr="003A38F7" w:rsidTr="00D41BAA">
        <w:tc>
          <w:tcPr>
            <w:tcW w:w="9209" w:type="dxa"/>
            <w:gridSpan w:val="7"/>
            <w:tcBorders>
              <w:bottom w:val="single" w:sz="4" w:space="0" w:color="auto"/>
            </w:tcBorders>
          </w:tcPr>
          <w:p w:rsidR="007033B9" w:rsidRPr="003A38F7" w:rsidRDefault="007033B9" w:rsidP="00D41BAA">
            <w:pPr>
              <w:keepNext/>
              <w:widowControl/>
              <w:rPr>
                <w:rFonts w:ascii="Arial Narrow" w:hAnsi="Arial Narrow"/>
                <w:b/>
                <w:sz w:val="18"/>
                <w:szCs w:val="18"/>
              </w:rPr>
            </w:pPr>
            <w:r w:rsidRPr="003A38F7">
              <w:rPr>
                <w:rFonts w:ascii="Arial Narrow" w:hAnsi="Arial Narrow"/>
                <w:b/>
                <w:sz w:val="18"/>
                <w:szCs w:val="18"/>
              </w:rPr>
              <w:t xml:space="preserve">Estimation of use and financial impact of the proposed medicine </w:t>
            </w:r>
          </w:p>
        </w:tc>
      </w:tr>
      <w:tr w:rsidR="007033B9" w:rsidRPr="003A38F7" w:rsidTr="00D41BAA">
        <w:tc>
          <w:tcPr>
            <w:tcW w:w="3396" w:type="dxa"/>
            <w:tcBorders>
              <w:bottom w:val="nil"/>
            </w:tcBorders>
          </w:tcPr>
          <w:p w:rsidR="007033B9" w:rsidRPr="003A38F7" w:rsidRDefault="007033B9" w:rsidP="00D41BAA">
            <w:pPr>
              <w:keepNext/>
              <w:widowControl/>
              <w:rPr>
                <w:rFonts w:ascii="Arial Narrow" w:hAnsi="Arial Narrow"/>
                <w:sz w:val="18"/>
                <w:szCs w:val="18"/>
              </w:rPr>
            </w:pPr>
            <w:r w:rsidRPr="003A38F7">
              <w:rPr>
                <w:rFonts w:ascii="Arial Narrow" w:hAnsi="Arial Narrow"/>
                <w:sz w:val="18"/>
                <w:szCs w:val="18"/>
              </w:rPr>
              <w:t xml:space="preserve">Scripts of </w:t>
            </w:r>
            <w:r>
              <w:rPr>
                <w:rFonts w:ascii="Arial Narrow" w:hAnsi="Arial Narrow"/>
                <w:sz w:val="18"/>
                <w:szCs w:val="18"/>
              </w:rPr>
              <w:t>Fiasp</w:t>
            </w:r>
          </w:p>
        </w:tc>
        <w:tc>
          <w:tcPr>
            <w:tcW w:w="849"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5"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3"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r>
      <w:tr w:rsidR="007033B9" w:rsidRPr="003A38F7" w:rsidTr="00D41BAA">
        <w:tc>
          <w:tcPr>
            <w:tcW w:w="3396" w:type="dxa"/>
            <w:tcBorders>
              <w:top w:val="nil"/>
              <w:bottom w:val="nil"/>
            </w:tcBorders>
          </w:tcPr>
          <w:p w:rsidR="007033B9" w:rsidRPr="003A38F7" w:rsidRDefault="007033B9" w:rsidP="00D41BAA">
            <w:pPr>
              <w:keepNext/>
              <w:widowControl/>
              <w:ind w:left="112"/>
              <w:rPr>
                <w:rFonts w:ascii="Arial Narrow" w:hAnsi="Arial Narrow"/>
                <w:sz w:val="18"/>
                <w:szCs w:val="18"/>
              </w:rPr>
            </w:pPr>
            <w:r w:rsidRPr="003A38F7">
              <w:rPr>
                <w:rFonts w:ascii="Arial Narrow" w:hAnsi="Arial Narrow"/>
                <w:sz w:val="18"/>
                <w:szCs w:val="18"/>
              </w:rPr>
              <w:t>Cartridges (5 x 3mL)</w:t>
            </w:r>
          </w:p>
        </w:tc>
        <w:tc>
          <w:tcPr>
            <w:tcW w:w="849"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Borders>
              <w:top w:val="nil"/>
              <w:bottom w:val="nil"/>
            </w:tcBorders>
          </w:tcPr>
          <w:p w:rsidR="007033B9" w:rsidRPr="003A38F7" w:rsidRDefault="007033B9" w:rsidP="00D41BAA">
            <w:pPr>
              <w:keepNext/>
              <w:widowControl/>
              <w:ind w:left="112"/>
              <w:rPr>
                <w:rFonts w:ascii="Arial Narrow" w:hAnsi="Arial Narrow"/>
                <w:sz w:val="18"/>
                <w:szCs w:val="18"/>
              </w:rPr>
            </w:pPr>
            <w:r w:rsidRPr="003A38F7">
              <w:rPr>
                <w:rFonts w:ascii="Arial Narrow" w:hAnsi="Arial Narrow"/>
                <w:sz w:val="18"/>
                <w:szCs w:val="18"/>
              </w:rPr>
              <w:t>Vials (1 x 10mL)</w:t>
            </w:r>
          </w:p>
        </w:tc>
        <w:tc>
          <w:tcPr>
            <w:tcW w:w="849"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Borders>
              <w:top w:val="nil"/>
            </w:tcBorders>
          </w:tcPr>
          <w:p w:rsidR="007033B9" w:rsidRPr="003A38F7" w:rsidRDefault="007033B9" w:rsidP="00D41BAA">
            <w:pPr>
              <w:keepNext/>
              <w:widowControl/>
              <w:ind w:left="112"/>
              <w:rPr>
                <w:rFonts w:ascii="Arial Narrow" w:hAnsi="Arial Narrow"/>
                <w:sz w:val="18"/>
                <w:szCs w:val="18"/>
              </w:rPr>
            </w:pPr>
            <w:r w:rsidRPr="003A38F7">
              <w:rPr>
                <w:rFonts w:ascii="Arial Narrow" w:hAnsi="Arial Narrow"/>
                <w:sz w:val="18"/>
                <w:szCs w:val="18"/>
              </w:rPr>
              <w:t>Total</w:t>
            </w:r>
          </w:p>
        </w:tc>
        <w:tc>
          <w:tcPr>
            <w:tcW w:w="849" w:type="dxa"/>
            <w:tcBorders>
              <w:top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Pr>
          <w:p w:rsidR="007033B9" w:rsidRPr="003A38F7" w:rsidRDefault="007033B9" w:rsidP="00D41BAA">
            <w:pPr>
              <w:keepNext/>
              <w:widowControl/>
              <w:rPr>
                <w:rFonts w:ascii="Arial Narrow" w:hAnsi="Arial Narrow"/>
                <w:iCs/>
                <w:sz w:val="18"/>
                <w:szCs w:val="18"/>
                <w:vertAlign w:val="superscript"/>
              </w:rPr>
            </w:pPr>
            <w:r>
              <w:rPr>
                <w:rFonts w:ascii="Arial Narrow" w:hAnsi="Arial Narrow"/>
                <w:iCs/>
                <w:sz w:val="18"/>
                <w:szCs w:val="18"/>
              </w:rPr>
              <w:t>Fiasp</w:t>
            </w:r>
            <w:r w:rsidRPr="003A38F7">
              <w:rPr>
                <w:rFonts w:ascii="Arial Narrow" w:hAnsi="Arial Narrow"/>
                <w:iCs/>
                <w:sz w:val="18"/>
                <w:szCs w:val="18"/>
              </w:rPr>
              <w:t xml:space="preserve"> net cost to PBS/RPBS</w:t>
            </w:r>
            <w:r w:rsidRPr="003A38F7">
              <w:rPr>
                <w:rFonts w:ascii="Arial Narrow" w:hAnsi="Arial Narrow"/>
                <w:iCs/>
                <w:sz w:val="18"/>
                <w:szCs w:val="18"/>
                <w:vertAlign w:val="superscript"/>
              </w:rPr>
              <w:t>a</w:t>
            </w:r>
          </w:p>
        </w:tc>
        <w:tc>
          <w:tcPr>
            <w:tcW w:w="849" w:type="dxa"/>
            <w:shd w:val="clear" w:color="auto" w:fill="auto"/>
          </w:tcPr>
          <w:p w:rsidR="007033B9" w:rsidRPr="000D10DC" w:rsidRDefault="007033B9" w:rsidP="00D41BAA">
            <w:pPr>
              <w:keepNext/>
              <w:widowControl/>
              <w:jc w:val="center"/>
              <w:rPr>
                <w:rFonts w:ascii="Arial Narrow" w:hAnsi="Arial Narrow"/>
                <w:iCs/>
                <w:sz w:val="18"/>
                <w:szCs w:val="18"/>
              </w:rPr>
            </w:pPr>
            <w:r w:rsidRPr="007033B9">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shd w:val="clear" w:color="auto" w:fill="auto"/>
          </w:tcPr>
          <w:p w:rsidR="007033B9" w:rsidRPr="000D10DC" w:rsidRDefault="007033B9" w:rsidP="00D41BAA">
            <w:pPr>
              <w:keepNext/>
              <w:widowControl/>
              <w:jc w:val="center"/>
              <w:rPr>
                <w:rFonts w:ascii="Arial Narrow" w:hAnsi="Arial Narrow"/>
                <w:iCs/>
                <w:sz w:val="18"/>
                <w:szCs w:val="18"/>
              </w:rPr>
            </w:pPr>
            <w:r w:rsidRPr="007033B9">
              <w:rPr>
                <w:rFonts w:ascii="Arial Narrow" w:hAnsi="Arial Narrow"/>
                <w:iCs/>
                <w:sz w:val="18"/>
                <w:szCs w:val="18"/>
              </w:rPr>
              <w:t>$</w:t>
            </w:r>
            <w:r w:rsidR="000D10DC">
              <w:rPr>
                <w:rFonts w:ascii="Arial Narrow" w:hAnsi="Arial Narrow"/>
                <w:iCs/>
                <w:noProof/>
                <w:color w:val="000000"/>
                <w:sz w:val="18"/>
                <w:szCs w:val="18"/>
                <w:highlight w:val="black"/>
              </w:rPr>
              <w:t>''''''''''''''''''''''''''</w:t>
            </w:r>
          </w:p>
        </w:tc>
        <w:tc>
          <w:tcPr>
            <w:tcW w:w="995" w:type="dxa"/>
            <w:shd w:val="clear" w:color="auto" w:fill="auto"/>
          </w:tcPr>
          <w:p w:rsidR="007033B9" w:rsidRPr="000D10DC" w:rsidRDefault="007033B9" w:rsidP="00D41BAA">
            <w:pPr>
              <w:keepNext/>
              <w:widowControl/>
              <w:jc w:val="center"/>
              <w:rPr>
                <w:rFonts w:ascii="Arial Narrow" w:hAnsi="Arial Narrow"/>
                <w:iCs/>
                <w:sz w:val="18"/>
                <w:szCs w:val="18"/>
              </w:rPr>
            </w:pPr>
            <w:r w:rsidRPr="007033B9">
              <w:rPr>
                <w:rFonts w:ascii="Arial Narrow" w:hAnsi="Arial Narrow"/>
                <w:iCs/>
                <w:sz w:val="18"/>
                <w:szCs w:val="18"/>
              </w:rPr>
              <w:t>$</w:t>
            </w:r>
            <w:r w:rsidR="000D10DC">
              <w:rPr>
                <w:rFonts w:ascii="Arial Narrow" w:hAnsi="Arial Narrow"/>
                <w:iCs/>
                <w:noProof/>
                <w:color w:val="000000"/>
                <w:sz w:val="18"/>
                <w:szCs w:val="18"/>
                <w:highlight w:val="black"/>
              </w:rPr>
              <w:t>''''''''''''''''''''''''</w:t>
            </w:r>
          </w:p>
        </w:tc>
        <w:tc>
          <w:tcPr>
            <w:tcW w:w="993" w:type="dxa"/>
            <w:shd w:val="clear" w:color="auto" w:fill="auto"/>
          </w:tcPr>
          <w:p w:rsidR="007033B9" w:rsidRPr="000D10DC" w:rsidRDefault="007033B9" w:rsidP="00D41BAA">
            <w:pPr>
              <w:keepNext/>
              <w:widowControl/>
              <w:jc w:val="center"/>
              <w:rPr>
                <w:rFonts w:ascii="Arial Narrow" w:hAnsi="Arial Narrow"/>
                <w:iCs/>
                <w:sz w:val="18"/>
                <w:szCs w:val="18"/>
              </w:rPr>
            </w:pPr>
            <w:r w:rsidRPr="007033B9">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shd w:val="clear" w:color="auto" w:fill="auto"/>
          </w:tcPr>
          <w:p w:rsidR="007033B9" w:rsidRPr="000D10DC" w:rsidRDefault="007033B9" w:rsidP="00D41BAA">
            <w:pPr>
              <w:keepNext/>
              <w:widowControl/>
              <w:jc w:val="center"/>
              <w:rPr>
                <w:rFonts w:ascii="Arial Narrow" w:hAnsi="Arial Narrow"/>
                <w:iCs/>
                <w:sz w:val="18"/>
                <w:szCs w:val="18"/>
              </w:rPr>
            </w:pPr>
            <w:r w:rsidRPr="007033B9">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shd w:val="clear" w:color="auto" w:fill="auto"/>
          </w:tcPr>
          <w:p w:rsidR="007033B9" w:rsidRPr="000D10DC" w:rsidRDefault="007033B9" w:rsidP="00D41BAA">
            <w:pPr>
              <w:keepNext/>
              <w:widowControl/>
              <w:jc w:val="center"/>
              <w:rPr>
                <w:rFonts w:ascii="Arial Narrow" w:hAnsi="Arial Narrow"/>
                <w:iCs/>
                <w:sz w:val="18"/>
                <w:szCs w:val="18"/>
              </w:rPr>
            </w:pPr>
            <w:r w:rsidRPr="007033B9">
              <w:rPr>
                <w:rFonts w:ascii="Arial Narrow" w:hAnsi="Arial Narrow"/>
                <w:iCs/>
                <w:sz w:val="18"/>
                <w:szCs w:val="18"/>
              </w:rPr>
              <w:t>$</w:t>
            </w:r>
            <w:r w:rsidR="000D10DC">
              <w:rPr>
                <w:rFonts w:ascii="Arial Narrow" w:hAnsi="Arial Narrow"/>
                <w:iCs/>
                <w:noProof/>
                <w:color w:val="000000"/>
                <w:sz w:val="18"/>
                <w:szCs w:val="18"/>
                <w:highlight w:val="black"/>
              </w:rPr>
              <w:t>''''''''''''''''''''''''</w:t>
            </w:r>
          </w:p>
        </w:tc>
      </w:tr>
      <w:tr w:rsidR="007033B9" w:rsidRPr="003A38F7" w:rsidTr="00D41BAA">
        <w:tc>
          <w:tcPr>
            <w:tcW w:w="3396" w:type="dxa"/>
          </w:tcPr>
          <w:p w:rsidR="007033B9" w:rsidRPr="003A38F7" w:rsidRDefault="007033B9" w:rsidP="00D41BAA">
            <w:pPr>
              <w:keepNext/>
              <w:widowControl/>
              <w:rPr>
                <w:rFonts w:ascii="Arial Narrow" w:hAnsi="Arial Narrow"/>
                <w:iCs/>
                <w:sz w:val="18"/>
                <w:szCs w:val="18"/>
                <w:vertAlign w:val="superscript"/>
              </w:rPr>
            </w:pPr>
            <w:r>
              <w:rPr>
                <w:rFonts w:ascii="Arial Narrow" w:hAnsi="Arial Narrow"/>
                <w:iCs/>
                <w:sz w:val="18"/>
                <w:szCs w:val="18"/>
              </w:rPr>
              <w:t>Fiasp</w:t>
            </w:r>
            <w:r w:rsidRPr="003A38F7">
              <w:rPr>
                <w:rFonts w:ascii="Arial Narrow" w:hAnsi="Arial Narrow"/>
                <w:iCs/>
                <w:sz w:val="18"/>
                <w:szCs w:val="18"/>
              </w:rPr>
              <w:t xml:space="preserve"> net cost to PBS/RPBS (net patient copay)</w:t>
            </w:r>
            <w:r w:rsidRPr="003A38F7">
              <w:rPr>
                <w:rFonts w:ascii="Arial Narrow" w:hAnsi="Arial Narrow"/>
                <w:iCs/>
                <w:sz w:val="18"/>
                <w:szCs w:val="18"/>
                <w:vertAlign w:val="superscript"/>
              </w:rPr>
              <w:t>a</w:t>
            </w:r>
          </w:p>
        </w:tc>
        <w:tc>
          <w:tcPr>
            <w:tcW w:w="849" w:type="dxa"/>
            <w:shd w:val="clear" w:color="auto" w:fill="auto"/>
          </w:tcPr>
          <w:p w:rsidR="007033B9" w:rsidRPr="000D10DC" w:rsidRDefault="007033B9" w:rsidP="00D41BAA">
            <w:pPr>
              <w:keepNext/>
              <w:widowControl/>
              <w:jc w:val="center"/>
              <w:rPr>
                <w:rFonts w:ascii="Arial Narrow" w:hAnsi="Arial Narrow"/>
                <w:b/>
                <w:bCs/>
                <w:iCs/>
                <w:sz w:val="18"/>
                <w:szCs w:val="18"/>
              </w:rPr>
            </w:pPr>
            <w:r w:rsidRPr="007033B9">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2" w:type="dxa"/>
            <w:shd w:val="clear" w:color="auto" w:fill="auto"/>
          </w:tcPr>
          <w:p w:rsidR="007033B9" w:rsidRPr="000D10DC" w:rsidRDefault="007033B9" w:rsidP="00D41BAA">
            <w:pPr>
              <w:keepNext/>
              <w:widowControl/>
              <w:jc w:val="center"/>
              <w:rPr>
                <w:rFonts w:ascii="Arial Narrow" w:hAnsi="Arial Narrow"/>
                <w:b/>
                <w:bCs/>
                <w:iCs/>
                <w:sz w:val="18"/>
                <w:szCs w:val="18"/>
              </w:rPr>
            </w:pPr>
            <w:r w:rsidRPr="007033B9">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5" w:type="dxa"/>
            <w:shd w:val="clear" w:color="auto" w:fill="auto"/>
          </w:tcPr>
          <w:p w:rsidR="007033B9" w:rsidRPr="000D10DC" w:rsidRDefault="007033B9" w:rsidP="00D41BAA">
            <w:pPr>
              <w:keepNext/>
              <w:widowControl/>
              <w:jc w:val="center"/>
              <w:rPr>
                <w:rFonts w:ascii="Arial Narrow" w:hAnsi="Arial Narrow"/>
                <w:b/>
                <w:bCs/>
                <w:iCs/>
                <w:sz w:val="18"/>
                <w:szCs w:val="18"/>
              </w:rPr>
            </w:pPr>
            <w:r w:rsidRPr="007033B9">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3" w:type="dxa"/>
            <w:shd w:val="clear" w:color="auto" w:fill="auto"/>
          </w:tcPr>
          <w:p w:rsidR="007033B9" w:rsidRPr="000D10DC" w:rsidRDefault="007033B9" w:rsidP="00D41BAA">
            <w:pPr>
              <w:keepNext/>
              <w:widowControl/>
              <w:jc w:val="center"/>
              <w:rPr>
                <w:rFonts w:ascii="Arial Narrow" w:hAnsi="Arial Narrow"/>
                <w:b/>
                <w:bCs/>
                <w:iCs/>
                <w:sz w:val="18"/>
                <w:szCs w:val="18"/>
              </w:rPr>
            </w:pPr>
            <w:r w:rsidRPr="007033B9">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2" w:type="dxa"/>
            <w:shd w:val="clear" w:color="auto" w:fill="auto"/>
          </w:tcPr>
          <w:p w:rsidR="007033B9" w:rsidRPr="000D10DC" w:rsidRDefault="007033B9" w:rsidP="00D41BAA">
            <w:pPr>
              <w:keepNext/>
              <w:widowControl/>
              <w:jc w:val="center"/>
              <w:rPr>
                <w:rFonts w:ascii="Arial Narrow" w:hAnsi="Arial Narrow"/>
                <w:b/>
                <w:bCs/>
                <w:iCs/>
                <w:sz w:val="18"/>
                <w:szCs w:val="18"/>
              </w:rPr>
            </w:pPr>
            <w:r w:rsidRPr="007033B9">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2" w:type="dxa"/>
            <w:shd w:val="clear" w:color="auto" w:fill="auto"/>
          </w:tcPr>
          <w:p w:rsidR="007033B9" w:rsidRPr="000D10DC" w:rsidRDefault="007033B9" w:rsidP="00D41BAA">
            <w:pPr>
              <w:keepNext/>
              <w:widowControl/>
              <w:jc w:val="center"/>
              <w:rPr>
                <w:rFonts w:ascii="Arial Narrow" w:hAnsi="Arial Narrow"/>
                <w:b/>
                <w:bCs/>
                <w:iCs/>
                <w:sz w:val="18"/>
                <w:szCs w:val="18"/>
              </w:rPr>
            </w:pPr>
            <w:r w:rsidRPr="007033B9">
              <w:rPr>
                <w:rFonts w:ascii="Arial Narrow" w:hAnsi="Arial Narrow"/>
                <w:b/>
                <w:bCs/>
                <w:iCs/>
                <w:sz w:val="18"/>
                <w:szCs w:val="18"/>
              </w:rPr>
              <w:t>$</w:t>
            </w:r>
            <w:r w:rsidR="000D10DC">
              <w:rPr>
                <w:rFonts w:ascii="Arial Narrow" w:hAnsi="Arial Narrow"/>
                <w:b/>
                <w:bCs/>
                <w:iCs/>
                <w:noProof/>
                <w:color w:val="000000"/>
                <w:sz w:val="18"/>
                <w:szCs w:val="18"/>
                <w:highlight w:val="black"/>
              </w:rPr>
              <w:t>''''''''''''''''''''</w:t>
            </w:r>
          </w:p>
        </w:tc>
      </w:tr>
      <w:tr w:rsidR="007033B9" w:rsidRPr="003A38F7" w:rsidTr="00D41BAA">
        <w:tc>
          <w:tcPr>
            <w:tcW w:w="9209" w:type="dxa"/>
            <w:gridSpan w:val="7"/>
            <w:tcBorders>
              <w:bottom w:val="single" w:sz="4" w:space="0" w:color="auto"/>
            </w:tcBorders>
          </w:tcPr>
          <w:p w:rsidR="007033B9" w:rsidRPr="003A38F7" w:rsidRDefault="007033B9" w:rsidP="00D41BAA">
            <w:pPr>
              <w:keepNext/>
              <w:widowControl/>
              <w:rPr>
                <w:rFonts w:ascii="Arial Narrow" w:hAnsi="Arial Narrow"/>
                <w:b/>
                <w:sz w:val="18"/>
                <w:szCs w:val="18"/>
              </w:rPr>
            </w:pPr>
            <w:r w:rsidRPr="003A38F7">
              <w:rPr>
                <w:rFonts w:ascii="Arial Narrow" w:hAnsi="Arial Narrow"/>
                <w:b/>
                <w:sz w:val="18"/>
                <w:szCs w:val="18"/>
              </w:rPr>
              <w:t>Estimation of changes in use and financial impact of other medicines (fast acting insulins)</w:t>
            </w:r>
          </w:p>
        </w:tc>
      </w:tr>
      <w:tr w:rsidR="007033B9" w:rsidRPr="003A38F7" w:rsidTr="00D41BAA">
        <w:tc>
          <w:tcPr>
            <w:tcW w:w="3396" w:type="dxa"/>
            <w:tcBorders>
              <w:bottom w:val="nil"/>
            </w:tcBorders>
          </w:tcPr>
          <w:p w:rsidR="007033B9" w:rsidRPr="003A38F7" w:rsidRDefault="007033B9" w:rsidP="00D41BAA">
            <w:pPr>
              <w:keepNext/>
              <w:widowControl/>
              <w:rPr>
                <w:rFonts w:ascii="Arial Narrow" w:hAnsi="Arial Narrow"/>
                <w:sz w:val="18"/>
                <w:szCs w:val="18"/>
              </w:rPr>
            </w:pPr>
            <w:r w:rsidRPr="003A38F7">
              <w:rPr>
                <w:rFonts w:ascii="Arial Narrow" w:hAnsi="Arial Narrow"/>
                <w:sz w:val="18"/>
                <w:szCs w:val="18"/>
              </w:rPr>
              <w:t>Net change in units dispenses on PBS/RPBS of fast acting insulins</w:t>
            </w:r>
          </w:p>
        </w:tc>
        <w:tc>
          <w:tcPr>
            <w:tcW w:w="849" w:type="dxa"/>
            <w:tcBorders>
              <w:bottom w:val="nil"/>
            </w:tcBorders>
            <w:vAlign w:val="center"/>
          </w:tcPr>
          <w:p w:rsidR="007033B9" w:rsidRPr="003A38F7" w:rsidRDefault="007033B9" w:rsidP="00D41BAA">
            <w:pPr>
              <w:keepNext/>
              <w:widowControl/>
              <w:jc w:val="center"/>
              <w:rPr>
                <w:rFonts w:ascii="Arial Narrow" w:hAnsi="Arial Narrow"/>
                <w:iCs/>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iCs/>
                <w:sz w:val="18"/>
                <w:szCs w:val="18"/>
              </w:rPr>
            </w:pPr>
          </w:p>
        </w:tc>
        <w:tc>
          <w:tcPr>
            <w:tcW w:w="995" w:type="dxa"/>
            <w:tcBorders>
              <w:bottom w:val="nil"/>
            </w:tcBorders>
            <w:vAlign w:val="center"/>
          </w:tcPr>
          <w:p w:rsidR="007033B9" w:rsidRPr="003A38F7" w:rsidRDefault="007033B9" w:rsidP="00D41BAA">
            <w:pPr>
              <w:keepNext/>
              <w:widowControl/>
              <w:jc w:val="center"/>
              <w:rPr>
                <w:rFonts w:ascii="Arial Narrow" w:hAnsi="Arial Narrow"/>
                <w:iCs/>
                <w:sz w:val="18"/>
                <w:szCs w:val="18"/>
              </w:rPr>
            </w:pPr>
          </w:p>
        </w:tc>
        <w:tc>
          <w:tcPr>
            <w:tcW w:w="993" w:type="dxa"/>
            <w:tcBorders>
              <w:bottom w:val="nil"/>
            </w:tcBorders>
            <w:vAlign w:val="center"/>
          </w:tcPr>
          <w:p w:rsidR="007033B9" w:rsidRPr="003A38F7" w:rsidRDefault="007033B9" w:rsidP="00D41BAA">
            <w:pPr>
              <w:keepNext/>
              <w:widowControl/>
              <w:jc w:val="center"/>
              <w:rPr>
                <w:rFonts w:ascii="Arial Narrow" w:hAnsi="Arial Narrow"/>
                <w:iCs/>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iCs/>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iCs/>
                <w:sz w:val="18"/>
                <w:szCs w:val="18"/>
              </w:rPr>
            </w:pPr>
          </w:p>
        </w:tc>
      </w:tr>
      <w:tr w:rsidR="007033B9" w:rsidRPr="003A38F7" w:rsidTr="00D41BAA">
        <w:tc>
          <w:tcPr>
            <w:tcW w:w="3396" w:type="dxa"/>
            <w:tcBorders>
              <w:top w:val="nil"/>
              <w:bottom w:val="nil"/>
            </w:tcBorders>
            <w:vAlign w:val="bottom"/>
          </w:tcPr>
          <w:p w:rsidR="007033B9" w:rsidRPr="003A38F7" w:rsidRDefault="007033B9" w:rsidP="00D41BAA">
            <w:pPr>
              <w:keepNext/>
              <w:widowControl/>
              <w:rPr>
                <w:rFonts w:ascii="Arial Narrow" w:hAnsi="Arial Narrow"/>
                <w:sz w:val="18"/>
                <w:szCs w:val="18"/>
              </w:rPr>
            </w:pPr>
            <w:r w:rsidRPr="003A38F7">
              <w:rPr>
                <w:rFonts w:ascii="Arial Narrow" w:hAnsi="Arial Narrow"/>
                <w:sz w:val="18"/>
                <w:szCs w:val="18"/>
              </w:rPr>
              <w:t xml:space="preserve"> NovoRapid cartridges (5 X 3mL)</w:t>
            </w:r>
          </w:p>
        </w:tc>
        <w:tc>
          <w:tcPr>
            <w:tcW w:w="849"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rPr>
                <w:rFonts w:ascii="Arial Narrow" w:hAnsi="Arial Narrow"/>
                <w:sz w:val="18"/>
                <w:szCs w:val="18"/>
              </w:rPr>
            </w:pPr>
            <w:r w:rsidRPr="003A38F7">
              <w:rPr>
                <w:rFonts w:ascii="Arial Narrow" w:hAnsi="Arial Narrow"/>
                <w:sz w:val="18"/>
                <w:szCs w:val="18"/>
              </w:rPr>
              <w:t xml:space="preserve"> NovoRapid vials (1 X 10mL)</w:t>
            </w:r>
          </w:p>
        </w:tc>
        <w:tc>
          <w:tcPr>
            <w:tcW w:w="849"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rPr>
                <w:rFonts w:ascii="Arial Narrow" w:hAnsi="Arial Narrow"/>
                <w:sz w:val="18"/>
                <w:szCs w:val="18"/>
              </w:rPr>
            </w:pPr>
            <w:r w:rsidRPr="003A38F7">
              <w:rPr>
                <w:rFonts w:ascii="Arial Narrow" w:hAnsi="Arial Narrow"/>
                <w:sz w:val="18"/>
                <w:szCs w:val="18"/>
              </w:rPr>
              <w:t xml:space="preserve"> Insulin lispro cartridges (5 X 3mL)</w:t>
            </w:r>
          </w:p>
        </w:tc>
        <w:tc>
          <w:tcPr>
            <w:tcW w:w="849"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rPr>
                <w:rFonts w:ascii="Arial Narrow" w:hAnsi="Arial Narrow"/>
                <w:sz w:val="18"/>
                <w:szCs w:val="18"/>
              </w:rPr>
            </w:pPr>
            <w:r w:rsidRPr="003A38F7">
              <w:rPr>
                <w:rFonts w:ascii="Arial Narrow" w:hAnsi="Arial Narrow"/>
                <w:sz w:val="18"/>
                <w:szCs w:val="18"/>
              </w:rPr>
              <w:t xml:space="preserve"> Insulin lispro vials (1 X 10mL)</w:t>
            </w:r>
          </w:p>
        </w:tc>
        <w:tc>
          <w:tcPr>
            <w:tcW w:w="849"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rPr>
                <w:rFonts w:ascii="Arial Narrow" w:hAnsi="Arial Narrow"/>
                <w:sz w:val="18"/>
                <w:szCs w:val="18"/>
                <w:lang w:val="fr-FR"/>
              </w:rPr>
            </w:pPr>
            <w:r w:rsidRPr="003A38F7">
              <w:rPr>
                <w:rFonts w:ascii="Arial Narrow" w:hAnsi="Arial Narrow"/>
                <w:sz w:val="18"/>
                <w:szCs w:val="18"/>
                <w:lang w:val="fr-FR"/>
              </w:rPr>
              <w:t xml:space="preserve"> Insulin glulisine cartridges (5 X 3mL)</w:t>
            </w:r>
          </w:p>
        </w:tc>
        <w:tc>
          <w:tcPr>
            <w:tcW w:w="849"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rPr>
                <w:rFonts w:ascii="Arial Narrow" w:hAnsi="Arial Narrow"/>
                <w:sz w:val="18"/>
                <w:szCs w:val="18"/>
              </w:rPr>
            </w:pPr>
            <w:r w:rsidRPr="003A38F7">
              <w:rPr>
                <w:rFonts w:ascii="Arial Narrow" w:hAnsi="Arial Narrow"/>
                <w:sz w:val="18"/>
                <w:szCs w:val="18"/>
              </w:rPr>
              <w:t xml:space="preserve"> Insulin glulisine vials (1 X 10mL)</w:t>
            </w:r>
          </w:p>
        </w:tc>
        <w:tc>
          <w:tcPr>
            <w:tcW w:w="849"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5"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3"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992" w:type="dxa"/>
            <w:tcBorders>
              <w:top w:val="nil"/>
              <w:bottom w:val="nil"/>
            </w:tcBorders>
            <w:vAlign w:val="bottom"/>
          </w:tcPr>
          <w:p w:rsidR="007033B9" w:rsidRPr="000D10DC" w:rsidRDefault="000D10DC" w:rsidP="00D41BAA">
            <w:pPr>
              <w:keepNext/>
              <w:widowControl/>
              <w:jc w:val="center"/>
              <w:rPr>
                <w:rFonts w:ascii="Arial Narrow" w:hAnsi="Arial Narrow"/>
                <w:sz w:val="18"/>
                <w:szCs w:val="18"/>
                <w:highlight w:val="black"/>
              </w:rPr>
            </w:pPr>
            <w:r>
              <w:rPr>
                <w:rFonts w:ascii="Arial Narrow" w:hAnsi="Arial Narrow"/>
                <w:noProof/>
                <w:color w:val="000000"/>
                <w:sz w:val="18"/>
                <w:szCs w:val="18"/>
                <w:highlight w:val="black"/>
              </w:rPr>
              <w:t>''''''''</w:t>
            </w:r>
          </w:p>
        </w:tc>
      </w:tr>
      <w:tr w:rsidR="007033B9" w:rsidRPr="003A38F7" w:rsidTr="00D41BAA">
        <w:tc>
          <w:tcPr>
            <w:tcW w:w="3396" w:type="dxa"/>
            <w:tcBorders>
              <w:bottom w:val="nil"/>
            </w:tcBorders>
          </w:tcPr>
          <w:p w:rsidR="007033B9" w:rsidRPr="003A38F7" w:rsidRDefault="007033B9" w:rsidP="00D41BAA">
            <w:pPr>
              <w:keepNext/>
              <w:widowControl/>
              <w:rPr>
                <w:rFonts w:ascii="Arial Narrow" w:hAnsi="Arial Narrow"/>
                <w:sz w:val="18"/>
                <w:szCs w:val="18"/>
              </w:rPr>
            </w:pPr>
            <w:r w:rsidRPr="003A38F7">
              <w:rPr>
                <w:rFonts w:ascii="Arial Narrow" w:hAnsi="Arial Narrow"/>
                <w:sz w:val="18"/>
                <w:szCs w:val="18"/>
              </w:rPr>
              <w:t>Net cost to PBS/RPBS (net patient copay)</w:t>
            </w:r>
            <w:r w:rsidRPr="003A38F7">
              <w:rPr>
                <w:rFonts w:ascii="Arial Narrow" w:hAnsi="Arial Narrow"/>
                <w:sz w:val="18"/>
                <w:szCs w:val="18"/>
                <w:vertAlign w:val="superscript"/>
              </w:rPr>
              <w:t>a</w:t>
            </w:r>
          </w:p>
        </w:tc>
        <w:tc>
          <w:tcPr>
            <w:tcW w:w="849"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5"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3"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c>
          <w:tcPr>
            <w:tcW w:w="992" w:type="dxa"/>
            <w:tcBorders>
              <w:bottom w:val="nil"/>
            </w:tcBorders>
            <w:vAlign w:val="center"/>
          </w:tcPr>
          <w:p w:rsidR="007033B9" w:rsidRPr="003A38F7" w:rsidRDefault="007033B9" w:rsidP="00D41BAA">
            <w:pPr>
              <w:keepNext/>
              <w:widowControl/>
              <w:jc w:val="center"/>
              <w:rPr>
                <w:rFonts w:ascii="Arial Narrow" w:hAnsi="Arial Narrow"/>
                <w:sz w:val="18"/>
                <w:szCs w:val="18"/>
              </w:rPr>
            </w:pPr>
          </w:p>
        </w:tc>
      </w:tr>
      <w:tr w:rsidR="007033B9" w:rsidRPr="003A38F7" w:rsidTr="00D41BAA">
        <w:tc>
          <w:tcPr>
            <w:tcW w:w="3396" w:type="dxa"/>
            <w:tcBorders>
              <w:top w:val="nil"/>
              <w:bottom w:val="nil"/>
            </w:tcBorders>
            <w:vAlign w:val="bottom"/>
          </w:tcPr>
          <w:p w:rsidR="007033B9" w:rsidRPr="003A38F7" w:rsidRDefault="007033B9" w:rsidP="00D41BAA">
            <w:pPr>
              <w:keepNext/>
              <w:widowControl/>
              <w:ind w:left="112"/>
              <w:rPr>
                <w:rFonts w:ascii="Arial Narrow" w:hAnsi="Arial Narrow"/>
                <w:sz w:val="18"/>
                <w:szCs w:val="18"/>
              </w:rPr>
            </w:pPr>
            <w:r w:rsidRPr="003A38F7">
              <w:rPr>
                <w:rFonts w:ascii="Arial Narrow" w:hAnsi="Arial Narrow"/>
                <w:sz w:val="18"/>
                <w:szCs w:val="18"/>
              </w:rPr>
              <w:t xml:space="preserve"> NovoRapid cartridges (5 X 3mL)</w:t>
            </w:r>
          </w:p>
        </w:tc>
        <w:tc>
          <w:tcPr>
            <w:tcW w:w="849"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5"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3"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ind w:left="112"/>
              <w:rPr>
                <w:rFonts w:ascii="Arial Narrow" w:hAnsi="Arial Narrow"/>
                <w:sz w:val="18"/>
                <w:szCs w:val="18"/>
              </w:rPr>
            </w:pPr>
            <w:r w:rsidRPr="003A38F7">
              <w:rPr>
                <w:rFonts w:ascii="Arial Narrow" w:hAnsi="Arial Narrow"/>
                <w:sz w:val="18"/>
                <w:szCs w:val="18"/>
              </w:rPr>
              <w:t xml:space="preserve"> NovoRapid vials (1 X 10mL)</w:t>
            </w:r>
          </w:p>
        </w:tc>
        <w:tc>
          <w:tcPr>
            <w:tcW w:w="849"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5"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3"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ind w:left="112"/>
              <w:rPr>
                <w:rFonts w:ascii="Arial Narrow" w:hAnsi="Arial Narrow"/>
                <w:sz w:val="18"/>
                <w:szCs w:val="18"/>
              </w:rPr>
            </w:pPr>
            <w:r w:rsidRPr="003A38F7">
              <w:rPr>
                <w:rFonts w:ascii="Arial Narrow" w:hAnsi="Arial Narrow"/>
                <w:sz w:val="18"/>
                <w:szCs w:val="18"/>
              </w:rPr>
              <w:t xml:space="preserve"> Insulin lispro cartridges (5 X 3mL)</w:t>
            </w:r>
          </w:p>
        </w:tc>
        <w:tc>
          <w:tcPr>
            <w:tcW w:w="849"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5"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3"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ind w:left="112"/>
              <w:rPr>
                <w:rFonts w:ascii="Arial Narrow" w:hAnsi="Arial Narrow"/>
                <w:sz w:val="18"/>
                <w:szCs w:val="18"/>
              </w:rPr>
            </w:pPr>
            <w:r w:rsidRPr="003A38F7">
              <w:rPr>
                <w:rFonts w:ascii="Arial Narrow" w:hAnsi="Arial Narrow"/>
                <w:sz w:val="18"/>
                <w:szCs w:val="18"/>
              </w:rPr>
              <w:t xml:space="preserve"> Insulin lispro vials (1 X 10mL)</w:t>
            </w:r>
          </w:p>
        </w:tc>
        <w:tc>
          <w:tcPr>
            <w:tcW w:w="849"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5"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3"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ind w:left="112"/>
              <w:rPr>
                <w:rFonts w:ascii="Arial Narrow" w:hAnsi="Arial Narrow"/>
                <w:sz w:val="18"/>
                <w:szCs w:val="18"/>
                <w:vertAlign w:val="superscript"/>
                <w:lang w:val="fr-FR"/>
              </w:rPr>
            </w:pPr>
            <w:r w:rsidRPr="003A38F7">
              <w:rPr>
                <w:rFonts w:ascii="Arial Narrow" w:hAnsi="Arial Narrow"/>
                <w:sz w:val="18"/>
                <w:szCs w:val="18"/>
                <w:lang w:val="fr-FR"/>
              </w:rPr>
              <w:t xml:space="preserve"> Insulin glulisine cartridges (5 X 3mL)</w:t>
            </w:r>
            <w:r w:rsidRPr="003A38F7">
              <w:rPr>
                <w:rFonts w:ascii="Arial Narrow" w:hAnsi="Arial Narrow"/>
                <w:sz w:val="18"/>
                <w:szCs w:val="18"/>
                <w:vertAlign w:val="superscript"/>
                <w:lang w:val="fr-FR"/>
              </w:rPr>
              <w:t>c</w:t>
            </w:r>
          </w:p>
        </w:tc>
        <w:tc>
          <w:tcPr>
            <w:tcW w:w="849"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5"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3"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r>
      <w:tr w:rsidR="007033B9" w:rsidRPr="003A38F7" w:rsidTr="00D41BAA">
        <w:tc>
          <w:tcPr>
            <w:tcW w:w="3396" w:type="dxa"/>
            <w:tcBorders>
              <w:top w:val="nil"/>
              <w:bottom w:val="nil"/>
            </w:tcBorders>
            <w:vAlign w:val="bottom"/>
          </w:tcPr>
          <w:p w:rsidR="007033B9" w:rsidRPr="003A38F7" w:rsidRDefault="007033B9" w:rsidP="00D41BAA">
            <w:pPr>
              <w:keepNext/>
              <w:widowControl/>
              <w:ind w:left="112"/>
              <w:rPr>
                <w:rFonts w:ascii="Arial Narrow" w:hAnsi="Arial Narrow"/>
                <w:sz w:val="18"/>
                <w:szCs w:val="18"/>
                <w:vertAlign w:val="superscript"/>
              </w:rPr>
            </w:pPr>
            <w:r w:rsidRPr="003A38F7">
              <w:rPr>
                <w:rFonts w:ascii="Arial Narrow" w:hAnsi="Arial Narrow"/>
                <w:sz w:val="18"/>
                <w:szCs w:val="18"/>
              </w:rPr>
              <w:t xml:space="preserve"> Insulin glulisine vials (1 X 10mL)</w:t>
            </w:r>
            <w:r w:rsidRPr="003A38F7">
              <w:rPr>
                <w:rFonts w:ascii="Arial Narrow" w:hAnsi="Arial Narrow"/>
                <w:sz w:val="18"/>
                <w:szCs w:val="18"/>
                <w:vertAlign w:val="superscript"/>
              </w:rPr>
              <w:t>c</w:t>
            </w:r>
          </w:p>
        </w:tc>
        <w:tc>
          <w:tcPr>
            <w:tcW w:w="849"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5"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3"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bottom w:val="nil"/>
            </w:tcBorders>
            <w:vAlign w:val="bottom"/>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r>
      <w:tr w:rsidR="007033B9" w:rsidRPr="003A38F7" w:rsidTr="00D41BAA">
        <w:tc>
          <w:tcPr>
            <w:tcW w:w="3396" w:type="dxa"/>
            <w:tcBorders>
              <w:top w:val="nil"/>
            </w:tcBorders>
          </w:tcPr>
          <w:p w:rsidR="007033B9" w:rsidRPr="003A38F7" w:rsidRDefault="007033B9" w:rsidP="00D41BAA">
            <w:pPr>
              <w:keepNext/>
              <w:widowControl/>
              <w:ind w:left="112"/>
              <w:rPr>
                <w:rFonts w:ascii="Arial Narrow" w:hAnsi="Arial Narrow"/>
                <w:b/>
                <w:bCs/>
                <w:sz w:val="18"/>
                <w:szCs w:val="18"/>
                <w:vertAlign w:val="superscript"/>
              </w:rPr>
            </w:pPr>
            <w:r w:rsidRPr="003A38F7">
              <w:rPr>
                <w:rFonts w:ascii="Arial Narrow" w:hAnsi="Arial Narrow"/>
                <w:b/>
                <w:bCs/>
                <w:sz w:val="18"/>
                <w:szCs w:val="18"/>
              </w:rPr>
              <w:t>Total</w:t>
            </w:r>
          </w:p>
        </w:tc>
        <w:tc>
          <w:tcPr>
            <w:tcW w:w="849" w:type="dxa"/>
            <w:tcBorders>
              <w:top w:val="nil"/>
            </w:tcBorders>
            <w:vAlign w:val="center"/>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tcBorders>
            <w:vAlign w:val="center"/>
          </w:tcPr>
          <w:p w:rsidR="007033B9" w:rsidRPr="003A38F7" w:rsidRDefault="007033B9" w:rsidP="007033B9">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5" w:type="dxa"/>
            <w:tcBorders>
              <w:top w:val="nil"/>
            </w:tcBorders>
            <w:vAlign w:val="center"/>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3" w:type="dxa"/>
            <w:tcBorders>
              <w:top w:val="nil"/>
            </w:tcBorders>
            <w:vAlign w:val="center"/>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tcBorders>
            <w:vAlign w:val="center"/>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c>
          <w:tcPr>
            <w:tcW w:w="992" w:type="dxa"/>
            <w:tcBorders>
              <w:top w:val="nil"/>
            </w:tcBorders>
            <w:vAlign w:val="center"/>
          </w:tcPr>
          <w:p w:rsidR="007033B9" w:rsidRPr="003A38F7" w:rsidRDefault="007033B9" w:rsidP="00D41BAA">
            <w:pPr>
              <w:keepNext/>
              <w:widowControl/>
              <w:jc w:val="center"/>
              <w:rPr>
                <w:rFonts w:ascii="Arial Narrow" w:hAnsi="Arial Narrow"/>
                <w:iCs/>
                <w:sz w:val="18"/>
                <w:szCs w:val="18"/>
              </w:rPr>
            </w:pPr>
            <w:r w:rsidRPr="003A38F7">
              <w:rPr>
                <w:rFonts w:ascii="Arial Narrow" w:hAnsi="Arial Narrow"/>
                <w:iCs/>
                <w:sz w:val="18"/>
                <w:szCs w:val="18"/>
              </w:rPr>
              <w:t>-$</w:t>
            </w:r>
            <w:r w:rsidR="000D10DC">
              <w:rPr>
                <w:rFonts w:ascii="Arial Narrow" w:hAnsi="Arial Narrow"/>
                <w:iCs/>
                <w:noProof/>
                <w:color w:val="000000"/>
                <w:sz w:val="18"/>
                <w:szCs w:val="18"/>
                <w:highlight w:val="black"/>
              </w:rPr>
              <w:t>''''''''''''''''''''''''</w:t>
            </w:r>
          </w:p>
        </w:tc>
      </w:tr>
      <w:tr w:rsidR="007033B9" w:rsidRPr="003A38F7" w:rsidTr="00D41BAA">
        <w:tc>
          <w:tcPr>
            <w:tcW w:w="9209" w:type="dxa"/>
            <w:gridSpan w:val="7"/>
          </w:tcPr>
          <w:p w:rsidR="007033B9" w:rsidRPr="003A38F7" w:rsidRDefault="007033B9" w:rsidP="00D41BAA">
            <w:pPr>
              <w:keepNext/>
              <w:widowControl/>
              <w:rPr>
                <w:rFonts w:ascii="Arial Narrow" w:hAnsi="Arial Narrow"/>
                <w:b/>
                <w:sz w:val="18"/>
                <w:szCs w:val="18"/>
              </w:rPr>
            </w:pPr>
            <w:r w:rsidRPr="003A38F7">
              <w:rPr>
                <w:rFonts w:ascii="Arial Narrow" w:hAnsi="Arial Narrow"/>
                <w:b/>
                <w:sz w:val="18"/>
                <w:szCs w:val="18"/>
              </w:rPr>
              <w:t xml:space="preserve">Estimated financial implications for the PBS/RPBS </w:t>
            </w:r>
          </w:p>
        </w:tc>
      </w:tr>
      <w:tr w:rsidR="007033B9" w:rsidRPr="003A38F7" w:rsidTr="00D41BAA">
        <w:tc>
          <w:tcPr>
            <w:tcW w:w="3396" w:type="dxa"/>
          </w:tcPr>
          <w:p w:rsidR="007033B9" w:rsidRPr="003A38F7" w:rsidRDefault="007033B9" w:rsidP="00D41BAA">
            <w:pPr>
              <w:keepNext/>
              <w:widowControl/>
              <w:rPr>
                <w:rFonts w:ascii="Arial Narrow" w:hAnsi="Arial Narrow"/>
                <w:b/>
                <w:bCs/>
                <w:sz w:val="18"/>
                <w:szCs w:val="18"/>
              </w:rPr>
            </w:pPr>
            <w:r w:rsidRPr="003A38F7">
              <w:rPr>
                <w:rFonts w:ascii="Arial Narrow" w:hAnsi="Arial Narrow"/>
                <w:b/>
                <w:bCs/>
                <w:sz w:val="18"/>
                <w:szCs w:val="18"/>
              </w:rPr>
              <w:t>Net cost to PBS/RPBS (net patient copayment)</w:t>
            </w:r>
            <w:r w:rsidRPr="003A38F7">
              <w:rPr>
                <w:rFonts w:ascii="Arial Narrow" w:hAnsi="Arial Narrow"/>
                <w:b/>
                <w:bCs/>
                <w:sz w:val="18"/>
                <w:szCs w:val="18"/>
                <w:vertAlign w:val="superscript"/>
              </w:rPr>
              <w:t xml:space="preserve"> a</w:t>
            </w:r>
          </w:p>
        </w:tc>
        <w:tc>
          <w:tcPr>
            <w:tcW w:w="849" w:type="dxa"/>
          </w:tcPr>
          <w:p w:rsidR="007033B9" w:rsidRPr="003A38F7" w:rsidRDefault="007033B9" w:rsidP="00D41BAA">
            <w:pPr>
              <w:keepNext/>
              <w:widowControl/>
              <w:jc w:val="center"/>
              <w:rPr>
                <w:rFonts w:ascii="Arial Narrow" w:hAnsi="Arial Narrow"/>
                <w:b/>
                <w:bCs/>
                <w:iCs/>
                <w:sz w:val="18"/>
                <w:szCs w:val="18"/>
              </w:rPr>
            </w:pPr>
            <w:r w:rsidRPr="003A38F7">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2" w:type="dxa"/>
          </w:tcPr>
          <w:p w:rsidR="007033B9" w:rsidRPr="003A38F7" w:rsidRDefault="007033B9" w:rsidP="00D41BAA">
            <w:pPr>
              <w:keepNext/>
              <w:widowControl/>
              <w:jc w:val="center"/>
              <w:rPr>
                <w:rFonts w:ascii="Arial Narrow" w:hAnsi="Arial Narrow"/>
                <w:b/>
                <w:bCs/>
                <w:iCs/>
                <w:sz w:val="18"/>
                <w:szCs w:val="18"/>
              </w:rPr>
            </w:pPr>
            <w:r w:rsidRPr="003A38F7">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5" w:type="dxa"/>
          </w:tcPr>
          <w:p w:rsidR="007033B9" w:rsidRPr="003A38F7" w:rsidRDefault="007033B9" w:rsidP="00D41BAA">
            <w:pPr>
              <w:keepNext/>
              <w:widowControl/>
              <w:jc w:val="center"/>
              <w:rPr>
                <w:rFonts w:ascii="Arial Narrow" w:hAnsi="Arial Narrow"/>
                <w:b/>
                <w:bCs/>
                <w:iCs/>
                <w:sz w:val="18"/>
                <w:szCs w:val="18"/>
              </w:rPr>
            </w:pPr>
            <w:r w:rsidRPr="003A38F7">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3" w:type="dxa"/>
          </w:tcPr>
          <w:p w:rsidR="007033B9" w:rsidRPr="003A38F7" w:rsidRDefault="007033B9" w:rsidP="00D41BAA">
            <w:pPr>
              <w:keepNext/>
              <w:widowControl/>
              <w:jc w:val="center"/>
              <w:rPr>
                <w:rFonts w:ascii="Arial Narrow" w:hAnsi="Arial Narrow"/>
                <w:b/>
                <w:bCs/>
                <w:iCs/>
                <w:sz w:val="18"/>
                <w:szCs w:val="18"/>
              </w:rPr>
            </w:pPr>
            <w:r w:rsidRPr="003A38F7">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2" w:type="dxa"/>
          </w:tcPr>
          <w:p w:rsidR="007033B9" w:rsidRPr="003A38F7" w:rsidRDefault="007033B9" w:rsidP="00D41BAA">
            <w:pPr>
              <w:keepNext/>
              <w:widowControl/>
              <w:jc w:val="center"/>
              <w:rPr>
                <w:rFonts w:ascii="Arial Narrow" w:hAnsi="Arial Narrow"/>
                <w:b/>
                <w:bCs/>
                <w:iCs/>
                <w:sz w:val="18"/>
                <w:szCs w:val="18"/>
              </w:rPr>
            </w:pPr>
            <w:r w:rsidRPr="003A38F7">
              <w:rPr>
                <w:rFonts w:ascii="Arial Narrow" w:hAnsi="Arial Narrow"/>
                <w:b/>
                <w:bCs/>
                <w:iCs/>
                <w:sz w:val="18"/>
                <w:szCs w:val="18"/>
              </w:rPr>
              <w:t>$</w:t>
            </w:r>
            <w:r w:rsidR="000D10DC">
              <w:rPr>
                <w:rFonts w:ascii="Arial Narrow" w:hAnsi="Arial Narrow"/>
                <w:b/>
                <w:bCs/>
                <w:iCs/>
                <w:noProof/>
                <w:color w:val="000000"/>
                <w:sz w:val="18"/>
                <w:szCs w:val="18"/>
                <w:highlight w:val="black"/>
              </w:rPr>
              <w:t>'''''''''''''''''</w:t>
            </w:r>
          </w:p>
        </w:tc>
        <w:tc>
          <w:tcPr>
            <w:tcW w:w="992" w:type="dxa"/>
          </w:tcPr>
          <w:p w:rsidR="007033B9" w:rsidRPr="003A38F7" w:rsidRDefault="007033B9" w:rsidP="00D41BAA">
            <w:pPr>
              <w:keepNext/>
              <w:widowControl/>
              <w:jc w:val="center"/>
              <w:rPr>
                <w:rFonts w:ascii="Arial Narrow" w:hAnsi="Arial Narrow"/>
                <w:b/>
                <w:bCs/>
                <w:iCs/>
                <w:sz w:val="18"/>
                <w:szCs w:val="18"/>
              </w:rPr>
            </w:pPr>
            <w:r w:rsidRPr="003A38F7">
              <w:rPr>
                <w:rFonts w:ascii="Arial Narrow" w:hAnsi="Arial Narrow"/>
                <w:b/>
                <w:bCs/>
                <w:iCs/>
                <w:sz w:val="18"/>
                <w:szCs w:val="18"/>
              </w:rPr>
              <w:t>$</w:t>
            </w:r>
            <w:r w:rsidR="000D10DC">
              <w:rPr>
                <w:rFonts w:ascii="Arial Narrow" w:hAnsi="Arial Narrow"/>
                <w:b/>
                <w:bCs/>
                <w:iCs/>
                <w:noProof/>
                <w:color w:val="000000"/>
                <w:sz w:val="18"/>
                <w:szCs w:val="18"/>
                <w:highlight w:val="black"/>
              </w:rPr>
              <w:t>''''''''''''''''''''</w:t>
            </w:r>
          </w:p>
        </w:tc>
      </w:tr>
    </w:tbl>
    <w:p w:rsidR="00986EA3" w:rsidRPr="003A38F7" w:rsidRDefault="00986EA3" w:rsidP="002F637F">
      <w:pPr>
        <w:pStyle w:val="TableFooter"/>
        <w:widowControl/>
      </w:pPr>
      <w:r w:rsidRPr="003A38F7">
        <w:rPr>
          <w:vertAlign w:val="superscript"/>
        </w:rPr>
        <w:t>a</w:t>
      </w:r>
      <w:r w:rsidRPr="003A38F7">
        <w:rPr>
          <w:vertAlign w:val="superscript"/>
        </w:rPr>
        <w:tab/>
      </w:r>
      <w:r w:rsidRPr="003A38F7">
        <w:t>updated to reflect DMPQ based on July 2018 PBS mark ups.</w:t>
      </w:r>
      <w:bookmarkEnd w:id="20"/>
    </w:p>
    <w:p w:rsidR="00986EA3" w:rsidRPr="003A38F7" w:rsidRDefault="00986EA3" w:rsidP="002F637F">
      <w:pPr>
        <w:pStyle w:val="TableFooter"/>
        <w:widowControl/>
      </w:pPr>
      <w:bookmarkStart w:id="21" w:name="_Toc521797541"/>
      <w:r w:rsidRPr="003A38F7">
        <w:rPr>
          <w:vertAlign w:val="superscript"/>
        </w:rPr>
        <w:t>b</w:t>
      </w:r>
      <w:r w:rsidRPr="003A38F7">
        <w:tab/>
        <w:t xml:space="preserve">Corrected for errors in </w:t>
      </w:r>
      <w:r w:rsidRPr="001F4D0B">
        <w:t>the EXCEL Section 4 file: i)</w:t>
      </w:r>
      <w:r w:rsidRPr="001F4D0B">
        <w:tab/>
        <w:t>The</w:t>
      </w:r>
      <w:r w:rsidRPr="003A38F7">
        <w:t xml:space="preserve"> DPMQs </w:t>
      </w:r>
      <w:r w:rsidRPr="001F4D0B">
        <w:t>for comparators (see Table 4.1.1)</w:t>
      </w:r>
      <w:r w:rsidR="00713357">
        <w:t xml:space="preserve"> </w:t>
      </w:r>
      <w:r w:rsidRPr="001F4D0B">
        <w:t>ii)</w:t>
      </w:r>
      <w:r w:rsidRPr="001F4D0B">
        <w:tab/>
        <w:t>In the ‘4c. Displaced – EFF’ worksheet cells C26:C27 the cost offsets for the insulin glulisine vials have not been counted</w:t>
      </w:r>
      <w:r w:rsidRPr="003A38F7">
        <w:t>.</w:t>
      </w:r>
      <w:bookmarkEnd w:id="21"/>
    </w:p>
    <w:p w:rsidR="008E532F" w:rsidRPr="001F4D0B" w:rsidRDefault="008E532F" w:rsidP="002F637F">
      <w:pPr>
        <w:pStyle w:val="TableFooter"/>
        <w:widowControl/>
        <w:rPr>
          <w:iCs/>
          <w:szCs w:val="18"/>
        </w:rPr>
      </w:pPr>
      <w:r w:rsidRPr="003A38F7">
        <w:rPr>
          <w:iCs/>
          <w:szCs w:val="18"/>
          <w:vertAlign w:val="superscript"/>
        </w:rPr>
        <w:t>c</w:t>
      </w:r>
      <w:r w:rsidRPr="003A38F7">
        <w:rPr>
          <w:iCs/>
          <w:szCs w:val="18"/>
          <w:vertAlign w:val="superscript"/>
        </w:rPr>
        <w:tab/>
      </w:r>
      <w:r w:rsidRPr="003A38F7">
        <w:rPr>
          <w:iCs/>
          <w:szCs w:val="18"/>
        </w:rPr>
        <w:t xml:space="preserve">removed the assumed 5% statutory price reduction to insulin glulisine cartridges and vial preparation in Year 6 </w:t>
      </w:r>
      <w:r w:rsidRPr="001F4D0B">
        <w:rPr>
          <w:iCs/>
          <w:szCs w:val="18"/>
        </w:rPr>
        <w:t>of listing (2024)</w:t>
      </w:r>
    </w:p>
    <w:p w:rsidR="00986EA3" w:rsidRPr="003A38F7" w:rsidRDefault="00986EA3" w:rsidP="002F637F">
      <w:pPr>
        <w:pStyle w:val="TableFooter"/>
        <w:widowControl/>
      </w:pPr>
      <w:bookmarkStart w:id="22" w:name="_Toc521797542"/>
      <w:r w:rsidRPr="001F4D0B">
        <w:t>Source: ‘3a.Volumes – new’; ‘3b.Impact – EFF’, ‘4a.Volumes – displaced’, ‘4b.Displaced – EFF’ worksheets of</w:t>
      </w:r>
      <w:r w:rsidRPr="003A38F7">
        <w:t xml:space="preserve"> Attachment 12_Section 4_2018_Final file.</w:t>
      </w:r>
      <w:bookmarkEnd w:id="22"/>
    </w:p>
    <w:p w:rsidR="00986EA3" w:rsidRPr="00EE491E" w:rsidRDefault="00EE491E" w:rsidP="00EE491E">
      <w:pPr>
        <w:widowControl/>
        <w:spacing w:before="120" w:after="120"/>
        <w:rPr>
          <w:rStyle w:val="CommentReference"/>
          <w:rFonts w:asciiTheme="minorHAnsi" w:hAnsiTheme="minorHAnsi" w:cstheme="minorHAnsi"/>
          <w:b w:val="0"/>
          <w:sz w:val="24"/>
          <w:szCs w:val="24"/>
        </w:rPr>
      </w:pPr>
      <w:r>
        <w:rPr>
          <w:rStyle w:val="CommentReference"/>
          <w:rFonts w:asciiTheme="minorHAnsi" w:hAnsiTheme="minorHAnsi" w:cstheme="minorHAnsi"/>
          <w:b w:val="0"/>
          <w:sz w:val="24"/>
          <w:szCs w:val="24"/>
        </w:rPr>
        <w:t>The redacted table shows that at Year 6 the estimated total number of scripts dispensed was 100,000 – 200,000 per year.</w:t>
      </w:r>
    </w:p>
    <w:p w:rsidR="00D450A6" w:rsidRPr="00C54AAF" w:rsidRDefault="00D450A6" w:rsidP="00D450A6">
      <w:pPr>
        <w:pStyle w:val="ListParagraph"/>
        <w:widowControl/>
        <w:numPr>
          <w:ilvl w:val="1"/>
          <w:numId w:val="3"/>
        </w:numPr>
        <w:rPr>
          <w:color w:val="000000" w:themeColor="text1"/>
        </w:rPr>
      </w:pPr>
      <w:r>
        <w:rPr>
          <w:rFonts w:asciiTheme="minorHAnsi" w:hAnsiTheme="minorHAnsi"/>
          <w:bCs/>
        </w:rPr>
        <w:t>A</w:t>
      </w:r>
      <w:r w:rsidRPr="003C3AB0">
        <w:rPr>
          <w:rFonts w:asciiTheme="minorHAnsi" w:hAnsiTheme="minorHAnsi"/>
          <w:bCs/>
        </w:rPr>
        <w:t xml:space="preserve">t year 5, the estimated net cost to the PBS </w:t>
      </w:r>
      <w:r>
        <w:rPr>
          <w:rFonts w:asciiTheme="minorHAnsi" w:hAnsiTheme="minorHAnsi"/>
          <w:bCs/>
        </w:rPr>
        <w:t>was</w:t>
      </w:r>
      <w:r w:rsidRPr="00D450A6">
        <w:rPr>
          <w:rFonts w:asciiTheme="minorHAnsi" w:hAnsiTheme="minorHAnsi"/>
          <w:bCs/>
        </w:rPr>
        <w:t xml:space="preserve"> </w:t>
      </w:r>
      <w:r w:rsidR="00EE491E">
        <w:rPr>
          <w:rFonts w:asciiTheme="minorHAnsi" w:hAnsiTheme="minorHAnsi"/>
          <w:bCs/>
        </w:rPr>
        <w:t>less than $10 million</w:t>
      </w:r>
      <w:r w:rsidRPr="00D450A6">
        <w:rPr>
          <w:rFonts w:asciiTheme="minorHAnsi" w:hAnsiTheme="minorHAnsi"/>
          <w:bCs/>
        </w:rPr>
        <w:t>.</w:t>
      </w:r>
    </w:p>
    <w:p w:rsidR="00A0199C" w:rsidRDefault="00DE50D8" w:rsidP="002F637F">
      <w:pPr>
        <w:pStyle w:val="ListParagraph"/>
        <w:widowControl/>
        <w:numPr>
          <w:ilvl w:val="1"/>
          <w:numId w:val="3"/>
        </w:numPr>
        <w:rPr>
          <w:color w:val="000000" w:themeColor="text1"/>
        </w:rPr>
      </w:pPr>
      <w:r w:rsidRPr="003A38F7">
        <w:rPr>
          <w:color w:val="000000" w:themeColor="text1"/>
        </w:rPr>
        <w:t>The submission provided results of sensitivity analyses using alternate substitution rates (assuming either a 20% increase or 20% decrease in the rates).</w:t>
      </w:r>
      <w:r w:rsidR="00713357">
        <w:rPr>
          <w:color w:val="000000" w:themeColor="text1"/>
        </w:rPr>
        <w:t xml:space="preserve"> </w:t>
      </w:r>
      <w:r w:rsidR="007159C1" w:rsidRPr="003A38F7">
        <w:rPr>
          <w:color w:val="000000" w:themeColor="text1"/>
        </w:rPr>
        <w:t>I</w:t>
      </w:r>
      <w:r w:rsidRPr="003A38F7">
        <w:rPr>
          <w:color w:val="000000" w:themeColor="text1"/>
        </w:rPr>
        <w:t>n the base case the submission assumed that substitution for NovoRapid would be at a maximum of 25% by Year 6 of listing.</w:t>
      </w:r>
      <w:r w:rsidR="00713357">
        <w:rPr>
          <w:color w:val="000000" w:themeColor="text1"/>
        </w:rPr>
        <w:t xml:space="preserve"> </w:t>
      </w:r>
      <w:r w:rsidRPr="003A38F7">
        <w:rPr>
          <w:color w:val="000000" w:themeColor="text1"/>
        </w:rPr>
        <w:t xml:space="preserve">This was likely a significant underestimate given the similarity of </w:t>
      </w:r>
      <w:r w:rsidR="00195936">
        <w:rPr>
          <w:color w:val="000000" w:themeColor="text1"/>
        </w:rPr>
        <w:t>Fiasp</w:t>
      </w:r>
      <w:r w:rsidRPr="003A38F7">
        <w:rPr>
          <w:color w:val="000000" w:themeColor="text1"/>
        </w:rPr>
        <w:t xml:space="preserve"> to NovoRapid.</w:t>
      </w:r>
      <w:r w:rsidR="00713357">
        <w:rPr>
          <w:color w:val="000000" w:themeColor="text1"/>
        </w:rPr>
        <w:t xml:space="preserve"> </w:t>
      </w:r>
      <w:r w:rsidRPr="003A38F7">
        <w:rPr>
          <w:color w:val="000000" w:themeColor="text1"/>
        </w:rPr>
        <w:t>During the evaluation, a higher rate of substitution was assumed for NovoRapid preparations, starting at 20% in 2019, jumping to 60% in 2020 and increasing by 10% each year thereafter to 100% in 2024 (Y6 of listing).</w:t>
      </w:r>
      <w:r w:rsidR="00713357">
        <w:rPr>
          <w:color w:val="000000" w:themeColor="text1"/>
        </w:rPr>
        <w:t xml:space="preserve"> </w:t>
      </w:r>
      <w:r w:rsidRPr="003A38F7">
        <w:rPr>
          <w:color w:val="000000" w:themeColor="text1"/>
        </w:rPr>
        <w:t xml:space="preserve">This increased the total estimated cost to </w:t>
      </w:r>
      <w:r w:rsidR="007A4053" w:rsidRPr="003A38F7">
        <w:rPr>
          <w:color w:val="000000" w:themeColor="text1"/>
        </w:rPr>
        <w:t xml:space="preserve">the </w:t>
      </w:r>
      <w:r w:rsidRPr="003A38F7">
        <w:rPr>
          <w:color w:val="000000" w:themeColor="text1"/>
        </w:rPr>
        <w:t xml:space="preserve">PBS </w:t>
      </w:r>
      <w:r w:rsidRPr="0073336D">
        <w:rPr>
          <w:color w:val="000000" w:themeColor="text1"/>
        </w:rPr>
        <w:t xml:space="preserve">over 6 years to </w:t>
      </w:r>
      <w:r w:rsidR="00EE491E">
        <w:rPr>
          <w:color w:val="000000" w:themeColor="text1"/>
        </w:rPr>
        <w:t>$30 - $60</w:t>
      </w:r>
      <w:r w:rsidR="0093068B" w:rsidRPr="0073336D">
        <w:rPr>
          <w:color w:val="000000" w:themeColor="text1"/>
        </w:rPr>
        <w:t xml:space="preserve"> </w:t>
      </w:r>
      <w:r w:rsidRPr="0073336D">
        <w:rPr>
          <w:color w:val="000000" w:themeColor="text1"/>
        </w:rPr>
        <w:t xml:space="preserve">million from a base case of </w:t>
      </w:r>
      <w:r w:rsidR="00EE491E">
        <w:rPr>
          <w:color w:val="000000" w:themeColor="text1"/>
        </w:rPr>
        <w:t>$</w:t>
      </w:r>
      <w:r w:rsidR="007054A5">
        <w:rPr>
          <w:color w:val="000000" w:themeColor="text1"/>
        </w:rPr>
        <w:t>10 - $20</w:t>
      </w:r>
      <w:r w:rsidR="0093068B" w:rsidRPr="0073336D">
        <w:rPr>
          <w:color w:val="000000" w:themeColor="text1"/>
        </w:rPr>
        <w:t xml:space="preserve"> </w:t>
      </w:r>
      <w:r w:rsidRPr="0073336D">
        <w:rPr>
          <w:color w:val="000000" w:themeColor="text1"/>
        </w:rPr>
        <w:t>million.</w:t>
      </w:r>
      <w:r w:rsidR="00713357" w:rsidRPr="0073336D">
        <w:rPr>
          <w:color w:val="000000" w:themeColor="text1"/>
        </w:rPr>
        <w:t xml:space="preserve"> </w:t>
      </w:r>
      <w:r w:rsidR="007A4053" w:rsidRPr="0073336D">
        <w:rPr>
          <w:color w:val="000000" w:themeColor="text1"/>
        </w:rPr>
        <w:t>T</w:t>
      </w:r>
      <w:r w:rsidRPr="0073336D">
        <w:rPr>
          <w:color w:val="000000" w:themeColor="text1"/>
        </w:rPr>
        <w:t xml:space="preserve">here would still be potential for the total financial impact to further exceed this amount, </w:t>
      </w:r>
      <w:r w:rsidR="0093068B" w:rsidRPr="0073336D">
        <w:rPr>
          <w:color w:val="000000" w:themeColor="text1"/>
        </w:rPr>
        <w:t xml:space="preserve">as </w:t>
      </w:r>
      <w:r w:rsidRPr="0073336D">
        <w:rPr>
          <w:color w:val="000000" w:themeColor="text1"/>
        </w:rPr>
        <w:t>there is potential for higher substitution rates to be observed for NovoRapid</w:t>
      </w:r>
      <w:r w:rsidR="0093068B" w:rsidRPr="0073336D">
        <w:rPr>
          <w:color w:val="000000" w:themeColor="text1"/>
        </w:rPr>
        <w:t xml:space="preserve"> more rapidly</w:t>
      </w:r>
      <w:r w:rsidRPr="0073336D">
        <w:rPr>
          <w:color w:val="000000" w:themeColor="text1"/>
        </w:rPr>
        <w:t xml:space="preserve"> and for the rates of</w:t>
      </w:r>
      <w:r w:rsidRPr="003A38F7">
        <w:rPr>
          <w:color w:val="000000" w:themeColor="text1"/>
        </w:rPr>
        <w:t xml:space="preserve"> substitution for </w:t>
      </w:r>
      <w:r w:rsidRPr="003A38F7">
        <w:rPr>
          <w:color w:val="000000" w:themeColor="text1"/>
        </w:rPr>
        <w:lastRenderedPageBreak/>
        <w:t>other fast acting insulins to exceed those assumed in the submission</w:t>
      </w:r>
      <w:r w:rsidR="00423FE0" w:rsidRPr="003A38F7">
        <w:rPr>
          <w:color w:val="000000" w:themeColor="text1"/>
        </w:rPr>
        <w:t xml:space="preserve"> (starting at only 2% in Y1 increasing to 19% in Y6)</w:t>
      </w:r>
      <w:r w:rsidRPr="003A38F7">
        <w:rPr>
          <w:color w:val="000000" w:themeColor="text1"/>
        </w:rPr>
        <w:t>.</w:t>
      </w:r>
      <w:bookmarkStart w:id="23" w:name="_Toc521797543"/>
      <w:r w:rsidR="00AD303F" w:rsidRPr="00AD303F">
        <w:rPr>
          <w:i/>
          <w:color w:val="000000" w:themeColor="text1"/>
        </w:rPr>
        <w:t xml:space="preserve"> </w:t>
      </w:r>
      <w:r w:rsidR="003F4D97" w:rsidRPr="00C54AAF">
        <w:rPr>
          <w:color w:val="000000" w:themeColor="text1"/>
        </w:rPr>
        <w:t xml:space="preserve">The PSCR maintained that it was not expected that </w:t>
      </w:r>
      <w:r w:rsidR="00195936">
        <w:rPr>
          <w:color w:val="000000" w:themeColor="text1"/>
        </w:rPr>
        <w:t>Fiasp</w:t>
      </w:r>
      <w:r w:rsidR="003F4D97" w:rsidRPr="00C54AAF">
        <w:rPr>
          <w:color w:val="000000" w:themeColor="text1"/>
        </w:rPr>
        <w:t xml:space="preserve"> would substitute for </w:t>
      </w:r>
      <w:r w:rsidR="00F71B06">
        <w:rPr>
          <w:color w:val="000000" w:themeColor="text1"/>
        </w:rPr>
        <w:t>a large proportion of NovoRapid</w:t>
      </w:r>
      <w:r w:rsidR="003F4D97" w:rsidRPr="00C54AAF">
        <w:rPr>
          <w:color w:val="000000" w:themeColor="text1"/>
        </w:rPr>
        <w:t xml:space="preserve"> scripts, and that it was less likely that patients stable </w:t>
      </w:r>
      <w:r w:rsidR="00F71B06">
        <w:rPr>
          <w:color w:val="000000" w:themeColor="text1"/>
        </w:rPr>
        <w:t>and comfortable using NovoRapid</w:t>
      </w:r>
      <w:r w:rsidR="003F4D97" w:rsidRPr="00C54AAF">
        <w:rPr>
          <w:color w:val="000000" w:themeColor="text1"/>
        </w:rPr>
        <w:t xml:space="preserve"> would switch to </w:t>
      </w:r>
      <w:r w:rsidR="00195936">
        <w:rPr>
          <w:color w:val="000000" w:themeColor="text1"/>
        </w:rPr>
        <w:t>Fiasp</w:t>
      </w:r>
      <w:r w:rsidR="003F4D97" w:rsidRPr="00C54AAF">
        <w:rPr>
          <w:color w:val="000000" w:themeColor="text1"/>
        </w:rPr>
        <w:t>, making the majority of expected users newly diagnosed patients as per the submission</w:t>
      </w:r>
      <w:r w:rsidR="009D1300">
        <w:rPr>
          <w:color w:val="000000" w:themeColor="text1"/>
        </w:rPr>
        <w:t>’</w:t>
      </w:r>
      <w:r w:rsidR="003F4D97" w:rsidRPr="00C54AAF">
        <w:rPr>
          <w:color w:val="000000" w:themeColor="text1"/>
        </w:rPr>
        <w:t>s estimated uptake rates.</w:t>
      </w:r>
      <w:r w:rsidR="00713357" w:rsidRPr="00C54AAF">
        <w:rPr>
          <w:color w:val="000000" w:themeColor="text1"/>
        </w:rPr>
        <w:t xml:space="preserve"> </w:t>
      </w:r>
      <w:r w:rsidR="003F4D97" w:rsidRPr="00C54AAF">
        <w:rPr>
          <w:color w:val="000000" w:themeColor="text1"/>
        </w:rPr>
        <w:t xml:space="preserve">The PSCR also argued that the uptake rate of 20% - 100% presented in the </w:t>
      </w:r>
      <w:r w:rsidR="00C05798" w:rsidRPr="00C54AAF">
        <w:rPr>
          <w:color w:val="000000" w:themeColor="text1"/>
        </w:rPr>
        <w:t>evaluation</w:t>
      </w:r>
      <w:r w:rsidR="003F4D97" w:rsidRPr="00C54AAF">
        <w:rPr>
          <w:color w:val="000000" w:themeColor="text1"/>
        </w:rPr>
        <w:t xml:space="preserve"> is unlikely to occur in practice. The ESC agreed with the PSCR that an uptake rate of 100% was a likely overestimate, but considered that the estimated uptake rates presented in the submission were likely underestimated. </w:t>
      </w:r>
      <w:r w:rsidR="00713357" w:rsidRPr="00C54AAF">
        <w:rPr>
          <w:color w:val="000000" w:themeColor="text1"/>
        </w:rPr>
        <w:t xml:space="preserve">The </w:t>
      </w:r>
      <w:r w:rsidR="003F4D97" w:rsidRPr="00C54AAF">
        <w:rPr>
          <w:color w:val="000000" w:themeColor="text1"/>
        </w:rPr>
        <w:t xml:space="preserve">ESC noted that substitution </w:t>
      </w:r>
      <w:r w:rsidR="00AB1CE6" w:rsidRPr="00C54AAF">
        <w:rPr>
          <w:color w:val="000000" w:themeColor="text1"/>
        </w:rPr>
        <w:t xml:space="preserve">may occur </w:t>
      </w:r>
      <w:r w:rsidR="003F4D97" w:rsidRPr="00C54AAF">
        <w:rPr>
          <w:color w:val="000000" w:themeColor="text1"/>
        </w:rPr>
        <w:t>more rapidly than expected and that uptake would likely be between the submission and evaluation estimates.</w:t>
      </w:r>
      <w:r w:rsidR="003F4D97" w:rsidRPr="00C54AAF" w:rsidDel="003F4D97">
        <w:rPr>
          <w:color w:val="000000" w:themeColor="text1"/>
        </w:rPr>
        <w:t xml:space="preserve"> </w:t>
      </w:r>
      <w:r w:rsidR="00CA3BAE">
        <w:rPr>
          <w:color w:val="000000" w:themeColor="text1"/>
        </w:rPr>
        <w:t xml:space="preserve">The Pre-PBAC Response stated that the lack of </w:t>
      </w:r>
      <w:r w:rsidR="00F71B06">
        <w:rPr>
          <w:color w:val="000000" w:themeColor="text1"/>
        </w:rPr>
        <w:t>substitution at the pharmacy level</w:t>
      </w:r>
      <w:r w:rsidR="00CA3BAE">
        <w:rPr>
          <w:color w:val="000000" w:themeColor="text1"/>
        </w:rPr>
        <w:t xml:space="preserve"> between NovoRapid</w:t>
      </w:r>
      <w:r w:rsidR="00CA3BAE" w:rsidRPr="003A38F7">
        <w:rPr>
          <w:color w:val="000000" w:themeColor="text1"/>
        </w:rPr>
        <w:t>®</w:t>
      </w:r>
      <w:r w:rsidR="00CA3BAE">
        <w:rPr>
          <w:color w:val="000000" w:themeColor="text1"/>
        </w:rPr>
        <w:t xml:space="preserve"> and </w:t>
      </w:r>
      <w:r w:rsidR="00195936">
        <w:rPr>
          <w:color w:val="000000" w:themeColor="text1"/>
        </w:rPr>
        <w:t>Fiasp</w:t>
      </w:r>
      <w:r w:rsidR="00CA3BAE">
        <w:rPr>
          <w:color w:val="000000" w:themeColor="text1"/>
        </w:rPr>
        <w:t xml:space="preserve"> would </w:t>
      </w:r>
      <w:r w:rsidR="00F71B06">
        <w:rPr>
          <w:color w:val="000000" w:themeColor="text1"/>
        </w:rPr>
        <w:t>limit the uptake of Fiasp.</w:t>
      </w:r>
    </w:p>
    <w:p w:rsidR="00576972" w:rsidRPr="00730727" w:rsidRDefault="00576972" w:rsidP="002F637F">
      <w:pPr>
        <w:pStyle w:val="Heading2"/>
        <w:widowControl/>
      </w:pPr>
      <w:r w:rsidRPr="00730727">
        <w:t>Quality Use of Medicines</w:t>
      </w:r>
      <w:bookmarkEnd w:id="23"/>
    </w:p>
    <w:p w:rsidR="00124327" w:rsidRPr="00981B3C" w:rsidRDefault="00124327" w:rsidP="002F637F">
      <w:pPr>
        <w:pStyle w:val="ListParagraph"/>
        <w:widowControl/>
        <w:numPr>
          <w:ilvl w:val="1"/>
          <w:numId w:val="3"/>
        </w:numPr>
        <w:rPr>
          <w:color w:val="000000" w:themeColor="text1"/>
        </w:rPr>
      </w:pPr>
      <w:r w:rsidRPr="00730727">
        <w:rPr>
          <w:color w:val="000000" w:themeColor="text1"/>
        </w:rPr>
        <w:t xml:space="preserve">The submission noted </w:t>
      </w:r>
      <w:r w:rsidR="0019124E" w:rsidRPr="00730727">
        <w:rPr>
          <w:color w:val="000000" w:themeColor="text1"/>
        </w:rPr>
        <w:t xml:space="preserve">that it would be </w:t>
      </w:r>
      <w:r w:rsidRPr="00730727">
        <w:rPr>
          <w:color w:val="000000" w:themeColor="text1"/>
        </w:rPr>
        <w:t xml:space="preserve">important </w:t>
      </w:r>
      <w:r w:rsidR="0019124E" w:rsidRPr="00730727">
        <w:rPr>
          <w:color w:val="000000" w:themeColor="text1"/>
        </w:rPr>
        <w:t xml:space="preserve">to ensure </w:t>
      </w:r>
      <w:r w:rsidRPr="00730727">
        <w:rPr>
          <w:color w:val="000000" w:themeColor="text1"/>
        </w:rPr>
        <w:t>patient</w:t>
      </w:r>
      <w:r w:rsidR="0019124E" w:rsidRPr="00730727">
        <w:rPr>
          <w:color w:val="000000" w:themeColor="text1"/>
        </w:rPr>
        <w:t>s</w:t>
      </w:r>
      <w:r w:rsidRPr="00730727">
        <w:rPr>
          <w:color w:val="000000" w:themeColor="text1"/>
        </w:rPr>
        <w:t xml:space="preserve"> </w:t>
      </w:r>
      <w:r w:rsidR="00F71B06">
        <w:rPr>
          <w:color w:val="000000" w:themeColor="text1"/>
        </w:rPr>
        <w:t xml:space="preserve">switching </w:t>
      </w:r>
      <w:r w:rsidRPr="00730727">
        <w:rPr>
          <w:color w:val="000000" w:themeColor="text1"/>
        </w:rPr>
        <w:t>from anot</w:t>
      </w:r>
      <w:r w:rsidR="0019124E" w:rsidRPr="00730727">
        <w:rPr>
          <w:color w:val="000000" w:themeColor="text1"/>
        </w:rPr>
        <w:t xml:space="preserve">her insulin to </w:t>
      </w:r>
      <w:r w:rsidR="00195936">
        <w:rPr>
          <w:color w:val="000000" w:themeColor="text1"/>
        </w:rPr>
        <w:t>Fiasp</w:t>
      </w:r>
      <w:r w:rsidR="0019124E" w:rsidRPr="00730727">
        <w:rPr>
          <w:color w:val="000000" w:themeColor="text1"/>
        </w:rPr>
        <w:t xml:space="preserve"> understand</w:t>
      </w:r>
      <w:r w:rsidRPr="00730727">
        <w:rPr>
          <w:color w:val="000000" w:themeColor="text1"/>
        </w:rPr>
        <w:t xml:space="preserve"> that </w:t>
      </w:r>
      <w:r w:rsidR="00195936">
        <w:rPr>
          <w:color w:val="000000" w:themeColor="text1"/>
        </w:rPr>
        <w:t>Fiasp</w:t>
      </w:r>
      <w:r w:rsidRPr="00730727">
        <w:rPr>
          <w:color w:val="000000" w:themeColor="text1"/>
        </w:rPr>
        <w:t xml:space="preserve"> is not </w:t>
      </w:r>
      <w:r w:rsidR="00F71B06">
        <w:rPr>
          <w:color w:val="000000" w:themeColor="text1"/>
        </w:rPr>
        <w:t>substitutable</w:t>
      </w:r>
      <w:r w:rsidRPr="00730727">
        <w:rPr>
          <w:color w:val="000000" w:themeColor="text1"/>
        </w:rPr>
        <w:t xml:space="preserve"> with other</w:t>
      </w:r>
      <w:r w:rsidRPr="00981B3C">
        <w:rPr>
          <w:color w:val="000000" w:themeColor="text1"/>
        </w:rPr>
        <w:t xml:space="preserve"> insulins at the pharmacy level.</w:t>
      </w:r>
      <w:r w:rsidR="00713357">
        <w:rPr>
          <w:color w:val="000000" w:themeColor="text1"/>
        </w:rPr>
        <w:t xml:space="preserve"> </w:t>
      </w:r>
      <w:r w:rsidRPr="00981B3C">
        <w:rPr>
          <w:color w:val="000000" w:themeColor="text1"/>
        </w:rPr>
        <w:t xml:space="preserve">If </w:t>
      </w:r>
      <w:r w:rsidR="00195936">
        <w:rPr>
          <w:color w:val="000000" w:themeColor="text1"/>
        </w:rPr>
        <w:t>Fiasp</w:t>
      </w:r>
      <w:r w:rsidRPr="00981B3C">
        <w:rPr>
          <w:color w:val="000000" w:themeColor="text1"/>
        </w:rPr>
        <w:t xml:space="preserve"> is substituted for other insulins, it must be done under medical supervision.</w:t>
      </w:r>
      <w:r w:rsidR="00713357">
        <w:rPr>
          <w:color w:val="000000" w:themeColor="text1"/>
        </w:rPr>
        <w:t xml:space="preserve"> </w:t>
      </w:r>
      <w:r w:rsidR="0019124E">
        <w:rPr>
          <w:color w:val="000000" w:themeColor="text1"/>
        </w:rPr>
        <w:t xml:space="preserve">Proposed quality of use medicines activities to achieve this goal include: </w:t>
      </w:r>
      <w:r w:rsidR="0019124E" w:rsidRPr="00981B3C">
        <w:rPr>
          <w:color w:val="000000" w:themeColor="text1"/>
        </w:rPr>
        <w:t>patient and physician education</w:t>
      </w:r>
      <w:r w:rsidR="0019124E">
        <w:rPr>
          <w:color w:val="000000" w:themeColor="text1"/>
        </w:rPr>
        <w:t xml:space="preserve">, </w:t>
      </w:r>
      <w:r w:rsidR="0019124E" w:rsidRPr="00981B3C">
        <w:rPr>
          <w:color w:val="000000" w:themeColor="text1"/>
        </w:rPr>
        <w:t>appropriate consumer medicine information, packaging and labelling to ensure patients receive prope</w:t>
      </w:r>
      <w:r w:rsidR="00365E24">
        <w:rPr>
          <w:color w:val="000000" w:themeColor="text1"/>
        </w:rPr>
        <w:t xml:space="preserve">r training in the use of </w:t>
      </w:r>
      <w:r w:rsidR="00195936">
        <w:rPr>
          <w:color w:val="000000" w:themeColor="text1"/>
        </w:rPr>
        <w:t>Fiasp</w:t>
      </w:r>
      <w:r w:rsidR="00365E24">
        <w:rPr>
          <w:color w:val="000000" w:themeColor="text1"/>
        </w:rPr>
        <w:t>.</w:t>
      </w:r>
      <w:r w:rsidR="00713357">
        <w:rPr>
          <w:color w:val="000000" w:themeColor="text1"/>
        </w:rPr>
        <w:t xml:space="preserve"> </w:t>
      </w:r>
      <w:r w:rsidR="00365E24">
        <w:rPr>
          <w:color w:val="000000" w:themeColor="text1"/>
        </w:rPr>
        <w:t xml:space="preserve">As part of the </w:t>
      </w:r>
      <w:r w:rsidR="00365E24" w:rsidRPr="00981B3C">
        <w:rPr>
          <w:color w:val="000000" w:themeColor="text1"/>
        </w:rPr>
        <w:t xml:space="preserve">risk management </w:t>
      </w:r>
      <w:r w:rsidR="00365E24">
        <w:rPr>
          <w:color w:val="000000" w:themeColor="text1"/>
        </w:rPr>
        <w:t xml:space="preserve">actions agreed with </w:t>
      </w:r>
      <w:r w:rsidR="00365E24" w:rsidRPr="00981B3C">
        <w:rPr>
          <w:color w:val="000000" w:themeColor="text1"/>
        </w:rPr>
        <w:t xml:space="preserve">the TGA, </w:t>
      </w:r>
      <w:r w:rsidR="00365E24">
        <w:rPr>
          <w:color w:val="000000" w:themeColor="text1"/>
        </w:rPr>
        <w:t xml:space="preserve">the sponsor will also send a </w:t>
      </w:r>
      <w:r w:rsidR="00365E24" w:rsidRPr="00981B3C">
        <w:rPr>
          <w:color w:val="000000" w:themeColor="text1"/>
        </w:rPr>
        <w:t>letter to Health Care Professionals detai</w:t>
      </w:r>
      <w:r w:rsidR="00F71B06">
        <w:rPr>
          <w:color w:val="000000" w:themeColor="text1"/>
        </w:rPr>
        <w:t>ling appropriate substitution of other insulins for</w:t>
      </w:r>
      <w:r w:rsidR="00365E24" w:rsidRPr="00981B3C">
        <w:rPr>
          <w:color w:val="000000" w:themeColor="text1"/>
        </w:rPr>
        <w:t xml:space="preserve"> </w:t>
      </w:r>
      <w:r w:rsidR="00195936">
        <w:rPr>
          <w:color w:val="000000" w:themeColor="text1"/>
        </w:rPr>
        <w:t>Fiasp</w:t>
      </w:r>
      <w:r w:rsidR="00365E24" w:rsidRPr="00981B3C">
        <w:rPr>
          <w:color w:val="000000" w:themeColor="text1"/>
        </w:rPr>
        <w:t>, and investigat</w:t>
      </w:r>
      <w:r w:rsidR="00365E24">
        <w:rPr>
          <w:color w:val="000000" w:themeColor="text1"/>
        </w:rPr>
        <w:t>e</w:t>
      </w:r>
      <w:r w:rsidR="00365E24" w:rsidRPr="00981B3C">
        <w:rPr>
          <w:color w:val="000000" w:themeColor="text1"/>
        </w:rPr>
        <w:t xml:space="preserve"> </w:t>
      </w:r>
      <w:r w:rsidR="00365E24">
        <w:rPr>
          <w:color w:val="000000" w:themeColor="text1"/>
        </w:rPr>
        <w:t xml:space="preserve">appropriate </w:t>
      </w:r>
      <w:r w:rsidR="00365E24" w:rsidRPr="00981B3C">
        <w:rPr>
          <w:color w:val="000000" w:themeColor="text1"/>
        </w:rPr>
        <w:t>validation in prescribing and dispensing software.</w:t>
      </w:r>
    </w:p>
    <w:p w:rsidR="00576972" w:rsidRPr="00E35188" w:rsidRDefault="00576972" w:rsidP="002F637F">
      <w:pPr>
        <w:pStyle w:val="Heading2"/>
        <w:widowControl/>
      </w:pPr>
      <w:bookmarkStart w:id="24" w:name="_Toc521797544"/>
      <w:r w:rsidRPr="00E35188">
        <w:t>Financial Management – Risk Sharing Arrangements</w:t>
      </w:r>
      <w:bookmarkEnd w:id="24"/>
    </w:p>
    <w:p w:rsidR="00576972" w:rsidRDefault="00132B90" w:rsidP="002F637F">
      <w:pPr>
        <w:pStyle w:val="ListParagraph"/>
        <w:widowControl/>
        <w:numPr>
          <w:ilvl w:val="1"/>
          <w:numId w:val="3"/>
        </w:numPr>
      </w:pPr>
      <w:r w:rsidRPr="00132B90">
        <w:t>No risk sharing arrangements were proposed in the submission.</w:t>
      </w:r>
      <w:r w:rsidR="00713357">
        <w:t xml:space="preserve"> </w:t>
      </w:r>
      <w:r w:rsidRPr="00132B90">
        <w:t>However consistent with Clause 5.7.6 of the Strategic Agreement, the sponsor accepted that it may be required to enter into a Deed of Agreement reflecting the proposed staged pricing.</w:t>
      </w:r>
    </w:p>
    <w:p w:rsidR="00163FB4" w:rsidRPr="00525B39" w:rsidRDefault="00163FB4" w:rsidP="00235ABF">
      <w:pPr>
        <w:pStyle w:val="Heading1"/>
      </w:pPr>
      <w:r w:rsidRPr="00525B39">
        <w:t>PBAC Outcome</w:t>
      </w:r>
    </w:p>
    <w:p w:rsidR="00A72EA3" w:rsidRPr="001049A9" w:rsidRDefault="00E44E0F" w:rsidP="001049A9">
      <w:pPr>
        <w:numPr>
          <w:ilvl w:val="1"/>
          <w:numId w:val="3"/>
        </w:numPr>
        <w:spacing w:after="120"/>
        <w:rPr>
          <w:rFonts w:asciiTheme="minorHAnsi" w:hAnsiTheme="minorHAnsi"/>
          <w:bCs/>
          <w:lang w:val="en-GB"/>
        </w:rPr>
      </w:pPr>
      <w:r w:rsidRPr="00D8553E">
        <w:rPr>
          <w:rFonts w:asciiTheme="minorHAnsi" w:hAnsiTheme="minorHAnsi"/>
          <w:bCs/>
          <w:lang w:val="en-GB"/>
        </w:rPr>
        <w:t>The PBAC recommended the listing of</w:t>
      </w:r>
      <w:r>
        <w:rPr>
          <w:rFonts w:asciiTheme="minorHAnsi" w:hAnsiTheme="minorHAnsi"/>
          <w:bCs/>
          <w:lang w:val="en-GB"/>
        </w:rPr>
        <w:t xml:space="preserve"> </w:t>
      </w:r>
      <w:r w:rsidR="00F71B06">
        <w:rPr>
          <w:rFonts w:asciiTheme="minorHAnsi" w:hAnsiTheme="minorHAnsi"/>
          <w:bCs/>
          <w:lang w:val="en-GB"/>
        </w:rPr>
        <w:t xml:space="preserve">a new </w:t>
      </w:r>
      <w:r w:rsidR="008221DA">
        <w:rPr>
          <w:rFonts w:asciiTheme="minorHAnsi" w:hAnsiTheme="minorHAnsi"/>
          <w:bCs/>
          <w:lang w:val="en-GB"/>
        </w:rPr>
        <w:t>form</w:t>
      </w:r>
      <w:r w:rsidR="00F71B06">
        <w:rPr>
          <w:rFonts w:asciiTheme="minorHAnsi" w:hAnsiTheme="minorHAnsi"/>
          <w:bCs/>
          <w:lang w:val="en-GB"/>
        </w:rPr>
        <w:t xml:space="preserve"> of </w:t>
      </w:r>
      <w:r>
        <w:rPr>
          <w:rFonts w:asciiTheme="minorHAnsi" w:hAnsiTheme="minorHAnsi"/>
          <w:bCs/>
          <w:lang w:val="en-GB"/>
        </w:rPr>
        <w:t>insulin aspart (</w:t>
      </w:r>
      <w:r w:rsidR="00195936">
        <w:rPr>
          <w:rFonts w:asciiTheme="minorHAnsi" w:hAnsiTheme="minorHAnsi"/>
          <w:bCs/>
          <w:lang w:val="en-GB"/>
        </w:rPr>
        <w:t>Fiasp</w:t>
      </w:r>
      <w:r w:rsidR="00F71B06" w:rsidRPr="001049A9">
        <w:rPr>
          <w:rFonts w:asciiTheme="minorHAnsi" w:hAnsiTheme="minorHAnsi"/>
          <w:bCs/>
          <w:lang w:val="en-GB"/>
        </w:rPr>
        <w:t>®</w:t>
      </w:r>
      <w:r>
        <w:rPr>
          <w:rFonts w:asciiTheme="minorHAnsi" w:hAnsiTheme="minorHAnsi"/>
          <w:bCs/>
          <w:lang w:val="en-GB"/>
        </w:rPr>
        <w:t>)</w:t>
      </w:r>
      <w:r w:rsidR="00FA66B9">
        <w:rPr>
          <w:rFonts w:asciiTheme="minorHAnsi" w:hAnsiTheme="minorHAnsi"/>
          <w:bCs/>
          <w:lang w:val="en-GB"/>
        </w:rPr>
        <w:t xml:space="preserve"> for the treatment of </w:t>
      </w:r>
      <w:r w:rsidR="006F1875">
        <w:rPr>
          <w:rFonts w:asciiTheme="minorHAnsi" w:hAnsiTheme="minorHAnsi"/>
          <w:bCs/>
          <w:lang w:val="en-GB"/>
        </w:rPr>
        <w:t>diabetes mellitus in adults</w:t>
      </w:r>
      <w:r w:rsidRPr="00D8553E">
        <w:rPr>
          <w:rFonts w:asciiTheme="minorHAnsi" w:hAnsiTheme="minorHAnsi"/>
          <w:bCs/>
          <w:lang w:val="en-GB"/>
        </w:rPr>
        <w:t xml:space="preserve"> on the basis</w:t>
      </w:r>
      <w:r w:rsidR="00FA66B9">
        <w:rPr>
          <w:rFonts w:asciiTheme="minorHAnsi" w:hAnsiTheme="minorHAnsi"/>
          <w:bCs/>
          <w:lang w:val="en-GB"/>
        </w:rPr>
        <w:t xml:space="preserve"> of non-inferiority to the comparator</w:t>
      </w:r>
      <w:r w:rsidR="006F1875">
        <w:rPr>
          <w:rFonts w:asciiTheme="minorHAnsi" w:hAnsiTheme="minorHAnsi"/>
          <w:bCs/>
          <w:lang w:val="en-GB"/>
        </w:rPr>
        <w:t xml:space="preserve"> </w:t>
      </w:r>
      <w:r w:rsidR="006F1875" w:rsidRPr="001049A9">
        <w:rPr>
          <w:rFonts w:asciiTheme="minorHAnsi" w:hAnsiTheme="minorHAnsi"/>
          <w:bCs/>
          <w:lang w:val="en-GB"/>
        </w:rPr>
        <w:t>NovoRapid®</w:t>
      </w:r>
      <w:r w:rsidR="00AD0454" w:rsidRPr="001049A9">
        <w:rPr>
          <w:rFonts w:asciiTheme="minorHAnsi" w:hAnsiTheme="minorHAnsi"/>
          <w:bCs/>
          <w:lang w:val="en-GB"/>
        </w:rPr>
        <w:t>.</w:t>
      </w:r>
      <w:r w:rsidR="001049A9">
        <w:rPr>
          <w:rFonts w:asciiTheme="minorHAnsi" w:hAnsiTheme="minorHAnsi"/>
          <w:bCs/>
          <w:lang w:val="en-GB"/>
        </w:rPr>
        <w:t xml:space="preserve"> </w:t>
      </w:r>
      <w:r w:rsidR="00AD0454" w:rsidRPr="001049A9">
        <w:rPr>
          <w:rFonts w:asciiTheme="minorHAnsi" w:hAnsiTheme="minorHAnsi"/>
          <w:bCs/>
          <w:lang w:val="en-GB"/>
        </w:rPr>
        <w:t>The PBAC’s recommendation for listing was based</w:t>
      </w:r>
      <w:r w:rsidR="00293E42">
        <w:rPr>
          <w:rFonts w:asciiTheme="minorHAnsi" w:hAnsiTheme="minorHAnsi"/>
          <w:bCs/>
          <w:lang w:val="en-GB"/>
        </w:rPr>
        <w:t>, among other matters,</w:t>
      </w:r>
      <w:r w:rsidR="00AD0454" w:rsidRPr="001049A9">
        <w:rPr>
          <w:rFonts w:asciiTheme="minorHAnsi" w:hAnsiTheme="minorHAnsi"/>
          <w:bCs/>
          <w:lang w:val="en-GB"/>
        </w:rPr>
        <w:t xml:space="preserve"> on</w:t>
      </w:r>
      <w:r w:rsidR="00F71B06">
        <w:rPr>
          <w:rFonts w:asciiTheme="minorHAnsi" w:hAnsiTheme="minorHAnsi"/>
          <w:bCs/>
          <w:lang w:val="en-GB"/>
        </w:rPr>
        <w:t xml:space="preserve"> </w:t>
      </w:r>
      <w:r w:rsidR="00AD0454" w:rsidRPr="001049A9">
        <w:rPr>
          <w:rFonts w:asciiTheme="minorHAnsi" w:hAnsiTheme="minorHAnsi"/>
          <w:bCs/>
          <w:lang w:val="en-GB"/>
        </w:rPr>
        <w:t>its assessment</w:t>
      </w:r>
      <w:r w:rsidR="00F71B06">
        <w:rPr>
          <w:rFonts w:asciiTheme="minorHAnsi" w:hAnsiTheme="minorHAnsi"/>
          <w:bCs/>
          <w:lang w:val="en-GB"/>
        </w:rPr>
        <w:t xml:space="preserve"> </w:t>
      </w:r>
      <w:r w:rsidR="00AD0454" w:rsidRPr="001049A9">
        <w:rPr>
          <w:rFonts w:asciiTheme="minorHAnsi" w:hAnsiTheme="minorHAnsi"/>
          <w:bCs/>
          <w:lang w:val="en-GB"/>
        </w:rPr>
        <w:t xml:space="preserve">that the cost-effectiveness of </w:t>
      </w:r>
      <w:r w:rsidR="00195936">
        <w:rPr>
          <w:rFonts w:asciiTheme="minorHAnsi" w:hAnsiTheme="minorHAnsi"/>
          <w:bCs/>
          <w:lang w:val="en-GB"/>
        </w:rPr>
        <w:t>Fiasp</w:t>
      </w:r>
      <w:r w:rsidR="00AD0454" w:rsidRPr="001049A9">
        <w:rPr>
          <w:rFonts w:asciiTheme="minorHAnsi" w:hAnsiTheme="minorHAnsi"/>
          <w:bCs/>
          <w:lang w:val="en-GB"/>
        </w:rPr>
        <w:t xml:space="preserve"> would be acceptable if it were cost-minimised against </w:t>
      </w:r>
      <w:r w:rsidR="00A72EA3" w:rsidRPr="001049A9">
        <w:rPr>
          <w:rFonts w:asciiTheme="minorHAnsi" w:hAnsiTheme="minorHAnsi"/>
          <w:bCs/>
          <w:lang w:val="en-GB"/>
        </w:rPr>
        <w:t>NovoRapid</w:t>
      </w:r>
      <w:r w:rsidR="00317B22">
        <w:rPr>
          <w:rFonts w:asciiTheme="minorHAnsi" w:hAnsiTheme="minorHAnsi"/>
          <w:bCs/>
          <w:lang w:val="en-GB"/>
        </w:rPr>
        <w:t xml:space="preserve"> on a unit for unit basis</w:t>
      </w:r>
      <w:r w:rsidR="00AD0454" w:rsidRPr="001049A9">
        <w:rPr>
          <w:rFonts w:asciiTheme="minorHAnsi" w:hAnsiTheme="minorHAnsi"/>
          <w:bCs/>
          <w:lang w:val="en-GB"/>
        </w:rPr>
        <w:t>.</w:t>
      </w:r>
      <w:r w:rsidR="00A72EA3" w:rsidRPr="001049A9">
        <w:rPr>
          <w:rFonts w:asciiTheme="minorHAnsi" w:hAnsiTheme="minorHAnsi"/>
          <w:bCs/>
          <w:lang w:val="en-GB"/>
        </w:rPr>
        <w:t xml:space="preserve">  </w:t>
      </w:r>
    </w:p>
    <w:p w:rsidR="00E86D67" w:rsidRPr="00E86D67" w:rsidRDefault="00A7753C" w:rsidP="00E86D67">
      <w:pPr>
        <w:numPr>
          <w:ilvl w:val="1"/>
          <w:numId w:val="3"/>
        </w:numPr>
        <w:spacing w:after="120"/>
        <w:rPr>
          <w:rFonts w:asciiTheme="minorHAnsi" w:hAnsiTheme="minorHAnsi"/>
          <w:bCs/>
          <w:lang w:val="en-GB"/>
        </w:rPr>
      </w:pPr>
      <w:r>
        <w:rPr>
          <w:rFonts w:asciiTheme="minorHAnsi" w:hAnsiTheme="minorHAnsi"/>
          <w:bCs/>
          <w:lang w:val="en-GB"/>
        </w:rPr>
        <w:t>T</w:t>
      </w:r>
      <w:r w:rsidR="00A72EA3" w:rsidRPr="001049A9">
        <w:rPr>
          <w:rFonts w:asciiTheme="minorHAnsi" w:hAnsiTheme="minorHAnsi"/>
          <w:bCs/>
          <w:lang w:val="en-GB"/>
        </w:rPr>
        <w:t>he PBAC considered that despite pharmacokinetic</w:t>
      </w:r>
      <w:r w:rsidR="00683EF8">
        <w:rPr>
          <w:rFonts w:asciiTheme="minorHAnsi" w:hAnsiTheme="minorHAnsi"/>
          <w:bCs/>
          <w:lang w:val="en-GB"/>
        </w:rPr>
        <w:t xml:space="preserve"> and pharmacodynamic</w:t>
      </w:r>
      <w:r w:rsidR="00A72EA3" w:rsidRPr="001049A9">
        <w:rPr>
          <w:rFonts w:asciiTheme="minorHAnsi" w:hAnsiTheme="minorHAnsi"/>
          <w:bCs/>
          <w:lang w:val="en-GB"/>
        </w:rPr>
        <w:t xml:space="preserve"> differences in </w:t>
      </w:r>
      <w:r w:rsidR="006F1875">
        <w:rPr>
          <w:rFonts w:asciiTheme="minorHAnsi" w:hAnsiTheme="minorHAnsi"/>
          <w:bCs/>
          <w:lang w:val="en-GB"/>
        </w:rPr>
        <w:t>formulation</w:t>
      </w:r>
      <w:r w:rsidR="00A72EA3" w:rsidRPr="001049A9">
        <w:rPr>
          <w:rFonts w:asciiTheme="minorHAnsi" w:hAnsiTheme="minorHAnsi"/>
          <w:bCs/>
          <w:lang w:val="en-GB"/>
        </w:rPr>
        <w:t xml:space="preserve">, </w:t>
      </w:r>
      <w:r w:rsidR="00683EF8">
        <w:rPr>
          <w:rFonts w:asciiTheme="minorHAnsi" w:hAnsiTheme="minorHAnsi"/>
          <w:bCs/>
          <w:lang w:val="en-GB"/>
        </w:rPr>
        <w:t>the listing of Fiasp on the PBS</w:t>
      </w:r>
      <w:r w:rsidR="00A72EA3" w:rsidRPr="001049A9">
        <w:rPr>
          <w:rFonts w:asciiTheme="minorHAnsi" w:hAnsiTheme="minorHAnsi"/>
          <w:bCs/>
          <w:lang w:val="en-GB"/>
        </w:rPr>
        <w:t xml:space="preserve"> is not</w:t>
      </w:r>
      <w:r w:rsidR="00683EF8">
        <w:rPr>
          <w:rFonts w:asciiTheme="minorHAnsi" w:hAnsiTheme="minorHAnsi"/>
          <w:bCs/>
          <w:lang w:val="en-GB"/>
        </w:rPr>
        <w:t xml:space="preserve"> considered</w:t>
      </w:r>
      <w:r w:rsidR="00A72EA3" w:rsidRPr="001049A9">
        <w:rPr>
          <w:rFonts w:asciiTheme="minorHAnsi" w:hAnsiTheme="minorHAnsi"/>
          <w:bCs/>
          <w:lang w:val="en-GB"/>
        </w:rPr>
        <w:t xml:space="preserve"> a new </w:t>
      </w:r>
      <w:r w:rsidR="00F71B06">
        <w:rPr>
          <w:rFonts w:asciiTheme="minorHAnsi" w:hAnsiTheme="minorHAnsi"/>
          <w:bCs/>
          <w:lang w:val="en-GB"/>
        </w:rPr>
        <w:t>drug</w:t>
      </w:r>
      <w:r w:rsidR="006F1875">
        <w:rPr>
          <w:rFonts w:asciiTheme="minorHAnsi" w:hAnsiTheme="minorHAnsi"/>
          <w:bCs/>
          <w:lang w:val="en-GB"/>
        </w:rPr>
        <w:t xml:space="preserve"> </w:t>
      </w:r>
      <w:r w:rsidR="00683EF8">
        <w:rPr>
          <w:rFonts w:asciiTheme="minorHAnsi" w:hAnsiTheme="minorHAnsi"/>
          <w:bCs/>
          <w:lang w:val="en-GB"/>
        </w:rPr>
        <w:t xml:space="preserve">listing </w:t>
      </w:r>
      <w:r w:rsidR="00D65FA8">
        <w:rPr>
          <w:rFonts w:asciiTheme="minorHAnsi" w:hAnsiTheme="minorHAnsi"/>
          <w:bCs/>
          <w:lang w:val="en-GB"/>
        </w:rPr>
        <w:t xml:space="preserve">as </w:t>
      </w:r>
      <w:r w:rsidR="00317B22">
        <w:rPr>
          <w:rFonts w:asciiTheme="minorHAnsi" w:hAnsiTheme="minorHAnsi"/>
          <w:bCs/>
          <w:lang w:val="en-GB"/>
        </w:rPr>
        <w:t xml:space="preserve">insulin aspart is </w:t>
      </w:r>
      <w:r w:rsidR="00512524">
        <w:rPr>
          <w:rFonts w:asciiTheme="minorHAnsi" w:hAnsiTheme="minorHAnsi"/>
          <w:bCs/>
          <w:lang w:val="en-GB"/>
        </w:rPr>
        <w:t xml:space="preserve">already </w:t>
      </w:r>
      <w:r w:rsidR="00293E42">
        <w:rPr>
          <w:rFonts w:asciiTheme="minorHAnsi" w:hAnsiTheme="minorHAnsi"/>
          <w:bCs/>
          <w:lang w:val="en-GB"/>
        </w:rPr>
        <w:t>PBS listed</w:t>
      </w:r>
      <w:r w:rsidR="00512524">
        <w:rPr>
          <w:rFonts w:asciiTheme="minorHAnsi" w:hAnsiTheme="minorHAnsi"/>
          <w:bCs/>
          <w:lang w:val="en-GB"/>
        </w:rPr>
        <w:t xml:space="preserve">. The </w:t>
      </w:r>
      <w:r w:rsidR="002737A3">
        <w:rPr>
          <w:rFonts w:asciiTheme="minorHAnsi" w:hAnsiTheme="minorHAnsi"/>
          <w:bCs/>
          <w:lang w:val="en-GB"/>
        </w:rPr>
        <w:t xml:space="preserve">PBAC noted however that </w:t>
      </w:r>
      <w:r w:rsidR="00683EF8">
        <w:rPr>
          <w:rFonts w:asciiTheme="minorHAnsi" w:hAnsiTheme="minorHAnsi"/>
          <w:bCs/>
          <w:lang w:val="en-GB"/>
        </w:rPr>
        <w:t xml:space="preserve">the two forms </w:t>
      </w:r>
      <w:r w:rsidR="00293E42">
        <w:rPr>
          <w:rFonts w:asciiTheme="minorHAnsi" w:hAnsiTheme="minorHAnsi"/>
          <w:bCs/>
          <w:lang w:val="en-GB"/>
        </w:rPr>
        <w:t>should be listed o</w:t>
      </w:r>
      <w:r w:rsidR="00683EF8">
        <w:rPr>
          <w:rFonts w:asciiTheme="minorHAnsi" w:hAnsiTheme="minorHAnsi"/>
          <w:bCs/>
          <w:lang w:val="en-GB"/>
        </w:rPr>
        <w:t xml:space="preserve">n the schedule as </w:t>
      </w:r>
      <w:r w:rsidR="003C4B10">
        <w:rPr>
          <w:rFonts w:asciiTheme="minorHAnsi" w:hAnsiTheme="minorHAnsi"/>
          <w:bCs/>
          <w:lang w:val="en-GB"/>
        </w:rPr>
        <w:t>distinct</w:t>
      </w:r>
      <w:r w:rsidR="00683EF8">
        <w:rPr>
          <w:rFonts w:asciiTheme="minorHAnsi" w:hAnsiTheme="minorHAnsi"/>
          <w:bCs/>
          <w:lang w:val="en-GB"/>
        </w:rPr>
        <w:t xml:space="preserve"> PBS items to avoid inadvertent </w:t>
      </w:r>
      <w:r w:rsidR="00293E42">
        <w:rPr>
          <w:rFonts w:asciiTheme="minorHAnsi" w:hAnsiTheme="minorHAnsi"/>
          <w:bCs/>
          <w:lang w:val="en-GB"/>
        </w:rPr>
        <w:lastRenderedPageBreak/>
        <w:t xml:space="preserve">substitution or </w:t>
      </w:r>
      <w:r w:rsidR="00683EF8">
        <w:rPr>
          <w:rFonts w:asciiTheme="minorHAnsi" w:hAnsiTheme="minorHAnsi"/>
          <w:bCs/>
          <w:lang w:val="en-GB"/>
        </w:rPr>
        <w:t>use of the alternative formulation, and considered</w:t>
      </w:r>
      <w:r w:rsidR="003C4B10">
        <w:rPr>
          <w:rFonts w:asciiTheme="minorHAnsi" w:hAnsiTheme="minorHAnsi"/>
          <w:bCs/>
          <w:lang w:val="en-GB"/>
        </w:rPr>
        <w:t xml:space="preserve"> as such that</w:t>
      </w:r>
      <w:r w:rsidR="00683EF8">
        <w:rPr>
          <w:rFonts w:asciiTheme="minorHAnsi" w:hAnsiTheme="minorHAnsi"/>
          <w:bCs/>
          <w:lang w:val="en-GB"/>
        </w:rPr>
        <w:t xml:space="preserve"> </w:t>
      </w:r>
      <w:r w:rsidR="002737A3">
        <w:rPr>
          <w:rFonts w:asciiTheme="minorHAnsi" w:hAnsiTheme="minorHAnsi"/>
          <w:bCs/>
          <w:lang w:val="en-GB"/>
        </w:rPr>
        <w:t>it would not be appropriate for t</w:t>
      </w:r>
      <w:r w:rsidR="00683EF8">
        <w:rPr>
          <w:rFonts w:asciiTheme="minorHAnsi" w:hAnsiTheme="minorHAnsi"/>
          <w:bCs/>
          <w:lang w:val="en-GB"/>
        </w:rPr>
        <w:t xml:space="preserve">he </w:t>
      </w:r>
      <w:r w:rsidR="003C4B10">
        <w:rPr>
          <w:rFonts w:asciiTheme="minorHAnsi" w:hAnsiTheme="minorHAnsi"/>
          <w:bCs/>
          <w:lang w:val="en-GB"/>
        </w:rPr>
        <w:t>brands</w:t>
      </w:r>
      <w:r w:rsidR="00683EF8">
        <w:rPr>
          <w:rFonts w:asciiTheme="minorHAnsi" w:hAnsiTheme="minorHAnsi"/>
          <w:bCs/>
          <w:lang w:val="en-GB"/>
        </w:rPr>
        <w:t xml:space="preserve"> to</w:t>
      </w:r>
      <w:r w:rsidR="0014472B">
        <w:rPr>
          <w:rFonts w:asciiTheme="minorHAnsi" w:hAnsiTheme="minorHAnsi"/>
          <w:bCs/>
          <w:lang w:val="en-GB"/>
        </w:rPr>
        <w:t xml:space="preserve"> be</w:t>
      </w:r>
      <w:r w:rsidR="00683EF8">
        <w:rPr>
          <w:rFonts w:asciiTheme="minorHAnsi" w:hAnsiTheme="minorHAnsi"/>
          <w:bCs/>
          <w:lang w:val="en-GB"/>
        </w:rPr>
        <w:t xml:space="preserve"> </w:t>
      </w:r>
      <w:r w:rsidR="003C4B10">
        <w:rPr>
          <w:rFonts w:asciiTheme="minorHAnsi" w:hAnsiTheme="minorHAnsi"/>
          <w:bCs/>
          <w:lang w:val="en-GB"/>
        </w:rPr>
        <w:t>treated as equivalent (the two forms should not</w:t>
      </w:r>
      <w:r w:rsidR="0014472B">
        <w:rPr>
          <w:rFonts w:asciiTheme="minorHAnsi" w:hAnsiTheme="minorHAnsi"/>
          <w:bCs/>
          <w:lang w:val="en-GB"/>
        </w:rPr>
        <w:t xml:space="preserve"> be</w:t>
      </w:r>
      <w:r w:rsidR="003C4B10">
        <w:rPr>
          <w:rFonts w:asciiTheme="minorHAnsi" w:hAnsiTheme="minorHAnsi"/>
          <w:bCs/>
          <w:lang w:val="en-GB"/>
        </w:rPr>
        <w:t xml:space="preserve"> ‘a’ flagged in the schedule). </w:t>
      </w:r>
    </w:p>
    <w:p w:rsidR="00163FB4" w:rsidRDefault="00E44E0F" w:rsidP="00163FB4">
      <w:pPr>
        <w:numPr>
          <w:ilvl w:val="1"/>
          <w:numId w:val="3"/>
        </w:numPr>
        <w:spacing w:after="120"/>
        <w:rPr>
          <w:rFonts w:asciiTheme="minorHAnsi" w:hAnsiTheme="minorHAnsi"/>
          <w:bCs/>
          <w:lang w:val="en-GB"/>
        </w:rPr>
      </w:pPr>
      <w:r w:rsidRPr="005D60BD">
        <w:rPr>
          <w:rFonts w:asciiTheme="minorHAnsi" w:hAnsiTheme="minorHAnsi"/>
          <w:bCs/>
          <w:lang w:val="en-GB"/>
        </w:rPr>
        <w:t>The PBAC agreed an unrestricted</w:t>
      </w:r>
      <w:r w:rsidR="00317B22">
        <w:rPr>
          <w:rFonts w:asciiTheme="minorHAnsi" w:hAnsiTheme="minorHAnsi"/>
          <w:bCs/>
          <w:lang w:val="en-GB"/>
        </w:rPr>
        <w:t xml:space="preserve"> benefit</w:t>
      </w:r>
      <w:r w:rsidRPr="005D60BD">
        <w:rPr>
          <w:rFonts w:asciiTheme="minorHAnsi" w:hAnsiTheme="minorHAnsi"/>
          <w:bCs/>
          <w:lang w:val="en-GB"/>
        </w:rPr>
        <w:t xml:space="preserve"> listing was appropriate</w:t>
      </w:r>
      <w:r w:rsidR="00FA66B9" w:rsidRPr="005D60BD">
        <w:rPr>
          <w:rFonts w:asciiTheme="minorHAnsi" w:hAnsiTheme="minorHAnsi"/>
          <w:bCs/>
          <w:lang w:val="en-GB"/>
        </w:rPr>
        <w:t xml:space="preserve"> for </w:t>
      </w:r>
      <w:r w:rsidR="00317B22">
        <w:rPr>
          <w:rFonts w:asciiTheme="minorHAnsi" w:hAnsiTheme="minorHAnsi"/>
          <w:bCs/>
          <w:lang w:val="en-GB"/>
        </w:rPr>
        <w:t>Fiasp</w:t>
      </w:r>
      <w:r w:rsidRPr="005D60BD">
        <w:rPr>
          <w:rFonts w:asciiTheme="minorHAnsi" w:hAnsiTheme="minorHAnsi"/>
          <w:bCs/>
          <w:lang w:val="en-GB"/>
        </w:rPr>
        <w:t>,</w:t>
      </w:r>
      <w:r>
        <w:rPr>
          <w:rFonts w:asciiTheme="minorHAnsi" w:hAnsiTheme="minorHAnsi"/>
          <w:bCs/>
          <w:lang w:val="en-GB"/>
        </w:rPr>
        <w:t xml:space="preserve"> however noted that</w:t>
      </w:r>
      <w:r w:rsidR="003C4B10">
        <w:rPr>
          <w:rFonts w:asciiTheme="minorHAnsi" w:hAnsiTheme="minorHAnsi"/>
          <w:bCs/>
          <w:lang w:val="en-GB"/>
        </w:rPr>
        <w:t xml:space="preserve"> </w:t>
      </w:r>
      <w:r w:rsidR="00195936">
        <w:rPr>
          <w:rFonts w:asciiTheme="minorHAnsi" w:hAnsiTheme="minorHAnsi"/>
          <w:bCs/>
          <w:lang w:val="en-GB"/>
        </w:rPr>
        <w:t>Fiasp</w:t>
      </w:r>
      <w:r w:rsidR="00317B22">
        <w:rPr>
          <w:rFonts w:asciiTheme="minorHAnsi" w:hAnsiTheme="minorHAnsi"/>
          <w:bCs/>
          <w:lang w:val="en-GB"/>
        </w:rPr>
        <w:t xml:space="preserve"> is not TGA registered for use in children. </w:t>
      </w:r>
      <w:r>
        <w:rPr>
          <w:rFonts w:asciiTheme="minorHAnsi" w:hAnsiTheme="minorHAnsi"/>
          <w:bCs/>
          <w:lang w:val="en-GB"/>
        </w:rPr>
        <w:t xml:space="preserve"> </w:t>
      </w:r>
    </w:p>
    <w:p w:rsidR="00163FB4" w:rsidRPr="00525B39" w:rsidRDefault="00C67577" w:rsidP="00163FB4">
      <w:pPr>
        <w:numPr>
          <w:ilvl w:val="1"/>
          <w:numId w:val="3"/>
        </w:numPr>
        <w:spacing w:after="120"/>
        <w:rPr>
          <w:rFonts w:asciiTheme="minorHAnsi" w:hAnsiTheme="minorHAnsi"/>
          <w:bCs/>
          <w:lang w:val="en-GB"/>
        </w:rPr>
      </w:pPr>
      <w:r>
        <w:rPr>
          <w:rFonts w:asciiTheme="minorHAnsi" w:hAnsiTheme="minorHAnsi"/>
          <w:bCs/>
          <w:lang w:val="en-GB"/>
        </w:rPr>
        <w:t xml:space="preserve">The PBAC considered that the clinical need for </w:t>
      </w:r>
      <w:r w:rsidR="00195936">
        <w:rPr>
          <w:rFonts w:asciiTheme="minorHAnsi" w:hAnsiTheme="minorHAnsi"/>
          <w:bCs/>
          <w:lang w:val="en-GB"/>
        </w:rPr>
        <w:t>Fiasp</w:t>
      </w:r>
      <w:r w:rsidR="00317B22">
        <w:rPr>
          <w:rFonts w:asciiTheme="minorHAnsi" w:hAnsiTheme="minorHAnsi"/>
          <w:bCs/>
          <w:lang w:val="en-GB"/>
        </w:rPr>
        <w:t xml:space="preserve"> was not well established as</w:t>
      </w:r>
      <w:r w:rsidR="00293E42">
        <w:rPr>
          <w:rFonts w:asciiTheme="minorHAnsi" w:hAnsiTheme="minorHAnsi"/>
          <w:bCs/>
          <w:lang w:val="en-GB"/>
        </w:rPr>
        <w:t xml:space="preserve"> there are a range of existing fast acting insulin products currently available on the PBS and</w:t>
      </w:r>
      <w:r w:rsidR="00317B22">
        <w:rPr>
          <w:rFonts w:asciiTheme="minorHAnsi" w:hAnsiTheme="minorHAnsi"/>
          <w:bCs/>
          <w:lang w:val="en-GB"/>
        </w:rPr>
        <w:t xml:space="preserve"> the marginally faster time to action</w:t>
      </w:r>
      <w:r w:rsidR="00293E42">
        <w:rPr>
          <w:rFonts w:asciiTheme="minorHAnsi" w:hAnsiTheme="minorHAnsi"/>
          <w:bCs/>
          <w:lang w:val="en-GB"/>
        </w:rPr>
        <w:t xml:space="preserve"> of Fiasp</w:t>
      </w:r>
      <w:r w:rsidR="00317B22">
        <w:rPr>
          <w:rFonts w:asciiTheme="minorHAnsi" w:hAnsiTheme="minorHAnsi"/>
          <w:bCs/>
          <w:lang w:val="en-GB"/>
        </w:rPr>
        <w:t xml:space="preserve"> compared to other available fast acting insulins may not be clinically meaningful. </w:t>
      </w:r>
      <w:r w:rsidR="00D85A76">
        <w:rPr>
          <w:rFonts w:asciiTheme="minorHAnsi" w:hAnsiTheme="minorHAnsi"/>
          <w:bCs/>
          <w:lang w:val="en-GB"/>
        </w:rPr>
        <w:t xml:space="preserve"> </w:t>
      </w:r>
    </w:p>
    <w:p w:rsidR="005A39D1" w:rsidRDefault="005A39D1" w:rsidP="00163FB4">
      <w:pPr>
        <w:numPr>
          <w:ilvl w:val="1"/>
          <w:numId w:val="3"/>
        </w:numPr>
        <w:spacing w:after="120"/>
        <w:rPr>
          <w:rFonts w:asciiTheme="minorHAnsi" w:hAnsiTheme="minorHAnsi"/>
          <w:bCs/>
          <w:lang w:val="en-GB"/>
        </w:rPr>
      </w:pPr>
      <w:r>
        <w:rPr>
          <w:rFonts w:asciiTheme="minorHAnsi" w:hAnsiTheme="minorHAnsi"/>
          <w:bCs/>
          <w:lang w:val="en-GB"/>
        </w:rPr>
        <w:t xml:space="preserve">The PBAC </w:t>
      </w:r>
      <w:r w:rsidR="00317B22">
        <w:rPr>
          <w:rFonts w:asciiTheme="minorHAnsi" w:hAnsiTheme="minorHAnsi"/>
          <w:bCs/>
          <w:lang w:val="en-GB"/>
        </w:rPr>
        <w:t xml:space="preserve">agreed that </w:t>
      </w:r>
      <w:r>
        <w:rPr>
          <w:rFonts w:asciiTheme="minorHAnsi" w:hAnsiTheme="minorHAnsi"/>
          <w:bCs/>
          <w:lang w:val="en-GB"/>
        </w:rPr>
        <w:t xml:space="preserve">NovoRapid </w:t>
      </w:r>
      <w:r w:rsidR="00317B22">
        <w:rPr>
          <w:rFonts w:asciiTheme="minorHAnsi" w:hAnsiTheme="minorHAnsi"/>
          <w:bCs/>
          <w:lang w:val="en-GB"/>
        </w:rPr>
        <w:t xml:space="preserve">was </w:t>
      </w:r>
      <w:r w:rsidR="00FA66B9">
        <w:rPr>
          <w:rFonts w:asciiTheme="minorHAnsi" w:hAnsiTheme="minorHAnsi"/>
          <w:bCs/>
          <w:lang w:val="en-GB"/>
        </w:rPr>
        <w:t>the appropriate comparator</w:t>
      </w:r>
      <w:r w:rsidR="0014472B">
        <w:rPr>
          <w:rFonts w:asciiTheme="minorHAnsi" w:hAnsiTheme="minorHAnsi"/>
          <w:bCs/>
          <w:lang w:val="en-GB"/>
        </w:rPr>
        <w:t xml:space="preserve"> as </w:t>
      </w:r>
      <w:r w:rsidR="00D82557">
        <w:rPr>
          <w:rFonts w:asciiTheme="minorHAnsi" w:hAnsiTheme="minorHAnsi"/>
          <w:bCs/>
          <w:lang w:val="en-GB"/>
        </w:rPr>
        <w:t>Fiasp</w:t>
      </w:r>
      <w:r w:rsidR="0014472B">
        <w:rPr>
          <w:rFonts w:asciiTheme="minorHAnsi" w:hAnsiTheme="minorHAnsi"/>
          <w:bCs/>
          <w:lang w:val="en-GB"/>
        </w:rPr>
        <w:t xml:space="preserve"> is a new formulation of an existing drug, insulin aspart</w:t>
      </w:r>
      <w:r w:rsidR="00460B85">
        <w:rPr>
          <w:rFonts w:asciiTheme="minorHAnsi" w:hAnsiTheme="minorHAnsi"/>
          <w:bCs/>
          <w:lang w:val="en-GB"/>
        </w:rPr>
        <w:t xml:space="preserve">, </w:t>
      </w:r>
      <w:r w:rsidR="0014472B">
        <w:rPr>
          <w:rFonts w:asciiTheme="minorHAnsi" w:hAnsiTheme="minorHAnsi"/>
          <w:bCs/>
          <w:lang w:val="en-GB"/>
        </w:rPr>
        <w:t xml:space="preserve">however </w:t>
      </w:r>
      <w:r w:rsidR="00460B85">
        <w:rPr>
          <w:rFonts w:asciiTheme="minorHAnsi" w:hAnsiTheme="minorHAnsi"/>
          <w:bCs/>
          <w:lang w:val="en-GB"/>
        </w:rPr>
        <w:t>not</w:t>
      </w:r>
      <w:r w:rsidR="00794D10">
        <w:rPr>
          <w:rFonts w:asciiTheme="minorHAnsi" w:hAnsiTheme="minorHAnsi"/>
          <w:bCs/>
          <w:lang w:val="en-GB"/>
        </w:rPr>
        <w:t>ed</w:t>
      </w:r>
      <w:r w:rsidR="00460B85">
        <w:rPr>
          <w:rFonts w:asciiTheme="minorHAnsi" w:hAnsiTheme="minorHAnsi"/>
          <w:bCs/>
          <w:lang w:val="en-GB"/>
        </w:rPr>
        <w:t xml:space="preserve"> that all fast acting insulins were listed on a cost-minimisation basis to each other. </w:t>
      </w:r>
    </w:p>
    <w:p w:rsidR="0065662F" w:rsidRDefault="00FA66B9" w:rsidP="00460B85">
      <w:pPr>
        <w:numPr>
          <w:ilvl w:val="1"/>
          <w:numId w:val="3"/>
        </w:numPr>
        <w:spacing w:after="120"/>
        <w:rPr>
          <w:rFonts w:asciiTheme="minorHAnsi" w:hAnsiTheme="minorHAnsi"/>
          <w:bCs/>
          <w:lang w:val="en-GB"/>
        </w:rPr>
      </w:pPr>
      <w:r>
        <w:rPr>
          <w:rFonts w:asciiTheme="minorHAnsi" w:hAnsiTheme="minorHAnsi"/>
          <w:bCs/>
          <w:lang w:val="en-GB"/>
        </w:rPr>
        <w:t xml:space="preserve">The PBAC noted that the submission presented </w:t>
      </w:r>
      <w:r w:rsidR="006F1875">
        <w:rPr>
          <w:rFonts w:asciiTheme="minorHAnsi" w:hAnsiTheme="minorHAnsi"/>
          <w:bCs/>
          <w:lang w:val="en-GB"/>
        </w:rPr>
        <w:t xml:space="preserve">four head-to-head randomised control trials comparing </w:t>
      </w:r>
      <w:r w:rsidR="00195936">
        <w:t>Fiasp</w:t>
      </w:r>
      <w:r w:rsidR="006F1875" w:rsidRPr="00E35188">
        <w:t xml:space="preserve"> to NovoRapid</w:t>
      </w:r>
      <w:r w:rsidR="006F1875">
        <w:rPr>
          <w:rFonts w:cs="Calibri"/>
        </w:rPr>
        <w:t xml:space="preserve"> with one of these being in Type 2 Diabetes Mellitus (T2DM) and the remaining three in Type 1 Diabetes Mellitus (T1DM)</w:t>
      </w:r>
      <w:r>
        <w:rPr>
          <w:rFonts w:asciiTheme="minorHAnsi" w:hAnsiTheme="minorHAnsi"/>
          <w:bCs/>
          <w:lang w:val="en-GB"/>
        </w:rPr>
        <w:t xml:space="preserve">. </w:t>
      </w:r>
      <w:r w:rsidR="0065662F" w:rsidRPr="00460B85">
        <w:rPr>
          <w:rFonts w:asciiTheme="minorHAnsi" w:hAnsiTheme="minorHAnsi"/>
          <w:bCs/>
          <w:lang w:val="en-GB"/>
        </w:rPr>
        <w:t xml:space="preserve">The PBAC </w:t>
      </w:r>
      <w:r w:rsidR="00460B85">
        <w:rPr>
          <w:rFonts w:asciiTheme="minorHAnsi" w:hAnsiTheme="minorHAnsi"/>
          <w:bCs/>
          <w:lang w:val="en-GB"/>
        </w:rPr>
        <w:t>accepted that</w:t>
      </w:r>
      <w:r w:rsidR="0065662F" w:rsidRPr="00460B85">
        <w:rPr>
          <w:rFonts w:asciiTheme="minorHAnsi" w:hAnsiTheme="minorHAnsi"/>
          <w:bCs/>
          <w:lang w:val="en-GB"/>
        </w:rPr>
        <w:t xml:space="preserve"> Fiasp </w:t>
      </w:r>
      <w:r w:rsidR="00460B85">
        <w:rPr>
          <w:rFonts w:asciiTheme="minorHAnsi" w:hAnsiTheme="minorHAnsi"/>
          <w:bCs/>
          <w:lang w:val="en-GB"/>
        </w:rPr>
        <w:t>is</w:t>
      </w:r>
      <w:r w:rsidR="0065662F" w:rsidRPr="00460B85">
        <w:rPr>
          <w:rFonts w:asciiTheme="minorHAnsi" w:hAnsiTheme="minorHAnsi"/>
          <w:bCs/>
          <w:lang w:val="en-GB"/>
        </w:rPr>
        <w:t xml:space="preserve"> non-inferior </w:t>
      </w:r>
      <w:r w:rsidR="00460B85">
        <w:rPr>
          <w:rFonts w:asciiTheme="minorHAnsi" w:hAnsiTheme="minorHAnsi"/>
          <w:bCs/>
          <w:lang w:val="en-GB"/>
        </w:rPr>
        <w:t xml:space="preserve">in efficacy </w:t>
      </w:r>
      <w:r w:rsidR="0065662F" w:rsidRPr="00460B85">
        <w:rPr>
          <w:rFonts w:asciiTheme="minorHAnsi" w:hAnsiTheme="minorHAnsi"/>
          <w:bCs/>
          <w:lang w:val="en-GB"/>
        </w:rPr>
        <w:t xml:space="preserve">to </w:t>
      </w:r>
      <w:r w:rsidR="00460B85">
        <w:rPr>
          <w:rFonts w:asciiTheme="minorHAnsi" w:hAnsiTheme="minorHAnsi"/>
          <w:bCs/>
          <w:lang w:val="en-GB"/>
        </w:rPr>
        <w:t>NovoRapid</w:t>
      </w:r>
      <w:r w:rsidR="0065662F" w:rsidRPr="00460B85">
        <w:rPr>
          <w:rFonts w:asciiTheme="minorHAnsi" w:hAnsiTheme="minorHAnsi"/>
          <w:bCs/>
          <w:lang w:val="en-GB"/>
        </w:rPr>
        <w:t xml:space="preserve"> </w:t>
      </w:r>
      <w:r w:rsidR="00460B85">
        <w:rPr>
          <w:rFonts w:asciiTheme="minorHAnsi" w:hAnsiTheme="minorHAnsi"/>
          <w:bCs/>
          <w:lang w:val="en-GB"/>
        </w:rPr>
        <w:t>based on</w:t>
      </w:r>
      <w:r w:rsidR="0065662F" w:rsidRPr="00460B85">
        <w:rPr>
          <w:rFonts w:asciiTheme="minorHAnsi" w:hAnsiTheme="minorHAnsi"/>
          <w:bCs/>
          <w:lang w:val="en-GB"/>
        </w:rPr>
        <w:t xml:space="preserve"> </w:t>
      </w:r>
      <w:r w:rsidR="00426341" w:rsidRPr="00460B85">
        <w:rPr>
          <w:rFonts w:asciiTheme="minorHAnsi" w:hAnsiTheme="minorHAnsi"/>
          <w:bCs/>
          <w:lang w:val="en-GB"/>
        </w:rPr>
        <w:t>change from baseline</w:t>
      </w:r>
      <w:r w:rsidR="0065662F" w:rsidRPr="00460B85">
        <w:rPr>
          <w:rFonts w:asciiTheme="minorHAnsi" w:hAnsiTheme="minorHAnsi"/>
          <w:bCs/>
          <w:lang w:val="en-GB"/>
        </w:rPr>
        <w:t xml:space="preserve"> of HbA1c</w:t>
      </w:r>
      <w:r w:rsidR="00786E35">
        <w:rPr>
          <w:rFonts w:asciiTheme="minorHAnsi" w:hAnsiTheme="minorHAnsi"/>
          <w:bCs/>
          <w:lang w:val="en-GB"/>
        </w:rPr>
        <w:t>, change from baseline in post prandial glucose,</w:t>
      </w:r>
      <w:r w:rsidR="0065662F" w:rsidRPr="00460B85">
        <w:rPr>
          <w:rFonts w:asciiTheme="minorHAnsi" w:hAnsiTheme="minorHAnsi"/>
          <w:bCs/>
          <w:lang w:val="en-GB"/>
        </w:rPr>
        <w:t xml:space="preserve"> </w:t>
      </w:r>
      <w:r w:rsidR="00426341" w:rsidRPr="00460B85">
        <w:rPr>
          <w:rFonts w:asciiTheme="minorHAnsi" w:hAnsiTheme="minorHAnsi"/>
          <w:bCs/>
          <w:lang w:val="en-GB"/>
        </w:rPr>
        <w:t xml:space="preserve">and </w:t>
      </w:r>
      <w:r w:rsidR="00786E35">
        <w:rPr>
          <w:rFonts w:asciiTheme="minorHAnsi" w:hAnsiTheme="minorHAnsi"/>
          <w:bCs/>
          <w:lang w:val="en-GB"/>
        </w:rPr>
        <w:t xml:space="preserve">weight gain </w:t>
      </w:r>
      <w:r w:rsidR="0065662F" w:rsidRPr="00460B85">
        <w:rPr>
          <w:rFonts w:asciiTheme="minorHAnsi" w:hAnsiTheme="minorHAnsi"/>
          <w:bCs/>
          <w:lang w:val="en-GB"/>
        </w:rPr>
        <w:t>based on the evidence presented in the submission.</w:t>
      </w:r>
    </w:p>
    <w:p w:rsidR="00786E35" w:rsidRPr="00460B85" w:rsidRDefault="00786E35" w:rsidP="00460B85">
      <w:pPr>
        <w:numPr>
          <w:ilvl w:val="1"/>
          <w:numId w:val="3"/>
        </w:numPr>
        <w:spacing w:after="120"/>
        <w:rPr>
          <w:rFonts w:asciiTheme="minorHAnsi" w:hAnsiTheme="minorHAnsi"/>
          <w:bCs/>
          <w:lang w:val="en-GB"/>
        </w:rPr>
      </w:pPr>
      <w:r>
        <w:rPr>
          <w:rFonts w:asciiTheme="minorHAnsi" w:hAnsiTheme="minorHAnsi"/>
          <w:bCs/>
          <w:lang w:val="en-GB"/>
        </w:rPr>
        <w:t xml:space="preserve">The PBAC considered that there may be higher rates of occlusion events in infusion sets for patients using Fiasp compared to NovoRapid, and that in practice this may result in patients switching to NovoRapid to avoid further unexpected occlusions. This may result in higher expenditure due to wastage of </w:t>
      </w:r>
      <w:r w:rsidR="00293E42">
        <w:rPr>
          <w:rFonts w:asciiTheme="minorHAnsi" w:hAnsiTheme="minorHAnsi"/>
          <w:bCs/>
          <w:lang w:val="en-GB"/>
        </w:rPr>
        <w:t>insulin</w:t>
      </w:r>
      <w:r>
        <w:rPr>
          <w:rFonts w:asciiTheme="minorHAnsi" w:hAnsiTheme="minorHAnsi"/>
          <w:bCs/>
          <w:lang w:val="en-GB"/>
        </w:rPr>
        <w:t xml:space="preserve"> and increased use of insulin pump consumables. </w:t>
      </w:r>
      <w:r w:rsidR="0050397F">
        <w:rPr>
          <w:rFonts w:asciiTheme="minorHAnsi" w:hAnsiTheme="minorHAnsi"/>
          <w:bCs/>
          <w:lang w:val="en-GB"/>
        </w:rPr>
        <w:t xml:space="preserve">The PBAC was of the view that </w:t>
      </w:r>
      <w:r w:rsidR="00DB66E4">
        <w:rPr>
          <w:rFonts w:asciiTheme="minorHAnsi" w:hAnsiTheme="minorHAnsi"/>
          <w:bCs/>
          <w:lang w:val="en-GB"/>
        </w:rPr>
        <w:t>in the context of potential wastage, a small price reduction for insulin aspart may be appropriate</w:t>
      </w:r>
      <w:r w:rsidR="0050397F">
        <w:rPr>
          <w:rFonts w:asciiTheme="minorHAnsi" w:hAnsiTheme="minorHAnsi"/>
          <w:bCs/>
          <w:lang w:val="en-GB"/>
        </w:rPr>
        <w:t>.</w:t>
      </w:r>
    </w:p>
    <w:p w:rsidR="0065662F" w:rsidRPr="000742D6" w:rsidRDefault="0065662F" w:rsidP="00163FB4">
      <w:pPr>
        <w:numPr>
          <w:ilvl w:val="1"/>
          <w:numId w:val="3"/>
        </w:numPr>
        <w:spacing w:after="120"/>
        <w:rPr>
          <w:rFonts w:asciiTheme="minorHAnsi" w:hAnsiTheme="minorHAnsi"/>
          <w:bCs/>
          <w:lang w:val="en-GB"/>
        </w:rPr>
      </w:pPr>
      <w:r w:rsidRPr="00426341">
        <w:rPr>
          <w:rFonts w:asciiTheme="minorHAnsi" w:hAnsiTheme="minorHAnsi"/>
          <w:bCs/>
          <w:lang w:val="en-GB"/>
        </w:rPr>
        <w:t>The</w:t>
      </w:r>
      <w:r w:rsidRPr="000742D6">
        <w:rPr>
          <w:rFonts w:asciiTheme="minorHAnsi" w:hAnsiTheme="minorHAnsi"/>
          <w:bCs/>
          <w:lang w:val="en-GB"/>
        </w:rPr>
        <w:t xml:space="preserve"> PBAC considered Fiasp to be non-inferior </w:t>
      </w:r>
      <w:r w:rsidR="004A605D">
        <w:rPr>
          <w:rFonts w:asciiTheme="minorHAnsi" w:hAnsiTheme="minorHAnsi"/>
          <w:bCs/>
          <w:lang w:val="en-GB"/>
        </w:rPr>
        <w:t xml:space="preserve">in safety </w:t>
      </w:r>
      <w:r w:rsidRPr="000742D6">
        <w:rPr>
          <w:rFonts w:asciiTheme="minorHAnsi" w:hAnsiTheme="minorHAnsi"/>
          <w:bCs/>
          <w:lang w:val="en-GB"/>
        </w:rPr>
        <w:t xml:space="preserve">to </w:t>
      </w:r>
      <w:r w:rsidR="00786E35">
        <w:rPr>
          <w:rFonts w:asciiTheme="minorHAnsi" w:hAnsiTheme="minorHAnsi"/>
          <w:bCs/>
          <w:lang w:val="en-GB"/>
        </w:rPr>
        <w:t>NovoRapid</w:t>
      </w:r>
      <w:r w:rsidR="002C4027">
        <w:rPr>
          <w:rFonts w:asciiTheme="minorHAnsi" w:hAnsiTheme="minorHAnsi"/>
          <w:bCs/>
          <w:lang w:val="en-GB"/>
        </w:rPr>
        <w:t xml:space="preserve"> based on rates of hypoglycaemia events and other adverse events,</w:t>
      </w:r>
      <w:r w:rsidRPr="000742D6">
        <w:rPr>
          <w:rFonts w:asciiTheme="minorHAnsi" w:hAnsiTheme="minorHAnsi"/>
          <w:bCs/>
          <w:lang w:val="en-GB"/>
        </w:rPr>
        <w:t xml:space="preserve"> based on the evidence presented in the submission.</w:t>
      </w:r>
    </w:p>
    <w:p w:rsidR="002C4027" w:rsidRDefault="000742D6" w:rsidP="002C4027">
      <w:pPr>
        <w:numPr>
          <w:ilvl w:val="1"/>
          <w:numId w:val="3"/>
        </w:numPr>
        <w:spacing w:after="120"/>
        <w:rPr>
          <w:rFonts w:asciiTheme="minorHAnsi" w:hAnsiTheme="minorHAnsi"/>
          <w:bCs/>
          <w:lang w:val="en-GB"/>
        </w:rPr>
      </w:pPr>
      <w:r>
        <w:rPr>
          <w:rFonts w:asciiTheme="minorHAnsi" w:hAnsiTheme="minorHAnsi"/>
          <w:bCs/>
          <w:lang w:val="en-GB"/>
        </w:rPr>
        <w:t xml:space="preserve">The PBAC considered that the </w:t>
      </w:r>
      <w:r w:rsidR="00C71C15">
        <w:rPr>
          <w:rFonts w:asciiTheme="minorHAnsi" w:hAnsiTheme="minorHAnsi"/>
          <w:bCs/>
          <w:lang w:val="en-GB"/>
        </w:rPr>
        <w:t xml:space="preserve">approach to the </w:t>
      </w:r>
      <w:r>
        <w:rPr>
          <w:rFonts w:asciiTheme="minorHAnsi" w:hAnsiTheme="minorHAnsi"/>
          <w:bCs/>
          <w:lang w:val="en-GB"/>
        </w:rPr>
        <w:t xml:space="preserve">economic analysis comparing daily treatment costs </w:t>
      </w:r>
      <w:r w:rsidRPr="00C71C15">
        <w:rPr>
          <w:rFonts w:asciiTheme="minorHAnsi" w:hAnsiTheme="minorHAnsi"/>
          <w:bCs/>
          <w:lang w:val="en-GB"/>
        </w:rPr>
        <w:t>to the comparator</w:t>
      </w:r>
      <w:r w:rsidR="004A605D">
        <w:rPr>
          <w:rFonts w:asciiTheme="minorHAnsi" w:hAnsiTheme="minorHAnsi"/>
          <w:bCs/>
          <w:lang w:val="en-GB"/>
        </w:rPr>
        <w:t xml:space="preserve"> </w:t>
      </w:r>
      <w:r w:rsidRPr="00C71C15">
        <w:rPr>
          <w:rFonts w:asciiTheme="minorHAnsi" w:hAnsiTheme="minorHAnsi"/>
          <w:bCs/>
          <w:lang w:val="en-GB"/>
        </w:rPr>
        <w:t xml:space="preserve">was reasonable. </w:t>
      </w:r>
      <w:r w:rsidR="00D85A76" w:rsidRPr="009423BA">
        <w:rPr>
          <w:rFonts w:asciiTheme="minorHAnsi" w:hAnsiTheme="minorHAnsi"/>
          <w:bCs/>
          <w:lang w:val="en-GB"/>
        </w:rPr>
        <w:t xml:space="preserve">The PBAC noted that </w:t>
      </w:r>
      <w:r w:rsidR="00C71C15" w:rsidRPr="009423BA">
        <w:rPr>
          <w:color w:val="000000" w:themeColor="text1"/>
        </w:rPr>
        <w:t xml:space="preserve">if treatment with </w:t>
      </w:r>
      <w:r w:rsidR="00195936">
        <w:rPr>
          <w:color w:val="000000" w:themeColor="text1"/>
        </w:rPr>
        <w:t>Fiasp</w:t>
      </w:r>
      <w:r w:rsidR="00C71C15" w:rsidRPr="009423BA">
        <w:rPr>
          <w:color w:val="000000" w:themeColor="text1"/>
        </w:rPr>
        <w:t xml:space="preserve"> is substantially more costly than an alternative therapy or alternative therapies, the PBAC could only recommend listing of </w:t>
      </w:r>
      <w:r w:rsidR="00195936">
        <w:rPr>
          <w:color w:val="000000" w:themeColor="text1"/>
        </w:rPr>
        <w:t>Fiasp</w:t>
      </w:r>
      <w:r w:rsidR="00C71C15" w:rsidRPr="009423BA">
        <w:rPr>
          <w:color w:val="000000" w:themeColor="text1"/>
        </w:rPr>
        <w:t xml:space="preserve"> if it is satisfied that </w:t>
      </w:r>
      <w:r w:rsidR="00195936">
        <w:rPr>
          <w:color w:val="000000" w:themeColor="text1"/>
        </w:rPr>
        <w:t>Fiasp</w:t>
      </w:r>
      <w:r w:rsidR="00C71C15" w:rsidRPr="009423BA">
        <w:rPr>
          <w:color w:val="000000" w:themeColor="text1"/>
        </w:rPr>
        <w:t xml:space="preserve"> provides, for some patients, a significant improvement in efficacy or reduction of toxicity over these alternative fast acting insulins. </w:t>
      </w:r>
      <w:r w:rsidR="00D85A76" w:rsidRPr="009423BA">
        <w:rPr>
          <w:color w:val="000000" w:themeColor="text1"/>
        </w:rPr>
        <w:t>As</w:t>
      </w:r>
      <w:r w:rsidR="00D85A76">
        <w:rPr>
          <w:color w:val="000000" w:themeColor="text1"/>
        </w:rPr>
        <w:t xml:space="preserve"> the PBAC was not satisfied </w:t>
      </w:r>
      <w:r w:rsidR="004A605D">
        <w:rPr>
          <w:color w:val="000000" w:themeColor="text1"/>
        </w:rPr>
        <w:t>that there was</w:t>
      </w:r>
      <w:r w:rsidR="00D85A76">
        <w:rPr>
          <w:color w:val="000000" w:themeColor="text1"/>
        </w:rPr>
        <w:t xml:space="preserve"> </w:t>
      </w:r>
      <w:r w:rsidR="009423BA">
        <w:rPr>
          <w:color w:val="000000" w:themeColor="text1"/>
        </w:rPr>
        <w:t>an</w:t>
      </w:r>
      <w:r w:rsidR="004A605D">
        <w:rPr>
          <w:color w:val="000000" w:themeColor="text1"/>
        </w:rPr>
        <w:t>y</w:t>
      </w:r>
      <w:r w:rsidR="00D85A76">
        <w:rPr>
          <w:color w:val="000000" w:themeColor="text1"/>
        </w:rPr>
        <w:t xml:space="preserve"> improvement</w:t>
      </w:r>
      <w:r w:rsidR="009423BA">
        <w:rPr>
          <w:color w:val="000000" w:themeColor="text1"/>
        </w:rPr>
        <w:t xml:space="preserve"> in </w:t>
      </w:r>
      <w:r w:rsidR="004A605D">
        <w:rPr>
          <w:color w:val="000000" w:themeColor="text1"/>
        </w:rPr>
        <w:t xml:space="preserve">efficacy </w:t>
      </w:r>
      <w:r w:rsidR="009423BA">
        <w:rPr>
          <w:color w:val="000000" w:themeColor="text1"/>
        </w:rPr>
        <w:t>with</w:t>
      </w:r>
      <w:r w:rsidR="004A605D">
        <w:rPr>
          <w:color w:val="000000" w:themeColor="text1"/>
        </w:rPr>
        <w:t xml:space="preserve"> the</w:t>
      </w:r>
      <w:r w:rsidR="009423BA">
        <w:rPr>
          <w:color w:val="000000" w:themeColor="text1"/>
        </w:rPr>
        <w:t xml:space="preserve"> use of </w:t>
      </w:r>
      <w:r w:rsidR="00195936">
        <w:rPr>
          <w:rFonts w:asciiTheme="minorHAnsi" w:hAnsiTheme="minorHAnsi"/>
          <w:bCs/>
          <w:lang w:val="en-GB"/>
        </w:rPr>
        <w:t>Fiasp</w:t>
      </w:r>
      <w:r w:rsidR="004A605D">
        <w:rPr>
          <w:rFonts w:asciiTheme="minorHAnsi" w:hAnsiTheme="minorHAnsi"/>
          <w:bCs/>
          <w:lang w:val="en-GB"/>
        </w:rPr>
        <w:t xml:space="preserve"> compared to the comparator, the PBAC considered that the </w:t>
      </w:r>
      <w:r w:rsidR="00FB7429">
        <w:rPr>
          <w:rFonts w:asciiTheme="minorHAnsi" w:hAnsiTheme="minorHAnsi"/>
          <w:bCs/>
          <w:lang w:val="en-GB"/>
        </w:rPr>
        <w:t>per unit</w:t>
      </w:r>
      <w:r w:rsidR="004A605D">
        <w:rPr>
          <w:rFonts w:asciiTheme="minorHAnsi" w:hAnsiTheme="minorHAnsi"/>
          <w:bCs/>
          <w:lang w:val="en-GB"/>
        </w:rPr>
        <w:t xml:space="preserve"> cost of Fiasp should be no higher than that of NovoRapid</w:t>
      </w:r>
      <w:r w:rsidR="00FB7429">
        <w:rPr>
          <w:rFonts w:asciiTheme="minorHAnsi" w:hAnsiTheme="minorHAnsi"/>
          <w:bCs/>
          <w:lang w:val="en-GB"/>
        </w:rPr>
        <w:t xml:space="preserve"> for it to be cost-effective</w:t>
      </w:r>
      <w:r w:rsidR="004A605D">
        <w:rPr>
          <w:rFonts w:asciiTheme="minorHAnsi" w:hAnsiTheme="minorHAnsi"/>
          <w:bCs/>
          <w:lang w:val="en-GB"/>
        </w:rPr>
        <w:t xml:space="preserve">. </w:t>
      </w:r>
    </w:p>
    <w:p w:rsidR="002C4027" w:rsidRPr="002C4027" w:rsidRDefault="0065662F" w:rsidP="002C4027">
      <w:pPr>
        <w:numPr>
          <w:ilvl w:val="1"/>
          <w:numId w:val="3"/>
        </w:numPr>
        <w:spacing w:after="120"/>
        <w:rPr>
          <w:rFonts w:asciiTheme="minorHAnsi" w:hAnsiTheme="minorHAnsi"/>
          <w:bCs/>
          <w:lang w:val="en-GB"/>
        </w:rPr>
      </w:pPr>
      <w:r w:rsidRPr="002C4027">
        <w:rPr>
          <w:rFonts w:asciiTheme="minorHAnsi" w:hAnsiTheme="minorHAnsi"/>
          <w:bCs/>
          <w:lang w:val="en-GB"/>
        </w:rPr>
        <w:t>The PBAC considered that the</w:t>
      </w:r>
      <w:r w:rsidR="002C4027" w:rsidRPr="002C4027">
        <w:rPr>
          <w:rFonts w:asciiTheme="minorHAnsi" w:hAnsiTheme="minorHAnsi"/>
          <w:bCs/>
          <w:lang w:val="en-GB"/>
        </w:rPr>
        <w:t xml:space="preserve"> estimated</w:t>
      </w:r>
      <w:r w:rsidRPr="002C4027">
        <w:rPr>
          <w:rFonts w:asciiTheme="minorHAnsi" w:hAnsiTheme="minorHAnsi"/>
          <w:bCs/>
          <w:lang w:val="en-GB"/>
        </w:rPr>
        <w:t xml:space="preserve"> </w:t>
      </w:r>
      <w:r w:rsidR="002C4027" w:rsidRPr="002C4027">
        <w:rPr>
          <w:rFonts w:asciiTheme="minorHAnsi" w:hAnsiTheme="minorHAnsi"/>
          <w:bCs/>
          <w:lang w:val="en-GB"/>
        </w:rPr>
        <w:t>uptake of Fiasp</w:t>
      </w:r>
      <w:r w:rsidRPr="002C4027">
        <w:rPr>
          <w:rFonts w:asciiTheme="minorHAnsi" w:hAnsiTheme="minorHAnsi"/>
          <w:bCs/>
          <w:lang w:val="en-GB"/>
        </w:rPr>
        <w:t xml:space="preserve"> was underestimated in the submission due to </w:t>
      </w:r>
      <w:r w:rsidR="00C71C15" w:rsidRPr="002C4027">
        <w:rPr>
          <w:rFonts w:asciiTheme="minorHAnsi" w:hAnsiTheme="minorHAnsi"/>
          <w:bCs/>
          <w:lang w:val="en-GB"/>
        </w:rPr>
        <w:t>the likelihood of higher substitution rates from the comparator</w:t>
      </w:r>
      <w:r w:rsidR="002C4027" w:rsidRPr="002C4027">
        <w:rPr>
          <w:rFonts w:asciiTheme="minorHAnsi" w:hAnsiTheme="minorHAnsi"/>
          <w:bCs/>
          <w:lang w:val="en-GB"/>
        </w:rPr>
        <w:t>s</w:t>
      </w:r>
      <w:r w:rsidR="00C71C15" w:rsidRPr="002C4027">
        <w:rPr>
          <w:rFonts w:asciiTheme="minorHAnsi" w:hAnsiTheme="minorHAnsi"/>
          <w:bCs/>
          <w:lang w:val="en-GB"/>
        </w:rPr>
        <w:t xml:space="preserve"> than </w:t>
      </w:r>
      <w:r w:rsidR="002C4027" w:rsidRPr="002C4027">
        <w:rPr>
          <w:rFonts w:asciiTheme="minorHAnsi" w:hAnsiTheme="minorHAnsi"/>
          <w:bCs/>
          <w:lang w:val="en-GB"/>
        </w:rPr>
        <w:t>predicted</w:t>
      </w:r>
      <w:r w:rsidR="00C71C15" w:rsidRPr="002C4027">
        <w:rPr>
          <w:rFonts w:asciiTheme="minorHAnsi" w:hAnsiTheme="minorHAnsi"/>
          <w:bCs/>
          <w:lang w:val="en-GB"/>
        </w:rPr>
        <w:t xml:space="preserve"> in the submission</w:t>
      </w:r>
      <w:r w:rsidR="002C4027" w:rsidRPr="002C4027">
        <w:rPr>
          <w:rFonts w:asciiTheme="minorHAnsi" w:hAnsiTheme="minorHAnsi"/>
          <w:bCs/>
          <w:lang w:val="en-GB"/>
        </w:rPr>
        <w:t xml:space="preserve">. </w:t>
      </w:r>
      <w:r w:rsidR="00C71C15" w:rsidRPr="002C4027">
        <w:rPr>
          <w:rFonts w:asciiTheme="minorHAnsi" w:hAnsiTheme="minorHAnsi"/>
          <w:bCs/>
          <w:lang w:val="en-GB"/>
        </w:rPr>
        <w:t xml:space="preserve">The PBAC </w:t>
      </w:r>
      <w:r w:rsidR="002C4027" w:rsidRPr="002C4027">
        <w:rPr>
          <w:rFonts w:asciiTheme="minorHAnsi" w:hAnsiTheme="minorHAnsi"/>
          <w:bCs/>
          <w:lang w:val="en-GB"/>
        </w:rPr>
        <w:t>agreed with the ESC</w:t>
      </w:r>
      <w:r w:rsidR="00C71C15" w:rsidRPr="002C4027">
        <w:rPr>
          <w:rFonts w:asciiTheme="minorHAnsi" w:hAnsiTheme="minorHAnsi"/>
          <w:bCs/>
          <w:lang w:val="en-GB"/>
        </w:rPr>
        <w:t xml:space="preserve"> that utilisation</w:t>
      </w:r>
      <w:r w:rsidRPr="002C4027">
        <w:rPr>
          <w:rFonts w:asciiTheme="minorHAnsi" w:hAnsiTheme="minorHAnsi"/>
          <w:bCs/>
          <w:lang w:val="en-GB"/>
        </w:rPr>
        <w:t xml:space="preserve"> </w:t>
      </w:r>
      <w:r w:rsidRPr="002C4027">
        <w:rPr>
          <w:rFonts w:asciiTheme="minorHAnsi" w:hAnsiTheme="minorHAnsi"/>
          <w:bCs/>
          <w:lang w:val="en-GB"/>
        </w:rPr>
        <w:lastRenderedPageBreak/>
        <w:t>would</w:t>
      </w:r>
      <w:r w:rsidR="002C4027" w:rsidRPr="002C4027">
        <w:rPr>
          <w:rFonts w:asciiTheme="minorHAnsi" w:hAnsiTheme="minorHAnsi"/>
          <w:bCs/>
          <w:lang w:val="en-GB"/>
        </w:rPr>
        <w:t xml:space="preserve"> likely</w:t>
      </w:r>
      <w:r w:rsidRPr="002C4027">
        <w:rPr>
          <w:rFonts w:asciiTheme="minorHAnsi" w:hAnsiTheme="minorHAnsi"/>
          <w:bCs/>
          <w:lang w:val="en-GB"/>
        </w:rPr>
        <w:t xml:space="preserve"> fall between the submission</w:t>
      </w:r>
      <w:r w:rsidR="002C4027" w:rsidRPr="002C4027">
        <w:rPr>
          <w:rFonts w:asciiTheme="minorHAnsi" w:hAnsiTheme="minorHAnsi"/>
          <w:bCs/>
          <w:lang w:val="en-GB"/>
        </w:rPr>
        <w:t xml:space="preserve">’s estimate of 25% substitution at year 6 </w:t>
      </w:r>
      <w:r w:rsidRPr="002C4027">
        <w:rPr>
          <w:rFonts w:asciiTheme="minorHAnsi" w:hAnsiTheme="minorHAnsi"/>
          <w:bCs/>
          <w:lang w:val="en-GB"/>
        </w:rPr>
        <w:t xml:space="preserve">and evaluation </w:t>
      </w:r>
      <w:r w:rsidR="00C71C15" w:rsidRPr="002C4027">
        <w:rPr>
          <w:rFonts w:asciiTheme="minorHAnsi" w:hAnsiTheme="minorHAnsi"/>
          <w:bCs/>
          <w:lang w:val="en-GB"/>
        </w:rPr>
        <w:t>estimate</w:t>
      </w:r>
      <w:r w:rsidR="002C4027" w:rsidRPr="002C4027">
        <w:rPr>
          <w:rFonts w:asciiTheme="minorHAnsi" w:hAnsiTheme="minorHAnsi"/>
          <w:bCs/>
          <w:lang w:val="en-GB"/>
        </w:rPr>
        <w:t xml:space="preserve"> of </w:t>
      </w:r>
      <w:r w:rsidR="00C71C15" w:rsidRPr="002C4027">
        <w:rPr>
          <w:rFonts w:asciiTheme="minorHAnsi" w:hAnsiTheme="minorHAnsi"/>
          <w:bCs/>
          <w:lang w:val="en-GB"/>
        </w:rPr>
        <w:t xml:space="preserve">100% </w:t>
      </w:r>
      <w:r w:rsidR="002C4027" w:rsidRPr="002C4027">
        <w:rPr>
          <w:rFonts w:asciiTheme="minorHAnsi" w:hAnsiTheme="minorHAnsi"/>
          <w:bCs/>
          <w:lang w:val="en-GB"/>
        </w:rPr>
        <w:t xml:space="preserve">substitution </w:t>
      </w:r>
      <w:r w:rsidR="00C71C15" w:rsidRPr="002C4027">
        <w:rPr>
          <w:rFonts w:asciiTheme="minorHAnsi" w:hAnsiTheme="minorHAnsi"/>
          <w:bCs/>
          <w:lang w:val="en-GB"/>
        </w:rPr>
        <w:t>at year 6</w:t>
      </w:r>
      <w:r w:rsidRPr="002C4027">
        <w:rPr>
          <w:rFonts w:asciiTheme="minorHAnsi" w:hAnsiTheme="minorHAnsi"/>
          <w:bCs/>
          <w:lang w:val="en-GB"/>
        </w:rPr>
        <w:t xml:space="preserve">. </w:t>
      </w:r>
    </w:p>
    <w:p w:rsidR="00512524" w:rsidRDefault="00512524" w:rsidP="00512524">
      <w:pPr>
        <w:numPr>
          <w:ilvl w:val="1"/>
          <w:numId w:val="3"/>
        </w:numPr>
        <w:spacing w:after="120"/>
        <w:rPr>
          <w:rFonts w:asciiTheme="minorHAnsi" w:hAnsiTheme="minorHAnsi"/>
          <w:bCs/>
          <w:lang w:val="en-GB"/>
        </w:rPr>
      </w:pPr>
      <w:r w:rsidRPr="001049A9">
        <w:rPr>
          <w:rFonts w:asciiTheme="minorHAnsi" w:hAnsiTheme="minorHAnsi"/>
          <w:bCs/>
          <w:lang w:val="en-GB"/>
        </w:rPr>
        <w:t xml:space="preserve">The PBAC recommend that </w:t>
      </w:r>
      <w:r w:rsidR="002C4027">
        <w:rPr>
          <w:rFonts w:asciiTheme="minorHAnsi" w:hAnsiTheme="minorHAnsi"/>
          <w:bCs/>
          <w:lang w:val="en-GB"/>
        </w:rPr>
        <w:t>insulin aspart</w:t>
      </w:r>
      <w:r>
        <w:rPr>
          <w:rFonts w:asciiTheme="minorHAnsi" w:hAnsiTheme="minorHAnsi"/>
          <w:bCs/>
          <w:lang w:val="en-GB"/>
        </w:rPr>
        <w:t xml:space="preserve"> </w:t>
      </w:r>
      <w:r w:rsidRPr="001049A9">
        <w:rPr>
          <w:rFonts w:asciiTheme="minorHAnsi" w:hAnsiTheme="minorHAnsi"/>
          <w:bCs/>
          <w:lang w:val="en-GB"/>
        </w:rPr>
        <w:t xml:space="preserve">should be treated as interchangeable on an individual patient basis with </w:t>
      </w:r>
      <w:r w:rsidR="002C4027">
        <w:rPr>
          <w:rFonts w:asciiTheme="minorHAnsi" w:hAnsiTheme="minorHAnsi"/>
          <w:bCs/>
          <w:lang w:val="en-GB"/>
        </w:rPr>
        <w:t xml:space="preserve">insulin lispro and insulin glulisine.  </w:t>
      </w:r>
    </w:p>
    <w:p w:rsidR="002C4027" w:rsidRPr="002C4027" w:rsidRDefault="00163FB4" w:rsidP="002C4027">
      <w:pPr>
        <w:numPr>
          <w:ilvl w:val="1"/>
          <w:numId w:val="3"/>
        </w:numPr>
        <w:spacing w:after="120"/>
        <w:rPr>
          <w:rFonts w:asciiTheme="minorHAnsi" w:hAnsiTheme="minorHAnsi"/>
          <w:bCs/>
          <w:lang w:val="en-GB"/>
        </w:rPr>
      </w:pPr>
      <w:r w:rsidRPr="00525B39">
        <w:rPr>
          <w:rFonts w:asciiTheme="minorHAnsi" w:hAnsiTheme="minorHAnsi"/>
          <w:bCs/>
          <w:lang w:val="en-GB"/>
        </w:rPr>
        <w:t xml:space="preserve">The PBAC advised that </w:t>
      </w:r>
      <w:r w:rsidR="00195936">
        <w:rPr>
          <w:rFonts w:asciiTheme="minorHAnsi" w:hAnsiTheme="minorHAnsi"/>
          <w:bCs/>
          <w:lang w:val="en-GB"/>
        </w:rPr>
        <w:t>Fiasp</w:t>
      </w:r>
      <w:r w:rsidR="00A147E2">
        <w:rPr>
          <w:color w:val="000000" w:themeColor="text1"/>
        </w:rPr>
        <w:t xml:space="preserve"> </w:t>
      </w:r>
      <w:r w:rsidRPr="00525B39">
        <w:rPr>
          <w:rFonts w:asciiTheme="minorHAnsi" w:hAnsiTheme="minorHAnsi"/>
          <w:bCs/>
          <w:lang w:val="en-GB"/>
        </w:rPr>
        <w:t>is</w:t>
      </w:r>
      <w:r w:rsidR="00C71C15">
        <w:rPr>
          <w:rFonts w:asciiTheme="minorHAnsi" w:hAnsiTheme="minorHAnsi"/>
          <w:bCs/>
          <w:lang w:val="en-GB"/>
        </w:rPr>
        <w:t xml:space="preserve"> </w:t>
      </w:r>
      <w:r w:rsidRPr="00C71C15">
        <w:rPr>
          <w:rFonts w:asciiTheme="minorHAnsi" w:hAnsiTheme="minorHAnsi"/>
          <w:bCs/>
          <w:lang w:val="en-GB"/>
        </w:rPr>
        <w:t>suitable</w:t>
      </w:r>
      <w:r w:rsidRPr="00525B39">
        <w:rPr>
          <w:rFonts w:asciiTheme="minorHAnsi" w:hAnsiTheme="minorHAnsi"/>
          <w:bCs/>
          <w:lang w:val="en-GB"/>
        </w:rPr>
        <w:t xml:space="preserve"> for prescribing by nurse practitioners.  </w:t>
      </w:r>
    </w:p>
    <w:p w:rsidR="00C71C15" w:rsidRPr="002C4027" w:rsidRDefault="00163FB4" w:rsidP="00512524">
      <w:pPr>
        <w:numPr>
          <w:ilvl w:val="1"/>
          <w:numId w:val="3"/>
        </w:numPr>
        <w:spacing w:after="120"/>
        <w:rPr>
          <w:rFonts w:asciiTheme="minorHAnsi" w:hAnsiTheme="minorHAnsi"/>
          <w:bCs/>
          <w:lang w:val="en-GB"/>
        </w:rPr>
      </w:pPr>
      <w:r w:rsidRPr="002C4027">
        <w:rPr>
          <w:rFonts w:asciiTheme="minorHAnsi" w:hAnsiTheme="minorHAnsi"/>
          <w:bCs/>
          <w:lang w:val="en-GB"/>
        </w:rPr>
        <w:t xml:space="preserve">The PBAC recommended that the Early Supply Rule should apply. </w:t>
      </w:r>
    </w:p>
    <w:p w:rsidR="00A147E2" w:rsidRDefault="00163FB4" w:rsidP="00C71C15">
      <w:pPr>
        <w:numPr>
          <w:ilvl w:val="1"/>
          <w:numId w:val="3"/>
        </w:numPr>
        <w:spacing w:after="120"/>
        <w:rPr>
          <w:rFonts w:asciiTheme="minorHAnsi" w:hAnsiTheme="minorHAnsi"/>
          <w:bCs/>
          <w:lang w:val="en-GB"/>
        </w:rPr>
      </w:pPr>
      <w:r w:rsidRPr="00525B39">
        <w:rPr>
          <w:rFonts w:asciiTheme="minorHAnsi" w:hAnsiTheme="minorHAnsi"/>
          <w:bCs/>
          <w:lang w:val="en-GB"/>
        </w:rPr>
        <w:t>The PBAC noted that this submission is not eligible for an Independent Review</w:t>
      </w:r>
      <w:r w:rsidR="00317B22">
        <w:rPr>
          <w:rFonts w:asciiTheme="minorHAnsi" w:hAnsiTheme="minorHAnsi"/>
          <w:bCs/>
          <w:lang w:val="en-GB"/>
        </w:rPr>
        <w:t xml:space="preserve"> as it received a positive recommendation</w:t>
      </w:r>
      <w:r w:rsidRPr="00525B39">
        <w:rPr>
          <w:rFonts w:asciiTheme="minorHAnsi" w:hAnsiTheme="minorHAnsi"/>
          <w:bCs/>
          <w:lang w:val="en-GB"/>
        </w:rPr>
        <w:t xml:space="preserve">. </w:t>
      </w:r>
    </w:p>
    <w:p w:rsidR="00163FB4" w:rsidRPr="00525B39" w:rsidRDefault="00163FB4" w:rsidP="00163FB4">
      <w:pPr>
        <w:spacing w:before="240"/>
        <w:rPr>
          <w:rFonts w:asciiTheme="minorHAnsi" w:hAnsiTheme="minorHAnsi"/>
          <w:b/>
          <w:bCs/>
          <w:lang w:val="en-GB"/>
        </w:rPr>
      </w:pPr>
      <w:r w:rsidRPr="00525B39">
        <w:rPr>
          <w:rFonts w:asciiTheme="minorHAnsi" w:hAnsiTheme="minorHAnsi"/>
          <w:b/>
          <w:bCs/>
          <w:lang w:val="en-GB"/>
        </w:rPr>
        <w:t>Outcome:</w:t>
      </w:r>
    </w:p>
    <w:p w:rsidR="00163FB4" w:rsidRPr="00525B39" w:rsidRDefault="00163FB4" w:rsidP="00163FB4">
      <w:pPr>
        <w:rPr>
          <w:rFonts w:asciiTheme="minorHAnsi" w:hAnsiTheme="minorHAnsi"/>
          <w:bCs/>
          <w:lang w:val="en-GB"/>
        </w:rPr>
      </w:pPr>
      <w:r w:rsidRPr="00525B39">
        <w:rPr>
          <w:rFonts w:asciiTheme="minorHAnsi" w:hAnsiTheme="minorHAnsi"/>
          <w:bCs/>
          <w:lang w:val="en-GB"/>
        </w:rPr>
        <w:t xml:space="preserve">Recommended </w:t>
      </w:r>
    </w:p>
    <w:p w:rsidR="00163FB4" w:rsidRPr="00525B39" w:rsidRDefault="00163FB4" w:rsidP="00163FB4">
      <w:pPr>
        <w:rPr>
          <w:rFonts w:asciiTheme="minorHAnsi" w:hAnsiTheme="minorHAnsi"/>
          <w:b/>
          <w:bCs/>
        </w:rPr>
      </w:pPr>
    </w:p>
    <w:p w:rsidR="00163FB4" w:rsidRPr="00525B39" w:rsidRDefault="00163FB4" w:rsidP="00235ABF">
      <w:pPr>
        <w:pStyle w:val="Heading1"/>
        <w:rPr>
          <w:i/>
          <w:lang w:val="en-GB"/>
        </w:rPr>
      </w:pPr>
      <w:r w:rsidRPr="00525B39">
        <w:rPr>
          <w:lang w:val="en-GB"/>
        </w:rPr>
        <w:t>Recommended listing</w:t>
      </w:r>
    </w:p>
    <w:p w:rsidR="00163FB4" w:rsidRPr="00C2215F" w:rsidRDefault="00163FB4" w:rsidP="00C2215F">
      <w:pPr>
        <w:numPr>
          <w:ilvl w:val="1"/>
          <w:numId w:val="3"/>
        </w:numPr>
        <w:spacing w:after="120"/>
        <w:rPr>
          <w:rFonts w:asciiTheme="minorHAnsi" w:hAnsiTheme="minorHAnsi"/>
          <w:bCs/>
        </w:rPr>
      </w:pPr>
      <w:r w:rsidRPr="00C2215F">
        <w:rPr>
          <w:rFonts w:asciiTheme="minorHAnsi" w:hAnsiTheme="minorHAnsi"/>
          <w:bCs/>
        </w:rPr>
        <w:t>Add new item:</w:t>
      </w:r>
    </w:p>
    <w:tbl>
      <w:tblPr>
        <w:tblW w:w="9072" w:type="dxa"/>
        <w:tblInd w:w="108" w:type="dxa"/>
        <w:tblLayout w:type="fixed"/>
        <w:tblLook w:val="0000" w:firstRow="0" w:lastRow="0" w:firstColumn="0" w:lastColumn="0" w:noHBand="0" w:noVBand="0"/>
      </w:tblPr>
      <w:tblGrid>
        <w:gridCol w:w="3969"/>
        <w:gridCol w:w="1134"/>
        <w:gridCol w:w="709"/>
        <w:gridCol w:w="1276"/>
        <w:gridCol w:w="1984"/>
      </w:tblGrid>
      <w:tr w:rsidR="00C67577" w:rsidRPr="00284286" w:rsidTr="007F3814">
        <w:trPr>
          <w:cantSplit/>
          <w:trHeight w:val="471"/>
        </w:trPr>
        <w:tc>
          <w:tcPr>
            <w:tcW w:w="3969" w:type="dxa"/>
            <w:tcBorders>
              <w:bottom w:val="single" w:sz="4" w:space="0" w:color="auto"/>
            </w:tcBorders>
          </w:tcPr>
          <w:p w:rsidR="00C67577" w:rsidRPr="00284286" w:rsidRDefault="00C67577" w:rsidP="00C21D67">
            <w:pPr>
              <w:keepNext/>
              <w:widowControl/>
              <w:ind w:left="-108"/>
              <w:rPr>
                <w:sz w:val="20"/>
                <w:szCs w:val="20"/>
              </w:rPr>
            </w:pPr>
            <w:r w:rsidRPr="00284286">
              <w:rPr>
                <w:sz w:val="20"/>
                <w:szCs w:val="20"/>
              </w:rPr>
              <w:t>Name, Restriction,</w:t>
            </w:r>
          </w:p>
          <w:p w:rsidR="00C67577" w:rsidRPr="00284286" w:rsidRDefault="00C67577" w:rsidP="00C21D67">
            <w:pPr>
              <w:keepNext/>
              <w:widowControl/>
              <w:ind w:left="-108"/>
              <w:rPr>
                <w:sz w:val="20"/>
                <w:szCs w:val="20"/>
              </w:rPr>
            </w:pPr>
            <w:r w:rsidRPr="00284286">
              <w:rPr>
                <w:sz w:val="20"/>
                <w:szCs w:val="20"/>
              </w:rPr>
              <w:t>Manner of administration and form</w:t>
            </w:r>
          </w:p>
        </w:tc>
        <w:tc>
          <w:tcPr>
            <w:tcW w:w="1134" w:type="dxa"/>
            <w:tcBorders>
              <w:bottom w:val="single" w:sz="4" w:space="0" w:color="auto"/>
            </w:tcBorders>
          </w:tcPr>
          <w:p w:rsidR="00C67577" w:rsidRPr="00284286" w:rsidRDefault="00C67577" w:rsidP="004029E7">
            <w:pPr>
              <w:keepNext/>
              <w:widowControl/>
              <w:ind w:left="-108"/>
              <w:jc w:val="center"/>
              <w:rPr>
                <w:sz w:val="20"/>
                <w:szCs w:val="20"/>
              </w:rPr>
            </w:pPr>
            <w:r w:rsidRPr="00284286">
              <w:rPr>
                <w:sz w:val="20"/>
                <w:szCs w:val="20"/>
              </w:rPr>
              <w:t>Max.</w:t>
            </w:r>
          </w:p>
          <w:p w:rsidR="00C67577" w:rsidRPr="00284286" w:rsidRDefault="00C67577" w:rsidP="004029E7">
            <w:pPr>
              <w:keepNext/>
              <w:widowControl/>
              <w:ind w:left="-108"/>
              <w:jc w:val="center"/>
              <w:rPr>
                <w:sz w:val="20"/>
                <w:szCs w:val="20"/>
              </w:rPr>
            </w:pPr>
            <w:r w:rsidRPr="00284286">
              <w:rPr>
                <w:sz w:val="20"/>
                <w:szCs w:val="20"/>
              </w:rPr>
              <w:t>Qty</w:t>
            </w:r>
          </w:p>
        </w:tc>
        <w:tc>
          <w:tcPr>
            <w:tcW w:w="709" w:type="dxa"/>
            <w:tcBorders>
              <w:bottom w:val="single" w:sz="4" w:space="0" w:color="auto"/>
            </w:tcBorders>
          </w:tcPr>
          <w:p w:rsidR="00C67577" w:rsidRPr="00284286" w:rsidRDefault="00C67577" w:rsidP="004029E7">
            <w:pPr>
              <w:keepNext/>
              <w:widowControl/>
              <w:ind w:left="-108"/>
              <w:jc w:val="center"/>
              <w:rPr>
                <w:sz w:val="20"/>
                <w:szCs w:val="20"/>
              </w:rPr>
            </w:pPr>
            <w:r w:rsidRPr="00284286">
              <w:rPr>
                <w:sz w:val="20"/>
                <w:szCs w:val="20"/>
              </w:rPr>
              <w:t>№.of</w:t>
            </w:r>
          </w:p>
          <w:p w:rsidR="00C67577" w:rsidRPr="00284286" w:rsidRDefault="00C67577" w:rsidP="004029E7">
            <w:pPr>
              <w:keepNext/>
              <w:widowControl/>
              <w:ind w:left="-108"/>
              <w:jc w:val="center"/>
              <w:rPr>
                <w:sz w:val="20"/>
                <w:szCs w:val="20"/>
              </w:rPr>
            </w:pPr>
            <w:r w:rsidRPr="00284286">
              <w:rPr>
                <w:sz w:val="20"/>
                <w:szCs w:val="20"/>
              </w:rPr>
              <w:t>Rpts</w:t>
            </w:r>
          </w:p>
        </w:tc>
        <w:tc>
          <w:tcPr>
            <w:tcW w:w="3260" w:type="dxa"/>
            <w:gridSpan w:val="2"/>
            <w:tcBorders>
              <w:bottom w:val="single" w:sz="4" w:space="0" w:color="auto"/>
            </w:tcBorders>
          </w:tcPr>
          <w:p w:rsidR="00C67577" w:rsidRPr="00284286" w:rsidRDefault="00C67577" w:rsidP="00C21D67">
            <w:pPr>
              <w:keepNext/>
              <w:widowControl/>
              <w:rPr>
                <w:sz w:val="20"/>
                <w:szCs w:val="20"/>
                <w:lang w:val="fr-FR"/>
              </w:rPr>
            </w:pPr>
            <w:r w:rsidRPr="00284286">
              <w:rPr>
                <w:sz w:val="20"/>
                <w:szCs w:val="20"/>
              </w:rPr>
              <w:t>Proprietary Name and Manufacturer</w:t>
            </w:r>
          </w:p>
        </w:tc>
      </w:tr>
      <w:tr w:rsidR="00C67577" w:rsidRPr="00284286" w:rsidTr="007F3814">
        <w:trPr>
          <w:cantSplit/>
          <w:trHeight w:val="577"/>
        </w:trPr>
        <w:tc>
          <w:tcPr>
            <w:tcW w:w="3969" w:type="dxa"/>
          </w:tcPr>
          <w:p w:rsidR="00C67577" w:rsidRPr="00284286" w:rsidRDefault="00C67577" w:rsidP="00C21D67">
            <w:pPr>
              <w:keepNext/>
              <w:widowControl/>
              <w:rPr>
                <w:rFonts w:ascii="Arial" w:eastAsia="SimSun" w:hAnsi="Arial"/>
                <w:sz w:val="20"/>
                <w:szCs w:val="20"/>
                <w:lang w:eastAsia="zh-CN"/>
              </w:rPr>
            </w:pPr>
            <w:r w:rsidRPr="00284286">
              <w:rPr>
                <w:rFonts w:ascii="Arial" w:eastAsia="SimSun" w:hAnsi="Arial"/>
                <w:smallCaps/>
                <w:sz w:val="20"/>
                <w:szCs w:val="20"/>
                <w:lang w:eastAsia="zh-CN"/>
              </w:rPr>
              <w:t>insulin aspart</w:t>
            </w:r>
            <w:r w:rsidRPr="00284286">
              <w:rPr>
                <w:rFonts w:ascii="Arial" w:eastAsia="SimSun" w:hAnsi="Arial"/>
                <w:sz w:val="20"/>
                <w:szCs w:val="20"/>
                <w:lang w:eastAsia="zh-CN"/>
              </w:rPr>
              <w:t xml:space="preserve"> </w:t>
            </w:r>
          </w:p>
          <w:p w:rsidR="00C67577" w:rsidRPr="00284286" w:rsidRDefault="008221DA" w:rsidP="007E7B27">
            <w:pPr>
              <w:keepNext/>
              <w:widowControl/>
              <w:ind w:left="-108"/>
              <w:rPr>
                <w:rFonts w:ascii="Arial" w:hAnsi="Arial"/>
                <w:sz w:val="20"/>
                <w:szCs w:val="20"/>
              </w:rPr>
            </w:pPr>
            <w:r>
              <w:rPr>
                <w:rFonts w:ascii="Arial" w:eastAsia="SimSun" w:hAnsi="Arial"/>
                <w:sz w:val="20"/>
                <w:szCs w:val="20"/>
                <w:lang w:eastAsia="zh-CN"/>
              </w:rPr>
              <w:t>100 units</w:t>
            </w:r>
            <w:r w:rsidR="007E7B27">
              <w:rPr>
                <w:rFonts w:ascii="Arial" w:eastAsia="SimSun" w:hAnsi="Arial"/>
                <w:sz w:val="20"/>
                <w:szCs w:val="20"/>
                <w:lang w:eastAsia="zh-CN"/>
              </w:rPr>
              <w:t>/</w:t>
            </w:r>
            <w:r w:rsidR="00C67577" w:rsidRPr="00284286">
              <w:rPr>
                <w:rFonts w:ascii="Arial" w:eastAsia="SimSun" w:hAnsi="Arial"/>
                <w:sz w:val="20"/>
                <w:szCs w:val="20"/>
                <w:lang w:eastAsia="zh-CN"/>
              </w:rPr>
              <w:t>mL injection</w:t>
            </w:r>
            <w:r>
              <w:rPr>
                <w:rFonts w:ascii="Arial" w:eastAsia="SimSun" w:hAnsi="Arial"/>
                <w:sz w:val="20"/>
                <w:szCs w:val="20"/>
                <w:lang w:eastAsia="zh-CN"/>
              </w:rPr>
              <w:t xml:space="preserve"> (fast acting)</w:t>
            </w:r>
            <w:r w:rsidR="007E7B27">
              <w:rPr>
                <w:rFonts w:ascii="Arial" w:eastAsia="SimSun" w:hAnsi="Arial"/>
                <w:sz w:val="20"/>
                <w:szCs w:val="20"/>
                <w:lang w:eastAsia="zh-CN"/>
              </w:rPr>
              <w:t xml:space="preserve"> solution, </w:t>
            </w:r>
            <w:r w:rsidR="00C67577" w:rsidRPr="00284286">
              <w:rPr>
                <w:rFonts w:ascii="Arial" w:eastAsia="SimSun" w:hAnsi="Arial"/>
                <w:sz w:val="20"/>
                <w:szCs w:val="20"/>
                <w:lang w:eastAsia="zh-CN"/>
              </w:rPr>
              <w:t>1 x 10 mL vial</w:t>
            </w:r>
          </w:p>
        </w:tc>
        <w:tc>
          <w:tcPr>
            <w:tcW w:w="1134" w:type="dxa"/>
          </w:tcPr>
          <w:p w:rsidR="00C67577" w:rsidRPr="00284286" w:rsidRDefault="004029E7" w:rsidP="004029E7">
            <w:pPr>
              <w:keepNext/>
              <w:widowControl/>
              <w:jc w:val="center"/>
              <w:rPr>
                <w:rFonts w:ascii="Arial" w:hAnsi="Arial"/>
                <w:sz w:val="20"/>
                <w:szCs w:val="20"/>
              </w:rPr>
            </w:pPr>
            <w:r>
              <w:rPr>
                <w:rFonts w:ascii="Arial" w:hAnsi="Arial"/>
                <w:sz w:val="20"/>
                <w:szCs w:val="20"/>
              </w:rPr>
              <w:t>5</w:t>
            </w:r>
          </w:p>
        </w:tc>
        <w:tc>
          <w:tcPr>
            <w:tcW w:w="709" w:type="dxa"/>
          </w:tcPr>
          <w:p w:rsidR="00C67577" w:rsidRPr="00284286" w:rsidRDefault="00C67577" w:rsidP="004029E7">
            <w:pPr>
              <w:keepNext/>
              <w:widowControl/>
              <w:ind w:left="-108"/>
              <w:jc w:val="center"/>
              <w:rPr>
                <w:rFonts w:ascii="Arial" w:hAnsi="Arial"/>
                <w:sz w:val="20"/>
                <w:szCs w:val="20"/>
              </w:rPr>
            </w:pPr>
            <w:r w:rsidRPr="00284286">
              <w:rPr>
                <w:rFonts w:ascii="Arial" w:hAnsi="Arial"/>
                <w:sz w:val="20"/>
                <w:szCs w:val="20"/>
              </w:rPr>
              <w:t>2</w:t>
            </w:r>
          </w:p>
        </w:tc>
        <w:tc>
          <w:tcPr>
            <w:tcW w:w="1276" w:type="dxa"/>
          </w:tcPr>
          <w:p w:rsidR="00C67577" w:rsidRPr="00284286" w:rsidRDefault="00195936" w:rsidP="00E810FE">
            <w:pPr>
              <w:keepNext/>
              <w:widowControl/>
              <w:rPr>
                <w:rFonts w:ascii="Arial" w:hAnsi="Arial"/>
                <w:sz w:val="20"/>
                <w:szCs w:val="20"/>
              </w:rPr>
            </w:pPr>
            <w:r>
              <w:rPr>
                <w:rFonts w:ascii="Arial" w:eastAsia="SimSun" w:hAnsi="Arial"/>
                <w:sz w:val="20"/>
                <w:szCs w:val="20"/>
                <w:lang w:eastAsia="zh-CN"/>
              </w:rPr>
              <w:t>Fiasp</w:t>
            </w:r>
            <w:r w:rsidR="00E810FE" w:rsidRPr="00E810FE">
              <w:rPr>
                <w:rFonts w:ascii="Arial" w:hAnsi="Arial"/>
                <w:sz w:val="20"/>
                <w:szCs w:val="20"/>
                <w:vertAlign w:val="superscript"/>
                <w:lang w:eastAsia="zh-CN"/>
              </w:rPr>
              <w:t>®</w:t>
            </w:r>
          </w:p>
        </w:tc>
        <w:tc>
          <w:tcPr>
            <w:tcW w:w="1984" w:type="dxa"/>
          </w:tcPr>
          <w:p w:rsidR="00C67577" w:rsidRPr="00284286" w:rsidRDefault="00C67577" w:rsidP="00C21D67">
            <w:pPr>
              <w:keepNext/>
              <w:widowControl/>
              <w:rPr>
                <w:rFonts w:ascii="Arial" w:hAnsi="Arial"/>
                <w:sz w:val="20"/>
                <w:szCs w:val="20"/>
              </w:rPr>
            </w:pPr>
            <w:r w:rsidRPr="00284286">
              <w:rPr>
                <w:rFonts w:ascii="Arial" w:eastAsia="SimSun" w:hAnsi="Arial"/>
                <w:sz w:val="20"/>
                <w:szCs w:val="20"/>
                <w:lang w:eastAsia="zh-CN"/>
              </w:rPr>
              <w:t>Novo Nordisk</w:t>
            </w:r>
          </w:p>
        </w:tc>
      </w:tr>
      <w:tr w:rsidR="00C67577" w:rsidRPr="00284286" w:rsidTr="007F3814">
        <w:trPr>
          <w:cantSplit/>
          <w:trHeight w:val="577"/>
        </w:trPr>
        <w:tc>
          <w:tcPr>
            <w:tcW w:w="3969" w:type="dxa"/>
          </w:tcPr>
          <w:p w:rsidR="00C67577" w:rsidRPr="00284286" w:rsidRDefault="00235ABF" w:rsidP="00C21D67">
            <w:pPr>
              <w:keepNext/>
              <w:widowControl/>
              <w:ind w:left="-108"/>
              <w:rPr>
                <w:rFonts w:ascii="Arial" w:eastAsia="SimSun" w:hAnsi="Arial"/>
                <w:sz w:val="20"/>
                <w:szCs w:val="20"/>
                <w:lang w:eastAsia="zh-CN"/>
              </w:rPr>
            </w:pPr>
            <w:r>
              <w:rPr>
                <w:rFonts w:ascii="Arial" w:eastAsia="SimSun" w:hAnsi="Arial"/>
                <w:smallCaps/>
                <w:sz w:val="20"/>
                <w:szCs w:val="20"/>
                <w:lang w:eastAsia="zh-CN"/>
              </w:rPr>
              <w:t xml:space="preserve">   </w:t>
            </w:r>
            <w:r w:rsidR="00C67577" w:rsidRPr="00284286">
              <w:rPr>
                <w:rFonts w:ascii="Arial" w:eastAsia="SimSun" w:hAnsi="Arial"/>
                <w:smallCaps/>
                <w:sz w:val="20"/>
                <w:szCs w:val="20"/>
                <w:lang w:eastAsia="zh-CN"/>
              </w:rPr>
              <w:t>insulin aspart</w:t>
            </w:r>
            <w:r w:rsidR="00C67577" w:rsidRPr="00284286">
              <w:rPr>
                <w:rFonts w:ascii="Arial" w:eastAsia="SimSun" w:hAnsi="Arial"/>
                <w:sz w:val="20"/>
                <w:szCs w:val="20"/>
                <w:lang w:eastAsia="zh-CN"/>
              </w:rPr>
              <w:t xml:space="preserve"> </w:t>
            </w:r>
          </w:p>
          <w:p w:rsidR="00C67577" w:rsidRPr="00284286" w:rsidRDefault="00C67577" w:rsidP="00C21D67">
            <w:pPr>
              <w:keepNext/>
              <w:widowControl/>
              <w:ind w:left="-108"/>
              <w:rPr>
                <w:rFonts w:ascii="Arial" w:hAnsi="Arial"/>
                <w:smallCaps/>
                <w:sz w:val="20"/>
                <w:szCs w:val="20"/>
              </w:rPr>
            </w:pPr>
            <w:r w:rsidRPr="00284286">
              <w:rPr>
                <w:rFonts w:ascii="Arial" w:eastAsia="SimSun" w:hAnsi="Arial"/>
                <w:sz w:val="20"/>
                <w:szCs w:val="20"/>
                <w:lang w:eastAsia="zh-CN"/>
              </w:rPr>
              <w:t>100 units/mL injection</w:t>
            </w:r>
            <w:r w:rsidR="008221DA">
              <w:rPr>
                <w:rFonts w:ascii="Arial" w:eastAsia="SimSun" w:hAnsi="Arial"/>
                <w:sz w:val="20"/>
                <w:szCs w:val="20"/>
                <w:lang w:eastAsia="zh-CN"/>
              </w:rPr>
              <w:t xml:space="preserve"> (fast acting)</w:t>
            </w:r>
            <w:r w:rsidRPr="00284286">
              <w:rPr>
                <w:rFonts w:ascii="Arial" w:eastAsia="SimSun" w:hAnsi="Arial"/>
                <w:sz w:val="20"/>
                <w:szCs w:val="20"/>
                <w:lang w:eastAsia="zh-CN"/>
              </w:rPr>
              <w:t xml:space="preserve"> solution, 5 x 3 mL cartridges</w:t>
            </w:r>
          </w:p>
        </w:tc>
        <w:tc>
          <w:tcPr>
            <w:tcW w:w="1134" w:type="dxa"/>
          </w:tcPr>
          <w:p w:rsidR="004029E7" w:rsidRDefault="004029E7" w:rsidP="004029E7">
            <w:pPr>
              <w:keepNext/>
              <w:widowControl/>
              <w:ind w:left="-108"/>
              <w:jc w:val="center"/>
              <w:rPr>
                <w:rFonts w:ascii="Arial" w:hAnsi="Arial"/>
                <w:sz w:val="20"/>
                <w:szCs w:val="20"/>
              </w:rPr>
            </w:pPr>
            <w:r>
              <w:rPr>
                <w:rFonts w:ascii="Arial" w:hAnsi="Arial"/>
                <w:sz w:val="20"/>
                <w:szCs w:val="20"/>
              </w:rPr>
              <w:t>5</w:t>
            </w:r>
          </w:p>
          <w:p w:rsidR="00C67577" w:rsidRPr="00284286" w:rsidRDefault="00C67577" w:rsidP="004029E7">
            <w:pPr>
              <w:keepNext/>
              <w:widowControl/>
              <w:ind w:left="-108"/>
              <w:jc w:val="center"/>
              <w:rPr>
                <w:rFonts w:ascii="Arial" w:hAnsi="Arial"/>
                <w:sz w:val="20"/>
                <w:szCs w:val="20"/>
              </w:rPr>
            </w:pPr>
          </w:p>
        </w:tc>
        <w:tc>
          <w:tcPr>
            <w:tcW w:w="709" w:type="dxa"/>
          </w:tcPr>
          <w:p w:rsidR="00C67577" w:rsidRPr="00284286" w:rsidRDefault="00C67577" w:rsidP="004029E7">
            <w:pPr>
              <w:keepNext/>
              <w:widowControl/>
              <w:ind w:left="-108"/>
              <w:jc w:val="center"/>
              <w:rPr>
                <w:rFonts w:ascii="Arial" w:hAnsi="Arial"/>
                <w:sz w:val="20"/>
                <w:szCs w:val="20"/>
              </w:rPr>
            </w:pPr>
            <w:r w:rsidRPr="00284286">
              <w:rPr>
                <w:rFonts w:ascii="Arial" w:hAnsi="Arial"/>
                <w:sz w:val="20"/>
                <w:szCs w:val="20"/>
              </w:rPr>
              <w:t>1</w:t>
            </w:r>
          </w:p>
        </w:tc>
        <w:tc>
          <w:tcPr>
            <w:tcW w:w="1276" w:type="dxa"/>
          </w:tcPr>
          <w:p w:rsidR="00C67577" w:rsidRPr="00284286" w:rsidRDefault="00195936" w:rsidP="00C21D67">
            <w:pPr>
              <w:keepNext/>
              <w:widowControl/>
              <w:rPr>
                <w:rFonts w:ascii="Arial" w:hAnsi="Arial"/>
                <w:sz w:val="20"/>
                <w:szCs w:val="20"/>
              </w:rPr>
            </w:pPr>
            <w:r>
              <w:rPr>
                <w:rFonts w:ascii="Arial" w:eastAsia="SimSun" w:hAnsi="Arial"/>
                <w:sz w:val="20"/>
                <w:szCs w:val="20"/>
                <w:lang w:eastAsia="zh-CN"/>
              </w:rPr>
              <w:t>Fiasp</w:t>
            </w:r>
            <w:r w:rsidR="00C67577" w:rsidRPr="00284286">
              <w:rPr>
                <w:rFonts w:ascii="Arial" w:hAnsi="Arial"/>
                <w:sz w:val="20"/>
                <w:szCs w:val="20"/>
                <w:lang w:eastAsia="zh-CN"/>
              </w:rPr>
              <w:t xml:space="preserve"> Penfill</w:t>
            </w:r>
            <w:r w:rsidR="00C67577" w:rsidRPr="00E810FE">
              <w:rPr>
                <w:rFonts w:ascii="Arial" w:hAnsi="Arial"/>
                <w:sz w:val="20"/>
                <w:szCs w:val="20"/>
                <w:vertAlign w:val="superscript"/>
                <w:lang w:eastAsia="zh-CN"/>
              </w:rPr>
              <w:t>®</w:t>
            </w:r>
          </w:p>
        </w:tc>
        <w:tc>
          <w:tcPr>
            <w:tcW w:w="1984" w:type="dxa"/>
          </w:tcPr>
          <w:p w:rsidR="00C67577" w:rsidRPr="00284286" w:rsidRDefault="00C67577" w:rsidP="00C21D67">
            <w:pPr>
              <w:keepNext/>
              <w:widowControl/>
              <w:rPr>
                <w:rFonts w:ascii="Arial" w:hAnsi="Arial"/>
                <w:sz w:val="20"/>
                <w:szCs w:val="20"/>
              </w:rPr>
            </w:pPr>
            <w:r w:rsidRPr="00284286">
              <w:rPr>
                <w:rFonts w:ascii="Arial" w:eastAsia="SimSun" w:hAnsi="Arial"/>
                <w:sz w:val="20"/>
                <w:szCs w:val="20"/>
                <w:lang w:eastAsia="zh-CN"/>
              </w:rPr>
              <w:t>Novo Nordisk</w:t>
            </w:r>
          </w:p>
        </w:tc>
      </w:tr>
      <w:tr w:rsidR="00C67577" w:rsidRPr="00284286" w:rsidTr="007F3814">
        <w:trPr>
          <w:cantSplit/>
          <w:trHeight w:val="577"/>
        </w:trPr>
        <w:tc>
          <w:tcPr>
            <w:tcW w:w="3969" w:type="dxa"/>
          </w:tcPr>
          <w:p w:rsidR="00C67577" w:rsidRPr="00284286" w:rsidRDefault="00235ABF" w:rsidP="00C21D67">
            <w:pPr>
              <w:keepNext/>
              <w:widowControl/>
              <w:ind w:left="-108"/>
              <w:rPr>
                <w:rFonts w:ascii="Arial" w:eastAsia="SimSun" w:hAnsi="Arial"/>
                <w:sz w:val="20"/>
                <w:szCs w:val="20"/>
                <w:lang w:eastAsia="zh-CN"/>
              </w:rPr>
            </w:pPr>
            <w:r>
              <w:rPr>
                <w:rFonts w:ascii="Arial" w:eastAsia="SimSun" w:hAnsi="Arial"/>
                <w:smallCaps/>
                <w:sz w:val="20"/>
                <w:szCs w:val="20"/>
                <w:lang w:eastAsia="zh-CN"/>
              </w:rPr>
              <w:t xml:space="preserve">   </w:t>
            </w:r>
            <w:r w:rsidR="00C67577" w:rsidRPr="00284286">
              <w:rPr>
                <w:rFonts w:ascii="Arial" w:eastAsia="SimSun" w:hAnsi="Arial"/>
                <w:smallCaps/>
                <w:sz w:val="20"/>
                <w:szCs w:val="20"/>
                <w:lang w:eastAsia="zh-CN"/>
              </w:rPr>
              <w:t>insulin aspart</w:t>
            </w:r>
            <w:r w:rsidR="00C67577" w:rsidRPr="00284286">
              <w:rPr>
                <w:rFonts w:ascii="Arial" w:eastAsia="SimSun" w:hAnsi="Arial"/>
                <w:sz w:val="20"/>
                <w:szCs w:val="20"/>
                <w:lang w:eastAsia="zh-CN"/>
              </w:rPr>
              <w:t xml:space="preserve"> </w:t>
            </w:r>
          </w:p>
          <w:p w:rsidR="00C67577" w:rsidRPr="00284286" w:rsidRDefault="00C67577" w:rsidP="00C21D67">
            <w:pPr>
              <w:keepNext/>
              <w:widowControl/>
              <w:ind w:left="-108"/>
              <w:rPr>
                <w:rFonts w:ascii="Arial" w:eastAsia="SimSun" w:hAnsi="Arial"/>
                <w:smallCaps/>
                <w:sz w:val="20"/>
                <w:szCs w:val="20"/>
                <w:lang w:eastAsia="zh-CN"/>
              </w:rPr>
            </w:pPr>
            <w:r w:rsidRPr="00284286">
              <w:rPr>
                <w:rFonts w:ascii="Arial" w:eastAsia="SimSun" w:hAnsi="Arial"/>
                <w:sz w:val="20"/>
                <w:szCs w:val="20"/>
                <w:lang w:eastAsia="zh-CN"/>
              </w:rPr>
              <w:t>100 units/mL injection</w:t>
            </w:r>
            <w:r w:rsidR="008221DA">
              <w:rPr>
                <w:rFonts w:ascii="Arial" w:eastAsia="SimSun" w:hAnsi="Arial"/>
                <w:sz w:val="20"/>
                <w:szCs w:val="20"/>
                <w:lang w:eastAsia="zh-CN"/>
              </w:rPr>
              <w:t xml:space="preserve"> (fast acting)</w:t>
            </w:r>
            <w:r w:rsidRPr="00284286">
              <w:rPr>
                <w:rFonts w:ascii="Arial" w:eastAsia="SimSun" w:hAnsi="Arial"/>
                <w:sz w:val="20"/>
                <w:szCs w:val="20"/>
                <w:lang w:eastAsia="zh-CN"/>
              </w:rPr>
              <w:t xml:space="preserve"> solution, 5 x 3 mL injection devices</w:t>
            </w:r>
          </w:p>
        </w:tc>
        <w:tc>
          <w:tcPr>
            <w:tcW w:w="1134" w:type="dxa"/>
          </w:tcPr>
          <w:p w:rsidR="00C67577" w:rsidRPr="00284286" w:rsidRDefault="00C67577" w:rsidP="004029E7">
            <w:pPr>
              <w:keepNext/>
              <w:widowControl/>
              <w:ind w:left="-108"/>
              <w:jc w:val="center"/>
              <w:rPr>
                <w:rFonts w:ascii="Arial" w:hAnsi="Arial"/>
                <w:sz w:val="20"/>
                <w:szCs w:val="20"/>
              </w:rPr>
            </w:pPr>
            <w:r w:rsidRPr="00284286">
              <w:rPr>
                <w:rFonts w:ascii="Arial" w:hAnsi="Arial"/>
                <w:sz w:val="20"/>
                <w:szCs w:val="20"/>
              </w:rPr>
              <w:t>5</w:t>
            </w:r>
          </w:p>
        </w:tc>
        <w:tc>
          <w:tcPr>
            <w:tcW w:w="709" w:type="dxa"/>
          </w:tcPr>
          <w:p w:rsidR="00C67577" w:rsidRPr="00284286" w:rsidRDefault="00C67577" w:rsidP="004029E7">
            <w:pPr>
              <w:keepNext/>
              <w:widowControl/>
              <w:ind w:left="-108"/>
              <w:jc w:val="center"/>
              <w:rPr>
                <w:rFonts w:ascii="Arial" w:hAnsi="Arial"/>
                <w:sz w:val="20"/>
                <w:szCs w:val="20"/>
              </w:rPr>
            </w:pPr>
            <w:r w:rsidRPr="00284286">
              <w:rPr>
                <w:rFonts w:ascii="Arial" w:hAnsi="Arial"/>
                <w:sz w:val="20"/>
                <w:szCs w:val="20"/>
              </w:rPr>
              <w:t>1</w:t>
            </w:r>
          </w:p>
        </w:tc>
        <w:tc>
          <w:tcPr>
            <w:tcW w:w="1276" w:type="dxa"/>
          </w:tcPr>
          <w:p w:rsidR="00E810FE" w:rsidRDefault="00195936" w:rsidP="00C21D67">
            <w:pPr>
              <w:keepNext/>
              <w:widowControl/>
              <w:rPr>
                <w:rFonts w:ascii="Arial" w:hAnsi="Arial"/>
                <w:sz w:val="20"/>
                <w:szCs w:val="20"/>
                <w:lang w:eastAsia="zh-CN"/>
              </w:rPr>
            </w:pPr>
            <w:r>
              <w:rPr>
                <w:rFonts w:ascii="Arial" w:eastAsia="SimSun" w:hAnsi="Arial"/>
                <w:sz w:val="20"/>
                <w:szCs w:val="20"/>
                <w:lang w:eastAsia="zh-CN"/>
              </w:rPr>
              <w:t>Fiasp</w:t>
            </w:r>
          </w:p>
          <w:p w:rsidR="00C67577" w:rsidRPr="00284286" w:rsidRDefault="00C67577" w:rsidP="00C21D67">
            <w:pPr>
              <w:keepNext/>
              <w:widowControl/>
              <w:rPr>
                <w:rFonts w:ascii="Arial" w:eastAsia="SimSun" w:hAnsi="Arial"/>
                <w:sz w:val="20"/>
                <w:szCs w:val="20"/>
                <w:lang w:eastAsia="zh-CN"/>
              </w:rPr>
            </w:pPr>
            <w:r w:rsidRPr="00284286">
              <w:rPr>
                <w:rFonts w:ascii="Arial" w:hAnsi="Arial"/>
                <w:sz w:val="20"/>
                <w:szCs w:val="20"/>
                <w:lang w:eastAsia="zh-CN"/>
              </w:rPr>
              <w:t>FlexTouch</w:t>
            </w:r>
            <w:r w:rsidRPr="00E810FE">
              <w:rPr>
                <w:rFonts w:ascii="Arial" w:hAnsi="Arial"/>
                <w:sz w:val="20"/>
                <w:szCs w:val="20"/>
                <w:vertAlign w:val="superscript"/>
                <w:lang w:eastAsia="zh-CN"/>
              </w:rPr>
              <w:t>®</w:t>
            </w:r>
          </w:p>
        </w:tc>
        <w:tc>
          <w:tcPr>
            <w:tcW w:w="1984" w:type="dxa"/>
          </w:tcPr>
          <w:p w:rsidR="00C67577" w:rsidRPr="00284286" w:rsidRDefault="00C67577" w:rsidP="00C21D67">
            <w:pPr>
              <w:keepNext/>
              <w:widowControl/>
              <w:rPr>
                <w:rFonts w:ascii="Arial" w:eastAsia="SimSun" w:hAnsi="Arial"/>
                <w:sz w:val="20"/>
                <w:szCs w:val="20"/>
                <w:lang w:eastAsia="zh-CN"/>
              </w:rPr>
            </w:pPr>
            <w:r w:rsidRPr="00284286">
              <w:rPr>
                <w:rFonts w:ascii="Arial" w:eastAsia="SimSun" w:hAnsi="Arial"/>
                <w:sz w:val="20"/>
                <w:szCs w:val="20"/>
                <w:lang w:eastAsia="zh-CN"/>
              </w:rPr>
              <w:t>Novo Nordisk</w:t>
            </w:r>
          </w:p>
        </w:tc>
      </w:tr>
    </w:tbl>
    <w:p w:rsidR="00C2215F" w:rsidRDefault="00C2215F" w:rsidP="00163FB4">
      <w:pPr>
        <w:pStyle w:val="ListParagraph"/>
        <w:ind w:left="360"/>
        <w:rPr>
          <w:rFonts w:cs="Calibri"/>
        </w:rPr>
      </w:pPr>
    </w:p>
    <w:tbl>
      <w:tblPr>
        <w:tblStyle w:val="TableGrid"/>
        <w:tblW w:w="5000" w:type="pct"/>
        <w:tblLook w:val="04A0" w:firstRow="1" w:lastRow="0" w:firstColumn="1" w:lastColumn="0" w:noHBand="0" w:noVBand="1"/>
        <w:tblCaption w:val="category"/>
      </w:tblPr>
      <w:tblGrid>
        <w:gridCol w:w="2660"/>
        <w:gridCol w:w="6583"/>
      </w:tblGrid>
      <w:tr w:rsidR="007F3814" w:rsidTr="00673F28">
        <w:trPr>
          <w:cantSplit/>
          <w:tblHeader/>
        </w:trPr>
        <w:tc>
          <w:tcPr>
            <w:tcW w:w="1439" w:type="pct"/>
          </w:tcPr>
          <w:p w:rsidR="007F3814" w:rsidRPr="00E7296D" w:rsidRDefault="007F3814" w:rsidP="007F3814">
            <w:pPr>
              <w:rPr>
                <w:rFonts w:ascii="Arial Narrow" w:hAnsi="Arial Narrow"/>
                <w:b/>
                <w:sz w:val="20"/>
                <w:szCs w:val="20"/>
              </w:rPr>
            </w:pPr>
            <w:r w:rsidRPr="00E7296D">
              <w:rPr>
                <w:rFonts w:ascii="Arial Narrow" w:hAnsi="Arial Narrow"/>
                <w:b/>
                <w:sz w:val="20"/>
                <w:szCs w:val="20"/>
              </w:rPr>
              <w:t xml:space="preserve">Category / </w:t>
            </w:r>
          </w:p>
          <w:p w:rsidR="007F3814" w:rsidRDefault="007F3814" w:rsidP="007F3814">
            <w:pPr>
              <w:widowControl/>
              <w:jc w:val="left"/>
              <w:rPr>
                <w:rFonts w:cs="Calibri"/>
              </w:rPr>
            </w:pPr>
            <w:r w:rsidRPr="00E7296D">
              <w:rPr>
                <w:rFonts w:ascii="Arial Narrow" w:hAnsi="Arial Narrow"/>
                <w:b/>
                <w:sz w:val="20"/>
                <w:szCs w:val="20"/>
              </w:rPr>
              <w:t>Program</w:t>
            </w:r>
          </w:p>
        </w:tc>
        <w:tc>
          <w:tcPr>
            <w:tcW w:w="3561" w:type="pct"/>
          </w:tcPr>
          <w:p w:rsidR="007F3814" w:rsidRDefault="007F3814" w:rsidP="007F3814">
            <w:pPr>
              <w:widowControl/>
              <w:jc w:val="left"/>
              <w:rPr>
                <w:rFonts w:cs="Calibri"/>
              </w:rPr>
            </w:pPr>
            <w:r w:rsidRPr="00E7296D">
              <w:rPr>
                <w:rFonts w:ascii="Arial Narrow" w:hAnsi="Arial Narrow"/>
                <w:sz w:val="20"/>
                <w:szCs w:val="20"/>
              </w:rPr>
              <w:t>GENERAL – General Schedule (Code GE)</w:t>
            </w:r>
          </w:p>
        </w:tc>
      </w:tr>
      <w:tr w:rsidR="007F3814" w:rsidTr="007603C6">
        <w:tc>
          <w:tcPr>
            <w:tcW w:w="1439" w:type="pct"/>
          </w:tcPr>
          <w:p w:rsidR="007F3814" w:rsidRDefault="007F3814" w:rsidP="007F3814">
            <w:pPr>
              <w:widowControl/>
              <w:jc w:val="left"/>
              <w:rPr>
                <w:rFonts w:cs="Calibri"/>
              </w:rPr>
            </w:pPr>
            <w:r w:rsidRPr="00E7296D">
              <w:rPr>
                <w:rFonts w:ascii="Arial Narrow" w:hAnsi="Arial Narrow"/>
                <w:b/>
                <w:sz w:val="20"/>
                <w:szCs w:val="20"/>
              </w:rPr>
              <w:t>Prescriber type:</w:t>
            </w:r>
          </w:p>
        </w:tc>
        <w:tc>
          <w:tcPr>
            <w:tcW w:w="3561" w:type="pct"/>
          </w:tcPr>
          <w:p w:rsidR="007F3814" w:rsidRPr="00E810FE" w:rsidRDefault="007F3814" w:rsidP="007F3814">
            <w:pPr>
              <w:rPr>
                <w:rFonts w:ascii="Arial Narrow" w:hAnsi="Arial Narrow"/>
                <w:sz w:val="20"/>
                <w:szCs w:val="20"/>
              </w:rPr>
            </w:pPr>
            <w:r w:rsidRPr="00E810FE">
              <w:rPr>
                <w:rFonts w:ascii="Arial Narrow" w:hAnsi="Arial Narrow"/>
                <w:sz w:val="20"/>
                <w:szCs w:val="20"/>
              </w:rPr>
              <w:fldChar w:fldCharType="begin">
                <w:ffData>
                  <w:name w:val="Check1"/>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 xml:space="preserve">Dental  </w:t>
            </w:r>
            <w:r w:rsidRPr="00E810FE">
              <w:rPr>
                <w:rFonts w:ascii="Arial Narrow" w:hAnsi="Arial Narrow"/>
                <w:sz w:val="20"/>
                <w:szCs w:val="20"/>
              </w:rPr>
              <w:fldChar w:fldCharType="begin">
                <w:ffData>
                  <w:name w:val=""/>
                  <w:enabled/>
                  <w:calcOnExit w:val="0"/>
                  <w:checkBox>
                    <w:sizeAuto/>
                    <w:default w:val="1"/>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 xml:space="preserve">Medical Practitioners  </w:t>
            </w:r>
            <w:r w:rsidRPr="00E810FE">
              <w:rPr>
                <w:rFonts w:ascii="Arial Narrow" w:hAnsi="Arial Narrow"/>
                <w:sz w:val="20"/>
                <w:szCs w:val="20"/>
              </w:rPr>
              <w:fldChar w:fldCharType="begin">
                <w:ffData>
                  <w:name w:val="Check3"/>
                  <w:enabled/>
                  <w:calcOnExit w:val="0"/>
                  <w:checkBox>
                    <w:sizeAuto/>
                    <w:default w:val="1"/>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 xml:space="preserve">Nurse practitioners  </w:t>
            </w:r>
            <w:r w:rsidRPr="00E810FE">
              <w:rPr>
                <w:rFonts w:ascii="Arial Narrow" w:hAnsi="Arial Narrow"/>
                <w:sz w:val="20"/>
                <w:szCs w:val="20"/>
              </w:rPr>
              <w:fldChar w:fldCharType="begin">
                <w:ffData>
                  <w:name w:val=""/>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Optometrists</w:t>
            </w:r>
          </w:p>
          <w:p w:rsidR="007F3814" w:rsidRPr="00E810FE" w:rsidRDefault="007F3814" w:rsidP="007F3814">
            <w:pPr>
              <w:widowControl/>
              <w:jc w:val="left"/>
              <w:rPr>
                <w:rFonts w:cs="Calibri"/>
              </w:rPr>
            </w:pPr>
            <w:r w:rsidRPr="00E810FE">
              <w:rPr>
                <w:rFonts w:ascii="Arial Narrow" w:hAnsi="Arial Narrow"/>
                <w:sz w:val="20"/>
                <w:szCs w:val="20"/>
              </w:rPr>
              <w:fldChar w:fldCharType="begin">
                <w:ffData>
                  <w:name w:val="Check5"/>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Midwives</w:t>
            </w:r>
          </w:p>
        </w:tc>
      </w:tr>
      <w:tr w:rsidR="007F3814" w:rsidTr="007603C6">
        <w:tc>
          <w:tcPr>
            <w:tcW w:w="1439" w:type="pct"/>
          </w:tcPr>
          <w:p w:rsidR="007F3814" w:rsidRPr="00E7296D" w:rsidRDefault="007F3814" w:rsidP="007F3814">
            <w:pPr>
              <w:rPr>
                <w:rFonts w:ascii="Arial Narrow" w:hAnsi="Arial Narrow"/>
                <w:i/>
                <w:sz w:val="20"/>
                <w:szCs w:val="20"/>
              </w:rPr>
            </w:pPr>
            <w:r w:rsidRPr="00E7296D">
              <w:rPr>
                <w:rFonts w:ascii="Arial Narrow" w:hAnsi="Arial Narrow"/>
                <w:b/>
                <w:sz w:val="20"/>
                <w:szCs w:val="20"/>
              </w:rPr>
              <w:t>Restriction Level / Method:</w:t>
            </w:r>
          </w:p>
          <w:p w:rsidR="007F3814" w:rsidRPr="00E7296D" w:rsidRDefault="007F3814" w:rsidP="007F3814">
            <w:pPr>
              <w:rPr>
                <w:rFonts w:ascii="Arial Narrow" w:hAnsi="Arial Narrow"/>
                <w:i/>
                <w:sz w:val="20"/>
                <w:szCs w:val="20"/>
              </w:rPr>
            </w:pPr>
          </w:p>
          <w:p w:rsidR="007F3814" w:rsidRDefault="007F3814" w:rsidP="007F3814">
            <w:pPr>
              <w:widowControl/>
              <w:jc w:val="left"/>
              <w:rPr>
                <w:rFonts w:cs="Calibri"/>
              </w:rPr>
            </w:pPr>
          </w:p>
        </w:tc>
        <w:tc>
          <w:tcPr>
            <w:tcW w:w="3561" w:type="pct"/>
          </w:tcPr>
          <w:p w:rsidR="007F3814" w:rsidRPr="00E810FE" w:rsidRDefault="007F3814" w:rsidP="007F3814">
            <w:pPr>
              <w:rPr>
                <w:rFonts w:ascii="Arial Narrow" w:hAnsi="Arial Narrow"/>
                <w:sz w:val="20"/>
                <w:szCs w:val="20"/>
              </w:rPr>
            </w:pPr>
            <w:r w:rsidRPr="00E810FE">
              <w:rPr>
                <w:rFonts w:ascii="Arial Narrow" w:hAnsi="Arial Narrow"/>
                <w:sz w:val="20"/>
                <w:szCs w:val="20"/>
              </w:rPr>
              <w:fldChar w:fldCharType="begin">
                <w:ffData>
                  <w:name w:val="Check1"/>
                  <w:enabled/>
                  <w:calcOnExit w:val="0"/>
                  <w:checkBox>
                    <w:sizeAuto/>
                    <w:default w:val="1"/>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Unrestricted</w:t>
            </w:r>
          </w:p>
          <w:p w:rsidR="007F3814" w:rsidRPr="00E810FE" w:rsidRDefault="007F3814" w:rsidP="007F3814">
            <w:pPr>
              <w:rPr>
                <w:rFonts w:ascii="Arial Narrow" w:hAnsi="Arial Narrow"/>
                <w:sz w:val="20"/>
                <w:szCs w:val="20"/>
              </w:rPr>
            </w:pPr>
            <w:r w:rsidRPr="00E810FE">
              <w:rPr>
                <w:rFonts w:ascii="Arial Narrow" w:hAnsi="Arial Narrow"/>
                <w:sz w:val="20"/>
                <w:szCs w:val="20"/>
              </w:rPr>
              <w:fldChar w:fldCharType="begin">
                <w:ffData>
                  <w:name w:val="Check1"/>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Restricted benefit</w:t>
            </w:r>
          </w:p>
          <w:p w:rsidR="007F3814" w:rsidRPr="00E810FE" w:rsidRDefault="007F3814" w:rsidP="007F3814">
            <w:pPr>
              <w:rPr>
                <w:rFonts w:ascii="Arial Narrow" w:hAnsi="Arial Narrow"/>
                <w:sz w:val="20"/>
                <w:szCs w:val="20"/>
              </w:rPr>
            </w:pPr>
            <w:r w:rsidRPr="00E810FE">
              <w:rPr>
                <w:rFonts w:ascii="Arial Narrow" w:hAnsi="Arial Narrow"/>
                <w:sz w:val="20"/>
                <w:szCs w:val="20"/>
              </w:rPr>
              <w:fldChar w:fldCharType="begin">
                <w:ffData>
                  <w:name w:val=""/>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Authority Required - In Writing</w:t>
            </w:r>
          </w:p>
          <w:p w:rsidR="007F3814" w:rsidRPr="00E810FE" w:rsidRDefault="007F3814" w:rsidP="007F3814">
            <w:pPr>
              <w:rPr>
                <w:rFonts w:ascii="Arial Narrow" w:hAnsi="Arial Narrow"/>
                <w:sz w:val="20"/>
                <w:szCs w:val="20"/>
              </w:rPr>
            </w:pPr>
            <w:r w:rsidRPr="00E810FE">
              <w:rPr>
                <w:rFonts w:ascii="Arial Narrow" w:hAnsi="Arial Narrow"/>
                <w:sz w:val="20"/>
                <w:szCs w:val="20"/>
              </w:rPr>
              <w:fldChar w:fldCharType="begin">
                <w:ffData>
                  <w:name w:val="Check3"/>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Authority Required - Telephone</w:t>
            </w:r>
          </w:p>
          <w:p w:rsidR="007F3814" w:rsidRPr="00E810FE" w:rsidRDefault="007F3814" w:rsidP="007F3814">
            <w:pPr>
              <w:rPr>
                <w:rFonts w:ascii="Arial Narrow" w:hAnsi="Arial Narrow"/>
                <w:sz w:val="20"/>
                <w:szCs w:val="20"/>
              </w:rPr>
            </w:pPr>
            <w:r w:rsidRPr="00E810FE">
              <w:rPr>
                <w:rFonts w:ascii="Arial Narrow" w:hAnsi="Arial Narrow"/>
                <w:sz w:val="20"/>
                <w:szCs w:val="20"/>
              </w:rPr>
              <w:fldChar w:fldCharType="begin">
                <w:ffData>
                  <w:name w:val=""/>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Authority Required - Emergency</w:t>
            </w:r>
          </w:p>
          <w:p w:rsidR="007F3814" w:rsidRPr="00E810FE" w:rsidRDefault="007F3814" w:rsidP="007F3814">
            <w:pPr>
              <w:rPr>
                <w:rFonts w:ascii="Arial Narrow" w:hAnsi="Arial Narrow"/>
                <w:sz w:val="20"/>
                <w:szCs w:val="20"/>
              </w:rPr>
            </w:pPr>
            <w:r w:rsidRPr="00E810FE">
              <w:rPr>
                <w:rFonts w:ascii="Arial Narrow" w:hAnsi="Arial Narrow"/>
                <w:sz w:val="20"/>
                <w:szCs w:val="20"/>
              </w:rPr>
              <w:fldChar w:fldCharType="begin">
                <w:ffData>
                  <w:name w:val="Check5"/>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Authority Required - Electronic</w:t>
            </w:r>
          </w:p>
          <w:p w:rsidR="007F3814" w:rsidRPr="00E810FE" w:rsidRDefault="007F3814" w:rsidP="007F3814">
            <w:pPr>
              <w:widowControl/>
              <w:jc w:val="left"/>
              <w:rPr>
                <w:rFonts w:cs="Calibri"/>
              </w:rPr>
            </w:pPr>
            <w:r w:rsidRPr="00E810FE">
              <w:rPr>
                <w:rFonts w:ascii="Arial Narrow" w:hAnsi="Arial Narrow"/>
                <w:sz w:val="20"/>
                <w:szCs w:val="20"/>
              </w:rPr>
              <w:fldChar w:fldCharType="begin">
                <w:ffData>
                  <w:name w:val="Check5"/>
                  <w:enabled/>
                  <w:calcOnExit w:val="0"/>
                  <w:checkBox>
                    <w:sizeAuto/>
                    <w:default w:val="0"/>
                  </w:checkBox>
                </w:ffData>
              </w:fldChar>
            </w:r>
            <w:r w:rsidRPr="00E810FE">
              <w:rPr>
                <w:rFonts w:ascii="Arial Narrow" w:hAnsi="Arial Narrow"/>
                <w:sz w:val="20"/>
                <w:szCs w:val="20"/>
              </w:rPr>
              <w:instrText xml:space="preserve"> FORMCHECKBOX </w:instrText>
            </w:r>
            <w:r w:rsidR="000D10DC">
              <w:rPr>
                <w:rFonts w:ascii="Arial Narrow" w:hAnsi="Arial Narrow"/>
                <w:sz w:val="20"/>
                <w:szCs w:val="20"/>
              </w:rPr>
            </w:r>
            <w:r w:rsidR="000D10DC">
              <w:rPr>
                <w:rFonts w:ascii="Arial Narrow" w:hAnsi="Arial Narrow"/>
                <w:sz w:val="20"/>
                <w:szCs w:val="20"/>
              </w:rPr>
              <w:fldChar w:fldCharType="separate"/>
            </w:r>
            <w:r w:rsidRPr="00E810FE">
              <w:rPr>
                <w:rFonts w:ascii="Arial Narrow" w:hAnsi="Arial Narrow"/>
                <w:sz w:val="20"/>
                <w:szCs w:val="20"/>
              </w:rPr>
              <w:fldChar w:fldCharType="end"/>
            </w:r>
            <w:r w:rsidRPr="00E810FE">
              <w:rPr>
                <w:rFonts w:ascii="Arial Narrow" w:hAnsi="Arial Narrow"/>
                <w:sz w:val="20"/>
                <w:szCs w:val="20"/>
              </w:rPr>
              <w:t>Streamlined</w:t>
            </w:r>
          </w:p>
        </w:tc>
      </w:tr>
    </w:tbl>
    <w:p w:rsidR="003A38F7" w:rsidRDefault="003A38F7" w:rsidP="007B0BFA">
      <w:pPr>
        <w:widowControl/>
        <w:jc w:val="left"/>
      </w:pPr>
    </w:p>
    <w:p w:rsidR="00673F28" w:rsidRDefault="00673F28">
      <w:pPr>
        <w:widowControl/>
        <w:jc w:val="left"/>
        <w:rPr>
          <w:rFonts w:asciiTheme="minorHAnsi" w:hAnsiTheme="minorHAnsi"/>
          <w:b/>
          <w:sz w:val="32"/>
        </w:rPr>
      </w:pPr>
      <w:r>
        <w:rPr>
          <w:rFonts w:asciiTheme="minorHAnsi" w:hAnsiTheme="minorHAnsi"/>
        </w:rPr>
        <w:br w:type="page"/>
      </w:r>
    </w:p>
    <w:p w:rsidR="002C160D" w:rsidRPr="007603C6" w:rsidRDefault="002C160D" w:rsidP="007603C6">
      <w:pPr>
        <w:pStyle w:val="Heading1"/>
        <w:rPr>
          <w:rFonts w:asciiTheme="minorHAnsi" w:hAnsiTheme="minorHAnsi"/>
        </w:rPr>
      </w:pPr>
      <w:r w:rsidRPr="007603C6">
        <w:rPr>
          <w:rFonts w:asciiTheme="minorHAnsi" w:hAnsiTheme="minorHAnsi"/>
        </w:rPr>
        <w:lastRenderedPageBreak/>
        <w:t>Context for Decision</w:t>
      </w:r>
    </w:p>
    <w:p w:rsidR="002C160D" w:rsidRPr="00C07617" w:rsidRDefault="002C160D" w:rsidP="007603C6">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C160D" w:rsidRDefault="002C160D" w:rsidP="002C160D">
      <w:pPr>
        <w:ind w:left="426"/>
        <w:rPr>
          <w:rFonts w:ascii="Arial" w:hAnsi="Arial"/>
          <w:sz w:val="22"/>
        </w:rPr>
      </w:pPr>
    </w:p>
    <w:p w:rsidR="002C160D" w:rsidRPr="007603C6" w:rsidRDefault="002C160D" w:rsidP="007603C6">
      <w:pPr>
        <w:pStyle w:val="Heading1"/>
        <w:rPr>
          <w:rFonts w:asciiTheme="minorHAnsi" w:hAnsiTheme="minorHAnsi"/>
        </w:rPr>
      </w:pPr>
      <w:r w:rsidRPr="007603C6">
        <w:rPr>
          <w:rFonts w:asciiTheme="minorHAnsi" w:hAnsiTheme="minorHAnsi"/>
        </w:rPr>
        <w:t>Sponsor’s Comment</w:t>
      </w:r>
    </w:p>
    <w:p w:rsidR="002C160D" w:rsidRPr="00284286" w:rsidRDefault="001F5405" w:rsidP="007B0BFA">
      <w:pPr>
        <w:widowControl/>
        <w:jc w:val="left"/>
      </w:pPr>
      <w:r>
        <w:t xml:space="preserve">Novo Nordisk is pleased that a faster acting insulin alternative will be made available to patients on the PBS. </w:t>
      </w:r>
    </w:p>
    <w:sectPr w:rsidR="002C160D" w:rsidRPr="00284286" w:rsidSect="00E2135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5CBE8" w16cid:durableId="1F6E0E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0DC" w:rsidRDefault="000D10DC" w:rsidP="00124A51">
      <w:r>
        <w:separator/>
      </w:r>
    </w:p>
    <w:p w:rsidR="000D10DC" w:rsidRDefault="000D10DC"/>
  </w:endnote>
  <w:endnote w:type="continuationSeparator" w:id="0">
    <w:p w:rsidR="000D10DC" w:rsidRDefault="000D10DC" w:rsidP="00124A51">
      <w:r>
        <w:continuationSeparator/>
      </w:r>
    </w:p>
    <w:p w:rsidR="000D10DC" w:rsidRDefault="000D1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DC" w:rsidRDefault="000D1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018651"/>
      <w:docPartObj>
        <w:docPartGallery w:val="Page Numbers (Bottom of Page)"/>
        <w:docPartUnique/>
      </w:docPartObj>
    </w:sdtPr>
    <w:sdtEndPr>
      <w:rPr>
        <w:noProof/>
      </w:rPr>
    </w:sdtEndPr>
    <w:sdtContent>
      <w:p w:rsidR="00D41BAA" w:rsidRDefault="00D41BAA">
        <w:pPr>
          <w:pStyle w:val="Footer"/>
          <w:jc w:val="center"/>
        </w:pPr>
      </w:p>
      <w:p w:rsidR="00D41BAA" w:rsidRPr="00E810FE" w:rsidRDefault="00D41BAA">
        <w:pPr>
          <w:pStyle w:val="Footer"/>
          <w:jc w:val="center"/>
        </w:pPr>
        <w:r w:rsidRPr="00E810FE">
          <w:fldChar w:fldCharType="begin"/>
        </w:r>
        <w:r w:rsidRPr="00E810FE">
          <w:instrText xml:space="preserve"> PAGE   \* MERGEFORMAT </w:instrText>
        </w:r>
        <w:r w:rsidRPr="00E810FE">
          <w:fldChar w:fldCharType="separate"/>
        </w:r>
        <w:r w:rsidR="000D10DC">
          <w:rPr>
            <w:noProof/>
          </w:rPr>
          <w:t>1</w:t>
        </w:r>
        <w:r w:rsidRPr="00E810FE">
          <w:rPr>
            <w:noProof/>
          </w:rPr>
          <w:fldChar w:fldCharType="end"/>
        </w:r>
      </w:p>
    </w:sdtContent>
  </w:sdt>
  <w:p w:rsidR="00D41BAA" w:rsidRPr="007A533D" w:rsidRDefault="00D41BAA" w:rsidP="003A38F7">
    <w:pPr>
      <w:ind w:left="709"/>
      <w:contextualSpacing/>
      <w:jc w:val="center"/>
      <w:rPr>
        <w:rFonts w:ascii="Arial" w:hAnsi="Arial"/>
        <w:bCs/>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DC" w:rsidRDefault="000D1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0DC" w:rsidRDefault="000D10DC" w:rsidP="00124A51">
      <w:r>
        <w:separator/>
      </w:r>
    </w:p>
    <w:p w:rsidR="000D10DC" w:rsidRDefault="000D10DC"/>
  </w:footnote>
  <w:footnote w:type="continuationSeparator" w:id="0">
    <w:p w:rsidR="000D10DC" w:rsidRDefault="000D10DC" w:rsidP="00124A51">
      <w:r>
        <w:continuationSeparator/>
      </w:r>
    </w:p>
    <w:p w:rsidR="000D10DC" w:rsidRDefault="000D10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DC" w:rsidRDefault="000D1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AA" w:rsidRPr="007205D1" w:rsidRDefault="00D41BAA" w:rsidP="00163FB4">
    <w:pPr>
      <w:pStyle w:val="Header"/>
      <w:ind w:left="360"/>
      <w:jc w:val="center"/>
      <w:rPr>
        <w:rFonts w:asciiTheme="minorHAnsi" w:hAnsiTheme="minorHAnsi"/>
        <w:i/>
        <w:color w:val="808080"/>
        <w:szCs w:val="24"/>
      </w:rPr>
    </w:pPr>
    <w:r>
      <w:rPr>
        <w:rFonts w:asciiTheme="minorHAnsi" w:hAnsiTheme="minorHAnsi"/>
        <w:i/>
        <w:color w:val="808080"/>
        <w:szCs w:val="24"/>
      </w:rPr>
      <w:t xml:space="preserve">Public Summary Document </w:t>
    </w:r>
    <w:r w:rsidRPr="007205D1">
      <w:rPr>
        <w:rFonts w:asciiTheme="minorHAnsi" w:hAnsiTheme="minorHAnsi"/>
        <w:i/>
        <w:color w:val="808080"/>
        <w:szCs w:val="24"/>
      </w:rPr>
      <w:t>– November 2018 PBAC Meeting</w:t>
    </w:r>
  </w:p>
  <w:p w:rsidR="00D41BAA" w:rsidRPr="00163FB4" w:rsidRDefault="00D41BAA" w:rsidP="00163FB4">
    <w:pPr>
      <w:pStyle w:val="Header"/>
      <w:ind w:left="360"/>
      <w:jc w:val="center"/>
      <w:rPr>
        <w:rFonts w:asciiTheme="minorHAnsi" w:hAnsiTheme="minorHAnsi"/>
        <w:i/>
        <w:color w:val="808080"/>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DC" w:rsidRDefault="000D1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CC6E1D9E"/>
    <w:lvl w:ilvl="0" w:tplc="04090001">
      <w:start w:val="1"/>
      <w:numFmt w:val="bullet"/>
      <w:lvlText w:val=""/>
      <w:lvlJc w:val="left"/>
      <w:pPr>
        <w:ind w:left="360" w:hanging="360"/>
      </w:pPr>
      <w:rPr>
        <w:rFonts w:ascii="Symbol" w:hAnsi="Symbol" w:hint="default"/>
      </w:rPr>
    </w:lvl>
    <w:lvl w:ilvl="1" w:tplc="EB48B076">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F0D7B"/>
    <w:multiLevelType w:val="multilevel"/>
    <w:tmpl w:val="BF48D1C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iCs/>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7E4230"/>
    <w:multiLevelType w:val="hybridMultilevel"/>
    <w:tmpl w:val="DFB25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7755C"/>
    <w:multiLevelType w:val="hybridMultilevel"/>
    <w:tmpl w:val="3F10B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7C34E2"/>
    <w:multiLevelType w:val="hybridMultilevel"/>
    <w:tmpl w:val="11622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E30A7"/>
    <w:multiLevelType w:val="multilevel"/>
    <w:tmpl w:val="892CCA30"/>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i w:val="0"/>
        <w:iCs/>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595BDE"/>
    <w:multiLevelType w:val="hybridMultilevel"/>
    <w:tmpl w:val="8708B0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79B37A9"/>
    <w:multiLevelType w:val="hybridMultilevel"/>
    <w:tmpl w:val="FDC8AE2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4E956612"/>
    <w:multiLevelType w:val="hybridMultilevel"/>
    <w:tmpl w:val="3806C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E7516"/>
    <w:multiLevelType w:val="hybridMultilevel"/>
    <w:tmpl w:val="4268DEAA"/>
    <w:lvl w:ilvl="0" w:tplc="ABB6F73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1C0D9C"/>
    <w:multiLevelType w:val="hybridMultilevel"/>
    <w:tmpl w:val="A04CE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11D3F"/>
    <w:multiLevelType w:val="hybridMultilevel"/>
    <w:tmpl w:val="77A6A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F072F0"/>
    <w:multiLevelType w:val="hybridMultilevel"/>
    <w:tmpl w:val="89701092"/>
    <w:lvl w:ilvl="0" w:tplc="79BE154A">
      <w:numFmt w:val="bullet"/>
      <w:lvlText w:val="-"/>
      <w:lvlJc w:val="left"/>
      <w:pPr>
        <w:ind w:left="1434" w:hanging="360"/>
      </w:pPr>
      <w:rPr>
        <w:rFonts w:ascii="Arial Narrow" w:eastAsia="Times New Roman" w:hAnsi="Arial Narrow" w:cs="Aria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75050C17"/>
    <w:multiLevelType w:val="hybridMultilevel"/>
    <w:tmpl w:val="10D03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DFE4EDC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iCs/>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481C0C"/>
    <w:multiLevelType w:val="hybridMultilevel"/>
    <w:tmpl w:val="4B0ED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D64A1C"/>
    <w:multiLevelType w:val="hybridMultilevel"/>
    <w:tmpl w:val="9AA8991E"/>
    <w:lvl w:ilvl="0" w:tplc="789EBD08">
      <w:start w:val="1"/>
      <w:numFmt w:val="bullet"/>
      <w:lvlText w:val="-"/>
      <w:lvlJc w:val="left"/>
      <w:pPr>
        <w:ind w:left="720" w:hanging="360"/>
      </w:pPr>
      <w:rPr>
        <w:rFonts w:ascii="Calibri" w:eastAsia="SimSu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0"/>
  </w:num>
  <w:num w:numId="4">
    <w:abstractNumId w:val="8"/>
  </w:num>
  <w:num w:numId="5">
    <w:abstractNumId w:val="16"/>
  </w:num>
  <w:num w:numId="6">
    <w:abstractNumId w:val="4"/>
  </w:num>
  <w:num w:numId="7">
    <w:abstractNumId w:val="21"/>
  </w:num>
  <w:num w:numId="8">
    <w:abstractNumId w:val="22"/>
  </w:num>
  <w:num w:numId="9">
    <w:abstractNumId w:val="17"/>
  </w:num>
  <w:num w:numId="10">
    <w:abstractNumId w:val="18"/>
  </w:num>
  <w:num w:numId="11">
    <w:abstractNumId w:val="10"/>
  </w:num>
  <w:num w:numId="12">
    <w:abstractNumId w:val="19"/>
  </w:num>
  <w:num w:numId="13">
    <w:abstractNumId w:val="11"/>
  </w:num>
  <w:num w:numId="14">
    <w:abstractNumId w:val="13"/>
  </w:num>
  <w:num w:numId="15">
    <w:abstractNumId w:val="3"/>
  </w:num>
  <w:num w:numId="16">
    <w:abstractNumId w:val="9"/>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14"/>
  </w:num>
  <w:num w:numId="25">
    <w:abstractNumId w:val="12"/>
  </w:num>
  <w:num w:numId="26">
    <w:abstractNumId w:val="15"/>
  </w:num>
  <w:num w:numId="27">
    <w:abstractNumId w:val="5"/>
  </w:num>
  <w:num w:numId="28">
    <w:abstractNumId w:val="0"/>
  </w:num>
  <w:num w:numId="29">
    <w:abstractNumId w:val="6"/>
  </w:num>
  <w:num w:numId="30">
    <w:abstractNumId w:val="2"/>
  </w:num>
  <w:num w:numId="31">
    <w:abstractNumId w:val="20"/>
  </w:num>
  <w:num w:numId="3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doNotTrackFormatting/>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AC7"/>
    <w:rsid w:val="0000110B"/>
    <w:rsid w:val="00002EFF"/>
    <w:rsid w:val="00003499"/>
    <w:rsid w:val="000034D8"/>
    <w:rsid w:val="000039B7"/>
    <w:rsid w:val="0000793C"/>
    <w:rsid w:val="00007D81"/>
    <w:rsid w:val="00012953"/>
    <w:rsid w:val="00013247"/>
    <w:rsid w:val="0001354B"/>
    <w:rsid w:val="0001377C"/>
    <w:rsid w:val="00015886"/>
    <w:rsid w:val="000162EF"/>
    <w:rsid w:val="000163BA"/>
    <w:rsid w:val="00016B4C"/>
    <w:rsid w:val="00017066"/>
    <w:rsid w:val="000171A7"/>
    <w:rsid w:val="00017A36"/>
    <w:rsid w:val="0002138D"/>
    <w:rsid w:val="0002225F"/>
    <w:rsid w:val="00022E05"/>
    <w:rsid w:val="000232A6"/>
    <w:rsid w:val="00023694"/>
    <w:rsid w:val="00023763"/>
    <w:rsid w:val="00026284"/>
    <w:rsid w:val="000267FC"/>
    <w:rsid w:val="00026868"/>
    <w:rsid w:val="00027519"/>
    <w:rsid w:val="00027E9F"/>
    <w:rsid w:val="000308E0"/>
    <w:rsid w:val="00031792"/>
    <w:rsid w:val="00031CDA"/>
    <w:rsid w:val="00033863"/>
    <w:rsid w:val="00034375"/>
    <w:rsid w:val="00034E96"/>
    <w:rsid w:val="00035DC0"/>
    <w:rsid w:val="000363F1"/>
    <w:rsid w:val="00036829"/>
    <w:rsid w:val="00037169"/>
    <w:rsid w:val="00040895"/>
    <w:rsid w:val="000411D6"/>
    <w:rsid w:val="00041616"/>
    <w:rsid w:val="000421D6"/>
    <w:rsid w:val="00042BB3"/>
    <w:rsid w:val="00043586"/>
    <w:rsid w:val="00043C37"/>
    <w:rsid w:val="00045017"/>
    <w:rsid w:val="00045A2B"/>
    <w:rsid w:val="0004698F"/>
    <w:rsid w:val="0004795E"/>
    <w:rsid w:val="0005162D"/>
    <w:rsid w:val="00051949"/>
    <w:rsid w:val="00052206"/>
    <w:rsid w:val="000539D0"/>
    <w:rsid w:val="000544E2"/>
    <w:rsid w:val="00054621"/>
    <w:rsid w:val="000546D7"/>
    <w:rsid w:val="0005619B"/>
    <w:rsid w:val="000569A8"/>
    <w:rsid w:val="0006274E"/>
    <w:rsid w:val="0006299C"/>
    <w:rsid w:val="000635D2"/>
    <w:rsid w:val="00063BC7"/>
    <w:rsid w:val="0006432E"/>
    <w:rsid w:val="00066360"/>
    <w:rsid w:val="00066D36"/>
    <w:rsid w:val="00067924"/>
    <w:rsid w:val="00071248"/>
    <w:rsid w:val="000720B9"/>
    <w:rsid w:val="00072E62"/>
    <w:rsid w:val="000737F7"/>
    <w:rsid w:val="000742D6"/>
    <w:rsid w:val="000753A3"/>
    <w:rsid w:val="0007672F"/>
    <w:rsid w:val="000774F0"/>
    <w:rsid w:val="00080875"/>
    <w:rsid w:val="00080909"/>
    <w:rsid w:val="000812CA"/>
    <w:rsid w:val="000824C2"/>
    <w:rsid w:val="0008258D"/>
    <w:rsid w:val="00083E99"/>
    <w:rsid w:val="000856C5"/>
    <w:rsid w:val="00090C7E"/>
    <w:rsid w:val="00092600"/>
    <w:rsid w:val="0009262B"/>
    <w:rsid w:val="00093310"/>
    <w:rsid w:val="00094045"/>
    <w:rsid w:val="0009445C"/>
    <w:rsid w:val="00095FE5"/>
    <w:rsid w:val="00096284"/>
    <w:rsid w:val="000972F2"/>
    <w:rsid w:val="000A2284"/>
    <w:rsid w:val="000A414E"/>
    <w:rsid w:val="000A663A"/>
    <w:rsid w:val="000A6986"/>
    <w:rsid w:val="000A7D08"/>
    <w:rsid w:val="000B0670"/>
    <w:rsid w:val="000B0E75"/>
    <w:rsid w:val="000B6CAC"/>
    <w:rsid w:val="000B7612"/>
    <w:rsid w:val="000B7AEE"/>
    <w:rsid w:val="000B7B32"/>
    <w:rsid w:val="000B7EDA"/>
    <w:rsid w:val="000C04CF"/>
    <w:rsid w:val="000C28B9"/>
    <w:rsid w:val="000C31B1"/>
    <w:rsid w:val="000C3646"/>
    <w:rsid w:val="000C3DF9"/>
    <w:rsid w:val="000C6713"/>
    <w:rsid w:val="000D0A74"/>
    <w:rsid w:val="000D10DC"/>
    <w:rsid w:val="000D1BFC"/>
    <w:rsid w:val="000D281A"/>
    <w:rsid w:val="000D311F"/>
    <w:rsid w:val="000D326A"/>
    <w:rsid w:val="000D51FB"/>
    <w:rsid w:val="000E135D"/>
    <w:rsid w:val="000E4631"/>
    <w:rsid w:val="000E6464"/>
    <w:rsid w:val="000F00BA"/>
    <w:rsid w:val="000F104C"/>
    <w:rsid w:val="000F2437"/>
    <w:rsid w:val="000F2FDF"/>
    <w:rsid w:val="000F316A"/>
    <w:rsid w:val="000F3C74"/>
    <w:rsid w:val="000F4BB8"/>
    <w:rsid w:val="000F5D06"/>
    <w:rsid w:val="000F7127"/>
    <w:rsid w:val="000F7B70"/>
    <w:rsid w:val="000F7BC0"/>
    <w:rsid w:val="0010087E"/>
    <w:rsid w:val="00100F8A"/>
    <w:rsid w:val="00102D42"/>
    <w:rsid w:val="00103885"/>
    <w:rsid w:val="00104558"/>
    <w:rsid w:val="001049A9"/>
    <w:rsid w:val="00105AE2"/>
    <w:rsid w:val="0010611A"/>
    <w:rsid w:val="0010614B"/>
    <w:rsid w:val="00106B80"/>
    <w:rsid w:val="0011020C"/>
    <w:rsid w:val="0011032E"/>
    <w:rsid w:val="00110D8F"/>
    <w:rsid w:val="00111CD2"/>
    <w:rsid w:val="00112A5E"/>
    <w:rsid w:val="0011348B"/>
    <w:rsid w:val="00114214"/>
    <w:rsid w:val="00115431"/>
    <w:rsid w:val="00115982"/>
    <w:rsid w:val="001169D4"/>
    <w:rsid w:val="00116C53"/>
    <w:rsid w:val="00116EE0"/>
    <w:rsid w:val="0012096C"/>
    <w:rsid w:val="001214F8"/>
    <w:rsid w:val="00121799"/>
    <w:rsid w:val="00121B57"/>
    <w:rsid w:val="001222FC"/>
    <w:rsid w:val="00124327"/>
    <w:rsid w:val="00124A51"/>
    <w:rsid w:val="00126621"/>
    <w:rsid w:val="00127892"/>
    <w:rsid w:val="001301E9"/>
    <w:rsid w:val="00131D82"/>
    <w:rsid w:val="00132B90"/>
    <w:rsid w:val="0013301B"/>
    <w:rsid w:val="00133371"/>
    <w:rsid w:val="00133D36"/>
    <w:rsid w:val="00137645"/>
    <w:rsid w:val="0014015A"/>
    <w:rsid w:val="00140E99"/>
    <w:rsid w:val="0014472B"/>
    <w:rsid w:val="00145540"/>
    <w:rsid w:val="001456B0"/>
    <w:rsid w:val="001525E0"/>
    <w:rsid w:val="001529B7"/>
    <w:rsid w:val="00152DF2"/>
    <w:rsid w:val="001552E2"/>
    <w:rsid w:val="00157130"/>
    <w:rsid w:val="001576B1"/>
    <w:rsid w:val="00160A4C"/>
    <w:rsid w:val="00162913"/>
    <w:rsid w:val="00163684"/>
    <w:rsid w:val="0016383E"/>
    <w:rsid w:val="00163EFF"/>
    <w:rsid w:val="00163FB4"/>
    <w:rsid w:val="001661FB"/>
    <w:rsid w:val="001706C0"/>
    <w:rsid w:val="0017171F"/>
    <w:rsid w:val="00171CF4"/>
    <w:rsid w:val="00172A42"/>
    <w:rsid w:val="00173565"/>
    <w:rsid w:val="00173B07"/>
    <w:rsid w:val="00173D3A"/>
    <w:rsid w:val="00180382"/>
    <w:rsid w:val="0018065A"/>
    <w:rsid w:val="00181D9C"/>
    <w:rsid w:val="00181FA7"/>
    <w:rsid w:val="0018202A"/>
    <w:rsid w:val="001867F4"/>
    <w:rsid w:val="00186BF3"/>
    <w:rsid w:val="00186C53"/>
    <w:rsid w:val="0018752F"/>
    <w:rsid w:val="0019124E"/>
    <w:rsid w:val="00192433"/>
    <w:rsid w:val="00193985"/>
    <w:rsid w:val="00193C61"/>
    <w:rsid w:val="00195222"/>
    <w:rsid w:val="00195936"/>
    <w:rsid w:val="00196197"/>
    <w:rsid w:val="001975D8"/>
    <w:rsid w:val="00197FB4"/>
    <w:rsid w:val="001A2091"/>
    <w:rsid w:val="001A43FA"/>
    <w:rsid w:val="001A59FB"/>
    <w:rsid w:val="001A6354"/>
    <w:rsid w:val="001A6D66"/>
    <w:rsid w:val="001A74AD"/>
    <w:rsid w:val="001A7AE8"/>
    <w:rsid w:val="001B204E"/>
    <w:rsid w:val="001B3443"/>
    <w:rsid w:val="001B4D20"/>
    <w:rsid w:val="001B6639"/>
    <w:rsid w:val="001C1FC0"/>
    <w:rsid w:val="001C2A9B"/>
    <w:rsid w:val="001C2DBF"/>
    <w:rsid w:val="001C2F12"/>
    <w:rsid w:val="001C37EB"/>
    <w:rsid w:val="001C4299"/>
    <w:rsid w:val="001C48EE"/>
    <w:rsid w:val="001C5CB4"/>
    <w:rsid w:val="001C5F94"/>
    <w:rsid w:val="001C6E66"/>
    <w:rsid w:val="001C7A9B"/>
    <w:rsid w:val="001D45AB"/>
    <w:rsid w:val="001D581A"/>
    <w:rsid w:val="001D6AA6"/>
    <w:rsid w:val="001E189B"/>
    <w:rsid w:val="001E1D3B"/>
    <w:rsid w:val="001E238E"/>
    <w:rsid w:val="001E2483"/>
    <w:rsid w:val="001E2B1E"/>
    <w:rsid w:val="001E30D4"/>
    <w:rsid w:val="001E3FE9"/>
    <w:rsid w:val="001E50A3"/>
    <w:rsid w:val="001E52EB"/>
    <w:rsid w:val="001E61D2"/>
    <w:rsid w:val="001E65C5"/>
    <w:rsid w:val="001E70B2"/>
    <w:rsid w:val="001E740C"/>
    <w:rsid w:val="001E757C"/>
    <w:rsid w:val="001F0344"/>
    <w:rsid w:val="001F0A2E"/>
    <w:rsid w:val="001F1235"/>
    <w:rsid w:val="001F1CB3"/>
    <w:rsid w:val="001F3758"/>
    <w:rsid w:val="001F38B5"/>
    <w:rsid w:val="001F3C66"/>
    <w:rsid w:val="001F4D0B"/>
    <w:rsid w:val="001F518F"/>
    <w:rsid w:val="001F5405"/>
    <w:rsid w:val="001F599B"/>
    <w:rsid w:val="001F704D"/>
    <w:rsid w:val="001F7361"/>
    <w:rsid w:val="001F73A2"/>
    <w:rsid w:val="001F7FAC"/>
    <w:rsid w:val="00200632"/>
    <w:rsid w:val="00200F05"/>
    <w:rsid w:val="002011B0"/>
    <w:rsid w:val="00201EDA"/>
    <w:rsid w:val="00202F93"/>
    <w:rsid w:val="00203181"/>
    <w:rsid w:val="0020373F"/>
    <w:rsid w:val="00203783"/>
    <w:rsid w:val="0020385F"/>
    <w:rsid w:val="002046E5"/>
    <w:rsid w:val="00204BBF"/>
    <w:rsid w:val="00207021"/>
    <w:rsid w:val="0020732F"/>
    <w:rsid w:val="002073D4"/>
    <w:rsid w:val="00207D00"/>
    <w:rsid w:val="00207D63"/>
    <w:rsid w:val="002105C1"/>
    <w:rsid w:val="00210649"/>
    <w:rsid w:val="00215F79"/>
    <w:rsid w:val="00221265"/>
    <w:rsid w:val="002234AA"/>
    <w:rsid w:val="00223B49"/>
    <w:rsid w:val="00224C12"/>
    <w:rsid w:val="00224DD4"/>
    <w:rsid w:val="002278F9"/>
    <w:rsid w:val="002309CC"/>
    <w:rsid w:val="0023209F"/>
    <w:rsid w:val="00233D56"/>
    <w:rsid w:val="0023410D"/>
    <w:rsid w:val="002343E3"/>
    <w:rsid w:val="00235800"/>
    <w:rsid w:val="00235ABF"/>
    <w:rsid w:val="0023629D"/>
    <w:rsid w:val="00236436"/>
    <w:rsid w:val="00236759"/>
    <w:rsid w:val="00237255"/>
    <w:rsid w:val="002424AF"/>
    <w:rsid w:val="002439DC"/>
    <w:rsid w:val="00244DC8"/>
    <w:rsid w:val="002458BA"/>
    <w:rsid w:val="0024636C"/>
    <w:rsid w:val="00246CEA"/>
    <w:rsid w:val="00247925"/>
    <w:rsid w:val="00247D26"/>
    <w:rsid w:val="00253225"/>
    <w:rsid w:val="00254DCF"/>
    <w:rsid w:val="0025534B"/>
    <w:rsid w:val="00255393"/>
    <w:rsid w:val="00255BB7"/>
    <w:rsid w:val="00257541"/>
    <w:rsid w:val="0026118F"/>
    <w:rsid w:val="00262738"/>
    <w:rsid w:val="00262A1A"/>
    <w:rsid w:val="00262A87"/>
    <w:rsid w:val="00264D26"/>
    <w:rsid w:val="00266AF7"/>
    <w:rsid w:val="00266C85"/>
    <w:rsid w:val="00267642"/>
    <w:rsid w:val="00267AEA"/>
    <w:rsid w:val="00267CAE"/>
    <w:rsid w:val="002700E6"/>
    <w:rsid w:val="00271B21"/>
    <w:rsid w:val="0027294B"/>
    <w:rsid w:val="0027306D"/>
    <w:rsid w:val="002737A3"/>
    <w:rsid w:val="00275BD1"/>
    <w:rsid w:val="00275C5A"/>
    <w:rsid w:val="002760D9"/>
    <w:rsid w:val="002767C1"/>
    <w:rsid w:val="00281014"/>
    <w:rsid w:val="002811B7"/>
    <w:rsid w:val="00284286"/>
    <w:rsid w:val="00284CCB"/>
    <w:rsid w:val="00285615"/>
    <w:rsid w:val="00285ACE"/>
    <w:rsid w:val="0028778E"/>
    <w:rsid w:val="00287B2C"/>
    <w:rsid w:val="00287CEF"/>
    <w:rsid w:val="00290AFE"/>
    <w:rsid w:val="00292C21"/>
    <w:rsid w:val="00293E42"/>
    <w:rsid w:val="00294572"/>
    <w:rsid w:val="002957A6"/>
    <w:rsid w:val="0029583C"/>
    <w:rsid w:val="00296BAF"/>
    <w:rsid w:val="00297047"/>
    <w:rsid w:val="002A0093"/>
    <w:rsid w:val="002A14AB"/>
    <w:rsid w:val="002A2F50"/>
    <w:rsid w:val="002A3273"/>
    <w:rsid w:val="002A3411"/>
    <w:rsid w:val="002A3E6D"/>
    <w:rsid w:val="002A5F5B"/>
    <w:rsid w:val="002A60CC"/>
    <w:rsid w:val="002A6718"/>
    <w:rsid w:val="002A7F6C"/>
    <w:rsid w:val="002B09A4"/>
    <w:rsid w:val="002B1C1F"/>
    <w:rsid w:val="002B1DF7"/>
    <w:rsid w:val="002B341B"/>
    <w:rsid w:val="002B432F"/>
    <w:rsid w:val="002B4F69"/>
    <w:rsid w:val="002B62B3"/>
    <w:rsid w:val="002B66BC"/>
    <w:rsid w:val="002B6754"/>
    <w:rsid w:val="002B6CCE"/>
    <w:rsid w:val="002C160D"/>
    <w:rsid w:val="002C1DAD"/>
    <w:rsid w:val="002C2510"/>
    <w:rsid w:val="002C2775"/>
    <w:rsid w:val="002C27C1"/>
    <w:rsid w:val="002C4027"/>
    <w:rsid w:val="002C4E16"/>
    <w:rsid w:val="002C5099"/>
    <w:rsid w:val="002C5889"/>
    <w:rsid w:val="002C62E9"/>
    <w:rsid w:val="002C67C4"/>
    <w:rsid w:val="002C7176"/>
    <w:rsid w:val="002C71CE"/>
    <w:rsid w:val="002D1223"/>
    <w:rsid w:val="002D15F6"/>
    <w:rsid w:val="002D32FA"/>
    <w:rsid w:val="002D3808"/>
    <w:rsid w:val="002D51A1"/>
    <w:rsid w:val="002D577C"/>
    <w:rsid w:val="002D6166"/>
    <w:rsid w:val="002D6267"/>
    <w:rsid w:val="002E020E"/>
    <w:rsid w:val="002E15B9"/>
    <w:rsid w:val="002E20C8"/>
    <w:rsid w:val="002E2158"/>
    <w:rsid w:val="002E3149"/>
    <w:rsid w:val="002E48AE"/>
    <w:rsid w:val="002E4D27"/>
    <w:rsid w:val="002E7722"/>
    <w:rsid w:val="002F07BA"/>
    <w:rsid w:val="002F0A5B"/>
    <w:rsid w:val="002F0DA9"/>
    <w:rsid w:val="002F2A6D"/>
    <w:rsid w:val="002F3726"/>
    <w:rsid w:val="002F637F"/>
    <w:rsid w:val="002F643C"/>
    <w:rsid w:val="002F71C0"/>
    <w:rsid w:val="002F770C"/>
    <w:rsid w:val="00300D37"/>
    <w:rsid w:val="00301017"/>
    <w:rsid w:val="003012EC"/>
    <w:rsid w:val="0030155F"/>
    <w:rsid w:val="003030A3"/>
    <w:rsid w:val="00303892"/>
    <w:rsid w:val="00304E7C"/>
    <w:rsid w:val="0030587B"/>
    <w:rsid w:val="00306D98"/>
    <w:rsid w:val="0030786C"/>
    <w:rsid w:val="00310233"/>
    <w:rsid w:val="0031031A"/>
    <w:rsid w:val="00310981"/>
    <w:rsid w:val="00311047"/>
    <w:rsid w:val="0031326F"/>
    <w:rsid w:val="00314D44"/>
    <w:rsid w:val="00315498"/>
    <w:rsid w:val="00317B22"/>
    <w:rsid w:val="00320A93"/>
    <w:rsid w:val="00322107"/>
    <w:rsid w:val="00322846"/>
    <w:rsid w:val="003242C7"/>
    <w:rsid w:val="00325C92"/>
    <w:rsid w:val="00326549"/>
    <w:rsid w:val="003268BD"/>
    <w:rsid w:val="00326DA7"/>
    <w:rsid w:val="003270E4"/>
    <w:rsid w:val="00330F5C"/>
    <w:rsid w:val="00331583"/>
    <w:rsid w:val="003322AC"/>
    <w:rsid w:val="00332AC4"/>
    <w:rsid w:val="00335562"/>
    <w:rsid w:val="00335E0D"/>
    <w:rsid w:val="003366C9"/>
    <w:rsid w:val="003371B0"/>
    <w:rsid w:val="00340401"/>
    <w:rsid w:val="00340DF1"/>
    <w:rsid w:val="003415BD"/>
    <w:rsid w:val="0034486D"/>
    <w:rsid w:val="00345FD6"/>
    <w:rsid w:val="00350428"/>
    <w:rsid w:val="0035113B"/>
    <w:rsid w:val="003517F9"/>
    <w:rsid w:val="00353E69"/>
    <w:rsid w:val="00354981"/>
    <w:rsid w:val="00356190"/>
    <w:rsid w:val="0035620E"/>
    <w:rsid w:val="00361095"/>
    <w:rsid w:val="00361197"/>
    <w:rsid w:val="00361958"/>
    <w:rsid w:val="003624C4"/>
    <w:rsid w:val="00363376"/>
    <w:rsid w:val="003654AC"/>
    <w:rsid w:val="00365E24"/>
    <w:rsid w:val="003660DF"/>
    <w:rsid w:val="003664F4"/>
    <w:rsid w:val="003710CF"/>
    <w:rsid w:val="003713E3"/>
    <w:rsid w:val="00371E88"/>
    <w:rsid w:val="00372130"/>
    <w:rsid w:val="00372151"/>
    <w:rsid w:val="003725B4"/>
    <w:rsid w:val="00372F68"/>
    <w:rsid w:val="0037358A"/>
    <w:rsid w:val="003750F6"/>
    <w:rsid w:val="00375F5E"/>
    <w:rsid w:val="003760FC"/>
    <w:rsid w:val="0038097F"/>
    <w:rsid w:val="0038197A"/>
    <w:rsid w:val="003829E4"/>
    <w:rsid w:val="0038365C"/>
    <w:rsid w:val="0038369B"/>
    <w:rsid w:val="00383B78"/>
    <w:rsid w:val="00385A9D"/>
    <w:rsid w:val="003902B1"/>
    <w:rsid w:val="00391F0A"/>
    <w:rsid w:val="00392F07"/>
    <w:rsid w:val="003936E9"/>
    <w:rsid w:val="00393CC0"/>
    <w:rsid w:val="003962D4"/>
    <w:rsid w:val="00396896"/>
    <w:rsid w:val="00396FD0"/>
    <w:rsid w:val="003A0119"/>
    <w:rsid w:val="003A0C0C"/>
    <w:rsid w:val="003A1A7A"/>
    <w:rsid w:val="003A1F1A"/>
    <w:rsid w:val="003A2269"/>
    <w:rsid w:val="003A2392"/>
    <w:rsid w:val="003A2831"/>
    <w:rsid w:val="003A3771"/>
    <w:rsid w:val="003A38F7"/>
    <w:rsid w:val="003A3ED1"/>
    <w:rsid w:val="003A7DF4"/>
    <w:rsid w:val="003B0E18"/>
    <w:rsid w:val="003B1E7A"/>
    <w:rsid w:val="003B5B61"/>
    <w:rsid w:val="003C1153"/>
    <w:rsid w:val="003C1654"/>
    <w:rsid w:val="003C2432"/>
    <w:rsid w:val="003C3AB0"/>
    <w:rsid w:val="003C4B10"/>
    <w:rsid w:val="003C6131"/>
    <w:rsid w:val="003C7D19"/>
    <w:rsid w:val="003C7DE3"/>
    <w:rsid w:val="003D1828"/>
    <w:rsid w:val="003D1DE4"/>
    <w:rsid w:val="003D2422"/>
    <w:rsid w:val="003D2662"/>
    <w:rsid w:val="003D29BE"/>
    <w:rsid w:val="003D39A1"/>
    <w:rsid w:val="003D3FBF"/>
    <w:rsid w:val="003D4A30"/>
    <w:rsid w:val="003D6CA1"/>
    <w:rsid w:val="003D77A7"/>
    <w:rsid w:val="003D79BB"/>
    <w:rsid w:val="003D7C98"/>
    <w:rsid w:val="003E0074"/>
    <w:rsid w:val="003E0543"/>
    <w:rsid w:val="003E0DE9"/>
    <w:rsid w:val="003F01F8"/>
    <w:rsid w:val="003F1DA3"/>
    <w:rsid w:val="003F2E00"/>
    <w:rsid w:val="003F2E4E"/>
    <w:rsid w:val="003F4156"/>
    <w:rsid w:val="003F4D97"/>
    <w:rsid w:val="003F6F8F"/>
    <w:rsid w:val="00400542"/>
    <w:rsid w:val="00400B29"/>
    <w:rsid w:val="00401174"/>
    <w:rsid w:val="0040241E"/>
    <w:rsid w:val="004029E7"/>
    <w:rsid w:val="0040360C"/>
    <w:rsid w:val="00403A45"/>
    <w:rsid w:val="0040504B"/>
    <w:rsid w:val="00405597"/>
    <w:rsid w:val="004062F0"/>
    <w:rsid w:val="00410286"/>
    <w:rsid w:val="00410708"/>
    <w:rsid w:val="00410890"/>
    <w:rsid w:val="00410EC7"/>
    <w:rsid w:val="00411B39"/>
    <w:rsid w:val="00412BE9"/>
    <w:rsid w:val="0041332D"/>
    <w:rsid w:val="00413A1E"/>
    <w:rsid w:val="00414476"/>
    <w:rsid w:val="00414C2E"/>
    <w:rsid w:val="004151CF"/>
    <w:rsid w:val="00415A29"/>
    <w:rsid w:val="00416364"/>
    <w:rsid w:val="004208F1"/>
    <w:rsid w:val="00420AA6"/>
    <w:rsid w:val="00420B9F"/>
    <w:rsid w:val="004213E7"/>
    <w:rsid w:val="00422260"/>
    <w:rsid w:val="00423753"/>
    <w:rsid w:val="004237D6"/>
    <w:rsid w:val="00423FE0"/>
    <w:rsid w:val="0042413F"/>
    <w:rsid w:val="00426341"/>
    <w:rsid w:val="0043027C"/>
    <w:rsid w:val="004309FD"/>
    <w:rsid w:val="004319F8"/>
    <w:rsid w:val="00431E55"/>
    <w:rsid w:val="004321F6"/>
    <w:rsid w:val="004322C0"/>
    <w:rsid w:val="00433044"/>
    <w:rsid w:val="004375B9"/>
    <w:rsid w:val="00437EB3"/>
    <w:rsid w:val="00441069"/>
    <w:rsid w:val="004428D0"/>
    <w:rsid w:val="00442E51"/>
    <w:rsid w:val="004433E0"/>
    <w:rsid w:val="00443B09"/>
    <w:rsid w:val="004443A7"/>
    <w:rsid w:val="0044442C"/>
    <w:rsid w:val="00444BD8"/>
    <w:rsid w:val="00445743"/>
    <w:rsid w:val="00445941"/>
    <w:rsid w:val="004464EB"/>
    <w:rsid w:val="00446A6C"/>
    <w:rsid w:val="00446C5E"/>
    <w:rsid w:val="00447D26"/>
    <w:rsid w:val="00452BB2"/>
    <w:rsid w:val="00455B02"/>
    <w:rsid w:val="00455D45"/>
    <w:rsid w:val="004600B4"/>
    <w:rsid w:val="00460B85"/>
    <w:rsid w:val="0046183D"/>
    <w:rsid w:val="00462F7A"/>
    <w:rsid w:val="00464595"/>
    <w:rsid w:val="0046596A"/>
    <w:rsid w:val="00471974"/>
    <w:rsid w:val="00472A79"/>
    <w:rsid w:val="00473F19"/>
    <w:rsid w:val="004757F4"/>
    <w:rsid w:val="00475E22"/>
    <w:rsid w:val="00475FD7"/>
    <w:rsid w:val="00477B8C"/>
    <w:rsid w:val="004804BF"/>
    <w:rsid w:val="00480742"/>
    <w:rsid w:val="0048088E"/>
    <w:rsid w:val="00482508"/>
    <w:rsid w:val="00482720"/>
    <w:rsid w:val="004835E7"/>
    <w:rsid w:val="00484303"/>
    <w:rsid w:val="0048444C"/>
    <w:rsid w:val="00484FEF"/>
    <w:rsid w:val="004851DD"/>
    <w:rsid w:val="004854C1"/>
    <w:rsid w:val="00485916"/>
    <w:rsid w:val="004865B5"/>
    <w:rsid w:val="004867E2"/>
    <w:rsid w:val="00486B9B"/>
    <w:rsid w:val="00491B3A"/>
    <w:rsid w:val="00491DED"/>
    <w:rsid w:val="00492CFD"/>
    <w:rsid w:val="00493937"/>
    <w:rsid w:val="00493AF7"/>
    <w:rsid w:val="00494594"/>
    <w:rsid w:val="00494679"/>
    <w:rsid w:val="00494DC0"/>
    <w:rsid w:val="00494DD5"/>
    <w:rsid w:val="00494FC3"/>
    <w:rsid w:val="004962D2"/>
    <w:rsid w:val="0049649E"/>
    <w:rsid w:val="004A0DA1"/>
    <w:rsid w:val="004A1D36"/>
    <w:rsid w:val="004A280C"/>
    <w:rsid w:val="004A2F52"/>
    <w:rsid w:val="004A3531"/>
    <w:rsid w:val="004A52E9"/>
    <w:rsid w:val="004A5CFC"/>
    <w:rsid w:val="004A605D"/>
    <w:rsid w:val="004A6597"/>
    <w:rsid w:val="004A69A8"/>
    <w:rsid w:val="004A7848"/>
    <w:rsid w:val="004B126B"/>
    <w:rsid w:val="004B1CB4"/>
    <w:rsid w:val="004B27E2"/>
    <w:rsid w:val="004B2F18"/>
    <w:rsid w:val="004B3DDB"/>
    <w:rsid w:val="004B44FD"/>
    <w:rsid w:val="004B451E"/>
    <w:rsid w:val="004B5CFC"/>
    <w:rsid w:val="004B774D"/>
    <w:rsid w:val="004C1523"/>
    <w:rsid w:val="004C4AED"/>
    <w:rsid w:val="004D05F7"/>
    <w:rsid w:val="004D1707"/>
    <w:rsid w:val="004D2C2D"/>
    <w:rsid w:val="004D2DE0"/>
    <w:rsid w:val="004D2F95"/>
    <w:rsid w:val="004D43E5"/>
    <w:rsid w:val="004D4B0D"/>
    <w:rsid w:val="004D7227"/>
    <w:rsid w:val="004E0D12"/>
    <w:rsid w:val="004E0D1E"/>
    <w:rsid w:val="004E0E7F"/>
    <w:rsid w:val="004E0EB8"/>
    <w:rsid w:val="004E2385"/>
    <w:rsid w:val="004E2570"/>
    <w:rsid w:val="004E2ADC"/>
    <w:rsid w:val="004E43B2"/>
    <w:rsid w:val="004E5262"/>
    <w:rsid w:val="004E702D"/>
    <w:rsid w:val="004E741C"/>
    <w:rsid w:val="004F0A30"/>
    <w:rsid w:val="004F0DF5"/>
    <w:rsid w:val="004F1D02"/>
    <w:rsid w:val="004F231E"/>
    <w:rsid w:val="004F2679"/>
    <w:rsid w:val="004F2CD4"/>
    <w:rsid w:val="004F2F21"/>
    <w:rsid w:val="004F2FEE"/>
    <w:rsid w:val="004F409F"/>
    <w:rsid w:val="004F584D"/>
    <w:rsid w:val="004F67B4"/>
    <w:rsid w:val="004F6913"/>
    <w:rsid w:val="004F7102"/>
    <w:rsid w:val="004F7865"/>
    <w:rsid w:val="005010F4"/>
    <w:rsid w:val="005012B9"/>
    <w:rsid w:val="00502103"/>
    <w:rsid w:val="0050219B"/>
    <w:rsid w:val="00503923"/>
    <w:rsid w:val="0050397F"/>
    <w:rsid w:val="00503F17"/>
    <w:rsid w:val="00506928"/>
    <w:rsid w:val="005071B8"/>
    <w:rsid w:val="00507AD4"/>
    <w:rsid w:val="00512524"/>
    <w:rsid w:val="00514580"/>
    <w:rsid w:val="00514DBF"/>
    <w:rsid w:val="00514F80"/>
    <w:rsid w:val="005152B5"/>
    <w:rsid w:val="00515C66"/>
    <w:rsid w:val="0051752E"/>
    <w:rsid w:val="00521319"/>
    <w:rsid w:val="00521CA9"/>
    <w:rsid w:val="0052281D"/>
    <w:rsid w:val="00522BC8"/>
    <w:rsid w:val="00523521"/>
    <w:rsid w:val="00523C28"/>
    <w:rsid w:val="00524BC2"/>
    <w:rsid w:val="00525B58"/>
    <w:rsid w:val="00525C48"/>
    <w:rsid w:val="005273AB"/>
    <w:rsid w:val="00530F16"/>
    <w:rsid w:val="00533685"/>
    <w:rsid w:val="00534ECA"/>
    <w:rsid w:val="00536F42"/>
    <w:rsid w:val="00537182"/>
    <w:rsid w:val="0053787B"/>
    <w:rsid w:val="00541F87"/>
    <w:rsid w:val="00542743"/>
    <w:rsid w:val="00542C2D"/>
    <w:rsid w:val="0054329A"/>
    <w:rsid w:val="005456AB"/>
    <w:rsid w:val="00547FF3"/>
    <w:rsid w:val="005508BF"/>
    <w:rsid w:val="00550B21"/>
    <w:rsid w:val="00550F4D"/>
    <w:rsid w:val="00551985"/>
    <w:rsid w:val="00552BD3"/>
    <w:rsid w:val="00554329"/>
    <w:rsid w:val="00555109"/>
    <w:rsid w:val="00555CE5"/>
    <w:rsid w:val="005568A9"/>
    <w:rsid w:val="00565176"/>
    <w:rsid w:val="0056696F"/>
    <w:rsid w:val="00570EBA"/>
    <w:rsid w:val="00571AFD"/>
    <w:rsid w:val="00572269"/>
    <w:rsid w:val="0057244A"/>
    <w:rsid w:val="00572FDF"/>
    <w:rsid w:val="00573E36"/>
    <w:rsid w:val="00574D55"/>
    <w:rsid w:val="00575D8D"/>
    <w:rsid w:val="00576972"/>
    <w:rsid w:val="00582967"/>
    <w:rsid w:val="00583699"/>
    <w:rsid w:val="00585CDD"/>
    <w:rsid w:val="00587058"/>
    <w:rsid w:val="00591957"/>
    <w:rsid w:val="00594438"/>
    <w:rsid w:val="00594C06"/>
    <w:rsid w:val="00597BF9"/>
    <w:rsid w:val="005A2261"/>
    <w:rsid w:val="005A373D"/>
    <w:rsid w:val="005A377D"/>
    <w:rsid w:val="005A39D1"/>
    <w:rsid w:val="005A3C78"/>
    <w:rsid w:val="005A4E7F"/>
    <w:rsid w:val="005B06F9"/>
    <w:rsid w:val="005B1E00"/>
    <w:rsid w:val="005B3950"/>
    <w:rsid w:val="005B5857"/>
    <w:rsid w:val="005C1B83"/>
    <w:rsid w:val="005C22EA"/>
    <w:rsid w:val="005C2D55"/>
    <w:rsid w:val="005C346B"/>
    <w:rsid w:val="005C3E52"/>
    <w:rsid w:val="005C43A4"/>
    <w:rsid w:val="005C4F8A"/>
    <w:rsid w:val="005C5F96"/>
    <w:rsid w:val="005C6FAD"/>
    <w:rsid w:val="005C7675"/>
    <w:rsid w:val="005C7B9C"/>
    <w:rsid w:val="005D044D"/>
    <w:rsid w:val="005D0ABD"/>
    <w:rsid w:val="005D0E3D"/>
    <w:rsid w:val="005D18AD"/>
    <w:rsid w:val="005D26B4"/>
    <w:rsid w:val="005D2A1C"/>
    <w:rsid w:val="005D2ECA"/>
    <w:rsid w:val="005D385F"/>
    <w:rsid w:val="005D60BD"/>
    <w:rsid w:val="005D6184"/>
    <w:rsid w:val="005D7B59"/>
    <w:rsid w:val="005E0953"/>
    <w:rsid w:val="005E15FC"/>
    <w:rsid w:val="005E6CBC"/>
    <w:rsid w:val="005E73C0"/>
    <w:rsid w:val="005F028E"/>
    <w:rsid w:val="005F1703"/>
    <w:rsid w:val="005F2706"/>
    <w:rsid w:val="005F4291"/>
    <w:rsid w:val="005F455F"/>
    <w:rsid w:val="005F69BA"/>
    <w:rsid w:val="005F6A8F"/>
    <w:rsid w:val="005F71F2"/>
    <w:rsid w:val="0060115A"/>
    <w:rsid w:val="00603D02"/>
    <w:rsid w:val="00603DB9"/>
    <w:rsid w:val="0060648C"/>
    <w:rsid w:val="00607669"/>
    <w:rsid w:val="00607AFD"/>
    <w:rsid w:val="00612F97"/>
    <w:rsid w:val="0061345D"/>
    <w:rsid w:val="0061519E"/>
    <w:rsid w:val="00616285"/>
    <w:rsid w:val="00616802"/>
    <w:rsid w:val="0061685A"/>
    <w:rsid w:val="00616E75"/>
    <w:rsid w:val="00617E12"/>
    <w:rsid w:val="0062050E"/>
    <w:rsid w:val="00621477"/>
    <w:rsid w:val="0062549C"/>
    <w:rsid w:val="00630956"/>
    <w:rsid w:val="00630B69"/>
    <w:rsid w:val="00630F87"/>
    <w:rsid w:val="0063158F"/>
    <w:rsid w:val="00631D6B"/>
    <w:rsid w:val="00632175"/>
    <w:rsid w:val="006330A1"/>
    <w:rsid w:val="0063479F"/>
    <w:rsid w:val="006353F0"/>
    <w:rsid w:val="006364A1"/>
    <w:rsid w:val="00636B2E"/>
    <w:rsid w:val="00637BFD"/>
    <w:rsid w:val="00641BB5"/>
    <w:rsid w:val="00641C4E"/>
    <w:rsid w:val="00643519"/>
    <w:rsid w:val="00646B92"/>
    <w:rsid w:val="006471CC"/>
    <w:rsid w:val="0065079F"/>
    <w:rsid w:val="0065196F"/>
    <w:rsid w:val="0065270A"/>
    <w:rsid w:val="0065379F"/>
    <w:rsid w:val="00653961"/>
    <w:rsid w:val="00654055"/>
    <w:rsid w:val="006542BD"/>
    <w:rsid w:val="0065476E"/>
    <w:rsid w:val="00654D26"/>
    <w:rsid w:val="00654EDE"/>
    <w:rsid w:val="006550EF"/>
    <w:rsid w:val="0065662F"/>
    <w:rsid w:val="00660434"/>
    <w:rsid w:val="00660E19"/>
    <w:rsid w:val="00661C6B"/>
    <w:rsid w:val="00662044"/>
    <w:rsid w:val="006620F0"/>
    <w:rsid w:val="00662A82"/>
    <w:rsid w:val="00663143"/>
    <w:rsid w:val="00663ECF"/>
    <w:rsid w:val="006641C2"/>
    <w:rsid w:val="006642BA"/>
    <w:rsid w:val="0066512D"/>
    <w:rsid w:val="0066584F"/>
    <w:rsid w:val="006665DD"/>
    <w:rsid w:val="00667BF7"/>
    <w:rsid w:val="00672A95"/>
    <w:rsid w:val="0067390B"/>
    <w:rsid w:val="00673F28"/>
    <w:rsid w:val="00674E42"/>
    <w:rsid w:val="00681C3D"/>
    <w:rsid w:val="00682112"/>
    <w:rsid w:val="00682626"/>
    <w:rsid w:val="00683EF8"/>
    <w:rsid w:val="00684159"/>
    <w:rsid w:val="00684369"/>
    <w:rsid w:val="00686957"/>
    <w:rsid w:val="006872BA"/>
    <w:rsid w:val="006878A8"/>
    <w:rsid w:val="00690E00"/>
    <w:rsid w:val="00691648"/>
    <w:rsid w:val="006917D7"/>
    <w:rsid w:val="00693CD0"/>
    <w:rsid w:val="00693CEB"/>
    <w:rsid w:val="006949B1"/>
    <w:rsid w:val="00694AFF"/>
    <w:rsid w:val="00694F44"/>
    <w:rsid w:val="006954FD"/>
    <w:rsid w:val="006967F5"/>
    <w:rsid w:val="006A032D"/>
    <w:rsid w:val="006A139D"/>
    <w:rsid w:val="006A348A"/>
    <w:rsid w:val="006A4CA2"/>
    <w:rsid w:val="006A66B9"/>
    <w:rsid w:val="006A7E5F"/>
    <w:rsid w:val="006B062C"/>
    <w:rsid w:val="006B0A87"/>
    <w:rsid w:val="006B1D6F"/>
    <w:rsid w:val="006B21CB"/>
    <w:rsid w:val="006B261B"/>
    <w:rsid w:val="006B2C90"/>
    <w:rsid w:val="006B3854"/>
    <w:rsid w:val="006B6DD0"/>
    <w:rsid w:val="006B6EB6"/>
    <w:rsid w:val="006B7058"/>
    <w:rsid w:val="006C1467"/>
    <w:rsid w:val="006C1C10"/>
    <w:rsid w:val="006C2A8E"/>
    <w:rsid w:val="006C35ED"/>
    <w:rsid w:val="006C5CF1"/>
    <w:rsid w:val="006C79F6"/>
    <w:rsid w:val="006D0796"/>
    <w:rsid w:val="006D1285"/>
    <w:rsid w:val="006D3C7D"/>
    <w:rsid w:val="006D5238"/>
    <w:rsid w:val="006D5D5F"/>
    <w:rsid w:val="006D5FE7"/>
    <w:rsid w:val="006D600A"/>
    <w:rsid w:val="006D6BBD"/>
    <w:rsid w:val="006D6E29"/>
    <w:rsid w:val="006E10DB"/>
    <w:rsid w:val="006E1B10"/>
    <w:rsid w:val="006E22CD"/>
    <w:rsid w:val="006E258F"/>
    <w:rsid w:val="006E3238"/>
    <w:rsid w:val="006E3356"/>
    <w:rsid w:val="006E49C5"/>
    <w:rsid w:val="006E6CE4"/>
    <w:rsid w:val="006E7837"/>
    <w:rsid w:val="006F1875"/>
    <w:rsid w:val="006F29F2"/>
    <w:rsid w:val="006F306C"/>
    <w:rsid w:val="006F4EE5"/>
    <w:rsid w:val="006F63A5"/>
    <w:rsid w:val="006F709C"/>
    <w:rsid w:val="0070142B"/>
    <w:rsid w:val="0070276E"/>
    <w:rsid w:val="00702F8F"/>
    <w:rsid w:val="007033B9"/>
    <w:rsid w:val="00703D68"/>
    <w:rsid w:val="007054A5"/>
    <w:rsid w:val="00711A36"/>
    <w:rsid w:val="00712A9E"/>
    <w:rsid w:val="00713357"/>
    <w:rsid w:val="00714296"/>
    <w:rsid w:val="0071447A"/>
    <w:rsid w:val="00714A0A"/>
    <w:rsid w:val="00714CDC"/>
    <w:rsid w:val="0071529C"/>
    <w:rsid w:val="007159C1"/>
    <w:rsid w:val="007172AD"/>
    <w:rsid w:val="007205D1"/>
    <w:rsid w:val="007208FB"/>
    <w:rsid w:val="00720A31"/>
    <w:rsid w:val="00720EBF"/>
    <w:rsid w:val="00722B1B"/>
    <w:rsid w:val="00723B83"/>
    <w:rsid w:val="0072416F"/>
    <w:rsid w:val="00724A35"/>
    <w:rsid w:val="00727C94"/>
    <w:rsid w:val="00730727"/>
    <w:rsid w:val="00731EAE"/>
    <w:rsid w:val="00732510"/>
    <w:rsid w:val="0073336D"/>
    <w:rsid w:val="00735033"/>
    <w:rsid w:val="00735328"/>
    <w:rsid w:val="00736554"/>
    <w:rsid w:val="00736785"/>
    <w:rsid w:val="0073685B"/>
    <w:rsid w:val="00740621"/>
    <w:rsid w:val="00741A75"/>
    <w:rsid w:val="00742C06"/>
    <w:rsid w:val="007447E6"/>
    <w:rsid w:val="00744968"/>
    <w:rsid w:val="00745C95"/>
    <w:rsid w:val="0074696A"/>
    <w:rsid w:val="0074786A"/>
    <w:rsid w:val="00747D8B"/>
    <w:rsid w:val="00750468"/>
    <w:rsid w:val="00750F2C"/>
    <w:rsid w:val="0075146B"/>
    <w:rsid w:val="00752142"/>
    <w:rsid w:val="007523F9"/>
    <w:rsid w:val="0075374F"/>
    <w:rsid w:val="00755738"/>
    <w:rsid w:val="007573E8"/>
    <w:rsid w:val="00757655"/>
    <w:rsid w:val="007603C6"/>
    <w:rsid w:val="00760C4E"/>
    <w:rsid w:val="007610F8"/>
    <w:rsid w:val="007624A2"/>
    <w:rsid w:val="00763A28"/>
    <w:rsid w:val="00764604"/>
    <w:rsid w:val="00765B1A"/>
    <w:rsid w:val="00767303"/>
    <w:rsid w:val="00770A8B"/>
    <w:rsid w:val="00772141"/>
    <w:rsid w:val="007730CE"/>
    <w:rsid w:val="00773E40"/>
    <w:rsid w:val="00776C9D"/>
    <w:rsid w:val="00782097"/>
    <w:rsid w:val="00783155"/>
    <w:rsid w:val="007843F2"/>
    <w:rsid w:val="007859BE"/>
    <w:rsid w:val="0078605F"/>
    <w:rsid w:val="007862E8"/>
    <w:rsid w:val="00786E35"/>
    <w:rsid w:val="00787AC3"/>
    <w:rsid w:val="00790155"/>
    <w:rsid w:val="00794D10"/>
    <w:rsid w:val="007973A3"/>
    <w:rsid w:val="007A042F"/>
    <w:rsid w:val="007A0A12"/>
    <w:rsid w:val="007A132D"/>
    <w:rsid w:val="007A4053"/>
    <w:rsid w:val="007A4805"/>
    <w:rsid w:val="007A547E"/>
    <w:rsid w:val="007A5F66"/>
    <w:rsid w:val="007A6B0A"/>
    <w:rsid w:val="007A6CAB"/>
    <w:rsid w:val="007B0BFA"/>
    <w:rsid w:val="007B0D68"/>
    <w:rsid w:val="007B251D"/>
    <w:rsid w:val="007B2B72"/>
    <w:rsid w:val="007B305F"/>
    <w:rsid w:val="007B34A8"/>
    <w:rsid w:val="007B3834"/>
    <w:rsid w:val="007B4DA9"/>
    <w:rsid w:val="007B4F58"/>
    <w:rsid w:val="007B528D"/>
    <w:rsid w:val="007B64FB"/>
    <w:rsid w:val="007B77D1"/>
    <w:rsid w:val="007C1CD9"/>
    <w:rsid w:val="007C2B6E"/>
    <w:rsid w:val="007C361D"/>
    <w:rsid w:val="007C4B84"/>
    <w:rsid w:val="007C52CF"/>
    <w:rsid w:val="007C5390"/>
    <w:rsid w:val="007D004F"/>
    <w:rsid w:val="007D0B38"/>
    <w:rsid w:val="007D0E1D"/>
    <w:rsid w:val="007D1836"/>
    <w:rsid w:val="007D5179"/>
    <w:rsid w:val="007D5440"/>
    <w:rsid w:val="007D6783"/>
    <w:rsid w:val="007D6998"/>
    <w:rsid w:val="007D750B"/>
    <w:rsid w:val="007E0AFC"/>
    <w:rsid w:val="007E1575"/>
    <w:rsid w:val="007E1A8F"/>
    <w:rsid w:val="007E5CA8"/>
    <w:rsid w:val="007E7B27"/>
    <w:rsid w:val="007F1017"/>
    <w:rsid w:val="007F2290"/>
    <w:rsid w:val="007F3473"/>
    <w:rsid w:val="007F3645"/>
    <w:rsid w:val="007F3814"/>
    <w:rsid w:val="007F4A3F"/>
    <w:rsid w:val="007F4A61"/>
    <w:rsid w:val="007F61C2"/>
    <w:rsid w:val="007F6DFF"/>
    <w:rsid w:val="00800E91"/>
    <w:rsid w:val="00804D13"/>
    <w:rsid w:val="00805142"/>
    <w:rsid w:val="008053D7"/>
    <w:rsid w:val="00806C1D"/>
    <w:rsid w:val="00807A8B"/>
    <w:rsid w:val="00811383"/>
    <w:rsid w:val="00812149"/>
    <w:rsid w:val="00812CAC"/>
    <w:rsid w:val="00813028"/>
    <w:rsid w:val="00813543"/>
    <w:rsid w:val="008166EF"/>
    <w:rsid w:val="00817AB4"/>
    <w:rsid w:val="008221DA"/>
    <w:rsid w:val="0082335E"/>
    <w:rsid w:val="008238D2"/>
    <w:rsid w:val="00825751"/>
    <w:rsid w:val="008264EB"/>
    <w:rsid w:val="008267AE"/>
    <w:rsid w:val="00833B05"/>
    <w:rsid w:val="0083505C"/>
    <w:rsid w:val="00835B7D"/>
    <w:rsid w:val="008362B4"/>
    <w:rsid w:val="00837303"/>
    <w:rsid w:val="00840CA2"/>
    <w:rsid w:val="008419F2"/>
    <w:rsid w:val="0084374F"/>
    <w:rsid w:val="00846CF9"/>
    <w:rsid w:val="008470AE"/>
    <w:rsid w:val="008472EF"/>
    <w:rsid w:val="00847CD2"/>
    <w:rsid w:val="00847DF5"/>
    <w:rsid w:val="00847F78"/>
    <w:rsid w:val="008504DB"/>
    <w:rsid w:val="0085309D"/>
    <w:rsid w:val="00855887"/>
    <w:rsid w:val="00855C3E"/>
    <w:rsid w:val="00856897"/>
    <w:rsid w:val="00856E9A"/>
    <w:rsid w:val="008575EE"/>
    <w:rsid w:val="0086075D"/>
    <w:rsid w:val="008607ED"/>
    <w:rsid w:val="00861BBA"/>
    <w:rsid w:val="008621C5"/>
    <w:rsid w:val="00862502"/>
    <w:rsid w:val="0086321D"/>
    <w:rsid w:val="00863C30"/>
    <w:rsid w:val="00864D0A"/>
    <w:rsid w:val="00865DF7"/>
    <w:rsid w:val="008660D4"/>
    <w:rsid w:val="00866BDC"/>
    <w:rsid w:val="008716C4"/>
    <w:rsid w:val="00871FA9"/>
    <w:rsid w:val="008728E9"/>
    <w:rsid w:val="008773EC"/>
    <w:rsid w:val="0088047F"/>
    <w:rsid w:val="008808B4"/>
    <w:rsid w:val="0088104A"/>
    <w:rsid w:val="00881833"/>
    <w:rsid w:val="008825AA"/>
    <w:rsid w:val="00882805"/>
    <w:rsid w:val="00882874"/>
    <w:rsid w:val="00883787"/>
    <w:rsid w:val="00884E61"/>
    <w:rsid w:val="00886CD2"/>
    <w:rsid w:val="00890653"/>
    <w:rsid w:val="008921AB"/>
    <w:rsid w:val="00892A36"/>
    <w:rsid w:val="00892F83"/>
    <w:rsid w:val="00893239"/>
    <w:rsid w:val="00894489"/>
    <w:rsid w:val="0089485D"/>
    <w:rsid w:val="008958BA"/>
    <w:rsid w:val="00895990"/>
    <w:rsid w:val="008963A5"/>
    <w:rsid w:val="008A04EF"/>
    <w:rsid w:val="008A091B"/>
    <w:rsid w:val="008A0FE9"/>
    <w:rsid w:val="008A1B98"/>
    <w:rsid w:val="008A2D02"/>
    <w:rsid w:val="008A3363"/>
    <w:rsid w:val="008A3371"/>
    <w:rsid w:val="008A366E"/>
    <w:rsid w:val="008A3C3E"/>
    <w:rsid w:val="008A5531"/>
    <w:rsid w:val="008A79DE"/>
    <w:rsid w:val="008A7BEF"/>
    <w:rsid w:val="008B1757"/>
    <w:rsid w:val="008B1C3D"/>
    <w:rsid w:val="008B30B2"/>
    <w:rsid w:val="008B6190"/>
    <w:rsid w:val="008B7296"/>
    <w:rsid w:val="008B74E7"/>
    <w:rsid w:val="008B7615"/>
    <w:rsid w:val="008B775F"/>
    <w:rsid w:val="008B7A67"/>
    <w:rsid w:val="008B7D7E"/>
    <w:rsid w:val="008C0E8F"/>
    <w:rsid w:val="008C142D"/>
    <w:rsid w:val="008C7ECB"/>
    <w:rsid w:val="008D0213"/>
    <w:rsid w:val="008D04CE"/>
    <w:rsid w:val="008D0849"/>
    <w:rsid w:val="008D24C1"/>
    <w:rsid w:val="008D3186"/>
    <w:rsid w:val="008D4755"/>
    <w:rsid w:val="008D4C3D"/>
    <w:rsid w:val="008E0D3C"/>
    <w:rsid w:val="008E0DA0"/>
    <w:rsid w:val="008E1A77"/>
    <w:rsid w:val="008E1B9E"/>
    <w:rsid w:val="008E30B9"/>
    <w:rsid w:val="008E532F"/>
    <w:rsid w:val="008E55AB"/>
    <w:rsid w:val="008E58CB"/>
    <w:rsid w:val="008E6427"/>
    <w:rsid w:val="008E6916"/>
    <w:rsid w:val="008E740D"/>
    <w:rsid w:val="008E7AC8"/>
    <w:rsid w:val="008F08E5"/>
    <w:rsid w:val="008F120A"/>
    <w:rsid w:val="008F27B7"/>
    <w:rsid w:val="008F27E0"/>
    <w:rsid w:val="008F2DCC"/>
    <w:rsid w:val="008F2FCF"/>
    <w:rsid w:val="008F48EB"/>
    <w:rsid w:val="008F4F0B"/>
    <w:rsid w:val="008F50C1"/>
    <w:rsid w:val="008F6497"/>
    <w:rsid w:val="008F6FE2"/>
    <w:rsid w:val="00902DBC"/>
    <w:rsid w:val="00903606"/>
    <w:rsid w:val="009046C4"/>
    <w:rsid w:val="00905BDD"/>
    <w:rsid w:val="009062A5"/>
    <w:rsid w:val="009104C4"/>
    <w:rsid w:val="00911272"/>
    <w:rsid w:val="009123D8"/>
    <w:rsid w:val="009135D6"/>
    <w:rsid w:val="00914C77"/>
    <w:rsid w:val="00915F20"/>
    <w:rsid w:val="0092296C"/>
    <w:rsid w:val="0092369B"/>
    <w:rsid w:val="00924624"/>
    <w:rsid w:val="00924943"/>
    <w:rsid w:val="00927537"/>
    <w:rsid w:val="0093068B"/>
    <w:rsid w:val="00930BE2"/>
    <w:rsid w:val="009313C5"/>
    <w:rsid w:val="00931DD5"/>
    <w:rsid w:val="00931F6B"/>
    <w:rsid w:val="00932375"/>
    <w:rsid w:val="00933B98"/>
    <w:rsid w:val="00933E6B"/>
    <w:rsid w:val="009358F6"/>
    <w:rsid w:val="00941144"/>
    <w:rsid w:val="009423BA"/>
    <w:rsid w:val="009425EE"/>
    <w:rsid w:val="00943261"/>
    <w:rsid w:val="00943820"/>
    <w:rsid w:val="00945762"/>
    <w:rsid w:val="009510A2"/>
    <w:rsid w:val="00953257"/>
    <w:rsid w:val="00955A1C"/>
    <w:rsid w:val="00957FFB"/>
    <w:rsid w:val="009604E0"/>
    <w:rsid w:val="009626FF"/>
    <w:rsid w:val="00962904"/>
    <w:rsid w:val="00962CB9"/>
    <w:rsid w:val="00963055"/>
    <w:rsid w:val="00963BBC"/>
    <w:rsid w:val="00964312"/>
    <w:rsid w:val="00965B8A"/>
    <w:rsid w:val="00966DA8"/>
    <w:rsid w:val="00970465"/>
    <w:rsid w:val="00970A79"/>
    <w:rsid w:val="009717AC"/>
    <w:rsid w:val="009718CE"/>
    <w:rsid w:val="00972E28"/>
    <w:rsid w:val="009735B4"/>
    <w:rsid w:val="00973FA9"/>
    <w:rsid w:val="0098137F"/>
    <w:rsid w:val="00981B3C"/>
    <w:rsid w:val="009830A4"/>
    <w:rsid w:val="00983E57"/>
    <w:rsid w:val="00984DA7"/>
    <w:rsid w:val="0098675D"/>
    <w:rsid w:val="00986EA3"/>
    <w:rsid w:val="00991843"/>
    <w:rsid w:val="009925E9"/>
    <w:rsid w:val="00994E79"/>
    <w:rsid w:val="00996B1A"/>
    <w:rsid w:val="0099737E"/>
    <w:rsid w:val="009A0EF3"/>
    <w:rsid w:val="009A7A17"/>
    <w:rsid w:val="009A7F10"/>
    <w:rsid w:val="009B1622"/>
    <w:rsid w:val="009B234D"/>
    <w:rsid w:val="009B3DBE"/>
    <w:rsid w:val="009B3E26"/>
    <w:rsid w:val="009B56F0"/>
    <w:rsid w:val="009B6032"/>
    <w:rsid w:val="009C04E3"/>
    <w:rsid w:val="009C090F"/>
    <w:rsid w:val="009C4275"/>
    <w:rsid w:val="009C5A14"/>
    <w:rsid w:val="009C6143"/>
    <w:rsid w:val="009C6CEA"/>
    <w:rsid w:val="009C7B85"/>
    <w:rsid w:val="009D1300"/>
    <w:rsid w:val="009D3D00"/>
    <w:rsid w:val="009D5146"/>
    <w:rsid w:val="009D5B91"/>
    <w:rsid w:val="009D6993"/>
    <w:rsid w:val="009D792E"/>
    <w:rsid w:val="009E0DFE"/>
    <w:rsid w:val="009E2719"/>
    <w:rsid w:val="009E3D6D"/>
    <w:rsid w:val="009E4C07"/>
    <w:rsid w:val="009E72C4"/>
    <w:rsid w:val="009E7BA0"/>
    <w:rsid w:val="009F04B2"/>
    <w:rsid w:val="009F27D3"/>
    <w:rsid w:val="009F3FB1"/>
    <w:rsid w:val="009F45C7"/>
    <w:rsid w:val="009F4ABD"/>
    <w:rsid w:val="009F5057"/>
    <w:rsid w:val="009F5156"/>
    <w:rsid w:val="009F680B"/>
    <w:rsid w:val="00A00DED"/>
    <w:rsid w:val="00A01184"/>
    <w:rsid w:val="00A0199C"/>
    <w:rsid w:val="00A019F7"/>
    <w:rsid w:val="00A01DC4"/>
    <w:rsid w:val="00A0365B"/>
    <w:rsid w:val="00A03996"/>
    <w:rsid w:val="00A03D43"/>
    <w:rsid w:val="00A04380"/>
    <w:rsid w:val="00A0739F"/>
    <w:rsid w:val="00A07B1E"/>
    <w:rsid w:val="00A10978"/>
    <w:rsid w:val="00A11CD0"/>
    <w:rsid w:val="00A13948"/>
    <w:rsid w:val="00A143C5"/>
    <w:rsid w:val="00A143DE"/>
    <w:rsid w:val="00A1462B"/>
    <w:rsid w:val="00A147E2"/>
    <w:rsid w:val="00A1555B"/>
    <w:rsid w:val="00A155C5"/>
    <w:rsid w:val="00A16AD8"/>
    <w:rsid w:val="00A1789D"/>
    <w:rsid w:val="00A20672"/>
    <w:rsid w:val="00A208AD"/>
    <w:rsid w:val="00A21359"/>
    <w:rsid w:val="00A21CF3"/>
    <w:rsid w:val="00A23F09"/>
    <w:rsid w:val="00A2560F"/>
    <w:rsid w:val="00A262AA"/>
    <w:rsid w:val="00A262B3"/>
    <w:rsid w:val="00A27AEC"/>
    <w:rsid w:val="00A3021F"/>
    <w:rsid w:val="00A307FF"/>
    <w:rsid w:val="00A30FF3"/>
    <w:rsid w:val="00A320DB"/>
    <w:rsid w:val="00A32B59"/>
    <w:rsid w:val="00A34540"/>
    <w:rsid w:val="00A35A6B"/>
    <w:rsid w:val="00A35D16"/>
    <w:rsid w:val="00A37BCD"/>
    <w:rsid w:val="00A4195D"/>
    <w:rsid w:val="00A42DAE"/>
    <w:rsid w:val="00A43492"/>
    <w:rsid w:val="00A43549"/>
    <w:rsid w:val="00A4356C"/>
    <w:rsid w:val="00A439B5"/>
    <w:rsid w:val="00A43C59"/>
    <w:rsid w:val="00A44AC6"/>
    <w:rsid w:val="00A46D04"/>
    <w:rsid w:val="00A46E3B"/>
    <w:rsid w:val="00A47A14"/>
    <w:rsid w:val="00A47BE4"/>
    <w:rsid w:val="00A506D0"/>
    <w:rsid w:val="00A50ECD"/>
    <w:rsid w:val="00A518F3"/>
    <w:rsid w:val="00A51AA3"/>
    <w:rsid w:val="00A52729"/>
    <w:rsid w:val="00A53659"/>
    <w:rsid w:val="00A53675"/>
    <w:rsid w:val="00A54E74"/>
    <w:rsid w:val="00A564D7"/>
    <w:rsid w:val="00A56ABD"/>
    <w:rsid w:val="00A56B6A"/>
    <w:rsid w:val="00A578DC"/>
    <w:rsid w:val="00A60064"/>
    <w:rsid w:val="00A61620"/>
    <w:rsid w:val="00A616A2"/>
    <w:rsid w:val="00A66903"/>
    <w:rsid w:val="00A66E69"/>
    <w:rsid w:val="00A6725B"/>
    <w:rsid w:val="00A67DD2"/>
    <w:rsid w:val="00A70269"/>
    <w:rsid w:val="00A70605"/>
    <w:rsid w:val="00A70F26"/>
    <w:rsid w:val="00A71840"/>
    <w:rsid w:val="00A72EA3"/>
    <w:rsid w:val="00A73134"/>
    <w:rsid w:val="00A73697"/>
    <w:rsid w:val="00A74791"/>
    <w:rsid w:val="00A74E48"/>
    <w:rsid w:val="00A75035"/>
    <w:rsid w:val="00A751D3"/>
    <w:rsid w:val="00A759F2"/>
    <w:rsid w:val="00A76524"/>
    <w:rsid w:val="00A77411"/>
    <w:rsid w:val="00A7753C"/>
    <w:rsid w:val="00A777B2"/>
    <w:rsid w:val="00A8524C"/>
    <w:rsid w:val="00A86E8B"/>
    <w:rsid w:val="00A87164"/>
    <w:rsid w:val="00A90FEB"/>
    <w:rsid w:val="00A910FD"/>
    <w:rsid w:val="00A9151C"/>
    <w:rsid w:val="00A93072"/>
    <w:rsid w:val="00A93953"/>
    <w:rsid w:val="00A93D53"/>
    <w:rsid w:val="00A959D8"/>
    <w:rsid w:val="00A965C3"/>
    <w:rsid w:val="00AA010F"/>
    <w:rsid w:val="00AA01BA"/>
    <w:rsid w:val="00AA1074"/>
    <w:rsid w:val="00AA113D"/>
    <w:rsid w:val="00AA42DA"/>
    <w:rsid w:val="00AA5E66"/>
    <w:rsid w:val="00AA6C7D"/>
    <w:rsid w:val="00AA7FD6"/>
    <w:rsid w:val="00AB042A"/>
    <w:rsid w:val="00AB17F9"/>
    <w:rsid w:val="00AB1CE6"/>
    <w:rsid w:val="00AB1F29"/>
    <w:rsid w:val="00AB2D34"/>
    <w:rsid w:val="00AB3430"/>
    <w:rsid w:val="00AB4AD1"/>
    <w:rsid w:val="00AB7CFA"/>
    <w:rsid w:val="00AC5113"/>
    <w:rsid w:val="00AC5B48"/>
    <w:rsid w:val="00AC62F9"/>
    <w:rsid w:val="00AC7DEB"/>
    <w:rsid w:val="00AD0454"/>
    <w:rsid w:val="00AD1EA4"/>
    <w:rsid w:val="00AD303F"/>
    <w:rsid w:val="00AD3C8A"/>
    <w:rsid w:val="00AD3FE3"/>
    <w:rsid w:val="00AD6502"/>
    <w:rsid w:val="00AE29C1"/>
    <w:rsid w:val="00AF0E17"/>
    <w:rsid w:val="00AF1315"/>
    <w:rsid w:val="00AF19BF"/>
    <w:rsid w:val="00AF1BFC"/>
    <w:rsid w:val="00AF273F"/>
    <w:rsid w:val="00AF2DC3"/>
    <w:rsid w:val="00AF318C"/>
    <w:rsid w:val="00AF4767"/>
    <w:rsid w:val="00AF716A"/>
    <w:rsid w:val="00AF7359"/>
    <w:rsid w:val="00B033E5"/>
    <w:rsid w:val="00B03A63"/>
    <w:rsid w:val="00B06F0D"/>
    <w:rsid w:val="00B0717D"/>
    <w:rsid w:val="00B0758C"/>
    <w:rsid w:val="00B07D84"/>
    <w:rsid w:val="00B10607"/>
    <w:rsid w:val="00B11708"/>
    <w:rsid w:val="00B11DFE"/>
    <w:rsid w:val="00B15310"/>
    <w:rsid w:val="00B17AEF"/>
    <w:rsid w:val="00B201A4"/>
    <w:rsid w:val="00B213A6"/>
    <w:rsid w:val="00B220B2"/>
    <w:rsid w:val="00B22CAE"/>
    <w:rsid w:val="00B24C6B"/>
    <w:rsid w:val="00B24DF6"/>
    <w:rsid w:val="00B30F6B"/>
    <w:rsid w:val="00B34881"/>
    <w:rsid w:val="00B34FE2"/>
    <w:rsid w:val="00B357D8"/>
    <w:rsid w:val="00B35FDB"/>
    <w:rsid w:val="00B35FDC"/>
    <w:rsid w:val="00B37BFC"/>
    <w:rsid w:val="00B40358"/>
    <w:rsid w:val="00B41614"/>
    <w:rsid w:val="00B42851"/>
    <w:rsid w:val="00B42F80"/>
    <w:rsid w:val="00B435CB"/>
    <w:rsid w:val="00B44649"/>
    <w:rsid w:val="00B474D7"/>
    <w:rsid w:val="00B50DB8"/>
    <w:rsid w:val="00B5118C"/>
    <w:rsid w:val="00B52DA2"/>
    <w:rsid w:val="00B53654"/>
    <w:rsid w:val="00B53905"/>
    <w:rsid w:val="00B54B5B"/>
    <w:rsid w:val="00B54BFB"/>
    <w:rsid w:val="00B5562E"/>
    <w:rsid w:val="00B5674F"/>
    <w:rsid w:val="00B57000"/>
    <w:rsid w:val="00B57E6D"/>
    <w:rsid w:val="00B57F9F"/>
    <w:rsid w:val="00B603F7"/>
    <w:rsid w:val="00B60939"/>
    <w:rsid w:val="00B60AFD"/>
    <w:rsid w:val="00B60D30"/>
    <w:rsid w:val="00B61E9E"/>
    <w:rsid w:val="00B62715"/>
    <w:rsid w:val="00B63B25"/>
    <w:rsid w:val="00B64450"/>
    <w:rsid w:val="00B7062D"/>
    <w:rsid w:val="00B7239B"/>
    <w:rsid w:val="00B752C6"/>
    <w:rsid w:val="00B80316"/>
    <w:rsid w:val="00B818A4"/>
    <w:rsid w:val="00B84117"/>
    <w:rsid w:val="00B853BC"/>
    <w:rsid w:val="00B85AA2"/>
    <w:rsid w:val="00B85D47"/>
    <w:rsid w:val="00B8649C"/>
    <w:rsid w:val="00B87F0A"/>
    <w:rsid w:val="00B90D22"/>
    <w:rsid w:val="00B90EF7"/>
    <w:rsid w:val="00B919D1"/>
    <w:rsid w:val="00B91B6B"/>
    <w:rsid w:val="00B92627"/>
    <w:rsid w:val="00B92BCB"/>
    <w:rsid w:val="00B92D0B"/>
    <w:rsid w:val="00B94945"/>
    <w:rsid w:val="00B96F6C"/>
    <w:rsid w:val="00B97408"/>
    <w:rsid w:val="00BA3106"/>
    <w:rsid w:val="00BA322D"/>
    <w:rsid w:val="00BA3894"/>
    <w:rsid w:val="00BA5258"/>
    <w:rsid w:val="00BA5632"/>
    <w:rsid w:val="00BA6CEE"/>
    <w:rsid w:val="00BA7273"/>
    <w:rsid w:val="00BB0BDD"/>
    <w:rsid w:val="00BB1CAB"/>
    <w:rsid w:val="00BB2A73"/>
    <w:rsid w:val="00BB2C6A"/>
    <w:rsid w:val="00BB2E7E"/>
    <w:rsid w:val="00BB4ACC"/>
    <w:rsid w:val="00BB4B13"/>
    <w:rsid w:val="00BB5B8F"/>
    <w:rsid w:val="00BB6F8E"/>
    <w:rsid w:val="00BB703E"/>
    <w:rsid w:val="00BB7405"/>
    <w:rsid w:val="00BB7625"/>
    <w:rsid w:val="00BC05D2"/>
    <w:rsid w:val="00BC3631"/>
    <w:rsid w:val="00BC75EF"/>
    <w:rsid w:val="00BD0633"/>
    <w:rsid w:val="00BD2A78"/>
    <w:rsid w:val="00BD3D8C"/>
    <w:rsid w:val="00BD46BB"/>
    <w:rsid w:val="00BD4D25"/>
    <w:rsid w:val="00BD68A3"/>
    <w:rsid w:val="00BD6938"/>
    <w:rsid w:val="00BD6CF3"/>
    <w:rsid w:val="00BD7393"/>
    <w:rsid w:val="00BE2180"/>
    <w:rsid w:val="00BE21F2"/>
    <w:rsid w:val="00BE2341"/>
    <w:rsid w:val="00BE4275"/>
    <w:rsid w:val="00BE44EF"/>
    <w:rsid w:val="00BE49CE"/>
    <w:rsid w:val="00BE6C38"/>
    <w:rsid w:val="00BF0F95"/>
    <w:rsid w:val="00BF1322"/>
    <w:rsid w:val="00BF1876"/>
    <w:rsid w:val="00BF2433"/>
    <w:rsid w:val="00BF3BD1"/>
    <w:rsid w:val="00BF42C5"/>
    <w:rsid w:val="00BF580D"/>
    <w:rsid w:val="00BF61C9"/>
    <w:rsid w:val="00BF6C94"/>
    <w:rsid w:val="00BF768D"/>
    <w:rsid w:val="00C00424"/>
    <w:rsid w:val="00C00BB3"/>
    <w:rsid w:val="00C01F98"/>
    <w:rsid w:val="00C03899"/>
    <w:rsid w:val="00C04867"/>
    <w:rsid w:val="00C05798"/>
    <w:rsid w:val="00C06637"/>
    <w:rsid w:val="00C07878"/>
    <w:rsid w:val="00C10E8F"/>
    <w:rsid w:val="00C1293C"/>
    <w:rsid w:val="00C12C14"/>
    <w:rsid w:val="00C13646"/>
    <w:rsid w:val="00C1606A"/>
    <w:rsid w:val="00C17B3F"/>
    <w:rsid w:val="00C200AA"/>
    <w:rsid w:val="00C203CC"/>
    <w:rsid w:val="00C21D67"/>
    <w:rsid w:val="00C2215F"/>
    <w:rsid w:val="00C237ED"/>
    <w:rsid w:val="00C24632"/>
    <w:rsid w:val="00C248D4"/>
    <w:rsid w:val="00C25418"/>
    <w:rsid w:val="00C25921"/>
    <w:rsid w:val="00C25D9C"/>
    <w:rsid w:val="00C27468"/>
    <w:rsid w:val="00C2778B"/>
    <w:rsid w:val="00C31649"/>
    <w:rsid w:val="00C33237"/>
    <w:rsid w:val="00C34A9B"/>
    <w:rsid w:val="00C3727B"/>
    <w:rsid w:val="00C37AAB"/>
    <w:rsid w:val="00C40385"/>
    <w:rsid w:val="00C40704"/>
    <w:rsid w:val="00C42328"/>
    <w:rsid w:val="00C451F8"/>
    <w:rsid w:val="00C475AA"/>
    <w:rsid w:val="00C47AA9"/>
    <w:rsid w:val="00C50BB5"/>
    <w:rsid w:val="00C5225E"/>
    <w:rsid w:val="00C522E3"/>
    <w:rsid w:val="00C54AAF"/>
    <w:rsid w:val="00C55B98"/>
    <w:rsid w:val="00C56B31"/>
    <w:rsid w:val="00C65576"/>
    <w:rsid w:val="00C66165"/>
    <w:rsid w:val="00C67577"/>
    <w:rsid w:val="00C701A8"/>
    <w:rsid w:val="00C70923"/>
    <w:rsid w:val="00C7151A"/>
    <w:rsid w:val="00C71C15"/>
    <w:rsid w:val="00C71F60"/>
    <w:rsid w:val="00C72241"/>
    <w:rsid w:val="00C72989"/>
    <w:rsid w:val="00C730E1"/>
    <w:rsid w:val="00C74136"/>
    <w:rsid w:val="00C74D6D"/>
    <w:rsid w:val="00C750C8"/>
    <w:rsid w:val="00C7560F"/>
    <w:rsid w:val="00C758FC"/>
    <w:rsid w:val="00C762B0"/>
    <w:rsid w:val="00C76BC6"/>
    <w:rsid w:val="00C80A0E"/>
    <w:rsid w:val="00C8213F"/>
    <w:rsid w:val="00C82344"/>
    <w:rsid w:val="00C845E4"/>
    <w:rsid w:val="00C85A4C"/>
    <w:rsid w:val="00C8797A"/>
    <w:rsid w:val="00C900B8"/>
    <w:rsid w:val="00C90C33"/>
    <w:rsid w:val="00C90C71"/>
    <w:rsid w:val="00C931CF"/>
    <w:rsid w:val="00C93667"/>
    <w:rsid w:val="00C938CF"/>
    <w:rsid w:val="00C940CF"/>
    <w:rsid w:val="00C95871"/>
    <w:rsid w:val="00C9624D"/>
    <w:rsid w:val="00C969DA"/>
    <w:rsid w:val="00C97286"/>
    <w:rsid w:val="00CA2C77"/>
    <w:rsid w:val="00CA3BAE"/>
    <w:rsid w:val="00CA444F"/>
    <w:rsid w:val="00CA4E96"/>
    <w:rsid w:val="00CA5245"/>
    <w:rsid w:val="00CA5F43"/>
    <w:rsid w:val="00CA71F4"/>
    <w:rsid w:val="00CA7B09"/>
    <w:rsid w:val="00CA7DB6"/>
    <w:rsid w:val="00CB1003"/>
    <w:rsid w:val="00CB1675"/>
    <w:rsid w:val="00CB2F2A"/>
    <w:rsid w:val="00CB5202"/>
    <w:rsid w:val="00CB5B1A"/>
    <w:rsid w:val="00CB5BEC"/>
    <w:rsid w:val="00CB6B22"/>
    <w:rsid w:val="00CB7F5F"/>
    <w:rsid w:val="00CC17CD"/>
    <w:rsid w:val="00CC1B39"/>
    <w:rsid w:val="00CC1F4F"/>
    <w:rsid w:val="00CC31F8"/>
    <w:rsid w:val="00CC4515"/>
    <w:rsid w:val="00CC4AE4"/>
    <w:rsid w:val="00CC4C62"/>
    <w:rsid w:val="00CC5258"/>
    <w:rsid w:val="00CD0147"/>
    <w:rsid w:val="00CD1512"/>
    <w:rsid w:val="00CD3522"/>
    <w:rsid w:val="00CD488D"/>
    <w:rsid w:val="00CD61A3"/>
    <w:rsid w:val="00CD63BD"/>
    <w:rsid w:val="00CD6ADC"/>
    <w:rsid w:val="00CD7D85"/>
    <w:rsid w:val="00CE3168"/>
    <w:rsid w:val="00CE32DD"/>
    <w:rsid w:val="00CE6274"/>
    <w:rsid w:val="00CE760B"/>
    <w:rsid w:val="00CF2B8D"/>
    <w:rsid w:val="00CF309D"/>
    <w:rsid w:val="00CF4102"/>
    <w:rsid w:val="00CF44D0"/>
    <w:rsid w:val="00CF456B"/>
    <w:rsid w:val="00CF5A22"/>
    <w:rsid w:val="00CF60CA"/>
    <w:rsid w:val="00CF77B6"/>
    <w:rsid w:val="00D014D6"/>
    <w:rsid w:val="00D0262E"/>
    <w:rsid w:val="00D06714"/>
    <w:rsid w:val="00D0742C"/>
    <w:rsid w:val="00D07C45"/>
    <w:rsid w:val="00D1012E"/>
    <w:rsid w:val="00D110BD"/>
    <w:rsid w:val="00D1344C"/>
    <w:rsid w:val="00D13675"/>
    <w:rsid w:val="00D141E1"/>
    <w:rsid w:val="00D1519E"/>
    <w:rsid w:val="00D15FDF"/>
    <w:rsid w:val="00D16796"/>
    <w:rsid w:val="00D17D6C"/>
    <w:rsid w:val="00D20188"/>
    <w:rsid w:val="00D209D4"/>
    <w:rsid w:val="00D20E66"/>
    <w:rsid w:val="00D2505F"/>
    <w:rsid w:val="00D25DA2"/>
    <w:rsid w:val="00D2754D"/>
    <w:rsid w:val="00D27B27"/>
    <w:rsid w:val="00D33BE9"/>
    <w:rsid w:val="00D357FF"/>
    <w:rsid w:val="00D36A2E"/>
    <w:rsid w:val="00D40DF1"/>
    <w:rsid w:val="00D41BAA"/>
    <w:rsid w:val="00D424C7"/>
    <w:rsid w:val="00D43624"/>
    <w:rsid w:val="00D43B2A"/>
    <w:rsid w:val="00D4419B"/>
    <w:rsid w:val="00D450A6"/>
    <w:rsid w:val="00D47575"/>
    <w:rsid w:val="00D47702"/>
    <w:rsid w:val="00D50B09"/>
    <w:rsid w:val="00D51EEF"/>
    <w:rsid w:val="00D545F6"/>
    <w:rsid w:val="00D54A49"/>
    <w:rsid w:val="00D5617E"/>
    <w:rsid w:val="00D57239"/>
    <w:rsid w:val="00D61F25"/>
    <w:rsid w:val="00D64795"/>
    <w:rsid w:val="00D65FA8"/>
    <w:rsid w:val="00D67649"/>
    <w:rsid w:val="00D70F16"/>
    <w:rsid w:val="00D71200"/>
    <w:rsid w:val="00D72CF0"/>
    <w:rsid w:val="00D73498"/>
    <w:rsid w:val="00D740D0"/>
    <w:rsid w:val="00D76A44"/>
    <w:rsid w:val="00D80D99"/>
    <w:rsid w:val="00D815EF"/>
    <w:rsid w:val="00D82557"/>
    <w:rsid w:val="00D83668"/>
    <w:rsid w:val="00D83D58"/>
    <w:rsid w:val="00D85A76"/>
    <w:rsid w:val="00D91923"/>
    <w:rsid w:val="00D936F5"/>
    <w:rsid w:val="00D93753"/>
    <w:rsid w:val="00DA3167"/>
    <w:rsid w:val="00DA3287"/>
    <w:rsid w:val="00DA3B81"/>
    <w:rsid w:val="00DA4DC3"/>
    <w:rsid w:val="00DA77A5"/>
    <w:rsid w:val="00DB15C0"/>
    <w:rsid w:val="00DB1CCE"/>
    <w:rsid w:val="00DB484F"/>
    <w:rsid w:val="00DB624D"/>
    <w:rsid w:val="00DB66E4"/>
    <w:rsid w:val="00DB69B6"/>
    <w:rsid w:val="00DB7466"/>
    <w:rsid w:val="00DC04F6"/>
    <w:rsid w:val="00DC0831"/>
    <w:rsid w:val="00DC108F"/>
    <w:rsid w:val="00DC229E"/>
    <w:rsid w:val="00DC2493"/>
    <w:rsid w:val="00DC26E5"/>
    <w:rsid w:val="00DC3C57"/>
    <w:rsid w:val="00DC412E"/>
    <w:rsid w:val="00DC46E6"/>
    <w:rsid w:val="00DC5501"/>
    <w:rsid w:val="00DC5514"/>
    <w:rsid w:val="00DC6BAA"/>
    <w:rsid w:val="00DC794B"/>
    <w:rsid w:val="00DC7C22"/>
    <w:rsid w:val="00DD08BD"/>
    <w:rsid w:val="00DD1458"/>
    <w:rsid w:val="00DD16A4"/>
    <w:rsid w:val="00DD1DDD"/>
    <w:rsid w:val="00DD273C"/>
    <w:rsid w:val="00DD3F28"/>
    <w:rsid w:val="00DD4470"/>
    <w:rsid w:val="00DD4537"/>
    <w:rsid w:val="00DD4E15"/>
    <w:rsid w:val="00DD7D22"/>
    <w:rsid w:val="00DE0A34"/>
    <w:rsid w:val="00DE3138"/>
    <w:rsid w:val="00DE3621"/>
    <w:rsid w:val="00DE37F8"/>
    <w:rsid w:val="00DE39DE"/>
    <w:rsid w:val="00DE4FCB"/>
    <w:rsid w:val="00DE50D8"/>
    <w:rsid w:val="00DE7832"/>
    <w:rsid w:val="00DF18FC"/>
    <w:rsid w:val="00DF5D2B"/>
    <w:rsid w:val="00DF5ECE"/>
    <w:rsid w:val="00DF60D7"/>
    <w:rsid w:val="00DF6764"/>
    <w:rsid w:val="00E009BA"/>
    <w:rsid w:val="00E00E8E"/>
    <w:rsid w:val="00E00EFB"/>
    <w:rsid w:val="00E0193A"/>
    <w:rsid w:val="00E033B9"/>
    <w:rsid w:val="00E049AB"/>
    <w:rsid w:val="00E05630"/>
    <w:rsid w:val="00E06DBB"/>
    <w:rsid w:val="00E07BE3"/>
    <w:rsid w:val="00E10149"/>
    <w:rsid w:val="00E13BD9"/>
    <w:rsid w:val="00E16372"/>
    <w:rsid w:val="00E16781"/>
    <w:rsid w:val="00E20E4D"/>
    <w:rsid w:val="00E20ED6"/>
    <w:rsid w:val="00E21358"/>
    <w:rsid w:val="00E2249B"/>
    <w:rsid w:val="00E22A0D"/>
    <w:rsid w:val="00E22A6E"/>
    <w:rsid w:val="00E2771E"/>
    <w:rsid w:val="00E3178C"/>
    <w:rsid w:val="00E31AF3"/>
    <w:rsid w:val="00E33519"/>
    <w:rsid w:val="00E347C7"/>
    <w:rsid w:val="00E34948"/>
    <w:rsid w:val="00E35188"/>
    <w:rsid w:val="00E35C5E"/>
    <w:rsid w:val="00E35DF8"/>
    <w:rsid w:val="00E3752F"/>
    <w:rsid w:val="00E37569"/>
    <w:rsid w:val="00E37A56"/>
    <w:rsid w:val="00E403AF"/>
    <w:rsid w:val="00E40501"/>
    <w:rsid w:val="00E40B02"/>
    <w:rsid w:val="00E41109"/>
    <w:rsid w:val="00E41E30"/>
    <w:rsid w:val="00E43D69"/>
    <w:rsid w:val="00E43D70"/>
    <w:rsid w:val="00E449BA"/>
    <w:rsid w:val="00E44E0F"/>
    <w:rsid w:val="00E4606D"/>
    <w:rsid w:val="00E466F3"/>
    <w:rsid w:val="00E47B2C"/>
    <w:rsid w:val="00E50CCA"/>
    <w:rsid w:val="00E51560"/>
    <w:rsid w:val="00E523A8"/>
    <w:rsid w:val="00E54347"/>
    <w:rsid w:val="00E54AF8"/>
    <w:rsid w:val="00E54E8D"/>
    <w:rsid w:val="00E55424"/>
    <w:rsid w:val="00E554B9"/>
    <w:rsid w:val="00E55BB5"/>
    <w:rsid w:val="00E56410"/>
    <w:rsid w:val="00E64EBC"/>
    <w:rsid w:val="00E6509F"/>
    <w:rsid w:val="00E65E79"/>
    <w:rsid w:val="00E66BA2"/>
    <w:rsid w:val="00E67416"/>
    <w:rsid w:val="00E67554"/>
    <w:rsid w:val="00E7106A"/>
    <w:rsid w:val="00E718B6"/>
    <w:rsid w:val="00E71EA7"/>
    <w:rsid w:val="00E723BA"/>
    <w:rsid w:val="00E725FE"/>
    <w:rsid w:val="00E73581"/>
    <w:rsid w:val="00E7415D"/>
    <w:rsid w:val="00E76C3A"/>
    <w:rsid w:val="00E80235"/>
    <w:rsid w:val="00E805C2"/>
    <w:rsid w:val="00E810FE"/>
    <w:rsid w:val="00E81336"/>
    <w:rsid w:val="00E81903"/>
    <w:rsid w:val="00E833F7"/>
    <w:rsid w:val="00E83BDF"/>
    <w:rsid w:val="00E83E48"/>
    <w:rsid w:val="00E867CC"/>
    <w:rsid w:val="00E86D67"/>
    <w:rsid w:val="00E87A1D"/>
    <w:rsid w:val="00E9215E"/>
    <w:rsid w:val="00E926A5"/>
    <w:rsid w:val="00E92F7A"/>
    <w:rsid w:val="00E94CE0"/>
    <w:rsid w:val="00E94E54"/>
    <w:rsid w:val="00E95149"/>
    <w:rsid w:val="00E9538B"/>
    <w:rsid w:val="00E96CA3"/>
    <w:rsid w:val="00EA0CBA"/>
    <w:rsid w:val="00EA135F"/>
    <w:rsid w:val="00EA17C3"/>
    <w:rsid w:val="00EA1CB0"/>
    <w:rsid w:val="00EA266E"/>
    <w:rsid w:val="00EA2CA2"/>
    <w:rsid w:val="00EA2CAA"/>
    <w:rsid w:val="00EA3864"/>
    <w:rsid w:val="00EA39C2"/>
    <w:rsid w:val="00EA5C02"/>
    <w:rsid w:val="00EA754B"/>
    <w:rsid w:val="00EA799B"/>
    <w:rsid w:val="00EB15B6"/>
    <w:rsid w:val="00EB1F9D"/>
    <w:rsid w:val="00EB3EFA"/>
    <w:rsid w:val="00EB4916"/>
    <w:rsid w:val="00EB7C01"/>
    <w:rsid w:val="00EB7DDB"/>
    <w:rsid w:val="00EB7F08"/>
    <w:rsid w:val="00EC00C9"/>
    <w:rsid w:val="00EC2649"/>
    <w:rsid w:val="00EC7616"/>
    <w:rsid w:val="00ED06BA"/>
    <w:rsid w:val="00ED1A31"/>
    <w:rsid w:val="00ED1B31"/>
    <w:rsid w:val="00ED57EA"/>
    <w:rsid w:val="00EE07D3"/>
    <w:rsid w:val="00EE111D"/>
    <w:rsid w:val="00EE1974"/>
    <w:rsid w:val="00EE1A74"/>
    <w:rsid w:val="00EE22AF"/>
    <w:rsid w:val="00EE2370"/>
    <w:rsid w:val="00EE2C35"/>
    <w:rsid w:val="00EE491E"/>
    <w:rsid w:val="00EE4C36"/>
    <w:rsid w:val="00EE7EEC"/>
    <w:rsid w:val="00EF0171"/>
    <w:rsid w:val="00EF1B25"/>
    <w:rsid w:val="00EF34F5"/>
    <w:rsid w:val="00EF4747"/>
    <w:rsid w:val="00EF4BF8"/>
    <w:rsid w:val="00EF5932"/>
    <w:rsid w:val="00EF5972"/>
    <w:rsid w:val="00EF79A3"/>
    <w:rsid w:val="00F01DC8"/>
    <w:rsid w:val="00F02253"/>
    <w:rsid w:val="00F03C2E"/>
    <w:rsid w:val="00F04A66"/>
    <w:rsid w:val="00F0516C"/>
    <w:rsid w:val="00F067A2"/>
    <w:rsid w:val="00F10C60"/>
    <w:rsid w:val="00F11162"/>
    <w:rsid w:val="00F11373"/>
    <w:rsid w:val="00F1263A"/>
    <w:rsid w:val="00F16F94"/>
    <w:rsid w:val="00F219A3"/>
    <w:rsid w:val="00F24837"/>
    <w:rsid w:val="00F24A37"/>
    <w:rsid w:val="00F2575F"/>
    <w:rsid w:val="00F27565"/>
    <w:rsid w:val="00F30440"/>
    <w:rsid w:val="00F310D4"/>
    <w:rsid w:val="00F31AA6"/>
    <w:rsid w:val="00F31D5A"/>
    <w:rsid w:val="00F32C1E"/>
    <w:rsid w:val="00F33DE9"/>
    <w:rsid w:val="00F34131"/>
    <w:rsid w:val="00F344EA"/>
    <w:rsid w:val="00F35323"/>
    <w:rsid w:val="00F3619A"/>
    <w:rsid w:val="00F36BC2"/>
    <w:rsid w:val="00F40AAA"/>
    <w:rsid w:val="00F40BA7"/>
    <w:rsid w:val="00F43520"/>
    <w:rsid w:val="00F453A9"/>
    <w:rsid w:val="00F4546C"/>
    <w:rsid w:val="00F46CB6"/>
    <w:rsid w:val="00F47DE8"/>
    <w:rsid w:val="00F502C4"/>
    <w:rsid w:val="00F51D8A"/>
    <w:rsid w:val="00F53107"/>
    <w:rsid w:val="00F542C1"/>
    <w:rsid w:val="00F55A17"/>
    <w:rsid w:val="00F55E73"/>
    <w:rsid w:val="00F55EDA"/>
    <w:rsid w:val="00F5621A"/>
    <w:rsid w:val="00F56CBF"/>
    <w:rsid w:val="00F60092"/>
    <w:rsid w:val="00F60439"/>
    <w:rsid w:val="00F60C63"/>
    <w:rsid w:val="00F620F7"/>
    <w:rsid w:val="00F65F4B"/>
    <w:rsid w:val="00F67B63"/>
    <w:rsid w:val="00F70613"/>
    <w:rsid w:val="00F70C9D"/>
    <w:rsid w:val="00F70F54"/>
    <w:rsid w:val="00F71B06"/>
    <w:rsid w:val="00F73140"/>
    <w:rsid w:val="00F744FA"/>
    <w:rsid w:val="00F74A32"/>
    <w:rsid w:val="00F74CD9"/>
    <w:rsid w:val="00F74FE1"/>
    <w:rsid w:val="00F75D8C"/>
    <w:rsid w:val="00F80501"/>
    <w:rsid w:val="00F80A7B"/>
    <w:rsid w:val="00F80E5D"/>
    <w:rsid w:val="00F811DB"/>
    <w:rsid w:val="00F816FE"/>
    <w:rsid w:val="00F82B9B"/>
    <w:rsid w:val="00F83420"/>
    <w:rsid w:val="00F84566"/>
    <w:rsid w:val="00F851CE"/>
    <w:rsid w:val="00F873B1"/>
    <w:rsid w:val="00F90627"/>
    <w:rsid w:val="00F91219"/>
    <w:rsid w:val="00F921D6"/>
    <w:rsid w:val="00F94113"/>
    <w:rsid w:val="00F94C70"/>
    <w:rsid w:val="00F952ED"/>
    <w:rsid w:val="00F974EB"/>
    <w:rsid w:val="00F97A78"/>
    <w:rsid w:val="00FA06D0"/>
    <w:rsid w:val="00FA0B20"/>
    <w:rsid w:val="00FA17AA"/>
    <w:rsid w:val="00FA2135"/>
    <w:rsid w:val="00FA24E7"/>
    <w:rsid w:val="00FA3B26"/>
    <w:rsid w:val="00FA4F97"/>
    <w:rsid w:val="00FA66B9"/>
    <w:rsid w:val="00FA699A"/>
    <w:rsid w:val="00FB2FCB"/>
    <w:rsid w:val="00FB4961"/>
    <w:rsid w:val="00FB61A8"/>
    <w:rsid w:val="00FB6935"/>
    <w:rsid w:val="00FB7429"/>
    <w:rsid w:val="00FC0183"/>
    <w:rsid w:val="00FC1074"/>
    <w:rsid w:val="00FC1884"/>
    <w:rsid w:val="00FC2BD8"/>
    <w:rsid w:val="00FC371D"/>
    <w:rsid w:val="00FC4D0C"/>
    <w:rsid w:val="00FC5F0B"/>
    <w:rsid w:val="00FC6412"/>
    <w:rsid w:val="00FC7AFF"/>
    <w:rsid w:val="00FD0203"/>
    <w:rsid w:val="00FD1848"/>
    <w:rsid w:val="00FD2100"/>
    <w:rsid w:val="00FD436C"/>
    <w:rsid w:val="00FD446D"/>
    <w:rsid w:val="00FD6394"/>
    <w:rsid w:val="00FE0E6C"/>
    <w:rsid w:val="00FE41DD"/>
    <w:rsid w:val="00FE70C3"/>
    <w:rsid w:val="00FF2911"/>
    <w:rsid w:val="00FF380B"/>
    <w:rsid w:val="00FF3DCF"/>
    <w:rsid w:val="00FF492C"/>
    <w:rsid w:val="00FF4A21"/>
    <w:rsid w:val="00FF5818"/>
    <w:rsid w:val="00FF5AA3"/>
    <w:rsid w:val="00FF5AD8"/>
    <w:rsid w:val="00FF6130"/>
    <w:rsid w:val="00FF7B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FA3B26"/>
    <w:pPr>
      <w:keepNext/>
      <w:spacing w:after="120"/>
      <w:outlineLvl w:val="0"/>
    </w:pPr>
  </w:style>
  <w:style w:type="paragraph" w:styleId="Heading2">
    <w:name w:val="heading 2"/>
    <w:basedOn w:val="Normal"/>
    <w:next w:val="Normal"/>
    <w:link w:val="Heading2Char"/>
    <w:qFormat/>
    <w:rsid w:val="00FA3B26"/>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A3B26"/>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A5C02"/>
    <w:pPr>
      <w:numPr>
        <w:numId w:val="3"/>
      </w:numPr>
      <w:outlineLvl w:val="1"/>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itle">
    <w:name w:val="Table title"/>
    <w:basedOn w:val="Normal"/>
    <w:link w:val="TabletitleChar"/>
    <w:autoRedefine/>
    <w:rsid w:val="00221265"/>
    <w:pPr>
      <w:widowControl/>
      <w:ind w:left="1440" w:hanging="1440"/>
    </w:pPr>
    <w:rPr>
      <w:rFonts w:ascii="Arial" w:eastAsia="SimSun" w:hAnsi="Arial" w:cs="Times New Roman"/>
      <w:b/>
      <w:snapToGrid/>
      <w:sz w:val="20"/>
      <w:szCs w:val="24"/>
      <w:lang w:val="en-GB" w:eastAsia="zh-CN"/>
    </w:rPr>
  </w:style>
  <w:style w:type="character" w:customStyle="1" w:styleId="TabletitleChar">
    <w:name w:val="Table title Char"/>
    <w:basedOn w:val="DefaultParagraphFont"/>
    <w:link w:val="Tabletitle"/>
    <w:rsid w:val="00221265"/>
    <w:rPr>
      <w:rFonts w:ascii="Arial" w:eastAsia="SimSun" w:hAnsi="Arial"/>
      <w:b/>
      <w:szCs w:val="24"/>
      <w:lang w:val="en-GB" w:eastAsia="zh-CN"/>
    </w:rPr>
  </w:style>
  <w:style w:type="paragraph" w:customStyle="1" w:styleId="tabletext0">
    <w:name w:val="table text"/>
    <w:basedOn w:val="Normal"/>
    <w:autoRedefine/>
    <w:rsid w:val="00221265"/>
    <w:pPr>
      <w:widowControl/>
      <w:jc w:val="left"/>
    </w:pPr>
    <w:rPr>
      <w:rFonts w:ascii="Arial" w:eastAsia="SimSun" w:hAnsi="Arial" w:cs="Times New Roman"/>
      <w:snapToGrid/>
      <w:sz w:val="16"/>
      <w:szCs w:val="18"/>
      <w:lang w:val="en-US" w:eastAsia="zh-CN"/>
    </w:rPr>
  </w:style>
  <w:style w:type="character" w:customStyle="1" w:styleId="StyleArialBold">
    <w:name w:val="Style Arial Bold"/>
    <w:basedOn w:val="DefaultParagraphFont"/>
    <w:rsid w:val="00221265"/>
    <w:rPr>
      <w:rFonts w:ascii="Arial" w:hAnsi="Arial"/>
      <w:b/>
      <w:bCs/>
      <w:sz w:val="20"/>
    </w:rPr>
  </w:style>
  <w:style w:type="paragraph" w:customStyle="1" w:styleId="StyleArialCentered">
    <w:name w:val="Style Arial Centered"/>
    <w:basedOn w:val="Normal"/>
    <w:rsid w:val="00221265"/>
    <w:pPr>
      <w:widowControl/>
      <w:jc w:val="center"/>
    </w:pPr>
    <w:rPr>
      <w:rFonts w:ascii="Arial" w:hAnsi="Arial" w:cs="Times New Roman"/>
      <w:snapToGrid/>
      <w:sz w:val="20"/>
      <w:szCs w:val="20"/>
      <w:lang w:val="en-US"/>
    </w:rPr>
  </w:style>
  <w:style w:type="paragraph" w:customStyle="1" w:styleId="StyleArialBoldCentered">
    <w:name w:val="Style Arial Bold Centered"/>
    <w:basedOn w:val="Normal"/>
    <w:rsid w:val="00221265"/>
    <w:pPr>
      <w:widowControl/>
      <w:jc w:val="center"/>
    </w:pPr>
    <w:rPr>
      <w:rFonts w:ascii="Arial" w:hAnsi="Arial" w:cs="Times New Roman"/>
      <w:b/>
      <w:bCs/>
      <w:snapToGrid/>
      <w:sz w:val="20"/>
      <w:szCs w:val="20"/>
      <w:lang w:val="en-US"/>
    </w:rPr>
  </w:style>
  <w:style w:type="paragraph" w:customStyle="1" w:styleId="V50Instructions">
    <w:name w:val="V5.0 Instructions"/>
    <w:basedOn w:val="Normal"/>
    <w:link w:val="V50InstructionsChar"/>
    <w:qFormat/>
    <w:rsid w:val="00221265"/>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221265"/>
    <w:rPr>
      <w:rFonts w:asciiTheme="minorHAnsi" w:eastAsiaTheme="minorHAnsi" w:hAnsiTheme="minorHAnsi" w:cstheme="minorBidi"/>
      <w:color w:val="4BACC6" w:themeColor="accent5"/>
      <w:sz w:val="24"/>
      <w:szCs w:val="22"/>
      <w:lang w:eastAsia="en-US"/>
    </w:rPr>
  </w:style>
  <w:style w:type="paragraph" w:customStyle="1" w:styleId="TableorfigureAbbreviationsandSource">
    <w:name w:val="Table or figure Abbreviations and Source"/>
    <w:next w:val="Normal"/>
    <w:qFormat/>
    <w:rsid w:val="00F82B9B"/>
    <w:pPr>
      <w:spacing w:after="240"/>
      <w:contextualSpacing/>
    </w:pPr>
    <w:rPr>
      <w:rFonts w:ascii="Calibri" w:eastAsia="Calibri" w:hAnsi="Calibri"/>
      <w:sz w:val="16"/>
      <w:szCs w:val="22"/>
      <w:lang w:eastAsia="zh-CN"/>
    </w:rPr>
  </w:style>
  <w:style w:type="paragraph" w:customStyle="1" w:styleId="aTitle">
    <w:name w:val="aTitle"/>
    <w:basedOn w:val="Normal"/>
    <w:qFormat/>
    <w:rsid w:val="00EA5C02"/>
    <w:pPr>
      <w:outlineLvl w:val="0"/>
    </w:pPr>
    <w:rPr>
      <w:b/>
      <w:sz w:val="36"/>
      <w:szCs w:val="36"/>
    </w:rPr>
  </w:style>
  <w:style w:type="paragraph" w:styleId="FootnoteText">
    <w:name w:val="footnote text"/>
    <w:basedOn w:val="Normal"/>
    <w:link w:val="FootnoteTextChar"/>
    <w:semiHidden/>
    <w:unhideWhenUsed/>
    <w:rsid w:val="007A5F66"/>
    <w:rPr>
      <w:sz w:val="20"/>
      <w:szCs w:val="20"/>
    </w:rPr>
  </w:style>
  <w:style w:type="character" w:customStyle="1" w:styleId="FootnoteTextChar">
    <w:name w:val="Footnote Text Char"/>
    <w:basedOn w:val="DefaultParagraphFont"/>
    <w:link w:val="FootnoteText"/>
    <w:semiHidden/>
    <w:rsid w:val="007A5F66"/>
    <w:rPr>
      <w:rFonts w:ascii="Calibri" w:hAnsi="Calibri" w:cs="Arial"/>
      <w:snapToGrid w:val="0"/>
      <w:lang w:eastAsia="en-US"/>
    </w:rPr>
  </w:style>
  <w:style w:type="character" w:styleId="FootnoteReference">
    <w:name w:val="footnote reference"/>
    <w:basedOn w:val="DefaultParagraphFont"/>
    <w:semiHidden/>
    <w:unhideWhenUsed/>
    <w:rsid w:val="007A5F66"/>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F1BFC"/>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69115">
      <w:bodyDiv w:val="1"/>
      <w:marLeft w:val="0"/>
      <w:marRight w:val="0"/>
      <w:marTop w:val="0"/>
      <w:marBottom w:val="0"/>
      <w:divBdr>
        <w:top w:val="none" w:sz="0" w:space="0" w:color="auto"/>
        <w:left w:val="none" w:sz="0" w:space="0" w:color="auto"/>
        <w:bottom w:val="none" w:sz="0" w:space="0" w:color="auto"/>
        <w:right w:val="none" w:sz="0" w:space="0" w:color="auto"/>
      </w:divBdr>
    </w:div>
    <w:div w:id="813722746">
      <w:bodyDiv w:val="1"/>
      <w:marLeft w:val="0"/>
      <w:marRight w:val="0"/>
      <w:marTop w:val="0"/>
      <w:marBottom w:val="0"/>
      <w:divBdr>
        <w:top w:val="none" w:sz="0" w:space="0" w:color="auto"/>
        <w:left w:val="none" w:sz="0" w:space="0" w:color="auto"/>
        <w:bottom w:val="none" w:sz="0" w:space="0" w:color="auto"/>
        <w:right w:val="none" w:sz="0" w:space="0" w:color="auto"/>
      </w:divBdr>
    </w:div>
    <w:div w:id="1402752118">
      <w:bodyDiv w:val="1"/>
      <w:marLeft w:val="0"/>
      <w:marRight w:val="0"/>
      <w:marTop w:val="0"/>
      <w:marBottom w:val="0"/>
      <w:divBdr>
        <w:top w:val="none" w:sz="0" w:space="0" w:color="auto"/>
        <w:left w:val="none" w:sz="0" w:space="0" w:color="auto"/>
        <w:bottom w:val="none" w:sz="0" w:space="0" w:color="auto"/>
        <w:right w:val="none" w:sz="0" w:space="0" w:color="auto"/>
      </w:divBdr>
    </w:div>
    <w:div w:id="1471247632">
      <w:bodyDiv w:val="1"/>
      <w:marLeft w:val="0"/>
      <w:marRight w:val="0"/>
      <w:marTop w:val="0"/>
      <w:marBottom w:val="0"/>
      <w:divBdr>
        <w:top w:val="none" w:sz="0" w:space="0" w:color="auto"/>
        <w:left w:val="none" w:sz="0" w:space="0" w:color="auto"/>
        <w:bottom w:val="none" w:sz="0" w:space="0" w:color="auto"/>
        <w:right w:val="none" w:sz="0" w:space="0" w:color="auto"/>
      </w:divBdr>
    </w:div>
    <w:div w:id="1518932436">
      <w:bodyDiv w:val="1"/>
      <w:marLeft w:val="0"/>
      <w:marRight w:val="0"/>
      <w:marTop w:val="0"/>
      <w:marBottom w:val="0"/>
      <w:divBdr>
        <w:top w:val="none" w:sz="0" w:space="0" w:color="auto"/>
        <w:left w:val="none" w:sz="0" w:space="0" w:color="auto"/>
        <w:bottom w:val="none" w:sz="0" w:space="0" w:color="auto"/>
        <w:right w:val="none" w:sz="0" w:space="0" w:color="auto"/>
      </w:divBdr>
    </w:div>
    <w:div w:id="1557661108">
      <w:bodyDiv w:val="1"/>
      <w:marLeft w:val="0"/>
      <w:marRight w:val="0"/>
      <w:marTop w:val="0"/>
      <w:marBottom w:val="0"/>
      <w:divBdr>
        <w:top w:val="none" w:sz="0" w:space="0" w:color="auto"/>
        <w:left w:val="none" w:sz="0" w:space="0" w:color="auto"/>
        <w:bottom w:val="none" w:sz="0" w:space="0" w:color="auto"/>
        <w:right w:val="none" w:sz="0" w:space="0" w:color="auto"/>
      </w:divBdr>
    </w:div>
    <w:div w:id="1761221618">
      <w:bodyDiv w:val="1"/>
      <w:marLeft w:val="0"/>
      <w:marRight w:val="0"/>
      <w:marTop w:val="0"/>
      <w:marBottom w:val="0"/>
      <w:divBdr>
        <w:top w:val="none" w:sz="0" w:space="0" w:color="auto"/>
        <w:left w:val="none" w:sz="0" w:space="0" w:color="auto"/>
        <w:bottom w:val="none" w:sz="0" w:space="0" w:color="auto"/>
        <w:right w:val="none" w:sz="0" w:space="0" w:color="auto"/>
      </w:divBdr>
    </w:div>
    <w:div w:id="19723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0828-B1E0-43DD-B365-22BC135D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6775</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2019-02-20T04:54:00Z</dcterms:created>
  <dcterms:modified xsi:type="dcterms:W3CDTF">2019-02-20T04:54:00Z</dcterms:modified>
</cp:coreProperties>
</file>