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D6" w:rsidRPr="00243081" w:rsidRDefault="00EC786B" w:rsidP="00410853">
      <w:pPr>
        <w:rPr>
          <w:b/>
          <w:sz w:val="36"/>
          <w:szCs w:val="36"/>
        </w:rPr>
      </w:pPr>
      <w:r w:rsidRPr="00243081">
        <w:rPr>
          <w:b/>
          <w:sz w:val="36"/>
          <w:szCs w:val="36"/>
        </w:rPr>
        <w:t>6.06</w:t>
      </w:r>
      <w:r w:rsidR="00B60939" w:rsidRPr="00243081">
        <w:rPr>
          <w:b/>
          <w:sz w:val="36"/>
          <w:szCs w:val="36"/>
        </w:rPr>
        <w:tab/>
      </w:r>
      <w:proofErr w:type="spellStart"/>
      <w:r w:rsidR="00C62E32" w:rsidRPr="00243081">
        <w:rPr>
          <w:b/>
          <w:sz w:val="36"/>
          <w:szCs w:val="36"/>
        </w:rPr>
        <w:t>Pembrolizumab</w:t>
      </w:r>
      <w:proofErr w:type="spellEnd"/>
      <w:r w:rsidR="00C62E32" w:rsidRPr="00243081">
        <w:rPr>
          <w:b/>
          <w:sz w:val="36"/>
          <w:szCs w:val="36"/>
        </w:rPr>
        <w:t xml:space="preserve">, </w:t>
      </w:r>
    </w:p>
    <w:p w:rsidR="00E15CFF" w:rsidRPr="00243081" w:rsidRDefault="002D52D6" w:rsidP="002D52D6">
      <w:pPr>
        <w:ind w:firstLine="720"/>
        <w:rPr>
          <w:b/>
          <w:sz w:val="36"/>
          <w:szCs w:val="36"/>
        </w:rPr>
      </w:pPr>
      <w:r w:rsidRPr="00243081">
        <w:rPr>
          <w:b/>
          <w:sz w:val="36"/>
          <w:szCs w:val="36"/>
        </w:rPr>
        <w:t>I</w:t>
      </w:r>
      <w:r w:rsidR="00C62E32" w:rsidRPr="00243081">
        <w:rPr>
          <w:b/>
          <w:sz w:val="36"/>
          <w:szCs w:val="36"/>
        </w:rPr>
        <w:t>njection, 100</w:t>
      </w:r>
      <w:r w:rsidR="00B1228A" w:rsidRPr="00243081">
        <w:rPr>
          <w:b/>
          <w:sz w:val="36"/>
          <w:szCs w:val="36"/>
        </w:rPr>
        <w:t xml:space="preserve"> </w:t>
      </w:r>
      <w:r w:rsidR="00C62E32" w:rsidRPr="00243081">
        <w:rPr>
          <w:b/>
          <w:sz w:val="36"/>
          <w:szCs w:val="36"/>
        </w:rPr>
        <w:t>mg</w:t>
      </w:r>
      <w:r w:rsidR="00B1228A" w:rsidRPr="00243081">
        <w:rPr>
          <w:b/>
          <w:sz w:val="36"/>
          <w:szCs w:val="36"/>
        </w:rPr>
        <w:t>/4 mL</w:t>
      </w:r>
      <w:r w:rsidR="00C62E32" w:rsidRPr="00243081">
        <w:rPr>
          <w:b/>
          <w:sz w:val="36"/>
          <w:szCs w:val="36"/>
        </w:rPr>
        <w:t xml:space="preserve">, </w:t>
      </w:r>
    </w:p>
    <w:p w:rsidR="00817829" w:rsidRDefault="00C62E32" w:rsidP="00E15CFF">
      <w:pPr>
        <w:ind w:firstLine="720"/>
        <w:rPr>
          <w:b/>
          <w:sz w:val="36"/>
          <w:szCs w:val="36"/>
        </w:rPr>
      </w:pPr>
      <w:proofErr w:type="spellStart"/>
      <w:r w:rsidRPr="00243081">
        <w:rPr>
          <w:b/>
          <w:sz w:val="36"/>
          <w:szCs w:val="36"/>
        </w:rPr>
        <w:t>Keytruda</w:t>
      </w:r>
      <w:proofErr w:type="spellEnd"/>
      <w:r w:rsidRPr="00243081">
        <w:rPr>
          <w:b/>
          <w:sz w:val="36"/>
          <w:szCs w:val="36"/>
        </w:rPr>
        <w:t xml:space="preserve">®, </w:t>
      </w:r>
    </w:p>
    <w:p w:rsidR="00B60939" w:rsidRPr="00243081" w:rsidRDefault="00C62E32" w:rsidP="00E15CFF">
      <w:pPr>
        <w:ind w:firstLine="720"/>
        <w:rPr>
          <w:b/>
          <w:sz w:val="36"/>
          <w:szCs w:val="36"/>
        </w:rPr>
      </w:pPr>
      <w:r w:rsidRPr="00243081">
        <w:rPr>
          <w:b/>
          <w:sz w:val="36"/>
          <w:szCs w:val="36"/>
        </w:rPr>
        <w:t xml:space="preserve">Merck Sharp &amp; </w:t>
      </w:r>
      <w:proofErr w:type="spellStart"/>
      <w:r w:rsidRPr="00243081">
        <w:rPr>
          <w:b/>
          <w:sz w:val="36"/>
          <w:szCs w:val="36"/>
        </w:rPr>
        <w:t>Dohme</w:t>
      </w:r>
      <w:proofErr w:type="spellEnd"/>
      <w:r w:rsidRPr="00243081">
        <w:rPr>
          <w:b/>
          <w:sz w:val="36"/>
          <w:szCs w:val="36"/>
        </w:rPr>
        <w:t xml:space="preserve"> </w:t>
      </w:r>
      <w:r w:rsidR="006C6C0C" w:rsidRPr="00243081">
        <w:rPr>
          <w:b/>
          <w:sz w:val="36"/>
          <w:szCs w:val="36"/>
        </w:rPr>
        <w:t>(</w:t>
      </w:r>
      <w:r w:rsidRPr="00243081">
        <w:rPr>
          <w:b/>
          <w:sz w:val="36"/>
          <w:szCs w:val="36"/>
        </w:rPr>
        <w:t>Australia</w:t>
      </w:r>
      <w:r w:rsidR="006C6C0C" w:rsidRPr="00243081">
        <w:rPr>
          <w:b/>
          <w:sz w:val="36"/>
          <w:szCs w:val="36"/>
        </w:rPr>
        <w:t>)</w:t>
      </w:r>
    </w:p>
    <w:p w:rsidR="004F022D" w:rsidRPr="00243081" w:rsidRDefault="004F022D" w:rsidP="00281014">
      <w:pPr>
        <w:pStyle w:val="BodyText"/>
      </w:pPr>
    </w:p>
    <w:p w:rsidR="00B50DB8" w:rsidRPr="00243081" w:rsidRDefault="00B50DB8" w:rsidP="00522E6D">
      <w:pPr>
        <w:pStyle w:val="Heading1"/>
        <w:keepNext/>
        <w:widowControl/>
        <w:numPr>
          <w:ilvl w:val="0"/>
          <w:numId w:val="3"/>
        </w:numPr>
        <w:spacing w:after="120"/>
        <w:jc w:val="left"/>
      </w:pPr>
      <w:bookmarkStart w:id="0" w:name="_Toc524518814"/>
      <w:r w:rsidRPr="00243081">
        <w:t>Purpose of Application</w:t>
      </w:r>
      <w:bookmarkEnd w:id="0"/>
    </w:p>
    <w:p w:rsidR="002C2775" w:rsidRPr="00243081" w:rsidRDefault="00E6155A" w:rsidP="006B4325">
      <w:pPr>
        <w:pStyle w:val="ListParagraph"/>
        <w:widowControl/>
        <w:numPr>
          <w:ilvl w:val="1"/>
          <w:numId w:val="3"/>
        </w:numPr>
      </w:pPr>
      <w:r w:rsidRPr="00243081">
        <w:t>The submission requested a</w:t>
      </w:r>
      <w:r w:rsidR="00E800DE" w:rsidRPr="00243081">
        <w:t xml:space="preserve"> S100 Efficient Funding of Chemotherapy</w:t>
      </w:r>
      <w:r w:rsidRPr="00243081">
        <w:t xml:space="preserve"> </w:t>
      </w:r>
      <w:r w:rsidR="008B1757" w:rsidRPr="00243081">
        <w:t>Authority Required</w:t>
      </w:r>
      <w:r w:rsidR="003B74B2" w:rsidRPr="00243081">
        <w:t xml:space="preserve"> (S</w:t>
      </w:r>
      <w:r w:rsidR="002C7379" w:rsidRPr="00243081">
        <w:t xml:space="preserve">treamlined) </w:t>
      </w:r>
      <w:r w:rsidR="008B1757" w:rsidRPr="00243081">
        <w:t xml:space="preserve">listing for </w:t>
      </w:r>
      <w:proofErr w:type="spellStart"/>
      <w:r w:rsidR="002C7379" w:rsidRPr="00243081">
        <w:t>pembrolizumab</w:t>
      </w:r>
      <w:proofErr w:type="spellEnd"/>
      <w:r w:rsidR="002C7379" w:rsidRPr="00243081">
        <w:t xml:space="preserve"> </w:t>
      </w:r>
      <w:r w:rsidR="003B74B2" w:rsidRPr="00243081">
        <w:t>to be</w:t>
      </w:r>
      <w:r w:rsidR="002C7379" w:rsidRPr="00243081">
        <w:t xml:space="preserve"> used </w:t>
      </w:r>
      <w:r w:rsidR="003B74B2" w:rsidRPr="00243081">
        <w:t>in combination with</w:t>
      </w:r>
      <w:r w:rsidR="002C7379" w:rsidRPr="00243081">
        <w:t xml:space="preserve"> cisplatin/carboplatin and </w:t>
      </w:r>
      <w:proofErr w:type="spellStart"/>
      <w:r w:rsidR="002C7379" w:rsidRPr="00243081">
        <w:t>pemetrexed</w:t>
      </w:r>
      <w:proofErr w:type="spellEnd"/>
      <w:r w:rsidR="002C7379" w:rsidRPr="00243081">
        <w:t xml:space="preserve"> (referred to as </w:t>
      </w:r>
      <w:proofErr w:type="spellStart"/>
      <w:r w:rsidR="002C7379" w:rsidRPr="00243081">
        <w:t>pembrolizumab</w:t>
      </w:r>
      <w:r w:rsidR="006B4325" w:rsidRPr="00243081">
        <w:t>+platinum+pemetrexed</w:t>
      </w:r>
      <w:proofErr w:type="spellEnd"/>
      <w:r w:rsidR="002C7379" w:rsidRPr="00243081">
        <w:t xml:space="preserve"> </w:t>
      </w:r>
      <w:r w:rsidR="003B74B2" w:rsidRPr="00243081">
        <w:t>h</w:t>
      </w:r>
      <w:r w:rsidR="002C7379" w:rsidRPr="00243081">
        <w:t>erein)</w:t>
      </w:r>
      <w:r w:rsidR="008B1757" w:rsidRPr="00243081">
        <w:t xml:space="preserve"> for treatment of </w:t>
      </w:r>
      <w:r w:rsidR="002C7379" w:rsidRPr="00243081">
        <w:t xml:space="preserve">patients with Stage IV non-squamous (NSQ), </w:t>
      </w:r>
      <w:r w:rsidRPr="00243081">
        <w:t>epidermal growth factor receptor (</w:t>
      </w:r>
      <w:r w:rsidR="002C7379" w:rsidRPr="00243081">
        <w:t>EGFR</w:t>
      </w:r>
      <w:r w:rsidRPr="00243081">
        <w:t>)</w:t>
      </w:r>
      <w:r w:rsidR="002C7379" w:rsidRPr="00243081">
        <w:t xml:space="preserve"> wild type and </w:t>
      </w:r>
      <w:r w:rsidRPr="00243081">
        <w:t>anaplastic lymphoma kinase (</w:t>
      </w:r>
      <w:r w:rsidR="002C7379" w:rsidRPr="00243081">
        <w:t>ALK</w:t>
      </w:r>
      <w:r w:rsidRPr="00243081">
        <w:t>)</w:t>
      </w:r>
      <w:r w:rsidR="002C7379" w:rsidRPr="00243081">
        <w:t xml:space="preserve"> translocation negative non-small cell lung cancer (NSCLC)</w:t>
      </w:r>
      <w:r w:rsidRPr="00243081">
        <w:t>,</w:t>
      </w:r>
      <w:r w:rsidR="002C7379" w:rsidRPr="00243081">
        <w:t xml:space="preserve"> </w:t>
      </w:r>
      <w:r w:rsidRPr="00243081">
        <w:t>with</w:t>
      </w:r>
      <w:r w:rsidR="002C7379" w:rsidRPr="00243081">
        <w:t xml:space="preserve"> an ECOG status of 0 or 1.  The PBAC has not considered </w:t>
      </w:r>
      <w:proofErr w:type="spellStart"/>
      <w:r w:rsidR="002C7379" w:rsidRPr="00243081">
        <w:t>pembrolizumab</w:t>
      </w:r>
      <w:r w:rsidR="006B4325" w:rsidRPr="00243081">
        <w:t>+platinum+pemetrexed</w:t>
      </w:r>
      <w:proofErr w:type="spellEnd"/>
      <w:r w:rsidR="002C7379" w:rsidRPr="00243081">
        <w:t xml:space="preserve"> previously.  However</w:t>
      </w:r>
      <w:r w:rsidR="003B74B2" w:rsidRPr="00243081">
        <w:t>,</w:t>
      </w:r>
      <w:r w:rsidR="002C7379" w:rsidRPr="00243081">
        <w:t xml:space="preserve"> </w:t>
      </w:r>
      <w:proofErr w:type="spellStart"/>
      <w:r w:rsidR="002C7379" w:rsidRPr="00243081">
        <w:t>pembrolizumab</w:t>
      </w:r>
      <w:proofErr w:type="spellEnd"/>
      <w:r w:rsidR="002C7379" w:rsidRPr="00243081">
        <w:t xml:space="preserve"> </w:t>
      </w:r>
      <w:r w:rsidR="002C7379" w:rsidRPr="00243081">
        <w:rPr>
          <w:u w:val="single"/>
        </w:rPr>
        <w:t>monotherapy</w:t>
      </w:r>
      <w:r w:rsidR="002C7379" w:rsidRPr="00243081">
        <w:t xml:space="preserve"> </w:t>
      </w:r>
      <w:r w:rsidR="00E5051C" w:rsidRPr="00243081">
        <w:t xml:space="preserve">is subsidised </w:t>
      </w:r>
      <w:r w:rsidR="002C7379" w:rsidRPr="00243081">
        <w:t xml:space="preserve">for use in patients with Stage IV, EGFR wild type and ALK translocation negative </w:t>
      </w:r>
      <w:r w:rsidRPr="00243081">
        <w:t>NSCLC</w:t>
      </w:r>
      <w:r w:rsidR="002C7379" w:rsidRPr="00243081">
        <w:t xml:space="preserve"> </w:t>
      </w:r>
      <w:r w:rsidRPr="00243081">
        <w:t xml:space="preserve">with </w:t>
      </w:r>
      <w:r w:rsidR="002C7379" w:rsidRPr="00243081">
        <w:t xml:space="preserve">an ECOG status of 0 or 1 AND programmed death ligand </w:t>
      </w:r>
      <w:r w:rsidRPr="00243081">
        <w:t>1</w:t>
      </w:r>
      <w:r w:rsidR="002C7379" w:rsidRPr="00243081">
        <w:t xml:space="preserve">(PD-L1) tumour proportion score (TPS) </w:t>
      </w:r>
      <w:r w:rsidR="002C7379" w:rsidRPr="00243081">
        <w:rPr>
          <w:rFonts w:cs="Calibri"/>
        </w:rPr>
        <w:t>≥</w:t>
      </w:r>
      <w:r w:rsidR="002C7379" w:rsidRPr="00243081">
        <w:t xml:space="preserve">50% </w:t>
      </w:r>
      <w:r w:rsidR="006158F8" w:rsidRPr="00243081">
        <w:t>(both NSQ and squamous (SQ))</w:t>
      </w:r>
      <w:r w:rsidR="002C7379" w:rsidRPr="00243081">
        <w:t>.</w:t>
      </w:r>
      <w:r w:rsidR="002C7379" w:rsidRPr="00243081">
        <w:rPr>
          <w:color w:val="3366FF"/>
        </w:rPr>
        <w:t xml:space="preserve"> </w:t>
      </w:r>
    </w:p>
    <w:p w:rsidR="002D52D6" w:rsidRPr="00243081" w:rsidRDefault="002C7379" w:rsidP="003F357D">
      <w:pPr>
        <w:pStyle w:val="ListParagraph"/>
        <w:widowControl/>
        <w:numPr>
          <w:ilvl w:val="1"/>
          <w:numId w:val="3"/>
        </w:numPr>
        <w:spacing w:after="120"/>
        <w:jc w:val="left"/>
      </w:pPr>
      <w:r w:rsidRPr="00243081">
        <w:t>The reques</w:t>
      </w:r>
      <w:r w:rsidR="006158F8" w:rsidRPr="00243081">
        <w:t xml:space="preserve">ted basis for listing </w:t>
      </w:r>
      <w:r w:rsidR="00E5051C" w:rsidRPr="00243081">
        <w:t>was</w:t>
      </w:r>
      <w:r w:rsidR="006158F8" w:rsidRPr="00243081">
        <w:t xml:space="preserve"> a cost-</w:t>
      </w:r>
      <w:r w:rsidRPr="00243081">
        <w:t>effective</w:t>
      </w:r>
      <w:r w:rsidR="006158F8" w:rsidRPr="00243081">
        <w:t>ness analysis</w:t>
      </w:r>
      <w:r w:rsidRPr="00243081">
        <w:t xml:space="preserve"> </w:t>
      </w:r>
      <w:r w:rsidR="00E6155A" w:rsidRPr="00243081">
        <w:t>compared with</w:t>
      </w:r>
      <w:r w:rsidRPr="00243081">
        <w:t xml:space="preserve"> two comparators, which differed depending on the patient’s PD-L1 TPS status</w:t>
      </w:r>
      <w:r w:rsidR="006158F8" w:rsidRPr="00243081">
        <w:t xml:space="preserve"> (&lt;50% or </w:t>
      </w:r>
      <w:r w:rsidR="006158F8" w:rsidRPr="00C055BD">
        <w:rPr>
          <w:rFonts w:cs="Calibri"/>
        </w:rPr>
        <w:t>≥</w:t>
      </w:r>
      <w:r w:rsidR="006158F8" w:rsidRPr="00243081">
        <w:t>50%)</w:t>
      </w:r>
      <w:r w:rsidRPr="00243081">
        <w:t xml:space="preserve">.  </w:t>
      </w:r>
    </w:p>
    <w:p w:rsidR="008B1757" w:rsidRPr="00243081" w:rsidRDefault="006B4325" w:rsidP="00E72503">
      <w:pPr>
        <w:widowControl/>
        <w:spacing w:after="120"/>
        <w:rPr>
          <w:rStyle w:val="CommentReference"/>
          <w:b w:val="0"/>
          <w:szCs w:val="20"/>
        </w:rPr>
      </w:pPr>
      <w:r w:rsidRPr="00243081">
        <w:rPr>
          <w:rFonts w:ascii="Arial Narrow" w:hAnsi="Arial Narrow"/>
          <w:b/>
          <w:sz w:val="20"/>
          <w:szCs w:val="20"/>
        </w:rPr>
        <w:t xml:space="preserve">Table </w:t>
      </w:r>
      <w:r w:rsidR="00364F3F" w:rsidRPr="00243081">
        <w:rPr>
          <w:rFonts w:ascii="Arial Narrow" w:hAnsi="Arial Narrow"/>
          <w:b/>
          <w:noProof/>
          <w:sz w:val="20"/>
          <w:szCs w:val="20"/>
        </w:rPr>
        <w:t>1</w:t>
      </w:r>
      <w:r w:rsidRPr="00243081">
        <w:rPr>
          <w:rFonts w:ascii="Arial Narrow" w:hAnsi="Arial Narrow"/>
          <w:sz w:val="20"/>
          <w:szCs w:val="20"/>
        </w:rPr>
        <w:t xml:space="preserve">: </w:t>
      </w:r>
      <w:r w:rsidRPr="00243081">
        <w:rPr>
          <w:rFonts w:ascii="Arial Narrow" w:hAnsi="Arial Narrow"/>
          <w:b/>
          <w:sz w:val="20"/>
          <w:szCs w:val="20"/>
        </w:rPr>
        <w:t>K</w:t>
      </w:r>
      <w:r w:rsidR="008B1757" w:rsidRPr="00243081">
        <w:rPr>
          <w:rStyle w:val="CommentReference"/>
          <w:szCs w:val="20"/>
        </w:rPr>
        <w:t>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7484"/>
      </w:tblGrid>
      <w:tr w:rsidR="008B1757" w:rsidRPr="00243081" w:rsidTr="003B74B2">
        <w:trPr>
          <w:cantSplit/>
          <w:tblHeader/>
        </w:trPr>
        <w:tc>
          <w:tcPr>
            <w:tcW w:w="1696" w:type="dxa"/>
            <w:shd w:val="clear" w:color="auto" w:fill="auto"/>
          </w:tcPr>
          <w:p w:rsidR="008B1757" w:rsidRPr="00243081" w:rsidRDefault="008B1757" w:rsidP="003B74B2">
            <w:pPr>
              <w:pStyle w:val="Tabletext"/>
              <w:spacing w:before="40" w:after="40"/>
              <w:rPr>
                <w:b/>
                <w:szCs w:val="20"/>
              </w:rPr>
            </w:pPr>
            <w:r w:rsidRPr="00243081">
              <w:rPr>
                <w:b/>
              </w:rPr>
              <w:t>Component</w:t>
            </w:r>
          </w:p>
        </w:tc>
        <w:tc>
          <w:tcPr>
            <w:tcW w:w="7484" w:type="dxa"/>
            <w:shd w:val="clear" w:color="auto" w:fill="auto"/>
          </w:tcPr>
          <w:p w:rsidR="008B1757" w:rsidRPr="00243081" w:rsidRDefault="008B1757" w:rsidP="003B74B2">
            <w:pPr>
              <w:pStyle w:val="Tabletext"/>
              <w:spacing w:before="40" w:after="40"/>
              <w:jc w:val="center"/>
              <w:rPr>
                <w:b/>
              </w:rPr>
            </w:pPr>
            <w:r w:rsidRPr="00243081">
              <w:rPr>
                <w:b/>
              </w:rPr>
              <w:t>Description</w:t>
            </w:r>
          </w:p>
        </w:tc>
      </w:tr>
      <w:tr w:rsidR="000401FD" w:rsidRPr="00243081" w:rsidTr="003B74B2">
        <w:trPr>
          <w:cantSplit/>
        </w:trPr>
        <w:tc>
          <w:tcPr>
            <w:tcW w:w="1696" w:type="dxa"/>
            <w:shd w:val="clear" w:color="auto" w:fill="auto"/>
            <w:vAlign w:val="center"/>
          </w:tcPr>
          <w:p w:rsidR="000401FD" w:rsidRPr="00243081" w:rsidRDefault="000401FD" w:rsidP="003B74B2">
            <w:pPr>
              <w:pStyle w:val="Tabletext"/>
              <w:spacing w:before="40" w:after="40"/>
            </w:pPr>
            <w:r w:rsidRPr="00243081">
              <w:t>Population</w:t>
            </w:r>
          </w:p>
        </w:tc>
        <w:tc>
          <w:tcPr>
            <w:tcW w:w="7484" w:type="dxa"/>
            <w:shd w:val="clear" w:color="auto" w:fill="auto"/>
            <w:vAlign w:val="center"/>
          </w:tcPr>
          <w:p w:rsidR="000401FD" w:rsidRPr="00243081" w:rsidRDefault="000401FD" w:rsidP="003B74B2">
            <w:pPr>
              <w:pStyle w:val="Tabletext"/>
              <w:spacing w:before="40" w:after="40"/>
            </w:pPr>
            <w:r w:rsidRPr="00243081">
              <w:t>Patients with Stage IV NSQ, EGFR wild type and ALK translocation negative NSCLC</w:t>
            </w:r>
          </w:p>
        </w:tc>
      </w:tr>
      <w:tr w:rsidR="000401FD" w:rsidRPr="00243081" w:rsidTr="003B74B2">
        <w:trPr>
          <w:cantSplit/>
        </w:trPr>
        <w:tc>
          <w:tcPr>
            <w:tcW w:w="1696" w:type="dxa"/>
            <w:shd w:val="clear" w:color="auto" w:fill="auto"/>
            <w:vAlign w:val="center"/>
          </w:tcPr>
          <w:p w:rsidR="000401FD" w:rsidRPr="00243081" w:rsidRDefault="000401FD" w:rsidP="003B74B2">
            <w:pPr>
              <w:pStyle w:val="Tabletext"/>
              <w:spacing w:before="40" w:after="40"/>
            </w:pPr>
            <w:r w:rsidRPr="00243081">
              <w:t>Intervention</w:t>
            </w:r>
          </w:p>
        </w:tc>
        <w:tc>
          <w:tcPr>
            <w:tcW w:w="7484" w:type="dxa"/>
            <w:shd w:val="clear" w:color="auto" w:fill="auto"/>
            <w:vAlign w:val="center"/>
          </w:tcPr>
          <w:p w:rsidR="000401FD" w:rsidRPr="00243081" w:rsidRDefault="000401FD" w:rsidP="003B74B2">
            <w:pPr>
              <w:pStyle w:val="Tabletext"/>
              <w:spacing w:before="40" w:after="40"/>
            </w:pPr>
            <w:proofErr w:type="spellStart"/>
            <w:r w:rsidRPr="00243081">
              <w:t>Pembrolizumab</w:t>
            </w:r>
            <w:proofErr w:type="spellEnd"/>
            <w:r w:rsidRPr="00243081">
              <w:t xml:space="preserve"> + platinum chemotherapy + </w:t>
            </w:r>
            <w:proofErr w:type="spellStart"/>
            <w:r w:rsidRPr="00243081">
              <w:t>pemetrexed</w:t>
            </w:r>
            <w:proofErr w:type="spellEnd"/>
          </w:p>
        </w:tc>
      </w:tr>
      <w:tr w:rsidR="000401FD" w:rsidRPr="00243081" w:rsidTr="003B74B2">
        <w:trPr>
          <w:cantSplit/>
        </w:trPr>
        <w:tc>
          <w:tcPr>
            <w:tcW w:w="1696" w:type="dxa"/>
            <w:shd w:val="clear" w:color="auto" w:fill="auto"/>
            <w:vAlign w:val="center"/>
          </w:tcPr>
          <w:p w:rsidR="000401FD" w:rsidRPr="00243081" w:rsidRDefault="000401FD" w:rsidP="003B74B2">
            <w:pPr>
              <w:pStyle w:val="Tabletext"/>
              <w:spacing w:before="40" w:after="40"/>
            </w:pPr>
            <w:r w:rsidRPr="00243081">
              <w:t>Comparator</w:t>
            </w:r>
          </w:p>
        </w:tc>
        <w:tc>
          <w:tcPr>
            <w:tcW w:w="7484" w:type="dxa"/>
            <w:shd w:val="clear" w:color="auto" w:fill="auto"/>
            <w:vAlign w:val="center"/>
          </w:tcPr>
          <w:p w:rsidR="000401FD" w:rsidRPr="00243081" w:rsidRDefault="000401FD" w:rsidP="003B74B2">
            <w:pPr>
              <w:pStyle w:val="Tabletext"/>
              <w:spacing w:before="40" w:after="40"/>
            </w:pPr>
            <w:r w:rsidRPr="00243081">
              <w:t>For patients with PD-L1 TPS &lt;50%: platinum doublet chemotherapy</w:t>
            </w:r>
            <w:r w:rsidR="00083F7C" w:rsidRPr="00243081">
              <w:t xml:space="preserve"> followed by PD-(L</w:t>
            </w:r>
            <w:proofErr w:type="gramStart"/>
            <w:r w:rsidR="00083F7C" w:rsidRPr="00243081">
              <w:t>)1</w:t>
            </w:r>
            <w:proofErr w:type="gramEnd"/>
            <w:r w:rsidR="00083F7C" w:rsidRPr="00243081">
              <w:t xml:space="preserve"> therapy (revised in pre-PBAC response to include “followed by PD-</w:t>
            </w:r>
            <w:r w:rsidR="00410853" w:rsidRPr="00243081">
              <w:t>(</w:t>
            </w:r>
            <w:r w:rsidR="00083F7C" w:rsidRPr="00243081">
              <w:t>L)1 therapy</w:t>
            </w:r>
            <w:r w:rsidR="00410853" w:rsidRPr="00243081">
              <w:t>”.</w:t>
            </w:r>
            <w:r w:rsidR="00083F7C" w:rsidRPr="00243081">
              <w:t>)</w:t>
            </w:r>
          </w:p>
          <w:p w:rsidR="000401FD" w:rsidRPr="00243081" w:rsidRDefault="000401FD" w:rsidP="003B74B2">
            <w:pPr>
              <w:pStyle w:val="Tabletext"/>
              <w:spacing w:before="40" w:after="40"/>
            </w:pPr>
            <w:r w:rsidRPr="00243081">
              <w:t xml:space="preserve">For patients with PD-L1 TPS ≥50%: </w:t>
            </w:r>
            <w:proofErr w:type="spellStart"/>
            <w:r w:rsidRPr="00243081">
              <w:t>pembrolizumab</w:t>
            </w:r>
            <w:proofErr w:type="spellEnd"/>
            <w:r w:rsidRPr="00243081">
              <w:t xml:space="preserve"> monotherapy</w:t>
            </w:r>
          </w:p>
        </w:tc>
      </w:tr>
      <w:tr w:rsidR="000401FD" w:rsidRPr="00243081" w:rsidTr="003B74B2">
        <w:trPr>
          <w:cantSplit/>
        </w:trPr>
        <w:tc>
          <w:tcPr>
            <w:tcW w:w="1696" w:type="dxa"/>
            <w:shd w:val="clear" w:color="auto" w:fill="auto"/>
            <w:vAlign w:val="center"/>
          </w:tcPr>
          <w:p w:rsidR="000401FD" w:rsidRPr="00243081" w:rsidRDefault="000401FD" w:rsidP="003B74B2">
            <w:pPr>
              <w:pStyle w:val="Tabletext"/>
              <w:spacing w:before="40" w:after="40"/>
            </w:pPr>
            <w:r w:rsidRPr="00243081">
              <w:t>Outcomes</w:t>
            </w:r>
          </w:p>
        </w:tc>
        <w:tc>
          <w:tcPr>
            <w:tcW w:w="7484" w:type="dxa"/>
            <w:shd w:val="clear" w:color="auto" w:fill="auto"/>
            <w:vAlign w:val="center"/>
          </w:tcPr>
          <w:p w:rsidR="000401FD" w:rsidRPr="00243081" w:rsidRDefault="000401FD" w:rsidP="003B74B2">
            <w:pPr>
              <w:pStyle w:val="Tabletext"/>
              <w:spacing w:before="40" w:after="40"/>
            </w:pPr>
            <w:r w:rsidRPr="00243081">
              <w:t>OS, PFS and quality of life</w:t>
            </w:r>
          </w:p>
        </w:tc>
      </w:tr>
      <w:tr w:rsidR="000401FD" w:rsidRPr="00243081" w:rsidTr="003B74B2">
        <w:trPr>
          <w:cantSplit/>
        </w:trPr>
        <w:tc>
          <w:tcPr>
            <w:tcW w:w="1696" w:type="dxa"/>
            <w:shd w:val="clear" w:color="auto" w:fill="auto"/>
            <w:vAlign w:val="center"/>
          </w:tcPr>
          <w:p w:rsidR="000401FD" w:rsidRPr="00243081" w:rsidRDefault="000401FD" w:rsidP="003B74B2">
            <w:pPr>
              <w:pStyle w:val="Tabletext"/>
              <w:spacing w:before="40" w:after="40"/>
            </w:pPr>
            <w:r w:rsidRPr="00243081">
              <w:t>Clinical claim</w:t>
            </w:r>
          </w:p>
        </w:tc>
        <w:tc>
          <w:tcPr>
            <w:tcW w:w="7484" w:type="dxa"/>
            <w:shd w:val="clear" w:color="auto" w:fill="auto"/>
            <w:vAlign w:val="center"/>
          </w:tcPr>
          <w:p w:rsidR="000401FD" w:rsidRPr="00243081" w:rsidRDefault="000401FD" w:rsidP="00083F7C">
            <w:pPr>
              <w:pStyle w:val="Tabletext"/>
              <w:spacing w:before="40" w:after="40"/>
            </w:pPr>
            <w:r w:rsidRPr="00243081">
              <w:t xml:space="preserve">Clinically and statistically significant improvements in OS (HR = 0.57 vs platinum doublet and </w:t>
            </w:r>
            <w:r w:rsidRPr="008A4FF9">
              <w:t xml:space="preserve">HR = </w:t>
            </w:r>
            <w:r w:rsidR="00227BBD">
              <w:rPr>
                <w:noProof/>
                <w:color w:val="000000"/>
                <w:highlight w:val="black"/>
              </w:rPr>
              <w:t>'''''''''''</w:t>
            </w:r>
            <w:r w:rsidRPr="008A4FF9">
              <w:t xml:space="preserve"> in indirect comparison vs </w:t>
            </w:r>
            <w:proofErr w:type="spellStart"/>
            <w:r w:rsidRPr="008A4FF9">
              <w:t>pembrolizumab</w:t>
            </w:r>
            <w:proofErr w:type="spellEnd"/>
            <w:r w:rsidRPr="008A4FF9">
              <w:t xml:space="preserve"> monotherapy).</w:t>
            </w:r>
            <w:r w:rsidRPr="00243081">
              <w:t xml:space="preserve">  </w:t>
            </w:r>
          </w:p>
        </w:tc>
      </w:tr>
    </w:tbl>
    <w:p w:rsidR="000401FD" w:rsidRPr="00243081" w:rsidRDefault="000401FD" w:rsidP="000401FD">
      <w:pPr>
        <w:pStyle w:val="TableFooter"/>
      </w:pPr>
      <w:r w:rsidRPr="00243081">
        <w:t>Abbreviations: NSQ = non-squamous, NSCLC = non</w:t>
      </w:r>
      <w:r w:rsidR="006B4325" w:rsidRPr="00243081">
        <w:t>-</w:t>
      </w:r>
      <w:r w:rsidRPr="00243081">
        <w:t>small cell lung cancer, EGFR = Epidermal Growth Factor Receptor, ALK = Anaplastic lymphoma kinase, PD-L1 = programmed death ligand 1, TPS = tumour proportion score, OS = overall survival, PFS = progression free survival</w:t>
      </w:r>
      <w:r w:rsidR="006A3CF8" w:rsidRPr="00243081">
        <w:t xml:space="preserve">; </w:t>
      </w:r>
      <w:r w:rsidRPr="00243081">
        <w:t xml:space="preserve">TPS is a measure of PD- L1 protein expression, which is the percentage of viable tumour cells showing partial or complete membrane staining.  The specimen should be considered PD-L1 positive if TPS ≥50% of the viable tumour cells exhibit membrane staining at any intensity.   </w:t>
      </w:r>
    </w:p>
    <w:p w:rsidR="000401FD" w:rsidRPr="00243081" w:rsidRDefault="000401FD" w:rsidP="000401FD">
      <w:pPr>
        <w:pStyle w:val="TableFooter"/>
      </w:pPr>
      <w:r w:rsidRPr="00243081">
        <w:t>Source: constructed using information from p1 of the submission</w:t>
      </w:r>
      <w:r w:rsidR="00C7586D" w:rsidRPr="00243081">
        <w:t>.</w:t>
      </w:r>
    </w:p>
    <w:p w:rsidR="00083F7C" w:rsidRPr="00243081" w:rsidRDefault="00083F7C" w:rsidP="000401FD">
      <w:pPr>
        <w:pStyle w:val="TableFooter"/>
      </w:pPr>
    </w:p>
    <w:p w:rsidR="00083F7C" w:rsidRPr="00243081" w:rsidRDefault="00083F7C" w:rsidP="00E72503">
      <w:pPr>
        <w:pStyle w:val="ListParagraph"/>
        <w:widowControl/>
        <w:numPr>
          <w:ilvl w:val="1"/>
          <w:numId w:val="3"/>
        </w:numPr>
        <w:spacing w:after="120"/>
      </w:pPr>
      <w:r w:rsidRPr="00243081">
        <w:t xml:space="preserve">In the </w:t>
      </w:r>
      <w:r w:rsidR="00A71EA8" w:rsidRPr="00243081">
        <w:t>p</w:t>
      </w:r>
      <w:r w:rsidRPr="00243081">
        <w:t xml:space="preserve">re-PBAC response, </w:t>
      </w:r>
      <w:r w:rsidRPr="008A4FF9">
        <w:t xml:space="preserve">the sponsor acknowledged that a statistically significant benefit of </w:t>
      </w:r>
      <w:proofErr w:type="spellStart"/>
      <w:r w:rsidRPr="008A4FF9">
        <w:t>pembrolizumab+platinum+pemetrexed</w:t>
      </w:r>
      <w:proofErr w:type="spellEnd"/>
      <w:r w:rsidRPr="008A4FF9">
        <w:t xml:space="preserve"> compared with </w:t>
      </w:r>
      <w:proofErr w:type="spellStart"/>
      <w:r w:rsidRPr="008A4FF9">
        <w:t>pembrolizumab</w:t>
      </w:r>
      <w:proofErr w:type="spellEnd"/>
      <w:r w:rsidRPr="008A4FF9">
        <w:t xml:space="preserve"> monotherapy had not been established</w:t>
      </w:r>
      <w:r w:rsidRPr="00243081">
        <w:t xml:space="preserve">. The sponsor requested that PBAC defer its </w:t>
      </w:r>
      <w:r w:rsidRPr="00243081">
        <w:lastRenderedPageBreak/>
        <w:t>consideration of the subsidy request for the PD-L1 TPS ≥50% subgroup to allow the clinical data to mature. The PBAC declined this request.</w:t>
      </w:r>
    </w:p>
    <w:p w:rsidR="00083F7C" w:rsidRPr="00243081" w:rsidRDefault="00083F7C" w:rsidP="00083F7C">
      <w:pPr>
        <w:pStyle w:val="PBACHeading1"/>
        <w:numPr>
          <w:ilvl w:val="0"/>
          <w:numId w:val="0"/>
        </w:numPr>
        <w:ind w:left="720"/>
        <w:rPr>
          <w:rFonts w:cs="Calibri"/>
          <w:i/>
          <w:sz w:val="24"/>
          <w:szCs w:val="24"/>
        </w:rPr>
      </w:pPr>
      <w:r w:rsidRPr="00243081">
        <w:rPr>
          <w:rStyle w:val="CommentReference"/>
          <w:rFonts w:ascii="Calibri" w:hAnsi="Calibri" w:cs="Calibri"/>
          <w:i/>
          <w:sz w:val="24"/>
          <w:szCs w:val="24"/>
        </w:rPr>
        <w:t>For more detail on PBAC’s view, see Section 7 PBAC outcome.</w:t>
      </w:r>
    </w:p>
    <w:p w:rsidR="00B60939" w:rsidRPr="00243081" w:rsidRDefault="00B50DB8" w:rsidP="00522E6D">
      <w:pPr>
        <w:pStyle w:val="Heading1"/>
        <w:keepNext/>
        <w:widowControl/>
        <w:numPr>
          <w:ilvl w:val="0"/>
          <w:numId w:val="3"/>
        </w:numPr>
        <w:spacing w:after="120"/>
        <w:jc w:val="left"/>
      </w:pPr>
      <w:bookmarkStart w:id="1" w:name="_Toc524518815"/>
      <w:r w:rsidRPr="00243081">
        <w:t>Requested listing</w:t>
      </w:r>
      <w:bookmarkEnd w:id="1"/>
    </w:p>
    <w:p w:rsidR="00F951A4" w:rsidRPr="00243081" w:rsidRDefault="009D5B90" w:rsidP="0041166A">
      <w:pPr>
        <w:pStyle w:val="ListParagraph"/>
        <w:widowControl/>
        <w:numPr>
          <w:ilvl w:val="1"/>
          <w:numId w:val="3"/>
        </w:numPr>
        <w:spacing w:after="120"/>
        <w:rPr>
          <w:rFonts w:asciiTheme="minorHAnsi" w:hAnsiTheme="minorHAnsi" w:cstheme="minorHAnsi"/>
          <w:bCs/>
          <w:iCs/>
          <w:szCs w:val="24"/>
        </w:rPr>
      </w:pPr>
      <w:r w:rsidRPr="00243081">
        <w:rPr>
          <w:iCs/>
        </w:rPr>
        <w:t xml:space="preserve">The </w:t>
      </w:r>
      <w:r w:rsidR="0041166A" w:rsidRPr="00243081">
        <w:rPr>
          <w:iCs/>
        </w:rPr>
        <w:t>proposed initial treatment restriction, as presen</w:t>
      </w:r>
      <w:r w:rsidR="001C6E85">
        <w:rPr>
          <w:iCs/>
        </w:rPr>
        <w:t xml:space="preserve">ted in the pre-PBAC response, is </w:t>
      </w:r>
      <w:r w:rsidR="0041166A" w:rsidRPr="00243081">
        <w:rPr>
          <w:iCs/>
        </w:rPr>
        <w:t xml:space="preserve">provided </w:t>
      </w:r>
      <w:r w:rsidR="00E72503" w:rsidRPr="00243081">
        <w:rPr>
          <w:iCs/>
        </w:rPr>
        <w:t>below</w:t>
      </w:r>
      <w:r w:rsidR="0041166A" w:rsidRPr="00243081">
        <w:rPr>
          <w:iCs/>
        </w:rPr>
        <w:t xml:space="preserve">.  </w:t>
      </w:r>
      <w:r w:rsidR="00F951A4" w:rsidRPr="00243081">
        <w:rPr>
          <w:rFonts w:asciiTheme="minorHAnsi" w:hAnsiTheme="minorHAnsi" w:cstheme="minorHAnsi"/>
          <w:bCs/>
          <w:iCs/>
          <w:szCs w:val="24"/>
        </w:rPr>
        <w:t>The proposed criterion restricting treatment to patients with PD</w:t>
      </w:r>
      <w:r w:rsidR="00B67687" w:rsidRPr="00243081">
        <w:rPr>
          <w:rFonts w:asciiTheme="minorHAnsi" w:hAnsiTheme="minorHAnsi" w:cstheme="minorHAnsi"/>
          <w:bCs/>
          <w:iCs/>
          <w:szCs w:val="24"/>
        </w:rPr>
        <w:t>-L1 TPS &lt;50%, added during the p</w:t>
      </w:r>
      <w:r w:rsidR="00F951A4" w:rsidRPr="00243081">
        <w:rPr>
          <w:rFonts w:asciiTheme="minorHAnsi" w:hAnsiTheme="minorHAnsi" w:cstheme="minorHAnsi"/>
          <w:bCs/>
          <w:iCs/>
          <w:szCs w:val="24"/>
        </w:rPr>
        <w:t>re-PBAC response, is underlined.</w:t>
      </w:r>
    </w:p>
    <w:p w:rsidR="00F951A4" w:rsidRPr="00243081" w:rsidRDefault="00F951A4" w:rsidP="00F951A4">
      <w:pPr>
        <w:spacing w:after="120"/>
        <w:contextualSpacing/>
        <w:rPr>
          <w:rFonts w:asciiTheme="minorHAnsi" w:hAnsiTheme="minorHAnsi" w:cstheme="minorHAnsi"/>
          <w:bCs/>
          <w:iCs/>
          <w:szCs w:val="24"/>
        </w:rPr>
      </w:pP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2725"/>
        <w:gridCol w:w="1562"/>
        <w:gridCol w:w="924"/>
        <w:gridCol w:w="2268"/>
        <w:gridCol w:w="1701"/>
      </w:tblGrid>
      <w:tr w:rsidR="00F951A4" w:rsidRPr="00243081" w:rsidTr="00F81455">
        <w:trPr>
          <w:tblHeader/>
        </w:trPr>
        <w:tc>
          <w:tcPr>
            <w:tcW w:w="0" w:type="auto"/>
          </w:tcPr>
          <w:p w:rsidR="00F951A4" w:rsidRPr="00243081" w:rsidRDefault="00F951A4" w:rsidP="00F81455">
            <w:pPr>
              <w:rPr>
                <w:rFonts w:ascii="Arial Narrow" w:hAnsi="Arial Narrow"/>
                <w:b/>
                <w:sz w:val="20"/>
                <w:szCs w:val="20"/>
              </w:rPr>
            </w:pPr>
            <w:r w:rsidRPr="00243081">
              <w:rPr>
                <w:rFonts w:ascii="Arial Narrow" w:hAnsi="Arial Narrow"/>
                <w:b/>
                <w:sz w:val="20"/>
                <w:szCs w:val="20"/>
              </w:rPr>
              <w:t>Name, restriction, manner of administration, form</w:t>
            </w:r>
          </w:p>
        </w:tc>
        <w:tc>
          <w:tcPr>
            <w:tcW w:w="0" w:type="auto"/>
          </w:tcPr>
          <w:p w:rsidR="00F951A4" w:rsidRPr="00243081" w:rsidRDefault="00F951A4" w:rsidP="00F81455">
            <w:pPr>
              <w:jc w:val="center"/>
              <w:rPr>
                <w:rFonts w:ascii="Arial Narrow" w:hAnsi="Arial Narrow"/>
                <w:b/>
                <w:sz w:val="20"/>
                <w:szCs w:val="20"/>
              </w:rPr>
            </w:pPr>
            <w:r w:rsidRPr="00243081">
              <w:rPr>
                <w:rFonts w:ascii="Arial Narrow" w:hAnsi="Arial Narrow"/>
                <w:b/>
                <w:sz w:val="20"/>
                <w:szCs w:val="20"/>
              </w:rPr>
              <w:t>Maximum amount (units)</w:t>
            </w:r>
          </w:p>
        </w:tc>
        <w:tc>
          <w:tcPr>
            <w:tcW w:w="924" w:type="dxa"/>
          </w:tcPr>
          <w:p w:rsidR="00F951A4" w:rsidRPr="00243081" w:rsidRDefault="00F951A4" w:rsidP="00F81455">
            <w:pPr>
              <w:jc w:val="center"/>
              <w:rPr>
                <w:rFonts w:ascii="Arial Narrow" w:hAnsi="Arial Narrow"/>
                <w:b/>
                <w:sz w:val="20"/>
                <w:szCs w:val="20"/>
              </w:rPr>
            </w:pPr>
            <w:r w:rsidRPr="00243081">
              <w:rPr>
                <w:rFonts w:ascii="Arial Narrow" w:hAnsi="Arial Narrow"/>
                <w:b/>
                <w:sz w:val="20"/>
                <w:szCs w:val="20"/>
              </w:rPr>
              <w:t>No. of repeats</w:t>
            </w:r>
          </w:p>
        </w:tc>
        <w:tc>
          <w:tcPr>
            <w:tcW w:w="2268" w:type="dxa"/>
          </w:tcPr>
          <w:p w:rsidR="00F951A4" w:rsidRPr="00243081" w:rsidRDefault="00F951A4" w:rsidP="00F81455">
            <w:pPr>
              <w:jc w:val="center"/>
              <w:rPr>
                <w:rFonts w:ascii="Arial Narrow" w:hAnsi="Arial Narrow"/>
                <w:b/>
                <w:sz w:val="20"/>
                <w:szCs w:val="20"/>
              </w:rPr>
            </w:pPr>
            <w:r w:rsidRPr="00243081">
              <w:rPr>
                <w:rFonts w:ascii="Arial Narrow" w:hAnsi="Arial Narrow"/>
                <w:b/>
                <w:sz w:val="20"/>
                <w:szCs w:val="20"/>
              </w:rPr>
              <w:t>Dispensed price for maximum amount</w:t>
            </w:r>
          </w:p>
        </w:tc>
        <w:tc>
          <w:tcPr>
            <w:tcW w:w="1701" w:type="dxa"/>
          </w:tcPr>
          <w:p w:rsidR="00F951A4" w:rsidRPr="00243081" w:rsidRDefault="00F951A4" w:rsidP="00F81455">
            <w:pPr>
              <w:jc w:val="center"/>
              <w:rPr>
                <w:rFonts w:ascii="Arial Narrow" w:hAnsi="Arial Narrow"/>
                <w:b/>
                <w:sz w:val="20"/>
                <w:szCs w:val="20"/>
              </w:rPr>
            </w:pPr>
            <w:r w:rsidRPr="00243081">
              <w:rPr>
                <w:rFonts w:ascii="Arial Narrow" w:hAnsi="Arial Narrow"/>
                <w:b/>
                <w:sz w:val="20"/>
                <w:szCs w:val="20"/>
              </w:rPr>
              <w:t>Proprietary name and manufacturer</w:t>
            </w:r>
          </w:p>
        </w:tc>
      </w:tr>
      <w:tr w:rsidR="00F951A4" w:rsidRPr="00243081" w:rsidTr="00F81455">
        <w:tc>
          <w:tcPr>
            <w:tcW w:w="0" w:type="auto"/>
          </w:tcPr>
          <w:p w:rsidR="00F951A4" w:rsidRPr="00243081" w:rsidRDefault="00F951A4" w:rsidP="00F81455">
            <w:pPr>
              <w:pStyle w:val="Tabletext"/>
            </w:pPr>
            <w:proofErr w:type="spellStart"/>
            <w:r w:rsidRPr="00243081">
              <w:t>Pembrolizumab</w:t>
            </w:r>
            <w:proofErr w:type="spellEnd"/>
          </w:p>
          <w:p w:rsidR="00F951A4" w:rsidRPr="00243081" w:rsidRDefault="00987AEA" w:rsidP="00F81455">
            <w:pPr>
              <w:pStyle w:val="Tabletext"/>
            </w:pPr>
            <w:r w:rsidRPr="00243081">
              <w:t>100 mg/4 mL injection, 4 mL vial</w:t>
            </w:r>
          </w:p>
        </w:tc>
        <w:tc>
          <w:tcPr>
            <w:tcW w:w="0" w:type="auto"/>
          </w:tcPr>
          <w:p w:rsidR="00F951A4" w:rsidRPr="00243081" w:rsidRDefault="00F951A4" w:rsidP="00F81455">
            <w:pPr>
              <w:pStyle w:val="Tabletext"/>
              <w:jc w:val="center"/>
            </w:pPr>
            <w:r w:rsidRPr="00243081">
              <w:t>200</w:t>
            </w:r>
            <w:r w:rsidR="00987AEA" w:rsidRPr="00243081">
              <w:t xml:space="preserve"> </w:t>
            </w:r>
            <w:r w:rsidRPr="00243081">
              <w:t>mg</w:t>
            </w:r>
          </w:p>
        </w:tc>
        <w:tc>
          <w:tcPr>
            <w:tcW w:w="924" w:type="dxa"/>
          </w:tcPr>
          <w:p w:rsidR="00F951A4" w:rsidRPr="00243081" w:rsidRDefault="00F951A4" w:rsidP="00F81455">
            <w:pPr>
              <w:pStyle w:val="Tabletext"/>
              <w:jc w:val="center"/>
              <w:rPr>
                <w:strike/>
                <w:color w:val="FF0000"/>
              </w:rPr>
            </w:pPr>
            <w:r w:rsidRPr="00243081">
              <w:t>3</w:t>
            </w:r>
          </w:p>
        </w:tc>
        <w:tc>
          <w:tcPr>
            <w:tcW w:w="2268" w:type="dxa"/>
          </w:tcPr>
          <w:p w:rsidR="00F951A4" w:rsidRPr="00243081" w:rsidRDefault="00F951A4" w:rsidP="00F81455">
            <w:pPr>
              <w:pStyle w:val="Tabletext"/>
              <w:jc w:val="center"/>
            </w:pPr>
            <w:r w:rsidRPr="00243081">
              <w:t>$</w:t>
            </w:r>
            <w:r w:rsidR="00227BBD">
              <w:rPr>
                <w:noProof/>
                <w:color w:val="000000"/>
                <w:highlight w:val="black"/>
              </w:rPr>
              <w:t>'''''''''''''''''''''</w:t>
            </w:r>
            <w:r w:rsidR="00987AEA" w:rsidRPr="00243081">
              <w:t xml:space="preserve"> </w:t>
            </w:r>
            <w:r w:rsidRPr="00243081">
              <w:t>(</w:t>
            </w:r>
            <w:r w:rsidR="00A93B47" w:rsidRPr="00243081">
              <w:t>Private Hospital</w:t>
            </w:r>
            <w:r w:rsidRPr="00243081">
              <w:t>)</w:t>
            </w:r>
          </w:p>
          <w:p w:rsidR="00F951A4" w:rsidRPr="00243081" w:rsidRDefault="00F951A4" w:rsidP="00A93B47">
            <w:pPr>
              <w:pStyle w:val="Tabletext"/>
              <w:jc w:val="center"/>
            </w:pPr>
            <w:r w:rsidRPr="00243081">
              <w:t>$</w:t>
            </w:r>
            <w:r w:rsidR="00227BBD">
              <w:rPr>
                <w:noProof/>
                <w:color w:val="000000"/>
                <w:highlight w:val="black"/>
              </w:rPr>
              <w:t>''''''''''''''''''''</w:t>
            </w:r>
            <w:r w:rsidRPr="00243081">
              <w:t xml:space="preserve"> (</w:t>
            </w:r>
            <w:r w:rsidR="00A93B47" w:rsidRPr="00243081">
              <w:t>Public Hospital</w:t>
            </w:r>
            <w:r w:rsidRPr="00243081">
              <w:t>)</w:t>
            </w:r>
          </w:p>
        </w:tc>
        <w:tc>
          <w:tcPr>
            <w:tcW w:w="1701" w:type="dxa"/>
          </w:tcPr>
          <w:p w:rsidR="00F951A4" w:rsidRPr="00243081" w:rsidRDefault="00F951A4" w:rsidP="008F20AC">
            <w:pPr>
              <w:pStyle w:val="Tabletext"/>
              <w:jc w:val="center"/>
            </w:pPr>
            <w:proofErr w:type="spellStart"/>
            <w:r w:rsidRPr="00243081">
              <w:t>Keytruda</w:t>
            </w:r>
            <w:proofErr w:type="spellEnd"/>
            <w:r w:rsidRPr="00243081">
              <w:t xml:space="preserve">, </w:t>
            </w:r>
            <w:r w:rsidRPr="00243081">
              <w:br/>
              <w:t xml:space="preserve">Merck Sharp and </w:t>
            </w:r>
            <w:proofErr w:type="spellStart"/>
            <w:r w:rsidRPr="00243081">
              <w:t>Dohme</w:t>
            </w:r>
            <w:proofErr w:type="spellEnd"/>
            <w:r w:rsidRPr="00243081">
              <w:t xml:space="preserve"> Ltd.</w:t>
            </w:r>
          </w:p>
        </w:tc>
      </w:tr>
    </w:tbl>
    <w:p w:rsidR="00947207" w:rsidRPr="00243081" w:rsidRDefault="00947207" w:rsidP="00F951A4">
      <w:pPr>
        <w:spacing w:after="120"/>
        <w:contextualSpacing/>
        <w:rPr>
          <w:rFonts w:asciiTheme="minorHAnsi" w:hAnsiTheme="minorHAnsi" w:cstheme="minorHAnsi"/>
          <w:bCs/>
          <w:iCs/>
          <w:szCs w:val="24"/>
        </w:rPr>
      </w:pPr>
    </w:p>
    <w:tbl>
      <w:tblPr>
        <w:tblW w:w="9072" w:type="dxa"/>
        <w:tblInd w:w="108" w:type="dxa"/>
        <w:tblLayout w:type="fixed"/>
        <w:tblLook w:val="0000" w:firstRow="0" w:lastRow="0" w:firstColumn="0" w:lastColumn="0" w:noHBand="0" w:noVBand="0"/>
      </w:tblPr>
      <w:tblGrid>
        <w:gridCol w:w="3402"/>
        <w:gridCol w:w="5670"/>
      </w:tblGrid>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rPr>
                <w:rFonts w:ascii="Arial Narrow" w:hAnsi="Arial Narrow"/>
                <w:b/>
                <w:sz w:val="20"/>
                <w:szCs w:val="20"/>
              </w:rPr>
            </w:pPr>
            <w:r w:rsidRPr="00243081">
              <w:rPr>
                <w:rFonts w:ascii="Arial Narrow" w:hAnsi="Arial Narrow"/>
                <w:b/>
                <w:sz w:val="20"/>
                <w:szCs w:val="20"/>
              </w:rPr>
              <w:t xml:space="preserve">Category / </w:t>
            </w:r>
          </w:p>
          <w:p w:rsidR="00F951A4" w:rsidRPr="00243081" w:rsidRDefault="00F951A4" w:rsidP="00F81455">
            <w:pPr>
              <w:pStyle w:val="Tabletext"/>
              <w:rPr>
                <w:b/>
              </w:rPr>
            </w:pPr>
            <w:r w:rsidRPr="00243081">
              <w:rPr>
                <w:rFonts w:cs="Arial"/>
                <w:b/>
                <w:szCs w:val="20"/>
              </w:rPr>
              <w:t>Program</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pPr>
            <w:r w:rsidRPr="00243081">
              <w:rPr>
                <w:rFonts w:cs="Arial"/>
                <w:szCs w:val="20"/>
              </w:rPr>
              <w:t>Section 100 – Efficient funding of Chemotherapy (Public and Private Hospital)</w:t>
            </w:r>
          </w:p>
        </w:tc>
      </w:tr>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rPr>
                <w:rFonts w:ascii="Arial Narrow" w:hAnsi="Arial Narrow"/>
                <w:b/>
                <w:sz w:val="20"/>
                <w:szCs w:val="20"/>
              </w:rPr>
            </w:pPr>
            <w:r w:rsidRPr="00243081">
              <w:rPr>
                <w:rFonts w:ascii="Arial Narrow" w:hAnsi="Arial Narrow"/>
                <w:b/>
                <w:sz w:val="20"/>
                <w:szCs w:val="20"/>
              </w:rPr>
              <w:t>Prescriber type:</w:t>
            </w:r>
          </w:p>
          <w:p w:rsidR="00F951A4" w:rsidRPr="00243081" w:rsidRDefault="00F951A4" w:rsidP="00F81455">
            <w:pPr>
              <w:pStyle w:val="Tabletext"/>
              <w:rPr>
                <w:b/>
              </w:rPr>
            </w:pP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rPr>
                <w:rFonts w:ascii="Arial Narrow" w:hAnsi="Arial Narrow"/>
                <w:sz w:val="20"/>
                <w:szCs w:val="20"/>
              </w:rPr>
            </w:pPr>
            <w:r w:rsidRPr="00243081">
              <w:rPr>
                <w:rFonts w:ascii="Arial Narrow" w:hAnsi="Arial Narrow"/>
                <w:sz w:val="20"/>
                <w:szCs w:val="20"/>
              </w:rPr>
              <w:fldChar w:fldCharType="begin">
                <w:ffData>
                  <w:name w:val="Check1"/>
                  <w:enabled/>
                  <w:calcOnExit w:val="0"/>
                  <w:checkBox>
                    <w:sizeAuto/>
                    <w:default w:val="0"/>
                  </w:checkBox>
                </w:ffData>
              </w:fldChar>
            </w:r>
            <w:r w:rsidRPr="00243081">
              <w:rPr>
                <w:rFonts w:ascii="Arial Narrow" w:hAnsi="Arial Narrow"/>
                <w:sz w:val="20"/>
                <w:szCs w:val="20"/>
              </w:rPr>
              <w:instrText xml:space="preserve"> FORMCHECKBOX </w:instrText>
            </w:r>
            <w:r w:rsidR="009A1E78">
              <w:rPr>
                <w:rFonts w:ascii="Arial Narrow" w:hAnsi="Arial Narrow"/>
                <w:sz w:val="20"/>
                <w:szCs w:val="20"/>
              </w:rPr>
            </w:r>
            <w:r w:rsidR="009A1E78">
              <w:rPr>
                <w:rFonts w:ascii="Arial Narrow" w:hAnsi="Arial Narrow"/>
                <w:sz w:val="20"/>
                <w:szCs w:val="20"/>
              </w:rPr>
              <w:fldChar w:fldCharType="separate"/>
            </w:r>
            <w:r w:rsidRPr="00243081">
              <w:rPr>
                <w:rFonts w:ascii="Arial Narrow" w:hAnsi="Arial Narrow"/>
                <w:sz w:val="20"/>
                <w:szCs w:val="20"/>
              </w:rPr>
              <w:fldChar w:fldCharType="end"/>
            </w:r>
            <w:r w:rsidRPr="00243081">
              <w:rPr>
                <w:rFonts w:ascii="Arial Narrow" w:hAnsi="Arial Narrow"/>
                <w:sz w:val="20"/>
                <w:szCs w:val="20"/>
              </w:rPr>
              <w:t xml:space="preserve">Dental  </w:t>
            </w:r>
            <w:r w:rsidRPr="00243081">
              <w:rPr>
                <w:rFonts w:ascii="Arial Narrow" w:hAnsi="Arial Narrow"/>
                <w:sz w:val="20"/>
                <w:szCs w:val="20"/>
              </w:rPr>
              <w:fldChar w:fldCharType="begin">
                <w:ffData>
                  <w:name w:val=""/>
                  <w:enabled/>
                  <w:calcOnExit w:val="0"/>
                  <w:checkBox>
                    <w:sizeAuto/>
                    <w:default w:val="1"/>
                  </w:checkBox>
                </w:ffData>
              </w:fldChar>
            </w:r>
            <w:r w:rsidRPr="00243081">
              <w:rPr>
                <w:rFonts w:ascii="Arial Narrow" w:hAnsi="Arial Narrow"/>
                <w:sz w:val="20"/>
                <w:szCs w:val="20"/>
              </w:rPr>
              <w:instrText xml:space="preserve"> FORMCHECKBOX </w:instrText>
            </w:r>
            <w:r w:rsidR="009A1E78">
              <w:rPr>
                <w:rFonts w:ascii="Arial Narrow" w:hAnsi="Arial Narrow"/>
                <w:sz w:val="20"/>
                <w:szCs w:val="20"/>
              </w:rPr>
            </w:r>
            <w:r w:rsidR="009A1E78">
              <w:rPr>
                <w:rFonts w:ascii="Arial Narrow" w:hAnsi="Arial Narrow"/>
                <w:sz w:val="20"/>
                <w:szCs w:val="20"/>
              </w:rPr>
              <w:fldChar w:fldCharType="separate"/>
            </w:r>
            <w:r w:rsidRPr="00243081">
              <w:rPr>
                <w:rFonts w:ascii="Arial Narrow" w:hAnsi="Arial Narrow"/>
                <w:sz w:val="20"/>
                <w:szCs w:val="20"/>
              </w:rPr>
              <w:fldChar w:fldCharType="end"/>
            </w:r>
            <w:r w:rsidRPr="00243081">
              <w:rPr>
                <w:rFonts w:ascii="Arial Narrow" w:hAnsi="Arial Narrow"/>
                <w:sz w:val="20"/>
                <w:szCs w:val="20"/>
              </w:rPr>
              <w:t xml:space="preserve">Medical Practitioners  </w:t>
            </w:r>
            <w:r w:rsidRPr="00243081">
              <w:rPr>
                <w:rFonts w:ascii="Arial Narrow" w:hAnsi="Arial Narrow"/>
                <w:sz w:val="20"/>
                <w:szCs w:val="20"/>
              </w:rPr>
              <w:fldChar w:fldCharType="begin">
                <w:ffData>
                  <w:name w:val="Check3"/>
                  <w:enabled/>
                  <w:calcOnExit w:val="0"/>
                  <w:checkBox>
                    <w:sizeAuto/>
                    <w:default w:val="0"/>
                  </w:checkBox>
                </w:ffData>
              </w:fldChar>
            </w:r>
            <w:r w:rsidRPr="00243081">
              <w:rPr>
                <w:rFonts w:ascii="Arial Narrow" w:hAnsi="Arial Narrow"/>
                <w:sz w:val="20"/>
                <w:szCs w:val="20"/>
              </w:rPr>
              <w:instrText xml:space="preserve"> FORMCHECKBOX </w:instrText>
            </w:r>
            <w:r w:rsidR="009A1E78">
              <w:rPr>
                <w:rFonts w:ascii="Arial Narrow" w:hAnsi="Arial Narrow"/>
                <w:sz w:val="20"/>
                <w:szCs w:val="20"/>
              </w:rPr>
            </w:r>
            <w:r w:rsidR="009A1E78">
              <w:rPr>
                <w:rFonts w:ascii="Arial Narrow" w:hAnsi="Arial Narrow"/>
                <w:sz w:val="20"/>
                <w:szCs w:val="20"/>
              </w:rPr>
              <w:fldChar w:fldCharType="separate"/>
            </w:r>
            <w:r w:rsidRPr="00243081">
              <w:rPr>
                <w:rFonts w:ascii="Arial Narrow" w:hAnsi="Arial Narrow"/>
                <w:sz w:val="20"/>
                <w:szCs w:val="20"/>
              </w:rPr>
              <w:fldChar w:fldCharType="end"/>
            </w:r>
            <w:r w:rsidRPr="00243081">
              <w:rPr>
                <w:rFonts w:ascii="Arial Narrow" w:hAnsi="Arial Narrow"/>
                <w:sz w:val="20"/>
                <w:szCs w:val="20"/>
              </w:rPr>
              <w:t xml:space="preserve">Nurse practitioners  </w:t>
            </w:r>
            <w:r w:rsidRPr="00243081">
              <w:rPr>
                <w:rFonts w:ascii="Arial Narrow" w:hAnsi="Arial Narrow"/>
                <w:sz w:val="20"/>
                <w:szCs w:val="20"/>
              </w:rPr>
              <w:fldChar w:fldCharType="begin">
                <w:ffData>
                  <w:name w:val=""/>
                  <w:enabled/>
                  <w:calcOnExit w:val="0"/>
                  <w:checkBox>
                    <w:sizeAuto/>
                    <w:default w:val="0"/>
                  </w:checkBox>
                </w:ffData>
              </w:fldChar>
            </w:r>
            <w:r w:rsidRPr="00243081">
              <w:rPr>
                <w:rFonts w:ascii="Arial Narrow" w:hAnsi="Arial Narrow"/>
                <w:sz w:val="20"/>
                <w:szCs w:val="20"/>
              </w:rPr>
              <w:instrText xml:space="preserve"> FORMCHECKBOX </w:instrText>
            </w:r>
            <w:r w:rsidR="009A1E78">
              <w:rPr>
                <w:rFonts w:ascii="Arial Narrow" w:hAnsi="Arial Narrow"/>
                <w:sz w:val="20"/>
                <w:szCs w:val="20"/>
              </w:rPr>
            </w:r>
            <w:r w:rsidR="009A1E78">
              <w:rPr>
                <w:rFonts w:ascii="Arial Narrow" w:hAnsi="Arial Narrow"/>
                <w:sz w:val="20"/>
                <w:szCs w:val="20"/>
              </w:rPr>
              <w:fldChar w:fldCharType="separate"/>
            </w:r>
            <w:r w:rsidRPr="00243081">
              <w:rPr>
                <w:rFonts w:ascii="Arial Narrow" w:hAnsi="Arial Narrow"/>
                <w:sz w:val="20"/>
                <w:szCs w:val="20"/>
              </w:rPr>
              <w:fldChar w:fldCharType="end"/>
            </w:r>
            <w:r w:rsidRPr="00243081">
              <w:rPr>
                <w:rFonts w:ascii="Arial Narrow" w:hAnsi="Arial Narrow"/>
                <w:sz w:val="20"/>
                <w:szCs w:val="20"/>
              </w:rPr>
              <w:t>Optometrists</w:t>
            </w:r>
          </w:p>
          <w:p w:rsidR="00F951A4" w:rsidRPr="00243081" w:rsidRDefault="00F951A4" w:rsidP="00F81455">
            <w:pPr>
              <w:pStyle w:val="Tabletext"/>
            </w:pPr>
            <w:r w:rsidRPr="00243081">
              <w:rPr>
                <w:rFonts w:cs="Arial"/>
                <w:szCs w:val="20"/>
              </w:rPr>
              <w:fldChar w:fldCharType="begin">
                <w:ffData>
                  <w:name w:val="Check5"/>
                  <w:enabled/>
                  <w:calcOnExit w:val="0"/>
                  <w:checkBox>
                    <w:sizeAuto/>
                    <w:default w:val="0"/>
                  </w:checkBox>
                </w:ffData>
              </w:fldChar>
            </w:r>
            <w:r w:rsidRPr="00243081">
              <w:rPr>
                <w:rFonts w:cs="Arial"/>
                <w:szCs w:val="20"/>
              </w:rPr>
              <w:instrText xml:space="preserve"> FORMCHECKBOX </w:instrText>
            </w:r>
            <w:r w:rsidR="009A1E78">
              <w:rPr>
                <w:rFonts w:cs="Arial"/>
                <w:szCs w:val="20"/>
              </w:rPr>
            </w:r>
            <w:r w:rsidR="009A1E78">
              <w:rPr>
                <w:rFonts w:cs="Arial"/>
                <w:szCs w:val="20"/>
              </w:rPr>
              <w:fldChar w:fldCharType="separate"/>
            </w:r>
            <w:r w:rsidRPr="00243081">
              <w:rPr>
                <w:rFonts w:cs="Arial"/>
                <w:szCs w:val="20"/>
              </w:rPr>
              <w:fldChar w:fldCharType="end"/>
            </w:r>
            <w:r w:rsidRPr="00243081">
              <w:rPr>
                <w:rFonts w:cs="Arial"/>
                <w:szCs w:val="20"/>
              </w:rPr>
              <w:t>Midwives</w:t>
            </w:r>
          </w:p>
        </w:tc>
      </w:tr>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rPr>
                <w:b/>
              </w:rPr>
            </w:pPr>
            <w:r w:rsidRPr="00243081">
              <w:rPr>
                <w:b/>
              </w:rPr>
              <w:t>Severity:</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pPr>
            <w:r w:rsidRPr="00243081">
              <w:t>Stage IV (metastatic)</w:t>
            </w:r>
          </w:p>
        </w:tc>
      </w:tr>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rPr>
                <w:b/>
              </w:rPr>
            </w:pPr>
            <w:r w:rsidRPr="00243081">
              <w:rPr>
                <w:b/>
              </w:rPr>
              <w:t>Condition:</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951A4">
            <w:pPr>
              <w:pStyle w:val="Tabletext"/>
            </w:pPr>
            <w:r w:rsidRPr="00243081">
              <w:t xml:space="preserve">Non squamous non-small cell lung cancer </w:t>
            </w:r>
          </w:p>
        </w:tc>
      </w:tr>
      <w:tr w:rsidR="00F951A4" w:rsidRPr="00243081" w:rsidTr="00F81455">
        <w:trPr>
          <w:cantSplit/>
          <w:trHeight w:val="249"/>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rPr>
                <w:b/>
              </w:rPr>
            </w:pPr>
            <w:r w:rsidRPr="00243081">
              <w:rPr>
                <w:b/>
              </w:rPr>
              <w:t>PBS Indication:</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pPr>
            <w:r w:rsidRPr="00243081">
              <w:t>Stage IV (metastatic) non squamous non-small cell lung cancer</w:t>
            </w:r>
          </w:p>
        </w:tc>
      </w:tr>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pPr>
            <w:r w:rsidRPr="00243081">
              <w:rPr>
                <w:b/>
              </w:rPr>
              <w:t>Treatment phase:</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951A4">
            <w:pPr>
              <w:pStyle w:val="Tabletext"/>
              <w:rPr>
                <w:strike/>
              </w:rPr>
            </w:pPr>
            <w:r w:rsidRPr="00243081">
              <w:t xml:space="preserve">Initial </w:t>
            </w:r>
            <w:r w:rsidRPr="00243081">
              <w:rPr>
                <w:iCs/>
              </w:rPr>
              <w:t>treatment</w:t>
            </w:r>
          </w:p>
        </w:tc>
      </w:tr>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rPr>
                <w:i/>
              </w:rPr>
            </w:pPr>
            <w:r w:rsidRPr="00243081">
              <w:rPr>
                <w:b/>
              </w:rPr>
              <w:t>Restriction:</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pPr>
            <w:r w:rsidRPr="00243081">
              <w:fldChar w:fldCharType="begin">
                <w:ffData>
                  <w:name w:val="Check1"/>
                  <w:enabled/>
                  <w:calcOnExit w:val="0"/>
                  <w:checkBox>
                    <w:sizeAuto/>
                    <w:default w:val="0"/>
                  </w:checkBox>
                </w:ffData>
              </w:fldChar>
            </w:r>
            <w:r w:rsidRPr="00243081">
              <w:instrText xml:space="preserve"> FORMCHECKBOX </w:instrText>
            </w:r>
            <w:r w:rsidR="009A1E78">
              <w:fldChar w:fldCharType="separate"/>
            </w:r>
            <w:r w:rsidRPr="00243081">
              <w:fldChar w:fldCharType="end"/>
            </w:r>
            <w:r w:rsidRPr="00243081">
              <w:t>Restricted benefit</w:t>
            </w:r>
          </w:p>
          <w:p w:rsidR="00F951A4" w:rsidRPr="00243081" w:rsidRDefault="00F951A4" w:rsidP="00F81455">
            <w:pPr>
              <w:pStyle w:val="Tabletext"/>
            </w:pPr>
            <w:r w:rsidRPr="00243081">
              <w:fldChar w:fldCharType="begin">
                <w:ffData>
                  <w:name w:val=""/>
                  <w:enabled/>
                  <w:calcOnExit w:val="0"/>
                  <w:checkBox>
                    <w:sizeAuto/>
                    <w:default w:val="0"/>
                  </w:checkBox>
                </w:ffData>
              </w:fldChar>
            </w:r>
            <w:r w:rsidRPr="00243081">
              <w:instrText xml:space="preserve"> FORMCHECKBOX </w:instrText>
            </w:r>
            <w:r w:rsidR="009A1E78">
              <w:fldChar w:fldCharType="separate"/>
            </w:r>
            <w:r w:rsidRPr="00243081">
              <w:fldChar w:fldCharType="end"/>
            </w:r>
            <w:r w:rsidRPr="00243081">
              <w:t>Authority Required - In Writing</w:t>
            </w:r>
          </w:p>
          <w:p w:rsidR="00F951A4" w:rsidRPr="00243081" w:rsidRDefault="00F951A4" w:rsidP="00F81455">
            <w:pPr>
              <w:pStyle w:val="Tabletext"/>
            </w:pPr>
            <w:r w:rsidRPr="00243081">
              <w:fldChar w:fldCharType="begin">
                <w:ffData>
                  <w:name w:val="Check3"/>
                  <w:enabled/>
                  <w:calcOnExit w:val="0"/>
                  <w:checkBox>
                    <w:sizeAuto/>
                    <w:default w:val="0"/>
                  </w:checkBox>
                </w:ffData>
              </w:fldChar>
            </w:r>
            <w:r w:rsidRPr="00243081">
              <w:instrText xml:space="preserve"> FORMCHECKBOX </w:instrText>
            </w:r>
            <w:r w:rsidR="009A1E78">
              <w:fldChar w:fldCharType="separate"/>
            </w:r>
            <w:r w:rsidRPr="00243081">
              <w:fldChar w:fldCharType="end"/>
            </w:r>
            <w:r w:rsidRPr="00243081">
              <w:t>Authority Required - Telephone</w:t>
            </w:r>
          </w:p>
          <w:p w:rsidR="00F951A4" w:rsidRPr="00243081" w:rsidRDefault="00F951A4" w:rsidP="00F81455">
            <w:pPr>
              <w:pStyle w:val="Tabletext"/>
            </w:pPr>
            <w:r w:rsidRPr="00243081">
              <w:fldChar w:fldCharType="begin">
                <w:ffData>
                  <w:name w:val=""/>
                  <w:enabled/>
                  <w:calcOnExit w:val="0"/>
                  <w:checkBox>
                    <w:sizeAuto/>
                    <w:default w:val="0"/>
                  </w:checkBox>
                </w:ffData>
              </w:fldChar>
            </w:r>
            <w:r w:rsidRPr="00243081">
              <w:instrText xml:space="preserve"> FORMCHECKBOX </w:instrText>
            </w:r>
            <w:r w:rsidR="009A1E78">
              <w:fldChar w:fldCharType="separate"/>
            </w:r>
            <w:r w:rsidRPr="00243081">
              <w:fldChar w:fldCharType="end"/>
            </w:r>
            <w:r w:rsidRPr="00243081">
              <w:t>Authority Required – Emergency</w:t>
            </w:r>
          </w:p>
          <w:p w:rsidR="00F951A4" w:rsidRPr="00243081" w:rsidRDefault="00F951A4" w:rsidP="00F81455">
            <w:pPr>
              <w:pStyle w:val="Tabletext"/>
            </w:pPr>
            <w:r w:rsidRPr="00243081">
              <w:fldChar w:fldCharType="begin">
                <w:ffData>
                  <w:name w:val="Check5"/>
                  <w:enabled/>
                  <w:calcOnExit w:val="0"/>
                  <w:checkBox>
                    <w:sizeAuto/>
                    <w:default w:val="0"/>
                  </w:checkBox>
                </w:ffData>
              </w:fldChar>
            </w:r>
            <w:r w:rsidRPr="00243081">
              <w:instrText xml:space="preserve"> FORMCHECKBOX </w:instrText>
            </w:r>
            <w:r w:rsidR="009A1E78">
              <w:fldChar w:fldCharType="separate"/>
            </w:r>
            <w:r w:rsidRPr="00243081">
              <w:fldChar w:fldCharType="end"/>
            </w:r>
            <w:r w:rsidRPr="00243081">
              <w:t>Authority Required - Electronic</w:t>
            </w:r>
          </w:p>
          <w:p w:rsidR="00F951A4" w:rsidRPr="00243081" w:rsidRDefault="00F951A4" w:rsidP="00F81455">
            <w:pPr>
              <w:pStyle w:val="Tabletext"/>
            </w:pPr>
            <w:r w:rsidRPr="00243081">
              <w:fldChar w:fldCharType="begin">
                <w:ffData>
                  <w:name w:val="Check5"/>
                  <w:enabled/>
                  <w:calcOnExit w:val="0"/>
                  <w:checkBox>
                    <w:sizeAuto/>
                    <w:default w:val="1"/>
                  </w:checkBox>
                </w:ffData>
              </w:fldChar>
            </w:r>
            <w:r w:rsidRPr="00243081">
              <w:instrText xml:space="preserve"> FORMCHECKBOX </w:instrText>
            </w:r>
            <w:r w:rsidR="009A1E78">
              <w:fldChar w:fldCharType="separate"/>
            </w:r>
            <w:r w:rsidRPr="00243081">
              <w:fldChar w:fldCharType="end"/>
            </w:r>
            <w:r w:rsidRPr="00243081">
              <w:t>Streamlined</w:t>
            </w:r>
          </w:p>
        </w:tc>
      </w:tr>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rPr>
                <w:i/>
              </w:rPr>
            </w:pPr>
            <w:r w:rsidRPr="00243081">
              <w:rPr>
                <w:b/>
              </w:rPr>
              <w:t>Clinical criteria:</w:t>
            </w:r>
            <w:r w:rsidRPr="00243081">
              <w:t xml:space="preserve"> </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pPr>
            <w:r w:rsidRPr="00243081">
              <w:t>The patient must not have received prior systemic treatment for this condition in the metastatic setting</w:t>
            </w:r>
          </w:p>
          <w:p w:rsidR="00F951A4" w:rsidRPr="00243081" w:rsidRDefault="00F951A4" w:rsidP="00F81455">
            <w:pPr>
              <w:pStyle w:val="Tabletext"/>
            </w:pPr>
            <w:r w:rsidRPr="00243081">
              <w:t>AND</w:t>
            </w:r>
          </w:p>
          <w:p w:rsidR="00F951A4" w:rsidRPr="00243081" w:rsidRDefault="00F951A4" w:rsidP="00F81455">
            <w:pPr>
              <w:pStyle w:val="Tabletext"/>
            </w:pPr>
            <w:r w:rsidRPr="00243081">
              <w:t xml:space="preserve">The condition must be non-squamous type non-small cell lung cancer </w:t>
            </w:r>
          </w:p>
          <w:p w:rsidR="00F951A4" w:rsidRPr="00243081" w:rsidRDefault="00F951A4" w:rsidP="00F81455">
            <w:pPr>
              <w:pStyle w:val="Tabletext"/>
            </w:pPr>
            <w:r w:rsidRPr="00243081">
              <w:t>AND</w:t>
            </w:r>
          </w:p>
          <w:p w:rsidR="005513B2" w:rsidRPr="001C6E85" w:rsidRDefault="00F951A4" w:rsidP="00F951A4">
            <w:pPr>
              <w:pStyle w:val="Tabletext"/>
              <w:rPr>
                <w:u w:val="single"/>
                <w:lang w:eastAsia="en-AU"/>
              </w:rPr>
            </w:pPr>
            <w:r w:rsidRPr="001C6E85">
              <w:rPr>
                <w:u w:val="single"/>
                <w:lang w:eastAsia="en-AU"/>
              </w:rPr>
              <w:t>The condition must express programmed cell death ligand 1 (PD-L1) with a tumour proportion score of less than 50% in the tumour sample</w:t>
            </w:r>
            <w:r w:rsidR="0069405A" w:rsidRPr="001C6E85">
              <w:rPr>
                <w:u w:val="single"/>
                <w:lang w:eastAsia="en-AU"/>
              </w:rPr>
              <w:t xml:space="preserve"> [inserted in Pre-PBAC </w:t>
            </w:r>
            <w:r w:rsidR="005513B2" w:rsidRPr="001C6E85">
              <w:rPr>
                <w:u w:val="single"/>
                <w:lang w:eastAsia="en-AU"/>
              </w:rPr>
              <w:t>response]</w:t>
            </w:r>
          </w:p>
          <w:p w:rsidR="00F951A4" w:rsidRPr="00243081" w:rsidRDefault="00F951A4" w:rsidP="00F81455">
            <w:pPr>
              <w:pStyle w:val="Tabletext"/>
            </w:pPr>
            <w:r w:rsidRPr="00243081">
              <w:rPr>
                <w:lang w:eastAsia="en-AU"/>
              </w:rPr>
              <w:t>AND</w:t>
            </w:r>
          </w:p>
          <w:p w:rsidR="00F951A4" w:rsidRPr="00243081" w:rsidRDefault="00F951A4" w:rsidP="00F951A4">
            <w:pPr>
              <w:pStyle w:val="Tabletext"/>
            </w:pPr>
            <w:r w:rsidRPr="00243081">
              <w:t xml:space="preserve">The treatment must be in combination with </w:t>
            </w:r>
            <w:proofErr w:type="spellStart"/>
            <w:r w:rsidRPr="00243081">
              <w:t>pemetrexed</w:t>
            </w:r>
            <w:proofErr w:type="spellEnd"/>
            <w:r w:rsidR="00E72503" w:rsidRPr="00243081">
              <w:t xml:space="preserve"> and carboplatin or cisplatin.</w:t>
            </w:r>
          </w:p>
          <w:p w:rsidR="00F951A4" w:rsidRPr="00243081" w:rsidRDefault="00F951A4" w:rsidP="00F81455">
            <w:pPr>
              <w:pStyle w:val="Tabletext"/>
            </w:pPr>
            <w:r w:rsidRPr="00243081">
              <w:t xml:space="preserve">AND </w:t>
            </w:r>
          </w:p>
          <w:p w:rsidR="00F951A4" w:rsidRPr="00243081" w:rsidRDefault="00F951A4" w:rsidP="00F81455">
            <w:pPr>
              <w:pStyle w:val="Tabletext"/>
            </w:pPr>
            <w:r w:rsidRPr="00243081">
              <w:t xml:space="preserve">Patient must have a WHO performance status score of 0 or 1, </w:t>
            </w:r>
          </w:p>
          <w:p w:rsidR="00F951A4" w:rsidRPr="00243081" w:rsidRDefault="00F951A4" w:rsidP="00F81455">
            <w:pPr>
              <w:pStyle w:val="Tabletext"/>
            </w:pPr>
            <w:r w:rsidRPr="00243081">
              <w:t>AND</w:t>
            </w:r>
          </w:p>
          <w:p w:rsidR="00F951A4" w:rsidRPr="00243081" w:rsidRDefault="00F951A4" w:rsidP="00F81455">
            <w:pPr>
              <w:pStyle w:val="Tabletext"/>
              <w:rPr>
                <w:rFonts w:cs="Arial"/>
              </w:rPr>
            </w:pPr>
            <w:r w:rsidRPr="00243081">
              <w:t xml:space="preserve">The treatment with </w:t>
            </w:r>
            <w:proofErr w:type="spellStart"/>
            <w:r w:rsidRPr="00243081">
              <w:t>pembrolizumab</w:t>
            </w:r>
            <w:proofErr w:type="spellEnd"/>
            <w:r w:rsidRPr="00243081">
              <w:t xml:space="preserve"> must not exceed a total of 6 doses at a dose of 200 mg every 3 weeks.</w:t>
            </w:r>
          </w:p>
        </w:tc>
      </w:tr>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rPr>
                <w:i/>
              </w:rPr>
            </w:pPr>
            <w:r w:rsidRPr="00243081">
              <w:rPr>
                <w:b/>
              </w:rPr>
              <w:t>Population criteria:</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pPr>
            <w:r w:rsidRPr="00243081">
              <w:t>Patient must have no evidence of an activating epidermal growth factor gene or of an anaplastic lymphoma kinase (ALK) gene rearrangement in tumour material</w:t>
            </w:r>
          </w:p>
        </w:tc>
      </w:tr>
      <w:tr w:rsidR="00F951A4" w:rsidRPr="00243081" w:rsidTr="00F81455">
        <w:trPr>
          <w:cantSplit/>
        </w:trPr>
        <w:tc>
          <w:tcPr>
            <w:tcW w:w="3402"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rPr>
                <w:b/>
              </w:rPr>
            </w:pPr>
            <w:r w:rsidRPr="00243081">
              <w:rPr>
                <w:b/>
              </w:rPr>
              <w:lastRenderedPageBreak/>
              <w:t>Administrative Advice:</w:t>
            </w:r>
          </w:p>
        </w:tc>
        <w:tc>
          <w:tcPr>
            <w:tcW w:w="5670" w:type="dxa"/>
            <w:tcBorders>
              <w:top w:val="single" w:sz="4" w:space="0" w:color="auto"/>
              <w:left w:val="single" w:sz="4" w:space="0" w:color="auto"/>
              <w:bottom w:val="single" w:sz="4" w:space="0" w:color="auto"/>
              <w:right w:val="single" w:sz="4" w:space="0" w:color="auto"/>
            </w:tcBorders>
          </w:tcPr>
          <w:p w:rsidR="00F951A4" w:rsidRPr="00243081" w:rsidRDefault="00F951A4" w:rsidP="00F81455">
            <w:pPr>
              <w:pStyle w:val="Tabletext"/>
            </w:pPr>
            <w:r w:rsidRPr="00243081">
              <w:t>No increase in the maximum number of repeats will be authorised.</w:t>
            </w:r>
          </w:p>
          <w:p w:rsidR="00F951A4" w:rsidRPr="00243081" w:rsidRDefault="00F951A4" w:rsidP="00F81455">
            <w:pPr>
              <w:pStyle w:val="Tabletext"/>
            </w:pPr>
          </w:p>
          <w:p w:rsidR="00F951A4" w:rsidRPr="00243081" w:rsidRDefault="00F951A4" w:rsidP="00F81455">
            <w:pPr>
              <w:pStyle w:val="Tabletext"/>
            </w:pPr>
            <w:r w:rsidRPr="00243081">
              <w:t xml:space="preserve">In the first few months after start of immunotherapy, some patients can have a transient tumour flare with subsequent disease response. When progression is suspected, this should be confirmed through a confirmatory scan, taken at least 4 weeks later. </w:t>
            </w:r>
          </w:p>
          <w:p w:rsidR="00F951A4" w:rsidRPr="00243081" w:rsidRDefault="00F951A4" w:rsidP="00F81455">
            <w:pPr>
              <w:pStyle w:val="Tabletext"/>
            </w:pPr>
            <w:r w:rsidRPr="00243081">
              <w:t>Special pricing arrangement apply</w:t>
            </w:r>
          </w:p>
        </w:tc>
      </w:tr>
    </w:tbl>
    <w:p w:rsidR="00F951A4" w:rsidRPr="00243081" w:rsidRDefault="00F951A4" w:rsidP="00F951A4">
      <w:pPr>
        <w:spacing w:after="120"/>
        <w:contextualSpacing/>
        <w:rPr>
          <w:rFonts w:asciiTheme="minorHAnsi" w:hAnsiTheme="minorHAnsi" w:cstheme="minorHAnsi"/>
          <w:bCs/>
          <w:iCs/>
          <w:szCs w:val="24"/>
        </w:rPr>
      </w:pPr>
    </w:p>
    <w:p w:rsidR="00B60939" w:rsidRPr="00243081" w:rsidRDefault="009D5B90" w:rsidP="009B1E8C">
      <w:pPr>
        <w:pStyle w:val="ListParagraph"/>
        <w:widowControl/>
        <w:numPr>
          <w:ilvl w:val="1"/>
          <w:numId w:val="3"/>
        </w:numPr>
        <w:spacing w:after="120"/>
        <w:rPr>
          <w:sz w:val="18"/>
          <w:szCs w:val="18"/>
        </w:rPr>
      </w:pPr>
      <w:r w:rsidRPr="00243081">
        <w:rPr>
          <w:rFonts w:asciiTheme="minorHAnsi" w:hAnsiTheme="minorHAnsi" w:cstheme="minorHAnsi"/>
          <w:bCs/>
          <w:iCs/>
          <w:szCs w:val="24"/>
        </w:rPr>
        <w:t xml:space="preserve">The proposed continuing treatment restriction and grandfathering restriction are presented in the </w:t>
      </w:r>
      <w:r w:rsidR="008F20AC" w:rsidRPr="00243081">
        <w:rPr>
          <w:rFonts w:asciiTheme="minorHAnsi" w:hAnsiTheme="minorHAnsi" w:cstheme="minorHAnsi"/>
          <w:bCs/>
          <w:iCs/>
          <w:szCs w:val="24"/>
        </w:rPr>
        <w:t>p</w:t>
      </w:r>
      <w:r w:rsidRPr="00243081">
        <w:rPr>
          <w:rFonts w:asciiTheme="minorHAnsi" w:hAnsiTheme="minorHAnsi" w:cstheme="minorHAnsi"/>
          <w:bCs/>
          <w:iCs/>
          <w:szCs w:val="24"/>
        </w:rPr>
        <w:t>re-PBAC response.</w:t>
      </w:r>
    </w:p>
    <w:p w:rsidR="00093145" w:rsidRPr="00243081" w:rsidRDefault="000401FD" w:rsidP="00093145">
      <w:pPr>
        <w:pStyle w:val="ListParagraph"/>
        <w:widowControl/>
        <w:numPr>
          <w:ilvl w:val="1"/>
          <w:numId w:val="3"/>
        </w:numPr>
        <w:rPr>
          <w:b/>
          <w:szCs w:val="20"/>
        </w:rPr>
      </w:pPr>
      <w:r w:rsidRPr="00243081">
        <w:t xml:space="preserve">A special pricing arrangement (SPA) was proposed which included a lower effective price for </w:t>
      </w:r>
      <w:proofErr w:type="spellStart"/>
      <w:r w:rsidRPr="00243081">
        <w:t>pembrolizumab</w:t>
      </w:r>
      <w:proofErr w:type="spellEnd"/>
      <w:r w:rsidRPr="00243081">
        <w:t xml:space="preserve"> when used in combination with platinum doublet which was dependent on the patient population being treated </w:t>
      </w:r>
      <w:r w:rsidR="003B74B2" w:rsidRPr="00243081">
        <w:t xml:space="preserve">(TPS &lt;50 or </w:t>
      </w:r>
      <w:r w:rsidR="003B74B2" w:rsidRPr="00243081">
        <w:rPr>
          <w:rFonts w:cs="Calibri"/>
        </w:rPr>
        <w:t>≥</w:t>
      </w:r>
      <w:r w:rsidR="003B74B2" w:rsidRPr="00243081">
        <w:t>50%</w:t>
      </w:r>
      <w:r w:rsidR="009C6B9C" w:rsidRPr="00243081">
        <w:t xml:space="preserve">; percentages consistent with the proportional split assumed in the </w:t>
      </w:r>
      <w:proofErr w:type="spellStart"/>
      <w:r w:rsidR="009C6B9C" w:rsidRPr="00243081">
        <w:t>pembrolizumab</w:t>
      </w:r>
      <w:proofErr w:type="spellEnd"/>
      <w:r w:rsidR="009C6B9C" w:rsidRPr="00243081">
        <w:t xml:space="preserve"> monotherapy submission</w:t>
      </w:r>
      <w:r w:rsidR="003B74B2" w:rsidRPr="00243081">
        <w:t xml:space="preserve">) </w:t>
      </w:r>
      <w:r w:rsidRPr="00243081">
        <w:t xml:space="preserve">as well as an annual subsidisation cap.  </w:t>
      </w:r>
      <w:r w:rsidR="00254895" w:rsidRPr="00243081">
        <w:t>The effe</w:t>
      </w:r>
      <w:r w:rsidR="003B74B2" w:rsidRPr="00243081">
        <w:t>ctive prices</w:t>
      </w:r>
      <w:r w:rsidR="0041166A" w:rsidRPr="00243081">
        <w:t xml:space="preserve"> proposed</w:t>
      </w:r>
      <w:r w:rsidR="003B74B2" w:rsidRPr="00243081">
        <w:t xml:space="preserve"> </w:t>
      </w:r>
      <w:r w:rsidR="0041166A" w:rsidRPr="00243081">
        <w:t xml:space="preserve">in the initial submission </w:t>
      </w:r>
      <w:r w:rsidR="003B74B2" w:rsidRPr="00243081">
        <w:t xml:space="preserve">are summarised in </w:t>
      </w:r>
      <w:r w:rsidR="00F059E8" w:rsidRPr="00243081">
        <w:t xml:space="preserve">Table </w:t>
      </w:r>
      <w:r w:rsidR="00F059E8" w:rsidRPr="00243081">
        <w:rPr>
          <w:noProof/>
        </w:rPr>
        <w:t>2</w:t>
      </w:r>
      <w:r w:rsidR="00254895" w:rsidRPr="00243081">
        <w:t xml:space="preserve">.  </w:t>
      </w:r>
      <w:bookmarkStart w:id="2" w:name="_Ref523180084"/>
    </w:p>
    <w:p w:rsidR="000401FD" w:rsidRPr="00243081" w:rsidRDefault="006B4325" w:rsidP="00FC255D">
      <w:pPr>
        <w:keepNext/>
        <w:keepLines/>
        <w:widowControl/>
        <w:rPr>
          <w:rFonts w:ascii="Arial Narrow" w:hAnsi="Arial Narrow"/>
          <w:b/>
          <w:sz w:val="20"/>
          <w:szCs w:val="20"/>
        </w:rPr>
      </w:pPr>
      <w:r w:rsidRPr="00243081">
        <w:rPr>
          <w:rFonts w:ascii="Arial Narrow" w:hAnsi="Arial Narrow"/>
          <w:b/>
          <w:sz w:val="20"/>
          <w:szCs w:val="20"/>
        </w:rPr>
        <w:t xml:space="preserve">Table </w:t>
      </w:r>
      <w:r w:rsidR="00364F3F" w:rsidRPr="00243081">
        <w:rPr>
          <w:rFonts w:ascii="Arial Narrow" w:hAnsi="Arial Narrow"/>
          <w:b/>
          <w:noProof/>
          <w:sz w:val="20"/>
          <w:szCs w:val="20"/>
        </w:rPr>
        <w:t>2</w:t>
      </w:r>
      <w:bookmarkEnd w:id="2"/>
      <w:r w:rsidR="00DB581C" w:rsidRPr="00243081">
        <w:rPr>
          <w:rFonts w:ascii="Arial Narrow" w:hAnsi="Arial Narrow"/>
          <w:b/>
          <w:sz w:val="20"/>
          <w:szCs w:val="20"/>
        </w:rPr>
        <w:t xml:space="preserve">: </w:t>
      </w:r>
      <w:r w:rsidR="00254895" w:rsidRPr="00243081">
        <w:rPr>
          <w:rFonts w:ascii="Arial Narrow" w:hAnsi="Arial Narrow"/>
          <w:b/>
          <w:sz w:val="20"/>
          <w:szCs w:val="20"/>
        </w:rPr>
        <w:t xml:space="preserve">Effective price for </w:t>
      </w:r>
      <w:proofErr w:type="spellStart"/>
      <w:r w:rsidR="00254895" w:rsidRPr="00243081">
        <w:rPr>
          <w:rFonts w:ascii="Arial Narrow" w:hAnsi="Arial Narrow"/>
          <w:b/>
          <w:sz w:val="20"/>
          <w:szCs w:val="20"/>
        </w:rPr>
        <w:t>pembrolizumab</w:t>
      </w:r>
      <w:proofErr w:type="spellEnd"/>
      <w:r w:rsidR="00254895" w:rsidRPr="00243081">
        <w:rPr>
          <w:rFonts w:ascii="Arial Narrow" w:hAnsi="Arial Narrow"/>
          <w:b/>
          <w:sz w:val="20"/>
          <w:szCs w:val="20"/>
        </w:rPr>
        <w:t xml:space="preserve"> when used in combination with platinum doublet</w:t>
      </w:r>
    </w:p>
    <w:tbl>
      <w:tblPr>
        <w:tblStyle w:val="TableGrid"/>
        <w:tblW w:w="0" w:type="auto"/>
        <w:tblCellMar>
          <w:left w:w="28" w:type="dxa"/>
          <w:right w:w="28" w:type="dxa"/>
        </w:tblCellMar>
        <w:tblLook w:val="04A0" w:firstRow="1" w:lastRow="0" w:firstColumn="1" w:lastColumn="0" w:noHBand="0" w:noVBand="1"/>
        <w:tblCaption w:val="Effective price for pembrolizumab when used in combination with platinum doublet"/>
      </w:tblPr>
      <w:tblGrid>
        <w:gridCol w:w="3430"/>
        <w:gridCol w:w="2793"/>
        <w:gridCol w:w="2794"/>
      </w:tblGrid>
      <w:tr w:rsidR="000401FD" w:rsidRPr="00243081" w:rsidTr="009A1E78">
        <w:trPr>
          <w:cantSplit/>
          <w:tblHeader/>
        </w:trPr>
        <w:tc>
          <w:tcPr>
            <w:tcW w:w="3430" w:type="dxa"/>
          </w:tcPr>
          <w:p w:rsidR="000401FD" w:rsidRPr="00243081" w:rsidRDefault="000401FD" w:rsidP="00FC255D">
            <w:pPr>
              <w:keepNext/>
              <w:keepLines/>
              <w:widowControl/>
              <w:spacing w:before="40" w:after="40"/>
              <w:rPr>
                <w:rFonts w:ascii="Arial Narrow" w:hAnsi="Arial Narrow"/>
                <w:sz w:val="20"/>
                <w:szCs w:val="20"/>
              </w:rPr>
            </w:pPr>
          </w:p>
        </w:tc>
        <w:tc>
          <w:tcPr>
            <w:tcW w:w="2793" w:type="dxa"/>
            <w:vAlign w:val="center"/>
          </w:tcPr>
          <w:p w:rsidR="000401FD" w:rsidRPr="00243081" w:rsidRDefault="000401FD" w:rsidP="00FC255D">
            <w:pPr>
              <w:keepNext/>
              <w:keepLines/>
              <w:widowControl/>
              <w:spacing w:before="40" w:after="40"/>
              <w:jc w:val="center"/>
              <w:rPr>
                <w:rFonts w:ascii="Arial Narrow" w:hAnsi="Arial Narrow"/>
                <w:b/>
                <w:sz w:val="20"/>
                <w:szCs w:val="20"/>
              </w:rPr>
            </w:pPr>
            <w:r w:rsidRPr="00243081">
              <w:rPr>
                <w:rFonts w:ascii="Arial Narrow" w:hAnsi="Arial Narrow"/>
                <w:b/>
                <w:sz w:val="20"/>
                <w:szCs w:val="20"/>
              </w:rPr>
              <w:t xml:space="preserve">Effective </w:t>
            </w:r>
            <w:r w:rsidR="005D5FFE" w:rsidRPr="00243081">
              <w:rPr>
                <w:rFonts w:ascii="Arial Narrow" w:hAnsi="Arial Narrow"/>
                <w:b/>
                <w:sz w:val="20"/>
                <w:szCs w:val="20"/>
              </w:rPr>
              <w:t xml:space="preserve">dispensed </w:t>
            </w:r>
            <w:r w:rsidRPr="00243081">
              <w:rPr>
                <w:rFonts w:ascii="Arial Narrow" w:hAnsi="Arial Narrow"/>
                <w:b/>
                <w:sz w:val="20"/>
                <w:szCs w:val="20"/>
              </w:rPr>
              <w:t>price</w:t>
            </w:r>
          </w:p>
        </w:tc>
        <w:tc>
          <w:tcPr>
            <w:tcW w:w="2794" w:type="dxa"/>
            <w:vAlign w:val="center"/>
          </w:tcPr>
          <w:p w:rsidR="000401FD" w:rsidRPr="00243081" w:rsidRDefault="000401FD" w:rsidP="00FC255D">
            <w:pPr>
              <w:keepNext/>
              <w:keepLines/>
              <w:widowControl/>
              <w:spacing w:before="40" w:after="40"/>
              <w:jc w:val="center"/>
              <w:rPr>
                <w:rFonts w:ascii="Arial Narrow" w:hAnsi="Arial Narrow"/>
                <w:b/>
                <w:sz w:val="20"/>
                <w:szCs w:val="20"/>
              </w:rPr>
            </w:pPr>
            <w:r w:rsidRPr="00243081">
              <w:rPr>
                <w:rFonts w:ascii="Arial Narrow" w:hAnsi="Arial Narrow"/>
                <w:b/>
                <w:sz w:val="20"/>
                <w:szCs w:val="20"/>
              </w:rPr>
              <w:t>Proportion of patients</w:t>
            </w:r>
          </w:p>
        </w:tc>
      </w:tr>
      <w:tr w:rsidR="000401FD" w:rsidRPr="00243081" w:rsidTr="006158F8">
        <w:tc>
          <w:tcPr>
            <w:tcW w:w="3430" w:type="dxa"/>
          </w:tcPr>
          <w:p w:rsidR="000401FD" w:rsidRPr="00243081" w:rsidRDefault="000401FD" w:rsidP="00FC255D">
            <w:pPr>
              <w:keepNext/>
              <w:keepLines/>
              <w:widowControl/>
              <w:spacing w:before="40" w:after="40"/>
              <w:rPr>
                <w:rFonts w:ascii="Arial Narrow" w:hAnsi="Arial Narrow"/>
                <w:sz w:val="20"/>
                <w:szCs w:val="20"/>
              </w:rPr>
            </w:pPr>
            <w:r w:rsidRPr="00243081">
              <w:rPr>
                <w:rFonts w:ascii="Arial Narrow" w:hAnsi="Arial Narrow"/>
                <w:sz w:val="20"/>
                <w:szCs w:val="20"/>
              </w:rPr>
              <w:t>PD-L1 TPS &lt;50%</w:t>
            </w:r>
          </w:p>
        </w:tc>
        <w:tc>
          <w:tcPr>
            <w:tcW w:w="2793" w:type="dxa"/>
            <w:vAlign w:val="center"/>
          </w:tcPr>
          <w:p w:rsidR="000401FD" w:rsidRPr="00243081" w:rsidRDefault="000401FD" w:rsidP="00FC255D">
            <w:pPr>
              <w:keepNext/>
              <w:keepLines/>
              <w:widowControl/>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r w:rsidR="00254895" w:rsidRPr="00243081">
              <w:rPr>
                <w:rFonts w:ascii="Arial Narrow" w:hAnsi="Arial Narrow"/>
                <w:sz w:val="20"/>
                <w:szCs w:val="20"/>
              </w:rPr>
              <w:t xml:space="preserve"> per 100mg vial</w:t>
            </w:r>
          </w:p>
        </w:tc>
        <w:tc>
          <w:tcPr>
            <w:tcW w:w="2794" w:type="dxa"/>
            <w:vAlign w:val="center"/>
          </w:tcPr>
          <w:p w:rsidR="000401FD" w:rsidRPr="00243081" w:rsidRDefault="00254895" w:rsidP="00FC255D">
            <w:pPr>
              <w:keepNext/>
              <w:keepLines/>
              <w:widowControl/>
              <w:spacing w:before="40" w:after="40"/>
              <w:jc w:val="center"/>
              <w:rPr>
                <w:rFonts w:ascii="Arial Narrow" w:hAnsi="Arial Narrow"/>
                <w:sz w:val="20"/>
                <w:szCs w:val="20"/>
              </w:rPr>
            </w:pPr>
            <w:r w:rsidRPr="00243081">
              <w:rPr>
                <w:rFonts w:ascii="Arial Narrow" w:hAnsi="Arial Narrow"/>
                <w:sz w:val="20"/>
                <w:szCs w:val="20"/>
              </w:rPr>
              <w:t>71.5%</w:t>
            </w:r>
          </w:p>
        </w:tc>
      </w:tr>
      <w:tr w:rsidR="000401FD" w:rsidRPr="00243081" w:rsidTr="006158F8">
        <w:tc>
          <w:tcPr>
            <w:tcW w:w="3430" w:type="dxa"/>
          </w:tcPr>
          <w:p w:rsidR="000401FD" w:rsidRPr="00243081" w:rsidRDefault="000401FD" w:rsidP="00FC255D">
            <w:pPr>
              <w:keepNext/>
              <w:keepLines/>
              <w:widowControl/>
              <w:spacing w:before="40" w:after="40"/>
              <w:rPr>
                <w:rFonts w:ascii="Arial Narrow" w:hAnsi="Arial Narrow"/>
                <w:sz w:val="20"/>
                <w:szCs w:val="20"/>
              </w:rPr>
            </w:pPr>
            <w:r w:rsidRPr="00243081">
              <w:rPr>
                <w:rFonts w:ascii="Arial Narrow" w:hAnsi="Arial Narrow"/>
                <w:sz w:val="20"/>
                <w:szCs w:val="20"/>
              </w:rPr>
              <w:t xml:space="preserve">PD-L1 TPS </w:t>
            </w:r>
            <w:r w:rsidRPr="00243081">
              <w:rPr>
                <w:rFonts w:ascii="Arial Narrow" w:hAnsi="Arial Narrow" w:cs="Calibri"/>
                <w:sz w:val="20"/>
                <w:szCs w:val="20"/>
              </w:rPr>
              <w:t>≥</w:t>
            </w:r>
            <w:r w:rsidRPr="00243081">
              <w:rPr>
                <w:rFonts w:ascii="Arial Narrow" w:hAnsi="Arial Narrow"/>
                <w:sz w:val="20"/>
                <w:szCs w:val="20"/>
              </w:rPr>
              <w:t>50%</w:t>
            </w:r>
          </w:p>
        </w:tc>
        <w:tc>
          <w:tcPr>
            <w:tcW w:w="2793" w:type="dxa"/>
            <w:vAlign w:val="center"/>
          </w:tcPr>
          <w:p w:rsidR="000401FD" w:rsidRPr="00243081" w:rsidRDefault="00254895" w:rsidP="00FC255D">
            <w:pPr>
              <w:keepNext/>
              <w:keepLines/>
              <w:widowControl/>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r w:rsidRPr="00243081">
              <w:rPr>
                <w:rFonts w:ascii="Arial Narrow" w:hAnsi="Arial Narrow"/>
                <w:sz w:val="20"/>
                <w:szCs w:val="20"/>
              </w:rPr>
              <w:t xml:space="preserve"> per 100mg vial</w:t>
            </w:r>
          </w:p>
        </w:tc>
        <w:tc>
          <w:tcPr>
            <w:tcW w:w="2794" w:type="dxa"/>
            <w:vAlign w:val="center"/>
          </w:tcPr>
          <w:p w:rsidR="000401FD" w:rsidRPr="00243081" w:rsidRDefault="00254895" w:rsidP="00FC255D">
            <w:pPr>
              <w:keepNext/>
              <w:keepLines/>
              <w:widowControl/>
              <w:spacing w:before="40" w:after="40"/>
              <w:jc w:val="center"/>
              <w:rPr>
                <w:rFonts w:ascii="Arial Narrow" w:hAnsi="Arial Narrow"/>
                <w:sz w:val="20"/>
                <w:szCs w:val="20"/>
              </w:rPr>
            </w:pPr>
            <w:r w:rsidRPr="00243081">
              <w:rPr>
                <w:rFonts w:ascii="Arial Narrow" w:hAnsi="Arial Narrow"/>
                <w:sz w:val="20"/>
                <w:szCs w:val="20"/>
              </w:rPr>
              <w:t>28.5%</w:t>
            </w:r>
          </w:p>
        </w:tc>
      </w:tr>
      <w:tr w:rsidR="000401FD" w:rsidRPr="00243081" w:rsidTr="006158F8">
        <w:tc>
          <w:tcPr>
            <w:tcW w:w="3430" w:type="dxa"/>
          </w:tcPr>
          <w:p w:rsidR="000401FD" w:rsidRPr="00243081" w:rsidRDefault="000401FD" w:rsidP="00FC255D">
            <w:pPr>
              <w:keepNext/>
              <w:keepLines/>
              <w:widowControl/>
              <w:spacing w:before="40" w:after="40"/>
              <w:rPr>
                <w:rFonts w:ascii="Arial Narrow" w:hAnsi="Arial Narrow"/>
                <w:sz w:val="20"/>
                <w:szCs w:val="20"/>
              </w:rPr>
            </w:pPr>
            <w:r w:rsidRPr="00243081">
              <w:rPr>
                <w:rFonts w:ascii="Arial Narrow" w:hAnsi="Arial Narrow"/>
                <w:sz w:val="20"/>
                <w:szCs w:val="20"/>
              </w:rPr>
              <w:t>Weighted</w:t>
            </w:r>
          </w:p>
        </w:tc>
        <w:tc>
          <w:tcPr>
            <w:tcW w:w="2793" w:type="dxa"/>
            <w:vAlign w:val="center"/>
          </w:tcPr>
          <w:p w:rsidR="000401FD" w:rsidRPr="00243081" w:rsidRDefault="00254895" w:rsidP="00FC255D">
            <w:pPr>
              <w:keepNext/>
              <w:keepLines/>
              <w:widowControl/>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r w:rsidRPr="00243081">
              <w:rPr>
                <w:rFonts w:ascii="Arial Narrow" w:hAnsi="Arial Narrow"/>
                <w:sz w:val="20"/>
                <w:szCs w:val="20"/>
              </w:rPr>
              <w:t xml:space="preserve"> per 100mg vial</w:t>
            </w:r>
          </w:p>
        </w:tc>
        <w:tc>
          <w:tcPr>
            <w:tcW w:w="2794" w:type="dxa"/>
            <w:vAlign w:val="center"/>
          </w:tcPr>
          <w:p w:rsidR="000401FD" w:rsidRPr="00243081" w:rsidRDefault="00254895" w:rsidP="00FC255D">
            <w:pPr>
              <w:keepNext/>
              <w:keepLines/>
              <w:widowControl/>
              <w:spacing w:before="40" w:after="40"/>
              <w:jc w:val="center"/>
              <w:rPr>
                <w:rFonts w:ascii="Arial Narrow" w:hAnsi="Arial Narrow"/>
                <w:sz w:val="20"/>
                <w:szCs w:val="20"/>
              </w:rPr>
            </w:pPr>
            <w:r w:rsidRPr="00243081">
              <w:rPr>
                <w:rFonts w:ascii="Arial Narrow" w:hAnsi="Arial Narrow"/>
                <w:sz w:val="20"/>
                <w:szCs w:val="20"/>
              </w:rPr>
              <w:t>100%</w:t>
            </w:r>
          </w:p>
        </w:tc>
      </w:tr>
      <w:tr w:rsidR="00254895" w:rsidRPr="00243081" w:rsidTr="006158F8">
        <w:tc>
          <w:tcPr>
            <w:tcW w:w="3430" w:type="dxa"/>
          </w:tcPr>
          <w:p w:rsidR="00254895" w:rsidRPr="00243081" w:rsidRDefault="006158F8" w:rsidP="00FC255D">
            <w:pPr>
              <w:keepNext/>
              <w:keepLines/>
              <w:widowControl/>
              <w:spacing w:before="40" w:after="40"/>
              <w:rPr>
                <w:rFonts w:ascii="Arial Narrow" w:hAnsi="Arial Narrow"/>
                <w:sz w:val="20"/>
                <w:szCs w:val="20"/>
              </w:rPr>
            </w:pPr>
            <w:r w:rsidRPr="00243081">
              <w:rPr>
                <w:rFonts w:ascii="Arial Narrow" w:hAnsi="Arial Narrow"/>
                <w:sz w:val="20"/>
                <w:szCs w:val="20"/>
              </w:rPr>
              <w:t>Dispensed Price for Maximum Amount</w:t>
            </w:r>
          </w:p>
        </w:tc>
        <w:tc>
          <w:tcPr>
            <w:tcW w:w="2793" w:type="dxa"/>
            <w:vAlign w:val="center"/>
          </w:tcPr>
          <w:p w:rsidR="00254895" w:rsidRPr="00243081" w:rsidRDefault="00254895" w:rsidP="00FC255D">
            <w:pPr>
              <w:keepNext/>
              <w:keepLines/>
              <w:widowControl/>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r w:rsidRPr="00243081">
              <w:rPr>
                <w:rFonts w:ascii="Arial Narrow" w:hAnsi="Arial Narrow"/>
                <w:sz w:val="20"/>
                <w:szCs w:val="20"/>
              </w:rPr>
              <w:t xml:space="preserve"> for 200mg</w:t>
            </w:r>
          </w:p>
        </w:tc>
        <w:tc>
          <w:tcPr>
            <w:tcW w:w="2794" w:type="dxa"/>
            <w:vAlign w:val="center"/>
          </w:tcPr>
          <w:p w:rsidR="00254895" w:rsidRPr="00243081" w:rsidRDefault="00254895" w:rsidP="00FC255D">
            <w:pPr>
              <w:keepNext/>
              <w:keepLines/>
              <w:widowControl/>
              <w:spacing w:before="40" w:after="40"/>
              <w:jc w:val="center"/>
              <w:rPr>
                <w:rFonts w:ascii="Arial Narrow" w:hAnsi="Arial Narrow"/>
                <w:sz w:val="20"/>
                <w:szCs w:val="20"/>
              </w:rPr>
            </w:pPr>
            <w:r w:rsidRPr="00243081">
              <w:rPr>
                <w:rFonts w:ascii="Arial Narrow" w:hAnsi="Arial Narrow"/>
                <w:sz w:val="20"/>
                <w:szCs w:val="20"/>
              </w:rPr>
              <w:t>100%</w:t>
            </w:r>
          </w:p>
        </w:tc>
      </w:tr>
    </w:tbl>
    <w:p w:rsidR="00177A6E" w:rsidRPr="00243081" w:rsidRDefault="00254895" w:rsidP="00FC255D">
      <w:pPr>
        <w:keepNext/>
        <w:keepLines/>
        <w:widowControl/>
        <w:rPr>
          <w:rFonts w:ascii="Arial Narrow" w:hAnsi="Arial Narrow"/>
          <w:sz w:val="18"/>
          <w:szCs w:val="20"/>
        </w:rPr>
      </w:pPr>
      <w:r w:rsidRPr="00243081">
        <w:rPr>
          <w:rFonts w:ascii="Arial Narrow" w:hAnsi="Arial Narrow"/>
          <w:sz w:val="18"/>
          <w:szCs w:val="20"/>
        </w:rPr>
        <w:t>Source: Table 3.6-1, p142 of the submission</w:t>
      </w:r>
    </w:p>
    <w:p w:rsidR="000401FD" w:rsidRPr="00243081" w:rsidRDefault="00177A6E" w:rsidP="00FC255D">
      <w:pPr>
        <w:keepNext/>
        <w:keepLines/>
        <w:widowControl/>
        <w:rPr>
          <w:rFonts w:ascii="Arial Narrow" w:hAnsi="Arial Narrow"/>
          <w:sz w:val="18"/>
          <w:szCs w:val="20"/>
        </w:rPr>
      </w:pPr>
      <w:r w:rsidRPr="00243081">
        <w:rPr>
          <w:rFonts w:ascii="Arial Narrow" w:hAnsi="Arial Narrow"/>
          <w:sz w:val="18"/>
          <w:szCs w:val="20"/>
        </w:rPr>
        <w:t xml:space="preserve">The prices are relevant to the submission, and do not account for changes made in the </w:t>
      </w:r>
      <w:r w:rsidR="00B67687" w:rsidRPr="00243081">
        <w:rPr>
          <w:rFonts w:ascii="Arial Narrow" w:hAnsi="Arial Narrow"/>
          <w:sz w:val="18"/>
          <w:szCs w:val="20"/>
        </w:rPr>
        <w:t>p</w:t>
      </w:r>
      <w:r w:rsidRPr="00243081">
        <w:rPr>
          <w:rFonts w:ascii="Arial Narrow" w:hAnsi="Arial Narrow"/>
          <w:sz w:val="18"/>
          <w:szCs w:val="20"/>
        </w:rPr>
        <w:t>re-PBAC response.</w:t>
      </w:r>
    </w:p>
    <w:p w:rsidR="000401FD" w:rsidRPr="00243081" w:rsidRDefault="000401FD" w:rsidP="000401FD">
      <w:pPr>
        <w:widowControl/>
        <w:rPr>
          <w:sz w:val="18"/>
          <w:szCs w:val="18"/>
        </w:rPr>
      </w:pPr>
    </w:p>
    <w:p w:rsidR="005D5FFE" w:rsidRPr="00243081" w:rsidRDefault="005D5FFE" w:rsidP="00F0776A">
      <w:pPr>
        <w:pStyle w:val="ListParagraph"/>
        <w:widowControl/>
        <w:numPr>
          <w:ilvl w:val="1"/>
          <w:numId w:val="3"/>
        </w:numPr>
      </w:pPr>
      <w:r w:rsidRPr="00243081">
        <w:t xml:space="preserve">The ESC noted that the effective dispensed price that has been agreed for </w:t>
      </w:r>
      <w:proofErr w:type="spellStart"/>
      <w:r w:rsidRPr="00243081">
        <w:t>pembrolizumab</w:t>
      </w:r>
      <w:proofErr w:type="spellEnd"/>
      <w:r w:rsidRPr="00243081">
        <w:t xml:space="preserve"> monotherapy in the PDL1 TPS</w:t>
      </w:r>
      <w:r w:rsidR="00002C1E" w:rsidRPr="00243081">
        <w:rPr>
          <w:rFonts w:cs="Calibri"/>
        </w:rPr>
        <w:t>≥</w:t>
      </w:r>
      <w:r w:rsidRPr="00243081">
        <w:t>50% population is $</w:t>
      </w:r>
      <w:r w:rsidR="00227BBD">
        <w:rPr>
          <w:noProof/>
          <w:color w:val="000000"/>
          <w:highlight w:val="black"/>
        </w:rPr>
        <w:t>''''''''''''''</w:t>
      </w:r>
      <w:r w:rsidRPr="00243081">
        <w:t xml:space="preserve"> per </w:t>
      </w:r>
      <w:r w:rsidR="000D7F8D" w:rsidRPr="00243081">
        <w:t>200 mg dose.</w:t>
      </w:r>
    </w:p>
    <w:p w:rsidR="00093145" w:rsidRPr="00243081" w:rsidRDefault="00093145" w:rsidP="00093145">
      <w:pPr>
        <w:pStyle w:val="ListParagraph"/>
        <w:widowControl/>
        <w:numPr>
          <w:ilvl w:val="1"/>
          <w:numId w:val="3"/>
        </w:numPr>
      </w:pPr>
      <w:r w:rsidRPr="00243081">
        <w:rPr>
          <w:iCs/>
        </w:rPr>
        <w:t xml:space="preserve">In the </w:t>
      </w:r>
      <w:r w:rsidR="00EB46AA" w:rsidRPr="00243081">
        <w:rPr>
          <w:iCs/>
        </w:rPr>
        <w:t>p</w:t>
      </w:r>
      <w:r w:rsidRPr="00243081">
        <w:rPr>
          <w:iCs/>
        </w:rPr>
        <w:t xml:space="preserve">re-PBAC response, the proposed effective dispensed price for </w:t>
      </w:r>
      <w:proofErr w:type="spellStart"/>
      <w:r w:rsidRPr="00243081">
        <w:rPr>
          <w:iCs/>
        </w:rPr>
        <w:t>pembrolizumab</w:t>
      </w:r>
      <w:proofErr w:type="spellEnd"/>
      <w:r w:rsidRPr="00243081">
        <w:rPr>
          <w:iCs/>
        </w:rPr>
        <w:t xml:space="preserve"> was $</w:t>
      </w:r>
      <w:r w:rsidR="00227BBD">
        <w:rPr>
          <w:iCs/>
          <w:noProof/>
          <w:color w:val="000000"/>
          <w:highlight w:val="black"/>
        </w:rPr>
        <w:t>''''''''''''''''</w:t>
      </w:r>
      <w:r w:rsidRPr="00243081">
        <w:rPr>
          <w:iCs/>
        </w:rPr>
        <w:t xml:space="preserve"> per </w:t>
      </w:r>
      <w:r w:rsidR="00D33DE9" w:rsidRPr="00243081">
        <w:rPr>
          <w:iCs/>
        </w:rPr>
        <w:t>2</w:t>
      </w:r>
      <w:r w:rsidRPr="00243081">
        <w:rPr>
          <w:iCs/>
        </w:rPr>
        <w:t xml:space="preserve">00mg </w:t>
      </w:r>
      <w:r w:rsidR="00D33DE9" w:rsidRPr="00243081">
        <w:rPr>
          <w:iCs/>
        </w:rPr>
        <w:t xml:space="preserve">dose </w:t>
      </w:r>
      <w:r w:rsidRPr="00243081">
        <w:rPr>
          <w:iCs/>
        </w:rPr>
        <w:t xml:space="preserve">for the PD-L1 TPS &lt;50% subgroup. No change in the proposed effective price for the PD-L1 TPS ≥50% subgroup was made, as the </w:t>
      </w:r>
      <w:r w:rsidR="001332B1" w:rsidRPr="00243081">
        <w:rPr>
          <w:iCs/>
        </w:rPr>
        <w:t>p</w:t>
      </w:r>
      <w:r w:rsidRPr="00243081">
        <w:rPr>
          <w:iCs/>
        </w:rPr>
        <w:t xml:space="preserve">re-PBAC response requested </w:t>
      </w:r>
      <w:r w:rsidR="00E72503" w:rsidRPr="00243081">
        <w:rPr>
          <w:iCs/>
        </w:rPr>
        <w:t xml:space="preserve">the </w:t>
      </w:r>
      <w:r w:rsidRPr="00243081">
        <w:rPr>
          <w:iCs/>
        </w:rPr>
        <w:t>PBAC defer its consideration of this part of the listing request.</w:t>
      </w:r>
    </w:p>
    <w:p w:rsidR="009E6097" w:rsidRPr="00243081" w:rsidRDefault="009E6097" w:rsidP="009E6097">
      <w:pPr>
        <w:pStyle w:val="PBACHeading1"/>
        <w:numPr>
          <w:ilvl w:val="0"/>
          <w:numId w:val="0"/>
        </w:numPr>
        <w:ind w:left="720"/>
        <w:rPr>
          <w:rFonts w:cs="Calibri"/>
          <w:i/>
          <w:sz w:val="24"/>
          <w:szCs w:val="24"/>
        </w:rPr>
      </w:pPr>
      <w:r w:rsidRPr="00243081">
        <w:rPr>
          <w:rStyle w:val="CommentReference"/>
          <w:rFonts w:ascii="Calibri" w:hAnsi="Calibri" w:cs="Calibri"/>
          <w:i/>
          <w:sz w:val="24"/>
          <w:szCs w:val="24"/>
        </w:rPr>
        <w:t>For more detail on PBAC’s view, see Section 7 PBAC outcome.</w:t>
      </w:r>
    </w:p>
    <w:p w:rsidR="00B50DB8" w:rsidRPr="00243081" w:rsidRDefault="00B50DB8" w:rsidP="00522E6D">
      <w:pPr>
        <w:pStyle w:val="Heading1"/>
        <w:keepNext/>
        <w:widowControl/>
        <w:numPr>
          <w:ilvl w:val="0"/>
          <w:numId w:val="3"/>
        </w:numPr>
        <w:spacing w:after="120"/>
        <w:jc w:val="left"/>
      </w:pPr>
      <w:bookmarkStart w:id="3" w:name="_Toc524518816"/>
      <w:r w:rsidRPr="00243081">
        <w:t>Background</w:t>
      </w:r>
      <w:bookmarkEnd w:id="3"/>
    </w:p>
    <w:p w:rsidR="00B60939" w:rsidRPr="00243081" w:rsidRDefault="00591957" w:rsidP="00C7586D">
      <w:pPr>
        <w:pStyle w:val="Heading2"/>
      </w:pPr>
      <w:bookmarkStart w:id="4" w:name="_Toc524518817"/>
      <w:r w:rsidRPr="00243081">
        <w:t>Registration status</w:t>
      </w:r>
      <w:bookmarkEnd w:id="4"/>
    </w:p>
    <w:p w:rsidR="00B60939" w:rsidRPr="00243081" w:rsidRDefault="00843A62" w:rsidP="00843A62">
      <w:pPr>
        <w:pStyle w:val="ListParagraph"/>
        <w:widowControl/>
        <w:numPr>
          <w:ilvl w:val="1"/>
          <w:numId w:val="3"/>
        </w:numPr>
      </w:pPr>
      <w:proofErr w:type="spellStart"/>
      <w:r w:rsidRPr="00243081">
        <w:t>Pembrolizumab</w:t>
      </w:r>
      <w:proofErr w:type="spellEnd"/>
      <w:r w:rsidRPr="00243081">
        <w:t xml:space="preserve">, when used with </w:t>
      </w:r>
      <w:proofErr w:type="spellStart"/>
      <w:r w:rsidRPr="00243081">
        <w:t>pemetrexed</w:t>
      </w:r>
      <w:proofErr w:type="spellEnd"/>
      <w:r w:rsidR="00AC274C" w:rsidRPr="00243081">
        <w:t xml:space="preserve"> </w:t>
      </w:r>
      <w:r w:rsidRPr="00243081">
        <w:t>+</w:t>
      </w:r>
      <w:r w:rsidR="00AC274C" w:rsidRPr="00243081">
        <w:t xml:space="preserve"> </w:t>
      </w:r>
      <w:r w:rsidRPr="00243081">
        <w:t>platinum chemotherapy, was approved by the TGA on 12 June 2018 for the first-line treatment of patients with metastatic</w:t>
      </w:r>
      <w:r w:rsidR="00752C56" w:rsidRPr="00243081">
        <w:t>,</w:t>
      </w:r>
      <w:r w:rsidRPr="00243081">
        <w:t xml:space="preserve"> non-squamous NSCLC</w:t>
      </w:r>
      <w:r w:rsidR="00DB581C" w:rsidRPr="00243081">
        <w:t>.</w:t>
      </w:r>
    </w:p>
    <w:p w:rsidR="00B033E5" w:rsidRPr="00243081" w:rsidRDefault="00B033E5" w:rsidP="001C6E85">
      <w:pPr>
        <w:pStyle w:val="Heading2"/>
        <w:keepNext/>
      </w:pPr>
      <w:bookmarkStart w:id="5" w:name="_Toc524518818"/>
      <w:r w:rsidRPr="00243081">
        <w:lastRenderedPageBreak/>
        <w:t>Previous PBAC consideration</w:t>
      </w:r>
      <w:bookmarkEnd w:id="5"/>
    </w:p>
    <w:p w:rsidR="00843A62" w:rsidRPr="00243081" w:rsidRDefault="00E70323" w:rsidP="007A132D">
      <w:pPr>
        <w:pStyle w:val="ListParagraph"/>
        <w:widowControl/>
        <w:numPr>
          <w:ilvl w:val="1"/>
          <w:numId w:val="3"/>
        </w:numPr>
      </w:pPr>
      <w:r w:rsidRPr="00243081">
        <w:t xml:space="preserve">The </w:t>
      </w:r>
      <w:r w:rsidR="00843A62" w:rsidRPr="00243081">
        <w:t xml:space="preserve">PBAC has not </w:t>
      </w:r>
      <w:r w:rsidR="00752C56" w:rsidRPr="00243081">
        <w:t xml:space="preserve">previously </w:t>
      </w:r>
      <w:r w:rsidR="00843A62" w:rsidRPr="00243081">
        <w:t xml:space="preserve">considered </w:t>
      </w:r>
      <w:proofErr w:type="spellStart"/>
      <w:r w:rsidR="00843A62" w:rsidRPr="00243081">
        <w:t>pembrolizumab</w:t>
      </w:r>
      <w:proofErr w:type="spellEnd"/>
      <w:r w:rsidR="00843A62" w:rsidRPr="00243081">
        <w:t xml:space="preserve"> when used with </w:t>
      </w:r>
      <w:proofErr w:type="spellStart"/>
      <w:r w:rsidR="00843A62" w:rsidRPr="00243081">
        <w:t>pemetrexed</w:t>
      </w:r>
      <w:proofErr w:type="spellEnd"/>
      <w:r w:rsidR="00843A62" w:rsidRPr="00243081">
        <w:t xml:space="preserve"> + </w:t>
      </w:r>
      <w:r w:rsidR="00752C56" w:rsidRPr="00243081">
        <w:t>platinum chemotherapy</w:t>
      </w:r>
      <w:r w:rsidR="00A262D8" w:rsidRPr="00243081">
        <w:t xml:space="preserve"> for this condition</w:t>
      </w:r>
      <w:r w:rsidR="00843A62" w:rsidRPr="00243081">
        <w:t xml:space="preserve">.  </w:t>
      </w:r>
    </w:p>
    <w:p w:rsidR="00B50DB8" w:rsidRPr="00243081" w:rsidRDefault="00203181" w:rsidP="00522E6D">
      <w:pPr>
        <w:pStyle w:val="Heading1"/>
        <w:keepNext/>
        <w:widowControl/>
        <w:numPr>
          <w:ilvl w:val="0"/>
          <w:numId w:val="3"/>
        </w:numPr>
        <w:spacing w:after="120"/>
        <w:jc w:val="left"/>
      </w:pPr>
      <w:bookmarkStart w:id="6" w:name="_Toc524518819"/>
      <w:r w:rsidRPr="00243081">
        <w:t xml:space="preserve">Population and </w:t>
      </w:r>
      <w:r w:rsidR="008E0D3C" w:rsidRPr="00243081">
        <w:t>d</w:t>
      </w:r>
      <w:r w:rsidRPr="00243081">
        <w:t>isease</w:t>
      </w:r>
      <w:bookmarkEnd w:id="6"/>
    </w:p>
    <w:p w:rsidR="00CA3AB2" w:rsidRPr="00243081" w:rsidRDefault="00CA3AB2" w:rsidP="00CA3AB2">
      <w:pPr>
        <w:pStyle w:val="ListParagraph"/>
        <w:widowControl/>
        <w:numPr>
          <w:ilvl w:val="1"/>
          <w:numId w:val="3"/>
        </w:numPr>
      </w:pPr>
      <w:r w:rsidRPr="00243081">
        <w:t>Lung cancer is the leading cause of death and the fifth most common cancer diagnosed in Australia.  NSCLC is the most common type of lung cancer and accounts for around 80% of all cases.  The 1-year and 5-year relative survival at diagnosis for all Australian lung cancer patients were estimated as 41.6% and 15.8%</w:t>
      </w:r>
      <w:r w:rsidR="00752C56" w:rsidRPr="00243081">
        <w:t>,</w:t>
      </w:r>
      <w:r w:rsidRPr="00243081">
        <w:t xml:space="preserve"> respectively (AIHW 2017).  Stage IV (metastatic) NSCLC is the most advanced form of cancer.</w:t>
      </w:r>
    </w:p>
    <w:p w:rsidR="00B50DB8" w:rsidRPr="00243081" w:rsidRDefault="00B50DB8" w:rsidP="00522E6D">
      <w:pPr>
        <w:pStyle w:val="Heading1"/>
        <w:keepNext/>
        <w:widowControl/>
        <w:numPr>
          <w:ilvl w:val="0"/>
          <w:numId w:val="3"/>
        </w:numPr>
        <w:spacing w:after="120"/>
        <w:jc w:val="left"/>
      </w:pPr>
      <w:bookmarkStart w:id="7" w:name="_Toc524518820"/>
      <w:r w:rsidRPr="00243081">
        <w:t>Comparator</w:t>
      </w:r>
      <w:bookmarkEnd w:id="7"/>
    </w:p>
    <w:p w:rsidR="00E56CE5" w:rsidRPr="00243081" w:rsidRDefault="00CA3AB2" w:rsidP="00E56CE5">
      <w:pPr>
        <w:pStyle w:val="ListParagraph"/>
        <w:widowControl/>
        <w:numPr>
          <w:ilvl w:val="1"/>
          <w:numId w:val="3"/>
        </w:numPr>
        <w:spacing w:after="0"/>
      </w:pPr>
      <w:r w:rsidRPr="00243081">
        <w:t>The submission nominated two comparators for two different groups of patients depending on the patient’s PD-L1 TPS status</w:t>
      </w:r>
      <w:r w:rsidR="00083F7C" w:rsidRPr="00243081">
        <w:t>.</w:t>
      </w:r>
    </w:p>
    <w:p w:rsidR="00E56CE5" w:rsidRPr="00243081" w:rsidRDefault="00DB581C" w:rsidP="00E56CE5">
      <w:pPr>
        <w:pStyle w:val="ListParagraph"/>
        <w:widowControl/>
        <w:numPr>
          <w:ilvl w:val="0"/>
          <w:numId w:val="26"/>
        </w:numPr>
        <w:spacing w:after="0"/>
        <w:ind w:left="993" w:hanging="284"/>
      </w:pPr>
      <w:r w:rsidRPr="00243081">
        <w:t>for patients with PD-L1 TPS &lt;</w:t>
      </w:r>
      <w:r w:rsidR="00CA3AB2" w:rsidRPr="00243081">
        <w:t>50%</w:t>
      </w:r>
      <w:r w:rsidR="00E72503" w:rsidRPr="00243081">
        <w:t>, the nominated comparator</w:t>
      </w:r>
      <w:r w:rsidR="00CA3AB2" w:rsidRPr="00243081">
        <w:t xml:space="preserve"> was cisplatin/carboplatin + </w:t>
      </w:r>
      <w:proofErr w:type="spellStart"/>
      <w:r w:rsidR="00CA3AB2" w:rsidRPr="00243081">
        <w:t>pemetrexed</w:t>
      </w:r>
      <w:proofErr w:type="spellEnd"/>
      <w:r w:rsidR="00CA3AB2" w:rsidRPr="00243081">
        <w:t xml:space="preserve"> (referred to as </w:t>
      </w:r>
      <w:r w:rsidRPr="00243081">
        <w:t xml:space="preserve">platinum doublet or </w:t>
      </w:r>
      <w:proofErr w:type="spellStart"/>
      <w:r w:rsidRPr="00243081">
        <w:t>SoC</w:t>
      </w:r>
      <w:proofErr w:type="spellEnd"/>
      <w:r w:rsidRPr="00243081">
        <w:t xml:space="preserve"> </w:t>
      </w:r>
      <w:r w:rsidR="00E72503" w:rsidRPr="00243081">
        <w:t>herein)</w:t>
      </w:r>
      <w:r w:rsidR="00E56CE5" w:rsidRPr="00243081">
        <w:t>; and</w:t>
      </w:r>
    </w:p>
    <w:p w:rsidR="00E56CE5" w:rsidRPr="00243081" w:rsidRDefault="00CA3AB2" w:rsidP="00E56CE5">
      <w:pPr>
        <w:pStyle w:val="ListParagraph"/>
        <w:widowControl/>
        <w:numPr>
          <w:ilvl w:val="0"/>
          <w:numId w:val="26"/>
        </w:numPr>
        <w:spacing w:after="0"/>
        <w:ind w:left="993" w:hanging="284"/>
      </w:pPr>
      <w:proofErr w:type="gramStart"/>
      <w:r w:rsidRPr="00243081">
        <w:t>for</w:t>
      </w:r>
      <w:proofErr w:type="gramEnd"/>
      <w:r w:rsidRPr="00243081">
        <w:t xml:space="preserve"> patients with PD-L1 </w:t>
      </w:r>
      <w:r w:rsidRPr="00243081">
        <w:rPr>
          <w:rFonts w:cs="Calibri"/>
        </w:rPr>
        <w:t>≥</w:t>
      </w:r>
      <w:r w:rsidRPr="00243081">
        <w:t>50%</w:t>
      </w:r>
      <w:r w:rsidR="00E72503" w:rsidRPr="00243081">
        <w:t>, the nominated comparator</w:t>
      </w:r>
      <w:r w:rsidRPr="00243081">
        <w:t xml:space="preserve"> </w:t>
      </w:r>
      <w:r w:rsidR="003137F2">
        <w:t xml:space="preserve">was </w:t>
      </w:r>
      <w:proofErr w:type="spellStart"/>
      <w:r w:rsidR="003137F2">
        <w:t>pembrolizumab</w:t>
      </w:r>
      <w:proofErr w:type="spellEnd"/>
      <w:r w:rsidR="003137F2">
        <w:t xml:space="preserve"> monotherapy.</w:t>
      </w:r>
    </w:p>
    <w:p w:rsidR="00E72503" w:rsidRPr="00243081" w:rsidRDefault="00C5606E" w:rsidP="002D52D6">
      <w:pPr>
        <w:pStyle w:val="ListParagraph"/>
        <w:widowControl/>
        <w:numPr>
          <w:ilvl w:val="1"/>
          <w:numId w:val="3"/>
        </w:numPr>
        <w:spacing w:after="120"/>
      </w:pPr>
      <w:r w:rsidRPr="00243081">
        <w:t>Consistent with the advice of the ESC, the pre</w:t>
      </w:r>
      <w:r w:rsidR="00AE03AC" w:rsidRPr="00243081">
        <w:t>-</w:t>
      </w:r>
      <w:r w:rsidRPr="00243081">
        <w:t>PBAC response revised the comparator for patients with PD-L1 TPS &lt;50% to be platinum doublet followed by a PD-(L</w:t>
      </w:r>
      <w:proofErr w:type="gramStart"/>
      <w:r w:rsidRPr="00243081">
        <w:t>)1</w:t>
      </w:r>
      <w:proofErr w:type="gramEnd"/>
      <w:r w:rsidRPr="00243081">
        <w:t xml:space="preserve"> inhibitor.</w:t>
      </w:r>
    </w:p>
    <w:p w:rsidR="006D0BDD" w:rsidRPr="00243081" w:rsidRDefault="006D0BDD" w:rsidP="002D52D6">
      <w:pPr>
        <w:pStyle w:val="ListParagraph"/>
        <w:widowControl/>
        <w:numPr>
          <w:ilvl w:val="1"/>
          <w:numId w:val="3"/>
        </w:numPr>
        <w:spacing w:after="120"/>
      </w:pPr>
      <w:r w:rsidRPr="00243081">
        <w:t xml:space="preserve">The PBAC noted that with the listing of </w:t>
      </w:r>
      <w:proofErr w:type="spellStart"/>
      <w:r w:rsidRPr="00243081">
        <w:t>pembrolizumab</w:t>
      </w:r>
      <w:proofErr w:type="spellEnd"/>
      <w:r w:rsidRPr="00243081">
        <w:t xml:space="preserve"> monotherapy on the PBS on 1 November 2018 the treatment algorithm is as depicted in Figure 1.</w:t>
      </w:r>
    </w:p>
    <w:p w:rsidR="002E07B9" w:rsidRPr="00243081" w:rsidRDefault="002E07B9" w:rsidP="002E07B9">
      <w:pPr>
        <w:widowControl/>
        <w:jc w:val="left"/>
        <w:rPr>
          <w:rFonts w:ascii="Arial Narrow" w:hAnsi="Arial Narrow"/>
          <w:b/>
          <w:sz w:val="20"/>
          <w:szCs w:val="20"/>
        </w:rPr>
      </w:pPr>
    </w:p>
    <w:p w:rsidR="006D0BDD" w:rsidRPr="00243081" w:rsidRDefault="006D0BDD" w:rsidP="001C6E85">
      <w:pPr>
        <w:keepNext/>
        <w:ind w:firstLine="709"/>
        <w:jc w:val="left"/>
        <w:rPr>
          <w:rFonts w:ascii="Arial Narrow" w:hAnsi="Arial Narrow"/>
          <w:b/>
          <w:sz w:val="20"/>
          <w:szCs w:val="20"/>
        </w:rPr>
      </w:pPr>
      <w:r w:rsidRPr="00243081">
        <w:rPr>
          <w:rFonts w:ascii="Arial Narrow" w:hAnsi="Arial Narrow"/>
          <w:b/>
          <w:sz w:val="20"/>
          <w:szCs w:val="20"/>
        </w:rPr>
        <w:lastRenderedPageBreak/>
        <w:t>Figure 1</w:t>
      </w:r>
      <w:r w:rsidR="000D5364" w:rsidRPr="00243081">
        <w:rPr>
          <w:rFonts w:ascii="Arial Narrow" w:hAnsi="Arial Narrow"/>
          <w:b/>
          <w:sz w:val="20"/>
          <w:szCs w:val="20"/>
        </w:rPr>
        <w:t>:</w:t>
      </w:r>
      <w:r w:rsidR="00E72503" w:rsidRPr="00243081">
        <w:rPr>
          <w:rFonts w:ascii="Arial Narrow" w:hAnsi="Arial Narrow"/>
          <w:b/>
          <w:sz w:val="20"/>
          <w:szCs w:val="20"/>
        </w:rPr>
        <w:t xml:space="preserve"> Current treatment algorithm</w:t>
      </w:r>
    </w:p>
    <w:p w:rsidR="006D0BDD" w:rsidRPr="00243081" w:rsidRDefault="006D0BDD" w:rsidP="00C5606E">
      <w:pPr>
        <w:widowControl/>
        <w:spacing w:after="120"/>
        <w:ind w:left="709"/>
      </w:pPr>
      <w:r w:rsidRPr="00243081">
        <w:t xml:space="preserve"> </w:t>
      </w:r>
      <w:r w:rsidRPr="00243081">
        <w:rPr>
          <w:noProof/>
          <w:lang w:eastAsia="en-AU"/>
        </w:rPr>
        <w:drawing>
          <wp:inline distT="0" distB="0" distL="0" distR="0" wp14:anchorId="001B6925" wp14:editId="369D6D36">
            <wp:extent cx="4836135" cy="3713757"/>
            <wp:effectExtent l="19050" t="19050" r="22225" b="20320"/>
            <wp:docPr id="4" name="Picture 3">
              <a:extLst xmlns:a="http://schemas.openxmlformats.org/drawingml/2006/main">
                <a:ext uri="{FF2B5EF4-FFF2-40B4-BE49-F238E27FC236}">
                  <a16:creationId xmlns:a16="http://schemas.microsoft.com/office/drawing/2014/main" id="{2E16019D-A107-4065-9E3F-AE859DFE80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E16019D-A107-4065-9E3F-AE859DFE806C}"/>
                        </a:ext>
                      </a:extLst>
                    </pic:cNvPr>
                    <pic:cNvPicPr>
                      <a:picLocks noChangeAspect="1"/>
                    </pic:cNvPicPr>
                  </pic:nvPicPr>
                  <pic:blipFill>
                    <a:blip r:embed="rId8"/>
                    <a:stretch>
                      <a:fillRect/>
                    </a:stretch>
                  </pic:blipFill>
                  <pic:spPr>
                    <a:xfrm>
                      <a:off x="0" y="0"/>
                      <a:ext cx="4844090" cy="3719866"/>
                    </a:xfrm>
                    <a:prstGeom prst="rect">
                      <a:avLst/>
                    </a:prstGeom>
                    <a:ln>
                      <a:solidFill>
                        <a:schemeClr val="accent1"/>
                      </a:solidFill>
                    </a:ln>
                  </pic:spPr>
                </pic:pic>
              </a:graphicData>
            </a:graphic>
          </wp:inline>
        </w:drawing>
      </w:r>
    </w:p>
    <w:p w:rsidR="00E72503" w:rsidRPr="00243081" w:rsidRDefault="00AE03AC" w:rsidP="00E72503">
      <w:pPr>
        <w:pStyle w:val="ListParagraph"/>
        <w:widowControl/>
        <w:numPr>
          <w:ilvl w:val="1"/>
          <w:numId w:val="3"/>
        </w:numPr>
        <w:spacing w:after="120"/>
      </w:pPr>
      <w:r w:rsidRPr="00243081">
        <w:t>The PBAC noted that if</w:t>
      </w:r>
      <w:r w:rsidR="006D0BDD" w:rsidRPr="00243081">
        <w:t xml:space="preserve"> </w:t>
      </w:r>
      <w:proofErr w:type="spellStart"/>
      <w:r w:rsidR="001E25D2" w:rsidRPr="00243081">
        <w:t>pembrolizumab+platinum+pemetrexed</w:t>
      </w:r>
      <w:proofErr w:type="spellEnd"/>
      <w:r w:rsidR="006D0BDD" w:rsidRPr="00243081">
        <w:t xml:space="preserve"> were to become available</w:t>
      </w:r>
      <w:r w:rsidRPr="00243081">
        <w:t xml:space="preserve"> on the PBS</w:t>
      </w:r>
      <w:r w:rsidR="006D0BDD" w:rsidRPr="00243081">
        <w:t>, the treatment algorithm for the majority of patients will be as depicted in Figure 2</w:t>
      </w:r>
      <w:r w:rsidR="00E72503" w:rsidRPr="00243081">
        <w:t>.</w:t>
      </w:r>
    </w:p>
    <w:p w:rsidR="00E72503" w:rsidRPr="00243081" w:rsidRDefault="00E72503">
      <w:pPr>
        <w:widowControl/>
        <w:jc w:val="left"/>
      </w:pPr>
      <w:r w:rsidRPr="00243081">
        <w:br w:type="page"/>
      </w:r>
    </w:p>
    <w:p w:rsidR="006D0BDD" w:rsidRPr="00243081" w:rsidRDefault="006D0BDD" w:rsidP="00FC255D">
      <w:pPr>
        <w:widowControl/>
        <w:ind w:left="709"/>
        <w:rPr>
          <w:rFonts w:ascii="Arial Narrow" w:hAnsi="Arial Narrow"/>
          <w:b/>
          <w:sz w:val="20"/>
          <w:szCs w:val="20"/>
        </w:rPr>
      </w:pPr>
      <w:r w:rsidRPr="00243081">
        <w:rPr>
          <w:rFonts w:ascii="Arial Narrow" w:hAnsi="Arial Narrow"/>
          <w:b/>
          <w:sz w:val="20"/>
          <w:szCs w:val="20"/>
        </w:rPr>
        <w:lastRenderedPageBreak/>
        <w:t>Figure 2</w:t>
      </w:r>
      <w:r w:rsidR="000D5364" w:rsidRPr="00243081">
        <w:rPr>
          <w:rFonts w:ascii="Arial Narrow" w:hAnsi="Arial Narrow"/>
          <w:b/>
          <w:sz w:val="20"/>
          <w:szCs w:val="20"/>
        </w:rPr>
        <w:t>:</w:t>
      </w:r>
      <w:r w:rsidR="00E72503" w:rsidRPr="00243081">
        <w:rPr>
          <w:rFonts w:ascii="Arial Narrow" w:hAnsi="Arial Narrow"/>
          <w:b/>
          <w:sz w:val="20"/>
          <w:szCs w:val="20"/>
        </w:rPr>
        <w:t xml:space="preserve"> Proposed treatment algorithm</w:t>
      </w:r>
    </w:p>
    <w:p w:rsidR="006D0BDD" w:rsidRPr="00243081" w:rsidRDefault="006D0BDD" w:rsidP="00C5606E">
      <w:pPr>
        <w:widowControl/>
        <w:spacing w:after="120"/>
        <w:ind w:left="709"/>
      </w:pPr>
      <w:r w:rsidRPr="00243081">
        <w:rPr>
          <w:noProof/>
          <w:snapToGrid/>
          <w:lang w:eastAsia="en-AU"/>
        </w:rPr>
        <w:drawing>
          <wp:inline distT="0" distB="0" distL="0" distR="0" wp14:anchorId="50737002" wp14:editId="779CD836">
            <wp:extent cx="4737100" cy="3405871"/>
            <wp:effectExtent l="19050" t="19050" r="25400" b="23495"/>
            <wp:docPr id="6" name="Picture 5">
              <a:extLst xmlns:a="http://schemas.openxmlformats.org/drawingml/2006/main">
                <a:ext uri="{FF2B5EF4-FFF2-40B4-BE49-F238E27FC236}">
                  <a16:creationId xmlns:a16="http://schemas.microsoft.com/office/drawing/2014/main" id="{FD8D7843-7459-4E22-B37B-D19AC6AD3E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D8D7843-7459-4E22-B37B-D19AC6AD3EF9}"/>
                        </a:ext>
                      </a:extLst>
                    </pic:cNvPr>
                    <pic:cNvPicPr>
                      <a:picLocks noChangeAspect="1"/>
                    </pic:cNvPicPr>
                  </pic:nvPicPr>
                  <pic:blipFill>
                    <a:blip r:embed="rId9"/>
                    <a:stretch>
                      <a:fillRect/>
                    </a:stretch>
                  </pic:blipFill>
                  <pic:spPr>
                    <a:xfrm>
                      <a:off x="0" y="0"/>
                      <a:ext cx="4746834" cy="3412870"/>
                    </a:xfrm>
                    <a:prstGeom prst="rect">
                      <a:avLst/>
                    </a:prstGeom>
                    <a:ln>
                      <a:solidFill>
                        <a:schemeClr val="accent1"/>
                      </a:solidFill>
                    </a:ln>
                  </pic:spPr>
                </pic:pic>
              </a:graphicData>
            </a:graphic>
          </wp:inline>
        </w:drawing>
      </w:r>
    </w:p>
    <w:p w:rsidR="00E72503" w:rsidRPr="00243081" w:rsidRDefault="00C5606E" w:rsidP="002D52D6">
      <w:pPr>
        <w:pStyle w:val="ListParagraph"/>
        <w:widowControl/>
        <w:numPr>
          <w:ilvl w:val="1"/>
          <w:numId w:val="3"/>
        </w:numPr>
        <w:spacing w:after="120"/>
        <w:ind w:left="709"/>
      </w:pPr>
      <w:r w:rsidRPr="00243081">
        <w:t>The PBAC</w:t>
      </w:r>
      <w:r w:rsidR="006D0BDD" w:rsidRPr="00243081">
        <w:t xml:space="preserve"> therefore</w:t>
      </w:r>
      <w:r w:rsidRPr="00243081">
        <w:t xml:space="preserve"> agreed with the </w:t>
      </w:r>
      <w:r w:rsidR="006D0BDD" w:rsidRPr="00243081">
        <w:t xml:space="preserve">submission’s </w:t>
      </w:r>
      <w:r w:rsidRPr="00243081">
        <w:t>re-specification of the comparator for the PD-L1 TPS &lt;50%</w:t>
      </w:r>
      <w:r w:rsidR="00925426" w:rsidRPr="00243081">
        <w:t xml:space="preserve"> group</w:t>
      </w:r>
      <w:r w:rsidRPr="00243081">
        <w:t xml:space="preserve"> and further considered that the comparator for </w:t>
      </w:r>
      <w:r w:rsidR="006D0BDD" w:rsidRPr="00243081">
        <w:t xml:space="preserve">patients in the PD-L1 </w:t>
      </w:r>
      <w:r w:rsidR="006D0BDD" w:rsidRPr="00243081">
        <w:rPr>
          <w:rFonts w:cs="Calibri"/>
        </w:rPr>
        <w:t>≥</w:t>
      </w:r>
      <w:r w:rsidR="006D0BDD" w:rsidRPr="00243081">
        <w:t xml:space="preserve">50% should more appropriately be </w:t>
      </w:r>
      <w:proofErr w:type="spellStart"/>
      <w:r w:rsidR="006D0BDD" w:rsidRPr="00243081">
        <w:t>pembrolizumab</w:t>
      </w:r>
      <w:proofErr w:type="spellEnd"/>
      <w:r w:rsidR="006D0BDD" w:rsidRPr="00243081">
        <w:t xml:space="preserve"> monotherapy followed by a platinum doublet.</w:t>
      </w:r>
    </w:p>
    <w:p w:rsidR="00E72503" w:rsidRPr="00243081" w:rsidRDefault="006D0BDD" w:rsidP="002D52D6">
      <w:pPr>
        <w:pStyle w:val="ListParagraph"/>
        <w:widowControl/>
        <w:numPr>
          <w:ilvl w:val="1"/>
          <w:numId w:val="3"/>
        </w:numPr>
        <w:spacing w:after="120"/>
        <w:ind w:left="709"/>
      </w:pPr>
      <w:r w:rsidRPr="00243081">
        <w:t xml:space="preserve">The PBAC </w:t>
      </w:r>
      <w:r w:rsidR="00925426" w:rsidRPr="00243081">
        <w:t>noted that with respect to the comparator for the PD-L1 TPS &lt;50% group the pre-PBAC response states “</w:t>
      </w:r>
      <w:r w:rsidR="00925426" w:rsidRPr="00243081">
        <w:rPr>
          <w:i/>
        </w:rPr>
        <w:t xml:space="preserve">the subsequent use of </w:t>
      </w:r>
      <w:proofErr w:type="spellStart"/>
      <w:r w:rsidR="00925426" w:rsidRPr="00243081">
        <w:rPr>
          <w:i/>
        </w:rPr>
        <w:t>nivolumab</w:t>
      </w:r>
      <w:proofErr w:type="spellEnd"/>
      <w:r w:rsidR="00925426" w:rsidRPr="00243081">
        <w:rPr>
          <w:i/>
        </w:rPr>
        <w:t xml:space="preserve"> or </w:t>
      </w:r>
      <w:proofErr w:type="spellStart"/>
      <w:r w:rsidR="00925426" w:rsidRPr="00243081">
        <w:rPr>
          <w:i/>
        </w:rPr>
        <w:t>atezolizumab</w:t>
      </w:r>
      <w:proofErr w:type="spellEnd"/>
      <w:r w:rsidR="00925426" w:rsidRPr="00243081">
        <w:rPr>
          <w:i/>
        </w:rPr>
        <w:t xml:space="preserve"> was reflected in the treatment algorithm (Figure 1.2.1, July 2018 submission), and, throughout the submission </w:t>
      </w:r>
      <w:proofErr w:type="spellStart"/>
      <w:r w:rsidR="00925426" w:rsidRPr="00243081">
        <w:rPr>
          <w:i/>
        </w:rPr>
        <w:t>Pembro</w:t>
      </w:r>
      <w:proofErr w:type="spellEnd"/>
      <w:r w:rsidR="00925426" w:rsidRPr="00243081">
        <w:rPr>
          <w:i/>
        </w:rPr>
        <w:t xml:space="preserve"> Combo was compared to platinum + </w:t>
      </w:r>
      <w:proofErr w:type="spellStart"/>
      <w:r w:rsidR="00925426" w:rsidRPr="00243081">
        <w:rPr>
          <w:i/>
        </w:rPr>
        <w:t>pemetrexed</w:t>
      </w:r>
      <w:proofErr w:type="spellEnd"/>
      <w:r w:rsidR="00925426" w:rsidRPr="00243081">
        <w:rPr>
          <w:i/>
        </w:rPr>
        <w:t xml:space="preserve"> followed by PD1-/PD-L1.  In Section 2, the KN189 trial compared </w:t>
      </w:r>
      <w:proofErr w:type="spellStart"/>
      <w:r w:rsidR="00925426" w:rsidRPr="00243081">
        <w:rPr>
          <w:i/>
        </w:rPr>
        <w:t>Pembro</w:t>
      </w:r>
      <w:proofErr w:type="spellEnd"/>
      <w:r w:rsidR="00925426" w:rsidRPr="00243081">
        <w:rPr>
          <w:i/>
        </w:rPr>
        <w:t xml:space="preserve"> Combo to platinum doublet followed by a PD-1/PD-L1 inhibitor, as the trial design pre-specified crossover from platinum + </w:t>
      </w:r>
      <w:proofErr w:type="spellStart"/>
      <w:r w:rsidR="00925426" w:rsidRPr="00243081">
        <w:rPr>
          <w:i/>
        </w:rPr>
        <w:t>pemetrexed</w:t>
      </w:r>
      <w:proofErr w:type="spellEnd"/>
      <w:r w:rsidR="00925426" w:rsidRPr="00243081">
        <w:rPr>
          <w:i/>
        </w:rPr>
        <w:t xml:space="preserve"> to </w:t>
      </w:r>
      <w:proofErr w:type="spellStart"/>
      <w:r w:rsidR="00925426" w:rsidRPr="00243081">
        <w:rPr>
          <w:i/>
        </w:rPr>
        <w:t>pembrolizumab</w:t>
      </w:r>
      <w:proofErr w:type="spellEnd"/>
      <w:r w:rsidR="00925426" w:rsidRPr="00243081">
        <w:rPr>
          <w:i/>
        </w:rPr>
        <w:t xml:space="preserve"> and patients on a platinum + </w:t>
      </w:r>
      <w:proofErr w:type="spellStart"/>
      <w:r w:rsidR="00925426" w:rsidRPr="00243081">
        <w:rPr>
          <w:i/>
        </w:rPr>
        <w:t>pemetrexed</w:t>
      </w:r>
      <w:proofErr w:type="spellEnd"/>
      <w:r w:rsidR="00925426" w:rsidRPr="00243081">
        <w:rPr>
          <w:i/>
        </w:rPr>
        <w:t xml:space="preserve"> also went on a PD-1/PD-L1 outside of the trial.  After 10.5 months median follow up, 84.6% (n=83/96) of patients in the platinum + </w:t>
      </w:r>
      <w:proofErr w:type="spellStart"/>
      <w:r w:rsidR="00925426" w:rsidRPr="00243081">
        <w:rPr>
          <w:i/>
        </w:rPr>
        <w:t>pemetrexed</w:t>
      </w:r>
      <w:proofErr w:type="spellEnd"/>
      <w:r w:rsidR="00925426" w:rsidRPr="00243081">
        <w:rPr>
          <w:i/>
        </w:rPr>
        <w:t xml:space="preserve"> arm who went on subsequent therapy went on a PD-1 inhibitor, reflective of the treatment algorithm in the Australian setting.  In Section 3 and 4 the costs and benefits of 2L PD-1/PD-L1 treatment were considered in the comparator arm of the economic evaluation and budget impact model.”</w:t>
      </w:r>
      <w:r w:rsidR="000D5364" w:rsidRPr="00243081">
        <w:t xml:space="preserve"> (Pre-PBAC response p</w:t>
      </w:r>
      <w:r w:rsidR="00AE03AC" w:rsidRPr="00243081">
        <w:t>1)</w:t>
      </w:r>
      <w:r w:rsidR="00E72503" w:rsidRPr="00243081">
        <w:t xml:space="preserve">. </w:t>
      </w:r>
    </w:p>
    <w:p w:rsidR="006D0BDD" w:rsidRPr="00243081" w:rsidRDefault="00925426" w:rsidP="002D52D6">
      <w:pPr>
        <w:pStyle w:val="ListParagraph"/>
        <w:widowControl/>
        <w:numPr>
          <w:ilvl w:val="1"/>
          <w:numId w:val="3"/>
        </w:numPr>
        <w:spacing w:after="120"/>
        <w:ind w:left="709"/>
      </w:pPr>
      <w:r w:rsidRPr="00243081">
        <w:t xml:space="preserve">However, </w:t>
      </w:r>
      <w:r w:rsidR="00A8215F" w:rsidRPr="00243081">
        <w:t xml:space="preserve">the pre-PBAC response did not provide information on how many patients in the </w:t>
      </w:r>
      <w:proofErr w:type="spellStart"/>
      <w:r w:rsidR="00A8215F" w:rsidRPr="00243081">
        <w:t>platinum+pemetre</w:t>
      </w:r>
      <w:r w:rsidR="000D5364" w:rsidRPr="00243081">
        <w:t>xed</w:t>
      </w:r>
      <w:proofErr w:type="spellEnd"/>
      <w:r w:rsidR="000D5364" w:rsidRPr="00243081">
        <w:t xml:space="preserve"> arm of KN189 who had a PD-L1</w:t>
      </w:r>
      <w:r w:rsidR="00A8215F" w:rsidRPr="00243081">
        <w:t xml:space="preserve"> TPS &lt; 50% were crossed over and whether the trial was sufficiently powered to support a conclusion that </w:t>
      </w:r>
      <w:proofErr w:type="spellStart"/>
      <w:r w:rsidR="00A8215F" w:rsidRPr="00243081">
        <w:t>pembrolizumab+platinum+pemetrexed</w:t>
      </w:r>
      <w:proofErr w:type="spellEnd"/>
      <w:r w:rsidR="00A8215F" w:rsidRPr="00243081">
        <w:t xml:space="preserve"> is superior in effectiveness to </w:t>
      </w:r>
      <w:proofErr w:type="spellStart"/>
      <w:r w:rsidR="00A8215F" w:rsidRPr="00243081">
        <w:t>platinum+pemetrexed</w:t>
      </w:r>
      <w:proofErr w:type="spellEnd"/>
      <w:r w:rsidR="00A8215F" w:rsidRPr="00243081">
        <w:t>, and if so, what the magnitude of the benefit is.</w:t>
      </w:r>
    </w:p>
    <w:p w:rsidR="00407FDD" w:rsidRPr="00243081" w:rsidRDefault="00A8215F" w:rsidP="0041166A">
      <w:pPr>
        <w:pStyle w:val="ListParagraph"/>
        <w:widowControl/>
        <w:numPr>
          <w:ilvl w:val="1"/>
          <w:numId w:val="3"/>
        </w:numPr>
        <w:spacing w:after="120"/>
        <w:rPr>
          <w:i/>
        </w:rPr>
      </w:pPr>
      <w:r w:rsidRPr="00243081">
        <w:lastRenderedPageBreak/>
        <w:t xml:space="preserve">The PBAC noted that </w:t>
      </w:r>
      <w:proofErr w:type="spellStart"/>
      <w:r w:rsidR="00407FDD" w:rsidRPr="00243081">
        <w:t>pemetrexed</w:t>
      </w:r>
      <w:proofErr w:type="spellEnd"/>
      <w:r w:rsidR="00407FDD" w:rsidRPr="00243081">
        <w:t xml:space="preserve"> is not</w:t>
      </w:r>
      <w:r w:rsidR="00DB581C" w:rsidRPr="00243081">
        <w:t xml:space="preserve"> currently PBS-listed for first-</w:t>
      </w:r>
      <w:r w:rsidR="00407FDD" w:rsidRPr="00243081">
        <w:t xml:space="preserve">line treatment </w:t>
      </w:r>
      <w:r w:rsidR="00752C56" w:rsidRPr="00243081">
        <w:t>of</w:t>
      </w:r>
      <w:r w:rsidR="00407FDD" w:rsidRPr="00243081">
        <w:t xml:space="preserve"> NSQ NSCLC</w:t>
      </w:r>
      <w:r w:rsidR="00DA496F" w:rsidRPr="00243081">
        <w:t xml:space="preserve">, but a recent PBAC recommendation for derestriction of </w:t>
      </w:r>
      <w:proofErr w:type="spellStart"/>
      <w:r w:rsidR="00DA496F" w:rsidRPr="00243081">
        <w:t>pemetrexed</w:t>
      </w:r>
      <w:proofErr w:type="spellEnd"/>
      <w:r w:rsidR="00DA496F" w:rsidRPr="00243081">
        <w:t xml:space="preserve"> would permit its use in the proposed setting. </w:t>
      </w:r>
      <w:r w:rsidR="00407FDD" w:rsidRPr="00243081">
        <w:t xml:space="preserve"> </w:t>
      </w:r>
      <w:r w:rsidR="00DA496F" w:rsidRPr="00243081">
        <w:t>T</w:t>
      </w:r>
      <w:r w:rsidR="00407FDD" w:rsidRPr="00243081">
        <w:t xml:space="preserve">he most commonly used platinum doublet in Australia is carboplatin + gemcitabine based on the </w:t>
      </w:r>
      <w:proofErr w:type="spellStart"/>
      <w:r w:rsidR="00407FDD" w:rsidRPr="00243081">
        <w:t>PIvOTAL</w:t>
      </w:r>
      <w:proofErr w:type="spellEnd"/>
      <w:r w:rsidR="00407FDD" w:rsidRPr="00243081">
        <w:t xml:space="preserve"> study </w:t>
      </w:r>
      <w:r w:rsidR="00752C56" w:rsidRPr="00243081">
        <w:t>(</w:t>
      </w:r>
      <w:r w:rsidR="00407FDD" w:rsidRPr="00243081">
        <w:t xml:space="preserve">an international retrospective cohort of systemic therapy treatment in patients with stage </w:t>
      </w:r>
      <w:proofErr w:type="spellStart"/>
      <w:r w:rsidR="00407FDD" w:rsidRPr="00243081">
        <w:t>IIIb</w:t>
      </w:r>
      <w:proofErr w:type="spellEnd"/>
      <w:r w:rsidR="00407FDD" w:rsidRPr="00243081">
        <w:t xml:space="preserve"> and IV NSCLC that included 163 Australian patients</w:t>
      </w:r>
      <w:r w:rsidR="00752C56" w:rsidRPr="00243081">
        <w:t>)</w:t>
      </w:r>
      <w:r w:rsidR="00407FDD" w:rsidRPr="00243081">
        <w:t xml:space="preserve">.  Nonetheless, the </w:t>
      </w:r>
      <w:proofErr w:type="spellStart"/>
      <w:r w:rsidR="00407FDD" w:rsidRPr="00243081">
        <w:t>eviQ</w:t>
      </w:r>
      <w:proofErr w:type="spellEnd"/>
      <w:r w:rsidR="00407FDD" w:rsidRPr="00243081">
        <w:t xml:space="preserve"> protocol</w:t>
      </w:r>
      <w:r w:rsidR="00407FDD" w:rsidRPr="00243081">
        <w:rPr>
          <w:rStyle w:val="FootnoteReference"/>
        </w:rPr>
        <w:footnoteReference w:id="1"/>
      </w:r>
      <w:r w:rsidR="00407FDD" w:rsidRPr="00243081">
        <w:t xml:space="preserve"> notes that in NSCLC patients with non-squamous histology, </w:t>
      </w:r>
      <w:proofErr w:type="spellStart"/>
      <w:r w:rsidR="00407FDD" w:rsidRPr="00243081">
        <w:t>pemetrexed</w:t>
      </w:r>
      <w:proofErr w:type="spellEnd"/>
      <w:r w:rsidR="00407FDD" w:rsidRPr="00243081">
        <w:t xml:space="preserve">/cisplatin conferred superior median overall survival (11 months) compared with other regimens including gemcitabine/carboplatin (8.3 months).  Therefore the submission’s use of platinum + </w:t>
      </w:r>
      <w:proofErr w:type="spellStart"/>
      <w:r w:rsidR="00407FDD" w:rsidRPr="00243081">
        <w:t>pemetrexed</w:t>
      </w:r>
      <w:proofErr w:type="spellEnd"/>
      <w:r w:rsidR="00407FDD" w:rsidRPr="00243081">
        <w:t xml:space="preserve"> in both the comparator and in the </w:t>
      </w:r>
      <w:proofErr w:type="spellStart"/>
      <w:r w:rsidR="00407FDD" w:rsidRPr="00243081">
        <w:t>pembrolizumab</w:t>
      </w:r>
      <w:r w:rsidR="00AC274C" w:rsidRPr="00243081">
        <w:t>+platinum+pemetrexed</w:t>
      </w:r>
      <w:proofErr w:type="spellEnd"/>
      <w:r w:rsidR="00AC274C" w:rsidRPr="00243081">
        <w:t xml:space="preserve"> regimen</w:t>
      </w:r>
      <w:r w:rsidR="00407FDD" w:rsidRPr="00243081">
        <w:t xml:space="preserve"> </w:t>
      </w:r>
      <w:r w:rsidR="00A262D8" w:rsidRPr="00243081">
        <w:t>wa</w:t>
      </w:r>
      <w:r w:rsidR="00407FDD" w:rsidRPr="00243081">
        <w:t>s appropriate.</w:t>
      </w:r>
      <w:r w:rsidR="00407FDD" w:rsidRPr="00243081">
        <w:rPr>
          <w:i/>
        </w:rPr>
        <w:t xml:space="preserve"> </w:t>
      </w:r>
    </w:p>
    <w:p w:rsidR="00CA3AB2" w:rsidRPr="00243081" w:rsidRDefault="00A8215F" w:rsidP="00407FDD">
      <w:pPr>
        <w:pStyle w:val="ListParagraph"/>
        <w:widowControl/>
        <w:numPr>
          <w:ilvl w:val="1"/>
          <w:numId w:val="3"/>
        </w:numPr>
      </w:pPr>
      <w:r w:rsidRPr="00243081">
        <w:t>T</w:t>
      </w:r>
      <w:r w:rsidR="00407FDD" w:rsidRPr="00243081">
        <w:t>he PBAC</w:t>
      </w:r>
      <w:r w:rsidRPr="00243081">
        <w:t xml:space="preserve"> recalled it</w:t>
      </w:r>
      <w:r w:rsidR="00407FDD" w:rsidRPr="00243081">
        <w:t xml:space="preserve"> </w:t>
      </w:r>
      <w:r w:rsidR="00A262D8" w:rsidRPr="00243081">
        <w:t xml:space="preserve">had </w:t>
      </w:r>
      <w:r w:rsidR="00407FDD" w:rsidRPr="00243081">
        <w:t xml:space="preserve">previously accepted all platinum doublets to be comparable and clinically non-inferior to each other (e.g. </w:t>
      </w:r>
      <w:proofErr w:type="spellStart"/>
      <w:r w:rsidR="00407FDD" w:rsidRPr="00243081">
        <w:t>gefitinib</w:t>
      </w:r>
      <w:proofErr w:type="spellEnd"/>
      <w:r w:rsidR="00407FDD" w:rsidRPr="00243081">
        <w:t xml:space="preserve"> PSD July 2013).  </w:t>
      </w:r>
    </w:p>
    <w:p w:rsidR="009E6097" w:rsidRPr="00243081" w:rsidRDefault="009E6097" w:rsidP="0041166A">
      <w:pPr>
        <w:pStyle w:val="ListParagraph"/>
        <w:widowControl/>
        <w:spacing w:after="120"/>
        <w:rPr>
          <w:rFonts w:cs="Calibri"/>
          <w:b/>
          <w:i/>
          <w:szCs w:val="24"/>
        </w:rPr>
      </w:pPr>
      <w:r w:rsidRPr="00243081">
        <w:rPr>
          <w:rStyle w:val="CommentReference"/>
          <w:rFonts w:ascii="Calibri" w:hAnsi="Calibri" w:cs="Calibri"/>
          <w:b w:val="0"/>
          <w:i/>
          <w:sz w:val="24"/>
          <w:szCs w:val="24"/>
        </w:rPr>
        <w:t>For more detail on PBAC’s view, see Section 7 PBAC outcome.</w:t>
      </w:r>
    </w:p>
    <w:p w:rsidR="00B50DB8" w:rsidRPr="00243081" w:rsidRDefault="00BD6CF3" w:rsidP="00522E6D">
      <w:pPr>
        <w:pStyle w:val="Heading1"/>
        <w:keepNext/>
        <w:widowControl/>
        <w:numPr>
          <w:ilvl w:val="0"/>
          <w:numId w:val="3"/>
        </w:numPr>
        <w:spacing w:after="120"/>
        <w:jc w:val="left"/>
      </w:pPr>
      <w:bookmarkStart w:id="8" w:name="_Toc524518821"/>
      <w:r w:rsidRPr="00243081">
        <w:t>C</w:t>
      </w:r>
      <w:r w:rsidR="00B50DB8" w:rsidRPr="00243081">
        <w:t>onsideration of the evidence</w:t>
      </w:r>
      <w:bookmarkEnd w:id="8"/>
    </w:p>
    <w:p w:rsidR="000576DF" w:rsidRPr="00243081" w:rsidRDefault="000576DF" w:rsidP="000576DF">
      <w:pPr>
        <w:pStyle w:val="Heading2"/>
      </w:pPr>
      <w:r w:rsidRPr="00243081">
        <w:t>Sponsor hearing</w:t>
      </w:r>
    </w:p>
    <w:p w:rsidR="000576DF" w:rsidRPr="00243081" w:rsidRDefault="000576DF" w:rsidP="000576DF">
      <w:pPr>
        <w:numPr>
          <w:ilvl w:val="1"/>
          <w:numId w:val="3"/>
        </w:numPr>
        <w:spacing w:after="120"/>
        <w:rPr>
          <w:rFonts w:asciiTheme="minorHAnsi" w:hAnsiTheme="minorHAnsi"/>
          <w:bCs/>
        </w:rPr>
      </w:pPr>
      <w:r w:rsidRPr="00243081">
        <w:rPr>
          <w:rFonts w:asciiTheme="minorHAnsi" w:hAnsiTheme="minorHAnsi"/>
          <w:bCs/>
        </w:rPr>
        <w:t>There was no hearing for this item.</w:t>
      </w:r>
    </w:p>
    <w:p w:rsidR="000576DF" w:rsidRPr="00243081" w:rsidRDefault="000576DF" w:rsidP="000576DF">
      <w:pPr>
        <w:pStyle w:val="Heading2"/>
      </w:pPr>
      <w:r w:rsidRPr="00243081">
        <w:t>Consumer comments</w:t>
      </w:r>
    </w:p>
    <w:p w:rsidR="000576DF" w:rsidRPr="00243081" w:rsidRDefault="000576DF" w:rsidP="00FA5163">
      <w:pPr>
        <w:numPr>
          <w:ilvl w:val="1"/>
          <w:numId w:val="3"/>
        </w:numPr>
        <w:spacing w:after="120"/>
        <w:rPr>
          <w:rFonts w:asciiTheme="minorHAnsi" w:hAnsiTheme="minorHAnsi"/>
          <w:bCs/>
        </w:rPr>
      </w:pPr>
      <w:r w:rsidRPr="00243081">
        <w:rPr>
          <w:rFonts w:asciiTheme="minorHAnsi" w:hAnsiTheme="minorHAnsi"/>
          <w:bCs/>
        </w:rPr>
        <w:t>The PBAC noted and welcomed the input from individuals (2) and a health care professional (1</w:t>
      </w:r>
      <w:r w:rsidR="00FA5163" w:rsidRPr="00243081">
        <w:rPr>
          <w:rFonts w:asciiTheme="minorHAnsi" w:hAnsiTheme="minorHAnsi"/>
          <w:bCs/>
        </w:rPr>
        <w:t>)</w:t>
      </w:r>
      <w:r w:rsidRPr="00243081">
        <w:rPr>
          <w:rFonts w:asciiTheme="minorHAnsi" w:hAnsiTheme="minorHAnsi"/>
          <w:bCs/>
        </w:rPr>
        <w:t xml:space="preserve"> via the Consumer Comments facility on the PBS website.  The comments </w:t>
      </w:r>
      <w:r w:rsidR="00FA5163" w:rsidRPr="00243081">
        <w:rPr>
          <w:rFonts w:asciiTheme="minorHAnsi" w:hAnsiTheme="minorHAnsi"/>
          <w:bCs/>
        </w:rPr>
        <w:t>described</w:t>
      </w:r>
      <w:r w:rsidRPr="00243081">
        <w:rPr>
          <w:rFonts w:asciiTheme="minorHAnsi" w:hAnsiTheme="minorHAnsi"/>
          <w:bCs/>
        </w:rPr>
        <w:t xml:space="preserve"> cases of patients who have benefited from the use of </w:t>
      </w:r>
      <w:proofErr w:type="spellStart"/>
      <w:r w:rsidRPr="00243081">
        <w:rPr>
          <w:rFonts w:asciiTheme="minorHAnsi" w:hAnsiTheme="minorHAnsi"/>
          <w:bCs/>
        </w:rPr>
        <w:t>pembrolizumab</w:t>
      </w:r>
      <w:proofErr w:type="spellEnd"/>
      <w:r w:rsidRPr="00243081">
        <w:rPr>
          <w:rFonts w:asciiTheme="minorHAnsi" w:hAnsiTheme="minorHAnsi"/>
          <w:bCs/>
        </w:rPr>
        <w:t xml:space="preserve"> and </w:t>
      </w:r>
      <w:r w:rsidR="00FA5163" w:rsidRPr="00243081">
        <w:rPr>
          <w:rFonts w:asciiTheme="minorHAnsi" w:hAnsiTheme="minorHAnsi"/>
          <w:bCs/>
        </w:rPr>
        <w:t xml:space="preserve">stated </w:t>
      </w:r>
      <w:r w:rsidRPr="00243081">
        <w:rPr>
          <w:rFonts w:asciiTheme="minorHAnsi" w:hAnsiTheme="minorHAnsi"/>
          <w:bCs/>
        </w:rPr>
        <w:t xml:space="preserve">that the benefits in the metastatic setting are established.  </w:t>
      </w:r>
    </w:p>
    <w:p w:rsidR="000576DF" w:rsidRPr="00243081" w:rsidRDefault="000576DF" w:rsidP="000576DF">
      <w:pPr>
        <w:numPr>
          <w:ilvl w:val="1"/>
          <w:numId w:val="3"/>
        </w:numPr>
        <w:spacing w:after="120"/>
        <w:rPr>
          <w:rFonts w:asciiTheme="minorHAnsi" w:hAnsiTheme="minorHAnsi"/>
          <w:bCs/>
        </w:rPr>
      </w:pPr>
      <w:r w:rsidRPr="00243081">
        <w:rPr>
          <w:rFonts w:asciiTheme="minorHAnsi" w:hAnsiTheme="minorHAnsi"/>
          <w:bCs/>
        </w:rPr>
        <w:t xml:space="preserve">The Medical Oncology Group of Australia (MOGA) also expressed its </w:t>
      </w:r>
      <w:r w:rsidR="00FA5163" w:rsidRPr="00243081">
        <w:rPr>
          <w:rFonts w:asciiTheme="minorHAnsi" w:hAnsiTheme="minorHAnsi"/>
          <w:bCs/>
        </w:rPr>
        <w:t xml:space="preserve">strong </w:t>
      </w:r>
      <w:r w:rsidRPr="00243081">
        <w:rPr>
          <w:rFonts w:asciiTheme="minorHAnsi" w:hAnsiTheme="minorHAnsi"/>
          <w:bCs/>
        </w:rPr>
        <w:t xml:space="preserve">support for </w:t>
      </w:r>
      <w:proofErr w:type="spellStart"/>
      <w:r w:rsidR="006B57AC" w:rsidRPr="00243081">
        <w:rPr>
          <w:rFonts w:asciiTheme="minorHAnsi" w:hAnsiTheme="minorHAnsi"/>
          <w:bCs/>
        </w:rPr>
        <w:t>pembrolizumab+platinum+pemetrexed</w:t>
      </w:r>
      <w:proofErr w:type="spellEnd"/>
      <w:r w:rsidRPr="00243081">
        <w:rPr>
          <w:rFonts w:asciiTheme="minorHAnsi" w:hAnsiTheme="minorHAnsi"/>
          <w:bCs/>
        </w:rPr>
        <w:t xml:space="preserve"> </w:t>
      </w:r>
      <w:r w:rsidR="006B57AC" w:rsidRPr="00243081">
        <w:rPr>
          <w:rFonts w:asciiTheme="minorHAnsi" w:hAnsiTheme="minorHAnsi"/>
          <w:bCs/>
        </w:rPr>
        <w:t xml:space="preserve">in patients with PD-L1 TPS 1-49% on the basis of PFS (OS was noted to be immature). MOGA also expressed its support in patients with PD-L1 TPS &lt;1% on the basis of OS. </w:t>
      </w:r>
      <w:r w:rsidRPr="00243081">
        <w:rPr>
          <w:rFonts w:asciiTheme="minorHAnsi" w:hAnsiTheme="minorHAnsi"/>
          <w:bCs/>
        </w:rPr>
        <w:t xml:space="preserve">The PBAC noted that the MOGA presented the European Society for Medical Oncology Magnitude of Clinical Benefit Scale (ESMO-MCBS) for </w:t>
      </w:r>
      <w:proofErr w:type="spellStart"/>
      <w:r w:rsidR="006B57AC" w:rsidRPr="00243081">
        <w:rPr>
          <w:rFonts w:asciiTheme="minorHAnsi" w:hAnsiTheme="minorHAnsi"/>
          <w:bCs/>
        </w:rPr>
        <w:t>pembrolizumab+platinum+pemetrexed</w:t>
      </w:r>
      <w:proofErr w:type="spellEnd"/>
      <w:r w:rsidR="006B57AC" w:rsidRPr="00243081">
        <w:rPr>
          <w:rFonts w:asciiTheme="minorHAnsi" w:hAnsiTheme="minorHAnsi"/>
          <w:bCs/>
        </w:rPr>
        <w:t xml:space="preserve"> for both PD-L1 TPS 1-49% and &lt;1%</w:t>
      </w:r>
      <w:r w:rsidRPr="00243081">
        <w:rPr>
          <w:rFonts w:asciiTheme="minorHAnsi" w:hAnsiTheme="minorHAnsi"/>
          <w:bCs/>
        </w:rPr>
        <w:t xml:space="preserve">, which was limited to </w:t>
      </w:r>
      <w:r w:rsidR="006B57AC" w:rsidRPr="00243081">
        <w:rPr>
          <w:rFonts w:asciiTheme="minorHAnsi" w:hAnsiTheme="minorHAnsi"/>
          <w:bCs/>
        </w:rPr>
        <w:t>4</w:t>
      </w:r>
      <w:r w:rsidRPr="00243081">
        <w:rPr>
          <w:rFonts w:asciiTheme="minorHAnsi" w:hAnsiTheme="minorHAnsi"/>
          <w:bCs/>
        </w:rPr>
        <w:t xml:space="preserve"> (out of a maximum of 5, where 5 and 4 represent the grades with substantial improvement)</w:t>
      </w:r>
      <w:r w:rsidRPr="00243081">
        <w:rPr>
          <w:rFonts w:asciiTheme="minorHAnsi" w:hAnsiTheme="minorHAnsi"/>
          <w:bCs/>
          <w:vertAlign w:val="superscript"/>
        </w:rPr>
        <w:t>[1]</w:t>
      </w:r>
      <w:r w:rsidRPr="00243081">
        <w:rPr>
          <w:rFonts w:asciiTheme="minorHAnsi" w:hAnsiTheme="minorHAnsi"/>
          <w:bCs/>
        </w:rPr>
        <w:t xml:space="preserve">, based on a comparison with </w:t>
      </w:r>
      <w:r w:rsidR="006B57AC" w:rsidRPr="00243081">
        <w:rPr>
          <w:rFonts w:asciiTheme="minorHAnsi" w:hAnsiTheme="minorHAnsi"/>
          <w:bCs/>
        </w:rPr>
        <w:t>chemotherapy</w:t>
      </w:r>
      <w:r w:rsidR="006B57AC" w:rsidRPr="00243081">
        <w:rPr>
          <w:rStyle w:val="FootnoteReference"/>
          <w:rFonts w:asciiTheme="minorHAnsi" w:hAnsiTheme="minorHAnsi"/>
          <w:bCs/>
        </w:rPr>
        <w:footnoteReference w:id="2"/>
      </w:r>
      <w:r w:rsidR="00E063A5" w:rsidRPr="00243081">
        <w:rPr>
          <w:rFonts w:asciiTheme="minorHAnsi" w:hAnsiTheme="minorHAnsi"/>
          <w:bCs/>
        </w:rPr>
        <w:t>.</w:t>
      </w:r>
      <w:r w:rsidRPr="00243081">
        <w:rPr>
          <w:rFonts w:asciiTheme="minorHAnsi" w:hAnsiTheme="minorHAnsi"/>
          <w:bCs/>
        </w:rPr>
        <w:t xml:space="preserve"> </w:t>
      </w:r>
    </w:p>
    <w:p w:rsidR="006B57AC" w:rsidRPr="00243081" w:rsidRDefault="006B57AC" w:rsidP="000576DF">
      <w:pPr>
        <w:numPr>
          <w:ilvl w:val="1"/>
          <w:numId w:val="3"/>
        </w:numPr>
        <w:spacing w:after="120"/>
        <w:rPr>
          <w:rFonts w:asciiTheme="minorHAnsi" w:hAnsiTheme="minorHAnsi"/>
          <w:bCs/>
        </w:rPr>
      </w:pPr>
      <w:r w:rsidRPr="00243081">
        <w:rPr>
          <w:rFonts w:asciiTheme="minorHAnsi" w:hAnsiTheme="minorHAnsi"/>
          <w:bCs/>
        </w:rPr>
        <w:t xml:space="preserve">MOGA refrained from including the PD-L1 TPS </w:t>
      </w:r>
      <w:r w:rsidR="00145C7E" w:rsidRPr="00243081">
        <w:rPr>
          <w:rFonts w:asciiTheme="minorHAnsi" w:hAnsiTheme="minorHAnsi" w:cstheme="minorHAnsi"/>
          <w:bCs/>
        </w:rPr>
        <w:t>≥</w:t>
      </w:r>
      <w:r w:rsidRPr="00243081">
        <w:rPr>
          <w:rFonts w:asciiTheme="minorHAnsi" w:hAnsiTheme="minorHAnsi"/>
          <w:bCs/>
        </w:rPr>
        <w:t xml:space="preserve">50% subgroup in its letter as the current published evidence does not compare </w:t>
      </w:r>
      <w:proofErr w:type="spellStart"/>
      <w:r w:rsidRPr="00243081">
        <w:rPr>
          <w:rFonts w:asciiTheme="minorHAnsi" w:hAnsiTheme="minorHAnsi"/>
          <w:bCs/>
        </w:rPr>
        <w:t>pembrolizumab+platinum+pemetrexed</w:t>
      </w:r>
      <w:proofErr w:type="spellEnd"/>
      <w:r w:rsidRPr="00243081">
        <w:rPr>
          <w:rFonts w:asciiTheme="minorHAnsi" w:hAnsiTheme="minorHAnsi"/>
          <w:bCs/>
        </w:rPr>
        <w:t xml:space="preserve"> </w:t>
      </w:r>
      <w:r w:rsidRPr="00243081">
        <w:rPr>
          <w:rFonts w:asciiTheme="minorHAnsi" w:hAnsiTheme="minorHAnsi"/>
          <w:bCs/>
        </w:rPr>
        <w:lastRenderedPageBreak/>
        <w:t xml:space="preserve">with </w:t>
      </w:r>
      <w:proofErr w:type="spellStart"/>
      <w:r w:rsidRPr="00243081">
        <w:rPr>
          <w:rFonts w:asciiTheme="minorHAnsi" w:hAnsiTheme="minorHAnsi"/>
          <w:bCs/>
        </w:rPr>
        <w:t>pembrolizumab</w:t>
      </w:r>
      <w:proofErr w:type="spellEnd"/>
      <w:r w:rsidRPr="00243081">
        <w:rPr>
          <w:rFonts w:asciiTheme="minorHAnsi" w:hAnsiTheme="minorHAnsi"/>
          <w:bCs/>
        </w:rPr>
        <w:t xml:space="preserve"> monotherapy, which it deems to be the appropriate comparator.</w:t>
      </w:r>
    </w:p>
    <w:p w:rsidR="00B60939" w:rsidRPr="00243081" w:rsidRDefault="00B60939" w:rsidP="00890F38">
      <w:pPr>
        <w:pStyle w:val="Heading2"/>
      </w:pPr>
      <w:bookmarkStart w:id="9" w:name="_Toc524518822"/>
      <w:r w:rsidRPr="00243081">
        <w:t xml:space="preserve">Clinical </w:t>
      </w:r>
      <w:r w:rsidR="00C7586D" w:rsidRPr="00243081">
        <w:t>t</w:t>
      </w:r>
      <w:r w:rsidRPr="00243081">
        <w:t>rials</w:t>
      </w:r>
      <w:bookmarkEnd w:id="9"/>
    </w:p>
    <w:p w:rsidR="00D875A9" w:rsidRPr="00243081" w:rsidRDefault="00D875A9" w:rsidP="00752C56">
      <w:pPr>
        <w:pStyle w:val="ListParagraph"/>
        <w:widowControl/>
        <w:numPr>
          <w:ilvl w:val="1"/>
          <w:numId w:val="3"/>
        </w:numPr>
        <w:spacing w:after="0"/>
      </w:pPr>
      <w:r w:rsidRPr="00243081">
        <w:t>The submission was based on:</w:t>
      </w:r>
    </w:p>
    <w:p w:rsidR="00D875A9" w:rsidRPr="00243081" w:rsidRDefault="00D875A9" w:rsidP="00F60FD6">
      <w:pPr>
        <w:pStyle w:val="ListParagraph"/>
        <w:widowControl/>
        <w:numPr>
          <w:ilvl w:val="0"/>
          <w:numId w:val="17"/>
        </w:numPr>
        <w:tabs>
          <w:tab w:val="left" w:pos="1134"/>
        </w:tabs>
        <w:spacing w:after="0"/>
        <w:ind w:left="1134" w:hanging="283"/>
      </w:pPr>
      <w:r w:rsidRPr="00243081">
        <w:t xml:space="preserve">one head-to-head randomised trial (KN189) comparing </w:t>
      </w:r>
      <w:proofErr w:type="spellStart"/>
      <w:r w:rsidRPr="00243081">
        <w:t>pembrolizumab+platinum+pemetrexed</w:t>
      </w:r>
      <w:proofErr w:type="spellEnd"/>
      <w:r w:rsidRPr="00243081">
        <w:t xml:space="preserve"> versus platinum doublet; and </w:t>
      </w:r>
    </w:p>
    <w:p w:rsidR="00145C7E" w:rsidRPr="00243081" w:rsidRDefault="00D875A9" w:rsidP="00C7586D">
      <w:pPr>
        <w:pStyle w:val="ListParagraph"/>
        <w:widowControl/>
        <w:numPr>
          <w:ilvl w:val="0"/>
          <w:numId w:val="17"/>
        </w:numPr>
        <w:tabs>
          <w:tab w:val="left" w:pos="1134"/>
        </w:tabs>
        <w:ind w:left="1134" w:hanging="283"/>
      </w:pPr>
      <w:proofErr w:type="gramStart"/>
      <w:r w:rsidRPr="00243081">
        <w:t>one</w:t>
      </w:r>
      <w:proofErr w:type="gramEnd"/>
      <w:r w:rsidRPr="00243081">
        <w:t xml:space="preserve"> supplementary randomised trial (KN024) comparing </w:t>
      </w:r>
      <w:proofErr w:type="spellStart"/>
      <w:r w:rsidRPr="00243081">
        <w:t>pembrolizumab</w:t>
      </w:r>
      <w:proofErr w:type="spellEnd"/>
      <w:r w:rsidRPr="00243081">
        <w:t xml:space="preserve"> monotherapy versus platinum doublet, used in an indirect comparison with KN189.  The PBAC previously considered KN024 in the submission of </w:t>
      </w:r>
      <w:proofErr w:type="spellStart"/>
      <w:r w:rsidRPr="00243081">
        <w:t>pembrolizumab</w:t>
      </w:r>
      <w:proofErr w:type="spellEnd"/>
      <w:r w:rsidRPr="00243081">
        <w:t xml:space="preserve"> monotherapy for first-line treatment of Stage IV NSCLC in patients with EGFR wild type, ALK translocation negative, ECOG status 0 or 1 and PD-L1 TPS ≥50%</w:t>
      </w:r>
      <w:r w:rsidR="008442F5" w:rsidRPr="00243081">
        <w:t xml:space="preserve"> (March 2017, November 2017</w:t>
      </w:r>
      <w:r w:rsidR="00145C7E" w:rsidRPr="00243081">
        <w:t>, March 2018</w:t>
      </w:r>
      <w:r w:rsidR="008442F5" w:rsidRPr="00243081">
        <w:t xml:space="preserve"> and July 2018)</w:t>
      </w:r>
      <w:r w:rsidRPr="00243081">
        <w:t>.  An additional trial, KN042, was identified but not included in the</w:t>
      </w:r>
      <w:r w:rsidR="00145C7E" w:rsidRPr="00243081">
        <w:t xml:space="preserve"> initial</w:t>
      </w:r>
      <w:r w:rsidRPr="00243081">
        <w:t xml:space="preserve"> submission as </w:t>
      </w:r>
      <w:r w:rsidR="00D4216F" w:rsidRPr="00243081">
        <w:t xml:space="preserve">complete study </w:t>
      </w:r>
      <w:r w:rsidRPr="00243081">
        <w:t xml:space="preserve">results </w:t>
      </w:r>
      <w:r w:rsidR="00A262D8" w:rsidRPr="00243081">
        <w:t xml:space="preserve">from this trial </w:t>
      </w:r>
      <w:r w:rsidRPr="00243081">
        <w:t>were not</w:t>
      </w:r>
      <w:r w:rsidR="00A262D8" w:rsidRPr="00243081">
        <w:t xml:space="preserve"> </w:t>
      </w:r>
      <w:r w:rsidRPr="00243081">
        <w:t>available</w:t>
      </w:r>
      <w:r w:rsidR="00A262D8" w:rsidRPr="00243081">
        <w:t xml:space="preserve"> at the time </w:t>
      </w:r>
      <w:r w:rsidR="00D4216F" w:rsidRPr="00243081">
        <w:t>the submission was lodged for PBAC consideration</w:t>
      </w:r>
      <w:r w:rsidRPr="00243081">
        <w:t>.</w:t>
      </w:r>
      <w:r w:rsidR="005E697B" w:rsidRPr="00243081">
        <w:t xml:space="preserve"> </w:t>
      </w:r>
      <w:r w:rsidR="002B56D3" w:rsidRPr="00243081">
        <w:t xml:space="preserve"> </w:t>
      </w:r>
      <w:r w:rsidR="00145C7E" w:rsidRPr="00243081">
        <w:t>The sponsor subsequently included information from the February 2018 data cut-off for KN042 in its pre-subcommittee response</w:t>
      </w:r>
      <w:r w:rsidR="00B67687" w:rsidRPr="00243081">
        <w:t xml:space="preserve"> (PSCR)</w:t>
      </w:r>
      <w:r w:rsidR="00145C7E" w:rsidRPr="00243081">
        <w:t>.</w:t>
      </w:r>
    </w:p>
    <w:p w:rsidR="00862502" w:rsidRPr="00243081" w:rsidRDefault="00A73134" w:rsidP="001C6E85">
      <w:pPr>
        <w:pStyle w:val="ListParagraph"/>
        <w:widowControl/>
        <w:numPr>
          <w:ilvl w:val="1"/>
          <w:numId w:val="3"/>
        </w:numPr>
        <w:rPr>
          <w:rFonts w:asciiTheme="minorHAnsi" w:hAnsiTheme="minorHAnsi"/>
          <w:bCs/>
        </w:rPr>
      </w:pPr>
      <w:r w:rsidRPr="00243081">
        <w:rPr>
          <w:rFonts w:asciiTheme="minorHAnsi" w:hAnsiTheme="minorHAnsi"/>
          <w:bCs/>
        </w:rPr>
        <w:t xml:space="preserve">Details of the trials presented in the submission are provided in </w:t>
      </w:r>
      <w:r w:rsidR="00F059E8" w:rsidRPr="00243081">
        <w:rPr>
          <w:rFonts w:asciiTheme="minorHAnsi" w:hAnsiTheme="minorHAnsi"/>
          <w:bCs/>
        </w:rPr>
        <w:t>Table 3</w:t>
      </w:r>
      <w:r w:rsidR="003137F2">
        <w:rPr>
          <w:rFonts w:asciiTheme="minorHAnsi" w:hAnsiTheme="minorHAnsi"/>
          <w:bCs/>
        </w:rPr>
        <w:t>.</w:t>
      </w:r>
    </w:p>
    <w:p w:rsidR="008E0D3C" w:rsidRPr="00243081" w:rsidRDefault="006B4325" w:rsidP="00F60FD6">
      <w:pPr>
        <w:pStyle w:val="Caption"/>
        <w:rPr>
          <w:rStyle w:val="CommentReference"/>
        </w:rPr>
      </w:pPr>
      <w:bookmarkStart w:id="10" w:name="_Ref523203465"/>
      <w:r w:rsidRPr="00243081">
        <w:t>Table</w:t>
      </w:r>
      <w:r w:rsidR="005E697B" w:rsidRPr="00243081">
        <w:t xml:space="preserve"> </w:t>
      </w:r>
      <w:r w:rsidR="00364F3F" w:rsidRPr="00243081">
        <w:rPr>
          <w:noProof/>
        </w:rPr>
        <w:t>3</w:t>
      </w:r>
      <w:bookmarkEnd w:id="10"/>
      <w:r w:rsidR="008E0D3C" w:rsidRPr="00243081">
        <w:rPr>
          <w:rStyle w:val="CommentReference"/>
          <w:b/>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29"/>
        <w:gridCol w:w="4855"/>
        <w:gridCol w:w="3333"/>
      </w:tblGrid>
      <w:tr w:rsidR="00D875A9" w:rsidRPr="00243081" w:rsidTr="00D875A9">
        <w:trPr>
          <w:tblHeader/>
        </w:trPr>
        <w:tc>
          <w:tcPr>
            <w:tcW w:w="460" w:type="pct"/>
            <w:vAlign w:val="center"/>
          </w:tcPr>
          <w:p w:rsidR="00D875A9" w:rsidRPr="00243081" w:rsidRDefault="00D875A9" w:rsidP="00D875A9">
            <w:pPr>
              <w:pStyle w:val="Tabletext"/>
              <w:rPr>
                <w:b/>
              </w:rPr>
            </w:pPr>
            <w:r w:rsidRPr="00243081">
              <w:rPr>
                <w:b/>
              </w:rPr>
              <w:t>Trial ID</w:t>
            </w:r>
          </w:p>
        </w:tc>
        <w:tc>
          <w:tcPr>
            <w:tcW w:w="2692" w:type="pct"/>
            <w:vAlign w:val="center"/>
          </w:tcPr>
          <w:p w:rsidR="00D875A9" w:rsidRPr="00243081" w:rsidRDefault="00D875A9" w:rsidP="00D875A9">
            <w:pPr>
              <w:pStyle w:val="Tabletext"/>
              <w:jc w:val="center"/>
              <w:rPr>
                <w:b/>
              </w:rPr>
            </w:pPr>
            <w:r w:rsidRPr="00243081">
              <w:rPr>
                <w:b/>
              </w:rPr>
              <w:t>Protocol title/ Publication title</w:t>
            </w:r>
          </w:p>
        </w:tc>
        <w:tc>
          <w:tcPr>
            <w:tcW w:w="1848" w:type="pct"/>
            <w:vAlign w:val="center"/>
          </w:tcPr>
          <w:p w:rsidR="00D875A9" w:rsidRPr="00243081" w:rsidRDefault="00D875A9" w:rsidP="00D875A9">
            <w:pPr>
              <w:pStyle w:val="Tabletext"/>
              <w:jc w:val="center"/>
              <w:rPr>
                <w:b/>
              </w:rPr>
            </w:pPr>
            <w:r w:rsidRPr="00243081">
              <w:rPr>
                <w:b/>
              </w:rPr>
              <w:t>Publication citation</w:t>
            </w:r>
          </w:p>
        </w:tc>
      </w:tr>
      <w:tr w:rsidR="00D875A9" w:rsidRPr="00243081" w:rsidTr="00D875A9">
        <w:tc>
          <w:tcPr>
            <w:tcW w:w="5000" w:type="pct"/>
            <w:gridSpan w:val="3"/>
            <w:tcBorders>
              <w:bottom w:val="nil"/>
            </w:tcBorders>
            <w:vAlign w:val="center"/>
          </w:tcPr>
          <w:p w:rsidR="00D875A9" w:rsidRPr="00243081" w:rsidRDefault="00D875A9" w:rsidP="009E0366">
            <w:pPr>
              <w:pStyle w:val="Tabletext"/>
              <w:rPr>
                <w:szCs w:val="18"/>
              </w:rPr>
            </w:pPr>
            <w:proofErr w:type="spellStart"/>
            <w:r w:rsidRPr="00243081">
              <w:rPr>
                <w:szCs w:val="18"/>
              </w:rPr>
              <w:t>Pembrolizumab+platinum+pemetrexed</w:t>
            </w:r>
            <w:proofErr w:type="spellEnd"/>
            <w:r w:rsidRPr="00243081">
              <w:rPr>
                <w:szCs w:val="18"/>
              </w:rPr>
              <w:t xml:space="preserve"> versus platinum doublet </w:t>
            </w:r>
          </w:p>
        </w:tc>
      </w:tr>
      <w:tr w:rsidR="00D875A9" w:rsidRPr="00243081" w:rsidTr="00D875A9">
        <w:tc>
          <w:tcPr>
            <w:tcW w:w="460" w:type="pct"/>
            <w:tcBorders>
              <w:bottom w:val="nil"/>
            </w:tcBorders>
            <w:vAlign w:val="center"/>
          </w:tcPr>
          <w:p w:rsidR="00D875A9" w:rsidRPr="00243081" w:rsidRDefault="00D875A9" w:rsidP="00D875A9">
            <w:pPr>
              <w:pStyle w:val="Tabletext"/>
              <w:rPr>
                <w:szCs w:val="18"/>
              </w:rPr>
            </w:pPr>
            <w:r w:rsidRPr="00243081">
              <w:rPr>
                <w:szCs w:val="18"/>
              </w:rPr>
              <w:t>KN189</w:t>
            </w:r>
          </w:p>
        </w:tc>
        <w:tc>
          <w:tcPr>
            <w:tcW w:w="2692" w:type="pct"/>
            <w:tcBorders>
              <w:bottom w:val="nil"/>
            </w:tcBorders>
            <w:vAlign w:val="center"/>
          </w:tcPr>
          <w:p w:rsidR="00D875A9" w:rsidRPr="00243081" w:rsidRDefault="00D875A9" w:rsidP="00D875A9">
            <w:pPr>
              <w:pStyle w:val="Tabletext"/>
              <w:rPr>
                <w:szCs w:val="18"/>
              </w:rPr>
            </w:pPr>
            <w:r w:rsidRPr="00243081">
              <w:rPr>
                <w:szCs w:val="18"/>
              </w:rPr>
              <w:t xml:space="preserve">Study of </w:t>
            </w:r>
            <w:proofErr w:type="spellStart"/>
            <w:r w:rsidRPr="00243081">
              <w:rPr>
                <w:szCs w:val="18"/>
              </w:rPr>
              <w:t>Platinum+Pemetrexed</w:t>
            </w:r>
            <w:proofErr w:type="spellEnd"/>
            <w:r w:rsidRPr="00243081">
              <w:rPr>
                <w:szCs w:val="18"/>
              </w:rPr>
              <w:t xml:space="preserve"> Chemotherapy With or Without </w:t>
            </w:r>
            <w:proofErr w:type="spellStart"/>
            <w:r w:rsidRPr="00243081">
              <w:rPr>
                <w:szCs w:val="18"/>
              </w:rPr>
              <w:t>Pembrolizumab</w:t>
            </w:r>
            <w:proofErr w:type="spellEnd"/>
            <w:r w:rsidRPr="00243081">
              <w:rPr>
                <w:szCs w:val="18"/>
              </w:rPr>
              <w:t xml:space="preserve"> (MK-3475) in Participants With First Line Metastatic Non-squamous Non-small Cell Lung Cancer (MK-3475-189/KEYNOTE-189)</w:t>
            </w:r>
          </w:p>
          <w:p w:rsidR="00D875A9" w:rsidRPr="00243081" w:rsidRDefault="00D875A9" w:rsidP="00D875A9">
            <w:pPr>
              <w:pStyle w:val="Tabletext"/>
              <w:rPr>
                <w:szCs w:val="18"/>
              </w:rPr>
            </w:pPr>
          </w:p>
          <w:p w:rsidR="00D875A9" w:rsidRPr="00243081" w:rsidRDefault="00D875A9" w:rsidP="00D875A9">
            <w:pPr>
              <w:pStyle w:val="Tabletext"/>
              <w:rPr>
                <w:szCs w:val="18"/>
              </w:rPr>
            </w:pPr>
            <w:r w:rsidRPr="00243081">
              <w:rPr>
                <w:szCs w:val="18"/>
              </w:rPr>
              <w:t xml:space="preserve">Gandhi et al, 2018, </w:t>
            </w:r>
            <w:proofErr w:type="spellStart"/>
            <w:r w:rsidRPr="00243081">
              <w:rPr>
                <w:szCs w:val="18"/>
              </w:rPr>
              <w:t>Pembrolizumab</w:t>
            </w:r>
            <w:proofErr w:type="spellEnd"/>
            <w:r w:rsidRPr="00243081">
              <w:rPr>
                <w:szCs w:val="18"/>
              </w:rPr>
              <w:t xml:space="preserve"> plus Chemotherapy in Metastatic Non–Small-Cell Lung Cancer. </w:t>
            </w:r>
          </w:p>
        </w:tc>
        <w:tc>
          <w:tcPr>
            <w:tcW w:w="1848" w:type="pct"/>
            <w:tcBorders>
              <w:bottom w:val="nil"/>
            </w:tcBorders>
            <w:vAlign w:val="center"/>
          </w:tcPr>
          <w:p w:rsidR="00D875A9" w:rsidRPr="00243081" w:rsidRDefault="00D875A9" w:rsidP="00D875A9">
            <w:pPr>
              <w:pStyle w:val="Tabletext"/>
              <w:rPr>
                <w:szCs w:val="18"/>
              </w:rPr>
            </w:pPr>
            <w:r w:rsidRPr="00243081">
              <w:rPr>
                <w:szCs w:val="18"/>
              </w:rPr>
              <w:t xml:space="preserve">Date not provided </w:t>
            </w:r>
            <w:r w:rsidRPr="00243081">
              <w:rPr>
                <w:szCs w:val="18"/>
              </w:rPr>
              <w:br/>
            </w:r>
            <w:r w:rsidRPr="00243081">
              <w:rPr>
                <w:szCs w:val="18"/>
              </w:rPr>
              <w:br/>
            </w:r>
            <w:r w:rsidRPr="00243081">
              <w:rPr>
                <w:szCs w:val="18"/>
              </w:rPr>
              <w:br/>
            </w:r>
          </w:p>
          <w:p w:rsidR="00D875A9" w:rsidRPr="00243081" w:rsidRDefault="00D875A9" w:rsidP="00D875A9">
            <w:pPr>
              <w:pStyle w:val="Tabletext"/>
              <w:rPr>
                <w:szCs w:val="18"/>
              </w:rPr>
            </w:pPr>
          </w:p>
          <w:p w:rsidR="00D875A9" w:rsidRPr="00243081" w:rsidRDefault="00D875A9" w:rsidP="00D875A9">
            <w:pPr>
              <w:pStyle w:val="Tabletext"/>
              <w:rPr>
                <w:szCs w:val="18"/>
              </w:rPr>
            </w:pPr>
            <w:r w:rsidRPr="00243081">
              <w:rPr>
                <w:szCs w:val="18"/>
              </w:rPr>
              <w:t xml:space="preserve">NEJM 2018;  </w:t>
            </w:r>
          </w:p>
          <w:p w:rsidR="00D875A9" w:rsidRPr="00243081" w:rsidRDefault="00C07EE1" w:rsidP="00D875A9">
            <w:pPr>
              <w:pStyle w:val="Tabletext"/>
              <w:rPr>
                <w:szCs w:val="18"/>
              </w:rPr>
            </w:pPr>
            <w:r w:rsidRPr="00B47AA8">
              <w:rPr>
                <w:rStyle w:val="Hyperlink"/>
                <w:szCs w:val="18"/>
              </w:rPr>
              <w:t>https://doi.org/10.1056/NEJMoa1801005</w:t>
            </w:r>
          </w:p>
        </w:tc>
      </w:tr>
      <w:tr w:rsidR="00D875A9" w:rsidRPr="00243081" w:rsidTr="00D875A9">
        <w:tc>
          <w:tcPr>
            <w:tcW w:w="5000" w:type="pct"/>
            <w:gridSpan w:val="3"/>
            <w:tcBorders>
              <w:bottom w:val="nil"/>
            </w:tcBorders>
            <w:vAlign w:val="center"/>
          </w:tcPr>
          <w:p w:rsidR="00D875A9" w:rsidRPr="00243081" w:rsidRDefault="00D875A9" w:rsidP="00D875A9">
            <w:pPr>
              <w:pStyle w:val="Tabletext"/>
              <w:rPr>
                <w:szCs w:val="18"/>
              </w:rPr>
            </w:pPr>
            <w:proofErr w:type="spellStart"/>
            <w:r w:rsidRPr="00243081">
              <w:rPr>
                <w:szCs w:val="18"/>
              </w:rPr>
              <w:t>Pembrolizumab</w:t>
            </w:r>
            <w:proofErr w:type="spellEnd"/>
            <w:r w:rsidRPr="00243081">
              <w:rPr>
                <w:szCs w:val="18"/>
              </w:rPr>
              <w:t xml:space="preserve"> monotherapy versus platinum doublet </w:t>
            </w:r>
          </w:p>
        </w:tc>
      </w:tr>
      <w:tr w:rsidR="00D875A9" w:rsidRPr="00243081" w:rsidTr="00D875A9">
        <w:tc>
          <w:tcPr>
            <w:tcW w:w="460" w:type="pct"/>
            <w:vAlign w:val="center"/>
          </w:tcPr>
          <w:p w:rsidR="00D875A9" w:rsidRPr="00243081" w:rsidRDefault="00D875A9" w:rsidP="00D875A9">
            <w:pPr>
              <w:pStyle w:val="Tabletext"/>
              <w:rPr>
                <w:szCs w:val="18"/>
              </w:rPr>
            </w:pPr>
            <w:r w:rsidRPr="00243081">
              <w:rPr>
                <w:szCs w:val="18"/>
              </w:rPr>
              <w:t>KN024</w:t>
            </w:r>
          </w:p>
        </w:tc>
        <w:tc>
          <w:tcPr>
            <w:tcW w:w="2692" w:type="pct"/>
            <w:vAlign w:val="center"/>
          </w:tcPr>
          <w:p w:rsidR="00D875A9" w:rsidRPr="00243081" w:rsidRDefault="00D875A9" w:rsidP="00D875A9">
            <w:pPr>
              <w:pStyle w:val="NoSpacing"/>
              <w:jc w:val="left"/>
              <w:rPr>
                <w:rFonts w:ascii="Arial Narrow" w:hAnsi="Arial Narrow" w:cs="Times New Roman"/>
                <w:snapToGrid/>
                <w:sz w:val="20"/>
                <w:szCs w:val="18"/>
              </w:rPr>
            </w:pPr>
            <w:r w:rsidRPr="00243081">
              <w:rPr>
                <w:rFonts w:ascii="Arial Narrow" w:hAnsi="Arial Narrow" w:cs="Times New Roman"/>
                <w:snapToGrid/>
                <w:sz w:val="20"/>
                <w:szCs w:val="18"/>
              </w:rPr>
              <w:t xml:space="preserve">A Randomized Open-Label Phase III Trial of </w:t>
            </w:r>
            <w:proofErr w:type="spellStart"/>
            <w:r w:rsidRPr="00243081">
              <w:rPr>
                <w:rFonts w:ascii="Arial Narrow" w:hAnsi="Arial Narrow" w:cs="Times New Roman"/>
                <w:snapToGrid/>
                <w:sz w:val="20"/>
                <w:szCs w:val="18"/>
              </w:rPr>
              <w:t>Pembrolizumab</w:t>
            </w:r>
            <w:proofErr w:type="spellEnd"/>
            <w:r w:rsidRPr="00243081">
              <w:rPr>
                <w:rFonts w:ascii="Arial Narrow" w:hAnsi="Arial Narrow" w:cs="Times New Roman"/>
                <w:snapToGrid/>
                <w:sz w:val="20"/>
                <w:szCs w:val="18"/>
              </w:rPr>
              <w:t xml:space="preserve"> versus (vs.) Platinum based Chemotherapy in First-Line (1L) Subjects with Programmed Cell Death 1 Ligand (PD-L1) Strong Metastatic NSCLC</w:t>
            </w:r>
          </w:p>
          <w:p w:rsidR="00D875A9" w:rsidRPr="00243081" w:rsidRDefault="00D875A9" w:rsidP="00D875A9">
            <w:pPr>
              <w:pStyle w:val="NoSpacing"/>
              <w:jc w:val="left"/>
              <w:rPr>
                <w:rFonts w:ascii="Arial Narrow" w:hAnsi="Arial Narrow" w:cs="Times New Roman"/>
                <w:snapToGrid/>
                <w:sz w:val="20"/>
                <w:szCs w:val="18"/>
              </w:rPr>
            </w:pPr>
          </w:p>
          <w:p w:rsidR="00D875A9" w:rsidRPr="00243081" w:rsidRDefault="00D875A9" w:rsidP="00D875A9">
            <w:pPr>
              <w:pStyle w:val="Tabletext"/>
              <w:rPr>
                <w:szCs w:val="18"/>
              </w:rPr>
            </w:pPr>
            <w:proofErr w:type="spellStart"/>
            <w:r w:rsidRPr="00243081">
              <w:rPr>
                <w:szCs w:val="18"/>
              </w:rPr>
              <w:t>Reck</w:t>
            </w:r>
            <w:proofErr w:type="spellEnd"/>
            <w:r w:rsidRPr="00243081">
              <w:rPr>
                <w:szCs w:val="18"/>
              </w:rPr>
              <w:t xml:space="preserve"> et al, 2016 </w:t>
            </w:r>
            <w:proofErr w:type="spellStart"/>
            <w:r w:rsidRPr="00243081">
              <w:rPr>
                <w:szCs w:val="18"/>
              </w:rPr>
              <w:t>Pembrolizumab</w:t>
            </w:r>
            <w:proofErr w:type="spellEnd"/>
            <w:r w:rsidRPr="00243081">
              <w:rPr>
                <w:szCs w:val="18"/>
              </w:rPr>
              <w:t xml:space="preserve"> versus Chemotherapy for PD-L1-Positive Non-Small-Cell Lung Cancer</w:t>
            </w:r>
          </w:p>
        </w:tc>
        <w:tc>
          <w:tcPr>
            <w:tcW w:w="1848" w:type="pct"/>
            <w:vAlign w:val="center"/>
          </w:tcPr>
          <w:p w:rsidR="00D875A9" w:rsidRPr="00243081" w:rsidRDefault="00D875A9" w:rsidP="00D875A9">
            <w:pPr>
              <w:pStyle w:val="Tabletext"/>
              <w:rPr>
                <w:szCs w:val="18"/>
              </w:rPr>
            </w:pPr>
            <w:r w:rsidRPr="00243081">
              <w:rPr>
                <w:szCs w:val="18"/>
              </w:rPr>
              <w:t>11 July 2016</w:t>
            </w:r>
            <w:r w:rsidRPr="00243081">
              <w:rPr>
                <w:szCs w:val="18"/>
              </w:rPr>
              <w:br/>
            </w:r>
            <w:r w:rsidRPr="00243081">
              <w:rPr>
                <w:szCs w:val="18"/>
              </w:rPr>
              <w:br/>
            </w:r>
            <w:r w:rsidRPr="00243081">
              <w:rPr>
                <w:szCs w:val="18"/>
              </w:rPr>
              <w:br/>
            </w:r>
          </w:p>
          <w:p w:rsidR="00D875A9" w:rsidRPr="00243081" w:rsidRDefault="00D875A9" w:rsidP="00D875A9">
            <w:pPr>
              <w:pStyle w:val="Tabletext"/>
              <w:rPr>
                <w:szCs w:val="18"/>
              </w:rPr>
            </w:pPr>
          </w:p>
          <w:p w:rsidR="00D875A9" w:rsidRPr="00243081" w:rsidRDefault="00D875A9" w:rsidP="00D875A9">
            <w:pPr>
              <w:pStyle w:val="Tabletext"/>
              <w:rPr>
                <w:szCs w:val="18"/>
              </w:rPr>
            </w:pPr>
            <w:r w:rsidRPr="00243081">
              <w:rPr>
                <w:szCs w:val="18"/>
              </w:rPr>
              <w:t xml:space="preserve">NEJM 2016 Nov 10; 375(19):1823-1833. </w:t>
            </w:r>
            <w:proofErr w:type="spellStart"/>
            <w:r w:rsidRPr="00243081">
              <w:rPr>
                <w:szCs w:val="18"/>
              </w:rPr>
              <w:t>Epub</w:t>
            </w:r>
            <w:proofErr w:type="spellEnd"/>
            <w:r w:rsidRPr="00243081">
              <w:rPr>
                <w:szCs w:val="18"/>
              </w:rPr>
              <w:t xml:space="preserve"> 2016 Oct 8</w:t>
            </w:r>
          </w:p>
        </w:tc>
      </w:tr>
    </w:tbl>
    <w:p w:rsidR="00D875A9" w:rsidRPr="00243081" w:rsidRDefault="00D875A9" w:rsidP="00D875A9">
      <w:pPr>
        <w:pStyle w:val="TableFooter"/>
        <w:rPr>
          <w:sz w:val="20"/>
        </w:rPr>
      </w:pPr>
      <w:r w:rsidRPr="00243081">
        <w:t>Source: Table 2.2-1, p39-40 of the submission</w:t>
      </w:r>
    </w:p>
    <w:p w:rsidR="00862502" w:rsidRPr="00243081" w:rsidRDefault="00862502" w:rsidP="008F120A">
      <w:pPr>
        <w:widowControl/>
        <w:rPr>
          <w:sz w:val="18"/>
          <w:szCs w:val="18"/>
        </w:rPr>
      </w:pPr>
    </w:p>
    <w:p w:rsidR="006C1F05" w:rsidRPr="00243081" w:rsidRDefault="00FA5163" w:rsidP="00FA5163">
      <w:pPr>
        <w:pStyle w:val="ListParagraph"/>
        <w:widowControl/>
        <w:numPr>
          <w:ilvl w:val="1"/>
          <w:numId w:val="3"/>
        </w:numPr>
        <w:spacing w:after="0"/>
      </w:pPr>
      <w:r w:rsidRPr="00243081">
        <w:t>D</w:t>
      </w:r>
      <w:r w:rsidR="00D875A9" w:rsidRPr="00243081">
        <w:t>ifferent comparison</w:t>
      </w:r>
      <w:r w:rsidRPr="00243081">
        <w:t>s were</w:t>
      </w:r>
      <w:r w:rsidR="00D875A9" w:rsidRPr="00243081">
        <w:t xml:space="preserve"> presented </w:t>
      </w:r>
      <w:r w:rsidR="00410853" w:rsidRPr="00243081">
        <w:t xml:space="preserve">by the submission </w:t>
      </w:r>
      <w:r w:rsidR="00D875A9" w:rsidRPr="00243081">
        <w:t xml:space="preserve">for patients with PD-L1 TPS &lt;50% and PD-L1 </w:t>
      </w:r>
      <w:r w:rsidR="00D875A9" w:rsidRPr="00243081">
        <w:rPr>
          <w:rFonts w:cs="Calibri"/>
        </w:rPr>
        <w:t>≥</w:t>
      </w:r>
      <w:r w:rsidR="00D875A9" w:rsidRPr="00243081">
        <w:t>50%</w:t>
      </w:r>
      <w:r w:rsidR="006C1F05" w:rsidRPr="00243081">
        <w:t>:</w:t>
      </w:r>
    </w:p>
    <w:p w:rsidR="006C1F05" w:rsidRPr="00243081" w:rsidRDefault="00D875A9" w:rsidP="006C1F05">
      <w:pPr>
        <w:pStyle w:val="ListParagraph"/>
        <w:widowControl/>
        <w:numPr>
          <w:ilvl w:val="0"/>
          <w:numId w:val="25"/>
        </w:numPr>
        <w:spacing w:after="0"/>
        <w:ind w:left="993" w:hanging="284"/>
      </w:pPr>
      <w:r w:rsidRPr="00243081">
        <w:t xml:space="preserve">Direct evidence from the subgroup of patients with PD-L1 TPS &lt;50% in KN189 was used to inform relative efficacy of </w:t>
      </w:r>
      <w:proofErr w:type="spellStart"/>
      <w:r w:rsidRPr="00243081">
        <w:t>pembrolizumab</w:t>
      </w:r>
      <w:r w:rsidR="006C1F05" w:rsidRPr="00243081">
        <w:t>+platinum+pemetrexed</w:t>
      </w:r>
      <w:proofErr w:type="spellEnd"/>
      <w:r w:rsidRPr="00243081">
        <w:t xml:space="preserve"> to platinum doublet</w:t>
      </w:r>
      <w:r w:rsidR="006C1F05" w:rsidRPr="00243081">
        <w:t xml:space="preserve">; and </w:t>
      </w:r>
    </w:p>
    <w:p w:rsidR="00806CC3" w:rsidRPr="00243081" w:rsidRDefault="006C1F05" w:rsidP="001C6E85">
      <w:pPr>
        <w:pStyle w:val="ListParagraph"/>
        <w:widowControl/>
        <w:numPr>
          <w:ilvl w:val="0"/>
          <w:numId w:val="25"/>
        </w:numPr>
        <w:ind w:left="993" w:hanging="284"/>
      </w:pPr>
      <w:r w:rsidRPr="00243081">
        <w:t>A</w:t>
      </w:r>
      <w:r w:rsidR="00D875A9" w:rsidRPr="00243081">
        <w:t xml:space="preserve">n indirect comparison between the subgroup of patients with PD-L1 TPS </w:t>
      </w:r>
      <w:r w:rsidR="00D875A9" w:rsidRPr="00243081">
        <w:rPr>
          <w:rFonts w:cs="Calibri"/>
        </w:rPr>
        <w:t>≥</w:t>
      </w:r>
      <w:r w:rsidR="00D875A9" w:rsidRPr="00243081">
        <w:t xml:space="preserve">50% in KN189 and patients with non-squamous histology </w:t>
      </w:r>
      <w:r w:rsidR="006F7966" w:rsidRPr="00243081">
        <w:t xml:space="preserve">who </w:t>
      </w:r>
      <w:r w:rsidR="00D875A9" w:rsidRPr="00243081">
        <w:t xml:space="preserve">were treated with </w:t>
      </w:r>
      <w:proofErr w:type="spellStart"/>
      <w:r w:rsidR="00D875A9" w:rsidRPr="00243081">
        <w:t>platinum+pemetrexed</w:t>
      </w:r>
      <w:proofErr w:type="spellEnd"/>
      <w:r w:rsidR="00D875A9" w:rsidRPr="00243081">
        <w:t xml:space="preserve"> in KN024 using platinum doublet as a common </w:t>
      </w:r>
      <w:r w:rsidR="003118CF" w:rsidRPr="00243081">
        <w:t xml:space="preserve">reference </w:t>
      </w:r>
      <w:r w:rsidR="00D875A9" w:rsidRPr="00243081">
        <w:lastRenderedPageBreak/>
        <w:t xml:space="preserve">was used to inform relative efficacy of </w:t>
      </w:r>
      <w:proofErr w:type="spellStart"/>
      <w:r w:rsidR="00D875A9" w:rsidRPr="00243081">
        <w:t>pembrolizumab</w:t>
      </w:r>
      <w:r w:rsidRPr="00243081">
        <w:t>+platinum+pemetrexed</w:t>
      </w:r>
      <w:proofErr w:type="spellEnd"/>
      <w:r w:rsidR="00D875A9" w:rsidRPr="00243081">
        <w:t xml:space="preserve"> to </w:t>
      </w:r>
      <w:proofErr w:type="spellStart"/>
      <w:r w:rsidR="00D875A9" w:rsidRPr="00243081">
        <w:t>pembrolizumab</w:t>
      </w:r>
      <w:proofErr w:type="spellEnd"/>
      <w:r w:rsidR="00D875A9" w:rsidRPr="00243081">
        <w:t xml:space="preserve"> monotherapy.  </w:t>
      </w:r>
    </w:p>
    <w:p w:rsidR="00D875A9" w:rsidRPr="00243081" w:rsidRDefault="00960F1D" w:rsidP="001C6E85">
      <w:pPr>
        <w:pStyle w:val="ListParagraph"/>
        <w:widowControl/>
        <w:numPr>
          <w:ilvl w:val="1"/>
          <w:numId w:val="3"/>
        </w:numPr>
      </w:pPr>
      <w:r w:rsidRPr="00243081">
        <w:t xml:space="preserve">The population in each comparison is </w:t>
      </w:r>
      <w:r w:rsidR="00C1243E" w:rsidRPr="00243081">
        <w:t xml:space="preserve">indicated </w:t>
      </w:r>
      <w:r w:rsidRPr="00243081">
        <w:t xml:space="preserve">in </w:t>
      </w:r>
      <w:r w:rsidR="00F059E8" w:rsidRPr="00243081">
        <w:t xml:space="preserve">Table </w:t>
      </w:r>
      <w:r w:rsidR="00F059E8" w:rsidRPr="00243081">
        <w:rPr>
          <w:noProof/>
        </w:rPr>
        <w:t>4</w:t>
      </w:r>
      <w:r w:rsidR="00C1243E" w:rsidRPr="00243081">
        <w:t xml:space="preserve"> with shading</w:t>
      </w:r>
      <w:r w:rsidRPr="00243081">
        <w:t xml:space="preserve">. </w:t>
      </w:r>
    </w:p>
    <w:p w:rsidR="00960F1D" w:rsidRPr="00243081" w:rsidRDefault="006C1F05" w:rsidP="006C1F05">
      <w:pPr>
        <w:pStyle w:val="Caption"/>
        <w:keepNext/>
        <w:rPr>
          <w:szCs w:val="20"/>
        </w:rPr>
      </w:pPr>
      <w:bookmarkStart w:id="11" w:name="_Ref524308667"/>
      <w:r w:rsidRPr="00243081">
        <w:t xml:space="preserve">Table </w:t>
      </w:r>
      <w:r w:rsidR="00364F3F" w:rsidRPr="00243081">
        <w:rPr>
          <w:noProof/>
        </w:rPr>
        <w:t>4</w:t>
      </w:r>
      <w:bookmarkEnd w:id="11"/>
      <w:r w:rsidRPr="00243081">
        <w:t xml:space="preserve">: </w:t>
      </w:r>
      <w:r w:rsidR="00960F1D" w:rsidRPr="00243081">
        <w:rPr>
          <w:szCs w:val="20"/>
        </w:rPr>
        <w:t>Treatment arms of the KN189 and KN024 trials used to inform the clinical claims made by the submission</w:t>
      </w:r>
    </w:p>
    <w:tbl>
      <w:tblPr>
        <w:tblStyle w:val="TableGrid"/>
        <w:tblW w:w="0" w:type="auto"/>
        <w:tblLayout w:type="fixed"/>
        <w:tblCellMar>
          <w:left w:w="28" w:type="dxa"/>
          <w:right w:w="28" w:type="dxa"/>
        </w:tblCellMar>
        <w:tblLook w:val="04A0" w:firstRow="1" w:lastRow="0" w:firstColumn="1" w:lastColumn="0" w:noHBand="0" w:noVBand="1"/>
        <w:tblCaption w:val="Treatment arms of the KN189 and KN024 trials used to inform the clinical claims made by the submission"/>
      </w:tblPr>
      <w:tblGrid>
        <w:gridCol w:w="3256"/>
        <w:gridCol w:w="720"/>
        <w:gridCol w:w="720"/>
        <w:gridCol w:w="720"/>
        <w:gridCol w:w="720"/>
        <w:gridCol w:w="720"/>
        <w:gridCol w:w="720"/>
        <w:gridCol w:w="720"/>
        <w:gridCol w:w="721"/>
      </w:tblGrid>
      <w:tr w:rsidR="00960F1D" w:rsidRPr="00243081" w:rsidTr="009A1E78">
        <w:trPr>
          <w:cantSplit/>
          <w:tblHeader/>
        </w:trPr>
        <w:tc>
          <w:tcPr>
            <w:tcW w:w="3256" w:type="dxa"/>
            <w:vMerge w:val="restart"/>
            <w:vAlign w:val="bottom"/>
          </w:tcPr>
          <w:p w:rsidR="00960F1D" w:rsidRPr="00243081" w:rsidRDefault="00960F1D" w:rsidP="00960F1D">
            <w:pPr>
              <w:rPr>
                <w:rFonts w:ascii="Arial Narrow" w:hAnsi="Arial Narrow"/>
                <w:b/>
                <w:sz w:val="20"/>
                <w:szCs w:val="20"/>
              </w:rPr>
            </w:pPr>
            <w:r w:rsidRPr="00243081">
              <w:rPr>
                <w:rFonts w:ascii="Arial Narrow" w:hAnsi="Arial Narrow"/>
                <w:b/>
                <w:sz w:val="20"/>
                <w:szCs w:val="20"/>
              </w:rPr>
              <w:t xml:space="preserve">Comparison </w:t>
            </w:r>
          </w:p>
        </w:tc>
        <w:tc>
          <w:tcPr>
            <w:tcW w:w="2880" w:type="dxa"/>
            <w:gridSpan w:val="4"/>
            <w:vAlign w:val="center"/>
          </w:tcPr>
          <w:p w:rsidR="00960F1D" w:rsidRPr="00243081" w:rsidRDefault="00960F1D" w:rsidP="006C1F05">
            <w:pPr>
              <w:jc w:val="center"/>
              <w:rPr>
                <w:rFonts w:ascii="Arial Narrow" w:hAnsi="Arial Narrow"/>
                <w:b/>
                <w:sz w:val="20"/>
                <w:szCs w:val="20"/>
              </w:rPr>
            </w:pPr>
            <w:r w:rsidRPr="00243081">
              <w:rPr>
                <w:rFonts w:ascii="Arial Narrow" w:hAnsi="Arial Narrow"/>
                <w:b/>
                <w:sz w:val="20"/>
                <w:szCs w:val="20"/>
              </w:rPr>
              <w:t>KN189 (N=616), all NSQ</w:t>
            </w:r>
          </w:p>
        </w:tc>
        <w:tc>
          <w:tcPr>
            <w:tcW w:w="2881" w:type="dxa"/>
            <w:gridSpan w:val="4"/>
            <w:vAlign w:val="center"/>
          </w:tcPr>
          <w:p w:rsidR="00960F1D" w:rsidRPr="00243081" w:rsidRDefault="00960F1D" w:rsidP="006C1F05">
            <w:pPr>
              <w:jc w:val="center"/>
              <w:rPr>
                <w:rFonts w:ascii="Arial Narrow" w:hAnsi="Arial Narrow"/>
                <w:b/>
                <w:sz w:val="20"/>
                <w:szCs w:val="20"/>
              </w:rPr>
            </w:pPr>
            <w:r w:rsidRPr="00243081">
              <w:rPr>
                <w:rFonts w:ascii="Arial Narrow" w:hAnsi="Arial Narrow"/>
                <w:b/>
                <w:sz w:val="20"/>
                <w:szCs w:val="20"/>
              </w:rPr>
              <w:t>KN024 (N=305), all ≥50%</w:t>
            </w:r>
          </w:p>
        </w:tc>
      </w:tr>
      <w:tr w:rsidR="00960F1D" w:rsidRPr="00243081" w:rsidTr="0050723F">
        <w:tc>
          <w:tcPr>
            <w:tcW w:w="3256" w:type="dxa"/>
            <w:vMerge/>
            <w:vAlign w:val="center"/>
          </w:tcPr>
          <w:p w:rsidR="00960F1D" w:rsidRPr="00243081" w:rsidRDefault="00960F1D" w:rsidP="00960F1D">
            <w:pPr>
              <w:rPr>
                <w:rFonts w:ascii="Arial Narrow" w:hAnsi="Arial Narrow"/>
                <w:sz w:val="20"/>
                <w:szCs w:val="20"/>
              </w:rPr>
            </w:pPr>
          </w:p>
        </w:tc>
        <w:tc>
          <w:tcPr>
            <w:tcW w:w="1440" w:type="dxa"/>
            <w:gridSpan w:val="2"/>
            <w:vAlign w:val="center"/>
          </w:tcPr>
          <w:p w:rsidR="00960F1D" w:rsidRPr="00243081" w:rsidRDefault="00960F1D" w:rsidP="006C1F05">
            <w:pPr>
              <w:jc w:val="center"/>
              <w:rPr>
                <w:rFonts w:ascii="Arial Narrow" w:hAnsi="Arial Narrow"/>
                <w:b/>
                <w:sz w:val="20"/>
                <w:szCs w:val="20"/>
              </w:rPr>
            </w:pPr>
            <w:proofErr w:type="spellStart"/>
            <w:r w:rsidRPr="00243081">
              <w:rPr>
                <w:rFonts w:ascii="Arial Narrow" w:hAnsi="Arial Narrow"/>
                <w:b/>
                <w:sz w:val="20"/>
                <w:szCs w:val="20"/>
              </w:rPr>
              <w:t>Pembro</w:t>
            </w:r>
            <w:r w:rsidR="006C1F05" w:rsidRPr="00243081">
              <w:rPr>
                <w:rFonts w:ascii="Arial Narrow" w:hAnsi="Arial Narrow"/>
                <w:b/>
                <w:sz w:val="20"/>
                <w:szCs w:val="20"/>
              </w:rPr>
              <w:t>+plat</w:t>
            </w:r>
            <w:proofErr w:type="spellEnd"/>
            <w:r w:rsidR="006C1F05" w:rsidRPr="00243081">
              <w:rPr>
                <w:rFonts w:ascii="Arial Narrow" w:hAnsi="Arial Narrow"/>
                <w:b/>
                <w:sz w:val="20"/>
                <w:szCs w:val="20"/>
              </w:rPr>
              <w:t>+</w:t>
            </w:r>
            <w:r w:rsidR="0050723F" w:rsidRPr="00243081">
              <w:rPr>
                <w:rFonts w:ascii="Arial Narrow" w:hAnsi="Arial Narrow"/>
                <w:b/>
                <w:sz w:val="20"/>
                <w:szCs w:val="20"/>
              </w:rPr>
              <w:t xml:space="preserve"> </w:t>
            </w:r>
            <w:proofErr w:type="spellStart"/>
            <w:r w:rsidR="006C1F05" w:rsidRPr="00243081">
              <w:rPr>
                <w:rFonts w:ascii="Arial Narrow" w:hAnsi="Arial Narrow"/>
                <w:b/>
                <w:sz w:val="20"/>
                <w:szCs w:val="20"/>
              </w:rPr>
              <w:t>peme</w:t>
            </w:r>
            <w:proofErr w:type="spellEnd"/>
          </w:p>
        </w:tc>
        <w:tc>
          <w:tcPr>
            <w:tcW w:w="1440" w:type="dxa"/>
            <w:gridSpan w:val="2"/>
            <w:vAlign w:val="center"/>
          </w:tcPr>
          <w:p w:rsidR="00960F1D" w:rsidRPr="00243081" w:rsidRDefault="00960F1D" w:rsidP="006C1F05">
            <w:pPr>
              <w:jc w:val="center"/>
              <w:rPr>
                <w:rFonts w:ascii="Arial Narrow" w:hAnsi="Arial Narrow"/>
                <w:b/>
                <w:sz w:val="20"/>
                <w:szCs w:val="20"/>
              </w:rPr>
            </w:pPr>
            <w:r w:rsidRPr="00243081">
              <w:rPr>
                <w:rFonts w:ascii="Arial Narrow" w:hAnsi="Arial Narrow"/>
                <w:b/>
                <w:sz w:val="20"/>
                <w:szCs w:val="20"/>
              </w:rPr>
              <w:t>Chemotherapy</w:t>
            </w:r>
          </w:p>
        </w:tc>
        <w:tc>
          <w:tcPr>
            <w:tcW w:w="1440" w:type="dxa"/>
            <w:gridSpan w:val="2"/>
            <w:vAlign w:val="center"/>
          </w:tcPr>
          <w:p w:rsidR="00960F1D" w:rsidRPr="00243081" w:rsidRDefault="00960F1D" w:rsidP="006C1F05">
            <w:pPr>
              <w:jc w:val="center"/>
              <w:rPr>
                <w:rFonts w:ascii="Arial Narrow" w:hAnsi="Arial Narrow"/>
                <w:b/>
                <w:sz w:val="20"/>
                <w:szCs w:val="20"/>
              </w:rPr>
            </w:pPr>
            <w:proofErr w:type="spellStart"/>
            <w:r w:rsidRPr="00243081">
              <w:rPr>
                <w:rFonts w:ascii="Arial Narrow" w:hAnsi="Arial Narrow"/>
                <w:b/>
                <w:sz w:val="20"/>
                <w:szCs w:val="20"/>
              </w:rPr>
              <w:t>Pembro</w:t>
            </w:r>
            <w:proofErr w:type="spellEnd"/>
            <w:r w:rsidRPr="00243081">
              <w:rPr>
                <w:rFonts w:ascii="Arial Narrow" w:hAnsi="Arial Narrow"/>
                <w:b/>
                <w:sz w:val="20"/>
                <w:szCs w:val="20"/>
              </w:rPr>
              <w:t xml:space="preserve"> mono</w:t>
            </w:r>
          </w:p>
        </w:tc>
        <w:tc>
          <w:tcPr>
            <w:tcW w:w="1441" w:type="dxa"/>
            <w:gridSpan w:val="2"/>
            <w:vAlign w:val="center"/>
          </w:tcPr>
          <w:p w:rsidR="00960F1D" w:rsidRPr="00243081" w:rsidRDefault="00960F1D" w:rsidP="006C1F05">
            <w:pPr>
              <w:jc w:val="center"/>
              <w:rPr>
                <w:rFonts w:ascii="Arial Narrow" w:hAnsi="Arial Narrow"/>
                <w:b/>
                <w:sz w:val="20"/>
                <w:szCs w:val="20"/>
              </w:rPr>
            </w:pPr>
            <w:r w:rsidRPr="00243081">
              <w:rPr>
                <w:rFonts w:ascii="Arial Narrow" w:hAnsi="Arial Narrow"/>
                <w:b/>
                <w:sz w:val="20"/>
                <w:szCs w:val="20"/>
              </w:rPr>
              <w:t>Chemotherapy</w:t>
            </w:r>
          </w:p>
        </w:tc>
      </w:tr>
      <w:tr w:rsidR="00960F1D" w:rsidRPr="00243081" w:rsidTr="0050723F">
        <w:tc>
          <w:tcPr>
            <w:tcW w:w="3256" w:type="dxa"/>
            <w:vMerge/>
            <w:vAlign w:val="center"/>
          </w:tcPr>
          <w:p w:rsidR="00960F1D" w:rsidRPr="00243081" w:rsidRDefault="00960F1D" w:rsidP="00960F1D">
            <w:pPr>
              <w:rPr>
                <w:rFonts w:ascii="Arial Narrow" w:hAnsi="Arial Narrow"/>
                <w:sz w:val="20"/>
                <w:szCs w:val="20"/>
              </w:rPr>
            </w:pP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&lt;50%</w:t>
            </w: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≥50%</w:t>
            </w: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&lt;50%</w:t>
            </w: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≥50%</w:t>
            </w: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SQ</w:t>
            </w: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NSQ</w:t>
            </w: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SQ</w:t>
            </w:r>
          </w:p>
        </w:tc>
        <w:tc>
          <w:tcPr>
            <w:tcW w:w="721"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NSQ</w:t>
            </w:r>
          </w:p>
        </w:tc>
      </w:tr>
      <w:tr w:rsidR="00960F1D" w:rsidRPr="00243081" w:rsidTr="0050723F">
        <w:tc>
          <w:tcPr>
            <w:tcW w:w="3256" w:type="dxa"/>
            <w:vAlign w:val="center"/>
          </w:tcPr>
          <w:p w:rsidR="00960F1D" w:rsidRPr="00243081" w:rsidRDefault="00960F1D" w:rsidP="006C1F05">
            <w:pPr>
              <w:rPr>
                <w:rFonts w:ascii="Arial Narrow" w:hAnsi="Arial Narrow"/>
                <w:sz w:val="20"/>
                <w:szCs w:val="20"/>
              </w:rPr>
            </w:pPr>
            <w:proofErr w:type="spellStart"/>
            <w:r w:rsidRPr="00243081">
              <w:rPr>
                <w:rFonts w:ascii="Arial Narrow" w:hAnsi="Arial Narrow"/>
                <w:sz w:val="20"/>
                <w:szCs w:val="20"/>
              </w:rPr>
              <w:t>Pembro</w:t>
            </w:r>
            <w:r w:rsidR="006C1F05" w:rsidRPr="00243081">
              <w:rPr>
                <w:rFonts w:ascii="Arial Narrow" w:hAnsi="Arial Narrow"/>
                <w:sz w:val="20"/>
                <w:szCs w:val="20"/>
              </w:rPr>
              <w:t>+plat+peme</w:t>
            </w:r>
            <w:proofErr w:type="spellEnd"/>
            <w:r w:rsidR="006C1F05" w:rsidRPr="00243081">
              <w:rPr>
                <w:rFonts w:ascii="Arial Narrow" w:hAnsi="Arial Narrow"/>
                <w:sz w:val="20"/>
                <w:szCs w:val="20"/>
              </w:rPr>
              <w:t xml:space="preserve"> </w:t>
            </w:r>
            <w:r w:rsidRPr="00243081">
              <w:rPr>
                <w:rFonts w:ascii="Arial Narrow" w:hAnsi="Arial Narrow"/>
                <w:sz w:val="20"/>
                <w:szCs w:val="20"/>
              </w:rPr>
              <w:t>v SOC (&lt;50%)</w:t>
            </w:r>
          </w:p>
        </w:tc>
        <w:tc>
          <w:tcPr>
            <w:tcW w:w="720" w:type="dxa"/>
            <w:shd w:val="clear" w:color="auto" w:fill="D9D9D9" w:themeFill="background1" w:themeFillShade="D9"/>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n=255</w:t>
            </w:r>
          </w:p>
        </w:tc>
        <w:tc>
          <w:tcPr>
            <w:tcW w:w="720" w:type="dxa"/>
            <w:vAlign w:val="center"/>
          </w:tcPr>
          <w:p w:rsidR="00960F1D" w:rsidRPr="00243081" w:rsidRDefault="00960F1D" w:rsidP="006C1F05">
            <w:pPr>
              <w:jc w:val="center"/>
              <w:rPr>
                <w:rFonts w:ascii="Arial Narrow" w:hAnsi="Arial Narrow"/>
                <w:sz w:val="20"/>
                <w:szCs w:val="20"/>
              </w:rPr>
            </w:pPr>
          </w:p>
        </w:tc>
        <w:tc>
          <w:tcPr>
            <w:tcW w:w="720" w:type="dxa"/>
            <w:shd w:val="clear" w:color="auto" w:fill="D9D9D9" w:themeFill="background1" w:themeFillShade="D9"/>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n=121</w:t>
            </w:r>
          </w:p>
        </w:tc>
        <w:tc>
          <w:tcPr>
            <w:tcW w:w="720" w:type="dxa"/>
            <w:vAlign w:val="center"/>
          </w:tcPr>
          <w:p w:rsidR="00960F1D" w:rsidRPr="00243081" w:rsidRDefault="00960F1D" w:rsidP="006C1F05">
            <w:pPr>
              <w:jc w:val="center"/>
              <w:rPr>
                <w:rFonts w:ascii="Arial Narrow" w:hAnsi="Arial Narrow"/>
                <w:sz w:val="20"/>
                <w:szCs w:val="20"/>
              </w:rPr>
            </w:pP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w:t>
            </w: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w:t>
            </w:r>
          </w:p>
        </w:tc>
        <w:tc>
          <w:tcPr>
            <w:tcW w:w="720"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w:t>
            </w:r>
          </w:p>
        </w:tc>
        <w:tc>
          <w:tcPr>
            <w:tcW w:w="721" w:type="dxa"/>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w:t>
            </w:r>
          </w:p>
        </w:tc>
      </w:tr>
      <w:tr w:rsidR="00960F1D" w:rsidRPr="00243081" w:rsidTr="0050723F">
        <w:tc>
          <w:tcPr>
            <w:tcW w:w="3256" w:type="dxa"/>
            <w:vAlign w:val="center"/>
          </w:tcPr>
          <w:p w:rsidR="00960F1D" w:rsidRPr="00243081" w:rsidRDefault="00960F1D" w:rsidP="006C1F05">
            <w:pPr>
              <w:rPr>
                <w:rFonts w:ascii="Arial Narrow" w:hAnsi="Arial Narrow"/>
                <w:sz w:val="20"/>
                <w:szCs w:val="20"/>
              </w:rPr>
            </w:pPr>
            <w:proofErr w:type="spellStart"/>
            <w:r w:rsidRPr="00243081">
              <w:rPr>
                <w:rFonts w:ascii="Arial Narrow" w:hAnsi="Arial Narrow"/>
                <w:sz w:val="20"/>
                <w:szCs w:val="20"/>
              </w:rPr>
              <w:t>Pembro</w:t>
            </w:r>
            <w:r w:rsidR="006C1F05" w:rsidRPr="00243081">
              <w:rPr>
                <w:rFonts w:ascii="Arial Narrow" w:hAnsi="Arial Narrow"/>
                <w:sz w:val="20"/>
                <w:szCs w:val="20"/>
              </w:rPr>
              <w:t>+plat+peme</w:t>
            </w:r>
            <w:proofErr w:type="spellEnd"/>
            <w:r w:rsidRPr="00243081">
              <w:rPr>
                <w:rFonts w:ascii="Arial Narrow" w:hAnsi="Arial Narrow"/>
                <w:sz w:val="20"/>
                <w:szCs w:val="20"/>
              </w:rPr>
              <w:t xml:space="preserve"> v </w:t>
            </w:r>
            <w:proofErr w:type="spellStart"/>
            <w:r w:rsidRPr="00243081">
              <w:rPr>
                <w:rFonts w:ascii="Arial Narrow" w:hAnsi="Arial Narrow"/>
                <w:sz w:val="20"/>
                <w:szCs w:val="20"/>
              </w:rPr>
              <w:t>pembro</w:t>
            </w:r>
            <w:proofErr w:type="spellEnd"/>
            <w:r w:rsidRPr="00243081">
              <w:rPr>
                <w:rFonts w:ascii="Arial Narrow" w:hAnsi="Arial Narrow"/>
                <w:sz w:val="20"/>
                <w:szCs w:val="20"/>
              </w:rPr>
              <w:t xml:space="preserve"> mono (≥50%)</w:t>
            </w:r>
          </w:p>
        </w:tc>
        <w:tc>
          <w:tcPr>
            <w:tcW w:w="720" w:type="dxa"/>
            <w:vAlign w:val="center"/>
          </w:tcPr>
          <w:p w:rsidR="00960F1D" w:rsidRPr="00243081" w:rsidRDefault="00960F1D" w:rsidP="006C1F05">
            <w:pPr>
              <w:jc w:val="center"/>
              <w:rPr>
                <w:rFonts w:ascii="Arial Narrow" w:hAnsi="Arial Narrow"/>
                <w:sz w:val="20"/>
                <w:szCs w:val="20"/>
              </w:rPr>
            </w:pPr>
          </w:p>
        </w:tc>
        <w:tc>
          <w:tcPr>
            <w:tcW w:w="720" w:type="dxa"/>
            <w:shd w:val="clear" w:color="auto" w:fill="D9D9D9" w:themeFill="background1" w:themeFillShade="D9"/>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n=132</w:t>
            </w:r>
          </w:p>
        </w:tc>
        <w:tc>
          <w:tcPr>
            <w:tcW w:w="720" w:type="dxa"/>
            <w:vAlign w:val="center"/>
          </w:tcPr>
          <w:p w:rsidR="00960F1D" w:rsidRPr="00243081" w:rsidRDefault="00960F1D" w:rsidP="006C1F05">
            <w:pPr>
              <w:jc w:val="center"/>
              <w:rPr>
                <w:rFonts w:ascii="Arial Narrow" w:hAnsi="Arial Narrow"/>
                <w:sz w:val="20"/>
                <w:szCs w:val="20"/>
              </w:rPr>
            </w:pPr>
          </w:p>
        </w:tc>
        <w:tc>
          <w:tcPr>
            <w:tcW w:w="720" w:type="dxa"/>
            <w:shd w:val="clear" w:color="auto" w:fill="D9D9D9" w:themeFill="background1" w:themeFillShade="D9"/>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n=70</w:t>
            </w:r>
          </w:p>
        </w:tc>
        <w:tc>
          <w:tcPr>
            <w:tcW w:w="720" w:type="dxa"/>
            <w:shd w:val="clear" w:color="auto" w:fill="auto"/>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n=29</w:t>
            </w:r>
          </w:p>
        </w:tc>
        <w:tc>
          <w:tcPr>
            <w:tcW w:w="720" w:type="dxa"/>
            <w:shd w:val="clear" w:color="auto" w:fill="D9D9D9" w:themeFill="background1" w:themeFillShade="D9"/>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n=97</w:t>
            </w:r>
            <w:r w:rsidRPr="00243081">
              <w:rPr>
                <w:rFonts w:ascii="Arial Narrow" w:hAnsi="Arial Narrow"/>
                <w:sz w:val="20"/>
                <w:szCs w:val="20"/>
                <w:vertAlign w:val="superscript"/>
              </w:rPr>
              <w:t>a</w:t>
            </w:r>
          </w:p>
        </w:tc>
        <w:tc>
          <w:tcPr>
            <w:tcW w:w="720" w:type="dxa"/>
            <w:shd w:val="clear" w:color="auto" w:fill="auto"/>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n=27</w:t>
            </w:r>
          </w:p>
        </w:tc>
        <w:tc>
          <w:tcPr>
            <w:tcW w:w="721" w:type="dxa"/>
            <w:shd w:val="clear" w:color="auto" w:fill="D9D9D9" w:themeFill="background1" w:themeFillShade="D9"/>
            <w:vAlign w:val="center"/>
          </w:tcPr>
          <w:p w:rsidR="00960F1D" w:rsidRPr="00243081" w:rsidRDefault="00960F1D" w:rsidP="006C1F05">
            <w:pPr>
              <w:jc w:val="center"/>
              <w:rPr>
                <w:rFonts w:ascii="Arial Narrow" w:hAnsi="Arial Narrow"/>
                <w:sz w:val="20"/>
                <w:szCs w:val="20"/>
              </w:rPr>
            </w:pPr>
            <w:r w:rsidRPr="00243081">
              <w:rPr>
                <w:rFonts w:ascii="Arial Narrow" w:hAnsi="Arial Narrow"/>
                <w:sz w:val="20"/>
                <w:szCs w:val="20"/>
              </w:rPr>
              <w:t>n=102</w:t>
            </w:r>
            <w:r w:rsidRPr="00243081">
              <w:rPr>
                <w:rFonts w:ascii="Arial Narrow" w:hAnsi="Arial Narrow"/>
                <w:sz w:val="20"/>
                <w:szCs w:val="20"/>
                <w:vertAlign w:val="superscript"/>
              </w:rPr>
              <w:t>a</w:t>
            </w:r>
          </w:p>
        </w:tc>
      </w:tr>
    </w:tbl>
    <w:p w:rsidR="00960F1D" w:rsidRPr="00243081" w:rsidRDefault="00960F1D" w:rsidP="001C6E85">
      <w:pPr>
        <w:tabs>
          <w:tab w:val="left" w:pos="284"/>
        </w:tabs>
        <w:spacing w:after="120"/>
        <w:ind w:left="284" w:hanging="284"/>
        <w:rPr>
          <w:rFonts w:ascii="Arial Narrow" w:hAnsi="Arial Narrow"/>
          <w:sz w:val="18"/>
          <w:szCs w:val="18"/>
        </w:rPr>
      </w:pPr>
      <w:proofErr w:type="spellStart"/>
      <w:proofErr w:type="gramStart"/>
      <w:r w:rsidRPr="00243081">
        <w:rPr>
          <w:rFonts w:ascii="Arial Narrow" w:hAnsi="Arial Narrow"/>
          <w:sz w:val="18"/>
          <w:szCs w:val="18"/>
          <w:vertAlign w:val="superscript"/>
        </w:rPr>
        <w:t>a</w:t>
      </w:r>
      <w:proofErr w:type="spellEnd"/>
      <w:proofErr w:type="gramEnd"/>
      <w:r w:rsidRPr="00243081">
        <w:rPr>
          <w:rFonts w:ascii="Arial Narrow" w:hAnsi="Arial Narrow"/>
          <w:sz w:val="18"/>
          <w:szCs w:val="18"/>
        </w:rPr>
        <w:tab/>
        <w:t>The number of patients with non</w:t>
      </w:r>
      <w:r w:rsidR="006C1F05" w:rsidRPr="00243081">
        <w:rPr>
          <w:rFonts w:ascii="Arial Narrow" w:hAnsi="Arial Narrow"/>
          <w:sz w:val="18"/>
          <w:szCs w:val="18"/>
        </w:rPr>
        <w:t>-</w:t>
      </w:r>
      <w:r w:rsidRPr="00243081">
        <w:rPr>
          <w:rFonts w:ascii="Arial Narrow" w:hAnsi="Arial Narrow"/>
          <w:sz w:val="18"/>
          <w:szCs w:val="18"/>
        </w:rPr>
        <w:t xml:space="preserve">squamous histology in KN024 in the submission were different to the publication, which reports 125 NSQ in </w:t>
      </w:r>
      <w:proofErr w:type="spellStart"/>
      <w:r w:rsidRPr="00243081">
        <w:rPr>
          <w:rFonts w:ascii="Arial Narrow" w:hAnsi="Arial Narrow"/>
          <w:sz w:val="18"/>
          <w:szCs w:val="18"/>
        </w:rPr>
        <w:t>pembrolizumab</w:t>
      </w:r>
      <w:proofErr w:type="spellEnd"/>
      <w:r w:rsidRPr="00243081">
        <w:rPr>
          <w:rFonts w:ascii="Arial Narrow" w:hAnsi="Arial Narrow"/>
          <w:sz w:val="18"/>
          <w:szCs w:val="18"/>
        </w:rPr>
        <w:t xml:space="preserve"> and 124 in chemotherapy.  However only patients treated with </w:t>
      </w:r>
      <w:proofErr w:type="spellStart"/>
      <w:r w:rsidRPr="00243081">
        <w:rPr>
          <w:rFonts w:ascii="Arial Narrow" w:hAnsi="Arial Narrow"/>
          <w:sz w:val="18"/>
          <w:szCs w:val="18"/>
        </w:rPr>
        <w:t>pemetrexed</w:t>
      </w:r>
      <w:proofErr w:type="spellEnd"/>
      <w:r w:rsidRPr="00243081">
        <w:rPr>
          <w:rFonts w:ascii="Arial Narrow" w:hAnsi="Arial Narrow"/>
          <w:sz w:val="18"/>
          <w:szCs w:val="18"/>
        </w:rPr>
        <w:t xml:space="preserve"> (n=199) were included in the submission</w:t>
      </w:r>
      <w:r w:rsidR="00F50D78" w:rsidRPr="00243081">
        <w:rPr>
          <w:rFonts w:ascii="Arial Narrow" w:hAnsi="Arial Narrow"/>
          <w:sz w:val="18"/>
          <w:szCs w:val="18"/>
        </w:rPr>
        <w:t xml:space="preserve">; </w:t>
      </w:r>
      <w:r w:rsidRPr="00243081">
        <w:rPr>
          <w:rFonts w:ascii="Arial Narrow" w:hAnsi="Arial Narrow"/>
          <w:sz w:val="18"/>
          <w:szCs w:val="18"/>
        </w:rPr>
        <w:t>&lt;50% and ≥50% refer to PD-L1 TPS expression subgroups; SQ and NSQ refer to squamous and non-squamous subgroups, respectively</w:t>
      </w:r>
      <w:r w:rsidR="00F50D78" w:rsidRPr="00243081">
        <w:rPr>
          <w:rFonts w:ascii="Arial Narrow" w:hAnsi="Arial Narrow"/>
          <w:sz w:val="18"/>
          <w:szCs w:val="18"/>
        </w:rPr>
        <w:t xml:space="preserve">; </w:t>
      </w:r>
      <w:proofErr w:type="spellStart"/>
      <w:r w:rsidR="009E0366" w:rsidRPr="00243081">
        <w:rPr>
          <w:rFonts w:ascii="Arial Narrow" w:hAnsi="Arial Narrow"/>
          <w:sz w:val="18"/>
          <w:szCs w:val="18"/>
        </w:rPr>
        <w:t>Pembro+plat+peme</w:t>
      </w:r>
      <w:proofErr w:type="spellEnd"/>
      <w:r w:rsidR="009E0366" w:rsidRPr="00243081">
        <w:rPr>
          <w:rFonts w:ascii="Arial Narrow" w:hAnsi="Arial Narrow"/>
          <w:sz w:val="18"/>
          <w:szCs w:val="18"/>
        </w:rPr>
        <w:t xml:space="preserve"> = </w:t>
      </w:r>
      <w:proofErr w:type="spellStart"/>
      <w:r w:rsidR="009E0366" w:rsidRPr="00243081">
        <w:rPr>
          <w:rFonts w:ascii="Arial Narrow" w:hAnsi="Arial Narrow"/>
          <w:sz w:val="18"/>
          <w:szCs w:val="18"/>
        </w:rPr>
        <w:t>pembrolizumab+platinum+pemetrexed</w:t>
      </w:r>
      <w:proofErr w:type="spellEnd"/>
      <w:r w:rsidR="00F50D78" w:rsidRPr="00243081">
        <w:rPr>
          <w:rFonts w:ascii="Arial Narrow" w:hAnsi="Arial Narrow"/>
          <w:sz w:val="18"/>
          <w:szCs w:val="18"/>
        </w:rPr>
        <w:t xml:space="preserve">; </w:t>
      </w:r>
      <w:r w:rsidRPr="00243081">
        <w:rPr>
          <w:rFonts w:ascii="Arial Narrow" w:hAnsi="Arial Narrow"/>
          <w:sz w:val="18"/>
          <w:szCs w:val="18"/>
        </w:rPr>
        <w:t>Shaded cells represent subgroups used in the comparisons</w:t>
      </w:r>
      <w:r w:rsidR="00F50D78" w:rsidRPr="00243081">
        <w:rPr>
          <w:rFonts w:ascii="Arial Narrow" w:hAnsi="Arial Narrow"/>
          <w:sz w:val="18"/>
          <w:szCs w:val="18"/>
        </w:rPr>
        <w:t xml:space="preserve">; </w:t>
      </w:r>
      <w:r w:rsidRPr="00243081">
        <w:rPr>
          <w:rFonts w:ascii="Arial Narrow" w:hAnsi="Arial Narrow"/>
          <w:sz w:val="18"/>
          <w:szCs w:val="18"/>
        </w:rPr>
        <w:t xml:space="preserve">Source: Table 2.6-10, p87-88 of the submission and </w:t>
      </w:r>
      <w:proofErr w:type="spellStart"/>
      <w:r w:rsidRPr="00243081">
        <w:rPr>
          <w:rFonts w:ascii="Arial Narrow" w:hAnsi="Arial Narrow"/>
          <w:sz w:val="18"/>
          <w:szCs w:val="18"/>
        </w:rPr>
        <w:t>Reck</w:t>
      </w:r>
      <w:proofErr w:type="spellEnd"/>
      <w:r w:rsidRPr="00243081">
        <w:rPr>
          <w:rFonts w:ascii="Arial Narrow" w:hAnsi="Arial Narrow"/>
          <w:sz w:val="18"/>
          <w:szCs w:val="18"/>
        </w:rPr>
        <w:t xml:space="preserve"> et al 2016 </w:t>
      </w:r>
    </w:p>
    <w:p w:rsidR="007F1017" w:rsidRPr="00243081" w:rsidRDefault="008F120A" w:rsidP="007A132D">
      <w:pPr>
        <w:pStyle w:val="ListParagraph"/>
        <w:widowControl/>
        <w:numPr>
          <w:ilvl w:val="1"/>
          <w:numId w:val="3"/>
        </w:numPr>
      </w:pPr>
      <w:r w:rsidRPr="00243081">
        <w:t>The key features o</w:t>
      </w:r>
      <w:r w:rsidR="00997C52" w:rsidRPr="00243081">
        <w:t>f the randomised trial and indirect comparison</w:t>
      </w:r>
      <w:r w:rsidRPr="00243081">
        <w:t xml:space="preserve"> are summarised in </w:t>
      </w:r>
      <w:r w:rsidR="00F059E8" w:rsidRPr="00243081">
        <w:t xml:space="preserve">Table </w:t>
      </w:r>
      <w:r w:rsidR="00F059E8" w:rsidRPr="00243081">
        <w:rPr>
          <w:noProof/>
        </w:rPr>
        <w:t>5</w:t>
      </w:r>
      <w:r w:rsidR="003137F2">
        <w:t>.</w:t>
      </w:r>
    </w:p>
    <w:p w:rsidR="007F1017" w:rsidRPr="00243081" w:rsidRDefault="006C1F05" w:rsidP="006C1F05">
      <w:pPr>
        <w:pStyle w:val="Caption"/>
        <w:keepNext/>
        <w:rPr>
          <w:rStyle w:val="CommentReference"/>
          <w:b/>
          <w:szCs w:val="18"/>
        </w:rPr>
      </w:pPr>
      <w:bookmarkStart w:id="12" w:name="_Ref524308725"/>
      <w:r w:rsidRPr="00243081">
        <w:t xml:space="preserve">Table </w:t>
      </w:r>
      <w:r w:rsidR="00364F3F" w:rsidRPr="00243081">
        <w:rPr>
          <w:noProof/>
        </w:rPr>
        <w:t>5</w:t>
      </w:r>
      <w:bookmarkEnd w:id="12"/>
      <w:r w:rsidRPr="00243081">
        <w:t>:</w:t>
      </w:r>
      <w:r w:rsidR="007F1017" w:rsidRPr="00243081">
        <w:rPr>
          <w:rStyle w:val="CommentReference"/>
          <w:b/>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1"/>
        <w:gridCol w:w="839"/>
        <w:gridCol w:w="1409"/>
        <w:gridCol w:w="1119"/>
        <w:gridCol w:w="1705"/>
        <w:gridCol w:w="968"/>
        <w:gridCol w:w="1696"/>
      </w:tblGrid>
      <w:tr w:rsidR="00B41614" w:rsidRPr="00243081" w:rsidTr="003B29D6">
        <w:tc>
          <w:tcPr>
            <w:tcW w:w="711" w:type="pct"/>
            <w:shd w:val="clear" w:color="auto" w:fill="auto"/>
            <w:vAlign w:val="center"/>
          </w:tcPr>
          <w:p w:rsidR="007F1017" w:rsidRPr="00243081" w:rsidRDefault="007F1017" w:rsidP="00B41614">
            <w:pPr>
              <w:pStyle w:val="Tabletext"/>
              <w:rPr>
                <w:b/>
                <w:lang w:val="en-US"/>
              </w:rPr>
            </w:pPr>
            <w:r w:rsidRPr="00243081">
              <w:rPr>
                <w:b/>
                <w:lang w:val="en-US"/>
              </w:rPr>
              <w:t>Trial</w:t>
            </w:r>
          </w:p>
        </w:tc>
        <w:tc>
          <w:tcPr>
            <w:tcW w:w="466" w:type="pct"/>
            <w:shd w:val="clear" w:color="auto" w:fill="auto"/>
            <w:vAlign w:val="center"/>
          </w:tcPr>
          <w:p w:rsidR="007F1017" w:rsidRPr="00243081" w:rsidRDefault="007F1017" w:rsidP="00B41614">
            <w:pPr>
              <w:pStyle w:val="Tabletext"/>
              <w:jc w:val="center"/>
              <w:rPr>
                <w:b/>
                <w:lang w:val="en-US"/>
              </w:rPr>
            </w:pPr>
            <w:r w:rsidRPr="00243081">
              <w:rPr>
                <w:b/>
                <w:lang w:val="en-US"/>
              </w:rPr>
              <w:t>N</w:t>
            </w:r>
          </w:p>
        </w:tc>
        <w:tc>
          <w:tcPr>
            <w:tcW w:w="782" w:type="pct"/>
            <w:shd w:val="clear" w:color="auto" w:fill="auto"/>
            <w:vAlign w:val="center"/>
          </w:tcPr>
          <w:p w:rsidR="007F1017" w:rsidRPr="00243081" w:rsidRDefault="007F1017" w:rsidP="00B41614">
            <w:pPr>
              <w:pStyle w:val="Tabletext"/>
              <w:jc w:val="center"/>
              <w:rPr>
                <w:b/>
                <w:lang w:val="en-US"/>
              </w:rPr>
            </w:pPr>
            <w:r w:rsidRPr="00243081">
              <w:rPr>
                <w:b/>
                <w:lang w:val="en-US"/>
              </w:rPr>
              <w:t>Design/ duration</w:t>
            </w:r>
          </w:p>
        </w:tc>
        <w:tc>
          <w:tcPr>
            <w:tcW w:w="621" w:type="pct"/>
            <w:shd w:val="clear" w:color="auto" w:fill="auto"/>
            <w:vAlign w:val="center"/>
          </w:tcPr>
          <w:p w:rsidR="007F1017" w:rsidRPr="00243081" w:rsidRDefault="007F1017" w:rsidP="00B41614">
            <w:pPr>
              <w:pStyle w:val="Tabletext"/>
              <w:jc w:val="center"/>
              <w:rPr>
                <w:b/>
                <w:lang w:val="en-US"/>
              </w:rPr>
            </w:pPr>
            <w:r w:rsidRPr="00243081">
              <w:rPr>
                <w:b/>
                <w:lang w:val="en-US"/>
              </w:rPr>
              <w:t>Risk of bias</w:t>
            </w:r>
          </w:p>
        </w:tc>
        <w:tc>
          <w:tcPr>
            <w:tcW w:w="946" w:type="pct"/>
            <w:shd w:val="clear" w:color="auto" w:fill="auto"/>
            <w:vAlign w:val="center"/>
          </w:tcPr>
          <w:p w:rsidR="007F1017" w:rsidRPr="00243081" w:rsidRDefault="007F1017" w:rsidP="00B41614">
            <w:pPr>
              <w:pStyle w:val="Tabletext"/>
              <w:jc w:val="center"/>
              <w:rPr>
                <w:b/>
                <w:lang w:val="en-US"/>
              </w:rPr>
            </w:pPr>
            <w:r w:rsidRPr="00243081">
              <w:rPr>
                <w:b/>
                <w:lang w:val="en-US"/>
              </w:rPr>
              <w:t>Patient population</w:t>
            </w:r>
          </w:p>
        </w:tc>
        <w:tc>
          <w:tcPr>
            <w:tcW w:w="533" w:type="pct"/>
            <w:shd w:val="clear" w:color="auto" w:fill="auto"/>
            <w:vAlign w:val="center"/>
          </w:tcPr>
          <w:p w:rsidR="007F1017" w:rsidRPr="00243081" w:rsidRDefault="007F1017" w:rsidP="00B41614">
            <w:pPr>
              <w:pStyle w:val="Tabletext"/>
              <w:jc w:val="center"/>
              <w:rPr>
                <w:b/>
                <w:lang w:val="en-US"/>
              </w:rPr>
            </w:pPr>
            <w:r w:rsidRPr="00243081">
              <w:rPr>
                <w:b/>
                <w:lang w:val="en-US"/>
              </w:rPr>
              <w:t>Outcome(s)</w:t>
            </w:r>
          </w:p>
        </w:tc>
        <w:tc>
          <w:tcPr>
            <w:tcW w:w="941" w:type="pct"/>
            <w:shd w:val="clear" w:color="auto" w:fill="auto"/>
            <w:vAlign w:val="center"/>
          </w:tcPr>
          <w:p w:rsidR="007F1017" w:rsidRPr="00243081" w:rsidRDefault="007F1017" w:rsidP="00B41614">
            <w:pPr>
              <w:pStyle w:val="Tabletext"/>
              <w:jc w:val="center"/>
              <w:rPr>
                <w:b/>
                <w:lang w:val="en-US"/>
              </w:rPr>
            </w:pPr>
            <w:r w:rsidRPr="00243081">
              <w:rPr>
                <w:b/>
                <w:lang w:val="en-US"/>
              </w:rPr>
              <w:t>Use in modelled evaluation</w:t>
            </w:r>
          </w:p>
        </w:tc>
      </w:tr>
      <w:tr w:rsidR="007F1017" w:rsidRPr="00243081" w:rsidTr="00B41614">
        <w:tc>
          <w:tcPr>
            <w:tcW w:w="5000" w:type="pct"/>
            <w:gridSpan w:val="7"/>
            <w:shd w:val="clear" w:color="auto" w:fill="auto"/>
            <w:vAlign w:val="center"/>
          </w:tcPr>
          <w:p w:rsidR="007F1017" w:rsidRPr="00243081" w:rsidRDefault="004A43D9" w:rsidP="00B41614">
            <w:pPr>
              <w:pStyle w:val="Tabletext"/>
              <w:rPr>
                <w:b/>
                <w:lang w:val="en-US"/>
              </w:rPr>
            </w:pPr>
            <w:proofErr w:type="spellStart"/>
            <w:r w:rsidRPr="00243081">
              <w:rPr>
                <w:b/>
                <w:lang w:val="en-US"/>
              </w:rPr>
              <w:t>Pembrolizumab+platinum+pemetrexed</w:t>
            </w:r>
            <w:proofErr w:type="spellEnd"/>
            <w:r w:rsidR="00086C32" w:rsidRPr="00243081">
              <w:rPr>
                <w:b/>
                <w:lang w:val="en-US"/>
              </w:rPr>
              <w:t xml:space="preserve"> versus platinum doublet </w:t>
            </w:r>
            <w:r w:rsidR="003B29D6" w:rsidRPr="00243081">
              <w:rPr>
                <w:b/>
                <w:lang w:val="en-US"/>
              </w:rPr>
              <w:t>(TPS &lt;</w:t>
            </w:r>
            <w:r w:rsidR="00F06FF2" w:rsidRPr="00243081">
              <w:rPr>
                <w:b/>
                <w:lang w:val="en-US"/>
              </w:rPr>
              <w:t>50% subgroup)</w:t>
            </w:r>
          </w:p>
        </w:tc>
      </w:tr>
      <w:tr w:rsidR="00B41614" w:rsidRPr="00243081" w:rsidTr="003B29D6">
        <w:tc>
          <w:tcPr>
            <w:tcW w:w="711" w:type="pct"/>
            <w:shd w:val="clear" w:color="auto" w:fill="auto"/>
            <w:vAlign w:val="center"/>
          </w:tcPr>
          <w:p w:rsidR="007F1017" w:rsidRPr="00243081" w:rsidRDefault="00086C32" w:rsidP="00B41614">
            <w:pPr>
              <w:pStyle w:val="Tabletext"/>
              <w:rPr>
                <w:lang w:val="en-US"/>
              </w:rPr>
            </w:pPr>
            <w:r w:rsidRPr="00243081">
              <w:rPr>
                <w:lang w:val="en-US"/>
              </w:rPr>
              <w:t>KN189</w:t>
            </w:r>
          </w:p>
        </w:tc>
        <w:tc>
          <w:tcPr>
            <w:tcW w:w="466" w:type="pct"/>
            <w:shd w:val="clear" w:color="auto" w:fill="auto"/>
            <w:vAlign w:val="center"/>
          </w:tcPr>
          <w:p w:rsidR="00F06FF2" w:rsidRPr="00243081" w:rsidRDefault="00F06FF2" w:rsidP="00B41614">
            <w:pPr>
              <w:pStyle w:val="Tabletext"/>
              <w:jc w:val="center"/>
              <w:rPr>
                <w:lang w:val="en-US"/>
              </w:rPr>
            </w:pPr>
            <w:r w:rsidRPr="00243081">
              <w:rPr>
                <w:lang w:val="en-US"/>
              </w:rPr>
              <w:t xml:space="preserve">376 </w:t>
            </w:r>
          </w:p>
          <w:p w:rsidR="007F1017" w:rsidRPr="00243081" w:rsidRDefault="00F06FF2" w:rsidP="00B41614">
            <w:pPr>
              <w:pStyle w:val="Tabletext"/>
              <w:jc w:val="center"/>
              <w:rPr>
                <w:lang w:val="en-US"/>
              </w:rPr>
            </w:pPr>
            <w:r w:rsidRPr="00243081">
              <w:rPr>
                <w:lang w:val="en-US"/>
              </w:rPr>
              <w:t>(ITT 616)</w:t>
            </w:r>
          </w:p>
        </w:tc>
        <w:tc>
          <w:tcPr>
            <w:tcW w:w="782" w:type="pct"/>
            <w:shd w:val="clear" w:color="auto" w:fill="auto"/>
            <w:vAlign w:val="center"/>
          </w:tcPr>
          <w:p w:rsidR="007F1017" w:rsidRPr="00243081" w:rsidRDefault="007F1017" w:rsidP="00C7151A">
            <w:pPr>
              <w:pStyle w:val="Tabletext"/>
              <w:jc w:val="center"/>
              <w:rPr>
                <w:lang w:val="en-US"/>
              </w:rPr>
            </w:pPr>
            <w:r w:rsidRPr="00243081">
              <w:rPr>
                <w:lang w:val="en-US"/>
              </w:rPr>
              <w:t>R, DB</w:t>
            </w:r>
          </w:p>
          <w:p w:rsidR="007F1017" w:rsidRPr="00243081" w:rsidRDefault="00086C32" w:rsidP="00C7151A">
            <w:pPr>
              <w:pStyle w:val="Tabletext"/>
              <w:jc w:val="center"/>
              <w:rPr>
                <w:lang w:val="en-US"/>
              </w:rPr>
            </w:pPr>
            <w:r w:rsidRPr="00243081">
              <w:rPr>
                <w:lang w:val="en-US"/>
              </w:rPr>
              <w:t>Median 10.5mths</w:t>
            </w:r>
          </w:p>
        </w:tc>
        <w:tc>
          <w:tcPr>
            <w:tcW w:w="621" w:type="pct"/>
            <w:shd w:val="clear" w:color="auto" w:fill="auto"/>
            <w:vAlign w:val="center"/>
          </w:tcPr>
          <w:p w:rsidR="007F1017" w:rsidRPr="00243081" w:rsidRDefault="007F1017" w:rsidP="00B41614">
            <w:pPr>
              <w:pStyle w:val="Tabletext"/>
              <w:jc w:val="center"/>
              <w:rPr>
                <w:lang w:val="en-US"/>
              </w:rPr>
            </w:pPr>
            <w:r w:rsidRPr="00243081">
              <w:rPr>
                <w:lang w:val="en-US"/>
              </w:rPr>
              <w:t>Low</w:t>
            </w:r>
            <w:r w:rsidR="00F06FF2" w:rsidRPr="00243081">
              <w:rPr>
                <w:lang w:val="en-US"/>
              </w:rPr>
              <w:t>, planned subgroup analysis</w:t>
            </w:r>
          </w:p>
        </w:tc>
        <w:tc>
          <w:tcPr>
            <w:tcW w:w="946" w:type="pct"/>
            <w:shd w:val="clear" w:color="auto" w:fill="auto"/>
            <w:vAlign w:val="center"/>
          </w:tcPr>
          <w:p w:rsidR="007F1017" w:rsidRPr="00243081" w:rsidRDefault="003B29D6" w:rsidP="00B41614">
            <w:pPr>
              <w:pStyle w:val="Tabletext"/>
              <w:jc w:val="center"/>
              <w:rPr>
                <w:lang w:val="en-US"/>
              </w:rPr>
            </w:pPr>
            <w:r w:rsidRPr="00243081">
              <w:rPr>
                <w:lang w:val="en-US"/>
              </w:rPr>
              <w:t>Untreated (first-</w:t>
            </w:r>
            <w:r w:rsidR="00F06FF2" w:rsidRPr="00243081">
              <w:rPr>
                <w:lang w:val="en-US"/>
              </w:rPr>
              <w:t>line) NSQ NSCLC,</w:t>
            </w:r>
            <w:r w:rsidRPr="00243081">
              <w:rPr>
                <w:lang w:val="en-US"/>
              </w:rPr>
              <w:t xml:space="preserve"> </w:t>
            </w:r>
            <w:r w:rsidR="00F06FF2" w:rsidRPr="00243081">
              <w:rPr>
                <w:lang w:val="en-US"/>
              </w:rPr>
              <w:t>EGFR and ALK negative ECOG 0 o</w:t>
            </w:r>
            <w:r w:rsidRPr="00243081">
              <w:rPr>
                <w:lang w:val="en-US"/>
              </w:rPr>
              <w:t>r</w:t>
            </w:r>
            <w:r w:rsidR="00F06FF2" w:rsidRPr="00243081">
              <w:rPr>
                <w:lang w:val="en-US"/>
              </w:rPr>
              <w:t xml:space="preserve"> 1and TPS &lt;50%</w:t>
            </w:r>
          </w:p>
        </w:tc>
        <w:tc>
          <w:tcPr>
            <w:tcW w:w="533" w:type="pct"/>
            <w:shd w:val="clear" w:color="auto" w:fill="auto"/>
            <w:vAlign w:val="center"/>
          </w:tcPr>
          <w:p w:rsidR="007F1017" w:rsidRPr="00243081" w:rsidRDefault="007F1017" w:rsidP="00B41614">
            <w:pPr>
              <w:pStyle w:val="Tabletext"/>
              <w:jc w:val="center"/>
              <w:rPr>
                <w:lang w:val="en-US"/>
              </w:rPr>
            </w:pPr>
            <w:r w:rsidRPr="00243081">
              <w:rPr>
                <w:lang w:val="en-US"/>
              </w:rPr>
              <w:t>OS</w:t>
            </w:r>
            <w:r w:rsidR="00F06FF2" w:rsidRPr="00243081">
              <w:rPr>
                <w:lang w:val="en-US"/>
              </w:rPr>
              <w:t>,PFS</w:t>
            </w:r>
          </w:p>
        </w:tc>
        <w:tc>
          <w:tcPr>
            <w:tcW w:w="941" w:type="pct"/>
            <w:shd w:val="clear" w:color="auto" w:fill="auto"/>
            <w:vAlign w:val="center"/>
          </w:tcPr>
          <w:p w:rsidR="007F1017" w:rsidRPr="00243081" w:rsidRDefault="00F06FF2" w:rsidP="00B41614">
            <w:pPr>
              <w:pStyle w:val="Tabletext"/>
              <w:jc w:val="center"/>
              <w:rPr>
                <w:lang w:val="en-US"/>
              </w:rPr>
            </w:pPr>
            <w:r w:rsidRPr="00243081">
              <w:rPr>
                <w:lang w:val="en-US"/>
              </w:rPr>
              <w:t>Both OS and PFS as well as time on treatment used in model</w:t>
            </w:r>
            <w:r w:rsidR="003B29D6" w:rsidRPr="00243081">
              <w:rPr>
                <w:lang w:val="en-US"/>
              </w:rPr>
              <w:t xml:space="preserve"> for patients with TPS &lt;</w:t>
            </w:r>
            <w:r w:rsidR="00997C52" w:rsidRPr="00243081">
              <w:rPr>
                <w:lang w:val="en-US"/>
              </w:rPr>
              <w:t>50%</w:t>
            </w:r>
          </w:p>
        </w:tc>
      </w:tr>
      <w:tr w:rsidR="00F06FF2" w:rsidRPr="00243081" w:rsidTr="00F06FF2">
        <w:tc>
          <w:tcPr>
            <w:tcW w:w="5000" w:type="pct"/>
            <w:gridSpan w:val="7"/>
            <w:shd w:val="clear" w:color="auto" w:fill="auto"/>
            <w:vAlign w:val="center"/>
          </w:tcPr>
          <w:p w:rsidR="00F06FF2" w:rsidRPr="00243081" w:rsidRDefault="004A43D9" w:rsidP="003118CF">
            <w:pPr>
              <w:pStyle w:val="Tabletext"/>
              <w:rPr>
                <w:b/>
                <w:lang w:val="en-US"/>
              </w:rPr>
            </w:pPr>
            <w:proofErr w:type="spellStart"/>
            <w:r w:rsidRPr="00243081">
              <w:rPr>
                <w:b/>
                <w:lang w:val="en-US"/>
              </w:rPr>
              <w:t>Pembrolizumab+platinum+pemetrexed</w:t>
            </w:r>
            <w:proofErr w:type="spellEnd"/>
            <w:r w:rsidR="00F06FF2" w:rsidRPr="00243081">
              <w:rPr>
                <w:b/>
                <w:lang w:val="en-US"/>
              </w:rPr>
              <w:t xml:space="preserve"> versus </w:t>
            </w:r>
            <w:proofErr w:type="spellStart"/>
            <w:r w:rsidR="00F06FF2" w:rsidRPr="00243081">
              <w:rPr>
                <w:b/>
                <w:lang w:val="en-US"/>
              </w:rPr>
              <w:t>pembrolizumab</w:t>
            </w:r>
            <w:proofErr w:type="spellEnd"/>
            <w:r w:rsidR="00F06FF2" w:rsidRPr="00243081">
              <w:rPr>
                <w:b/>
                <w:lang w:val="en-US"/>
              </w:rPr>
              <w:t xml:space="preserve"> monotherapy</w:t>
            </w:r>
            <w:r w:rsidR="006548D5" w:rsidRPr="00243081">
              <w:rPr>
                <w:b/>
                <w:lang w:val="en-US"/>
              </w:rPr>
              <w:t xml:space="preserve">, platinum doublet common </w:t>
            </w:r>
            <w:r w:rsidR="003118CF" w:rsidRPr="00243081">
              <w:rPr>
                <w:b/>
                <w:lang w:val="en-US"/>
              </w:rPr>
              <w:t xml:space="preserve">reference </w:t>
            </w:r>
            <w:r w:rsidR="003B29D6" w:rsidRPr="00243081">
              <w:rPr>
                <w:b/>
                <w:lang w:val="en-US"/>
              </w:rPr>
              <w:t>(TPS ≥</w:t>
            </w:r>
            <w:r w:rsidR="00F06FF2" w:rsidRPr="00243081">
              <w:rPr>
                <w:b/>
                <w:lang w:val="en-US"/>
              </w:rPr>
              <w:t>50% indirect comparison)</w:t>
            </w:r>
          </w:p>
        </w:tc>
      </w:tr>
      <w:tr w:rsidR="00F06FF2" w:rsidRPr="00243081" w:rsidTr="00F06FF2">
        <w:tc>
          <w:tcPr>
            <w:tcW w:w="5000" w:type="pct"/>
            <w:gridSpan w:val="7"/>
            <w:shd w:val="clear" w:color="auto" w:fill="auto"/>
            <w:vAlign w:val="center"/>
          </w:tcPr>
          <w:p w:rsidR="00F06FF2" w:rsidRPr="00243081" w:rsidRDefault="004A43D9" w:rsidP="00F06FF2">
            <w:pPr>
              <w:pStyle w:val="Tabletext"/>
              <w:rPr>
                <w:lang w:val="en-US"/>
              </w:rPr>
            </w:pPr>
            <w:proofErr w:type="spellStart"/>
            <w:r w:rsidRPr="00243081">
              <w:rPr>
                <w:lang w:val="en-US"/>
              </w:rPr>
              <w:t>Pembrolizumab+platinum+pemetrexed</w:t>
            </w:r>
            <w:proofErr w:type="spellEnd"/>
            <w:r w:rsidR="00F06FF2" w:rsidRPr="00243081">
              <w:rPr>
                <w:lang w:val="en-US"/>
              </w:rPr>
              <w:t xml:space="preserve"> versus platinum doublet</w:t>
            </w:r>
          </w:p>
        </w:tc>
      </w:tr>
      <w:tr w:rsidR="00F06FF2" w:rsidRPr="00243081" w:rsidTr="003B29D6">
        <w:tc>
          <w:tcPr>
            <w:tcW w:w="711" w:type="pct"/>
            <w:shd w:val="clear" w:color="auto" w:fill="auto"/>
            <w:vAlign w:val="center"/>
          </w:tcPr>
          <w:p w:rsidR="00F06FF2" w:rsidRPr="00243081" w:rsidRDefault="00F06FF2" w:rsidP="00B41614">
            <w:pPr>
              <w:pStyle w:val="Tabletext"/>
              <w:rPr>
                <w:lang w:val="en-US"/>
              </w:rPr>
            </w:pPr>
            <w:r w:rsidRPr="00243081">
              <w:rPr>
                <w:lang w:val="en-US"/>
              </w:rPr>
              <w:t>KN189</w:t>
            </w:r>
          </w:p>
        </w:tc>
        <w:tc>
          <w:tcPr>
            <w:tcW w:w="466" w:type="pct"/>
            <w:shd w:val="clear" w:color="auto" w:fill="auto"/>
            <w:vAlign w:val="center"/>
          </w:tcPr>
          <w:p w:rsidR="00F06FF2" w:rsidRPr="00243081" w:rsidRDefault="00997C52" w:rsidP="0008280C">
            <w:pPr>
              <w:pStyle w:val="Tabletext"/>
              <w:jc w:val="center"/>
              <w:rPr>
                <w:lang w:val="en-US"/>
              </w:rPr>
            </w:pPr>
            <w:r w:rsidRPr="00243081">
              <w:rPr>
                <w:lang w:val="en-US"/>
              </w:rPr>
              <w:t>202</w:t>
            </w:r>
            <w:r w:rsidR="00F06FF2" w:rsidRPr="00243081">
              <w:rPr>
                <w:lang w:val="en-US"/>
              </w:rPr>
              <w:t xml:space="preserve"> </w:t>
            </w:r>
          </w:p>
          <w:p w:rsidR="00F06FF2" w:rsidRPr="00243081" w:rsidRDefault="00F06FF2" w:rsidP="00B41614">
            <w:pPr>
              <w:pStyle w:val="Tabletext"/>
              <w:jc w:val="center"/>
              <w:rPr>
                <w:lang w:val="en-US"/>
              </w:rPr>
            </w:pPr>
            <w:r w:rsidRPr="00243081">
              <w:rPr>
                <w:lang w:val="en-US"/>
              </w:rPr>
              <w:t>(ITT 616)</w:t>
            </w:r>
          </w:p>
        </w:tc>
        <w:tc>
          <w:tcPr>
            <w:tcW w:w="782" w:type="pct"/>
            <w:shd w:val="clear" w:color="auto" w:fill="auto"/>
            <w:vAlign w:val="center"/>
          </w:tcPr>
          <w:p w:rsidR="00F06FF2" w:rsidRPr="00243081" w:rsidRDefault="00F06FF2" w:rsidP="0008280C">
            <w:pPr>
              <w:pStyle w:val="Tabletext"/>
              <w:jc w:val="center"/>
              <w:rPr>
                <w:lang w:val="en-US"/>
              </w:rPr>
            </w:pPr>
            <w:r w:rsidRPr="00243081">
              <w:rPr>
                <w:lang w:val="en-US"/>
              </w:rPr>
              <w:t>R, DB</w:t>
            </w:r>
          </w:p>
          <w:p w:rsidR="00F06FF2" w:rsidRPr="00243081" w:rsidRDefault="00F06FF2" w:rsidP="00C7151A">
            <w:pPr>
              <w:pStyle w:val="Tabletext"/>
              <w:jc w:val="center"/>
              <w:rPr>
                <w:lang w:val="en-US"/>
              </w:rPr>
            </w:pPr>
            <w:r w:rsidRPr="00243081">
              <w:rPr>
                <w:lang w:val="en-US"/>
              </w:rPr>
              <w:t>Median 10.5mths</w:t>
            </w:r>
          </w:p>
        </w:tc>
        <w:tc>
          <w:tcPr>
            <w:tcW w:w="621" w:type="pct"/>
            <w:shd w:val="clear" w:color="auto" w:fill="auto"/>
            <w:vAlign w:val="center"/>
          </w:tcPr>
          <w:p w:rsidR="00F06FF2" w:rsidRPr="00243081" w:rsidRDefault="00F06FF2" w:rsidP="00B41614">
            <w:pPr>
              <w:pStyle w:val="Tabletext"/>
              <w:jc w:val="center"/>
              <w:rPr>
                <w:lang w:val="en-US"/>
              </w:rPr>
            </w:pPr>
            <w:r w:rsidRPr="00243081">
              <w:rPr>
                <w:lang w:val="en-US"/>
              </w:rPr>
              <w:t>Low, planned subgroup analysis</w:t>
            </w:r>
          </w:p>
        </w:tc>
        <w:tc>
          <w:tcPr>
            <w:tcW w:w="946" w:type="pct"/>
            <w:shd w:val="clear" w:color="auto" w:fill="auto"/>
            <w:vAlign w:val="center"/>
          </w:tcPr>
          <w:p w:rsidR="00F06FF2" w:rsidRPr="00243081" w:rsidRDefault="003B29D6" w:rsidP="00F06FF2">
            <w:pPr>
              <w:pStyle w:val="Tabletext"/>
              <w:jc w:val="center"/>
              <w:rPr>
                <w:lang w:val="en-US"/>
              </w:rPr>
            </w:pPr>
            <w:r w:rsidRPr="00243081">
              <w:rPr>
                <w:lang w:val="en-US"/>
              </w:rPr>
              <w:t>Untreated (first-</w:t>
            </w:r>
            <w:r w:rsidR="00F06FF2" w:rsidRPr="00243081">
              <w:rPr>
                <w:lang w:val="en-US"/>
              </w:rPr>
              <w:t>line) NSQ NSCLC,</w:t>
            </w:r>
            <w:r w:rsidRPr="00243081">
              <w:rPr>
                <w:lang w:val="en-US"/>
              </w:rPr>
              <w:t xml:space="preserve"> </w:t>
            </w:r>
            <w:r w:rsidR="00F06FF2" w:rsidRPr="00243081">
              <w:rPr>
                <w:lang w:val="en-US"/>
              </w:rPr>
              <w:t>EGFR and ALK negative ECOG 0 o</w:t>
            </w:r>
            <w:r w:rsidRPr="00243081">
              <w:rPr>
                <w:lang w:val="en-US"/>
              </w:rPr>
              <w:t>r</w:t>
            </w:r>
            <w:r w:rsidR="00F06FF2" w:rsidRPr="00243081">
              <w:rPr>
                <w:lang w:val="en-US"/>
              </w:rPr>
              <w:t xml:space="preserve"> 1</w:t>
            </w:r>
            <w:r w:rsidRPr="00243081">
              <w:rPr>
                <w:lang w:val="en-US"/>
              </w:rPr>
              <w:t>and TPS ≥</w:t>
            </w:r>
            <w:r w:rsidR="00F06FF2" w:rsidRPr="00243081">
              <w:rPr>
                <w:lang w:val="en-US"/>
              </w:rPr>
              <w:t>50%</w:t>
            </w:r>
          </w:p>
        </w:tc>
        <w:tc>
          <w:tcPr>
            <w:tcW w:w="533" w:type="pct"/>
            <w:shd w:val="clear" w:color="auto" w:fill="auto"/>
            <w:vAlign w:val="center"/>
          </w:tcPr>
          <w:p w:rsidR="00F06FF2" w:rsidRPr="00243081" w:rsidRDefault="00F06FF2" w:rsidP="00B41614">
            <w:pPr>
              <w:pStyle w:val="Tabletext"/>
              <w:jc w:val="center"/>
              <w:rPr>
                <w:lang w:val="en-US"/>
              </w:rPr>
            </w:pPr>
            <w:r w:rsidRPr="00243081">
              <w:rPr>
                <w:lang w:val="en-US"/>
              </w:rPr>
              <w:t>OS,PFS</w:t>
            </w:r>
          </w:p>
        </w:tc>
        <w:tc>
          <w:tcPr>
            <w:tcW w:w="941" w:type="pct"/>
            <w:shd w:val="clear" w:color="auto" w:fill="auto"/>
            <w:vAlign w:val="center"/>
          </w:tcPr>
          <w:p w:rsidR="00F06FF2" w:rsidRPr="00243081" w:rsidRDefault="00F06FF2" w:rsidP="00F06FF2">
            <w:pPr>
              <w:pStyle w:val="Tabletext"/>
              <w:jc w:val="center"/>
              <w:rPr>
                <w:lang w:val="en-US"/>
              </w:rPr>
            </w:pPr>
            <w:r w:rsidRPr="00243081">
              <w:rPr>
                <w:lang w:val="en-US"/>
              </w:rPr>
              <w:t xml:space="preserve">Both OS and PFS as well as time on treatment </w:t>
            </w:r>
            <w:r w:rsidR="00997C52" w:rsidRPr="00243081">
              <w:rPr>
                <w:lang w:val="en-US"/>
              </w:rPr>
              <w:t>used i</w:t>
            </w:r>
            <w:r w:rsidR="003B29D6" w:rsidRPr="00243081">
              <w:rPr>
                <w:lang w:val="en-US"/>
              </w:rPr>
              <w:t>n model for patients with TPS ≥</w:t>
            </w:r>
            <w:r w:rsidR="00997C52" w:rsidRPr="00243081">
              <w:rPr>
                <w:lang w:val="en-US"/>
              </w:rPr>
              <w:t>50%</w:t>
            </w:r>
          </w:p>
        </w:tc>
      </w:tr>
      <w:tr w:rsidR="00F06FF2" w:rsidRPr="00243081" w:rsidTr="00F06FF2">
        <w:tc>
          <w:tcPr>
            <w:tcW w:w="5000" w:type="pct"/>
            <w:gridSpan w:val="7"/>
            <w:shd w:val="clear" w:color="auto" w:fill="auto"/>
            <w:vAlign w:val="center"/>
          </w:tcPr>
          <w:p w:rsidR="00F06FF2" w:rsidRPr="00243081" w:rsidRDefault="00F06FF2" w:rsidP="00F06FF2">
            <w:pPr>
              <w:pStyle w:val="Tabletext"/>
              <w:rPr>
                <w:lang w:val="en-US"/>
              </w:rPr>
            </w:pPr>
            <w:proofErr w:type="spellStart"/>
            <w:r w:rsidRPr="00243081">
              <w:rPr>
                <w:lang w:val="en-US"/>
              </w:rPr>
              <w:t>Pembrolizumab</w:t>
            </w:r>
            <w:proofErr w:type="spellEnd"/>
            <w:r w:rsidRPr="00243081">
              <w:rPr>
                <w:lang w:val="en-US"/>
              </w:rPr>
              <w:t xml:space="preserve"> monotherapy versus platinum doublet</w:t>
            </w:r>
          </w:p>
        </w:tc>
      </w:tr>
      <w:tr w:rsidR="00F06FF2" w:rsidRPr="00243081" w:rsidTr="003B29D6">
        <w:tc>
          <w:tcPr>
            <w:tcW w:w="711" w:type="pct"/>
            <w:shd w:val="clear" w:color="auto" w:fill="auto"/>
            <w:vAlign w:val="center"/>
          </w:tcPr>
          <w:p w:rsidR="00F06FF2" w:rsidRPr="00243081" w:rsidRDefault="00F06FF2" w:rsidP="00997C52">
            <w:pPr>
              <w:pStyle w:val="Tabletext"/>
              <w:rPr>
                <w:lang w:val="en-US"/>
              </w:rPr>
            </w:pPr>
            <w:r w:rsidRPr="00243081">
              <w:rPr>
                <w:lang w:val="en-US"/>
              </w:rPr>
              <w:t xml:space="preserve">KN024 </w:t>
            </w:r>
          </w:p>
        </w:tc>
        <w:tc>
          <w:tcPr>
            <w:tcW w:w="466" w:type="pct"/>
            <w:shd w:val="clear" w:color="auto" w:fill="auto"/>
            <w:vAlign w:val="center"/>
          </w:tcPr>
          <w:p w:rsidR="00F06FF2" w:rsidRPr="00243081" w:rsidRDefault="00997C52" w:rsidP="00B41614">
            <w:pPr>
              <w:pStyle w:val="Tabletext"/>
              <w:jc w:val="center"/>
              <w:rPr>
                <w:lang w:val="en-US"/>
              </w:rPr>
            </w:pPr>
            <w:r w:rsidRPr="00243081">
              <w:rPr>
                <w:lang w:val="en-US"/>
              </w:rPr>
              <w:t>199</w:t>
            </w:r>
          </w:p>
          <w:p w:rsidR="00997C52" w:rsidRPr="00243081" w:rsidRDefault="00997C52" w:rsidP="00B41614">
            <w:pPr>
              <w:pStyle w:val="Tabletext"/>
              <w:jc w:val="center"/>
              <w:rPr>
                <w:lang w:val="en-US"/>
              </w:rPr>
            </w:pPr>
            <w:r w:rsidRPr="00243081">
              <w:rPr>
                <w:lang w:val="en-US"/>
              </w:rPr>
              <w:t>(ITT 305)</w:t>
            </w:r>
          </w:p>
        </w:tc>
        <w:tc>
          <w:tcPr>
            <w:tcW w:w="782" w:type="pct"/>
            <w:shd w:val="clear" w:color="auto" w:fill="auto"/>
            <w:vAlign w:val="center"/>
          </w:tcPr>
          <w:p w:rsidR="00F06FF2" w:rsidRPr="00243081" w:rsidRDefault="00F06FF2" w:rsidP="00C7151A">
            <w:pPr>
              <w:pStyle w:val="Tabletext"/>
              <w:jc w:val="center"/>
              <w:rPr>
                <w:lang w:val="en-US"/>
              </w:rPr>
            </w:pPr>
            <w:r w:rsidRPr="00243081">
              <w:rPr>
                <w:lang w:val="en-US"/>
              </w:rPr>
              <w:t>R, OL</w:t>
            </w:r>
          </w:p>
          <w:p w:rsidR="00F06FF2" w:rsidRPr="00243081" w:rsidRDefault="00F06FF2" w:rsidP="00C7151A">
            <w:pPr>
              <w:pStyle w:val="Tabletext"/>
              <w:jc w:val="center"/>
              <w:rPr>
                <w:lang w:val="en-US"/>
              </w:rPr>
            </w:pPr>
            <w:r w:rsidRPr="00243081">
              <w:rPr>
                <w:lang w:val="en-US"/>
              </w:rPr>
              <w:t xml:space="preserve">Median 11.2 </w:t>
            </w:r>
            <w:proofErr w:type="spellStart"/>
            <w:r w:rsidRPr="00243081">
              <w:rPr>
                <w:lang w:val="en-US"/>
              </w:rPr>
              <w:t>mths</w:t>
            </w:r>
            <w:proofErr w:type="spellEnd"/>
          </w:p>
        </w:tc>
        <w:tc>
          <w:tcPr>
            <w:tcW w:w="621" w:type="pct"/>
            <w:shd w:val="clear" w:color="auto" w:fill="auto"/>
            <w:vAlign w:val="center"/>
          </w:tcPr>
          <w:p w:rsidR="00F06FF2" w:rsidRPr="00243081" w:rsidRDefault="00F06FF2" w:rsidP="00B41614">
            <w:pPr>
              <w:pStyle w:val="Tabletext"/>
              <w:jc w:val="center"/>
              <w:rPr>
                <w:lang w:val="en-US"/>
              </w:rPr>
            </w:pPr>
            <w:r w:rsidRPr="00243081">
              <w:rPr>
                <w:lang w:val="en-US"/>
              </w:rPr>
              <w:t>Low</w:t>
            </w:r>
            <w:r w:rsidR="00997C52" w:rsidRPr="00243081">
              <w:rPr>
                <w:lang w:val="en-US"/>
              </w:rPr>
              <w:t>; OS is objective outcome</w:t>
            </w:r>
          </w:p>
        </w:tc>
        <w:tc>
          <w:tcPr>
            <w:tcW w:w="946" w:type="pct"/>
            <w:shd w:val="clear" w:color="auto" w:fill="auto"/>
            <w:vAlign w:val="center"/>
          </w:tcPr>
          <w:p w:rsidR="00F06FF2" w:rsidRPr="00243081" w:rsidRDefault="005A5031" w:rsidP="00F06FF2">
            <w:pPr>
              <w:pStyle w:val="Tabletext"/>
              <w:jc w:val="center"/>
              <w:rPr>
                <w:lang w:val="en-US"/>
              </w:rPr>
            </w:pPr>
            <w:r w:rsidRPr="00243081">
              <w:rPr>
                <w:lang w:val="en-US"/>
              </w:rPr>
              <w:t>Untreated (first-</w:t>
            </w:r>
            <w:r w:rsidR="00F06FF2" w:rsidRPr="00243081">
              <w:rPr>
                <w:lang w:val="en-US"/>
              </w:rPr>
              <w:t>line) NSCLC,</w:t>
            </w:r>
            <w:r w:rsidR="003B29D6" w:rsidRPr="00243081">
              <w:rPr>
                <w:lang w:val="en-US"/>
              </w:rPr>
              <w:t xml:space="preserve"> </w:t>
            </w:r>
            <w:r w:rsidR="00F06FF2" w:rsidRPr="00243081">
              <w:rPr>
                <w:lang w:val="en-US"/>
              </w:rPr>
              <w:t>EGFR and ALK negative ECOG 0 o</w:t>
            </w:r>
            <w:r w:rsidR="003B29D6" w:rsidRPr="00243081">
              <w:rPr>
                <w:lang w:val="en-US"/>
              </w:rPr>
              <w:t>r</w:t>
            </w:r>
            <w:r w:rsidR="00F06FF2" w:rsidRPr="00243081">
              <w:rPr>
                <w:lang w:val="en-US"/>
              </w:rPr>
              <w:t xml:space="preserve"> 1</w:t>
            </w:r>
            <w:r w:rsidR="003B29D6" w:rsidRPr="00243081">
              <w:rPr>
                <w:lang w:val="en-US"/>
              </w:rPr>
              <w:t xml:space="preserve"> and TPS ≥</w:t>
            </w:r>
            <w:r w:rsidR="00F06FF2" w:rsidRPr="00243081">
              <w:rPr>
                <w:lang w:val="en-US"/>
              </w:rPr>
              <w:t>50%</w:t>
            </w:r>
          </w:p>
        </w:tc>
        <w:tc>
          <w:tcPr>
            <w:tcW w:w="533" w:type="pct"/>
            <w:shd w:val="clear" w:color="auto" w:fill="auto"/>
            <w:vAlign w:val="center"/>
          </w:tcPr>
          <w:p w:rsidR="00F06FF2" w:rsidRPr="00243081" w:rsidRDefault="00F06FF2" w:rsidP="00B41614">
            <w:pPr>
              <w:pStyle w:val="Tabletext"/>
              <w:jc w:val="center"/>
              <w:rPr>
                <w:lang w:val="en-US"/>
              </w:rPr>
            </w:pPr>
            <w:r w:rsidRPr="00243081">
              <w:rPr>
                <w:lang w:val="en-US"/>
              </w:rPr>
              <w:t>OS, PFS</w:t>
            </w:r>
          </w:p>
        </w:tc>
        <w:tc>
          <w:tcPr>
            <w:tcW w:w="941" w:type="pct"/>
            <w:shd w:val="clear" w:color="auto" w:fill="auto"/>
            <w:vAlign w:val="center"/>
          </w:tcPr>
          <w:p w:rsidR="00F06FF2" w:rsidRPr="00243081" w:rsidRDefault="00F06FF2" w:rsidP="00F06FF2">
            <w:pPr>
              <w:pStyle w:val="Tabletext"/>
              <w:jc w:val="center"/>
              <w:rPr>
                <w:lang w:val="en-US"/>
              </w:rPr>
            </w:pPr>
            <w:r w:rsidRPr="00243081">
              <w:rPr>
                <w:lang w:val="en-US"/>
              </w:rPr>
              <w:t>Only NSQ subgroup treated with pla</w:t>
            </w:r>
            <w:r w:rsidR="003B29D6" w:rsidRPr="00243081">
              <w:rPr>
                <w:lang w:val="en-US"/>
              </w:rPr>
              <w:t xml:space="preserve">tinum+ </w:t>
            </w:r>
            <w:proofErr w:type="spellStart"/>
            <w:r w:rsidR="003B29D6" w:rsidRPr="00243081">
              <w:rPr>
                <w:lang w:val="en-US"/>
              </w:rPr>
              <w:t>pemetrexed</w:t>
            </w:r>
            <w:proofErr w:type="spellEnd"/>
            <w:r w:rsidR="003B29D6" w:rsidRPr="00243081">
              <w:rPr>
                <w:lang w:val="en-US"/>
              </w:rPr>
              <w:t xml:space="preserve"> used in TPS ≥</w:t>
            </w:r>
            <w:r w:rsidRPr="00243081">
              <w:rPr>
                <w:lang w:val="en-US"/>
              </w:rPr>
              <w:t>50% model</w:t>
            </w:r>
          </w:p>
        </w:tc>
      </w:tr>
    </w:tbl>
    <w:p w:rsidR="007F1017" w:rsidRPr="00243081" w:rsidRDefault="007F1017" w:rsidP="00045017">
      <w:pPr>
        <w:pStyle w:val="TableFooter"/>
      </w:pPr>
      <w:r w:rsidRPr="00243081">
        <w:t>DB=double blind; MC=multi-centre; OL=open label; OS=overall survival; PFS=progression-free survival; R=randomised.</w:t>
      </w:r>
      <w:r w:rsidR="00F06FF2" w:rsidRPr="00243081">
        <w:t xml:space="preserve"> </w:t>
      </w:r>
      <w:r w:rsidR="00997C52" w:rsidRPr="00243081">
        <w:t xml:space="preserve">ITT = intention to treat, </w:t>
      </w:r>
      <w:r w:rsidR="00F06FF2" w:rsidRPr="00243081">
        <w:t xml:space="preserve">NSQ = non squamous, NSCLC = </w:t>
      </w:r>
      <w:r w:rsidR="005160F2" w:rsidRPr="00243081">
        <w:t>non-small</w:t>
      </w:r>
      <w:r w:rsidR="00F06FF2" w:rsidRPr="00243081">
        <w:t xml:space="preserve"> cell lung cancer, EGFR = epidermal growth factor receptor, ALK = anaplastic lymphoma kinase, ECOG = Eastern Cooperative Oncology Group, TPS = Tumour proportion score</w:t>
      </w:r>
    </w:p>
    <w:p w:rsidR="00045017" w:rsidRPr="00243081" w:rsidRDefault="00045017" w:rsidP="00045017">
      <w:pPr>
        <w:pStyle w:val="TableFooter"/>
        <w:rPr>
          <w:sz w:val="20"/>
        </w:rPr>
      </w:pPr>
      <w:r w:rsidRPr="00243081">
        <w:t>Source</w:t>
      </w:r>
      <w:r w:rsidR="00F06FF2" w:rsidRPr="00243081">
        <w:t>: Table 2.4-3, and table 2.4-4, p47, table 2.6-7, p84 of the submission and p78-83 of the submission</w:t>
      </w:r>
    </w:p>
    <w:p w:rsidR="007F1017" w:rsidRPr="00243081" w:rsidRDefault="007F1017" w:rsidP="007F1017">
      <w:pPr>
        <w:rPr>
          <w:sz w:val="18"/>
          <w:szCs w:val="18"/>
        </w:rPr>
      </w:pPr>
    </w:p>
    <w:p w:rsidR="00997C52" w:rsidRPr="008A4FF9" w:rsidRDefault="00997C52" w:rsidP="00FA5163">
      <w:pPr>
        <w:pStyle w:val="ListParagraph"/>
        <w:widowControl/>
        <w:numPr>
          <w:ilvl w:val="1"/>
          <w:numId w:val="3"/>
        </w:numPr>
      </w:pPr>
      <w:r w:rsidRPr="00243081">
        <w:t>The submission (p86) claimed that the design</w:t>
      </w:r>
      <w:r w:rsidR="006F7966" w:rsidRPr="00243081">
        <w:t>,</w:t>
      </w:r>
      <w:r w:rsidRPr="00243081">
        <w:t xml:space="preserve"> </w:t>
      </w:r>
      <w:r w:rsidR="006F7966" w:rsidRPr="00243081">
        <w:t xml:space="preserve">patient characteristics </w:t>
      </w:r>
      <w:r w:rsidRPr="00243081">
        <w:t>and outcomes of KN189 and KN024 were comparable and therefore the trials can be considered exchangeable.  Th</w:t>
      </w:r>
      <w:r w:rsidR="00357B33" w:rsidRPr="00243081">
        <w:t xml:space="preserve">e PBAC considered that this </w:t>
      </w:r>
      <w:r w:rsidRPr="00243081">
        <w:t>may not be accurate</w:t>
      </w:r>
      <w:r w:rsidR="00357B33" w:rsidRPr="00243081">
        <w:t>, as a</w:t>
      </w:r>
      <w:r w:rsidR="00D76310" w:rsidRPr="00243081">
        <w:t xml:space="preserve"> higher proportion of patients treated with </w:t>
      </w:r>
      <w:proofErr w:type="spellStart"/>
      <w:r w:rsidR="004A43D9" w:rsidRPr="00243081">
        <w:t>pembrolizumab+platinum+pemetrexed</w:t>
      </w:r>
      <w:proofErr w:type="spellEnd"/>
      <w:r w:rsidR="00D76310" w:rsidRPr="00243081">
        <w:t xml:space="preserve"> in KN189 had a baseline ECOG status of 0 (</w:t>
      </w:r>
      <w:r w:rsidR="00227BBD">
        <w:rPr>
          <w:noProof/>
          <w:color w:val="000000"/>
          <w:highlight w:val="black"/>
        </w:rPr>
        <w:t>''''''''</w:t>
      </w:r>
      <w:r w:rsidR="00D76310" w:rsidRPr="00243081">
        <w:t>%) compared to the other three treatment groups in the indirect comparison (</w:t>
      </w:r>
      <w:r w:rsidR="00227BBD">
        <w:rPr>
          <w:noProof/>
          <w:color w:val="000000"/>
          <w:highlight w:val="black"/>
        </w:rPr>
        <w:t>'''''''''</w:t>
      </w:r>
      <w:r w:rsidR="00D76310" w:rsidRPr="008A4FF9">
        <w:t>-</w:t>
      </w:r>
      <w:r w:rsidR="00227BBD">
        <w:rPr>
          <w:noProof/>
          <w:color w:val="000000"/>
          <w:highlight w:val="black"/>
        </w:rPr>
        <w:t>'''''''''</w:t>
      </w:r>
      <w:r w:rsidR="00D76310" w:rsidRPr="00243081">
        <w:t xml:space="preserve">%).  Patients enrolled in KN189 were also </w:t>
      </w:r>
      <w:r w:rsidR="00D76310" w:rsidRPr="00243081">
        <w:lastRenderedPageBreak/>
        <w:t>less likely to be classified as M1B in distan</w:t>
      </w:r>
      <w:r w:rsidR="006C1F05" w:rsidRPr="00243081">
        <w:t>t</w:t>
      </w:r>
      <w:r w:rsidR="00D76310" w:rsidRPr="00243081">
        <w:t xml:space="preserve"> metastatic staging (~25%) compared to patients enrolled in KN024 (~</w:t>
      </w:r>
      <w:r w:rsidR="00227BBD">
        <w:rPr>
          <w:noProof/>
          <w:color w:val="000000"/>
          <w:highlight w:val="black"/>
        </w:rPr>
        <w:t>'''''</w:t>
      </w:r>
      <w:r w:rsidR="00D76310" w:rsidRPr="00243081">
        <w:t>%)</w:t>
      </w:r>
      <w:r w:rsidR="00086A52" w:rsidRPr="00243081">
        <w:t>, indicating that a substantially larger proportion of patients in the latter group had metastatic disease in distant organs (brain, liver, bone, etc.)</w:t>
      </w:r>
      <w:r w:rsidR="00D76310" w:rsidRPr="00243081">
        <w:t xml:space="preserve">.  To address this, the submission used several methods to weight and adjust for cross over within the trials.  </w:t>
      </w:r>
      <w:r w:rsidRPr="008A4FF9">
        <w:t>Patients in the “control” (platinum doublet/</w:t>
      </w:r>
      <w:proofErr w:type="spellStart"/>
      <w:r w:rsidRPr="008A4FF9">
        <w:t>SoC</w:t>
      </w:r>
      <w:proofErr w:type="spellEnd"/>
      <w:r w:rsidRPr="008A4FF9">
        <w:t xml:space="preserve">) group in KN024 </w:t>
      </w:r>
      <w:r w:rsidR="00322BAD" w:rsidRPr="008A4FF9">
        <w:t xml:space="preserve">also </w:t>
      </w:r>
      <w:r w:rsidRPr="008A4FF9">
        <w:t>had significantly better OS and PFS results than patients in the “control” group in KN189</w:t>
      </w:r>
      <w:r w:rsidR="009200A4" w:rsidRPr="008A4FF9">
        <w:t xml:space="preserve"> </w:t>
      </w:r>
      <w:r w:rsidR="00D76310" w:rsidRPr="008A4FF9">
        <w:t xml:space="preserve">at the time of data </w:t>
      </w:r>
      <w:r w:rsidR="001E25D2" w:rsidRPr="008A4FF9">
        <w:t>cut off</w:t>
      </w:r>
      <w:r w:rsidRPr="008A4FF9">
        <w:t xml:space="preserve">, with a significant degree of separation between the two control groups in the OS </w:t>
      </w:r>
      <w:r w:rsidR="00E16E68" w:rsidRPr="008A4FF9">
        <w:t>(</w:t>
      </w:r>
      <w:r w:rsidRPr="008A4FF9">
        <w:t>and PFS</w:t>
      </w:r>
      <w:r w:rsidR="00E16E68" w:rsidRPr="008A4FF9">
        <w:t>)</w:t>
      </w:r>
      <w:r w:rsidRPr="008A4FF9">
        <w:t xml:space="preserve"> Kaplan-Meier curve</w:t>
      </w:r>
      <w:r w:rsidR="003B29D6" w:rsidRPr="008A4FF9">
        <w:t>, with</w:t>
      </w:r>
      <w:r w:rsidRPr="008A4FF9">
        <w:t xml:space="preserve"> the curves never crossing over or overlapping between 3-15 months</w:t>
      </w:r>
      <w:r w:rsidR="00086A52" w:rsidRPr="008A4FF9">
        <w:t xml:space="preserve"> (see </w:t>
      </w:r>
      <w:r w:rsidR="00F059E8" w:rsidRPr="008A4FF9">
        <w:t xml:space="preserve">Figure </w:t>
      </w:r>
      <w:r w:rsidR="00F059E8" w:rsidRPr="008A4FF9">
        <w:rPr>
          <w:noProof/>
        </w:rPr>
        <w:t>3</w:t>
      </w:r>
      <w:r w:rsidR="00806CC3" w:rsidRPr="008A4FF9">
        <w:t>)</w:t>
      </w:r>
      <w:r w:rsidRPr="008A4FF9">
        <w:t xml:space="preserve">.  </w:t>
      </w:r>
    </w:p>
    <w:p w:rsidR="00B60939" w:rsidRPr="00243081" w:rsidRDefault="00E16E68" w:rsidP="00A046CC">
      <w:pPr>
        <w:pStyle w:val="ListParagraph"/>
        <w:widowControl/>
        <w:numPr>
          <w:ilvl w:val="1"/>
          <w:numId w:val="3"/>
        </w:numPr>
      </w:pPr>
      <w:bookmarkStart w:id="13" w:name="_Ref524309217"/>
      <w:r w:rsidRPr="00243081">
        <w:t xml:space="preserve">The indirect comparison was performed on the hazard ratio (HR) using the Bucher method after adjusting population and treatment arms using Inverse Probability of Treatment Weighting (IPTW).  </w:t>
      </w:r>
      <w:r w:rsidR="00D1134A" w:rsidRPr="00243081">
        <w:t>A propensity score (the probability of a patient receiving one of four treatments (</w:t>
      </w:r>
      <w:proofErr w:type="spellStart"/>
      <w:r w:rsidR="00D1134A" w:rsidRPr="00243081">
        <w:t>pembrolizumab</w:t>
      </w:r>
      <w:r w:rsidR="00086A52" w:rsidRPr="00243081">
        <w:t>+platinum+pemetrexed</w:t>
      </w:r>
      <w:proofErr w:type="spellEnd"/>
      <w:r w:rsidR="00D1134A" w:rsidRPr="00243081">
        <w:t xml:space="preserve">, </w:t>
      </w:r>
      <w:proofErr w:type="spellStart"/>
      <w:r w:rsidR="00D1134A" w:rsidRPr="00243081">
        <w:t>pembrolizumab</w:t>
      </w:r>
      <w:proofErr w:type="spellEnd"/>
      <w:r w:rsidR="00D1134A" w:rsidRPr="00243081">
        <w:t xml:space="preserve"> monotherapy or platinum doublet in</w:t>
      </w:r>
      <w:r w:rsidR="00D34D19" w:rsidRPr="00243081">
        <w:t xml:space="preserve"> either</w:t>
      </w:r>
      <w:r w:rsidR="00D1134A" w:rsidRPr="00243081">
        <w:t xml:space="preserve"> KN189 or KN024), was estimated for each patient using multivariate logistic regression based on the following covariates: platinum chemotherapy (cisplatin vs. carboplatin) and smoking status (never vs. former/current), ECOG PS (0 vs. 1), age, gender, metastatic stage M1B (yes vs. no), brain metastasis (yes vs. no), and region (Europe, North America, Rest of World).  The weighting derived from the propensity score was then applied to the indirect comparison. </w:t>
      </w:r>
      <w:r w:rsidR="00086A52" w:rsidRPr="00243081">
        <w:t xml:space="preserve"> </w:t>
      </w:r>
      <w:r w:rsidRPr="00243081">
        <w:t>Th</w:t>
      </w:r>
      <w:r w:rsidR="00D1134A" w:rsidRPr="00243081">
        <w:t xml:space="preserve">e submission considered this adjustment </w:t>
      </w:r>
      <w:r w:rsidRPr="00243081">
        <w:t xml:space="preserve">was necessary </w:t>
      </w:r>
      <w:r w:rsidR="00086A52" w:rsidRPr="00243081">
        <w:t>given the difference</w:t>
      </w:r>
      <w:r w:rsidR="00697955" w:rsidRPr="00243081">
        <w:t>s</w:t>
      </w:r>
      <w:r w:rsidR="00086A52" w:rsidRPr="00243081">
        <w:t xml:space="preserve"> noted above. </w:t>
      </w:r>
      <w:bookmarkEnd w:id="13"/>
    </w:p>
    <w:p w:rsidR="00A046CC" w:rsidRPr="00243081" w:rsidRDefault="00A046CC" w:rsidP="00A046CC">
      <w:pPr>
        <w:pStyle w:val="ListParagraph"/>
        <w:widowControl/>
        <w:numPr>
          <w:ilvl w:val="1"/>
          <w:numId w:val="3"/>
        </w:numPr>
      </w:pPr>
      <w:bookmarkStart w:id="14" w:name="_Ref524434111"/>
      <w:r w:rsidRPr="00243081">
        <w:t>The submission also included three other alternative methods to estimate the efficacy whilst adjusting for the crossover from platinum doublet/</w:t>
      </w:r>
      <w:proofErr w:type="spellStart"/>
      <w:r w:rsidRPr="00243081">
        <w:t>SoC</w:t>
      </w:r>
      <w:proofErr w:type="spellEnd"/>
      <w:r w:rsidRPr="00243081">
        <w:t xml:space="preserve"> to </w:t>
      </w:r>
      <w:proofErr w:type="spellStart"/>
      <w:r w:rsidRPr="00243081">
        <w:t>pembrolizumab</w:t>
      </w:r>
      <w:proofErr w:type="spellEnd"/>
      <w:r w:rsidRPr="00243081">
        <w:t xml:space="preserve"> or PD-L1/PD-1 checkpoint inhibitors, using a two-stage analysis, a Rank-Preserving Structure Failure Time (RPSFT) model or an Inverse Probability of Censoring Weighting (IPCW) model.</w:t>
      </w:r>
      <w:bookmarkEnd w:id="14"/>
      <w:r w:rsidRPr="00243081">
        <w:t xml:space="preserve">  </w:t>
      </w:r>
    </w:p>
    <w:p w:rsidR="00B60939" w:rsidRPr="00243081" w:rsidRDefault="00B60939" w:rsidP="00890F38">
      <w:pPr>
        <w:pStyle w:val="Heading2"/>
      </w:pPr>
      <w:bookmarkStart w:id="15" w:name="_Toc524518823"/>
      <w:r w:rsidRPr="00243081">
        <w:t>Comparative effectiveness</w:t>
      </w:r>
      <w:bookmarkEnd w:id="15"/>
    </w:p>
    <w:p w:rsidR="00D923D0" w:rsidRPr="00243081" w:rsidRDefault="00D923D0" w:rsidP="00B46E0D">
      <w:pPr>
        <w:spacing w:before="160" w:after="160"/>
        <w:rPr>
          <w:b/>
          <w:u w:val="single"/>
        </w:rPr>
      </w:pPr>
      <w:r w:rsidRPr="00243081">
        <w:rPr>
          <w:b/>
          <w:u w:val="single"/>
        </w:rPr>
        <w:t xml:space="preserve">PD-L1 </w:t>
      </w:r>
      <w:r w:rsidR="00427533" w:rsidRPr="00243081">
        <w:rPr>
          <w:b/>
          <w:u w:val="single"/>
        </w:rPr>
        <w:t xml:space="preserve">TPS </w:t>
      </w:r>
      <w:r w:rsidRPr="00243081">
        <w:rPr>
          <w:b/>
          <w:u w:val="single"/>
        </w:rPr>
        <w:t>&lt;50% patient subgroup</w:t>
      </w:r>
    </w:p>
    <w:p w:rsidR="00B46E0D" w:rsidRPr="00243081" w:rsidRDefault="00B46E0D" w:rsidP="00B46E0D">
      <w:pPr>
        <w:spacing w:before="160" w:after="160"/>
        <w:rPr>
          <w:u w:val="single"/>
        </w:rPr>
      </w:pPr>
      <w:r w:rsidRPr="00243081">
        <w:rPr>
          <w:u w:val="single"/>
        </w:rPr>
        <w:t xml:space="preserve">Direct comparison of </w:t>
      </w:r>
      <w:proofErr w:type="spellStart"/>
      <w:r w:rsidRPr="00243081">
        <w:rPr>
          <w:u w:val="single"/>
        </w:rPr>
        <w:t>pembrolizumab+platinum+pemetrexed</w:t>
      </w:r>
      <w:proofErr w:type="spellEnd"/>
      <w:r w:rsidRPr="00243081">
        <w:rPr>
          <w:u w:val="single"/>
        </w:rPr>
        <w:t xml:space="preserve"> versus platinum doublet </w:t>
      </w:r>
    </w:p>
    <w:p w:rsidR="00377D3B" w:rsidRPr="00243081" w:rsidRDefault="00377D3B" w:rsidP="009E6097">
      <w:pPr>
        <w:pStyle w:val="ListParagraph"/>
        <w:widowControl/>
        <w:numPr>
          <w:ilvl w:val="1"/>
          <w:numId w:val="3"/>
        </w:numPr>
        <w:rPr>
          <w:rFonts w:cs="Calibri"/>
          <w:snapToGrid/>
          <w:szCs w:val="24"/>
          <w:lang w:val="en-US" w:eastAsia="en-AU"/>
        </w:rPr>
      </w:pPr>
      <w:r w:rsidRPr="00243081">
        <w:rPr>
          <w:rFonts w:cs="Calibri"/>
          <w:snapToGrid/>
          <w:szCs w:val="24"/>
          <w:lang w:val="en-US" w:eastAsia="en-AU"/>
        </w:rPr>
        <w:t xml:space="preserve">The results </w:t>
      </w:r>
      <w:r w:rsidR="001200F0" w:rsidRPr="00243081">
        <w:rPr>
          <w:rFonts w:cs="Calibri"/>
          <w:snapToGrid/>
          <w:szCs w:val="24"/>
          <w:lang w:val="en-US" w:eastAsia="en-AU"/>
        </w:rPr>
        <w:t xml:space="preserve">for the ITT and PD-L1 TPS &lt;50% and ≥50% populations </w:t>
      </w:r>
      <w:r w:rsidR="00425D97" w:rsidRPr="00243081">
        <w:rPr>
          <w:rFonts w:cs="Calibri"/>
          <w:snapToGrid/>
          <w:szCs w:val="24"/>
          <w:lang w:val="en-US" w:eastAsia="en-AU"/>
        </w:rPr>
        <w:t xml:space="preserve">from </w:t>
      </w:r>
      <w:r w:rsidR="003B29D6" w:rsidRPr="00243081">
        <w:rPr>
          <w:rFonts w:cs="Calibri"/>
          <w:snapToGrid/>
          <w:szCs w:val="24"/>
          <w:lang w:val="en-US" w:eastAsia="en-AU"/>
        </w:rPr>
        <w:t xml:space="preserve">the direct </w:t>
      </w:r>
      <w:proofErr w:type="spellStart"/>
      <w:r w:rsidR="003B29D6" w:rsidRPr="00243081">
        <w:rPr>
          <w:rFonts w:cs="Calibri"/>
          <w:snapToGrid/>
          <w:szCs w:val="24"/>
          <w:lang w:val="en-US" w:eastAsia="en-AU"/>
        </w:rPr>
        <w:t>randomis</w:t>
      </w:r>
      <w:r w:rsidR="009200A4" w:rsidRPr="00243081">
        <w:rPr>
          <w:rFonts w:cs="Calibri"/>
          <w:snapToGrid/>
          <w:szCs w:val="24"/>
          <w:lang w:val="en-US" w:eastAsia="en-AU"/>
        </w:rPr>
        <w:t>ed</w:t>
      </w:r>
      <w:proofErr w:type="spellEnd"/>
      <w:r w:rsidR="009200A4" w:rsidRPr="00243081">
        <w:rPr>
          <w:rFonts w:cs="Calibri"/>
          <w:snapToGrid/>
          <w:szCs w:val="24"/>
          <w:lang w:val="en-US" w:eastAsia="en-AU"/>
        </w:rPr>
        <w:t xml:space="preserve"> KN189 </w:t>
      </w:r>
      <w:r w:rsidR="001200F0" w:rsidRPr="00243081">
        <w:rPr>
          <w:rFonts w:cs="Calibri"/>
          <w:snapToGrid/>
          <w:szCs w:val="24"/>
          <w:lang w:val="en-US" w:eastAsia="en-AU"/>
        </w:rPr>
        <w:t>trial are presented in</w:t>
      </w:r>
      <w:r w:rsidR="00002C1E" w:rsidRPr="00243081">
        <w:rPr>
          <w:rFonts w:cs="Calibri"/>
          <w:snapToGrid/>
          <w:szCs w:val="24"/>
          <w:lang w:val="en-US" w:eastAsia="en-AU"/>
        </w:rPr>
        <w:t xml:space="preserve"> </w:t>
      </w:r>
      <w:r w:rsidR="00F059E8" w:rsidRPr="00243081">
        <w:t xml:space="preserve">Table </w:t>
      </w:r>
      <w:r w:rsidR="00F059E8" w:rsidRPr="00243081">
        <w:rPr>
          <w:noProof/>
        </w:rPr>
        <w:t>6</w:t>
      </w:r>
      <w:r w:rsidR="00425D97" w:rsidRPr="00243081">
        <w:rPr>
          <w:rFonts w:cs="Calibri"/>
          <w:snapToGrid/>
          <w:szCs w:val="24"/>
          <w:lang w:val="en-US" w:eastAsia="en-AU"/>
        </w:rPr>
        <w:t xml:space="preserve">. </w:t>
      </w:r>
      <w:r w:rsidR="009200A4" w:rsidRPr="00243081">
        <w:rPr>
          <w:rFonts w:cs="Calibri"/>
          <w:snapToGrid/>
          <w:szCs w:val="24"/>
          <w:lang w:val="en-US" w:eastAsia="en-AU"/>
        </w:rPr>
        <w:t xml:space="preserve"> Kaplan-Meier curves for the ITT population (</w:t>
      </w:r>
      <w:r w:rsidR="00F059E8" w:rsidRPr="00243081">
        <w:t xml:space="preserve">Figure </w:t>
      </w:r>
      <w:r w:rsidR="00415215" w:rsidRPr="00243081">
        <w:t>3</w:t>
      </w:r>
      <w:r w:rsidR="009200A4" w:rsidRPr="00243081">
        <w:rPr>
          <w:rFonts w:cs="Calibri"/>
          <w:snapToGrid/>
          <w:szCs w:val="24"/>
          <w:lang w:val="en-US" w:eastAsia="en-AU"/>
        </w:rPr>
        <w:t>) and PD-L1 TPS &lt;50% (</w:t>
      </w:r>
      <w:r w:rsidR="00415215" w:rsidRPr="00243081">
        <w:rPr>
          <w:rFonts w:cs="Calibri"/>
          <w:snapToGrid/>
          <w:szCs w:val="24"/>
          <w:lang w:val="en-US" w:eastAsia="en-AU"/>
        </w:rPr>
        <w:t>Figure 4</w:t>
      </w:r>
      <w:r w:rsidR="009200A4" w:rsidRPr="00243081">
        <w:rPr>
          <w:rFonts w:cs="Calibri"/>
          <w:snapToGrid/>
          <w:szCs w:val="24"/>
          <w:lang w:val="en-US" w:eastAsia="en-AU"/>
        </w:rPr>
        <w:t>) in KN189 are also presented below.</w:t>
      </w:r>
    </w:p>
    <w:p w:rsidR="00186F2A" w:rsidRPr="00243081" w:rsidRDefault="00186F2A" w:rsidP="00D00416">
      <w:pPr>
        <w:pStyle w:val="ListParagraph"/>
        <w:widowControl/>
        <w:numPr>
          <w:ilvl w:val="1"/>
          <w:numId w:val="3"/>
        </w:numPr>
      </w:pPr>
      <w:r w:rsidRPr="00243081">
        <w:rPr>
          <w:rFonts w:cs="Calibri"/>
          <w:snapToGrid/>
          <w:szCs w:val="24"/>
          <w:lang w:val="en-US" w:eastAsia="en-AU"/>
        </w:rPr>
        <w:t xml:space="preserve">A statistically significant improvement in overall and progression free survival was reported for the ITT and PD-L1 TPS &lt;50% and ≥50% populations treated with </w:t>
      </w:r>
      <w:proofErr w:type="spellStart"/>
      <w:r w:rsidR="004A43D9" w:rsidRPr="00243081">
        <w:rPr>
          <w:rFonts w:cs="Calibri"/>
          <w:snapToGrid/>
          <w:szCs w:val="24"/>
          <w:lang w:val="en-US" w:eastAsia="en-AU"/>
        </w:rPr>
        <w:t>pembrolizumab+platinum+pemetrexed</w:t>
      </w:r>
      <w:proofErr w:type="spellEnd"/>
      <w:r w:rsidRPr="00243081">
        <w:rPr>
          <w:rFonts w:cs="Calibri"/>
          <w:snapToGrid/>
          <w:szCs w:val="24"/>
          <w:lang w:val="en-US" w:eastAsia="en-AU"/>
        </w:rPr>
        <w:t xml:space="preserve"> compared with platinum doublet.</w:t>
      </w:r>
    </w:p>
    <w:p w:rsidR="00B46E0D" w:rsidRPr="00243081" w:rsidRDefault="00B46E0D">
      <w:pPr>
        <w:widowControl/>
        <w:jc w:val="left"/>
        <w:rPr>
          <w:rFonts w:ascii="Arial Narrow" w:hAnsi="Arial Narrow"/>
          <w:b/>
          <w:bCs/>
          <w:sz w:val="20"/>
          <w:szCs w:val="18"/>
        </w:rPr>
      </w:pPr>
      <w:bookmarkStart w:id="16" w:name="_Ref524309683"/>
      <w:bookmarkStart w:id="17" w:name="_Ref523204043"/>
    </w:p>
    <w:p w:rsidR="00377D3B" w:rsidRPr="00243081" w:rsidRDefault="00B46E0D" w:rsidP="00B46E0D">
      <w:pPr>
        <w:pStyle w:val="Caption"/>
        <w:keepNext/>
        <w:jc w:val="left"/>
        <w:rPr>
          <w:szCs w:val="20"/>
        </w:rPr>
      </w:pPr>
      <w:r w:rsidRPr="00243081">
        <w:lastRenderedPageBreak/>
        <w:t xml:space="preserve">Table </w:t>
      </w:r>
      <w:r w:rsidR="00364F3F" w:rsidRPr="00243081">
        <w:rPr>
          <w:noProof/>
        </w:rPr>
        <w:t>6</w:t>
      </w:r>
      <w:bookmarkEnd w:id="16"/>
      <w:r w:rsidRPr="00243081">
        <w:t>:</w:t>
      </w:r>
      <w:bookmarkEnd w:id="17"/>
      <w:r w:rsidR="00377D3B" w:rsidRPr="00243081">
        <w:rPr>
          <w:szCs w:val="20"/>
        </w:rPr>
        <w:t xml:space="preserve"> </w:t>
      </w:r>
      <w:r w:rsidR="00425D97" w:rsidRPr="00243081">
        <w:rPr>
          <w:szCs w:val="20"/>
        </w:rPr>
        <w:t xml:space="preserve">Overall survival and progression free </w:t>
      </w:r>
      <w:r w:rsidR="00C03E4F" w:rsidRPr="00243081">
        <w:rPr>
          <w:szCs w:val="20"/>
        </w:rPr>
        <w:t xml:space="preserve">survival </w:t>
      </w:r>
      <w:r w:rsidR="00425D97" w:rsidRPr="00243081">
        <w:rPr>
          <w:szCs w:val="20"/>
        </w:rPr>
        <w:t>results in KN189</w:t>
      </w:r>
    </w:p>
    <w:tbl>
      <w:tblPr>
        <w:tblStyle w:val="TableGrid"/>
        <w:tblW w:w="9067" w:type="dxa"/>
        <w:tblCellMar>
          <w:left w:w="28" w:type="dxa"/>
          <w:right w:w="28" w:type="dxa"/>
        </w:tblCellMar>
        <w:tblLook w:val="04A0" w:firstRow="1" w:lastRow="0" w:firstColumn="1" w:lastColumn="0" w:noHBand="0" w:noVBand="1"/>
        <w:tblCaption w:val="Overall survival and progression free survival results in KN189"/>
      </w:tblPr>
      <w:tblGrid>
        <w:gridCol w:w="4248"/>
        <w:gridCol w:w="1606"/>
        <w:gridCol w:w="1606"/>
        <w:gridCol w:w="1607"/>
      </w:tblGrid>
      <w:tr w:rsidR="001200F0" w:rsidRPr="00243081" w:rsidTr="00B46E0D">
        <w:trPr>
          <w:tblHeader/>
        </w:trPr>
        <w:tc>
          <w:tcPr>
            <w:tcW w:w="4248" w:type="dxa"/>
          </w:tcPr>
          <w:p w:rsidR="001200F0" w:rsidRPr="00243081" w:rsidRDefault="001200F0" w:rsidP="00EE49AD">
            <w:pPr>
              <w:spacing w:before="40" w:after="40"/>
              <w:rPr>
                <w:rFonts w:ascii="Arial Narrow" w:hAnsi="Arial Narrow"/>
                <w:sz w:val="20"/>
                <w:szCs w:val="20"/>
              </w:rPr>
            </w:pPr>
          </w:p>
        </w:tc>
        <w:tc>
          <w:tcPr>
            <w:tcW w:w="1606" w:type="dxa"/>
            <w:vAlign w:val="center"/>
          </w:tcPr>
          <w:p w:rsidR="001200F0" w:rsidRPr="00243081" w:rsidRDefault="004A43D9" w:rsidP="00C623AB">
            <w:pPr>
              <w:spacing w:before="40" w:after="40"/>
              <w:jc w:val="center"/>
              <w:rPr>
                <w:rFonts w:ascii="Arial Narrow" w:hAnsi="Arial Narrow"/>
                <w:b/>
                <w:sz w:val="20"/>
                <w:szCs w:val="20"/>
              </w:rPr>
            </w:pPr>
            <w:proofErr w:type="spellStart"/>
            <w:r w:rsidRPr="00243081">
              <w:rPr>
                <w:rFonts w:ascii="Arial Narrow" w:hAnsi="Arial Narrow"/>
                <w:b/>
                <w:sz w:val="20"/>
                <w:szCs w:val="20"/>
              </w:rPr>
              <w:t>Pembro+plat+peme</w:t>
            </w:r>
            <w:proofErr w:type="spellEnd"/>
          </w:p>
        </w:tc>
        <w:tc>
          <w:tcPr>
            <w:tcW w:w="1606" w:type="dxa"/>
            <w:vAlign w:val="center"/>
          </w:tcPr>
          <w:p w:rsidR="001200F0" w:rsidRPr="00243081" w:rsidRDefault="001200F0" w:rsidP="00EE49AD">
            <w:pPr>
              <w:spacing w:before="40" w:after="40"/>
              <w:jc w:val="center"/>
              <w:rPr>
                <w:rFonts w:ascii="Arial Narrow" w:hAnsi="Arial Narrow"/>
                <w:b/>
                <w:sz w:val="20"/>
                <w:szCs w:val="20"/>
              </w:rPr>
            </w:pPr>
            <w:r w:rsidRPr="00243081">
              <w:rPr>
                <w:rFonts w:ascii="Arial Narrow" w:hAnsi="Arial Narrow"/>
                <w:b/>
                <w:sz w:val="20"/>
                <w:szCs w:val="20"/>
              </w:rPr>
              <w:t>Platinum doublet/</w:t>
            </w:r>
            <w:proofErr w:type="spellStart"/>
            <w:r w:rsidRPr="00243081">
              <w:rPr>
                <w:rFonts w:ascii="Arial Narrow" w:hAnsi="Arial Narrow"/>
                <w:b/>
                <w:sz w:val="20"/>
                <w:szCs w:val="20"/>
              </w:rPr>
              <w:t>SoC</w:t>
            </w:r>
            <w:proofErr w:type="spellEnd"/>
          </w:p>
        </w:tc>
        <w:tc>
          <w:tcPr>
            <w:tcW w:w="1607" w:type="dxa"/>
            <w:vAlign w:val="center"/>
          </w:tcPr>
          <w:p w:rsidR="001200F0" w:rsidRPr="00243081" w:rsidRDefault="001200F0" w:rsidP="00EE49AD">
            <w:pPr>
              <w:spacing w:before="40" w:after="40"/>
              <w:jc w:val="center"/>
              <w:rPr>
                <w:rFonts w:ascii="Arial Narrow" w:hAnsi="Arial Narrow"/>
                <w:b/>
                <w:sz w:val="20"/>
                <w:szCs w:val="20"/>
              </w:rPr>
            </w:pPr>
            <w:r w:rsidRPr="00243081">
              <w:rPr>
                <w:rFonts w:ascii="Arial Narrow" w:hAnsi="Arial Narrow"/>
                <w:b/>
                <w:sz w:val="20"/>
                <w:szCs w:val="20"/>
              </w:rPr>
              <w:t xml:space="preserve">Hazard </w:t>
            </w:r>
            <w:proofErr w:type="spellStart"/>
            <w:r w:rsidRPr="00243081">
              <w:rPr>
                <w:rFonts w:ascii="Arial Narrow" w:hAnsi="Arial Narrow"/>
                <w:b/>
                <w:sz w:val="20"/>
                <w:szCs w:val="20"/>
              </w:rPr>
              <w:t>ratio</w:t>
            </w:r>
            <w:r w:rsidRPr="00243081">
              <w:rPr>
                <w:rFonts w:ascii="Arial Narrow" w:hAnsi="Arial Narrow"/>
                <w:b/>
                <w:sz w:val="20"/>
                <w:szCs w:val="20"/>
                <w:vertAlign w:val="superscript"/>
              </w:rPr>
              <w:t>a</w:t>
            </w:r>
            <w:proofErr w:type="spellEnd"/>
          </w:p>
        </w:tc>
      </w:tr>
      <w:tr w:rsidR="001200F0" w:rsidRPr="00243081" w:rsidTr="00EE49AD">
        <w:tc>
          <w:tcPr>
            <w:tcW w:w="9067" w:type="dxa"/>
            <w:gridSpan w:val="4"/>
          </w:tcPr>
          <w:p w:rsidR="001200F0" w:rsidRPr="00243081" w:rsidRDefault="001200F0" w:rsidP="00EE49AD">
            <w:pPr>
              <w:spacing w:before="40" w:after="40"/>
              <w:rPr>
                <w:rFonts w:ascii="Arial Narrow" w:hAnsi="Arial Narrow"/>
                <w:b/>
                <w:sz w:val="20"/>
                <w:szCs w:val="20"/>
              </w:rPr>
            </w:pPr>
            <w:r w:rsidRPr="00243081">
              <w:rPr>
                <w:rFonts w:ascii="Arial Narrow" w:hAnsi="Arial Narrow"/>
                <w:b/>
                <w:sz w:val="20"/>
                <w:szCs w:val="20"/>
              </w:rPr>
              <w:t xml:space="preserve">Overall survival </w:t>
            </w:r>
          </w:p>
        </w:tc>
      </w:tr>
      <w:tr w:rsidR="001200F0" w:rsidRPr="00243081" w:rsidTr="00EE49AD">
        <w:tc>
          <w:tcPr>
            <w:tcW w:w="4248" w:type="dxa"/>
          </w:tcPr>
          <w:p w:rsidR="001200F0" w:rsidRPr="00243081" w:rsidRDefault="001200F0" w:rsidP="00EE49AD">
            <w:pPr>
              <w:spacing w:before="40" w:after="40"/>
              <w:rPr>
                <w:rFonts w:ascii="Arial Narrow" w:hAnsi="Arial Narrow"/>
                <w:sz w:val="20"/>
                <w:szCs w:val="20"/>
              </w:rPr>
            </w:pPr>
            <w:r w:rsidRPr="00243081">
              <w:rPr>
                <w:rFonts w:ascii="Arial Narrow" w:hAnsi="Arial Narrow"/>
                <w:sz w:val="20"/>
                <w:szCs w:val="20"/>
              </w:rPr>
              <w:t>All patients</w:t>
            </w:r>
          </w:p>
          <w:p w:rsidR="001200F0" w:rsidRPr="00243081" w:rsidRDefault="001200F0" w:rsidP="00EE49AD">
            <w:pPr>
              <w:spacing w:before="40" w:after="40"/>
              <w:ind w:left="284"/>
              <w:rPr>
                <w:rFonts w:ascii="Arial Narrow" w:hAnsi="Arial Narrow"/>
                <w:sz w:val="20"/>
                <w:szCs w:val="20"/>
              </w:rPr>
            </w:pPr>
            <w:r w:rsidRPr="00243081">
              <w:rPr>
                <w:rFonts w:ascii="Arial Narrow" w:hAnsi="Arial Narrow"/>
                <w:sz w:val="20"/>
                <w:szCs w:val="20"/>
              </w:rPr>
              <w:t xml:space="preserve">No. of deaths at </w:t>
            </w:r>
            <w:proofErr w:type="spellStart"/>
            <w:r w:rsidRPr="00243081">
              <w:rPr>
                <w:rFonts w:ascii="Arial Narrow" w:hAnsi="Arial Narrow"/>
                <w:sz w:val="20"/>
                <w:szCs w:val="20"/>
              </w:rPr>
              <w:t>cutoff</w:t>
            </w:r>
            <w:proofErr w:type="spellEnd"/>
            <w:r w:rsidRPr="00243081">
              <w:rPr>
                <w:rFonts w:ascii="Arial Narrow" w:hAnsi="Arial Narrow"/>
                <w:sz w:val="20"/>
                <w:szCs w:val="20"/>
              </w:rPr>
              <w:t xml:space="preserve"> (~21 months)</w:t>
            </w:r>
          </w:p>
          <w:p w:rsidR="001200F0" w:rsidRPr="00243081" w:rsidRDefault="001200F0" w:rsidP="00EE49AD">
            <w:pPr>
              <w:spacing w:before="40" w:after="40"/>
              <w:ind w:left="284"/>
              <w:rPr>
                <w:rFonts w:ascii="Arial Narrow" w:hAnsi="Arial Narrow"/>
                <w:sz w:val="20"/>
                <w:szCs w:val="20"/>
              </w:rPr>
            </w:pPr>
            <w:r w:rsidRPr="00243081">
              <w:rPr>
                <w:rFonts w:ascii="Arial Narrow" w:hAnsi="Arial Narrow"/>
                <w:sz w:val="20"/>
                <w:szCs w:val="20"/>
              </w:rPr>
              <w:t>Median OS in months (95%CI)</w:t>
            </w:r>
          </w:p>
        </w:tc>
        <w:tc>
          <w:tcPr>
            <w:tcW w:w="1606" w:type="dxa"/>
            <w:vAlign w:val="center"/>
          </w:tcPr>
          <w:p w:rsidR="001200F0" w:rsidRPr="00243081" w:rsidRDefault="001200F0" w:rsidP="00EE49AD">
            <w:pPr>
              <w:spacing w:before="40" w:after="40"/>
              <w:jc w:val="center"/>
              <w:rPr>
                <w:rFonts w:ascii="Arial Narrow" w:hAnsi="Arial Narrow"/>
                <w:sz w:val="20"/>
                <w:szCs w:val="20"/>
              </w:rPr>
            </w:pPr>
          </w:p>
          <w:p w:rsidR="001200F0" w:rsidRPr="00243081" w:rsidRDefault="001200F0" w:rsidP="00EE49AD">
            <w:pPr>
              <w:spacing w:before="40" w:after="40"/>
              <w:jc w:val="center"/>
              <w:rPr>
                <w:rFonts w:ascii="Arial Narrow" w:hAnsi="Arial Narrow"/>
                <w:sz w:val="20"/>
                <w:szCs w:val="20"/>
              </w:rPr>
            </w:pPr>
            <w:r w:rsidRPr="00243081">
              <w:rPr>
                <w:rFonts w:ascii="Arial Narrow" w:hAnsi="Arial Narrow"/>
                <w:sz w:val="20"/>
                <w:szCs w:val="20"/>
              </w:rPr>
              <w:t>127/410 (31.0)</w:t>
            </w:r>
          </w:p>
          <w:p w:rsidR="001200F0" w:rsidRPr="00243081" w:rsidRDefault="001200F0" w:rsidP="00EE49AD">
            <w:pPr>
              <w:spacing w:before="40" w:after="40"/>
              <w:jc w:val="center"/>
              <w:rPr>
                <w:rFonts w:ascii="Arial Narrow" w:hAnsi="Arial Narrow"/>
                <w:sz w:val="20"/>
                <w:szCs w:val="20"/>
              </w:rPr>
            </w:pPr>
            <w:r w:rsidRPr="00243081">
              <w:rPr>
                <w:rFonts w:ascii="Arial Narrow" w:hAnsi="Arial Narrow"/>
                <w:sz w:val="20"/>
                <w:szCs w:val="20"/>
              </w:rPr>
              <w:t>Not reached</w:t>
            </w:r>
          </w:p>
        </w:tc>
        <w:tc>
          <w:tcPr>
            <w:tcW w:w="1606" w:type="dxa"/>
            <w:vAlign w:val="center"/>
          </w:tcPr>
          <w:p w:rsidR="001200F0" w:rsidRPr="00243081" w:rsidRDefault="001200F0" w:rsidP="00EE49AD">
            <w:pPr>
              <w:spacing w:before="40" w:after="40"/>
              <w:jc w:val="center"/>
              <w:rPr>
                <w:rFonts w:ascii="Arial Narrow" w:hAnsi="Arial Narrow"/>
                <w:sz w:val="20"/>
                <w:szCs w:val="20"/>
              </w:rPr>
            </w:pPr>
          </w:p>
          <w:p w:rsidR="001200F0" w:rsidRPr="00243081" w:rsidRDefault="001200F0" w:rsidP="00EE49AD">
            <w:pPr>
              <w:spacing w:before="40" w:after="40"/>
              <w:jc w:val="center"/>
              <w:rPr>
                <w:rFonts w:ascii="Arial Narrow" w:hAnsi="Arial Narrow"/>
                <w:sz w:val="20"/>
                <w:szCs w:val="20"/>
              </w:rPr>
            </w:pPr>
            <w:r w:rsidRPr="00243081">
              <w:rPr>
                <w:rFonts w:ascii="Arial Narrow" w:hAnsi="Arial Narrow"/>
                <w:sz w:val="20"/>
                <w:szCs w:val="20"/>
              </w:rPr>
              <w:t>108/206 (52.4)</w:t>
            </w:r>
          </w:p>
          <w:p w:rsidR="001200F0" w:rsidRPr="00243081" w:rsidRDefault="001200F0" w:rsidP="00EE49AD">
            <w:pPr>
              <w:spacing w:before="40" w:after="40"/>
              <w:jc w:val="center"/>
              <w:rPr>
                <w:rFonts w:ascii="Arial Narrow" w:hAnsi="Arial Narrow"/>
                <w:sz w:val="20"/>
                <w:szCs w:val="20"/>
              </w:rPr>
            </w:pPr>
            <w:r w:rsidRPr="00243081">
              <w:rPr>
                <w:rFonts w:ascii="Arial Narrow" w:hAnsi="Arial Narrow"/>
                <w:sz w:val="20"/>
                <w:szCs w:val="20"/>
              </w:rPr>
              <w:t>11.3 (8.7, 15.1)</w:t>
            </w:r>
          </w:p>
        </w:tc>
        <w:tc>
          <w:tcPr>
            <w:tcW w:w="1607" w:type="dxa"/>
            <w:vAlign w:val="center"/>
          </w:tcPr>
          <w:p w:rsidR="001200F0" w:rsidRPr="00243081" w:rsidRDefault="001200F0" w:rsidP="00EE49AD">
            <w:pPr>
              <w:spacing w:before="40" w:after="40"/>
              <w:jc w:val="center"/>
              <w:rPr>
                <w:rFonts w:ascii="Arial Narrow" w:hAnsi="Arial Narrow"/>
                <w:b/>
                <w:sz w:val="20"/>
                <w:szCs w:val="20"/>
              </w:rPr>
            </w:pPr>
          </w:p>
          <w:p w:rsidR="001200F0" w:rsidRPr="00243081" w:rsidRDefault="001200F0" w:rsidP="00EE49AD">
            <w:pPr>
              <w:spacing w:before="40" w:after="40"/>
              <w:jc w:val="center"/>
              <w:rPr>
                <w:rFonts w:ascii="Arial Narrow" w:hAnsi="Arial Narrow"/>
                <w:b/>
                <w:sz w:val="20"/>
                <w:szCs w:val="20"/>
              </w:rPr>
            </w:pPr>
            <w:r w:rsidRPr="00243081">
              <w:rPr>
                <w:rFonts w:ascii="Arial Narrow" w:hAnsi="Arial Narrow"/>
                <w:b/>
                <w:sz w:val="20"/>
                <w:szCs w:val="20"/>
              </w:rPr>
              <w:t>0.49 (0.38, 0.64)</w:t>
            </w:r>
          </w:p>
        </w:tc>
      </w:tr>
      <w:tr w:rsidR="001200F0" w:rsidRPr="00243081" w:rsidTr="00EE49AD">
        <w:tc>
          <w:tcPr>
            <w:tcW w:w="4248" w:type="dxa"/>
          </w:tcPr>
          <w:p w:rsidR="001200F0" w:rsidRPr="008A4FF9" w:rsidRDefault="001200F0" w:rsidP="00EE49AD">
            <w:pPr>
              <w:spacing w:before="40" w:after="40"/>
              <w:rPr>
                <w:rFonts w:ascii="Arial Narrow" w:hAnsi="Arial Narrow"/>
                <w:sz w:val="20"/>
                <w:szCs w:val="20"/>
              </w:rPr>
            </w:pPr>
            <w:r w:rsidRPr="008A4FF9">
              <w:rPr>
                <w:rFonts w:ascii="Arial Narrow" w:hAnsi="Arial Narrow"/>
                <w:sz w:val="20"/>
                <w:szCs w:val="20"/>
              </w:rPr>
              <w:t>PD-L1 TPS &lt;50%</w:t>
            </w:r>
          </w:p>
          <w:p w:rsidR="001200F0" w:rsidRPr="008A4FF9" w:rsidRDefault="001200F0" w:rsidP="00EE49AD">
            <w:pPr>
              <w:spacing w:before="40" w:after="40"/>
              <w:ind w:left="284"/>
              <w:rPr>
                <w:rFonts w:ascii="Arial Narrow" w:hAnsi="Arial Narrow"/>
                <w:sz w:val="20"/>
                <w:szCs w:val="20"/>
              </w:rPr>
            </w:pPr>
            <w:r w:rsidRPr="008A4FF9">
              <w:rPr>
                <w:rFonts w:ascii="Arial Narrow" w:hAnsi="Arial Narrow"/>
                <w:sz w:val="20"/>
                <w:szCs w:val="20"/>
              </w:rPr>
              <w:t xml:space="preserve">No. of deaths at </w:t>
            </w:r>
            <w:proofErr w:type="spellStart"/>
            <w:r w:rsidRPr="008A4FF9">
              <w:rPr>
                <w:rFonts w:ascii="Arial Narrow" w:hAnsi="Arial Narrow"/>
                <w:sz w:val="20"/>
                <w:szCs w:val="20"/>
              </w:rPr>
              <w:t>cutoff</w:t>
            </w:r>
            <w:proofErr w:type="spellEnd"/>
            <w:r w:rsidRPr="008A4FF9">
              <w:rPr>
                <w:rFonts w:ascii="Arial Narrow" w:hAnsi="Arial Narrow"/>
                <w:sz w:val="20"/>
                <w:szCs w:val="20"/>
              </w:rPr>
              <w:t xml:space="preserve"> (~21 months)</w:t>
            </w:r>
          </w:p>
          <w:p w:rsidR="001200F0" w:rsidRPr="00B868A6" w:rsidRDefault="001200F0" w:rsidP="00EE49AD">
            <w:pPr>
              <w:spacing w:before="40" w:after="40"/>
              <w:ind w:left="284"/>
              <w:rPr>
                <w:rFonts w:ascii="Arial Narrow" w:hAnsi="Arial Narrow"/>
                <w:sz w:val="20"/>
                <w:szCs w:val="20"/>
                <w:highlight w:val="yellow"/>
              </w:rPr>
            </w:pPr>
            <w:r w:rsidRPr="008A4FF9">
              <w:rPr>
                <w:rFonts w:ascii="Arial Narrow" w:hAnsi="Arial Narrow"/>
                <w:sz w:val="20"/>
                <w:szCs w:val="20"/>
              </w:rPr>
              <w:t>Median OS in months (95%CI)</w:t>
            </w:r>
          </w:p>
        </w:tc>
        <w:tc>
          <w:tcPr>
            <w:tcW w:w="1606" w:type="dxa"/>
            <w:vAlign w:val="center"/>
          </w:tcPr>
          <w:p w:rsidR="001200F0" w:rsidRPr="00227BBD" w:rsidRDefault="001200F0" w:rsidP="00EE49AD">
            <w:pPr>
              <w:spacing w:before="40" w:after="40"/>
              <w:jc w:val="center"/>
              <w:rPr>
                <w:rFonts w:ascii="Arial Narrow" w:hAnsi="Arial Narrow"/>
                <w:sz w:val="20"/>
                <w:szCs w:val="20"/>
              </w:rPr>
            </w:pP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606" w:type="dxa"/>
            <w:vAlign w:val="center"/>
          </w:tcPr>
          <w:p w:rsidR="001200F0" w:rsidRPr="00227BBD" w:rsidRDefault="001200F0" w:rsidP="00EE49AD">
            <w:pPr>
              <w:spacing w:before="40" w:after="40"/>
              <w:jc w:val="center"/>
              <w:rPr>
                <w:rFonts w:ascii="Arial Narrow" w:hAnsi="Arial Narrow"/>
                <w:sz w:val="20"/>
                <w:szCs w:val="20"/>
              </w:rPr>
            </w:pP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607" w:type="dxa"/>
            <w:vAlign w:val="center"/>
          </w:tcPr>
          <w:p w:rsidR="001200F0" w:rsidRPr="00227BBD" w:rsidRDefault="001200F0" w:rsidP="00EE49AD">
            <w:pPr>
              <w:spacing w:before="40" w:after="40"/>
              <w:jc w:val="center"/>
              <w:rPr>
                <w:rFonts w:ascii="Arial Narrow" w:hAnsi="Arial Narrow"/>
                <w:b/>
                <w:sz w:val="20"/>
                <w:szCs w:val="20"/>
              </w:rPr>
            </w:pPr>
          </w:p>
          <w:p w:rsidR="001200F0" w:rsidRPr="00227BBD" w:rsidRDefault="00227BBD" w:rsidP="00EE49AD">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1200F0" w:rsidRPr="00243081" w:rsidTr="00EE49AD">
        <w:tc>
          <w:tcPr>
            <w:tcW w:w="4248" w:type="dxa"/>
          </w:tcPr>
          <w:p w:rsidR="001200F0" w:rsidRPr="00243081" w:rsidRDefault="001200F0" w:rsidP="00EE49AD">
            <w:pPr>
              <w:spacing w:before="40" w:after="40"/>
              <w:rPr>
                <w:rFonts w:ascii="Arial Narrow" w:hAnsi="Arial Narrow"/>
                <w:sz w:val="20"/>
                <w:szCs w:val="20"/>
              </w:rPr>
            </w:pPr>
            <w:r w:rsidRPr="00243081">
              <w:rPr>
                <w:rFonts w:ascii="Arial Narrow" w:hAnsi="Arial Narrow"/>
                <w:sz w:val="20"/>
                <w:szCs w:val="20"/>
              </w:rPr>
              <w:t>PD-L1 TPS ≥50%</w:t>
            </w:r>
          </w:p>
          <w:p w:rsidR="001200F0" w:rsidRPr="00243081" w:rsidRDefault="001200F0" w:rsidP="00EE49AD">
            <w:pPr>
              <w:spacing w:before="40" w:after="40"/>
              <w:ind w:left="284"/>
              <w:rPr>
                <w:rFonts w:ascii="Arial Narrow" w:hAnsi="Arial Narrow"/>
                <w:sz w:val="20"/>
                <w:szCs w:val="20"/>
              </w:rPr>
            </w:pPr>
            <w:r w:rsidRPr="00243081">
              <w:rPr>
                <w:rFonts w:ascii="Arial Narrow" w:hAnsi="Arial Narrow"/>
                <w:sz w:val="20"/>
                <w:szCs w:val="20"/>
              </w:rPr>
              <w:t xml:space="preserve">No. of deaths at </w:t>
            </w:r>
            <w:proofErr w:type="spellStart"/>
            <w:r w:rsidRPr="00243081">
              <w:rPr>
                <w:rFonts w:ascii="Arial Narrow" w:hAnsi="Arial Narrow"/>
                <w:sz w:val="20"/>
                <w:szCs w:val="20"/>
              </w:rPr>
              <w:t>cutoff</w:t>
            </w:r>
            <w:proofErr w:type="spellEnd"/>
            <w:r w:rsidRPr="00243081">
              <w:rPr>
                <w:rFonts w:ascii="Arial Narrow" w:hAnsi="Arial Narrow"/>
                <w:sz w:val="20"/>
                <w:szCs w:val="20"/>
              </w:rPr>
              <w:t xml:space="preserve"> (~21 months)</w:t>
            </w:r>
          </w:p>
          <w:p w:rsidR="001200F0" w:rsidRPr="00243081" w:rsidRDefault="001200F0" w:rsidP="00EE49AD">
            <w:pPr>
              <w:spacing w:before="40" w:after="40"/>
              <w:ind w:left="284"/>
              <w:rPr>
                <w:rFonts w:ascii="Arial Narrow" w:hAnsi="Arial Narrow"/>
                <w:sz w:val="20"/>
                <w:szCs w:val="20"/>
              </w:rPr>
            </w:pPr>
            <w:r w:rsidRPr="00243081">
              <w:rPr>
                <w:rFonts w:ascii="Arial Narrow" w:hAnsi="Arial Narrow"/>
                <w:sz w:val="20"/>
                <w:szCs w:val="20"/>
              </w:rPr>
              <w:t>Median OS in months (95%CI)</w:t>
            </w:r>
          </w:p>
        </w:tc>
        <w:tc>
          <w:tcPr>
            <w:tcW w:w="1606" w:type="dxa"/>
            <w:vAlign w:val="center"/>
          </w:tcPr>
          <w:p w:rsidR="001200F0" w:rsidRPr="00227BBD" w:rsidRDefault="001200F0" w:rsidP="00EE49AD">
            <w:pPr>
              <w:spacing w:before="40" w:after="40"/>
              <w:jc w:val="center"/>
              <w:rPr>
                <w:rFonts w:ascii="Arial Narrow" w:hAnsi="Arial Narrow"/>
                <w:sz w:val="20"/>
                <w:szCs w:val="20"/>
              </w:rPr>
            </w:pP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606" w:type="dxa"/>
            <w:vAlign w:val="center"/>
          </w:tcPr>
          <w:p w:rsidR="001200F0" w:rsidRPr="00227BBD" w:rsidRDefault="001200F0" w:rsidP="00EE49AD">
            <w:pPr>
              <w:spacing w:before="40" w:after="40"/>
              <w:jc w:val="center"/>
              <w:rPr>
                <w:rFonts w:ascii="Arial Narrow" w:hAnsi="Arial Narrow"/>
                <w:sz w:val="20"/>
                <w:szCs w:val="20"/>
              </w:rPr>
            </w:pP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607" w:type="dxa"/>
            <w:vAlign w:val="center"/>
          </w:tcPr>
          <w:p w:rsidR="001200F0" w:rsidRPr="00243081" w:rsidRDefault="001200F0" w:rsidP="00EE49AD">
            <w:pPr>
              <w:spacing w:before="40" w:after="40"/>
              <w:jc w:val="center"/>
              <w:rPr>
                <w:rFonts w:ascii="Arial Narrow" w:hAnsi="Arial Narrow"/>
                <w:b/>
                <w:sz w:val="20"/>
                <w:szCs w:val="20"/>
              </w:rPr>
            </w:pPr>
          </w:p>
          <w:p w:rsidR="001200F0" w:rsidRPr="00243081" w:rsidRDefault="001200F0" w:rsidP="00EE49AD">
            <w:pPr>
              <w:spacing w:before="40" w:after="40"/>
              <w:jc w:val="center"/>
              <w:rPr>
                <w:rFonts w:ascii="Arial Narrow" w:hAnsi="Arial Narrow"/>
                <w:b/>
                <w:sz w:val="20"/>
                <w:szCs w:val="20"/>
              </w:rPr>
            </w:pPr>
            <w:r w:rsidRPr="00243081">
              <w:rPr>
                <w:rFonts w:ascii="Arial Narrow" w:hAnsi="Arial Narrow"/>
                <w:b/>
                <w:sz w:val="20"/>
                <w:szCs w:val="20"/>
              </w:rPr>
              <w:t>0.42 (0.26, 0.68)</w:t>
            </w:r>
          </w:p>
        </w:tc>
      </w:tr>
      <w:tr w:rsidR="001200F0" w:rsidRPr="00243081" w:rsidTr="00EE49AD">
        <w:tc>
          <w:tcPr>
            <w:tcW w:w="9067" w:type="dxa"/>
            <w:gridSpan w:val="4"/>
          </w:tcPr>
          <w:p w:rsidR="001200F0" w:rsidRPr="00243081" w:rsidRDefault="001200F0" w:rsidP="00EE49AD">
            <w:pPr>
              <w:spacing w:before="40" w:after="40"/>
              <w:rPr>
                <w:rFonts w:ascii="Arial Narrow" w:hAnsi="Arial Narrow"/>
                <w:b/>
                <w:sz w:val="20"/>
                <w:szCs w:val="20"/>
              </w:rPr>
            </w:pPr>
            <w:r w:rsidRPr="00243081">
              <w:rPr>
                <w:rFonts w:ascii="Arial Narrow" w:hAnsi="Arial Narrow"/>
                <w:b/>
                <w:sz w:val="20"/>
                <w:szCs w:val="20"/>
              </w:rPr>
              <w:t xml:space="preserve">Progression free </w:t>
            </w:r>
            <w:r w:rsidR="00C03E4F" w:rsidRPr="00243081">
              <w:rPr>
                <w:rFonts w:ascii="Arial Narrow" w:hAnsi="Arial Narrow"/>
                <w:b/>
                <w:sz w:val="20"/>
                <w:szCs w:val="20"/>
              </w:rPr>
              <w:t>survival</w:t>
            </w:r>
          </w:p>
        </w:tc>
      </w:tr>
      <w:tr w:rsidR="001200F0" w:rsidRPr="00243081" w:rsidTr="00EE49AD">
        <w:tc>
          <w:tcPr>
            <w:tcW w:w="4248" w:type="dxa"/>
          </w:tcPr>
          <w:p w:rsidR="001200F0" w:rsidRPr="00243081" w:rsidRDefault="001200F0" w:rsidP="00EE49AD">
            <w:pPr>
              <w:spacing w:before="40" w:after="40"/>
              <w:rPr>
                <w:rFonts w:ascii="Arial Narrow" w:hAnsi="Arial Narrow"/>
                <w:sz w:val="20"/>
                <w:szCs w:val="20"/>
              </w:rPr>
            </w:pPr>
            <w:r w:rsidRPr="00243081">
              <w:rPr>
                <w:rFonts w:ascii="Arial Narrow" w:hAnsi="Arial Narrow"/>
                <w:sz w:val="20"/>
                <w:szCs w:val="20"/>
              </w:rPr>
              <w:t>All patients</w:t>
            </w:r>
          </w:p>
          <w:p w:rsidR="001200F0" w:rsidRPr="00243081" w:rsidRDefault="001200F0" w:rsidP="00EE49AD">
            <w:pPr>
              <w:spacing w:before="40" w:after="40"/>
              <w:ind w:left="284"/>
              <w:rPr>
                <w:rFonts w:ascii="Arial Narrow" w:hAnsi="Arial Narrow"/>
                <w:sz w:val="20"/>
                <w:szCs w:val="20"/>
              </w:rPr>
            </w:pPr>
            <w:r w:rsidRPr="00243081">
              <w:rPr>
                <w:rFonts w:ascii="Arial Narrow" w:hAnsi="Arial Narrow"/>
                <w:sz w:val="20"/>
                <w:szCs w:val="20"/>
              </w:rPr>
              <w:t xml:space="preserve">No. of deaths/progressed at </w:t>
            </w:r>
            <w:proofErr w:type="spellStart"/>
            <w:r w:rsidRPr="00243081">
              <w:rPr>
                <w:rFonts w:ascii="Arial Narrow" w:hAnsi="Arial Narrow"/>
                <w:sz w:val="20"/>
                <w:szCs w:val="20"/>
              </w:rPr>
              <w:t>cutoff</w:t>
            </w:r>
            <w:proofErr w:type="spellEnd"/>
            <w:r w:rsidRPr="00243081">
              <w:rPr>
                <w:rFonts w:ascii="Arial Narrow" w:hAnsi="Arial Narrow"/>
                <w:sz w:val="20"/>
                <w:szCs w:val="20"/>
              </w:rPr>
              <w:t xml:space="preserve"> (~21 months)</w:t>
            </w:r>
          </w:p>
          <w:p w:rsidR="001200F0" w:rsidRPr="00243081" w:rsidRDefault="001200F0" w:rsidP="00EE49AD">
            <w:pPr>
              <w:spacing w:before="40" w:after="40"/>
              <w:ind w:left="284"/>
              <w:rPr>
                <w:rFonts w:ascii="Arial Narrow" w:hAnsi="Arial Narrow"/>
                <w:sz w:val="20"/>
                <w:szCs w:val="20"/>
              </w:rPr>
            </w:pPr>
            <w:r w:rsidRPr="00243081">
              <w:rPr>
                <w:rFonts w:ascii="Arial Narrow" w:hAnsi="Arial Narrow"/>
                <w:sz w:val="20"/>
                <w:szCs w:val="20"/>
              </w:rPr>
              <w:t>Median PFS in months (95%CI)</w:t>
            </w:r>
          </w:p>
        </w:tc>
        <w:tc>
          <w:tcPr>
            <w:tcW w:w="1606" w:type="dxa"/>
            <w:vAlign w:val="center"/>
          </w:tcPr>
          <w:p w:rsidR="001200F0" w:rsidRPr="00243081" w:rsidRDefault="001200F0" w:rsidP="00EE49AD">
            <w:pPr>
              <w:spacing w:before="40" w:after="40"/>
              <w:jc w:val="center"/>
              <w:rPr>
                <w:rFonts w:ascii="Arial Narrow" w:hAnsi="Arial Narrow"/>
                <w:sz w:val="20"/>
                <w:szCs w:val="20"/>
              </w:rPr>
            </w:pPr>
          </w:p>
          <w:p w:rsidR="001200F0" w:rsidRPr="00243081" w:rsidRDefault="001200F0" w:rsidP="00EE49AD">
            <w:pPr>
              <w:spacing w:before="40" w:after="40"/>
              <w:jc w:val="center"/>
              <w:rPr>
                <w:rFonts w:ascii="Arial Narrow" w:hAnsi="Arial Narrow"/>
                <w:sz w:val="20"/>
                <w:szCs w:val="20"/>
              </w:rPr>
            </w:pPr>
            <w:r w:rsidRPr="00243081">
              <w:rPr>
                <w:rFonts w:ascii="Arial Narrow" w:hAnsi="Arial Narrow"/>
                <w:sz w:val="20"/>
                <w:szCs w:val="20"/>
              </w:rPr>
              <w:t>244/410 (59.5)</w:t>
            </w:r>
          </w:p>
          <w:p w:rsidR="001200F0" w:rsidRPr="00243081" w:rsidRDefault="001200F0" w:rsidP="00EE49AD">
            <w:pPr>
              <w:spacing w:before="40" w:after="40"/>
              <w:jc w:val="center"/>
              <w:rPr>
                <w:rFonts w:ascii="Arial Narrow" w:hAnsi="Arial Narrow"/>
                <w:sz w:val="20"/>
                <w:szCs w:val="20"/>
              </w:rPr>
            </w:pPr>
            <w:r w:rsidRPr="00243081">
              <w:rPr>
                <w:rFonts w:ascii="Arial Narrow" w:hAnsi="Arial Narrow"/>
                <w:sz w:val="20"/>
                <w:szCs w:val="20"/>
              </w:rPr>
              <w:t>8.8 (7.6, 9.2)</w:t>
            </w:r>
          </w:p>
        </w:tc>
        <w:tc>
          <w:tcPr>
            <w:tcW w:w="1606" w:type="dxa"/>
            <w:vAlign w:val="center"/>
          </w:tcPr>
          <w:p w:rsidR="001200F0" w:rsidRPr="00243081" w:rsidRDefault="001200F0" w:rsidP="00EE49AD">
            <w:pPr>
              <w:spacing w:before="40" w:after="40"/>
              <w:jc w:val="center"/>
              <w:rPr>
                <w:rFonts w:ascii="Arial Narrow" w:hAnsi="Arial Narrow"/>
                <w:sz w:val="20"/>
                <w:szCs w:val="20"/>
              </w:rPr>
            </w:pPr>
          </w:p>
          <w:p w:rsidR="001200F0" w:rsidRPr="00243081" w:rsidRDefault="001200F0" w:rsidP="00EE49AD">
            <w:pPr>
              <w:spacing w:before="40" w:after="40"/>
              <w:jc w:val="center"/>
              <w:rPr>
                <w:rFonts w:ascii="Arial Narrow" w:hAnsi="Arial Narrow"/>
                <w:sz w:val="20"/>
                <w:szCs w:val="20"/>
              </w:rPr>
            </w:pPr>
            <w:r w:rsidRPr="00243081">
              <w:rPr>
                <w:rFonts w:ascii="Arial Narrow" w:hAnsi="Arial Narrow"/>
                <w:sz w:val="20"/>
                <w:szCs w:val="20"/>
              </w:rPr>
              <w:t>166/206 (80.6)</w:t>
            </w:r>
          </w:p>
          <w:p w:rsidR="001200F0" w:rsidRPr="00243081" w:rsidRDefault="001200F0" w:rsidP="00EE49AD">
            <w:pPr>
              <w:spacing w:before="40" w:after="40"/>
              <w:jc w:val="center"/>
              <w:rPr>
                <w:rFonts w:ascii="Arial Narrow" w:hAnsi="Arial Narrow"/>
                <w:sz w:val="20"/>
                <w:szCs w:val="20"/>
              </w:rPr>
            </w:pPr>
            <w:r w:rsidRPr="00243081">
              <w:rPr>
                <w:rFonts w:ascii="Arial Narrow" w:hAnsi="Arial Narrow"/>
                <w:sz w:val="20"/>
                <w:szCs w:val="20"/>
              </w:rPr>
              <w:t>4.9 (4.7, 5.5)</w:t>
            </w:r>
          </w:p>
        </w:tc>
        <w:tc>
          <w:tcPr>
            <w:tcW w:w="1607" w:type="dxa"/>
            <w:vAlign w:val="center"/>
          </w:tcPr>
          <w:p w:rsidR="001200F0" w:rsidRPr="00243081" w:rsidRDefault="001200F0" w:rsidP="00EE49AD">
            <w:pPr>
              <w:spacing w:before="40" w:after="40"/>
              <w:jc w:val="center"/>
              <w:rPr>
                <w:rFonts w:ascii="Arial Narrow" w:hAnsi="Arial Narrow"/>
                <w:b/>
                <w:sz w:val="20"/>
                <w:szCs w:val="20"/>
              </w:rPr>
            </w:pPr>
          </w:p>
          <w:p w:rsidR="001200F0" w:rsidRPr="00243081" w:rsidRDefault="001200F0" w:rsidP="00EE49AD">
            <w:pPr>
              <w:spacing w:before="40" w:after="40"/>
              <w:jc w:val="center"/>
              <w:rPr>
                <w:rFonts w:ascii="Arial Narrow" w:hAnsi="Arial Narrow"/>
                <w:b/>
                <w:sz w:val="20"/>
                <w:szCs w:val="20"/>
              </w:rPr>
            </w:pPr>
            <w:r w:rsidRPr="00243081">
              <w:rPr>
                <w:rFonts w:ascii="Arial Narrow" w:hAnsi="Arial Narrow"/>
                <w:b/>
                <w:sz w:val="20"/>
                <w:szCs w:val="20"/>
              </w:rPr>
              <w:t>0.52 (0.43, 0.64)</w:t>
            </w:r>
          </w:p>
        </w:tc>
      </w:tr>
      <w:tr w:rsidR="001200F0" w:rsidRPr="00243081" w:rsidTr="00EE49AD">
        <w:tc>
          <w:tcPr>
            <w:tcW w:w="4248" w:type="dxa"/>
          </w:tcPr>
          <w:p w:rsidR="001200F0" w:rsidRPr="008A4FF9" w:rsidRDefault="001200F0" w:rsidP="00EE49AD">
            <w:pPr>
              <w:spacing w:before="40" w:after="40"/>
              <w:rPr>
                <w:rFonts w:ascii="Arial Narrow" w:hAnsi="Arial Narrow"/>
                <w:sz w:val="20"/>
                <w:szCs w:val="20"/>
              </w:rPr>
            </w:pPr>
            <w:r w:rsidRPr="008A4FF9">
              <w:rPr>
                <w:rFonts w:ascii="Arial Narrow" w:hAnsi="Arial Narrow"/>
                <w:sz w:val="20"/>
                <w:szCs w:val="20"/>
              </w:rPr>
              <w:t>PD-L1 TPS &lt;50%</w:t>
            </w:r>
          </w:p>
          <w:p w:rsidR="001200F0" w:rsidRPr="008A4FF9" w:rsidRDefault="001200F0" w:rsidP="00EE49AD">
            <w:pPr>
              <w:spacing w:before="40" w:after="40"/>
              <w:ind w:left="284"/>
              <w:rPr>
                <w:rFonts w:ascii="Arial Narrow" w:hAnsi="Arial Narrow"/>
                <w:sz w:val="20"/>
                <w:szCs w:val="20"/>
              </w:rPr>
            </w:pPr>
            <w:r w:rsidRPr="008A4FF9">
              <w:rPr>
                <w:rFonts w:ascii="Arial Narrow" w:hAnsi="Arial Narrow"/>
                <w:sz w:val="20"/>
                <w:szCs w:val="20"/>
              </w:rPr>
              <w:t xml:space="preserve">No. of deaths/progressed at </w:t>
            </w:r>
            <w:proofErr w:type="spellStart"/>
            <w:r w:rsidRPr="008A4FF9">
              <w:rPr>
                <w:rFonts w:ascii="Arial Narrow" w:hAnsi="Arial Narrow"/>
                <w:sz w:val="20"/>
                <w:szCs w:val="20"/>
              </w:rPr>
              <w:t>cutoff</w:t>
            </w:r>
            <w:proofErr w:type="spellEnd"/>
            <w:r w:rsidRPr="008A4FF9">
              <w:rPr>
                <w:rFonts w:ascii="Arial Narrow" w:hAnsi="Arial Narrow"/>
                <w:sz w:val="20"/>
                <w:szCs w:val="20"/>
              </w:rPr>
              <w:t xml:space="preserve"> (~21 months)</w:t>
            </w:r>
          </w:p>
          <w:p w:rsidR="001200F0" w:rsidRPr="00B868A6" w:rsidRDefault="001200F0" w:rsidP="00EE49AD">
            <w:pPr>
              <w:spacing w:before="40" w:after="40"/>
              <w:ind w:left="284"/>
              <w:rPr>
                <w:rFonts w:ascii="Arial Narrow" w:hAnsi="Arial Narrow"/>
                <w:sz w:val="20"/>
                <w:szCs w:val="20"/>
                <w:highlight w:val="yellow"/>
              </w:rPr>
            </w:pPr>
            <w:r w:rsidRPr="008A4FF9">
              <w:rPr>
                <w:rFonts w:ascii="Arial Narrow" w:hAnsi="Arial Narrow"/>
                <w:sz w:val="20"/>
                <w:szCs w:val="20"/>
              </w:rPr>
              <w:t>Median PFS in months (95%CI)</w:t>
            </w:r>
          </w:p>
        </w:tc>
        <w:tc>
          <w:tcPr>
            <w:tcW w:w="1606" w:type="dxa"/>
            <w:vAlign w:val="center"/>
          </w:tcPr>
          <w:p w:rsidR="001200F0" w:rsidRPr="00227BBD" w:rsidRDefault="001200F0" w:rsidP="00EE49AD">
            <w:pPr>
              <w:spacing w:before="40" w:after="40"/>
              <w:jc w:val="center"/>
              <w:rPr>
                <w:rFonts w:ascii="Arial Narrow" w:hAnsi="Arial Narrow"/>
                <w:sz w:val="20"/>
                <w:szCs w:val="20"/>
              </w:rPr>
            </w:pP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606" w:type="dxa"/>
            <w:vAlign w:val="center"/>
          </w:tcPr>
          <w:p w:rsidR="001200F0" w:rsidRPr="00227BBD" w:rsidRDefault="001200F0" w:rsidP="00EE49AD">
            <w:pPr>
              <w:spacing w:before="40" w:after="40"/>
              <w:jc w:val="center"/>
              <w:rPr>
                <w:rFonts w:ascii="Arial Narrow" w:hAnsi="Arial Narrow"/>
                <w:sz w:val="20"/>
                <w:szCs w:val="20"/>
              </w:rPr>
            </w:pP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607" w:type="dxa"/>
            <w:vAlign w:val="center"/>
          </w:tcPr>
          <w:p w:rsidR="001200F0" w:rsidRPr="00227BBD" w:rsidRDefault="001200F0" w:rsidP="00EE49AD">
            <w:pPr>
              <w:spacing w:before="40" w:after="40"/>
              <w:jc w:val="center"/>
              <w:rPr>
                <w:rFonts w:ascii="Arial Narrow" w:hAnsi="Arial Narrow"/>
                <w:b/>
                <w:sz w:val="20"/>
                <w:szCs w:val="20"/>
                <w:highlight w:val="red"/>
              </w:rPr>
            </w:pPr>
          </w:p>
          <w:p w:rsidR="001200F0" w:rsidRPr="00227BBD" w:rsidRDefault="00227BBD" w:rsidP="00EE49AD">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1200F0" w:rsidRPr="00243081" w:rsidTr="00EE49AD">
        <w:tc>
          <w:tcPr>
            <w:tcW w:w="4248" w:type="dxa"/>
          </w:tcPr>
          <w:p w:rsidR="001200F0" w:rsidRPr="00243081" w:rsidRDefault="001200F0" w:rsidP="00EE49AD">
            <w:pPr>
              <w:spacing w:before="40" w:after="40"/>
              <w:rPr>
                <w:rFonts w:ascii="Arial Narrow" w:hAnsi="Arial Narrow"/>
                <w:sz w:val="20"/>
                <w:szCs w:val="20"/>
              </w:rPr>
            </w:pPr>
            <w:r w:rsidRPr="00243081">
              <w:rPr>
                <w:rFonts w:ascii="Arial Narrow" w:hAnsi="Arial Narrow"/>
                <w:sz w:val="20"/>
                <w:szCs w:val="20"/>
              </w:rPr>
              <w:t>PD-L1 TPS ≥50%</w:t>
            </w:r>
          </w:p>
          <w:p w:rsidR="001200F0" w:rsidRPr="00243081" w:rsidRDefault="001200F0" w:rsidP="00EE49AD">
            <w:pPr>
              <w:spacing w:before="40" w:after="40"/>
              <w:ind w:left="284"/>
              <w:rPr>
                <w:rFonts w:ascii="Arial Narrow" w:hAnsi="Arial Narrow"/>
                <w:sz w:val="20"/>
                <w:szCs w:val="20"/>
              </w:rPr>
            </w:pPr>
            <w:r w:rsidRPr="00243081">
              <w:rPr>
                <w:rFonts w:ascii="Arial Narrow" w:hAnsi="Arial Narrow"/>
                <w:sz w:val="20"/>
                <w:szCs w:val="20"/>
              </w:rPr>
              <w:t xml:space="preserve">No. of deaths/progressed at </w:t>
            </w:r>
            <w:proofErr w:type="spellStart"/>
            <w:r w:rsidRPr="00243081">
              <w:rPr>
                <w:rFonts w:ascii="Arial Narrow" w:hAnsi="Arial Narrow"/>
                <w:sz w:val="20"/>
                <w:szCs w:val="20"/>
              </w:rPr>
              <w:t>cutoff</w:t>
            </w:r>
            <w:proofErr w:type="spellEnd"/>
            <w:r w:rsidRPr="00243081">
              <w:rPr>
                <w:rFonts w:ascii="Arial Narrow" w:hAnsi="Arial Narrow"/>
                <w:sz w:val="20"/>
                <w:szCs w:val="20"/>
              </w:rPr>
              <w:t xml:space="preserve"> (~21 months)</w:t>
            </w:r>
          </w:p>
          <w:p w:rsidR="001200F0" w:rsidRPr="00243081" w:rsidRDefault="001200F0" w:rsidP="00EE49AD">
            <w:pPr>
              <w:spacing w:before="40" w:after="40"/>
              <w:ind w:left="284"/>
              <w:rPr>
                <w:rFonts w:ascii="Arial Narrow" w:hAnsi="Arial Narrow"/>
                <w:sz w:val="20"/>
                <w:szCs w:val="20"/>
              </w:rPr>
            </w:pPr>
            <w:r w:rsidRPr="00243081">
              <w:rPr>
                <w:rFonts w:ascii="Arial Narrow" w:hAnsi="Arial Narrow"/>
                <w:sz w:val="20"/>
                <w:szCs w:val="20"/>
              </w:rPr>
              <w:t>Median PFS in months (95%CI)</w:t>
            </w:r>
          </w:p>
        </w:tc>
        <w:tc>
          <w:tcPr>
            <w:tcW w:w="1606" w:type="dxa"/>
            <w:vAlign w:val="center"/>
          </w:tcPr>
          <w:p w:rsidR="001200F0" w:rsidRPr="00227BBD" w:rsidRDefault="001200F0" w:rsidP="00EE49AD">
            <w:pPr>
              <w:spacing w:before="40" w:after="40"/>
              <w:jc w:val="center"/>
              <w:rPr>
                <w:rFonts w:ascii="Arial Narrow" w:hAnsi="Arial Narrow"/>
                <w:sz w:val="20"/>
                <w:szCs w:val="20"/>
              </w:rPr>
            </w:pP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606" w:type="dxa"/>
            <w:vAlign w:val="center"/>
          </w:tcPr>
          <w:p w:rsidR="001200F0" w:rsidRPr="00227BBD" w:rsidRDefault="001200F0" w:rsidP="00EE49AD">
            <w:pPr>
              <w:spacing w:before="40" w:after="40"/>
              <w:jc w:val="center"/>
              <w:rPr>
                <w:rFonts w:ascii="Arial Narrow" w:hAnsi="Arial Narrow"/>
                <w:sz w:val="20"/>
                <w:szCs w:val="20"/>
              </w:rPr>
            </w:pP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w:t>
            </w:r>
          </w:p>
          <w:p w:rsidR="001200F0" w:rsidRPr="00227BBD" w:rsidRDefault="00227BBD" w:rsidP="00EE49AD">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607" w:type="dxa"/>
            <w:vAlign w:val="center"/>
          </w:tcPr>
          <w:p w:rsidR="001200F0" w:rsidRPr="00243081" w:rsidRDefault="001200F0" w:rsidP="00EE49AD">
            <w:pPr>
              <w:spacing w:before="40" w:after="40"/>
              <w:jc w:val="center"/>
              <w:rPr>
                <w:rFonts w:ascii="Arial Narrow" w:hAnsi="Arial Narrow"/>
                <w:b/>
                <w:sz w:val="20"/>
                <w:szCs w:val="20"/>
              </w:rPr>
            </w:pPr>
          </w:p>
          <w:p w:rsidR="001200F0" w:rsidRPr="00243081" w:rsidRDefault="001200F0" w:rsidP="00EE49AD">
            <w:pPr>
              <w:spacing w:before="40" w:after="40"/>
              <w:jc w:val="center"/>
              <w:rPr>
                <w:rFonts w:ascii="Arial Narrow" w:hAnsi="Arial Narrow"/>
                <w:b/>
                <w:sz w:val="20"/>
                <w:szCs w:val="20"/>
              </w:rPr>
            </w:pPr>
            <w:r w:rsidRPr="00243081">
              <w:rPr>
                <w:rFonts w:ascii="Arial Narrow" w:hAnsi="Arial Narrow"/>
                <w:b/>
                <w:sz w:val="20"/>
                <w:szCs w:val="20"/>
              </w:rPr>
              <w:t>0.36 (0.25, 0.52)</w:t>
            </w:r>
          </w:p>
        </w:tc>
      </w:tr>
    </w:tbl>
    <w:p w:rsidR="00377D3B" w:rsidRPr="00243081" w:rsidRDefault="00377D3B" w:rsidP="00C7586D">
      <w:pPr>
        <w:pStyle w:val="TableFooter"/>
      </w:pPr>
      <w:proofErr w:type="gramStart"/>
      <w:r w:rsidRPr="00243081">
        <w:rPr>
          <w:vertAlign w:val="superscript"/>
        </w:rPr>
        <w:t>a</w:t>
      </w:r>
      <w:proofErr w:type="gramEnd"/>
      <w:r w:rsidRPr="00243081">
        <w:rPr>
          <w:vertAlign w:val="superscript"/>
        </w:rPr>
        <w:tab/>
      </w:r>
      <w:r w:rsidRPr="00243081">
        <w:t>Based on Cox regression model with treatment as a covariate stratified by PD-L1 status (≥1% vs &lt;1%)</w:t>
      </w:r>
      <w:r w:rsidR="00D34D19" w:rsidRPr="00243081">
        <w:t xml:space="preserve">, </w:t>
      </w:r>
      <w:r w:rsidRPr="00243081">
        <w:t>platinum chemotherapy (cisplatin vs. carboplatin) and smoking status (never vs. former/current).</w:t>
      </w:r>
    </w:p>
    <w:p w:rsidR="00377D3B" w:rsidRPr="00243081" w:rsidRDefault="00C623AB" w:rsidP="00C7586D">
      <w:pPr>
        <w:pStyle w:val="TableFooter"/>
      </w:pPr>
      <w:proofErr w:type="spellStart"/>
      <w:r w:rsidRPr="00243081">
        <w:t>Pembro+plat+peme</w:t>
      </w:r>
      <w:proofErr w:type="spellEnd"/>
      <w:r w:rsidRPr="00243081">
        <w:t xml:space="preserve"> = </w:t>
      </w:r>
      <w:proofErr w:type="spellStart"/>
      <w:r w:rsidRPr="00243081">
        <w:t>pembrolizumab+platinum+pemetrexed</w:t>
      </w:r>
      <w:proofErr w:type="spellEnd"/>
      <w:r w:rsidRPr="00243081">
        <w:t xml:space="preserve">; </w:t>
      </w:r>
      <w:r w:rsidR="00377D3B" w:rsidRPr="00243081">
        <w:t xml:space="preserve">OS = overall survival, </w:t>
      </w:r>
      <w:proofErr w:type="spellStart"/>
      <w:r w:rsidR="00377D3B" w:rsidRPr="00243081">
        <w:t>SoC</w:t>
      </w:r>
      <w:proofErr w:type="spellEnd"/>
      <w:r w:rsidR="00377D3B" w:rsidRPr="00243081">
        <w:t xml:space="preserve"> = standard of care, NR = not reported </w:t>
      </w:r>
    </w:p>
    <w:p w:rsidR="0008280C" w:rsidRPr="00243081" w:rsidRDefault="0008280C" w:rsidP="00C7586D">
      <w:pPr>
        <w:pStyle w:val="TableFooter"/>
        <w:rPr>
          <w:szCs w:val="18"/>
        </w:rPr>
      </w:pPr>
      <w:r w:rsidRPr="00243081">
        <w:rPr>
          <w:szCs w:val="18"/>
        </w:rPr>
        <w:t>Source: Table 2.6-2, pp72-73 and 2.6-3 pp74-75</w:t>
      </w:r>
      <w:r w:rsidR="00C36CCD" w:rsidRPr="00243081">
        <w:rPr>
          <w:szCs w:val="18"/>
        </w:rPr>
        <w:t xml:space="preserve"> </w:t>
      </w:r>
      <w:r w:rsidRPr="00243081">
        <w:rPr>
          <w:szCs w:val="18"/>
        </w:rPr>
        <w:t xml:space="preserve">of the submission </w:t>
      </w:r>
    </w:p>
    <w:p w:rsidR="00795D19" w:rsidRPr="00243081" w:rsidRDefault="00795D19">
      <w:pPr>
        <w:widowControl/>
        <w:jc w:val="left"/>
        <w:rPr>
          <w:rFonts w:ascii="Arial Narrow" w:hAnsi="Arial Narrow"/>
          <w:b/>
          <w:bCs/>
          <w:sz w:val="20"/>
          <w:szCs w:val="18"/>
        </w:rPr>
      </w:pPr>
      <w:bookmarkStart w:id="18" w:name="_Ref524309751"/>
    </w:p>
    <w:p w:rsidR="009200A4" w:rsidRPr="00243081" w:rsidRDefault="00B46E0D" w:rsidP="003137F2">
      <w:pPr>
        <w:pStyle w:val="Caption"/>
        <w:keepNext/>
        <w:keepLines/>
        <w:rPr>
          <w:b w:val="0"/>
          <w:szCs w:val="20"/>
        </w:rPr>
      </w:pPr>
      <w:r w:rsidRPr="00243081">
        <w:lastRenderedPageBreak/>
        <w:t xml:space="preserve">Figure </w:t>
      </w:r>
      <w:r w:rsidR="00415215" w:rsidRPr="00243081">
        <w:t>3</w:t>
      </w:r>
      <w:bookmarkEnd w:id="18"/>
      <w:r w:rsidR="00844298" w:rsidRPr="00243081">
        <w:rPr>
          <w:szCs w:val="20"/>
        </w:rPr>
        <w:t>:</w:t>
      </w:r>
      <w:r w:rsidR="009200A4" w:rsidRPr="00243081">
        <w:rPr>
          <w:szCs w:val="20"/>
        </w:rPr>
        <w:t xml:space="preserve"> Kaplan-Meier curve for </w:t>
      </w:r>
      <w:r w:rsidR="001200F0" w:rsidRPr="00243081">
        <w:rPr>
          <w:szCs w:val="20"/>
        </w:rPr>
        <w:t>overall s</w:t>
      </w:r>
      <w:r w:rsidR="009200A4" w:rsidRPr="00243081">
        <w:rPr>
          <w:szCs w:val="20"/>
        </w:rPr>
        <w:t xml:space="preserve">urvival </w:t>
      </w:r>
      <w:r w:rsidR="001200F0" w:rsidRPr="00243081">
        <w:rPr>
          <w:szCs w:val="20"/>
        </w:rPr>
        <w:t xml:space="preserve">(left) and progression-free survival (right) </w:t>
      </w:r>
      <w:r w:rsidR="009200A4" w:rsidRPr="00243081">
        <w:rPr>
          <w:szCs w:val="20"/>
        </w:rPr>
        <w:t>in KN189 ITT population</w:t>
      </w:r>
    </w:p>
    <w:p w:rsidR="009200A4" w:rsidRPr="00243081" w:rsidRDefault="009200A4" w:rsidP="003137F2">
      <w:pPr>
        <w:keepNext/>
        <w:keepLines/>
        <w:rPr>
          <w:rFonts w:ascii="Arial Narrow" w:hAnsi="Arial Narrow"/>
          <w:sz w:val="20"/>
          <w:szCs w:val="20"/>
        </w:rPr>
      </w:pPr>
      <w:r w:rsidRPr="00243081">
        <w:rPr>
          <w:rFonts w:ascii="Arial Narrow" w:hAnsi="Arial Narrow"/>
          <w:noProof/>
          <w:sz w:val="20"/>
          <w:szCs w:val="20"/>
          <w:lang w:eastAsia="en-AU"/>
        </w:rPr>
        <w:drawing>
          <wp:inline distT="0" distB="0" distL="0" distR="0" wp14:anchorId="571F8780" wp14:editId="6F9E2B50">
            <wp:extent cx="2762250" cy="20655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95559" cy="2090463"/>
                    </a:xfrm>
                    <a:prstGeom prst="rect">
                      <a:avLst/>
                    </a:prstGeom>
                  </pic:spPr>
                </pic:pic>
              </a:graphicData>
            </a:graphic>
          </wp:inline>
        </w:drawing>
      </w:r>
      <w:r w:rsidR="001200F0" w:rsidRPr="00243081">
        <w:rPr>
          <w:noProof/>
          <w:lang w:eastAsia="en-AU"/>
        </w:rPr>
        <w:t xml:space="preserve"> </w:t>
      </w:r>
      <w:r w:rsidR="001200F0" w:rsidRPr="00243081">
        <w:rPr>
          <w:noProof/>
          <w:lang w:eastAsia="en-AU"/>
        </w:rPr>
        <w:drawing>
          <wp:inline distT="0" distB="0" distL="0" distR="0" wp14:anchorId="21F098E5" wp14:editId="26265459">
            <wp:extent cx="2893988" cy="2090102"/>
            <wp:effectExtent l="0" t="0" r="190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93988" cy="2090102"/>
                    </a:xfrm>
                    <a:prstGeom prst="rect">
                      <a:avLst/>
                    </a:prstGeom>
                  </pic:spPr>
                </pic:pic>
              </a:graphicData>
            </a:graphic>
          </wp:inline>
        </w:drawing>
      </w:r>
    </w:p>
    <w:p w:rsidR="009200A4" w:rsidRPr="00243081" w:rsidRDefault="009200A4" w:rsidP="003137F2">
      <w:pPr>
        <w:keepNext/>
        <w:keepLines/>
        <w:rPr>
          <w:rFonts w:ascii="Arial Narrow" w:hAnsi="Arial Narrow"/>
          <w:sz w:val="18"/>
          <w:szCs w:val="20"/>
        </w:rPr>
      </w:pPr>
      <w:r w:rsidRPr="00243081">
        <w:rPr>
          <w:rFonts w:ascii="Arial Narrow" w:hAnsi="Arial Narrow"/>
          <w:sz w:val="18"/>
          <w:szCs w:val="20"/>
        </w:rPr>
        <w:t>Source: Figure 2.5-1, p54</w:t>
      </w:r>
      <w:r w:rsidR="001200F0" w:rsidRPr="00243081">
        <w:rPr>
          <w:rFonts w:ascii="Arial Narrow" w:hAnsi="Arial Narrow"/>
          <w:sz w:val="18"/>
          <w:szCs w:val="20"/>
        </w:rPr>
        <w:t xml:space="preserve"> and Figure 2.5-3, p56</w:t>
      </w:r>
      <w:r w:rsidRPr="00243081">
        <w:rPr>
          <w:rFonts w:ascii="Arial Narrow" w:hAnsi="Arial Narrow"/>
          <w:sz w:val="18"/>
          <w:szCs w:val="20"/>
        </w:rPr>
        <w:t xml:space="preserve"> of the submission </w:t>
      </w:r>
    </w:p>
    <w:p w:rsidR="000D5364" w:rsidRDefault="000D5364" w:rsidP="00B46E0D">
      <w:pPr>
        <w:pStyle w:val="Caption"/>
        <w:keepNext/>
      </w:pPr>
      <w:bookmarkStart w:id="19" w:name="_Ref524309856"/>
    </w:p>
    <w:p w:rsidR="009200A4" w:rsidRPr="00243081" w:rsidRDefault="00B46E0D" w:rsidP="001C6E85">
      <w:pPr>
        <w:pStyle w:val="Caption"/>
        <w:keepNext/>
        <w:keepLines/>
        <w:rPr>
          <w:b w:val="0"/>
          <w:szCs w:val="20"/>
        </w:rPr>
      </w:pPr>
      <w:r w:rsidRPr="00E66345">
        <w:t xml:space="preserve">Figure </w:t>
      </w:r>
      <w:r w:rsidR="00415215" w:rsidRPr="00E66345">
        <w:t>4</w:t>
      </w:r>
      <w:bookmarkEnd w:id="19"/>
      <w:r w:rsidR="009200A4" w:rsidRPr="00E66345">
        <w:rPr>
          <w:b w:val="0"/>
          <w:szCs w:val="20"/>
        </w:rPr>
        <w:t xml:space="preserve">: </w:t>
      </w:r>
      <w:r w:rsidR="009200A4" w:rsidRPr="00E66345">
        <w:rPr>
          <w:szCs w:val="20"/>
        </w:rPr>
        <w:t xml:space="preserve">Kaplan-Meier estimates for </w:t>
      </w:r>
      <w:r w:rsidR="001200F0" w:rsidRPr="00E66345">
        <w:rPr>
          <w:szCs w:val="20"/>
        </w:rPr>
        <w:t xml:space="preserve">overall survival (left) and progression-free survival (right) </w:t>
      </w:r>
      <w:r w:rsidR="009200A4" w:rsidRPr="00E66345">
        <w:rPr>
          <w:szCs w:val="20"/>
        </w:rPr>
        <w:t>in PD-L1 TPS &lt;50% in</w:t>
      </w:r>
      <w:r w:rsidR="009200A4" w:rsidRPr="00243081">
        <w:rPr>
          <w:szCs w:val="20"/>
        </w:rPr>
        <w:t xml:space="preserve"> KN189 </w:t>
      </w:r>
    </w:p>
    <w:p w:rsidR="009200A4" w:rsidRPr="00227BBD" w:rsidRDefault="00227BBD" w:rsidP="001200F0">
      <w:pPr>
        <w:keepNext/>
        <w:keepLines/>
        <w:jc w:val="left"/>
        <w:rPr>
          <w:rFonts w:ascii="Arial Narrow" w:hAnsi="Arial Narrow"/>
          <w:sz w:val="20"/>
          <w:szCs w:val="20"/>
          <w:highlight w:val="black"/>
        </w:rPr>
      </w:pPr>
      <w:r>
        <w:rPr>
          <w:rFonts w:ascii="Arial Narrow" w:hAnsi="Arial Narrow"/>
          <w:noProof/>
          <w:snapToGrid/>
          <w:sz w:val="20"/>
          <w:szCs w:val="20"/>
          <w:lang w:eastAsia="en-AU"/>
        </w:rPr>
        <w:drawing>
          <wp:inline distT="0" distB="0" distL="0" distR="0">
            <wp:extent cx="2806700" cy="21050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
                      <a:extLst>
                        <a:ext uri="{28A0092B-C50C-407E-A947-70E740481C1C}">
                          <a14:useLocalDpi xmlns:a14="http://schemas.microsoft.com/office/drawing/2010/main" val="0"/>
                        </a:ext>
                      </a:extLst>
                    </a:blip>
                    <a:stretch>
                      <a:fillRect/>
                    </a:stretch>
                  </pic:blipFill>
                  <pic:spPr>
                    <a:xfrm>
                      <a:off x="0" y="0"/>
                      <a:ext cx="2806700" cy="2105025"/>
                    </a:xfrm>
                    <a:prstGeom prst="rect">
                      <a:avLst/>
                    </a:prstGeom>
                  </pic:spPr>
                </pic:pic>
              </a:graphicData>
            </a:graphic>
          </wp:inline>
        </w:drawing>
      </w:r>
      <w:r>
        <w:rPr>
          <w:rFonts w:ascii="Arial Narrow" w:hAnsi="Arial Narrow"/>
          <w:noProof/>
          <w:snapToGrid/>
          <w:sz w:val="20"/>
          <w:szCs w:val="20"/>
          <w:lang w:eastAsia="en-AU"/>
        </w:rPr>
        <w:drawing>
          <wp:inline distT="0" distB="0" distL="0" distR="0">
            <wp:extent cx="2853690" cy="2140585"/>
            <wp:effectExtent l="0" t="0" r="381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extLst>
                        <a:ext uri="{28A0092B-C50C-407E-A947-70E740481C1C}">
                          <a14:useLocalDpi xmlns:a14="http://schemas.microsoft.com/office/drawing/2010/main" val="0"/>
                        </a:ext>
                      </a:extLst>
                    </a:blip>
                    <a:stretch>
                      <a:fillRect/>
                    </a:stretch>
                  </pic:blipFill>
                  <pic:spPr>
                    <a:xfrm>
                      <a:off x="0" y="0"/>
                      <a:ext cx="2853690" cy="2140585"/>
                    </a:xfrm>
                    <a:prstGeom prst="rect">
                      <a:avLst/>
                    </a:prstGeom>
                  </pic:spPr>
                </pic:pic>
              </a:graphicData>
            </a:graphic>
          </wp:inline>
        </w:drawing>
      </w:r>
    </w:p>
    <w:p w:rsidR="009200A4" w:rsidRPr="00243081" w:rsidRDefault="009200A4" w:rsidP="009200A4">
      <w:pPr>
        <w:keepNext/>
        <w:keepLines/>
        <w:rPr>
          <w:rFonts w:ascii="Arial Narrow" w:hAnsi="Arial Narrow"/>
          <w:sz w:val="18"/>
          <w:szCs w:val="18"/>
        </w:rPr>
      </w:pPr>
      <w:r w:rsidRPr="00243081">
        <w:rPr>
          <w:rFonts w:ascii="Arial Narrow" w:hAnsi="Arial Narrow"/>
          <w:sz w:val="18"/>
          <w:szCs w:val="18"/>
        </w:rPr>
        <w:t xml:space="preserve">Source: Figure 2.6-2, p73 </w:t>
      </w:r>
      <w:r w:rsidR="001200F0" w:rsidRPr="00243081">
        <w:rPr>
          <w:rFonts w:ascii="Arial Narrow" w:hAnsi="Arial Narrow"/>
          <w:sz w:val="18"/>
          <w:szCs w:val="18"/>
        </w:rPr>
        <w:t xml:space="preserve">and Figure 4, p18 in Appendix 13 </w:t>
      </w:r>
      <w:r w:rsidRPr="00243081">
        <w:rPr>
          <w:rFonts w:ascii="Arial Narrow" w:hAnsi="Arial Narrow"/>
          <w:sz w:val="18"/>
          <w:szCs w:val="18"/>
        </w:rPr>
        <w:t xml:space="preserve">of the submission </w:t>
      </w:r>
    </w:p>
    <w:p w:rsidR="009200A4" w:rsidRPr="00243081" w:rsidRDefault="009200A4" w:rsidP="009200A4">
      <w:pPr>
        <w:rPr>
          <w:sz w:val="20"/>
          <w:szCs w:val="20"/>
        </w:rPr>
      </w:pPr>
    </w:p>
    <w:p w:rsidR="00247925" w:rsidRPr="00243081" w:rsidRDefault="00425D97" w:rsidP="00D34D19">
      <w:pPr>
        <w:pStyle w:val="ListParagraph"/>
        <w:widowControl/>
        <w:numPr>
          <w:ilvl w:val="1"/>
          <w:numId w:val="3"/>
        </w:numPr>
      </w:pPr>
      <w:r w:rsidRPr="00E66345">
        <w:t xml:space="preserve">In </w:t>
      </w:r>
      <w:r w:rsidR="00D34D19" w:rsidRPr="00E66345">
        <w:t>the</w:t>
      </w:r>
      <w:r w:rsidRPr="00E66345">
        <w:t xml:space="preserve"> PD-L1 TPS &lt;50% </w:t>
      </w:r>
      <w:r w:rsidR="00D34D19" w:rsidRPr="00E66345">
        <w:t xml:space="preserve">subgroup </w:t>
      </w:r>
      <w:r w:rsidRPr="00E66345">
        <w:t xml:space="preserve">in KN189, patients treated with </w:t>
      </w:r>
      <w:proofErr w:type="spellStart"/>
      <w:r w:rsidRPr="00E66345">
        <w:t>pembrolizumab</w:t>
      </w:r>
      <w:r w:rsidR="00B46E0D" w:rsidRPr="00E66345">
        <w:t>+platinum+pemetrexed</w:t>
      </w:r>
      <w:proofErr w:type="spellEnd"/>
      <w:r w:rsidRPr="00E66345">
        <w:t xml:space="preserve"> were observed to have statistically significantly longer OS (HR </w:t>
      </w:r>
      <w:r w:rsidR="00227BBD">
        <w:rPr>
          <w:noProof/>
          <w:color w:val="000000"/>
          <w:highlight w:val="black"/>
        </w:rPr>
        <w:t>''''''''</w:t>
      </w:r>
      <w:r w:rsidRPr="00E66345">
        <w:t>, 95%</w:t>
      </w:r>
      <w:r w:rsidR="00B46E0D" w:rsidRPr="00E66345">
        <w:t xml:space="preserve"> </w:t>
      </w:r>
      <w:r w:rsidRPr="00E66345">
        <w:t xml:space="preserve">CI: </w:t>
      </w:r>
      <w:r w:rsidR="00227BBD">
        <w:rPr>
          <w:noProof/>
          <w:color w:val="000000"/>
          <w:highlight w:val="black"/>
        </w:rPr>
        <w:t>'''''''''</w:t>
      </w:r>
      <w:r w:rsidRPr="00E66345">
        <w:t xml:space="preserve">, </w:t>
      </w:r>
      <w:r w:rsidR="00227BBD">
        <w:rPr>
          <w:noProof/>
          <w:color w:val="000000"/>
          <w:highlight w:val="black"/>
        </w:rPr>
        <w:t>'''''''''</w:t>
      </w:r>
      <w:r w:rsidRPr="00E66345">
        <w:t xml:space="preserve">) and PFS (HR </w:t>
      </w:r>
      <w:r w:rsidR="00227BBD">
        <w:rPr>
          <w:noProof/>
          <w:color w:val="000000"/>
          <w:highlight w:val="black"/>
        </w:rPr>
        <w:t>''''''''</w:t>
      </w:r>
      <w:r w:rsidRPr="00E66345">
        <w:t xml:space="preserve">, 95% CI: </w:t>
      </w:r>
      <w:r w:rsidR="00227BBD">
        <w:rPr>
          <w:noProof/>
          <w:color w:val="000000"/>
          <w:highlight w:val="black"/>
        </w:rPr>
        <w:t>''''''''</w:t>
      </w:r>
      <w:r w:rsidRPr="00E66345">
        <w:t xml:space="preserve">, </w:t>
      </w:r>
      <w:r w:rsidR="00227BBD">
        <w:rPr>
          <w:noProof/>
          <w:color w:val="000000"/>
          <w:highlight w:val="black"/>
        </w:rPr>
        <w:t>''''''''</w:t>
      </w:r>
      <w:r w:rsidRPr="00E66345">
        <w:t>) compared to patients treated with platinum doublet.</w:t>
      </w:r>
      <w:r w:rsidRPr="00243081">
        <w:t xml:space="preserve">  It is unclear if the trial was powered to detect differences in the subgroups as the overall power calculation for KN189 (N=570) was based on the whole population irrespective of PD-L1 TPS status, though the subgroup analyses for PD-L1 TPS &lt;50% and TPS ≥50% appears to have been pre-planned at the protocol stage.    </w:t>
      </w:r>
    </w:p>
    <w:p w:rsidR="00D923D0" w:rsidRPr="00243081" w:rsidRDefault="00D923D0" w:rsidP="00B46E0D">
      <w:pPr>
        <w:widowControl/>
        <w:spacing w:after="160"/>
        <w:rPr>
          <w:b/>
          <w:u w:val="single"/>
        </w:rPr>
      </w:pPr>
      <w:r w:rsidRPr="00243081">
        <w:rPr>
          <w:b/>
          <w:u w:val="single"/>
        </w:rPr>
        <w:t xml:space="preserve">PD-L1 </w:t>
      </w:r>
      <w:r w:rsidR="00427533" w:rsidRPr="00243081">
        <w:rPr>
          <w:b/>
          <w:u w:val="single"/>
        </w:rPr>
        <w:t xml:space="preserve">TPS </w:t>
      </w:r>
      <w:r w:rsidRPr="00243081">
        <w:rPr>
          <w:rFonts w:cs="Calibri"/>
          <w:b/>
          <w:u w:val="single"/>
        </w:rPr>
        <w:t>≥</w:t>
      </w:r>
      <w:r w:rsidRPr="00243081">
        <w:rPr>
          <w:b/>
          <w:u w:val="single"/>
        </w:rPr>
        <w:t>50% patient subgroup</w:t>
      </w:r>
    </w:p>
    <w:p w:rsidR="00B46E0D" w:rsidRPr="00243081" w:rsidRDefault="00B46E0D" w:rsidP="00B46E0D">
      <w:pPr>
        <w:widowControl/>
        <w:spacing w:after="160"/>
        <w:rPr>
          <w:i/>
        </w:rPr>
      </w:pPr>
      <w:r w:rsidRPr="00243081">
        <w:rPr>
          <w:u w:val="single"/>
        </w:rPr>
        <w:t xml:space="preserve">Indirect comparison of </w:t>
      </w:r>
      <w:proofErr w:type="spellStart"/>
      <w:r w:rsidRPr="00243081">
        <w:rPr>
          <w:u w:val="single"/>
        </w:rPr>
        <w:t>pembrolizumab+platinum+pemetrexed</w:t>
      </w:r>
      <w:proofErr w:type="spellEnd"/>
      <w:r w:rsidRPr="00243081">
        <w:rPr>
          <w:u w:val="single"/>
        </w:rPr>
        <w:t xml:space="preserve"> versus </w:t>
      </w:r>
      <w:proofErr w:type="spellStart"/>
      <w:r w:rsidRPr="00243081">
        <w:rPr>
          <w:u w:val="single"/>
        </w:rPr>
        <w:t>pembrolizumab</w:t>
      </w:r>
      <w:proofErr w:type="spellEnd"/>
      <w:r w:rsidRPr="00243081">
        <w:rPr>
          <w:u w:val="single"/>
        </w:rPr>
        <w:t xml:space="preserve"> monotherapy </w:t>
      </w:r>
    </w:p>
    <w:p w:rsidR="007B571C" w:rsidRPr="00243081" w:rsidRDefault="00EC5704" w:rsidP="00624521">
      <w:pPr>
        <w:pStyle w:val="ListParagraph"/>
        <w:widowControl/>
        <w:numPr>
          <w:ilvl w:val="1"/>
          <w:numId w:val="3"/>
        </w:numPr>
        <w:jc w:val="left"/>
        <w:rPr>
          <w:rFonts w:ascii="Arial Narrow" w:hAnsi="Arial Narrow"/>
          <w:b/>
          <w:bCs/>
          <w:sz w:val="20"/>
          <w:szCs w:val="18"/>
        </w:rPr>
      </w:pPr>
      <w:r w:rsidRPr="00243081">
        <w:rPr>
          <w:rFonts w:cs="Calibri"/>
          <w:snapToGrid/>
          <w:szCs w:val="24"/>
          <w:lang w:val="en-US" w:eastAsia="en-AU"/>
        </w:rPr>
        <w:t xml:space="preserve">The results of the </w:t>
      </w:r>
      <w:r w:rsidR="00EE7F5E" w:rsidRPr="00243081">
        <w:rPr>
          <w:rFonts w:cs="Calibri"/>
          <w:snapToGrid/>
          <w:szCs w:val="24"/>
          <w:lang w:val="en-US" w:eastAsia="en-AU"/>
        </w:rPr>
        <w:t xml:space="preserve">submission’s </w:t>
      </w:r>
      <w:r w:rsidRPr="00243081">
        <w:rPr>
          <w:rFonts w:cs="Calibri"/>
          <w:snapToGrid/>
          <w:szCs w:val="24"/>
          <w:lang w:val="en-US" w:eastAsia="en-AU"/>
        </w:rPr>
        <w:t xml:space="preserve">indirect comparison </w:t>
      </w:r>
      <w:r w:rsidR="00186F2A" w:rsidRPr="00243081">
        <w:rPr>
          <w:rFonts w:cs="Calibri"/>
          <w:snapToGrid/>
          <w:szCs w:val="24"/>
          <w:lang w:val="en-US" w:eastAsia="en-AU"/>
        </w:rPr>
        <w:t>in patients with PD-L1 TPS ≥</w:t>
      </w:r>
      <w:r w:rsidR="009200A4" w:rsidRPr="00243081">
        <w:rPr>
          <w:rFonts w:cs="Calibri"/>
          <w:snapToGrid/>
          <w:szCs w:val="24"/>
          <w:lang w:val="en-US" w:eastAsia="en-AU"/>
        </w:rPr>
        <w:t xml:space="preserve">50% </w:t>
      </w:r>
      <w:r w:rsidR="0040765E" w:rsidRPr="00243081">
        <w:rPr>
          <w:rFonts w:cs="Calibri"/>
          <w:snapToGrid/>
          <w:szCs w:val="24"/>
          <w:lang w:val="en-US" w:eastAsia="en-AU"/>
        </w:rPr>
        <w:t xml:space="preserve">are </w:t>
      </w:r>
      <w:r w:rsidR="009200A4" w:rsidRPr="00243081">
        <w:rPr>
          <w:rFonts w:cs="Calibri"/>
          <w:snapToGrid/>
          <w:szCs w:val="24"/>
          <w:lang w:val="en-US" w:eastAsia="en-AU"/>
        </w:rPr>
        <w:t xml:space="preserve">presented in </w:t>
      </w:r>
      <w:r w:rsidR="00F059E8" w:rsidRPr="00243081">
        <w:t xml:space="preserve">Table </w:t>
      </w:r>
      <w:r w:rsidR="00F059E8" w:rsidRPr="00243081">
        <w:rPr>
          <w:noProof/>
        </w:rPr>
        <w:t>7</w:t>
      </w:r>
      <w:r w:rsidR="007B571C" w:rsidRPr="00243081">
        <w:rPr>
          <w:rFonts w:cs="Calibri"/>
          <w:snapToGrid/>
          <w:szCs w:val="24"/>
          <w:lang w:val="en-US" w:eastAsia="en-AU"/>
        </w:rPr>
        <w:t xml:space="preserve"> (overall survival) </w:t>
      </w:r>
      <w:r w:rsidR="00D1033D" w:rsidRPr="00243081">
        <w:rPr>
          <w:rFonts w:cs="Calibri"/>
          <w:snapToGrid/>
          <w:szCs w:val="24"/>
          <w:lang w:val="en-US" w:eastAsia="en-AU"/>
        </w:rPr>
        <w:t xml:space="preserve">and </w:t>
      </w:r>
      <w:r w:rsidR="00F059E8" w:rsidRPr="00243081">
        <w:t xml:space="preserve">Table </w:t>
      </w:r>
      <w:r w:rsidR="00F059E8" w:rsidRPr="00243081">
        <w:rPr>
          <w:noProof/>
        </w:rPr>
        <w:t>8</w:t>
      </w:r>
      <w:r w:rsidR="00F8512F" w:rsidRPr="00243081">
        <w:rPr>
          <w:rFonts w:cs="Calibri"/>
          <w:snapToGrid/>
          <w:szCs w:val="24"/>
          <w:lang w:val="en-US" w:eastAsia="en-AU"/>
        </w:rPr>
        <w:t xml:space="preserve"> (progression free survival)</w:t>
      </w:r>
      <w:r w:rsidR="009200A4" w:rsidRPr="00243081">
        <w:rPr>
          <w:rFonts w:cs="Calibri"/>
          <w:snapToGrid/>
          <w:szCs w:val="24"/>
          <w:lang w:val="en-US" w:eastAsia="en-AU"/>
        </w:rPr>
        <w:t xml:space="preserve">.  No </w:t>
      </w:r>
      <w:r w:rsidR="009200A4" w:rsidRPr="00243081">
        <w:rPr>
          <w:rFonts w:cs="Calibri"/>
          <w:snapToGrid/>
          <w:szCs w:val="24"/>
          <w:lang w:val="en-US" w:eastAsia="en-AU"/>
        </w:rPr>
        <w:lastRenderedPageBreak/>
        <w:t>Kaplan-Meier curves for patients with PD-L1 TPS ≥50% were presented in the submission.  Instead, a comparison of the OS and PFS curves in the ITT population in KN189 and KN024 was presented (</w:t>
      </w:r>
      <w:r w:rsidR="00F059E8" w:rsidRPr="00243081">
        <w:t xml:space="preserve">Figure </w:t>
      </w:r>
      <w:r w:rsidR="00415215" w:rsidRPr="00243081">
        <w:t>5</w:t>
      </w:r>
      <w:r w:rsidR="00844298" w:rsidRPr="00243081">
        <w:rPr>
          <w:rFonts w:cs="Calibri"/>
          <w:snapToGrid/>
          <w:szCs w:val="24"/>
          <w:lang w:val="en-US" w:eastAsia="en-AU"/>
        </w:rPr>
        <w:t>)</w:t>
      </w:r>
      <w:r w:rsidR="003472E8" w:rsidRPr="00243081">
        <w:rPr>
          <w:rFonts w:cs="Calibri"/>
          <w:snapToGrid/>
          <w:szCs w:val="24"/>
          <w:lang w:val="en-US" w:eastAsia="en-AU"/>
        </w:rPr>
        <w:t>.</w:t>
      </w:r>
      <w:bookmarkStart w:id="20" w:name="_Ref523204823"/>
    </w:p>
    <w:p w:rsidR="00EC5704" w:rsidRPr="00100C63" w:rsidRDefault="00B46E0D" w:rsidP="00B46E0D">
      <w:pPr>
        <w:pStyle w:val="Caption"/>
        <w:keepNext/>
        <w:jc w:val="left"/>
        <w:rPr>
          <w:rStyle w:val="CommentReference"/>
          <w:b/>
          <w:szCs w:val="20"/>
        </w:rPr>
      </w:pPr>
      <w:bookmarkStart w:id="21" w:name="_Ref524310041"/>
      <w:r w:rsidRPr="00100C63">
        <w:t xml:space="preserve">Table </w:t>
      </w:r>
      <w:r w:rsidR="00364F3F" w:rsidRPr="00100C63">
        <w:rPr>
          <w:noProof/>
        </w:rPr>
        <w:t>7</w:t>
      </w:r>
      <w:bookmarkEnd w:id="20"/>
      <w:bookmarkEnd w:id="21"/>
      <w:r w:rsidR="00EC5704" w:rsidRPr="00100C63">
        <w:rPr>
          <w:rStyle w:val="CommentReference"/>
          <w:b/>
          <w:szCs w:val="20"/>
        </w:rPr>
        <w:t xml:space="preserve">: Results </w:t>
      </w:r>
      <w:r w:rsidR="00186F2A" w:rsidRPr="00100C63">
        <w:rPr>
          <w:rStyle w:val="CommentReference"/>
          <w:b/>
          <w:szCs w:val="20"/>
        </w:rPr>
        <w:t>of the indirect comparison for o</w:t>
      </w:r>
      <w:r w:rsidR="00EC5704" w:rsidRPr="00100C63">
        <w:rPr>
          <w:rStyle w:val="CommentReference"/>
          <w:b/>
          <w:szCs w:val="20"/>
        </w:rPr>
        <w:t xml:space="preserve">verall </w:t>
      </w:r>
      <w:r w:rsidR="007B571C" w:rsidRPr="00100C63">
        <w:rPr>
          <w:rStyle w:val="CommentReference"/>
          <w:b/>
          <w:szCs w:val="20"/>
        </w:rPr>
        <w:t>s</w:t>
      </w:r>
      <w:r w:rsidR="00EC5704" w:rsidRPr="00100C63">
        <w:rPr>
          <w:rStyle w:val="CommentReference"/>
          <w:b/>
          <w:szCs w:val="20"/>
        </w:rPr>
        <w:t xml:space="preserve">urvival, adjusted by weights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0"/>
        <w:gridCol w:w="2108"/>
        <w:gridCol w:w="1580"/>
        <w:gridCol w:w="1574"/>
        <w:gridCol w:w="1001"/>
        <w:gridCol w:w="1484"/>
      </w:tblGrid>
      <w:tr w:rsidR="00EC5704" w:rsidRPr="00100C63" w:rsidTr="001C6E85">
        <w:trPr>
          <w:tblHeader/>
        </w:trPr>
        <w:tc>
          <w:tcPr>
            <w:tcW w:w="704" w:type="pct"/>
            <w:vAlign w:val="center"/>
          </w:tcPr>
          <w:p w:rsidR="00EC5704" w:rsidRPr="00100C63" w:rsidRDefault="00EC5704" w:rsidP="0008280C">
            <w:pPr>
              <w:pStyle w:val="Tabletext"/>
              <w:rPr>
                <w:b/>
                <w:szCs w:val="20"/>
              </w:rPr>
            </w:pPr>
            <w:r w:rsidRPr="00100C63">
              <w:rPr>
                <w:b/>
                <w:szCs w:val="20"/>
              </w:rPr>
              <w:t xml:space="preserve">Trial </w:t>
            </w:r>
          </w:p>
        </w:tc>
        <w:tc>
          <w:tcPr>
            <w:tcW w:w="1169" w:type="pct"/>
            <w:shd w:val="clear" w:color="auto" w:fill="auto"/>
            <w:vAlign w:val="center"/>
          </w:tcPr>
          <w:p w:rsidR="00EC5704" w:rsidRPr="00100C63" w:rsidRDefault="00EC5704" w:rsidP="0008280C">
            <w:pPr>
              <w:pStyle w:val="Tabletext"/>
              <w:jc w:val="center"/>
              <w:rPr>
                <w:b/>
                <w:szCs w:val="20"/>
              </w:rPr>
            </w:pPr>
            <w:r w:rsidRPr="00100C63">
              <w:rPr>
                <w:b/>
                <w:szCs w:val="20"/>
              </w:rPr>
              <w:t>Outcome</w:t>
            </w:r>
          </w:p>
        </w:tc>
        <w:tc>
          <w:tcPr>
            <w:tcW w:w="876" w:type="pct"/>
            <w:shd w:val="clear" w:color="auto" w:fill="auto"/>
            <w:vAlign w:val="center"/>
          </w:tcPr>
          <w:p w:rsidR="00EC5704" w:rsidRPr="00100C63" w:rsidRDefault="004A43D9" w:rsidP="0008280C">
            <w:pPr>
              <w:pStyle w:val="Tabletext"/>
              <w:jc w:val="center"/>
              <w:rPr>
                <w:b/>
                <w:iCs/>
                <w:szCs w:val="20"/>
              </w:rPr>
            </w:pPr>
            <w:proofErr w:type="spellStart"/>
            <w:r w:rsidRPr="00100C63">
              <w:rPr>
                <w:b/>
                <w:iCs/>
                <w:szCs w:val="20"/>
              </w:rPr>
              <w:t>Pembro</w:t>
            </w:r>
            <w:r w:rsidR="009E0366" w:rsidRPr="00100C63">
              <w:rPr>
                <w:b/>
                <w:iCs/>
                <w:szCs w:val="20"/>
              </w:rPr>
              <w:t>+plat+peme</w:t>
            </w:r>
            <w:proofErr w:type="spellEnd"/>
          </w:p>
          <w:p w:rsidR="00EC5704" w:rsidRPr="00100C63" w:rsidRDefault="00EC5704" w:rsidP="0008280C">
            <w:pPr>
              <w:pStyle w:val="Tabletext"/>
              <w:jc w:val="center"/>
              <w:rPr>
                <w:b/>
                <w:szCs w:val="20"/>
              </w:rPr>
            </w:pPr>
            <w:proofErr w:type="gramStart"/>
            <w:r w:rsidRPr="00100C63">
              <w:rPr>
                <w:b/>
                <w:iCs/>
                <w:szCs w:val="20"/>
              </w:rPr>
              <w:t>n/N</w:t>
            </w:r>
            <w:proofErr w:type="gramEnd"/>
            <w:r w:rsidRPr="00100C63">
              <w:rPr>
                <w:b/>
                <w:iCs/>
                <w:szCs w:val="20"/>
              </w:rPr>
              <w:t xml:space="preserve"> (%)</w:t>
            </w:r>
          </w:p>
        </w:tc>
        <w:tc>
          <w:tcPr>
            <w:tcW w:w="873" w:type="pct"/>
            <w:shd w:val="clear" w:color="auto" w:fill="auto"/>
            <w:vAlign w:val="center"/>
          </w:tcPr>
          <w:p w:rsidR="00EC5704" w:rsidRPr="00100C63" w:rsidRDefault="00EC5704" w:rsidP="0008280C">
            <w:pPr>
              <w:pStyle w:val="Tabletext"/>
              <w:jc w:val="center"/>
              <w:rPr>
                <w:b/>
                <w:szCs w:val="20"/>
              </w:rPr>
            </w:pPr>
            <w:r w:rsidRPr="00100C63">
              <w:rPr>
                <w:b/>
                <w:szCs w:val="20"/>
              </w:rPr>
              <w:t>Platinum doublet</w:t>
            </w:r>
          </w:p>
          <w:p w:rsidR="00EC5704" w:rsidRPr="00100C63" w:rsidRDefault="00EC5704" w:rsidP="0008280C">
            <w:pPr>
              <w:pStyle w:val="Tabletext"/>
              <w:jc w:val="center"/>
              <w:rPr>
                <w:b/>
                <w:szCs w:val="20"/>
              </w:rPr>
            </w:pPr>
            <w:proofErr w:type="gramStart"/>
            <w:r w:rsidRPr="00100C63">
              <w:rPr>
                <w:b/>
                <w:szCs w:val="20"/>
              </w:rPr>
              <w:t>n/N</w:t>
            </w:r>
            <w:proofErr w:type="gramEnd"/>
            <w:r w:rsidRPr="00100C63">
              <w:rPr>
                <w:b/>
                <w:szCs w:val="20"/>
              </w:rPr>
              <w:t xml:space="preserve"> (%)</w:t>
            </w:r>
          </w:p>
        </w:tc>
        <w:tc>
          <w:tcPr>
            <w:tcW w:w="555" w:type="pct"/>
            <w:shd w:val="clear" w:color="auto" w:fill="auto"/>
            <w:vAlign w:val="center"/>
          </w:tcPr>
          <w:p w:rsidR="00EC5704" w:rsidRPr="00100C63" w:rsidRDefault="00EC5704" w:rsidP="0008280C">
            <w:pPr>
              <w:pStyle w:val="Tabletext"/>
              <w:jc w:val="center"/>
              <w:rPr>
                <w:b/>
                <w:szCs w:val="20"/>
              </w:rPr>
            </w:pPr>
            <w:r w:rsidRPr="00100C63">
              <w:rPr>
                <w:b/>
                <w:szCs w:val="20"/>
              </w:rPr>
              <w:t>Absolute difference</w:t>
            </w:r>
          </w:p>
        </w:tc>
        <w:tc>
          <w:tcPr>
            <w:tcW w:w="824" w:type="pct"/>
            <w:shd w:val="clear" w:color="auto" w:fill="auto"/>
            <w:vAlign w:val="center"/>
          </w:tcPr>
          <w:p w:rsidR="00EC5704" w:rsidRPr="00100C63" w:rsidRDefault="00EC5704" w:rsidP="0008280C">
            <w:pPr>
              <w:pStyle w:val="Tabletext"/>
              <w:jc w:val="center"/>
              <w:rPr>
                <w:b/>
                <w:szCs w:val="20"/>
              </w:rPr>
            </w:pPr>
            <w:r w:rsidRPr="00100C63">
              <w:rPr>
                <w:b/>
                <w:szCs w:val="20"/>
              </w:rPr>
              <w:t>HR (95% CI)</w:t>
            </w:r>
          </w:p>
        </w:tc>
      </w:tr>
      <w:tr w:rsidR="00EC5704" w:rsidRPr="00100C63" w:rsidTr="001C6E85">
        <w:tc>
          <w:tcPr>
            <w:tcW w:w="704" w:type="pct"/>
            <w:vMerge w:val="restart"/>
            <w:vAlign w:val="center"/>
          </w:tcPr>
          <w:p w:rsidR="00EC5704" w:rsidRPr="00100C63" w:rsidRDefault="00EC5704" w:rsidP="0008280C">
            <w:pPr>
              <w:pStyle w:val="Tabletext"/>
              <w:rPr>
                <w:szCs w:val="20"/>
                <w:vertAlign w:val="superscript"/>
              </w:rPr>
            </w:pPr>
            <w:r w:rsidRPr="00100C63">
              <w:rPr>
                <w:szCs w:val="20"/>
              </w:rPr>
              <w:t>KN189</w:t>
            </w:r>
            <w:r w:rsidRPr="00100C63">
              <w:rPr>
                <w:szCs w:val="20"/>
                <w:vertAlign w:val="superscript"/>
              </w:rPr>
              <w:t>a</w:t>
            </w:r>
          </w:p>
        </w:tc>
        <w:tc>
          <w:tcPr>
            <w:tcW w:w="1169" w:type="pct"/>
            <w:shd w:val="clear" w:color="auto" w:fill="auto"/>
            <w:vAlign w:val="center"/>
          </w:tcPr>
          <w:p w:rsidR="00EC5704" w:rsidRPr="00100C63" w:rsidRDefault="00EC5704" w:rsidP="0008280C">
            <w:pPr>
              <w:pStyle w:val="Tabletext"/>
              <w:rPr>
                <w:szCs w:val="20"/>
              </w:rPr>
            </w:pPr>
            <w:r w:rsidRPr="00100C63">
              <w:rPr>
                <w:szCs w:val="20"/>
              </w:rPr>
              <w:t>Deaths</w:t>
            </w:r>
          </w:p>
        </w:tc>
        <w:tc>
          <w:tcPr>
            <w:tcW w:w="876" w:type="pct"/>
            <w:shd w:val="clear" w:color="auto" w:fill="auto"/>
            <w:vAlign w:val="center"/>
          </w:tcPr>
          <w:p w:rsidR="00EC5704" w:rsidRPr="00227BBD" w:rsidRDefault="00227BBD" w:rsidP="0008280C">
            <w:pPr>
              <w:pStyle w:val="Tabletext"/>
              <w:jc w:val="center"/>
              <w:rPr>
                <w:iCs/>
                <w:szCs w:val="20"/>
                <w:highlight w:val="black"/>
              </w:rPr>
            </w:pPr>
            <w:r>
              <w:rPr>
                <w:iCs/>
                <w:noProof/>
                <w:color w:val="000000"/>
                <w:szCs w:val="20"/>
                <w:highlight w:val="black"/>
              </w:rPr>
              <w:t>''''''''''''''' ''''''''''''''</w:t>
            </w:r>
          </w:p>
        </w:tc>
        <w:tc>
          <w:tcPr>
            <w:tcW w:w="873" w:type="pct"/>
            <w:shd w:val="clear" w:color="auto" w:fill="auto"/>
            <w:vAlign w:val="center"/>
          </w:tcPr>
          <w:p w:rsidR="00EC5704" w:rsidRPr="00227BBD" w:rsidRDefault="00227BBD" w:rsidP="0008280C">
            <w:pPr>
              <w:pStyle w:val="Tabletext"/>
              <w:jc w:val="center"/>
              <w:rPr>
                <w:iCs/>
                <w:szCs w:val="20"/>
                <w:highlight w:val="black"/>
              </w:rPr>
            </w:pPr>
            <w:r>
              <w:rPr>
                <w:iCs/>
                <w:noProof/>
                <w:color w:val="000000"/>
                <w:szCs w:val="20"/>
                <w:highlight w:val="black"/>
              </w:rPr>
              <w:t>'''''''''''' ''''''''''''''</w:t>
            </w:r>
          </w:p>
        </w:tc>
        <w:tc>
          <w:tcPr>
            <w:tcW w:w="555" w:type="pct"/>
            <w:shd w:val="clear" w:color="auto" w:fill="auto"/>
            <w:vAlign w:val="center"/>
          </w:tcPr>
          <w:p w:rsidR="00EC5704" w:rsidRPr="00227BBD" w:rsidRDefault="00227BBD" w:rsidP="0008280C">
            <w:pPr>
              <w:pStyle w:val="Tabletext"/>
              <w:jc w:val="center"/>
              <w:rPr>
                <w:szCs w:val="20"/>
                <w:highlight w:val="black"/>
              </w:rPr>
            </w:pPr>
            <w:r>
              <w:rPr>
                <w:noProof/>
                <w:color w:val="000000"/>
                <w:szCs w:val="20"/>
                <w:highlight w:val="black"/>
              </w:rPr>
              <w:t>''''''''''''''''''</w:t>
            </w:r>
          </w:p>
        </w:tc>
        <w:tc>
          <w:tcPr>
            <w:tcW w:w="824" w:type="pct"/>
            <w:shd w:val="clear" w:color="auto" w:fill="auto"/>
            <w:vAlign w:val="center"/>
          </w:tcPr>
          <w:p w:rsidR="00EC5704" w:rsidRPr="00100C63" w:rsidRDefault="00EC5704" w:rsidP="0008280C">
            <w:pPr>
              <w:pStyle w:val="Tabletext"/>
              <w:jc w:val="center"/>
              <w:rPr>
                <w:szCs w:val="20"/>
              </w:rPr>
            </w:pPr>
            <w:r w:rsidRPr="00100C63">
              <w:rPr>
                <w:szCs w:val="20"/>
              </w:rPr>
              <w:t>-</w:t>
            </w:r>
          </w:p>
        </w:tc>
      </w:tr>
      <w:tr w:rsidR="00EC5704" w:rsidRPr="00100C63" w:rsidTr="001C6E85">
        <w:tc>
          <w:tcPr>
            <w:tcW w:w="704" w:type="pct"/>
            <w:vMerge/>
            <w:tcBorders>
              <w:bottom w:val="double" w:sz="4" w:space="0" w:color="auto"/>
            </w:tcBorders>
            <w:vAlign w:val="center"/>
          </w:tcPr>
          <w:p w:rsidR="00EC5704" w:rsidRPr="00100C63" w:rsidRDefault="00EC5704" w:rsidP="0008280C">
            <w:pPr>
              <w:pStyle w:val="Tabletext"/>
              <w:rPr>
                <w:szCs w:val="20"/>
              </w:rPr>
            </w:pPr>
          </w:p>
        </w:tc>
        <w:tc>
          <w:tcPr>
            <w:tcW w:w="1169" w:type="pct"/>
            <w:tcBorders>
              <w:bottom w:val="double" w:sz="4" w:space="0" w:color="auto"/>
            </w:tcBorders>
            <w:shd w:val="clear" w:color="auto" w:fill="auto"/>
            <w:vAlign w:val="center"/>
          </w:tcPr>
          <w:p w:rsidR="00EC5704" w:rsidRPr="00100C63" w:rsidRDefault="00EC5704" w:rsidP="0008280C">
            <w:pPr>
              <w:pStyle w:val="Tabletext"/>
              <w:rPr>
                <w:szCs w:val="20"/>
                <w:vertAlign w:val="superscript"/>
              </w:rPr>
            </w:pPr>
            <w:r w:rsidRPr="00100C63">
              <w:rPr>
                <w:szCs w:val="20"/>
              </w:rPr>
              <w:t>Median months OS (range)</w:t>
            </w:r>
            <w:r w:rsidRPr="00100C63">
              <w:rPr>
                <w:szCs w:val="20"/>
                <w:vertAlign w:val="superscript"/>
              </w:rPr>
              <w:t>c</w:t>
            </w:r>
          </w:p>
        </w:tc>
        <w:tc>
          <w:tcPr>
            <w:tcW w:w="876" w:type="pct"/>
            <w:tcBorders>
              <w:bottom w:val="double" w:sz="4" w:space="0" w:color="auto"/>
            </w:tcBorders>
            <w:shd w:val="clear" w:color="auto" w:fill="auto"/>
            <w:vAlign w:val="center"/>
          </w:tcPr>
          <w:p w:rsidR="00EC5704" w:rsidRPr="00227BBD" w:rsidRDefault="00227BBD" w:rsidP="0008280C">
            <w:pPr>
              <w:pStyle w:val="Tabletext"/>
              <w:jc w:val="center"/>
              <w:rPr>
                <w:iCs/>
                <w:szCs w:val="20"/>
                <w:highlight w:val="black"/>
              </w:rPr>
            </w:pPr>
            <w:r>
              <w:rPr>
                <w:iCs/>
                <w:noProof/>
                <w:color w:val="000000"/>
                <w:szCs w:val="20"/>
                <w:highlight w:val="black"/>
              </w:rPr>
              <w:t>'''''''''</w:t>
            </w:r>
          </w:p>
        </w:tc>
        <w:tc>
          <w:tcPr>
            <w:tcW w:w="873" w:type="pct"/>
            <w:tcBorders>
              <w:bottom w:val="double" w:sz="4" w:space="0" w:color="auto"/>
            </w:tcBorders>
            <w:shd w:val="clear" w:color="auto" w:fill="auto"/>
            <w:vAlign w:val="center"/>
          </w:tcPr>
          <w:p w:rsidR="00EC5704" w:rsidRPr="00227BBD" w:rsidRDefault="00227BBD" w:rsidP="0008280C">
            <w:pPr>
              <w:pStyle w:val="Tabletext"/>
              <w:jc w:val="center"/>
              <w:rPr>
                <w:iCs/>
                <w:szCs w:val="20"/>
                <w:highlight w:val="black"/>
              </w:rPr>
            </w:pPr>
            <w:r>
              <w:rPr>
                <w:iCs/>
                <w:noProof/>
                <w:color w:val="000000"/>
                <w:szCs w:val="20"/>
                <w:highlight w:val="black"/>
              </w:rPr>
              <w:t>'''''''''' ''''''''''' '''</w:t>
            </w:r>
          </w:p>
        </w:tc>
        <w:tc>
          <w:tcPr>
            <w:tcW w:w="555" w:type="pct"/>
            <w:tcBorders>
              <w:bottom w:val="double" w:sz="4" w:space="0" w:color="auto"/>
            </w:tcBorders>
            <w:shd w:val="clear" w:color="auto" w:fill="auto"/>
            <w:vAlign w:val="center"/>
          </w:tcPr>
          <w:p w:rsidR="00EC5704" w:rsidRPr="00227BBD" w:rsidRDefault="00227BBD" w:rsidP="0008280C">
            <w:pPr>
              <w:pStyle w:val="Tabletext"/>
              <w:jc w:val="center"/>
              <w:rPr>
                <w:szCs w:val="20"/>
                <w:highlight w:val="black"/>
              </w:rPr>
            </w:pPr>
            <w:r>
              <w:rPr>
                <w:noProof/>
                <w:color w:val="000000"/>
                <w:szCs w:val="20"/>
                <w:highlight w:val="black"/>
              </w:rPr>
              <w:t>''</w:t>
            </w:r>
          </w:p>
        </w:tc>
        <w:tc>
          <w:tcPr>
            <w:tcW w:w="824" w:type="pct"/>
            <w:tcBorders>
              <w:bottom w:val="double" w:sz="4" w:space="0" w:color="auto"/>
            </w:tcBorders>
            <w:shd w:val="clear" w:color="auto" w:fill="auto"/>
            <w:vAlign w:val="center"/>
          </w:tcPr>
          <w:p w:rsidR="00EC5704" w:rsidRPr="00227BBD" w:rsidRDefault="00227BBD" w:rsidP="0008280C">
            <w:pPr>
              <w:pStyle w:val="Tabletext"/>
              <w:jc w:val="center"/>
              <w:rPr>
                <w:b/>
                <w:szCs w:val="20"/>
                <w:highlight w:val="black"/>
              </w:rPr>
            </w:pPr>
            <w:r>
              <w:rPr>
                <w:b/>
                <w:noProof/>
                <w:color w:val="000000"/>
                <w:szCs w:val="20"/>
                <w:highlight w:val="black"/>
              </w:rPr>
              <w:t>'''''''' ''''''''''''' ''''''''''</w:t>
            </w:r>
          </w:p>
        </w:tc>
      </w:tr>
      <w:tr w:rsidR="00EC5704" w:rsidRPr="00100C63" w:rsidTr="001C6E85">
        <w:tc>
          <w:tcPr>
            <w:tcW w:w="704" w:type="pct"/>
            <w:tcBorders>
              <w:top w:val="double" w:sz="4" w:space="0" w:color="auto"/>
              <w:bottom w:val="single" w:sz="4" w:space="0" w:color="auto"/>
            </w:tcBorders>
            <w:vAlign w:val="center"/>
          </w:tcPr>
          <w:p w:rsidR="00EC5704" w:rsidRPr="00100C63" w:rsidRDefault="00EC5704" w:rsidP="0008280C">
            <w:pPr>
              <w:pStyle w:val="Tabletext"/>
              <w:rPr>
                <w:b/>
                <w:szCs w:val="20"/>
              </w:rPr>
            </w:pPr>
          </w:p>
        </w:tc>
        <w:tc>
          <w:tcPr>
            <w:tcW w:w="1169" w:type="pct"/>
            <w:tcBorders>
              <w:top w:val="double" w:sz="4" w:space="0" w:color="auto"/>
              <w:bottom w:val="single" w:sz="4" w:space="0" w:color="auto"/>
            </w:tcBorders>
            <w:shd w:val="clear" w:color="auto" w:fill="auto"/>
            <w:vAlign w:val="center"/>
          </w:tcPr>
          <w:p w:rsidR="00EC5704" w:rsidRPr="00100C63" w:rsidRDefault="00EC5704" w:rsidP="0008280C">
            <w:pPr>
              <w:pStyle w:val="Tabletext"/>
              <w:rPr>
                <w:b/>
                <w:szCs w:val="20"/>
              </w:rPr>
            </w:pPr>
          </w:p>
        </w:tc>
        <w:tc>
          <w:tcPr>
            <w:tcW w:w="876" w:type="pct"/>
            <w:tcBorders>
              <w:top w:val="double" w:sz="4" w:space="0" w:color="auto"/>
              <w:bottom w:val="single" w:sz="4" w:space="0" w:color="auto"/>
            </w:tcBorders>
            <w:shd w:val="clear" w:color="auto" w:fill="auto"/>
            <w:vAlign w:val="center"/>
          </w:tcPr>
          <w:p w:rsidR="00EC5704" w:rsidRPr="00100C63" w:rsidRDefault="00EC5704" w:rsidP="0008280C">
            <w:pPr>
              <w:pStyle w:val="Tabletext"/>
              <w:jc w:val="center"/>
              <w:rPr>
                <w:b/>
                <w:szCs w:val="20"/>
              </w:rPr>
            </w:pPr>
            <w:proofErr w:type="spellStart"/>
            <w:r w:rsidRPr="00100C63">
              <w:rPr>
                <w:b/>
                <w:szCs w:val="20"/>
              </w:rPr>
              <w:t>Pembrolizumab</w:t>
            </w:r>
            <w:proofErr w:type="spellEnd"/>
            <w:r w:rsidRPr="00100C63">
              <w:rPr>
                <w:b/>
                <w:szCs w:val="20"/>
              </w:rPr>
              <w:t xml:space="preserve"> monotherapy</w:t>
            </w:r>
          </w:p>
          <w:p w:rsidR="00EC5704" w:rsidRPr="00100C63" w:rsidRDefault="00EC5704" w:rsidP="0008280C">
            <w:pPr>
              <w:pStyle w:val="Tabletext"/>
              <w:jc w:val="center"/>
              <w:rPr>
                <w:b/>
                <w:szCs w:val="20"/>
              </w:rPr>
            </w:pPr>
            <w:proofErr w:type="gramStart"/>
            <w:r w:rsidRPr="00100C63">
              <w:rPr>
                <w:b/>
                <w:szCs w:val="20"/>
              </w:rPr>
              <w:t>n/N</w:t>
            </w:r>
            <w:proofErr w:type="gramEnd"/>
            <w:r w:rsidRPr="00100C63">
              <w:rPr>
                <w:b/>
                <w:szCs w:val="20"/>
              </w:rPr>
              <w:t xml:space="preserve"> (%)</w:t>
            </w:r>
          </w:p>
        </w:tc>
        <w:tc>
          <w:tcPr>
            <w:tcW w:w="873" w:type="pct"/>
            <w:tcBorders>
              <w:top w:val="double" w:sz="4" w:space="0" w:color="auto"/>
              <w:bottom w:val="single" w:sz="4" w:space="0" w:color="auto"/>
            </w:tcBorders>
            <w:shd w:val="clear" w:color="auto" w:fill="auto"/>
            <w:vAlign w:val="center"/>
          </w:tcPr>
          <w:p w:rsidR="00EC5704" w:rsidRPr="00100C63" w:rsidRDefault="00EC5704" w:rsidP="0008280C">
            <w:pPr>
              <w:pStyle w:val="Tabletext"/>
              <w:jc w:val="center"/>
              <w:rPr>
                <w:b/>
                <w:szCs w:val="20"/>
                <w:vertAlign w:val="superscript"/>
              </w:rPr>
            </w:pPr>
            <w:r w:rsidRPr="00100C63">
              <w:rPr>
                <w:b/>
                <w:szCs w:val="20"/>
              </w:rPr>
              <w:t xml:space="preserve">Platinum </w:t>
            </w:r>
            <w:proofErr w:type="spellStart"/>
            <w:r w:rsidRPr="00100C63">
              <w:rPr>
                <w:b/>
                <w:szCs w:val="20"/>
              </w:rPr>
              <w:t>doublet</w:t>
            </w:r>
            <w:r w:rsidRPr="00100C63">
              <w:rPr>
                <w:b/>
                <w:szCs w:val="20"/>
                <w:vertAlign w:val="superscript"/>
              </w:rPr>
              <w:t>d</w:t>
            </w:r>
            <w:proofErr w:type="spellEnd"/>
          </w:p>
          <w:p w:rsidR="00EC5704" w:rsidRPr="00100C63" w:rsidRDefault="00EC5704" w:rsidP="0008280C">
            <w:pPr>
              <w:pStyle w:val="Tabletext"/>
              <w:jc w:val="center"/>
              <w:rPr>
                <w:b/>
                <w:szCs w:val="20"/>
              </w:rPr>
            </w:pPr>
            <w:proofErr w:type="gramStart"/>
            <w:r w:rsidRPr="00100C63">
              <w:rPr>
                <w:b/>
                <w:szCs w:val="20"/>
              </w:rPr>
              <w:t>n/N</w:t>
            </w:r>
            <w:proofErr w:type="gramEnd"/>
            <w:r w:rsidRPr="00100C63">
              <w:rPr>
                <w:b/>
                <w:szCs w:val="20"/>
              </w:rPr>
              <w:t xml:space="preserve"> (%)</w:t>
            </w:r>
          </w:p>
        </w:tc>
        <w:tc>
          <w:tcPr>
            <w:tcW w:w="555" w:type="pct"/>
            <w:tcBorders>
              <w:top w:val="double" w:sz="4" w:space="0" w:color="auto"/>
              <w:bottom w:val="single" w:sz="4" w:space="0" w:color="auto"/>
            </w:tcBorders>
            <w:shd w:val="clear" w:color="auto" w:fill="auto"/>
            <w:vAlign w:val="center"/>
          </w:tcPr>
          <w:p w:rsidR="00EC5704" w:rsidRPr="00100C63" w:rsidRDefault="00EC5704" w:rsidP="0008280C">
            <w:pPr>
              <w:pStyle w:val="Tabletext"/>
              <w:jc w:val="center"/>
              <w:rPr>
                <w:b/>
                <w:szCs w:val="20"/>
              </w:rPr>
            </w:pPr>
            <w:r w:rsidRPr="00100C63">
              <w:rPr>
                <w:b/>
                <w:szCs w:val="20"/>
              </w:rPr>
              <w:t>Absolute difference</w:t>
            </w:r>
          </w:p>
        </w:tc>
        <w:tc>
          <w:tcPr>
            <w:tcW w:w="824" w:type="pct"/>
            <w:tcBorders>
              <w:top w:val="double" w:sz="4" w:space="0" w:color="auto"/>
              <w:bottom w:val="single" w:sz="4" w:space="0" w:color="auto"/>
            </w:tcBorders>
            <w:shd w:val="clear" w:color="auto" w:fill="auto"/>
            <w:vAlign w:val="center"/>
          </w:tcPr>
          <w:p w:rsidR="00EC5704" w:rsidRPr="00100C63" w:rsidRDefault="00EC5704" w:rsidP="0008280C">
            <w:pPr>
              <w:pStyle w:val="Tabletext"/>
              <w:jc w:val="center"/>
              <w:rPr>
                <w:b/>
                <w:szCs w:val="20"/>
              </w:rPr>
            </w:pPr>
            <w:r w:rsidRPr="00100C63">
              <w:rPr>
                <w:b/>
                <w:szCs w:val="20"/>
              </w:rPr>
              <w:t>HR (95% CI)</w:t>
            </w:r>
          </w:p>
        </w:tc>
      </w:tr>
      <w:tr w:rsidR="00EC5704" w:rsidRPr="00100C63" w:rsidTr="001C6E85">
        <w:tc>
          <w:tcPr>
            <w:tcW w:w="704" w:type="pct"/>
            <w:vMerge w:val="restart"/>
            <w:tcBorders>
              <w:top w:val="single" w:sz="4" w:space="0" w:color="auto"/>
            </w:tcBorders>
            <w:vAlign w:val="center"/>
          </w:tcPr>
          <w:p w:rsidR="00EC5704" w:rsidRPr="00100C63" w:rsidRDefault="00EC5704" w:rsidP="0008280C">
            <w:pPr>
              <w:pStyle w:val="Tabletext"/>
              <w:rPr>
                <w:szCs w:val="20"/>
                <w:vertAlign w:val="superscript"/>
              </w:rPr>
            </w:pPr>
            <w:r w:rsidRPr="00100C63">
              <w:rPr>
                <w:szCs w:val="20"/>
              </w:rPr>
              <w:t>KN024</w:t>
            </w:r>
            <w:r w:rsidRPr="00100C63">
              <w:rPr>
                <w:szCs w:val="20"/>
                <w:vertAlign w:val="superscript"/>
              </w:rPr>
              <w:t>b</w:t>
            </w:r>
          </w:p>
        </w:tc>
        <w:tc>
          <w:tcPr>
            <w:tcW w:w="1169" w:type="pct"/>
            <w:tcBorders>
              <w:top w:val="single" w:sz="4" w:space="0" w:color="auto"/>
            </w:tcBorders>
            <w:shd w:val="clear" w:color="auto" w:fill="auto"/>
            <w:vAlign w:val="center"/>
          </w:tcPr>
          <w:p w:rsidR="00EC5704" w:rsidRPr="00100C63" w:rsidRDefault="00EC5704" w:rsidP="0008280C">
            <w:pPr>
              <w:pStyle w:val="Tabletext"/>
              <w:rPr>
                <w:szCs w:val="20"/>
              </w:rPr>
            </w:pPr>
            <w:r w:rsidRPr="00100C63">
              <w:rPr>
                <w:szCs w:val="20"/>
              </w:rPr>
              <w:t>Deaths</w:t>
            </w:r>
          </w:p>
        </w:tc>
        <w:tc>
          <w:tcPr>
            <w:tcW w:w="876" w:type="pct"/>
            <w:tcBorders>
              <w:top w:val="single" w:sz="4" w:space="0" w:color="auto"/>
            </w:tcBorders>
            <w:shd w:val="clear" w:color="auto" w:fill="auto"/>
            <w:vAlign w:val="center"/>
          </w:tcPr>
          <w:p w:rsidR="00EC5704" w:rsidRPr="00227BBD" w:rsidRDefault="00227BBD" w:rsidP="0008280C">
            <w:pPr>
              <w:pStyle w:val="Tabletext"/>
              <w:jc w:val="center"/>
              <w:rPr>
                <w:szCs w:val="20"/>
                <w:highlight w:val="black"/>
              </w:rPr>
            </w:pPr>
            <w:r>
              <w:rPr>
                <w:noProof/>
                <w:color w:val="000000"/>
                <w:szCs w:val="20"/>
                <w:highlight w:val="black"/>
              </w:rPr>
              <w:t>'''''''''''' '''''''''''''</w:t>
            </w:r>
          </w:p>
        </w:tc>
        <w:tc>
          <w:tcPr>
            <w:tcW w:w="873" w:type="pct"/>
            <w:tcBorders>
              <w:top w:val="single" w:sz="4" w:space="0" w:color="auto"/>
            </w:tcBorders>
            <w:shd w:val="clear" w:color="auto" w:fill="auto"/>
            <w:vAlign w:val="center"/>
          </w:tcPr>
          <w:p w:rsidR="00EC5704" w:rsidRPr="00227BBD" w:rsidRDefault="00227BBD" w:rsidP="0008280C">
            <w:pPr>
              <w:pStyle w:val="Tabletext"/>
              <w:jc w:val="center"/>
              <w:rPr>
                <w:szCs w:val="20"/>
                <w:highlight w:val="black"/>
              </w:rPr>
            </w:pPr>
            <w:r>
              <w:rPr>
                <w:noProof/>
                <w:color w:val="000000"/>
                <w:szCs w:val="20"/>
                <w:highlight w:val="black"/>
              </w:rPr>
              <w:t>'''''''''''''''' '''''''''''''</w:t>
            </w:r>
          </w:p>
        </w:tc>
        <w:tc>
          <w:tcPr>
            <w:tcW w:w="555" w:type="pct"/>
            <w:tcBorders>
              <w:top w:val="single" w:sz="4" w:space="0" w:color="auto"/>
            </w:tcBorders>
            <w:shd w:val="clear" w:color="auto" w:fill="auto"/>
            <w:vAlign w:val="center"/>
          </w:tcPr>
          <w:p w:rsidR="00EC5704" w:rsidRPr="00227BBD" w:rsidRDefault="00227BBD" w:rsidP="0008280C">
            <w:pPr>
              <w:pStyle w:val="Tabletext"/>
              <w:jc w:val="center"/>
              <w:rPr>
                <w:szCs w:val="20"/>
                <w:highlight w:val="black"/>
              </w:rPr>
            </w:pPr>
            <w:r>
              <w:rPr>
                <w:noProof/>
                <w:color w:val="000000"/>
                <w:szCs w:val="20"/>
                <w:highlight w:val="black"/>
              </w:rPr>
              <w:t>'''''''''''''''''</w:t>
            </w:r>
          </w:p>
        </w:tc>
        <w:tc>
          <w:tcPr>
            <w:tcW w:w="824" w:type="pct"/>
            <w:tcBorders>
              <w:top w:val="single" w:sz="4" w:space="0" w:color="auto"/>
            </w:tcBorders>
            <w:shd w:val="clear" w:color="auto" w:fill="auto"/>
            <w:vAlign w:val="center"/>
          </w:tcPr>
          <w:p w:rsidR="00EC5704" w:rsidRPr="00100C63" w:rsidRDefault="00EC5704" w:rsidP="0008280C">
            <w:pPr>
              <w:pStyle w:val="Tabletext"/>
              <w:jc w:val="center"/>
              <w:rPr>
                <w:szCs w:val="20"/>
              </w:rPr>
            </w:pPr>
          </w:p>
        </w:tc>
      </w:tr>
      <w:tr w:rsidR="00EC5704" w:rsidRPr="00100C63" w:rsidTr="001C6E85">
        <w:tc>
          <w:tcPr>
            <w:tcW w:w="704" w:type="pct"/>
            <w:vMerge/>
            <w:vAlign w:val="center"/>
          </w:tcPr>
          <w:p w:rsidR="00EC5704" w:rsidRPr="00100C63" w:rsidRDefault="00EC5704" w:rsidP="0008280C">
            <w:pPr>
              <w:pStyle w:val="Tabletext"/>
              <w:rPr>
                <w:szCs w:val="20"/>
              </w:rPr>
            </w:pPr>
          </w:p>
        </w:tc>
        <w:tc>
          <w:tcPr>
            <w:tcW w:w="1169" w:type="pct"/>
            <w:shd w:val="clear" w:color="auto" w:fill="auto"/>
            <w:vAlign w:val="center"/>
          </w:tcPr>
          <w:p w:rsidR="00EC5704" w:rsidRPr="00100C63" w:rsidRDefault="00EC5704" w:rsidP="0008280C">
            <w:pPr>
              <w:pStyle w:val="Tabletext"/>
              <w:rPr>
                <w:szCs w:val="20"/>
                <w:vertAlign w:val="superscript"/>
              </w:rPr>
            </w:pPr>
            <w:r w:rsidRPr="00100C63">
              <w:rPr>
                <w:szCs w:val="20"/>
              </w:rPr>
              <w:t>Median months OS (range)</w:t>
            </w:r>
            <w:r w:rsidRPr="00100C63">
              <w:rPr>
                <w:szCs w:val="20"/>
                <w:vertAlign w:val="superscript"/>
              </w:rPr>
              <w:t>c</w:t>
            </w:r>
          </w:p>
        </w:tc>
        <w:tc>
          <w:tcPr>
            <w:tcW w:w="876" w:type="pct"/>
            <w:shd w:val="clear" w:color="auto" w:fill="auto"/>
            <w:vAlign w:val="center"/>
          </w:tcPr>
          <w:p w:rsidR="00EC5704" w:rsidRPr="00227BBD" w:rsidRDefault="00227BBD" w:rsidP="0008280C">
            <w:pPr>
              <w:pStyle w:val="Tabletext"/>
              <w:jc w:val="center"/>
              <w:rPr>
                <w:szCs w:val="20"/>
                <w:highlight w:val="black"/>
              </w:rPr>
            </w:pPr>
            <w:r>
              <w:rPr>
                <w:noProof/>
                <w:color w:val="000000"/>
                <w:szCs w:val="20"/>
                <w:highlight w:val="black"/>
              </w:rPr>
              <w:t>''''''''</w:t>
            </w:r>
          </w:p>
        </w:tc>
        <w:tc>
          <w:tcPr>
            <w:tcW w:w="873" w:type="pct"/>
            <w:shd w:val="clear" w:color="auto" w:fill="auto"/>
            <w:vAlign w:val="center"/>
          </w:tcPr>
          <w:p w:rsidR="00EC5704" w:rsidRPr="00227BBD" w:rsidRDefault="00227BBD" w:rsidP="0008280C">
            <w:pPr>
              <w:pStyle w:val="Tabletext"/>
              <w:jc w:val="center"/>
              <w:rPr>
                <w:szCs w:val="20"/>
                <w:highlight w:val="black"/>
              </w:rPr>
            </w:pPr>
            <w:r>
              <w:rPr>
                <w:noProof/>
                <w:color w:val="000000"/>
                <w:szCs w:val="20"/>
                <w:highlight w:val="black"/>
              </w:rPr>
              <w:t>'''''''''' ''''''''''''''' ''''''''''''</w:t>
            </w:r>
          </w:p>
        </w:tc>
        <w:tc>
          <w:tcPr>
            <w:tcW w:w="555" w:type="pct"/>
            <w:shd w:val="clear" w:color="auto" w:fill="auto"/>
            <w:vAlign w:val="center"/>
          </w:tcPr>
          <w:p w:rsidR="00EC5704" w:rsidRPr="00227BBD" w:rsidRDefault="00EC5704" w:rsidP="0008280C">
            <w:pPr>
              <w:pStyle w:val="Tabletext"/>
              <w:jc w:val="center"/>
              <w:rPr>
                <w:szCs w:val="20"/>
              </w:rPr>
            </w:pPr>
          </w:p>
        </w:tc>
        <w:tc>
          <w:tcPr>
            <w:tcW w:w="824" w:type="pct"/>
            <w:shd w:val="clear" w:color="auto" w:fill="auto"/>
            <w:vAlign w:val="center"/>
          </w:tcPr>
          <w:p w:rsidR="00EC5704" w:rsidRPr="00227BBD" w:rsidRDefault="00227BBD" w:rsidP="0008280C">
            <w:pPr>
              <w:pStyle w:val="Tabletext"/>
              <w:jc w:val="center"/>
              <w:rPr>
                <w:b/>
                <w:szCs w:val="20"/>
                <w:highlight w:val="black"/>
              </w:rPr>
            </w:pPr>
            <w:r>
              <w:rPr>
                <w:b/>
                <w:noProof/>
                <w:color w:val="000000"/>
                <w:szCs w:val="20"/>
                <w:highlight w:val="black"/>
              </w:rPr>
              <w:t>'''''''' '''''''''''' ''''''''''</w:t>
            </w:r>
          </w:p>
        </w:tc>
      </w:tr>
      <w:tr w:rsidR="00EC5704" w:rsidRPr="00243081" w:rsidTr="001C6E85">
        <w:tc>
          <w:tcPr>
            <w:tcW w:w="4176" w:type="pct"/>
            <w:gridSpan w:val="5"/>
            <w:vAlign w:val="center"/>
          </w:tcPr>
          <w:p w:rsidR="00EC5704" w:rsidRPr="00100C63" w:rsidRDefault="00EC5704" w:rsidP="0008280C">
            <w:pPr>
              <w:pStyle w:val="Tabletext"/>
              <w:jc w:val="right"/>
              <w:rPr>
                <w:b/>
                <w:szCs w:val="20"/>
              </w:rPr>
            </w:pPr>
            <w:r w:rsidRPr="00100C63">
              <w:rPr>
                <w:b/>
                <w:szCs w:val="20"/>
              </w:rPr>
              <w:t xml:space="preserve">Indirect comparison </w:t>
            </w:r>
            <w:proofErr w:type="spellStart"/>
            <w:r w:rsidR="004A43D9" w:rsidRPr="00100C63">
              <w:rPr>
                <w:b/>
                <w:szCs w:val="20"/>
              </w:rPr>
              <w:t>pembrolizumab+platinum+pemetrexed</w:t>
            </w:r>
            <w:proofErr w:type="spellEnd"/>
            <w:r w:rsidRPr="00100C63">
              <w:rPr>
                <w:b/>
                <w:szCs w:val="20"/>
              </w:rPr>
              <w:t xml:space="preserve"> vs. </w:t>
            </w:r>
            <w:proofErr w:type="spellStart"/>
            <w:r w:rsidRPr="00100C63">
              <w:rPr>
                <w:b/>
                <w:szCs w:val="20"/>
              </w:rPr>
              <w:t>pembrolizumab</w:t>
            </w:r>
            <w:proofErr w:type="spellEnd"/>
            <w:r w:rsidRPr="00100C63">
              <w:rPr>
                <w:b/>
                <w:szCs w:val="20"/>
              </w:rPr>
              <w:t xml:space="preserve"> monotherapy</w:t>
            </w:r>
          </w:p>
          <w:p w:rsidR="00EC5704" w:rsidRPr="00100C63" w:rsidRDefault="00EC5704" w:rsidP="0008280C">
            <w:pPr>
              <w:pStyle w:val="Tabletext"/>
              <w:jc w:val="right"/>
              <w:rPr>
                <w:szCs w:val="20"/>
              </w:rPr>
            </w:pPr>
            <w:r w:rsidRPr="00100C63">
              <w:rPr>
                <w:szCs w:val="20"/>
              </w:rPr>
              <w:t>IP</w:t>
            </w:r>
            <w:r w:rsidR="00736381" w:rsidRPr="00100C63">
              <w:rPr>
                <w:szCs w:val="20"/>
              </w:rPr>
              <w:t>T</w:t>
            </w:r>
            <w:r w:rsidRPr="00100C63">
              <w:rPr>
                <w:szCs w:val="20"/>
              </w:rPr>
              <w:t>W weighting only</w:t>
            </w:r>
          </w:p>
          <w:p w:rsidR="00EC5704" w:rsidRPr="00100C63" w:rsidRDefault="00EC5704" w:rsidP="0008280C">
            <w:pPr>
              <w:pStyle w:val="Tabletext"/>
              <w:jc w:val="right"/>
              <w:rPr>
                <w:szCs w:val="20"/>
              </w:rPr>
            </w:pPr>
            <w:r w:rsidRPr="00100C63">
              <w:rPr>
                <w:szCs w:val="20"/>
              </w:rPr>
              <w:t xml:space="preserve">2 stage analysis (cross over from platinum doublet to </w:t>
            </w:r>
            <w:proofErr w:type="spellStart"/>
            <w:r w:rsidRPr="00100C63">
              <w:rPr>
                <w:szCs w:val="20"/>
              </w:rPr>
              <w:t>pembrolizumab</w:t>
            </w:r>
            <w:proofErr w:type="spellEnd"/>
            <w:r w:rsidRPr="00100C63">
              <w:rPr>
                <w:szCs w:val="20"/>
              </w:rPr>
              <w:t xml:space="preserve"> only)</w:t>
            </w:r>
          </w:p>
          <w:p w:rsidR="00EC5704" w:rsidRPr="00100C63" w:rsidRDefault="00EC5704" w:rsidP="0008280C">
            <w:pPr>
              <w:pStyle w:val="Tabletext"/>
              <w:jc w:val="right"/>
              <w:rPr>
                <w:szCs w:val="20"/>
              </w:rPr>
            </w:pPr>
            <w:r w:rsidRPr="00100C63">
              <w:rPr>
                <w:szCs w:val="20"/>
              </w:rPr>
              <w:t>2 stage analysis (cross over from platinum doublet to all PD-L1/PD-1 checkpoint inhibitors)</w:t>
            </w:r>
          </w:p>
          <w:p w:rsidR="00EC5704" w:rsidRPr="00100C63" w:rsidRDefault="00EC5704" w:rsidP="0008280C">
            <w:pPr>
              <w:pStyle w:val="Tabletext"/>
              <w:jc w:val="right"/>
              <w:rPr>
                <w:szCs w:val="20"/>
              </w:rPr>
            </w:pPr>
            <w:r w:rsidRPr="00100C63">
              <w:rPr>
                <w:szCs w:val="20"/>
              </w:rPr>
              <w:t xml:space="preserve">RPSFT model (cross over from platinum doublet to </w:t>
            </w:r>
            <w:proofErr w:type="spellStart"/>
            <w:r w:rsidRPr="00100C63">
              <w:rPr>
                <w:szCs w:val="20"/>
              </w:rPr>
              <w:t>pembrolizumab</w:t>
            </w:r>
            <w:proofErr w:type="spellEnd"/>
            <w:r w:rsidRPr="00100C63">
              <w:rPr>
                <w:szCs w:val="20"/>
              </w:rPr>
              <w:t xml:space="preserve"> only)</w:t>
            </w:r>
          </w:p>
          <w:p w:rsidR="00EC5704" w:rsidRPr="00100C63" w:rsidRDefault="00EC5704" w:rsidP="0008280C">
            <w:pPr>
              <w:pStyle w:val="Tabletext"/>
              <w:jc w:val="right"/>
              <w:rPr>
                <w:szCs w:val="20"/>
              </w:rPr>
            </w:pPr>
            <w:r w:rsidRPr="00100C63">
              <w:rPr>
                <w:szCs w:val="20"/>
              </w:rPr>
              <w:t>RPSFT model (cross over from platinum doublet to all PD-L1/PD-1 checkpoint inhibitors)</w:t>
            </w:r>
          </w:p>
          <w:p w:rsidR="00EC5704" w:rsidRPr="00100C63" w:rsidRDefault="00EC5704" w:rsidP="0008280C">
            <w:pPr>
              <w:pStyle w:val="Tabletext"/>
              <w:jc w:val="right"/>
              <w:rPr>
                <w:szCs w:val="20"/>
              </w:rPr>
            </w:pPr>
            <w:r w:rsidRPr="00100C63">
              <w:rPr>
                <w:szCs w:val="20"/>
              </w:rPr>
              <w:t xml:space="preserve">IPCW model (cross over from platinum doublet to </w:t>
            </w:r>
            <w:proofErr w:type="spellStart"/>
            <w:r w:rsidRPr="00100C63">
              <w:rPr>
                <w:szCs w:val="20"/>
              </w:rPr>
              <w:t>pembrolizumab</w:t>
            </w:r>
            <w:proofErr w:type="spellEnd"/>
            <w:r w:rsidRPr="00100C63">
              <w:rPr>
                <w:szCs w:val="20"/>
              </w:rPr>
              <w:t xml:space="preserve"> only)</w:t>
            </w:r>
          </w:p>
          <w:p w:rsidR="00EC5704" w:rsidRPr="00100C63" w:rsidRDefault="00EC5704" w:rsidP="0008280C">
            <w:pPr>
              <w:pStyle w:val="Tabletext"/>
              <w:jc w:val="right"/>
              <w:rPr>
                <w:b/>
                <w:szCs w:val="20"/>
              </w:rPr>
            </w:pPr>
            <w:r w:rsidRPr="00100C63">
              <w:rPr>
                <w:szCs w:val="20"/>
              </w:rPr>
              <w:t>IPCW model (cross over from platinum doublet to all PD-L1/PD-1 checkpoint inhibitors)</w:t>
            </w:r>
          </w:p>
        </w:tc>
        <w:tc>
          <w:tcPr>
            <w:tcW w:w="824" w:type="pct"/>
            <w:shd w:val="clear" w:color="auto" w:fill="auto"/>
            <w:vAlign w:val="center"/>
          </w:tcPr>
          <w:p w:rsidR="00EC5704" w:rsidRPr="00100C63" w:rsidRDefault="00EC5704" w:rsidP="0008280C">
            <w:pPr>
              <w:pStyle w:val="Tabletext"/>
              <w:jc w:val="center"/>
              <w:rPr>
                <w:b/>
                <w:szCs w:val="20"/>
              </w:rPr>
            </w:pPr>
          </w:p>
          <w:p w:rsidR="00EC5704" w:rsidRPr="00227BBD" w:rsidRDefault="00227BBD" w:rsidP="0008280C">
            <w:pPr>
              <w:pStyle w:val="Tabletext"/>
              <w:jc w:val="center"/>
              <w:rPr>
                <w:szCs w:val="20"/>
                <w:highlight w:val="black"/>
              </w:rPr>
            </w:pPr>
            <w:r>
              <w:rPr>
                <w:noProof/>
                <w:color w:val="000000"/>
                <w:szCs w:val="20"/>
                <w:highlight w:val="black"/>
              </w:rPr>
              <w:t>''''''''''' ''''''''''''' '''''''''''</w:t>
            </w:r>
          </w:p>
          <w:p w:rsidR="00EC5704" w:rsidRPr="00227BBD" w:rsidRDefault="00227BBD" w:rsidP="0008280C">
            <w:pPr>
              <w:pStyle w:val="Tabletext"/>
              <w:jc w:val="center"/>
              <w:rPr>
                <w:szCs w:val="20"/>
                <w:highlight w:val="black"/>
              </w:rPr>
            </w:pPr>
            <w:r>
              <w:rPr>
                <w:noProof/>
                <w:color w:val="000000"/>
                <w:szCs w:val="20"/>
                <w:highlight w:val="black"/>
              </w:rPr>
              <w:t>'''''''''' ''''''''''''''' '''''''''''''</w:t>
            </w:r>
          </w:p>
          <w:p w:rsidR="00EC5704" w:rsidRPr="00227BBD" w:rsidRDefault="00227BBD" w:rsidP="0008280C">
            <w:pPr>
              <w:pStyle w:val="Tabletext"/>
              <w:jc w:val="center"/>
              <w:rPr>
                <w:szCs w:val="20"/>
                <w:highlight w:val="black"/>
              </w:rPr>
            </w:pPr>
            <w:r>
              <w:rPr>
                <w:noProof/>
                <w:color w:val="000000"/>
                <w:szCs w:val="20"/>
                <w:highlight w:val="black"/>
              </w:rPr>
              <w:t>''''''''''' '''''''''''' ''''''''''''</w:t>
            </w:r>
          </w:p>
          <w:p w:rsidR="00EC5704" w:rsidRPr="00227BBD" w:rsidRDefault="00227BBD" w:rsidP="0008280C">
            <w:pPr>
              <w:pStyle w:val="Tabletext"/>
              <w:jc w:val="center"/>
              <w:rPr>
                <w:szCs w:val="20"/>
                <w:highlight w:val="black"/>
              </w:rPr>
            </w:pPr>
            <w:r>
              <w:rPr>
                <w:noProof/>
                <w:color w:val="000000"/>
                <w:szCs w:val="20"/>
                <w:highlight w:val="black"/>
              </w:rPr>
              <w:t>'''''''''' ''''''''''''' ''''''''''''</w:t>
            </w:r>
          </w:p>
          <w:p w:rsidR="00EC5704" w:rsidRPr="00227BBD" w:rsidRDefault="00227BBD" w:rsidP="0008280C">
            <w:pPr>
              <w:pStyle w:val="Tabletext"/>
              <w:jc w:val="center"/>
              <w:rPr>
                <w:szCs w:val="20"/>
                <w:highlight w:val="black"/>
              </w:rPr>
            </w:pPr>
            <w:r>
              <w:rPr>
                <w:noProof/>
                <w:color w:val="000000"/>
                <w:szCs w:val="20"/>
                <w:highlight w:val="black"/>
              </w:rPr>
              <w:t>'''''''''' ''''''''''''''' ''''''''''''''</w:t>
            </w:r>
          </w:p>
          <w:p w:rsidR="00EC5704" w:rsidRPr="00227BBD" w:rsidRDefault="00227BBD" w:rsidP="0008280C">
            <w:pPr>
              <w:pStyle w:val="Tabletext"/>
              <w:jc w:val="center"/>
              <w:rPr>
                <w:szCs w:val="20"/>
                <w:highlight w:val="black"/>
              </w:rPr>
            </w:pPr>
            <w:r>
              <w:rPr>
                <w:noProof/>
                <w:color w:val="000000"/>
                <w:szCs w:val="20"/>
                <w:highlight w:val="black"/>
              </w:rPr>
              <w:t>''''''''''' ''''''''''''' '''''''''''''</w:t>
            </w:r>
          </w:p>
          <w:p w:rsidR="00EC5704" w:rsidRPr="00227BBD" w:rsidRDefault="00227BBD" w:rsidP="0008280C">
            <w:pPr>
              <w:pStyle w:val="Tabletext"/>
              <w:jc w:val="center"/>
              <w:rPr>
                <w:b/>
                <w:szCs w:val="20"/>
                <w:highlight w:val="black"/>
              </w:rPr>
            </w:pPr>
            <w:r>
              <w:rPr>
                <w:noProof/>
                <w:color w:val="000000"/>
                <w:szCs w:val="20"/>
                <w:highlight w:val="black"/>
              </w:rPr>
              <w:t>'''''''''' ''''''''''''''' ''''''''''''</w:t>
            </w:r>
          </w:p>
        </w:tc>
      </w:tr>
    </w:tbl>
    <w:p w:rsidR="00EC5704" w:rsidRPr="00243081" w:rsidRDefault="00EC5704" w:rsidP="00F50D78">
      <w:pPr>
        <w:pStyle w:val="TableFooter"/>
        <w:tabs>
          <w:tab w:val="left" w:pos="284"/>
        </w:tabs>
      </w:pPr>
      <w:proofErr w:type="gramStart"/>
      <w:r w:rsidRPr="00243081">
        <w:rPr>
          <w:vertAlign w:val="superscript"/>
        </w:rPr>
        <w:t>a</w:t>
      </w:r>
      <w:proofErr w:type="gramEnd"/>
      <w:r w:rsidRPr="00243081">
        <w:rPr>
          <w:vertAlign w:val="superscript"/>
        </w:rPr>
        <w:tab/>
      </w:r>
      <w:r w:rsidRPr="00243081">
        <w:t>Subgroup of patients with PD-L1 Tumour Proportion Score (TPS) ≥50% only</w:t>
      </w:r>
    </w:p>
    <w:p w:rsidR="00EC5704" w:rsidRPr="00243081" w:rsidRDefault="00EC5704" w:rsidP="00F50D78">
      <w:pPr>
        <w:pStyle w:val="TableFooter"/>
        <w:tabs>
          <w:tab w:val="left" w:pos="284"/>
        </w:tabs>
      </w:pPr>
      <w:proofErr w:type="gramStart"/>
      <w:r w:rsidRPr="00243081">
        <w:rPr>
          <w:vertAlign w:val="superscript"/>
        </w:rPr>
        <w:t>b</w:t>
      </w:r>
      <w:proofErr w:type="gramEnd"/>
      <w:r w:rsidRPr="00243081">
        <w:rPr>
          <w:vertAlign w:val="superscript"/>
        </w:rPr>
        <w:tab/>
      </w:r>
      <w:r w:rsidRPr="00243081">
        <w:t xml:space="preserve">Subgroup of patients with non-squamous histology only </w:t>
      </w:r>
    </w:p>
    <w:p w:rsidR="00EC5704" w:rsidRPr="00243081" w:rsidRDefault="00EC5704" w:rsidP="00F50D78">
      <w:pPr>
        <w:pStyle w:val="TableFooter"/>
        <w:tabs>
          <w:tab w:val="left" w:pos="284"/>
        </w:tabs>
      </w:pPr>
      <w:proofErr w:type="gramStart"/>
      <w:r w:rsidRPr="00243081">
        <w:rPr>
          <w:vertAlign w:val="superscript"/>
        </w:rPr>
        <w:t>c</w:t>
      </w:r>
      <w:proofErr w:type="gramEnd"/>
      <w:r w:rsidRPr="00243081">
        <w:rPr>
          <w:vertAlign w:val="superscript"/>
        </w:rPr>
        <w:tab/>
      </w:r>
      <w:r w:rsidRPr="00243081">
        <w:t>Median for comparator reported for IPTW weighting only</w:t>
      </w:r>
    </w:p>
    <w:p w:rsidR="00EC5704" w:rsidRPr="00243081" w:rsidRDefault="00EC5704" w:rsidP="00F50D78">
      <w:pPr>
        <w:pStyle w:val="TableFooter"/>
        <w:tabs>
          <w:tab w:val="left" w:pos="284"/>
        </w:tabs>
      </w:pPr>
      <w:proofErr w:type="gramStart"/>
      <w:r w:rsidRPr="00243081">
        <w:rPr>
          <w:vertAlign w:val="superscript"/>
        </w:rPr>
        <w:t>d</w:t>
      </w:r>
      <w:proofErr w:type="gramEnd"/>
      <w:r w:rsidRPr="00243081">
        <w:rPr>
          <w:vertAlign w:val="superscript"/>
        </w:rPr>
        <w:tab/>
      </w:r>
      <w:r w:rsidRPr="00243081">
        <w:t xml:space="preserve">Subgroup of patients treated with cisplatin + </w:t>
      </w:r>
      <w:proofErr w:type="spellStart"/>
      <w:r w:rsidRPr="00243081">
        <w:t>pemetrexed</w:t>
      </w:r>
      <w:proofErr w:type="spellEnd"/>
      <w:r w:rsidRPr="00243081">
        <w:t xml:space="preserve"> or carboplatin + </w:t>
      </w:r>
      <w:proofErr w:type="spellStart"/>
      <w:r w:rsidRPr="00243081">
        <w:t>pemetrexed</w:t>
      </w:r>
      <w:proofErr w:type="spellEnd"/>
      <w:r w:rsidRPr="00243081">
        <w:t xml:space="preserve"> only</w:t>
      </w:r>
    </w:p>
    <w:p w:rsidR="00EC5704" w:rsidRPr="00243081" w:rsidRDefault="009E0366" w:rsidP="00F50D78">
      <w:pPr>
        <w:pStyle w:val="TableFooter"/>
        <w:tabs>
          <w:tab w:val="left" w:pos="284"/>
        </w:tabs>
      </w:pPr>
      <w:proofErr w:type="spellStart"/>
      <w:r w:rsidRPr="00243081">
        <w:rPr>
          <w:szCs w:val="18"/>
        </w:rPr>
        <w:t>Pembro+plat+peme</w:t>
      </w:r>
      <w:proofErr w:type="spellEnd"/>
      <w:r w:rsidRPr="00243081">
        <w:rPr>
          <w:szCs w:val="18"/>
        </w:rPr>
        <w:t xml:space="preserve"> = </w:t>
      </w:r>
      <w:proofErr w:type="spellStart"/>
      <w:r w:rsidRPr="00243081">
        <w:rPr>
          <w:szCs w:val="18"/>
        </w:rPr>
        <w:t>pembrolizumab+platinum+pemetrexed</w:t>
      </w:r>
      <w:proofErr w:type="spellEnd"/>
      <w:r w:rsidRPr="00243081">
        <w:rPr>
          <w:szCs w:val="18"/>
        </w:rPr>
        <w:t>,</w:t>
      </w:r>
      <w:r w:rsidRPr="00243081">
        <w:t xml:space="preserve"> </w:t>
      </w:r>
      <w:r w:rsidR="00EC5704" w:rsidRPr="00243081">
        <w:t>OS = overall survival; HR = hazard ratio; NR = not reached; CI = confidence interval, IPTW = Inverse Probability of Treatment Weighting, PD-L1 = Programmed cell Death Ligand 1; PD-1 = Programmed cell Death receptor-1, RPSFT = Rank-Preserving Structure Failure Time, IPCW = Inverse Probability of Censoring Weighting</w:t>
      </w:r>
    </w:p>
    <w:p w:rsidR="00EC5704" w:rsidRPr="00243081" w:rsidRDefault="00EC5704" w:rsidP="00C7586D">
      <w:pPr>
        <w:pStyle w:val="TableFooter"/>
      </w:pPr>
      <w:r w:rsidRPr="00243081">
        <w:t>Figures in bold indicate statistically significant differences</w:t>
      </w:r>
    </w:p>
    <w:p w:rsidR="00EC5704" w:rsidRPr="00243081" w:rsidRDefault="00EC5704" w:rsidP="00C7586D">
      <w:pPr>
        <w:pStyle w:val="TableFooter"/>
      </w:pPr>
      <w:r w:rsidRPr="00243081">
        <w:t xml:space="preserve">Source: Table 2.6-11, p90 of the submission and Table 7-12, p19-24 of Appendix 14 to the submission </w:t>
      </w:r>
    </w:p>
    <w:p w:rsidR="00EC5704" w:rsidRPr="00243081" w:rsidRDefault="00EC5704" w:rsidP="00C7586D"/>
    <w:p w:rsidR="00EC5704" w:rsidRPr="00100C63" w:rsidRDefault="00B46E0D" w:rsidP="003137F2">
      <w:pPr>
        <w:pStyle w:val="Caption"/>
        <w:keepNext/>
        <w:keepLines/>
        <w:jc w:val="left"/>
        <w:rPr>
          <w:rStyle w:val="CommentReference"/>
          <w:b/>
          <w:szCs w:val="20"/>
        </w:rPr>
      </w:pPr>
      <w:bookmarkStart w:id="22" w:name="_Ref523204922"/>
      <w:r w:rsidRPr="00100C63">
        <w:t xml:space="preserve">Table </w:t>
      </w:r>
      <w:r w:rsidR="00364F3F" w:rsidRPr="00100C63">
        <w:rPr>
          <w:noProof/>
        </w:rPr>
        <w:t>8</w:t>
      </w:r>
      <w:bookmarkEnd w:id="22"/>
      <w:r w:rsidR="00D1033D" w:rsidRPr="00100C63">
        <w:rPr>
          <w:rStyle w:val="CommentReference"/>
          <w:b/>
          <w:szCs w:val="20"/>
        </w:rPr>
        <w:t>:</w:t>
      </w:r>
      <w:r w:rsidR="00EC5704" w:rsidRPr="00100C63">
        <w:rPr>
          <w:rStyle w:val="CommentReference"/>
          <w:b/>
          <w:szCs w:val="20"/>
        </w:rPr>
        <w:t xml:space="preserve">  Results </w:t>
      </w:r>
      <w:r w:rsidR="007B571C" w:rsidRPr="00100C63">
        <w:rPr>
          <w:rStyle w:val="CommentReference"/>
          <w:b/>
          <w:szCs w:val="20"/>
        </w:rPr>
        <w:t>of the indirect comparison for p</w:t>
      </w:r>
      <w:r w:rsidR="00EC5704" w:rsidRPr="00100C63">
        <w:rPr>
          <w:rStyle w:val="CommentReference"/>
          <w:b/>
          <w:szCs w:val="20"/>
        </w:rPr>
        <w:t xml:space="preserve">rogression </w:t>
      </w:r>
      <w:r w:rsidR="007B571C" w:rsidRPr="00100C63">
        <w:rPr>
          <w:rStyle w:val="CommentReference"/>
          <w:b/>
          <w:szCs w:val="20"/>
        </w:rPr>
        <w:t>free s</w:t>
      </w:r>
      <w:r w:rsidR="00EC5704" w:rsidRPr="00100C63">
        <w:rPr>
          <w:rStyle w:val="CommentReference"/>
          <w:b/>
          <w:szCs w:val="20"/>
        </w:rPr>
        <w:t xml:space="preserve">urvival, adjusted by weights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1"/>
        <w:gridCol w:w="2278"/>
        <w:gridCol w:w="1689"/>
        <w:gridCol w:w="1321"/>
        <w:gridCol w:w="998"/>
        <w:gridCol w:w="1470"/>
      </w:tblGrid>
      <w:tr w:rsidR="00EC5704" w:rsidRPr="00100C63" w:rsidTr="009E0366">
        <w:trPr>
          <w:tblHeader/>
        </w:trPr>
        <w:tc>
          <w:tcPr>
            <w:tcW w:w="1261" w:type="dxa"/>
            <w:vAlign w:val="center"/>
          </w:tcPr>
          <w:p w:rsidR="00EC5704" w:rsidRPr="00100C63" w:rsidRDefault="00EC5704" w:rsidP="003137F2">
            <w:pPr>
              <w:pStyle w:val="Tabletext"/>
              <w:keepNext/>
              <w:keepLines/>
              <w:rPr>
                <w:b/>
                <w:szCs w:val="20"/>
              </w:rPr>
            </w:pPr>
            <w:r w:rsidRPr="00100C63">
              <w:rPr>
                <w:b/>
                <w:szCs w:val="20"/>
              </w:rPr>
              <w:t xml:space="preserve">Trial </w:t>
            </w:r>
          </w:p>
        </w:tc>
        <w:tc>
          <w:tcPr>
            <w:tcW w:w="2278" w:type="dxa"/>
            <w:shd w:val="clear" w:color="auto" w:fill="auto"/>
            <w:vAlign w:val="center"/>
          </w:tcPr>
          <w:p w:rsidR="00EC5704" w:rsidRPr="00100C63" w:rsidRDefault="00EC5704" w:rsidP="003137F2">
            <w:pPr>
              <w:pStyle w:val="Tabletext"/>
              <w:keepNext/>
              <w:keepLines/>
              <w:jc w:val="center"/>
              <w:rPr>
                <w:b/>
                <w:szCs w:val="20"/>
              </w:rPr>
            </w:pPr>
            <w:r w:rsidRPr="00100C63">
              <w:rPr>
                <w:b/>
                <w:szCs w:val="20"/>
              </w:rPr>
              <w:t>Outcome</w:t>
            </w:r>
          </w:p>
        </w:tc>
        <w:tc>
          <w:tcPr>
            <w:tcW w:w="1689" w:type="dxa"/>
            <w:shd w:val="clear" w:color="auto" w:fill="auto"/>
            <w:vAlign w:val="center"/>
          </w:tcPr>
          <w:p w:rsidR="00EC5704" w:rsidRPr="00100C63" w:rsidRDefault="00EC5704" w:rsidP="003137F2">
            <w:pPr>
              <w:pStyle w:val="Tabletext"/>
              <w:keepNext/>
              <w:keepLines/>
              <w:jc w:val="center"/>
              <w:rPr>
                <w:b/>
                <w:iCs/>
                <w:szCs w:val="20"/>
              </w:rPr>
            </w:pPr>
            <w:proofErr w:type="spellStart"/>
            <w:r w:rsidRPr="00100C63">
              <w:rPr>
                <w:b/>
                <w:iCs/>
                <w:szCs w:val="20"/>
              </w:rPr>
              <w:t>Pembro</w:t>
            </w:r>
            <w:r w:rsidR="004A43D9" w:rsidRPr="00100C63">
              <w:rPr>
                <w:b/>
                <w:iCs/>
                <w:szCs w:val="20"/>
              </w:rPr>
              <w:t>+plat+peme</w:t>
            </w:r>
            <w:proofErr w:type="spellEnd"/>
          </w:p>
          <w:p w:rsidR="00EC5704" w:rsidRPr="00100C63" w:rsidRDefault="00EC5704" w:rsidP="003137F2">
            <w:pPr>
              <w:pStyle w:val="Tabletext"/>
              <w:keepNext/>
              <w:keepLines/>
              <w:jc w:val="center"/>
              <w:rPr>
                <w:b/>
                <w:szCs w:val="20"/>
              </w:rPr>
            </w:pPr>
            <w:proofErr w:type="gramStart"/>
            <w:r w:rsidRPr="00100C63">
              <w:rPr>
                <w:b/>
                <w:iCs/>
                <w:szCs w:val="20"/>
              </w:rPr>
              <w:t>n/N</w:t>
            </w:r>
            <w:proofErr w:type="gramEnd"/>
            <w:r w:rsidRPr="00100C63">
              <w:rPr>
                <w:b/>
                <w:iCs/>
                <w:szCs w:val="20"/>
              </w:rPr>
              <w:t xml:space="preserve"> (%)</w:t>
            </w:r>
          </w:p>
        </w:tc>
        <w:tc>
          <w:tcPr>
            <w:tcW w:w="1321" w:type="dxa"/>
            <w:shd w:val="clear" w:color="auto" w:fill="auto"/>
            <w:vAlign w:val="center"/>
          </w:tcPr>
          <w:p w:rsidR="00EC5704" w:rsidRPr="00100C63" w:rsidRDefault="00EC5704" w:rsidP="003137F2">
            <w:pPr>
              <w:pStyle w:val="Tabletext"/>
              <w:keepNext/>
              <w:keepLines/>
              <w:jc w:val="center"/>
              <w:rPr>
                <w:b/>
                <w:szCs w:val="20"/>
              </w:rPr>
            </w:pPr>
            <w:r w:rsidRPr="00100C63">
              <w:rPr>
                <w:b/>
                <w:szCs w:val="20"/>
              </w:rPr>
              <w:t>Platinum doublet</w:t>
            </w:r>
          </w:p>
          <w:p w:rsidR="00EC5704" w:rsidRPr="00100C63" w:rsidRDefault="00EC5704" w:rsidP="003137F2">
            <w:pPr>
              <w:pStyle w:val="Tabletext"/>
              <w:keepNext/>
              <w:keepLines/>
              <w:jc w:val="center"/>
              <w:rPr>
                <w:b/>
                <w:szCs w:val="20"/>
              </w:rPr>
            </w:pPr>
            <w:proofErr w:type="gramStart"/>
            <w:r w:rsidRPr="00100C63">
              <w:rPr>
                <w:b/>
                <w:szCs w:val="20"/>
              </w:rPr>
              <w:t>n/N</w:t>
            </w:r>
            <w:proofErr w:type="gramEnd"/>
            <w:r w:rsidRPr="00100C63">
              <w:rPr>
                <w:b/>
                <w:szCs w:val="20"/>
              </w:rPr>
              <w:t xml:space="preserve"> (%)</w:t>
            </w:r>
          </w:p>
        </w:tc>
        <w:tc>
          <w:tcPr>
            <w:tcW w:w="998" w:type="dxa"/>
            <w:shd w:val="clear" w:color="auto" w:fill="auto"/>
            <w:vAlign w:val="center"/>
          </w:tcPr>
          <w:p w:rsidR="00EC5704" w:rsidRPr="00100C63" w:rsidRDefault="00EC5704" w:rsidP="003137F2">
            <w:pPr>
              <w:pStyle w:val="Tabletext"/>
              <w:keepNext/>
              <w:keepLines/>
              <w:jc w:val="center"/>
              <w:rPr>
                <w:b/>
                <w:szCs w:val="20"/>
              </w:rPr>
            </w:pPr>
            <w:r w:rsidRPr="00100C63">
              <w:rPr>
                <w:b/>
                <w:szCs w:val="20"/>
              </w:rPr>
              <w:t>Absolute difference</w:t>
            </w:r>
          </w:p>
        </w:tc>
        <w:tc>
          <w:tcPr>
            <w:tcW w:w="1470" w:type="dxa"/>
            <w:shd w:val="clear" w:color="auto" w:fill="auto"/>
            <w:vAlign w:val="center"/>
          </w:tcPr>
          <w:p w:rsidR="00EC5704" w:rsidRPr="00100C63" w:rsidRDefault="00EC5704" w:rsidP="003137F2">
            <w:pPr>
              <w:pStyle w:val="Tabletext"/>
              <w:keepNext/>
              <w:keepLines/>
              <w:jc w:val="center"/>
              <w:rPr>
                <w:b/>
                <w:szCs w:val="20"/>
              </w:rPr>
            </w:pPr>
            <w:r w:rsidRPr="00100C63">
              <w:rPr>
                <w:b/>
                <w:szCs w:val="20"/>
              </w:rPr>
              <w:t>HR (95% CI)</w:t>
            </w:r>
          </w:p>
        </w:tc>
      </w:tr>
      <w:tr w:rsidR="00EC5704" w:rsidRPr="00100C63" w:rsidTr="009E0366">
        <w:tc>
          <w:tcPr>
            <w:tcW w:w="1261" w:type="dxa"/>
            <w:vMerge w:val="restart"/>
            <w:vAlign w:val="center"/>
          </w:tcPr>
          <w:p w:rsidR="00EC5704" w:rsidRPr="00100C63" w:rsidRDefault="00EC5704" w:rsidP="003137F2">
            <w:pPr>
              <w:pStyle w:val="Tabletext"/>
              <w:keepNext/>
              <w:keepLines/>
              <w:rPr>
                <w:szCs w:val="20"/>
                <w:vertAlign w:val="superscript"/>
              </w:rPr>
            </w:pPr>
            <w:r w:rsidRPr="00100C63">
              <w:rPr>
                <w:szCs w:val="20"/>
              </w:rPr>
              <w:t>KN189</w:t>
            </w:r>
            <w:r w:rsidRPr="00100C63">
              <w:rPr>
                <w:szCs w:val="20"/>
                <w:vertAlign w:val="superscript"/>
              </w:rPr>
              <w:t>a</w:t>
            </w:r>
          </w:p>
        </w:tc>
        <w:tc>
          <w:tcPr>
            <w:tcW w:w="2278" w:type="dxa"/>
            <w:shd w:val="clear" w:color="auto" w:fill="auto"/>
            <w:vAlign w:val="center"/>
          </w:tcPr>
          <w:p w:rsidR="00EC5704" w:rsidRPr="00100C63" w:rsidRDefault="00EC5704" w:rsidP="003137F2">
            <w:pPr>
              <w:pStyle w:val="Tabletext"/>
              <w:keepNext/>
              <w:keepLines/>
              <w:rPr>
                <w:szCs w:val="20"/>
              </w:rPr>
            </w:pPr>
            <w:r w:rsidRPr="00100C63">
              <w:rPr>
                <w:szCs w:val="20"/>
              </w:rPr>
              <w:t>Progressed</w:t>
            </w:r>
          </w:p>
        </w:tc>
        <w:tc>
          <w:tcPr>
            <w:tcW w:w="1689" w:type="dxa"/>
            <w:shd w:val="clear" w:color="auto" w:fill="auto"/>
            <w:vAlign w:val="center"/>
          </w:tcPr>
          <w:p w:rsidR="00EC5704" w:rsidRPr="00227BBD" w:rsidRDefault="00227BBD" w:rsidP="003137F2">
            <w:pPr>
              <w:pStyle w:val="Tabletext"/>
              <w:keepNext/>
              <w:keepLines/>
              <w:jc w:val="center"/>
              <w:rPr>
                <w:iCs/>
                <w:szCs w:val="20"/>
                <w:highlight w:val="black"/>
              </w:rPr>
            </w:pPr>
            <w:r>
              <w:rPr>
                <w:iCs/>
                <w:noProof/>
                <w:color w:val="000000"/>
                <w:szCs w:val="20"/>
                <w:highlight w:val="black"/>
              </w:rPr>
              <w:t>'''''''''''''''''' ''''''''''''</w:t>
            </w:r>
          </w:p>
        </w:tc>
        <w:tc>
          <w:tcPr>
            <w:tcW w:w="1321" w:type="dxa"/>
            <w:shd w:val="clear" w:color="auto" w:fill="auto"/>
            <w:vAlign w:val="center"/>
          </w:tcPr>
          <w:p w:rsidR="00EC5704" w:rsidRPr="00227BBD" w:rsidRDefault="00227BBD" w:rsidP="003137F2">
            <w:pPr>
              <w:pStyle w:val="Tabletext"/>
              <w:keepNext/>
              <w:keepLines/>
              <w:jc w:val="center"/>
              <w:rPr>
                <w:iCs/>
                <w:szCs w:val="20"/>
                <w:highlight w:val="black"/>
              </w:rPr>
            </w:pPr>
            <w:r>
              <w:rPr>
                <w:iCs/>
                <w:noProof/>
                <w:color w:val="000000"/>
                <w:szCs w:val="20"/>
                <w:highlight w:val="black"/>
              </w:rPr>
              <w:t>''''''''''''' '''''''''''''</w:t>
            </w:r>
          </w:p>
        </w:tc>
        <w:tc>
          <w:tcPr>
            <w:tcW w:w="998" w:type="dxa"/>
            <w:shd w:val="clear" w:color="auto" w:fill="auto"/>
            <w:vAlign w:val="center"/>
          </w:tcPr>
          <w:p w:rsidR="00EC5704" w:rsidRPr="00227BBD" w:rsidRDefault="00227BBD" w:rsidP="003137F2">
            <w:pPr>
              <w:pStyle w:val="Tabletext"/>
              <w:keepNext/>
              <w:keepLines/>
              <w:jc w:val="center"/>
              <w:rPr>
                <w:szCs w:val="20"/>
                <w:highlight w:val="black"/>
              </w:rPr>
            </w:pPr>
            <w:r>
              <w:rPr>
                <w:noProof/>
                <w:color w:val="000000"/>
                <w:szCs w:val="20"/>
                <w:highlight w:val="black"/>
              </w:rPr>
              <w:t>'''''''''''''''''''</w:t>
            </w:r>
          </w:p>
        </w:tc>
        <w:tc>
          <w:tcPr>
            <w:tcW w:w="1470" w:type="dxa"/>
            <w:shd w:val="clear" w:color="auto" w:fill="auto"/>
            <w:vAlign w:val="center"/>
          </w:tcPr>
          <w:p w:rsidR="00EC5704" w:rsidRPr="00227BBD" w:rsidRDefault="00EC5704" w:rsidP="003137F2">
            <w:pPr>
              <w:pStyle w:val="Tabletext"/>
              <w:keepNext/>
              <w:keepLines/>
              <w:jc w:val="center"/>
              <w:rPr>
                <w:szCs w:val="20"/>
              </w:rPr>
            </w:pPr>
          </w:p>
        </w:tc>
      </w:tr>
      <w:tr w:rsidR="00EC5704" w:rsidRPr="00100C63" w:rsidTr="009E0366">
        <w:tc>
          <w:tcPr>
            <w:tcW w:w="1261" w:type="dxa"/>
            <w:vMerge/>
            <w:tcBorders>
              <w:bottom w:val="double" w:sz="4" w:space="0" w:color="auto"/>
            </w:tcBorders>
            <w:vAlign w:val="center"/>
          </w:tcPr>
          <w:p w:rsidR="00EC5704" w:rsidRPr="00100C63" w:rsidRDefault="00EC5704" w:rsidP="003137F2">
            <w:pPr>
              <w:pStyle w:val="Tabletext"/>
              <w:keepNext/>
              <w:keepLines/>
              <w:rPr>
                <w:szCs w:val="20"/>
              </w:rPr>
            </w:pPr>
          </w:p>
        </w:tc>
        <w:tc>
          <w:tcPr>
            <w:tcW w:w="2278" w:type="dxa"/>
            <w:tcBorders>
              <w:bottom w:val="double" w:sz="4" w:space="0" w:color="auto"/>
            </w:tcBorders>
            <w:shd w:val="clear" w:color="auto" w:fill="auto"/>
            <w:vAlign w:val="center"/>
          </w:tcPr>
          <w:p w:rsidR="00EC5704" w:rsidRPr="00100C63" w:rsidRDefault="00EC5704" w:rsidP="003137F2">
            <w:pPr>
              <w:pStyle w:val="Tabletext"/>
              <w:keepNext/>
              <w:keepLines/>
              <w:rPr>
                <w:szCs w:val="20"/>
                <w:vertAlign w:val="superscript"/>
              </w:rPr>
            </w:pPr>
            <w:r w:rsidRPr="00100C63">
              <w:rPr>
                <w:szCs w:val="20"/>
              </w:rPr>
              <w:t>Median months PFS (range)</w:t>
            </w:r>
            <w:r w:rsidRPr="00100C63">
              <w:rPr>
                <w:szCs w:val="20"/>
                <w:vertAlign w:val="superscript"/>
              </w:rPr>
              <w:t>c</w:t>
            </w:r>
          </w:p>
        </w:tc>
        <w:tc>
          <w:tcPr>
            <w:tcW w:w="1689" w:type="dxa"/>
            <w:tcBorders>
              <w:bottom w:val="double" w:sz="4" w:space="0" w:color="auto"/>
            </w:tcBorders>
            <w:shd w:val="clear" w:color="auto" w:fill="auto"/>
            <w:vAlign w:val="center"/>
          </w:tcPr>
          <w:p w:rsidR="00EC5704" w:rsidRPr="00227BBD" w:rsidRDefault="00227BBD" w:rsidP="003137F2">
            <w:pPr>
              <w:pStyle w:val="Tabletext"/>
              <w:keepNext/>
              <w:keepLines/>
              <w:jc w:val="center"/>
              <w:rPr>
                <w:iCs/>
                <w:szCs w:val="20"/>
                <w:highlight w:val="black"/>
              </w:rPr>
            </w:pPr>
            <w:r>
              <w:rPr>
                <w:iCs/>
                <w:noProof/>
                <w:color w:val="000000"/>
                <w:szCs w:val="20"/>
                <w:highlight w:val="black"/>
              </w:rPr>
              <w:t>'''''''' ''''''''''' '''''''''''''</w:t>
            </w:r>
          </w:p>
        </w:tc>
        <w:tc>
          <w:tcPr>
            <w:tcW w:w="1321" w:type="dxa"/>
            <w:tcBorders>
              <w:bottom w:val="double" w:sz="4" w:space="0" w:color="auto"/>
            </w:tcBorders>
            <w:shd w:val="clear" w:color="auto" w:fill="auto"/>
            <w:vAlign w:val="center"/>
          </w:tcPr>
          <w:p w:rsidR="00EC5704" w:rsidRPr="00227BBD" w:rsidRDefault="00227BBD" w:rsidP="003137F2">
            <w:pPr>
              <w:pStyle w:val="Tabletext"/>
              <w:keepNext/>
              <w:keepLines/>
              <w:jc w:val="center"/>
              <w:rPr>
                <w:iCs/>
                <w:szCs w:val="20"/>
                <w:highlight w:val="black"/>
              </w:rPr>
            </w:pPr>
            <w:r>
              <w:rPr>
                <w:iCs/>
                <w:noProof/>
                <w:color w:val="000000"/>
                <w:szCs w:val="20"/>
                <w:highlight w:val="black"/>
              </w:rPr>
              <w:t>'''''''' ''''''''''' ''''''''''</w:t>
            </w:r>
          </w:p>
        </w:tc>
        <w:tc>
          <w:tcPr>
            <w:tcW w:w="998" w:type="dxa"/>
            <w:tcBorders>
              <w:bottom w:val="double" w:sz="4" w:space="0" w:color="auto"/>
            </w:tcBorders>
            <w:shd w:val="clear" w:color="auto" w:fill="auto"/>
            <w:vAlign w:val="center"/>
          </w:tcPr>
          <w:p w:rsidR="00EC5704" w:rsidRPr="00227BBD" w:rsidRDefault="00227BBD" w:rsidP="003137F2">
            <w:pPr>
              <w:pStyle w:val="Tabletext"/>
              <w:keepNext/>
              <w:keepLines/>
              <w:jc w:val="center"/>
              <w:rPr>
                <w:szCs w:val="20"/>
                <w:highlight w:val="black"/>
              </w:rPr>
            </w:pPr>
            <w:r>
              <w:rPr>
                <w:noProof/>
                <w:color w:val="000000"/>
                <w:szCs w:val="20"/>
                <w:highlight w:val="black"/>
              </w:rPr>
              <w:t>'''''''</w:t>
            </w:r>
          </w:p>
        </w:tc>
        <w:tc>
          <w:tcPr>
            <w:tcW w:w="1470" w:type="dxa"/>
            <w:tcBorders>
              <w:bottom w:val="double" w:sz="4" w:space="0" w:color="auto"/>
            </w:tcBorders>
            <w:shd w:val="clear" w:color="auto" w:fill="auto"/>
            <w:vAlign w:val="center"/>
          </w:tcPr>
          <w:p w:rsidR="00EC5704" w:rsidRPr="00227BBD" w:rsidRDefault="00227BBD" w:rsidP="003137F2">
            <w:pPr>
              <w:pStyle w:val="Tabletext"/>
              <w:keepNext/>
              <w:keepLines/>
              <w:jc w:val="center"/>
              <w:rPr>
                <w:b/>
                <w:szCs w:val="20"/>
                <w:highlight w:val="black"/>
              </w:rPr>
            </w:pPr>
            <w:r>
              <w:rPr>
                <w:b/>
                <w:noProof/>
                <w:color w:val="000000"/>
                <w:szCs w:val="20"/>
                <w:highlight w:val="black"/>
              </w:rPr>
              <w:t>'''''''' ''''''''''' ''''''''''</w:t>
            </w:r>
          </w:p>
        </w:tc>
      </w:tr>
      <w:tr w:rsidR="00EC5704" w:rsidRPr="00100C63" w:rsidTr="009E0366">
        <w:tc>
          <w:tcPr>
            <w:tcW w:w="1261" w:type="dxa"/>
            <w:tcBorders>
              <w:top w:val="double" w:sz="4" w:space="0" w:color="auto"/>
              <w:bottom w:val="single" w:sz="4" w:space="0" w:color="auto"/>
            </w:tcBorders>
            <w:vAlign w:val="center"/>
          </w:tcPr>
          <w:p w:rsidR="00EC5704" w:rsidRPr="00100C63" w:rsidRDefault="00EC5704" w:rsidP="003137F2">
            <w:pPr>
              <w:pStyle w:val="Tabletext"/>
              <w:keepNext/>
              <w:keepLines/>
              <w:rPr>
                <w:b/>
                <w:szCs w:val="20"/>
              </w:rPr>
            </w:pPr>
          </w:p>
        </w:tc>
        <w:tc>
          <w:tcPr>
            <w:tcW w:w="2278" w:type="dxa"/>
            <w:tcBorders>
              <w:top w:val="double" w:sz="4" w:space="0" w:color="auto"/>
              <w:bottom w:val="single" w:sz="4" w:space="0" w:color="auto"/>
            </w:tcBorders>
            <w:shd w:val="clear" w:color="auto" w:fill="auto"/>
            <w:vAlign w:val="center"/>
          </w:tcPr>
          <w:p w:rsidR="00EC5704" w:rsidRPr="00100C63" w:rsidRDefault="00EC5704" w:rsidP="003137F2">
            <w:pPr>
              <w:pStyle w:val="Tabletext"/>
              <w:keepNext/>
              <w:keepLines/>
              <w:rPr>
                <w:b/>
                <w:szCs w:val="20"/>
              </w:rPr>
            </w:pPr>
          </w:p>
        </w:tc>
        <w:tc>
          <w:tcPr>
            <w:tcW w:w="1689" w:type="dxa"/>
            <w:tcBorders>
              <w:top w:val="double" w:sz="4" w:space="0" w:color="auto"/>
              <w:bottom w:val="single" w:sz="4" w:space="0" w:color="auto"/>
            </w:tcBorders>
            <w:shd w:val="clear" w:color="auto" w:fill="auto"/>
            <w:vAlign w:val="center"/>
          </w:tcPr>
          <w:p w:rsidR="00EC5704" w:rsidRPr="00100C63" w:rsidRDefault="00EC5704" w:rsidP="003137F2">
            <w:pPr>
              <w:pStyle w:val="Tabletext"/>
              <w:keepNext/>
              <w:keepLines/>
              <w:jc w:val="center"/>
              <w:rPr>
                <w:b/>
                <w:szCs w:val="20"/>
              </w:rPr>
            </w:pPr>
            <w:proofErr w:type="spellStart"/>
            <w:r w:rsidRPr="00100C63">
              <w:rPr>
                <w:b/>
                <w:szCs w:val="20"/>
              </w:rPr>
              <w:t>Pembrolizumab</w:t>
            </w:r>
            <w:proofErr w:type="spellEnd"/>
            <w:r w:rsidRPr="00100C63">
              <w:rPr>
                <w:b/>
                <w:szCs w:val="20"/>
              </w:rPr>
              <w:t xml:space="preserve"> monotherapy</w:t>
            </w:r>
          </w:p>
          <w:p w:rsidR="00EC5704" w:rsidRPr="00100C63" w:rsidRDefault="00EC5704" w:rsidP="003137F2">
            <w:pPr>
              <w:pStyle w:val="Tabletext"/>
              <w:keepNext/>
              <w:keepLines/>
              <w:jc w:val="center"/>
              <w:rPr>
                <w:b/>
                <w:szCs w:val="20"/>
              </w:rPr>
            </w:pPr>
            <w:proofErr w:type="gramStart"/>
            <w:r w:rsidRPr="00100C63">
              <w:rPr>
                <w:b/>
                <w:szCs w:val="20"/>
              </w:rPr>
              <w:t>n/N</w:t>
            </w:r>
            <w:proofErr w:type="gramEnd"/>
            <w:r w:rsidRPr="00100C63">
              <w:rPr>
                <w:b/>
                <w:szCs w:val="20"/>
              </w:rPr>
              <w:t xml:space="preserve"> (%)</w:t>
            </w:r>
          </w:p>
        </w:tc>
        <w:tc>
          <w:tcPr>
            <w:tcW w:w="1321" w:type="dxa"/>
            <w:tcBorders>
              <w:top w:val="double" w:sz="4" w:space="0" w:color="auto"/>
              <w:bottom w:val="single" w:sz="4" w:space="0" w:color="auto"/>
            </w:tcBorders>
            <w:shd w:val="clear" w:color="auto" w:fill="auto"/>
            <w:vAlign w:val="center"/>
          </w:tcPr>
          <w:p w:rsidR="00EC5704" w:rsidRPr="00100C63" w:rsidRDefault="00EC5704" w:rsidP="003137F2">
            <w:pPr>
              <w:pStyle w:val="Tabletext"/>
              <w:keepNext/>
              <w:keepLines/>
              <w:jc w:val="center"/>
              <w:rPr>
                <w:b/>
                <w:szCs w:val="20"/>
                <w:vertAlign w:val="superscript"/>
              </w:rPr>
            </w:pPr>
            <w:r w:rsidRPr="00100C63">
              <w:rPr>
                <w:b/>
                <w:szCs w:val="20"/>
              </w:rPr>
              <w:t xml:space="preserve">Platinum </w:t>
            </w:r>
            <w:proofErr w:type="spellStart"/>
            <w:r w:rsidRPr="00100C63">
              <w:rPr>
                <w:b/>
                <w:szCs w:val="20"/>
              </w:rPr>
              <w:t>doublet</w:t>
            </w:r>
            <w:r w:rsidRPr="00100C63">
              <w:rPr>
                <w:b/>
                <w:szCs w:val="20"/>
                <w:vertAlign w:val="superscript"/>
              </w:rPr>
              <w:t>d</w:t>
            </w:r>
            <w:proofErr w:type="spellEnd"/>
          </w:p>
          <w:p w:rsidR="00EC5704" w:rsidRPr="00100C63" w:rsidRDefault="00EC5704" w:rsidP="003137F2">
            <w:pPr>
              <w:pStyle w:val="Tabletext"/>
              <w:keepNext/>
              <w:keepLines/>
              <w:jc w:val="center"/>
              <w:rPr>
                <w:b/>
                <w:szCs w:val="20"/>
              </w:rPr>
            </w:pPr>
            <w:proofErr w:type="gramStart"/>
            <w:r w:rsidRPr="00100C63">
              <w:rPr>
                <w:b/>
                <w:szCs w:val="20"/>
              </w:rPr>
              <w:t>n/N</w:t>
            </w:r>
            <w:proofErr w:type="gramEnd"/>
            <w:r w:rsidRPr="00100C63">
              <w:rPr>
                <w:b/>
                <w:szCs w:val="20"/>
              </w:rPr>
              <w:t xml:space="preserve"> (%)</w:t>
            </w:r>
          </w:p>
        </w:tc>
        <w:tc>
          <w:tcPr>
            <w:tcW w:w="998" w:type="dxa"/>
            <w:tcBorders>
              <w:top w:val="double" w:sz="4" w:space="0" w:color="auto"/>
              <w:bottom w:val="single" w:sz="4" w:space="0" w:color="auto"/>
            </w:tcBorders>
            <w:shd w:val="clear" w:color="auto" w:fill="auto"/>
            <w:vAlign w:val="center"/>
          </w:tcPr>
          <w:p w:rsidR="00EC5704" w:rsidRPr="00100C63" w:rsidRDefault="00EC5704" w:rsidP="003137F2">
            <w:pPr>
              <w:pStyle w:val="Tabletext"/>
              <w:keepNext/>
              <w:keepLines/>
              <w:jc w:val="center"/>
              <w:rPr>
                <w:b/>
                <w:szCs w:val="20"/>
              </w:rPr>
            </w:pPr>
            <w:r w:rsidRPr="00100C63">
              <w:rPr>
                <w:b/>
                <w:szCs w:val="20"/>
              </w:rPr>
              <w:t>Absolute difference</w:t>
            </w:r>
          </w:p>
        </w:tc>
        <w:tc>
          <w:tcPr>
            <w:tcW w:w="1470" w:type="dxa"/>
            <w:tcBorders>
              <w:top w:val="double" w:sz="4" w:space="0" w:color="auto"/>
              <w:bottom w:val="single" w:sz="4" w:space="0" w:color="auto"/>
            </w:tcBorders>
            <w:shd w:val="clear" w:color="auto" w:fill="auto"/>
            <w:vAlign w:val="center"/>
          </w:tcPr>
          <w:p w:rsidR="00EC5704" w:rsidRPr="00100C63" w:rsidRDefault="00EC5704" w:rsidP="003137F2">
            <w:pPr>
              <w:pStyle w:val="Tabletext"/>
              <w:keepNext/>
              <w:keepLines/>
              <w:jc w:val="center"/>
              <w:rPr>
                <w:b/>
                <w:szCs w:val="20"/>
              </w:rPr>
            </w:pPr>
            <w:r w:rsidRPr="00100C63">
              <w:rPr>
                <w:b/>
                <w:szCs w:val="20"/>
              </w:rPr>
              <w:t>HR (95% CI)</w:t>
            </w:r>
          </w:p>
        </w:tc>
      </w:tr>
      <w:tr w:rsidR="00EC5704" w:rsidRPr="00100C63" w:rsidTr="009E0366">
        <w:tc>
          <w:tcPr>
            <w:tcW w:w="1261" w:type="dxa"/>
            <w:vMerge w:val="restart"/>
            <w:tcBorders>
              <w:top w:val="single" w:sz="4" w:space="0" w:color="auto"/>
            </w:tcBorders>
            <w:vAlign w:val="center"/>
          </w:tcPr>
          <w:p w:rsidR="00EC5704" w:rsidRPr="00100C63" w:rsidRDefault="00EC5704" w:rsidP="003137F2">
            <w:pPr>
              <w:pStyle w:val="Tabletext"/>
              <w:keepNext/>
              <w:keepLines/>
              <w:rPr>
                <w:szCs w:val="20"/>
                <w:vertAlign w:val="superscript"/>
              </w:rPr>
            </w:pPr>
            <w:r w:rsidRPr="00100C63">
              <w:rPr>
                <w:szCs w:val="20"/>
              </w:rPr>
              <w:t>KN024</w:t>
            </w:r>
            <w:r w:rsidRPr="00100C63">
              <w:rPr>
                <w:szCs w:val="20"/>
                <w:vertAlign w:val="superscript"/>
              </w:rPr>
              <w:t>b</w:t>
            </w:r>
          </w:p>
        </w:tc>
        <w:tc>
          <w:tcPr>
            <w:tcW w:w="2278" w:type="dxa"/>
            <w:tcBorders>
              <w:top w:val="single" w:sz="4" w:space="0" w:color="auto"/>
            </w:tcBorders>
            <w:shd w:val="clear" w:color="auto" w:fill="auto"/>
            <w:vAlign w:val="center"/>
          </w:tcPr>
          <w:p w:rsidR="00EC5704" w:rsidRPr="00100C63" w:rsidRDefault="00EC5704" w:rsidP="003137F2">
            <w:pPr>
              <w:pStyle w:val="Tabletext"/>
              <w:keepNext/>
              <w:keepLines/>
              <w:rPr>
                <w:szCs w:val="20"/>
              </w:rPr>
            </w:pPr>
            <w:r w:rsidRPr="00100C63">
              <w:rPr>
                <w:szCs w:val="20"/>
              </w:rPr>
              <w:t>Progressed</w:t>
            </w:r>
          </w:p>
        </w:tc>
        <w:tc>
          <w:tcPr>
            <w:tcW w:w="1689" w:type="dxa"/>
            <w:tcBorders>
              <w:top w:val="single" w:sz="4" w:space="0" w:color="auto"/>
            </w:tcBorders>
            <w:shd w:val="clear" w:color="auto" w:fill="auto"/>
            <w:vAlign w:val="center"/>
          </w:tcPr>
          <w:p w:rsidR="00EC5704" w:rsidRPr="00227BBD" w:rsidRDefault="00227BBD" w:rsidP="003137F2">
            <w:pPr>
              <w:pStyle w:val="Tabletext"/>
              <w:keepNext/>
              <w:keepLines/>
              <w:jc w:val="center"/>
              <w:rPr>
                <w:szCs w:val="20"/>
                <w:highlight w:val="black"/>
              </w:rPr>
            </w:pPr>
            <w:r>
              <w:rPr>
                <w:noProof/>
                <w:color w:val="000000"/>
                <w:szCs w:val="20"/>
                <w:highlight w:val="black"/>
              </w:rPr>
              <w:t>'''''''''''' '''''''''''''''</w:t>
            </w:r>
          </w:p>
        </w:tc>
        <w:tc>
          <w:tcPr>
            <w:tcW w:w="1321" w:type="dxa"/>
            <w:tcBorders>
              <w:top w:val="single" w:sz="4" w:space="0" w:color="auto"/>
            </w:tcBorders>
            <w:shd w:val="clear" w:color="auto" w:fill="auto"/>
            <w:vAlign w:val="center"/>
          </w:tcPr>
          <w:p w:rsidR="00EC5704" w:rsidRPr="00227BBD" w:rsidRDefault="00227BBD" w:rsidP="003137F2">
            <w:pPr>
              <w:pStyle w:val="Tabletext"/>
              <w:keepNext/>
              <w:keepLines/>
              <w:jc w:val="center"/>
              <w:rPr>
                <w:szCs w:val="20"/>
                <w:highlight w:val="black"/>
              </w:rPr>
            </w:pPr>
            <w:r>
              <w:rPr>
                <w:noProof/>
                <w:color w:val="000000"/>
                <w:szCs w:val="20"/>
                <w:highlight w:val="black"/>
              </w:rPr>
              <w:t>''''''''''''''''' '''''''''''''</w:t>
            </w:r>
          </w:p>
        </w:tc>
        <w:tc>
          <w:tcPr>
            <w:tcW w:w="998" w:type="dxa"/>
            <w:tcBorders>
              <w:top w:val="single" w:sz="4" w:space="0" w:color="auto"/>
            </w:tcBorders>
            <w:shd w:val="clear" w:color="auto" w:fill="auto"/>
            <w:vAlign w:val="center"/>
          </w:tcPr>
          <w:p w:rsidR="00EC5704" w:rsidRPr="00227BBD" w:rsidRDefault="00227BBD" w:rsidP="003137F2">
            <w:pPr>
              <w:pStyle w:val="Tabletext"/>
              <w:keepNext/>
              <w:keepLines/>
              <w:jc w:val="center"/>
              <w:rPr>
                <w:szCs w:val="20"/>
                <w:highlight w:val="black"/>
              </w:rPr>
            </w:pPr>
            <w:r>
              <w:rPr>
                <w:noProof/>
                <w:color w:val="000000"/>
                <w:szCs w:val="20"/>
                <w:highlight w:val="black"/>
              </w:rPr>
              <w:t>''''''''''''''''''</w:t>
            </w:r>
          </w:p>
        </w:tc>
        <w:tc>
          <w:tcPr>
            <w:tcW w:w="1470" w:type="dxa"/>
            <w:tcBorders>
              <w:top w:val="single" w:sz="4" w:space="0" w:color="auto"/>
            </w:tcBorders>
            <w:shd w:val="clear" w:color="auto" w:fill="auto"/>
            <w:vAlign w:val="center"/>
          </w:tcPr>
          <w:p w:rsidR="00EC5704" w:rsidRPr="00227BBD" w:rsidRDefault="00EC5704" w:rsidP="003137F2">
            <w:pPr>
              <w:pStyle w:val="Tabletext"/>
              <w:keepNext/>
              <w:keepLines/>
              <w:jc w:val="center"/>
              <w:rPr>
                <w:szCs w:val="20"/>
              </w:rPr>
            </w:pPr>
          </w:p>
        </w:tc>
      </w:tr>
      <w:tr w:rsidR="00EC5704" w:rsidRPr="00100C63" w:rsidTr="009E0366">
        <w:tc>
          <w:tcPr>
            <w:tcW w:w="1261" w:type="dxa"/>
            <w:vMerge/>
            <w:vAlign w:val="center"/>
          </w:tcPr>
          <w:p w:rsidR="00EC5704" w:rsidRPr="00100C63" w:rsidRDefault="00EC5704" w:rsidP="003137F2">
            <w:pPr>
              <w:pStyle w:val="Tabletext"/>
              <w:keepNext/>
              <w:keepLines/>
              <w:rPr>
                <w:szCs w:val="20"/>
              </w:rPr>
            </w:pPr>
          </w:p>
        </w:tc>
        <w:tc>
          <w:tcPr>
            <w:tcW w:w="2278" w:type="dxa"/>
            <w:shd w:val="clear" w:color="auto" w:fill="auto"/>
            <w:vAlign w:val="center"/>
          </w:tcPr>
          <w:p w:rsidR="00EC5704" w:rsidRPr="00100C63" w:rsidRDefault="00EC5704" w:rsidP="003137F2">
            <w:pPr>
              <w:pStyle w:val="Tabletext"/>
              <w:keepNext/>
              <w:keepLines/>
              <w:rPr>
                <w:szCs w:val="20"/>
                <w:vertAlign w:val="superscript"/>
              </w:rPr>
            </w:pPr>
            <w:r w:rsidRPr="00100C63">
              <w:rPr>
                <w:szCs w:val="20"/>
              </w:rPr>
              <w:t>Median months PFS (range)</w:t>
            </w:r>
            <w:r w:rsidRPr="00100C63">
              <w:rPr>
                <w:szCs w:val="20"/>
                <w:vertAlign w:val="superscript"/>
              </w:rPr>
              <w:t>c</w:t>
            </w:r>
          </w:p>
        </w:tc>
        <w:tc>
          <w:tcPr>
            <w:tcW w:w="1689" w:type="dxa"/>
            <w:shd w:val="clear" w:color="auto" w:fill="auto"/>
            <w:vAlign w:val="center"/>
          </w:tcPr>
          <w:p w:rsidR="00EC5704" w:rsidRPr="00227BBD" w:rsidRDefault="00227BBD" w:rsidP="003137F2">
            <w:pPr>
              <w:pStyle w:val="Tabletext"/>
              <w:keepNext/>
              <w:keepLines/>
              <w:jc w:val="center"/>
              <w:rPr>
                <w:szCs w:val="20"/>
                <w:highlight w:val="black"/>
              </w:rPr>
            </w:pPr>
            <w:r>
              <w:rPr>
                <w:noProof/>
                <w:color w:val="000000"/>
                <w:szCs w:val="20"/>
                <w:highlight w:val="black"/>
              </w:rPr>
              <w:t>'''''''' '''''''''' ''''''''''''</w:t>
            </w:r>
          </w:p>
        </w:tc>
        <w:tc>
          <w:tcPr>
            <w:tcW w:w="1321" w:type="dxa"/>
            <w:shd w:val="clear" w:color="auto" w:fill="auto"/>
            <w:vAlign w:val="center"/>
          </w:tcPr>
          <w:p w:rsidR="00EC5704" w:rsidRPr="00227BBD" w:rsidRDefault="00227BBD" w:rsidP="003137F2">
            <w:pPr>
              <w:pStyle w:val="Tabletext"/>
              <w:keepNext/>
              <w:keepLines/>
              <w:jc w:val="center"/>
              <w:rPr>
                <w:szCs w:val="20"/>
                <w:highlight w:val="black"/>
              </w:rPr>
            </w:pPr>
            <w:r>
              <w:rPr>
                <w:noProof/>
                <w:color w:val="000000"/>
                <w:szCs w:val="20"/>
                <w:highlight w:val="black"/>
              </w:rPr>
              <w:t>''''''''' '''''''''' '''''''''</w:t>
            </w:r>
          </w:p>
        </w:tc>
        <w:tc>
          <w:tcPr>
            <w:tcW w:w="998" w:type="dxa"/>
            <w:shd w:val="clear" w:color="auto" w:fill="auto"/>
            <w:vAlign w:val="center"/>
          </w:tcPr>
          <w:p w:rsidR="00EC5704" w:rsidRPr="00227BBD" w:rsidRDefault="00227BBD" w:rsidP="003137F2">
            <w:pPr>
              <w:pStyle w:val="Tabletext"/>
              <w:keepNext/>
              <w:keepLines/>
              <w:jc w:val="center"/>
              <w:rPr>
                <w:szCs w:val="20"/>
                <w:highlight w:val="black"/>
              </w:rPr>
            </w:pPr>
            <w:r>
              <w:rPr>
                <w:noProof/>
                <w:color w:val="000000"/>
                <w:szCs w:val="20"/>
                <w:highlight w:val="black"/>
              </w:rPr>
              <w:t>''''''''</w:t>
            </w:r>
          </w:p>
        </w:tc>
        <w:tc>
          <w:tcPr>
            <w:tcW w:w="1470" w:type="dxa"/>
            <w:shd w:val="clear" w:color="auto" w:fill="auto"/>
            <w:vAlign w:val="center"/>
          </w:tcPr>
          <w:p w:rsidR="00EC5704" w:rsidRPr="00227BBD" w:rsidRDefault="00227BBD" w:rsidP="003137F2">
            <w:pPr>
              <w:pStyle w:val="Tabletext"/>
              <w:keepNext/>
              <w:keepLines/>
              <w:jc w:val="center"/>
              <w:rPr>
                <w:b/>
                <w:szCs w:val="20"/>
                <w:highlight w:val="black"/>
              </w:rPr>
            </w:pPr>
            <w:r>
              <w:rPr>
                <w:b/>
                <w:noProof/>
                <w:color w:val="000000"/>
                <w:szCs w:val="20"/>
                <w:highlight w:val="black"/>
              </w:rPr>
              <w:t>'''''''' '''''''''' '''''''''''</w:t>
            </w:r>
          </w:p>
        </w:tc>
      </w:tr>
      <w:tr w:rsidR="00EC5704" w:rsidRPr="004634FE" w:rsidTr="006548D5">
        <w:trPr>
          <w:trHeight w:val="257"/>
        </w:trPr>
        <w:tc>
          <w:tcPr>
            <w:tcW w:w="7547" w:type="dxa"/>
            <w:gridSpan w:val="5"/>
            <w:vAlign w:val="center"/>
          </w:tcPr>
          <w:p w:rsidR="00EC5704" w:rsidRPr="00100C63" w:rsidRDefault="00EC5704" w:rsidP="003137F2">
            <w:pPr>
              <w:pStyle w:val="Tabletext"/>
              <w:keepNext/>
              <w:keepLines/>
              <w:jc w:val="right"/>
              <w:rPr>
                <w:b/>
                <w:szCs w:val="20"/>
              </w:rPr>
            </w:pPr>
            <w:r w:rsidRPr="00100C63">
              <w:rPr>
                <w:b/>
                <w:szCs w:val="20"/>
              </w:rPr>
              <w:t xml:space="preserve">Indirect comparison </w:t>
            </w:r>
            <w:proofErr w:type="spellStart"/>
            <w:r w:rsidRPr="00100C63">
              <w:rPr>
                <w:b/>
                <w:szCs w:val="20"/>
              </w:rPr>
              <w:t>pembrolizumab</w:t>
            </w:r>
            <w:proofErr w:type="spellEnd"/>
            <w:r w:rsidRPr="00100C63">
              <w:rPr>
                <w:b/>
                <w:szCs w:val="20"/>
              </w:rPr>
              <w:t xml:space="preserve">  combo vs. </w:t>
            </w:r>
            <w:proofErr w:type="spellStart"/>
            <w:r w:rsidRPr="00100C63">
              <w:rPr>
                <w:b/>
                <w:szCs w:val="20"/>
              </w:rPr>
              <w:t>pembrolizumab</w:t>
            </w:r>
            <w:proofErr w:type="spellEnd"/>
            <w:r w:rsidRPr="00100C63">
              <w:rPr>
                <w:b/>
                <w:szCs w:val="20"/>
              </w:rPr>
              <w:t xml:space="preserve"> monotherapy</w:t>
            </w:r>
          </w:p>
          <w:p w:rsidR="00EC5704" w:rsidRPr="00100C63" w:rsidRDefault="00EC5704" w:rsidP="003137F2">
            <w:pPr>
              <w:pStyle w:val="Tabletext"/>
              <w:keepNext/>
              <w:keepLines/>
              <w:jc w:val="right"/>
              <w:rPr>
                <w:b/>
                <w:szCs w:val="20"/>
              </w:rPr>
            </w:pPr>
            <w:r w:rsidRPr="00100C63">
              <w:rPr>
                <w:szCs w:val="20"/>
              </w:rPr>
              <w:t>IP</w:t>
            </w:r>
            <w:r w:rsidR="00736381" w:rsidRPr="00100C63">
              <w:rPr>
                <w:szCs w:val="20"/>
              </w:rPr>
              <w:t>T</w:t>
            </w:r>
            <w:r w:rsidRPr="00100C63">
              <w:rPr>
                <w:szCs w:val="20"/>
              </w:rPr>
              <w:t>W weighting only</w:t>
            </w:r>
          </w:p>
        </w:tc>
        <w:tc>
          <w:tcPr>
            <w:tcW w:w="1470" w:type="dxa"/>
            <w:shd w:val="clear" w:color="auto" w:fill="auto"/>
            <w:vAlign w:val="center"/>
          </w:tcPr>
          <w:p w:rsidR="00EC5704" w:rsidRPr="00100C63" w:rsidRDefault="00EC5704" w:rsidP="003137F2">
            <w:pPr>
              <w:pStyle w:val="Tabletext"/>
              <w:keepNext/>
              <w:keepLines/>
              <w:jc w:val="center"/>
              <w:rPr>
                <w:b/>
                <w:szCs w:val="20"/>
              </w:rPr>
            </w:pPr>
          </w:p>
          <w:p w:rsidR="00EC5704" w:rsidRPr="004634FE" w:rsidRDefault="00227BBD" w:rsidP="003137F2">
            <w:pPr>
              <w:pStyle w:val="Tabletext"/>
              <w:keepNext/>
              <w:keepLines/>
              <w:jc w:val="center"/>
              <w:rPr>
                <w:szCs w:val="20"/>
              </w:rPr>
            </w:pPr>
            <w:r>
              <w:rPr>
                <w:noProof/>
                <w:color w:val="000000"/>
                <w:szCs w:val="20"/>
                <w:highlight w:val="black"/>
              </w:rPr>
              <w:t>''''''''''' ''''''''''''''' ''''''''''</w:t>
            </w:r>
            <w:r w:rsidR="00EC5704" w:rsidRPr="00100C63">
              <w:rPr>
                <w:szCs w:val="20"/>
              </w:rPr>
              <w:t>)</w:t>
            </w:r>
          </w:p>
        </w:tc>
      </w:tr>
    </w:tbl>
    <w:p w:rsidR="00EC5704" w:rsidRPr="00243081" w:rsidRDefault="00EC5704" w:rsidP="003137F2">
      <w:pPr>
        <w:pStyle w:val="TableFooter"/>
        <w:keepNext/>
        <w:keepLines/>
        <w:tabs>
          <w:tab w:val="left" w:pos="284"/>
        </w:tabs>
      </w:pPr>
      <w:proofErr w:type="gramStart"/>
      <w:r w:rsidRPr="00243081">
        <w:rPr>
          <w:vertAlign w:val="superscript"/>
        </w:rPr>
        <w:t>a</w:t>
      </w:r>
      <w:proofErr w:type="gramEnd"/>
      <w:r w:rsidRPr="00243081">
        <w:rPr>
          <w:vertAlign w:val="superscript"/>
        </w:rPr>
        <w:tab/>
      </w:r>
      <w:r w:rsidRPr="00243081">
        <w:t>Subgroup of patients with PD-L1 Tumour Proportion Score (T</w:t>
      </w:r>
      <w:r w:rsidR="007821AD" w:rsidRPr="00243081">
        <w:t>PS) ≥</w:t>
      </w:r>
      <w:r w:rsidRPr="00243081">
        <w:t>50% only</w:t>
      </w:r>
    </w:p>
    <w:p w:rsidR="00EC5704" w:rsidRPr="00243081" w:rsidRDefault="00EC5704" w:rsidP="003137F2">
      <w:pPr>
        <w:pStyle w:val="TableFooter"/>
        <w:keepNext/>
        <w:keepLines/>
        <w:tabs>
          <w:tab w:val="left" w:pos="284"/>
        </w:tabs>
      </w:pPr>
      <w:proofErr w:type="gramStart"/>
      <w:r w:rsidRPr="00243081">
        <w:rPr>
          <w:vertAlign w:val="superscript"/>
        </w:rPr>
        <w:t>b</w:t>
      </w:r>
      <w:proofErr w:type="gramEnd"/>
      <w:r w:rsidRPr="00243081">
        <w:rPr>
          <w:vertAlign w:val="superscript"/>
        </w:rPr>
        <w:tab/>
      </w:r>
      <w:r w:rsidRPr="00243081">
        <w:t xml:space="preserve">Subgroup of patients with non-squamous histology only </w:t>
      </w:r>
    </w:p>
    <w:p w:rsidR="00EC5704" w:rsidRPr="00243081" w:rsidRDefault="00EC5704" w:rsidP="003137F2">
      <w:pPr>
        <w:pStyle w:val="TableFooter"/>
        <w:keepNext/>
        <w:keepLines/>
        <w:tabs>
          <w:tab w:val="left" w:pos="284"/>
        </w:tabs>
      </w:pPr>
      <w:proofErr w:type="gramStart"/>
      <w:r w:rsidRPr="00243081">
        <w:rPr>
          <w:vertAlign w:val="superscript"/>
        </w:rPr>
        <w:t>c</w:t>
      </w:r>
      <w:proofErr w:type="gramEnd"/>
      <w:r w:rsidRPr="00243081">
        <w:rPr>
          <w:vertAlign w:val="superscript"/>
        </w:rPr>
        <w:tab/>
      </w:r>
      <w:r w:rsidRPr="00243081">
        <w:t>Median for comparator reported for IPTW weighting only</w:t>
      </w:r>
    </w:p>
    <w:p w:rsidR="00EC5704" w:rsidRPr="00243081" w:rsidRDefault="00EC5704" w:rsidP="003137F2">
      <w:pPr>
        <w:pStyle w:val="TableFooter"/>
        <w:keepNext/>
        <w:keepLines/>
        <w:tabs>
          <w:tab w:val="left" w:pos="284"/>
        </w:tabs>
      </w:pPr>
      <w:proofErr w:type="gramStart"/>
      <w:r w:rsidRPr="00243081">
        <w:rPr>
          <w:vertAlign w:val="superscript"/>
        </w:rPr>
        <w:t>d</w:t>
      </w:r>
      <w:proofErr w:type="gramEnd"/>
      <w:r w:rsidRPr="00243081">
        <w:rPr>
          <w:vertAlign w:val="superscript"/>
        </w:rPr>
        <w:tab/>
      </w:r>
      <w:r w:rsidRPr="00243081">
        <w:t xml:space="preserve">Subgroup of patients treated with cisplatin + </w:t>
      </w:r>
      <w:proofErr w:type="spellStart"/>
      <w:r w:rsidRPr="00243081">
        <w:t>pemetrexed</w:t>
      </w:r>
      <w:proofErr w:type="spellEnd"/>
      <w:r w:rsidRPr="00243081">
        <w:t xml:space="preserve"> or carboplatin + </w:t>
      </w:r>
      <w:proofErr w:type="spellStart"/>
      <w:r w:rsidRPr="00243081">
        <w:t>pemetrexed</w:t>
      </w:r>
      <w:proofErr w:type="spellEnd"/>
      <w:r w:rsidRPr="00243081">
        <w:t xml:space="preserve"> only</w:t>
      </w:r>
    </w:p>
    <w:p w:rsidR="00EC5704" w:rsidRPr="00243081" w:rsidRDefault="009E0366" w:rsidP="003137F2">
      <w:pPr>
        <w:pStyle w:val="TableFooter"/>
        <w:keepNext/>
        <w:keepLines/>
      </w:pPr>
      <w:proofErr w:type="spellStart"/>
      <w:r w:rsidRPr="00243081">
        <w:rPr>
          <w:szCs w:val="18"/>
        </w:rPr>
        <w:t>Pembro+plat+peme</w:t>
      </w:r>
      <w:proofErr w:type="spellEnd"/>
      <w:r w:rsidRPr="00243081">
        <w:rPr>
          <w:szCs w:val="18"/>
        </w:rPr>
        <w:t xml:space="preserve"> = </w:t>
      </w:r>
      <w:proofErr w:type="spellStart"/>
      <w:r w:rsidRPr="00243081">
        <w:rPr>
          <w:szCs w:val="18"/>
        </w:rPr>
        <w:t>pembrolizumab+platinum+pemetrexed</w:t>
      </w:r>
      <w:proofErr w:type="spellEnd"/>
      <w:r w:rsidRPr="00243081">
        <w:rPr>
          <w:szCs w:val="18"/>
        </w:rPr>
        <w:t>,</w:t>
      </w:r>
      <w:r w:rsidRPr="00243081">
        <w:t xml:space="preserve"> </w:t>
      </w:r>
      <w:r w:rsidR="00EC5704" w:rsidRPr="00243081">
        <w:t xml:space="preserve">PFS = progression free survival; HR = hazard ratio; NR = not reached; CI = confidence interval, IPTW = Inverse Probability of Treatment Weighting, </w:t>
      </w:r>
    </w:p>
    <w:p w:rsidR="00EC5704" w:rsidRPr="00243081" w:rsidRDefault="00EC5704" w:rsidP="003137F2">
      <w:pPr>
        <w:pStyle w:val="TableFooter"/>
        <w:keepNext/>
        <w:keepLines/>
      </w:pPr>
      <w:r w:rsidRPr="00243081">
        <w:t>Figures in bold indicate statistically significant differences</w:t>
      </w:r>
    </w:p>
    <w:p w:rsidR="00EC5704" w:rsidRPr="00243081" w:rsidRDefault="00EC5704" w:rsidP="003137F2">
      <w:pPr>
        <w:pStyle w:val="TableFooter"/>
        <w:keepNext/>
        <w:keepLines/>
      </w:pPr>
      <w:r w:rsidRPr="00243081">
        <w:t xml:space="preserve">Source: Table 2.6-11, p90 of the submission and Table 13, p28 of Appendix 14 to the submission </w:t>
      </w:r>
    </w:p>
    <w:p w:rsidR="00EC5704" w:rsidRPr="00243081" w:rsidRDefault="00EC5704" w:rsidP="00C7586D">
      <w:pPr>
        <w:rPr>
          <w:sz w:val="18"/>
          <w:szCs w:val="18"/>
        </w:rPr>
      </w:pPr>
    </w:p>
    <w:p w:rsidR="00844298" w:rsidRPr="00243081" w:rsidRDefault="00B46E0D" w:rsidP="001C6E85">
      <w:pPr>
        <w:pStyle w:val="Caption"/>
        <w:keepNext/>
        <w:keepLines/>
        <w:rPr>
          <w:szCs w:val="20"/>
        </w:rPr>
      </w:pPr>
      <w:bookmarkStart w:id="23" w:name="_Ref524310145"/>
      <w:r w:rsidRPr="001C6E85">
        <w:lastRenderedPageBreak/>
        <w:t xml:space="preserve">Figure </w:t>
      </w:r>
      <w:r w:rsidR="00415215" w:rsidRPr="001C6E85">
        <w:t>5</w:t>
      </w:r>
      <w:bookmarkEnd w:id="23"/>
      <w:r w:rsidR="00844298" w:rsidRPr="001C6E85">
        <w:rPr>
          <w:szCs w:val="20"/>
        </w:rPr>
        <w:t>:</w:t>
      </w:r>
      <w:r w:rsidR="00F8512F" w:rsidRPr="001C6E85">
        <w:rPr>
          <w:szCs w:val="20"/>
        </w:rPr>
        <w:t xml:space="preserve"> Kaplan-Meier curves </w:t>
      </w:r>
      <w:r w:rsidR="00844298" w:rsidRPr="001C6E85">
        <w:rPr>
          <w:szCs w:val="20"/>
        </w:rPr>
        <w:t xml:space="preserve">in KN189 and KN024, ITT population unadjusted </w:t>
      </w:r>
      <w:r w:rsidR="00F8512F" w:rsidRPr="001C6E85">
        <w:rPr>
          <w:szCs w:val="20"/>
        </w:rPr>
        <w:t>– overall survival (left) and</w:t>
      </w:r>
      <w:r w:rsidR="00F8512F" w:rsidRPr="000764C9">
        <w:rPr>
          <w:szCs w:val="20"/>
        </w:rPr>
        <w:t xml:space="preserve"> progression free survival (right)</w:t>
      </w:r>
    </w:p>
    <w:p w:rsidR="00844298" w:rsidRPr="00243081" w:rsidRDefault="00227BBD" w:rsidP="00F8512F">
      <w:pPr>
        <w:keepNext/>
        <w:keepLines/>
        <w:jc w:val="left"/>
        <w:rPr>
          <w:rFonts w:ascii="Arial Narrow" w:hAnsi="Arial Narrow"/>
          <w:sz w:val="20"/>
          <w:szCs w:val="20"/>
        </w:rPr>
      </w:pPr>
      <w:r>
        <w:rPr>
          <w:rFonts w:ascii="Arial Narrow" w:hAnsi="Arial Narrow"/>
          <w:noProof/>
          <w:snapToGrid/>
          <w:sz w:val="20"/>
          <w:szCs w:val="20"/>
          <w:lang w:eastAsia="en-AU"/>
        </w:rPr>
        <w:drawing>
          <wp:inline distT="0" distB="0" distL="0" distR="0">
            <wp:extent cx="2814955" cy="2119630"/>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2814955" cy="2119630"/>
                    </a:xfrm>
                    <a:prstGeom prst="rect">
                      <a:avLst/>
                    </a:prstGeom>
                  </pic:spPr>
                </pic:pic>
              </a:graphicData>
            </a:graphic>
          </wp:inline>
        </w:drawing>
      </w:r>
      <w:r w:rsidR="00F8512F" w:rsidRPr="00243081">
        <w:rPr>
          <w:rFonts w:ascii="Arial Narrow" w:hAnsi="Arial Narrow"/>
          <w:noProof/>
          <w:sz w:val="20"/>
          <w:szCs w:val="20"/>
          <w:lang w:eastAsia="en-AU"/>
        </w:rPr>
        <w:t xml:space="preserve"> </w:t>
      </w:r>
      <w:r>
        <w:rPr>
          <w:rFonts w:ascii="Arial Narrow" w:hAnsi="Arial Narrow"/>
          <w:noProof/>
          <w:snapToGrid/>
          <w:sz w:val="20"/>
          <w:szCs w:val="20"/>
          <w:lang w:eastAsia="en-AU"/>
        </w:rPr>
        <w:drawing>
          <wp:inline distT="0" distB="0" distL="0" distR="0">
            <wp:extent cx="2861310" cy="20497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61310" cy="2049780"/>
                    </a:xfrm>
                    <a:prstGeom prst="rect">
                      <a:avLst/>
                    </a:prstGeom>
                  </pic:spPr>
                </pic:pic>
              </a:graphicData>
            </a:graphic>
          </wp:inline>
        </w:drawing>
      </w:r>
    </w:p>
    <w:p w:rsidR="00844298" w:rsidRPr="00243081" w:rsidRDefault="00844298" w:rsidP="00756BF4">
      <w:pPr>
        <w:keepNext/>
        <w:keepLines/>
        <w:rPr>
          <w:rFonts w:ascii="Arial Narrow" w:hAnsi="Arial Narrow"/>
          <w:sz w:val="18"/>
          <w:szCs w:val="20"/>
        </w:rPr>
      </w:pPr>
      <w:r w:rsidRPr="00243081">
        <w:rPr>
          <w:rFonts w:ascii="Arial Narrow" w:hAnsi="Arial Narrow"/>
          <w:sz w:val="18"/>
          <w:szCs w:val="20"/>
        </w:rPr>
        <w:t xml:space="preserve">Source: Figure 3, p17 </w:t>
      </w:r>
      <w:r w:rsidR="00F8512F" w:rsidRPr="00243081">
        <w:rPr>
          <w:rFonts w:ascii="Arial Narrow" w:hAnsi="Arial Narrow"/>
          <w:sz w:val="18"/>
          <w:szCs w:val="20"/>
        </w:rPr>
        <w:t xml:space="preserve">and Figure 6, p27 </w:t>
      </w:r>
      <w:r w:rsidRPr="00243081">
        <w:rPr>
          <w:rFonts w:ascii="Arial Narrow" w:hAnsi="Arial Narrow"/>
          <w:sz w:val="18"/>
          <w:szCs w:val="20"/>
        </w:rPr>
        <w:t xml:space="preserve">of Appendix 14 to the submission </w:t>
      </w:r>
    </w:p>
    <w:p w:rsidR="00844298" w:rsidRPr="00243081" w:rsidRDefault="00844298" w:rsidP="00844298">
      <w:pPr>
        <w:rPr>
          <w:sz w:val="18"/>
          <w:szCs w:val="18"/>
        </w:rPr>
      </w:pPr>
    </w:p>
    <w:p w:rsidR="00581C81" w:rsidRPr="00243081" w:rsidRDefault="004634FE" w:rsidP="00E84F3E">
      <w:pPr>
        <w:pStyle w:val="ListParagraph"/>
        <w:widowControl/>
        <w:numPr>
          <w:ilvl w:val="1"/>
          <w:numId w:val="3"/>
        </w:numPr>
      </w:pPr>
      <w:r>
        <w:t>The information that has been redacted from tables 7 and 8  and figure 5 above shows n</w:t>
      </w:r>
      <w:r w:rsidR="00844298" w:rsidRPr="00243081">
        <w:t>one of the adjustment methods in the indirect comparison resulted in a HR</w:t>
      </w:r>
      <w:r w:rsidR="002A5457" w:rsidRPr="00243081">
        <w:t xml:space="preserve"> for OS or PFS</w:t>
      </w:r>
      <w:r w:rsidR="00844298" w:rsidRPr="00243081">
        <w:t xml:space="preserve"> that was statistically significantly different between </w:t>
      </w:r>
      <w:proofErr w:type="spellStart"/>
      <w:r w:rsidR="00844298" w:rsidRPr="00243081">
        <w:t>pembrolizumab</w:t>
      </w:r>
      <w:r w:rsidR="00736381" w:rsidRPr="00243081">
        <w:t>+platinum+pemetrexed</w:t>
      </w:r>
      <w:proofErr w:type="spellEnd"/>
      <w:r w:rsidR="00844298" w:rsidRPr="00243081">
        <w:t xml:space="preserve"> and </w:t>
      </w:r>
      <w:proofErr w:type="spellStart"/>
      <w:r w:rsidR="00844298" w:rsidRPr="00243081">
        <w:t>pembrolizumab</w:t>
      </w:r>
      <w:proofErr w:type="spellEnd"/>
      <w:r w:rsidR="00844298" w:rsidRPr="00243081">
        <w:t>.  The submission noted that this is likely because the indirect comparison used two subgroups from tw</w:t>
      </w:r>
      <w:r w:rsidR="003137F2">
        <w:t>o trials and was underpowered.</w:t>
      </w:r>
    </w:p>
    <w:p w:rsidR="00581C81" w:rsidRPr="00243081" w:rsidRDefault="00581C81" w:rsidP="00581C81">
      <w:pPr>
        <w:pStyle w:val="ListParagraph"/>
        <w:numPr>
          <w:ilvl w:val="1"/>
          <w:numId w:val="3"/>
        </w:numPr>
        <w:rPr>
          <w:iCs/>
        </w:rPr>
      </w:pPr>
      <w:r w:rsidRPr="00243081">
        <w:rPr>
          <w:iCs/>
        </w:rPr>
        <w:t>Additionally, the efficacy in the common reference arms (</w:t>
      </w:r>
      <w:proofErr w:type="spellStart"/>
      <w:r w:rsidRPr="00243081">
        <w:rPr>
          <w:iCs/>
        </w:rPr>
        <w:t>platinum+pemetrexed</w:t>
      </w:r>
      <w:proofErr w:type="spellEnd"/>
      <w:r w:rsidRPr="00243081">
        <w:rPr>
          <w:iCs/>
        </w:rPr>
        <w:t>) of KN189 and KN024 appear</w:t>
      </w:r>
      <w:r w:rsidR="0040765E" w:rsidRPr="00243081">
        <w:rPr>
          <w:iCs/>
        </w:rPr>
        <w:t>s</w:t>
      </w:r>
      <w:r w:rsidRPr="00243081">
        <w:rPr>
          <w:iCs/>
        </w:rPr>
        <w:t xml:space="preserve"> to be different, with patients treated with platinum + </w:t>
      </w:r>
      <w:proofErr w:type="spellStart"/>
      <w:r w:rsidRPr="00243081">
        <w:rPr>
          <w:iCs/>
        </w:rPr>
        <w:t>pemetrexed</w:t>
      </w:r>
      <w:proofErr w:type="spellEnd"/>
      <w:r w:rsidRPr="00243081">
        <w:rPr>
          <w:iCs/>
        </w:rPr>
        <w:t xml:space="preserve"> in KN024 having better OS and PFS outcomes compared to KN189 (longer median OS and PFS, no overlap in OS and PFS Kaplan Meier between 3-15 months).</w:t>
      </w:r>
    </w:p>
    <w:p w:rsidR="00483326" w:rsidRPr="00243081" w:rsidRDefault="00483326" w:rsidP="00E84F3E">
      <w:pPr>
        <w:pStyle w:val="ListParagraph"/>
        <w:widowControl/>
        <w:numPr>
          <w:ilvl w:val="1"/>
          <w:numId w:val="3"/>
        </w:numPr>
        <w:rPr>
          <w:iCs/>
        </w:rPr>
      </w:pPr>
      <w:r w:rsidRPr="00243081">
        <w:rPr>
          <w:iCs/>
        </w:rPr>
        <w:t xml:space="preserve">The PSCR reiterated that the PD-L1 TPS≥50% subgroup from KN189 and the non-squamous subgroup from KN024 were not designed to detect differences compared with chemotherapy, and the indirect treatment comparison is not adequately powered to detect a significant difference between </w:t>
      </w:r>
      <w:proofErr w:type="spellStart"/>
      <w:r w:rsidRPr="00243081">
        <w:rPr>
          <w:iCs/>
        </w:rPr>
        <w:t>pembrolizumab</w:t>
      </w:r>
      <w:proofErr w:type="spellEnd"/>
      <w:r w:rsidRPr="00243081">
        <w:rPr>
          <w:iCs/>
        </w:rPr>
        <w:t xml:space="preserve"> combination therapy and </w:t>
      </w:r>
      <w:proofErr w:type="spellStart"/>
      <w:r w:rsidRPr="00243081">
        <w:rPr>
          <w:iCs/>
        </w:rPr>
        <w:t>pembrolizumab</w:t>
      </w:r>
      <w:proofErr w:type="spellEnd"/>
      <w:r w:rsidRPr="00243081">
        <w:rPr>
          <w:iCs/>
        </w:rPr>
        <w:t xml:space="preserve"> monotherapy.</w:t>
      </w:r>
    </w:p>
    <w:p w:rsidR="00483326" w:rsidRPr="00243081" w:rsidRDefault="00483326" w:rsidP="00D34D19">
      <w:pPr>
        <w:pStyle w:val="ListParagraph"/>
        <w:widowControl/>
        <w:numPr>
          <w:ilvl w:val="1"/>
          <w:numId w:val="3"/>
        </w:numPr>
        <w:rPr>
          <w:iCs/>
        </w:rPr>
      </w:pPr>
      <w:r w:rsidRPr="00243081">
        <w:rPr>
          <w:iCs/>
        </w:rPr>
        <w:t xml:space="preserve">The PSCR introduced new evidence from KN042. This study enrolled patients with PD-L1 TPS ≥1%. The PSCR re-presented the indirect comparison using the ≥50% subgroup from KN042 combined with the patients from KN024. The results of the ITC were little changed, and remained </w:t>
      </w:r>
      <w:proofErr w:type="spellStart"/>
      <w:r w:rsidRPr="00243081">
        <w:rPr>
          <w:iCs/>
        </w:rPr>
        <w:t>nonsignificant</w:t>
      </w:r>
      <w:proofErr w:type="spellEnd"/>
      <w:r w:rsidRPr="00243081">
        <w:rPr>
          <w:iCs/>
        </w:rPr>
        <w:t xml:space="preserve">. The PSCR claimed that the similarity of the point estimate, and the narrowing of the confidence intervals </w:t>
      </w:r>
      <w:r w:rsidR="001E25D2" w:rsidRPr="00243081">
        <w:rPr>
          <w:iCs/>
        </w:rPr>
        <w:t>provide</w:t>
      </w:r>
      <w:r w:rsidRPr="00243081">
        <w:rPr>
          <w:iCs/>
        </w:rPr>
        <w:t xml:space="preserve"> support for the hypothesis that a statistically significant benefit would be observed if the comparisons were adequately powered.</w:t>
      </w:r>
    </w:p>
    <w:p w:rsidR="00EE7F5E" w:rsidRPr="00243081" w:rsidRDefault="002218B7" w:rsidP="00F81455">
      <w:pPr>
        <w:pStyle w:val="ListParagraph"/>
        <w:widowControl/>
        <w:numPr>
          <w:ilvl w:val="1"/>
          <w:numId w:val="3"/>
        </w:numPr>
        <w:jc w:val="left"/>
        <w:rPr>
          <w:i/>
        </w:rPr>
      </w:pPr>
      <w:r w:rsidRPr="00243081">
        <w:rPr>
          <w:iCs/>
        </w:rPr>
        <w:t xml:space="preserve">The ESC suggested that a cost-minimisation approach, based on a claim of non-inferiority, </w:t>
      </w:r>
      <w:r w:rsidR="009D5524" w:rsidRPr="00243081">
        <w:rPr>
          <w:iCs/>
        </w:rPr>
        <w:t>may have been more appropriate</w:t>
      </w:r>
      <w:r w:rsidR="00EE7F5E" w:rsidRPr="00243081">
        <w:rPr>
          <w:iCs/>
        </w:rPr>
        <w:t xml:space="preserve"> for this subgroup</w:t>
      </w:r>
      <w:r w:rsidR="00884247" w:rsidRPr="00243081">
        <w:rPr>
          <w:iCs/>
        </w:rPr>
        <w:t xml:space="preserve"> (see Economic Analysis</w:t>
      </w:r>
      <w:r w:rsidR="00581C81" w:rsidRPr="00243081">
        <w:rPr>
          <w:iCs/>
        </w:rPr>
        <w:t>)</w:t>
      </w:r>
      <w:r w:rsidRPr="00243081">
        <w:rPr>
          <w:iCs/>
        </w:rPr>
        <w:t>.</w:t>
      </w:r>
    </w:p>
    <w:p w:rsidR="00624521" w:rsidRPr="00243081" w:rsidRDefault="00D00416" w:rsidP="00F81455">
      <w:pPr>
        <w:pStyle w:val="ListParagraph"/>
        <w:widowControl/>
        <w:numPr>
          <w:ilvl w:val="1"/>
          <w:numId w:val="3"/>
        </w:numPr>
        <w:jc w:val="left"/>
        <w:rPr>
          <w:i/>
        </w:rPr>
      </w:pPr>
      <w:r w:rsidRPr="00243081">
        <w:rPr>
          <w:iCs/>
        </w:rPr>
        <w:lastRenderedPageBreak/>
        <w:t>The PBAC agreed with ESC that the indirect comparison was highly uncertain</w:t>
      </w:r>
      <w:r w:rsidR="00EE7F5E" w:rsidRPr="00243081">
        <w:rPr>
          <w:iCs/>
        </w:rPr>
        <w:t>, and that when the additional toxicity associated with combination therapy is taken into account</w:t>
      </w:r>
      <w:r w:rsidR="00E063A5" w:rsidRPr="00243081">
        <w:rPr>
          <w:iCs/>
        </w:rPr>
        <w:t>,</w:t>
      </w:r>
      <w:r w:rsidR="00EE7F5E" w:rsidRPr="00243081">
        <w:rPr>
          <w:iCs/>
        </w:rPr>
        <w:t xml:space="preserve"> </w:t>
      </w:r>
      <w:proofErr w:type="spellStart"/>
      <w:r w:rsidR="001E25D2" w:rsidRPr="00243081">
        <w:t>pembrolizumab+platinum+pemetrexed</w:t>
      </w:r>
      <w:proofErr w:type="spellEnd"/>
      <w:r w:rsidR="001E25D2" w:rsidRPr="00243081">
        <w:rPr>
          <w:iCs/>
        </w:rPr>
        <w:t xml:space="preserve"> </w:t>
      </w:r>
      <w:r w:rsidR="00EE7F5E" w:rsidRPr="00243081">
        <w:rPr>
          <w:iCs/>
        </w:rPr>
        <w:t xml:space="preserve">may overall be inferior to </w:t>
      </w:r>
      <w:proofErr w:type="spellStart"/>
      <w:r w:rsidR="00EE7F5E" w:rsidRPr="00243081">
        <w:rPr>
          <w:iCs/>
        </w:rPr>
        <w:t>pembrolizumab</w:t>
      </w:r>
      <w:proofErr w:type="spellEnd"/>
      <w:r w:rsidR="00EE7F5E" w:rsidRPr="00243081">
        <w:rPr>
          <w:iCs/>
        </w:rPr>
        <w:t xml:space="preserve"> monotherapy.</w:t>
      </w:r>
    </w:p>
    <w:p w:rsidR="00B34FE2" w:rsidRPr="00243081" w:rsidRDefault="003472E8" w:rsidP="007A132D">
      <w:pPr>
        <w:pStyle w:val="ListParagraph"/>
        <w:widowControl/>
        <w:numPr>
          <w:ilvl w:val="1"/>
          <w:numId w:val="3"/>
        </w:numPr>
      </w:pPr>
      <w:r w:rsidRPr="00243081">
        <w:rPr>
          <w:rFonts w:cs="Calibri"/>
          <w:snapToGrid/>
          <w:szCs w:val="24"/>
          <w:lang w:val="en-US" w:eastAsia="en-AU"/>
        </w:rPr>
        <w:t>Q</w:t>
      </w:r>
      <w:r w:rsidR="00D1033D" w:rsidRPr="00243081">
        <w:rPr>
          <w:rFonts w:cs="Calibri"/>
          <w:snapToGrid/>
          <w:szCs w:val="24"/>
          <w:lang w:val="en-US" w:eastAsia="en-AU"/>
        </w:rPr>
        <w:t xml:space="preserve">uality of life data </w:t>
      </w:r>
      <w:r w:rsidRPr="00243081">
        <w:rPr>
          <w:rFonts w:cs="Calibri"/>
          <w:snapToGrid/>
          <w:szCs w:val="24"/>
          <w:lang w:val="en-US" w:eastAsia="en-AU"/>
        </w:rPr>
        <w:t>w</w:t>
      </w:r>
      <w:r w:rsidR="00353B24" w:rsidRPr="00243081">
        <w:rPr>
          <w:rFonts w:cs="Calibri"/>
          <w:snapToGrid/>
          <w:szCs w:val="24"/>
          <w:lang w:val="en-US" w:eastAsia="en-AU"/>
        </w:rPr>
        <w:t>ere</w:t>
      </w:r>
      <w:r w:rsidRPr="00243081">
        <w:rPr>
          <w:rFonts w:cs="Calibri"/>
          <w:snapToGrid/>
          <w:szCs w:val="24"/>
          <w:lang w:val="en-US" w:eastAsia="en-AU"/>
        </w:rPr>
        <w:t xml:space="preserve"> </w:t>
      </w:r>
      <w:r w:rsidR="00D1033D" w:rsidRPr="00243081">
        <w:rPr>
          <w:rFonts w:cs="Calibri"/>
          <w:snapToGrid/>
          <w:szCs w:val="24"/>
          <w:lang w:val="en-US" w:eastAsia="en-AU"/>
        </w:rPr>
        <w:t xml:space="preserve">collected in KN189.  </w:t>
      </w:r>
      <w:r w:rsidR="00DB3043" w:rsidRPr="00243081">
        <w:rPr>
          <w:rFonts w:cs="Calibri"/>
          <w:snapToGrid/>
          <w:szCs w:val="24"/>
          <w:lang w:val="en-US" w:eastAsia="en-AU"/>
        </w:rPr>
        <w:t xml:space="preserve">Overall, patients treated with </w:t>
      </w:r>
      <w:proofErr w:type="spellStart"/>
      <w:r w:rsidR="00DB3043" w:rsidRPr="00243081">
        <w:rPr>
          <w:rFonts w:cs="Calibri"/>
          <w:snapToGrid/>
          <w:szCs w:val="24"/>
          <w:lang w:val="en-US" w:eastAsia="en-AU"/>
        </w:rPr>
        <w:t>pembrolizumab+platinum+pemetrexed</w:t>
      </w:r>
      <w:proofErr w:type="spellEnd"/>
      <w:r w:rsidR="00DB3043" w:rsidRPr="00243081">
        <w:rPr>
          <w:rFonts w:cs="Calibri"/>
          <w:snapToGrid/>
          <w:szCs w:val="24"/>
          <w:lang w:val="en-US" w:eastAsia="en-AU"/>
        </w:rPr>
        <w:t xml:space="preserve"> reported statistically significantly improved quality of life at Week 21 , measured as a least square mean for EORTC QLQ-C30 and EQ-5D VAS, but whether the magnitude of the differences is meaningful is unknown.  </w:t>
      </w:r>
      <w:r w:rsidR="00D1033D" w:rsidRPr="00243081">
        <w:rPr>
          <w:rFonts w:cs="Calibri"/>
          <w:snapToGrid/>
          <w:szCs w:val="24"/>
          <w:lang w:val="en-US" w:eastAsia="en-AU"/>
        </w:rPr>
        <w:t>Quality of life data from KN189 was not directly used in the economic evaluation.  Instead, utility values were remapped based on relative time to a patient’s deat</w:t>
      </w:r>
      <w:r w:rsidR="003137F2">
        <w:rPr>
          <w:rFonts w:cs="Calibri"/>
          <w:snapToGrid/>
          <w:szCs w:val="24"/>
          <w:lang w:val="en-US" w:eastAsia="en-AU"/>
        </w:rPr>
        <w:t>h to inform the economic model.</w:t>
      </w:r>
    </w:p>
    <w:p w:rsidR="00B60939" w:rsidRPr="00243081" w:rsidRDefault="00B60939" w:rsidP="00890F38">
      <w:pPr>
        <w:pStyle w:val="Heading2"/>
      </w:pPr>
      <w:bookmarkStart w:id="24" w:name="_Toc524518824"/>
      <w:r w:rsidRPr="00243081">
        <w:t>Comparative harms</w:t>
      </w:r>
      <w:bookmarkEnd w:id="24"/>
    </w:p>
    <w:p w:rsidR="00B60939" w:rsidRPr="00243081" w:rsidRDefault="00756BF4" w:rsidP="00D34D19">
      <w:pPr>
        <w:pStyle w:val="ListParagraph"/>
        <w:widowControl/>
        <w:numPr>
          <w:ilvl w:val="1"/>
          <w:numId w:val="3"/>
        </w:numPr>
      </w:pPr>
      <w:r w:rsidRPr="00243081">
        <w:t xml:space="preserve">Adverse events </w:t>
      </w:r>
      <w:r w:rsidR="00D34D19" w:rsidRPr="00243081">
        <w:t xml:space="preserve">that occurred at </w:t>
      </w:r>
      <w:r w:rsidRPr="00243081">
        <w:t xml:space="preserve">statistically significantly different </w:t>
      </w:r>
      <w:r w:rsidR="00D34D19" w:rsidRPr="00243081">
        <w:t xml:space="preserve">rates </w:t>
      </w:r>
      <w:r w:rsidRPr="00243081">
        <w:t xml:space="preserve">between treatment arms in KN189 are summarised in </w:t>
      </w:r>
      <w:r w:rsidR="00F059E8" w:rsidRPr="00243081">
        <w:t xml:space="preserve">Table </w:t>
      </w:r>
      <w:r w:rsidR="00F059E8" w:rsidRPr="00243081">
        <w:rPr>
          <w:noProof/>
        </w:rPr>
        <w:t>9</w:t>
      </w:r>
      <w:r w:rsidRPr="00243081">
        <w:t xml:space="preserve">. </w:t>
      </w:r>
      <w:r w:rsidRPr="00243081">
        <w:rPr>
          <w:color w:val="3366FF"/>
        </w:rPr>
        <w:t xml:space="preserve"> </w:t>
      </w:r>
    </w:p>
    <w:p w:rsidR="00085A79" w:rsidRPr="00243081" w:rsidRDefault="00085A79" w:rsidP="00D34D19">
      <w:pPr>
        <w:pStyle w:val="ListParagraph"/>
        <w:widowControl/>
        <w:numPr>
          <w:ilvl w:val="1"/>
          <w:numId w:val="3"/>
        </w:numPr>
      </w:pPr>
      <w:r w:rsidRPr="00243081">
        <w:t>Overall, the frequency of adverse events</w:t>
      </w:r>
      <w:r w:rsidR="003E7A99" w:rsidRPr="00243081">
        <w:t xml:space="preserve"> (AE)</w:t>
      </w:r>
      <w:r w:rsidRPr="00243081">
        <w:t xml:space="preserve"> </w:t>
      </w:r>
      <w:r w:rsidR="003E7A99" w:rsidRPr="00243081">
        <w:t>was</w:t>
      </w:r>
      <w:r w:rsidRPr="00243081">
        <w:t xml:space="preserve"> higher in patients treated with </w:t>
      </w:r>
      <w:proofErr w:type="spellStart"/>
      <w:r w:rsidRPr="00243081">
        <w:t>pembrolizumab</w:t>
      </w:r>
      <w:r w:rsidR="00736381" w:rsidRPr="00243081">
        <w:t>+platinum+pemetrexed</w:t>
      </w:r>
      <w:proofErr w:type="spellEnd"/>
      <w:r w:rsidRPr="00243081">
        <w:t xml:space="preserve"> compared to patients treated with platinum doublet but the submission (pp61-62) claims that this </w:t>
      </w:r>
      <w:r w:rsidR="00F874C0" w:rsidRPr="00243081">
        <w:t>wa</w:t>
      </w:r>
      <w:r w:rsidRPr="00243081">
        <w:t xml:space="preserve">s likely due to patients treated with </w:t>
      </w:r>
      <w:proofErr w:type="spellStart"/>
      <w:r w:rsidRPr="00243081">
        <w:t>pembrolizumab</w:t>
      </w:r>
      <w:r w:rsidR="00736381" w:rsidRPr="00243081">
        <w:t>+platinum+pemetrexed</w:t>
      </w:r>
      <w:proofErr w:type="spellEnd"/>
      <w:r w:rsidRPr="00243081">
        <w:t xml:space="preserve"> being exposed to the drug</w:t>
      </w:r>
      <w:r w:rsidR="00B84AE8" w:rsidRPr="00243081">
        <w:t>s</w:t>
      </w:r>
      <w:r w:rsidRPr="00243081">
        <w:t xml:space="preserve"> for longer than patients treated with platinum doublet.  </w:t>
      </w:r>
      <w:r w:rsidR="00D34D19" w:rsidRPr="00243081">
        <w:t>T</w:t>
      </w:r>
      <w:r w:rsidRPr="00243081">
        <w:t xml:space="preserve">he dosage regimen in KN189 </w:t>
      </w:r>
      <w:r w:rsidR="00F874C0" w:rsidRPr="00243081">
        <w:t>wa</w:t>
      </w:r>
      <w:r w:rsidRPr="00243081">
        <w:t xml:space="preserve">s </w:t>
      </w:r>
      <w:r w:rsidR="00875A22" w:rsidRPr="00243081">
        <w:t>consistent</w:t>
      </w:r>
      <w:r w:rsidRPr="00243081">
        <w:t xml:space="preserve"> with the proposed dosage regimen, therefore it is likely that the increase in AE will be observed in the proposed PBS population.  The incidence of adverse events of special interest was also higher in patients treated with </w:t>
      </w:r>
      <w:proofErr w:type="spellStart"/>
      <w:r w:rsidRPr="00243081">
        <w:t>pembrolizumab</w:t>
      </w:r>
      <w:r w:rsidR="00736381" w:rsidRPr="00243081">
        <w:t>+platinum+pemetrexed</w:t>
      </w:r>
      <w:proofErr w:type="spellEnd"/>
      <w:r w:rsidR="00736381" w:rsidRPr="00243081">
        <w:t xml:space="preserve"> </w:t>
      </w:r>
      <w:r w:rsidRPr="00243081">
        <w:t xml:space="preserve">compared to platinum doublet, with three patients dying due to </w:t>
      </w:r>
      <w:r w:rsidR="00C9441D" w:rsidRPr="00243081">
        <w:t>G</w:t>
      </w:r>
      <w:r w:rsidRPr="00243081">
        <w:t xml:space="preserve">rade 5 pneumonitis in the </w:t>
      </w:r>
      <w:proofErr w:type="spellStart"/>
      <w:r w:rsidR="001E25D2" w:rsidRPr="00243081">
        <w:t>pembrolizumab+platinum+pemetrexed</w:t>
      </w:r>
      <w:proofErr w:type="spellEnd"/>
      <w:r w:rsidR="001E25D2" w:rsidRPr="00243081">
        <w:t xml:space="preserve"> </w:t>
      </w:r>
      <w:r w:rsidRPr="00243081">
        <w:t>group.</w:t>
      </w:r>
    </w:p>
    <w:p w:rsidR="00756BF4" w:rsidRPr="00243081" w:rsidRDefault="00736381" w:rsidP="00736381">
      <w:pPr>
        <w:pStyle w:val="Caption"/>
        <w:keepNext/>
        <w:rPr>
          <w:szCs w:val="20"/>
        </w:rPr>
      </w:pPr>
      <w:bookmarkStart w:id="25" w:name="_Ref523206020"/>
      <w:r w:rsidRPr="00243081">
        <w:t xml:space="preserve">Table </w:t>
      </w:r>
      <w:r w:rsidR="00364F3F" w:rsidRPr="00243081">
        <w:rPr>
          <w:noProof/>
        </w:rPr>
        <w:t>9</w:t>
      </w:r>
      <w:bookmarkEnd w:id="25"/>
      <w:r w:rsidR="00756BF4" w:rsidRPr="00243081">
        <w:rPr>
          <w:b w:val="0"/>
          <w:szCs w:val="20"/>
        </w:rPr>
        <w:t xml:space="preserve">: </w:t>
      </w:r>
      <w:r w:rsidR="00756BF4" w:rsidRPr="00243081">
        <w:rPr>
          <w:szCs w:val="20"/>
        </w:rPr>
        <w:t>Summary of statistically significant adverse events in KN189</w:t>
      </w:r>
    </w:p>
    <w:tbl>
      <w:tblPr>
        <w:tblStyle w:val="TableGrid"/>
        <w:tblW w:w="0" w:type="auto"/>
        <w:tblCellMar>
          <w:left w:w="28" w:type="dxa"/>
          <w:right w:w="28" w:type="dxa"/>
        </w:tblCellMar>
        <w:tblLook w:val="04A0" w:firstRow="1" w:lastRow="0" w:firstColumn="1" w:lastColumn="0" w:noHBand="0" w:noVBand="1"/>
        <w:tblCaption w:val="Summary of statistically significant adverse events in KN189"/>
      </w:tblPr>
      <w:tblGrid>
        <w:gridCol w:w="1612"/>
        <w:gridCol w:w="1475"/>
        <w:gridCol w:w="1422"/>
        <w:gridCol w:w="1454"/>
        <w:gridCol w:w="1439"/>
        <w:gridCol w:w="1615"/>
      </w:tblGrid>
      <w:tr w:rsidR="00756BF4" w:rsidRPr="00243081" w:rsidTr="009A1E78">
        <w:trPr>
          <w:cantSplit/>
          <w:tblHeader/>
        </w:trPr>
        <w:tc>
          <w:tcPr>
            <w:tcW w:w="1612" w:type="dxa"/>
            <w:vAlign w:val="center"/>
          </w:tcPr>
          <w:p w:rsidR="00756BF4" w:rsidRPr="00243081" w:rsidRDefault="00756BF4" w:rsidP="0008280C">
            <w:pPr>
              <w:jc w:val="center"/>
              <w:rPr>
                <w:b/>
              </w:rPr>
            </w:pPr>
            <w:r w:rsidRPr="00243081">
              <w:rPr>
                <w:rFonts w:ascii="Arial Narrow" w:hAnsi="Arial Narrow"/>
                <w:b/>
                <w:sz w:val="20"/>
                <w:szCs w:val="20"/>
              </w:rPr>
              <w:t>Event</w:t>
            </w:r>
          </w:p>
        </w:tc>
        <w:tc>
          <w:tcPr>
            <w:tcW w:w="1475" w:type="dxa"/>
            <w:vAlign w:val="center"/>
          </w:tcPr>
          <w:p w:rsidR="00756BF4" w:rsidRPr="00243081" w:rsidRDefault="00756BF4" w:rsidP="00736381">
            <w:pPr>
              <w:jc w:val="center"/>
              <w:rPr>
                <w:b/>
              </w:rPr>
            </w:pPr>
            <w:proofErr w:type="spellStart"/>
            <w:r w:rsidRPr="00243081">
              <w:rPr>
                <w:rFonts w:ascii="Arial Narrow" w:hAnsi="Arial Narrow"/>
                <w:b/>
                <w:sz w:val="20"/>
                <w:szCs w:val="20"/>
              </w:rPr>
              <w:t>Pembro</w:t>
            </w:r>
            <w:r w:rsidR="00736381" w:rsidRPr="00243081">
              <w:rPr>
                <w:rFonts w:ascii="Arial Narrow" w:hAnsi="Arial Narrow"/>
                <w:b/>
                <w:sz w:val="20"/>
                <w:szCs w:val="20"/>
              </w:rPr>
              <w:t>+plat</w:t>
            </w:r>
            <w:proofErr w:type="spellEnd"/>
            <w:r w:rsidR="00736381" w:rsidRPr="00243081">
              <w:rPr>
                <w:rFonts w:ascii="Arial Narrow" w:hAnsi="Arial Narrow"/>
                <w:b/>
                <w:sz w:val="20"/>
                <w:szCs w:val="20"/>
              </w:rPr>
              <w:br/>
              <w:t>+</w:t>
            </w:r>
            <w:proofErr w:type="spellStart"/>
            <w:r w:rsidR="00736381" w:rsidRPr="00243081">
              <w:rPr>
                <w:rFonts w:ascii="Arial Narrow" w:hAnsi="Arial Narrow"/>
                <w:b/>
                <w:sz w:val="20"/>
                <w:szCs w:val="20"/>
              </w:rPr>
              <w:t>peme</w:t>
            </w:r>
            <w:proofErr w:type="spellEnd"/>
            <w:r w:rsidRPr="00243081">
              <w:rPr>
                <w:rFonts w:ascii="Arial Narrow" w:hAnsi="Arial Narrow"/>
                <w:b/>
                <w:sz w:val="20"/>
                <w:szCs w:val="20"/>
              </w:rPr>
              <w:t xml:space="preserve">, </w:t>
            </w:r>
            <w:r w:rsidR="00875A22" w:rsidRPr="00243081">
              <w:rPr>
                <w:rFonts w:ascii="Arial Narrow" w:hAnsi="Arial Narrow"/>
                <w:b/>
                <w:sz w:val="20"/>
                <w:szCs w:val="20"/>
              </w:rPr>
              <w:t>n (</w:t>
            </w:r>
            <w:r w:rsidRPr="00243081">
              <w:rPr>
                <w:rFonts w:ascii="Arial Narrow" w:hAnsi="Arial Narrow"/>
                <w:b/>
                <w:sz w:val="20"/>
                <w:szCs w:val="20"/>
              </w:rPr>
              <w:t xml:space="preserve">%) </w:t>
            </w:r>
            <w:r w:rsidR="00736381" w:rsidRPr="00243081">
              <w:rPr>
                <w:rFonts w:ascii="Arial Narrow" w:hAnsi="Arial Narrow"/>
                <w:b/>
                <w:sz w:val="20"/>
                <w:szCs w:val="20"/>
              </w:rPr>
              <w:br/>
            </w:r>
            <w:r w:rsidRPr="00243081">
              <w:rPr>
                <w:rFonts w:ascii="Arial Narrow" w:hAnsi="Arial Narrow"/>
                <w:b/>
                <w:sz w:val="20"/>
                <w:szCs w:val="20"/>
              </w:rPr>
              <w:t>N=405</w:t>
            </w:r>
          </w:p>
        </w:tc>
        <w:tc>
          <w:tcPr>
            <w:tcW w:w="1422" w:type="dxa"/>
            <w:vAlign w:val="center"/>
          </w:tcPr>
          <w:p w:rsidR="00756BF4" w:rsidRPr="00243081" w:rsidRDefault="00756BF4" w:rsidP="0008280C">
            <w:pPr>
              <w:jc w:val="center"/>
              <w:rPr>
                <w:b/>
              </w:rPr>
            </w:pPr>
            <w:r w:rsidRPr="00243081">
              <w:rPr>
                <w:rFonts w:ascii="Arial Narrow" w:hAnsi="Arial Narrow"/>
                <w:b/>
                <w:sz w:val="20"/>
                <w:szCs w:val="20"/>
              </w:rPr>
              <w:t xml:space="preserve">Platinum doublet, n (%) </w:t>
            </w:r>
            <w:r w:rsidRPr="00243081">
              <w:rPr>
                <w:rFonts w:ascii="Arial Narrow" w:hAnsi="Arial Narrow"/>
                <w:b/>
                <w:sz w:val="20"/>
                <w:szCs w:val="20"/>
              </w:rPr>
              <w:br/>
              <w:t>N=202</w:t>
            </w:r>
          </w:p>
        </w:tc>
        <w:tc>
          <w:tcPr>
            <w:tcW w:w="1454" w:type="dxa"/>
            <w:vAlign w:val="center"/>
          </w:tcPr>
          <w:p w:rsidR="00756BF4" w:rsidRPr="00243081" w:rsidRDefault="00756BF4" w:rsidP="0008280C">
            <w:pPr>
              <w:jc w:val="center"/>
              <w:rPr>
                <w:b/>
              </w:rPr>
            </w:pPr>
            <w:r w:rsidRPr="00243081">
              <w:rPr>
                <w:rFonts w:ascii="Arial Narrow" w:hAnsi="Arial Narrow"/>
                <w:b/>
                <w:sz w:val="20"/>
                <w:szCs w:val="20"/>
              </w:rPr>
              <w:t>OR (95%CI)</w:t>
            </w:r>
          </w:p>
        </w:tc>
        <w:tc>
          <w:tcPr>
            <w:tcW w:w="1439" w:type="dxa"/>
            <w:vAlign w:val="center"/>
          </w:tcPr>
          <w:p w:rsidR="00756BF4" w:rsidRPr="00243081" w:rsidRDefault="00756BF4" w:rsidP="0008280C">
            <w:pPr>
              <w:jc w:val="center"/>
              <w:rPr>
                <w:b/>
              </w:rPr>
            </w:pPr>
            <w:r w:rsidRPr="00243081">
              <w:rPr>
                <w:rFonts w:ascii="Arial Narrow" w:hAnsi="Arial Narrow"/>
                <w:b/>
                <w:sz w:val="20"/>
                <w:szCs w:val="20"/>
              </w:rPr>
              <w:t>RR (95%CI)</w:t>
            </w:r>
          </w:p>
        </w:tc>
        <w:tc>
          <w:tcPr>
            <w:tcW w:w="1615" w:type="dxa"/>
            <w:vAlign w:val="center"/>
          </w:tcPr>
          <w:p w:rsidR="00756BF4" w:rsidRPr="00243081" w:rsidRDefault="00EE49AD" w:rsidP="0008280C">
            <w:pPr>
              <w:jc w:val="center"/>
              <w:rPr>
                <w:b/>
              </w:rPr>
            </w:pPr>
            <w:r w:rsidRPr="00243081">
              <w:rPr>
                <w:rFonts w:ascii="Arial Narrow" w:hAnsi="Arial Narrow"/>
                <w:b/>
                <w:sz w:val="20"/>
                <w:szCs w:val="20"/>
              </w:rPr>
              <w:t xml:space="preserve">RD </w:t>
            </w:r>
            <w:r w:rsidR="00756BF4" w:rsidRPr="00243081">
              <w:rPr>
                <w:rFonts w:ascii="Arial Narrow" w:hAnsi="Arial Narrow"/>
                <w:b/>
                <w:sz w:val="20"/>
                <w:szCs w:val="20"/>
              </w:rPr>
              <w:t>(95%CI)</w:t>
            </w:r>
          </w:p>
        </w:tc>
      </w:tr>
      <w:tr w:rsidR="00756BF4" w:rsidRPr="00243081" w:rsidTr="00257288">
        <w:tc>
          <w:tcPr>
            <w:tcW w:w="1612" w:type="dxa"/>
          </w:tcPr>
          <w:p w:rsidR="00756BF4" w:rsidRPr="00243081" w:rsidRDefault="007821AD" w:rsidP="0008280C">
            <w:pPr>
              <w:rPr>
                <w:rFonts w:ascii="Arial Narrow" w:hAnsi="Arial Narrow"/>
                <w:sz w:val="20"/>
                <w:szCs w:val="20"/>
              </w:rPr>
            </w:pPr>
            <w:r w:rsidRPr="00243081">
              <w:rPr>
                <w:rFonts w:ascii="Arial Narrow" w:hAnsi="Arial Narrow"/>
                <w:sz w:val="20"/>
                <w:szCs w:val="20"/>
              </w:rPr>
              <w:t>≥</w:t>
            </w:r>
            <w:r w:rsidR="00756BF4" w:rsidRPr="00243081">
              <w:rPr>
                <w:rFonts w:ascii="Arial Narrow" w:hAnsi="Arial Narrow"/>
                <w:sz w:val="20"/>
                <w:szCs w:val="20"/>
              </w:rPr>
              <w:t>1 AE</w:t>
            </w:r>
          </w:p>
        </w:tc>
        <w:tc>
          <w:tcPr>
            <w:tcW w:w="1475"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404 (99.8)</w:t>
            </w:r>
          </w:p>
        </w:tc>
        <w:tc>
          <w:tcPr>
            <w:tcW w:w="1422"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200 (99.0)</w:t>
            </w:r>
          </w:p>
        </w:tc>
        <w:tc>
          <w:tcPr>
            <w:tcW w:w="1454" w:type="dxa"/>
            <w:vAlign w:val="center"/>
          </w:tcPr>
          <w:p w:rsidR="00756BF4" w:rsidRPr="00243081" w:rsidRDefault="00756BF4" w:rsidP="0008280C">
            <w:pPr>
              <w:jc w:val="center"/>
              <w:rPr>
                <w:rFonts w:ascii="Arial Narrow" w:hAnsi="Arial Narrow"/>
                <w:i/>
                <w:sz w:val="20"/>
                <w:szCs w:val="20"/>
              </w:rPr>
            </w:pPr>
          </w:p>
        </w:tc>
        <w:tc>
          <w:tcPr>
            <w:tcW w:w="1439" w:type="dxa"/>
            <w:vAlign w:val="center"/>
          </w:tcPr>
          <w:p w:rsidR="00756BF4" w:rsidRPr="00243081" w:rsidRDefault="00756BF4" w:rsidP="0008280C">
            <w:pPr>
              <w:jc w:val="center"/>
              <w:rPr>
                <w:rFonts w:ascii="Arial Narrow" w:hAnsi="Arial Narrow"/>
                <w:sz w:val="20"/>
                <w:szCs w:val="20"/>
              </w:rPr>
            </w:pPr>
          </w:p>
        </w:tc>
        <w:tc>
          <w:tcPr>
            <w:tcW w:w="1615" w:type="dxa"/>
            <w:vAlign w:val="center"/>
          </w:tcPr>
          <w:p w:rsidR="00756BF4" w:rsidRPr="00243081" w:rsidRDefault="00756BF4" w:rsidP="0008280C">
            <w:pPr>
              <w:jc w:val="center"/>
              <w:rPr>
                <w:rFonts w:ascii="Arial Narrow" w:hAnsi="Arial Narrow"/>
                <w:sz w:val="20"/>
                <w:szCs w:val="20"/>
              </w:rPr>
            </w:pPr>
          </w:p>
        </w:tc>
      </w:tr>
      <w:tr w:rsidR="00756BF4" w:rsidRPr="00243081" w:rsidTr="00257288">
        <w:tc>
          <w:tcPr>
            <w:tcW w:w="1612" w:type="dxa"/>
          </w:tcPr>
          <w:p w:rsidR="00756BF4" w:rsidRPr="00243081" w:rsidRDefault="00756BF4" w:rsidP="0008280C">
            <w:pPr>
              <w:ind w:left="284"/>
              <w:rPr>
                <w:rFonts w:ascii="Arial Narrow" w:hAnsi="Arial Narrow"/>
                <w:sz w:val="20"/>
                <w:szCs w:val="20"/>
              </w:rPr>
            </w:pPr>
            <w:r w:rsidRPr="00243081">
              <w:rPr>
                <w:rFonts w:ascii="Arial Narrow" w:hAnsi="Arial Narrow"/>
                <w:sz w:val="20"/>
                <w:szCs w:val="20"/>
              </w:rPr>
              <w:t>Diarrhoea</w:t>
            </w:r>
          </w:p>
        </w:tc>
        <w:tc>
          <w:tcPr>
            <w:tcW w:w="1475"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125 (30.9)</w:t>
            </w:r>
          </w:p>
        </w:tc>
        <w:tc>
          <w:tcPr>
            <w:tcW w:w="1422"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43 (21.3)</w:t>
            </w:r>
          </w:p>
        </w:tc>
        <w:tc>
          <w:tcPr>
            <w:tcW w:w="1454"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1.65 (1.09, 2.52)</w:t>
            </w:r>
          </w:p>
        </w:tc>
        <w:tc>
          <w:tcPr>
            <w:tcW w:w="1439"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1.45 (1.08, 1.97)</w:t>
            </w:r>
          </w:p>
        </w:tc>
        <w:tc>
          <w:tcPr>
            <w:tcW w:w="1615"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0.10 (0.02,0.17)</w:t>
            </w:r>
          </w:p>
        </w:tc>
      </w:tr>
      <w:tr w:rsidR="00756BF4" w:rsidRPr="00243081" w:rsidTr="00257288">
        <w:tc>
          <w:tcPr>
            <w:tcW w:w="1612" w:type="dxa"/>
          </w:tcPr>
          <w:p w:rsidR="00756BF4" w:rsidRPr="00243081" w:rsidRDefault="00756BF4" w:rsidP="0008280C">
            <w:pPr>
              <w:ind w:left="284"/>
              <w:rPr>
                <w:rFonts w:ascii="Arial Narrow" w:hAnsi="Arial Narrow"/>
                <w:sz w:val="20"/>
                <w:szCs w:val="20"/>
              </w:rPr>
            </w:pPr>
            <w:r w:rsidRPr="00243081">
              <w:rPr>
                <w:rFonts w:ascii="Arial Narrow" w:hAnsi="Arial Narrow"/>
                <w:sz w:val="20"/>
                <w:szCs w:val="20"/>
              </w:rPr>
              <w:t>Rash</w:t>
            </w:r>
          </w:p>
        </w:tc>
        <w:tc>
          <w:tcPr>
            <w:tcW w:w="1475"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82 (20.2)</w:t>
            </w:r>
          </w:p>
        </w:tc>
        <w:tc>
          <w:tcPr>
            <w:tcW w:w="1422"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23 (11.4)</w:t>
            </w:r>
          </w:p>
        </w:tc>
        <w:tc>
          <w:tcPr>
            <w:tcW w:w="1454"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1.98 (1.18, 3.41)</w:t>
            </w:r>
          </w:p>
        </w:tc>
        <w:tc>
          <w:tcPr>
            <w:tcW w:w="1439"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1.78 (1.17, 2.74)</w:t>
            </w:r>
          </w:p>
        </w:tc>
        <w:tc>
          <w:tcPr>
            <w:tcW w:w="1615"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0.09 (0.03, 0.15)</w:t>
            </w:r>
          </w:p>
        </w:tc>
      </w:tr>
      <w:tr w:rsidR="00756BF4" w:rsidRPr="00243081" w:rsidTr="00257288">
        <w:tc>
          <w:tcPr>
            <w:tcW w:w="1612" w:type="dxa"/>
          </w:tcPr>
          <w:p w:rsidR="00756BF4" w:rsidRPr="00243081" w:rsidRDefault="00756BF4" w:rsidP="0008280C">
            <w:pPr>
              <w:rPr>
                <w:i/>
              </w:rPr>
            </w:pPr>
            <w:r w:rsidRPr="00243081">
              <w:rPr>
                <w:rFonts w:ascii="Arial Narrow" w:hAnsi="Arial Narrow"/>
                <w:sz w:val="20"/>
                <w:szCs w:val="20"/>
              </w:rPr>
              <w:t>Drug related (DR) AE</w:t>
            </w:r>
          </w:p>
        </w:tc>
        <w:tc>
          <w:tcPr>
            <w:tcW w:w="1475" w:type="dxa"/>
            <w:vAlign w:val="center"/>
          </w:tcPr>
          <w:p w:rsidR="00756BF4" w:rsidRPr="00243081" w:rsidRDefault="00756BF4" w:rsidP="0008280C">
            <w:pPr>
              <w:jc w:val="center"/>
            </w:pPr>
            <w:r w:rsidRPr="00243081">
              <w:rPr>
                <w:rFonts w:ascii="Arial Narrow" w:hAnsi="Arial Narrow"/>
                <w:sz w:val="20"/>
                <w:szCs w:val="20"/>
              </w:rPr>
              <w:t>372 (91.9)</w:t>
            </w:r>
          </w:p>
        </w:tc>
        <w:tc>
          <w:tcPr>
            <w:tcW w:w="1422" w:type="dxa"/>
            <w:vAlign w:val="center"/>
          </w:tcPr>
          <w:p w:rsidR="00756BF4" w:rsidRPr="00243081" w:rsidRDefault="00756BF4" w:rsidP="0008280C">
            <w:pPr>
              <w:jc w:val="center"/>
            </w:pPr>
            <w:r w:rsidRPr="00243081">
              <w:rPr>
                <w:rFonts w:ascii="Arial Narrow" w:hAnsi="Arial Narrow"/>
                <w:sz w:val="20"/>
                <w:szCs w:val="20"/>
              </w:rPr>
              <w:t>183 (90.6)</w:t>
            </w:r>
          </w:p>
        </w:tc>
        <w:tc>
          <w:tcPr>
            <w:tcW w:w="1454" w:type="dxa"/>
            <w:vAlign w:val="center"/>
          </w:tcPr>
          <w:p w:rsidR="00756BF4" w:rsidRPr="00243081" w:rsidRDefault="00756BF4" w:rsidP="0008280C">
            <w:pPr>
              <w:jc w:val="center"/>
              <w:rPr>
                <w:bCs/>
                <w:iCs/>
              </w:rPr>
            </w:pPr>
            <w:r w:rsidRPr="00243081">
              <w:rPr>
                <w:rFonts w:ascii="Arial Narrow" w:hAnsi="Arial Narrow"/>
                <w:bCs/>
                <w:iCs/>
                <w:sz w:val="20"/>
                <w:szCs w:val="20"/>
              </w:rPr>
              <w:t>1.17 (0.61,2.19)</w:t>
            </w:r>
          </w:p>
        </w:tc>
        <w:tc>
          <w:tcPr>
            <w:tcW w:w="1439" w:type="dxa"/>
            <w:vAlign w:val="center"/>
          </w:tcPr>
          <w:p w:rsidR="00756BF4" w:rsidRPr="00243081" w:rsidRDefault="00756BF4" w:rsidP="0008280C">
            <w:pPr>
              <w:jc w:val="center"/>
              <w:rPr>
                <w:bCs/>
                <w:iCs/>
              </w:rPr>
            </w:pPr>
            <w:r w:rsidRPr="00243081">
              <w:rPr>
                <w:rFonts w:ascii="Arial Narrow" w:hAnsi="Arial Narrow"/>
                <w:bCs/>
                <w:iCs/>
                <w:sz w:val="20"/>
                <w:szCs w:val="20"/>
              </w:rPr>
              <w:t>1.01 (0.96,1.07)</w:t>
            </w:r>
          </w:p>
        </w:tc>
        <w:tc>
          <w:tcPr>
            <w:tcW w:w="1615" w:type="dxa"/>
            <w:vAlign w:val="center"/>
          </w:tcPr>
          <w:p w:rsidR="00756BF4" w:rsidRPr="00243081" w:rsidRDefault="00756BF4" w:rsidP="0008280C">
            <w:pPr>
              <w:jc w:val="center"/>
              <w:rPr>
                <w:bCs/>
                <w:iCs/>
              </w:rPr>
            </w:pPr>
            <w:r w:rsidRPr="00243081">
              <w:rPr>
                <w:rFonts w:ascii="Arial Narrow" w:hAnsi="Arial Narrow"/>
                <w:bCs/>
                <w:iCs/>
                <w:sz w:val="20"/>
                <w:szCs w:val="20"/>
              </w:rPr>
              <w:t>0.01 (-0.03,0.07)</w:t>
            </w:r>
          </w:p>
        </w:tc>
      </w:tr>
      <w:tr w:rsidR="00756BF4" w:rsidRPr="00243081" w:rsidTr="00257288">
        <w:tc>
          <w:tcPr>
            <w:tcW w:w="1612" w:type="dxa"/>
          </w:tcPr>
          <w:p w:rsidR="00756BF4" w:rsidRPr="00243081" w:rsidRDefault="00756BF4" w:rsidP="0008280C">
            <w:pPr>
              <w:ind w:left="284"/>
            </w:pPr>
            <w:r w:rsidRPr="00243081">
              <w:rPr>
                <w:rFonts w:ascii="Arial Narrow" w:hAnsi="Arial Narrow"/>
                <w:sz w:val="20"/>
                <w:szCs w:val="20"/>
              </w:rPr>
              <w:t>Diarrhoea</w:t>
            </w:r>
          </w:p>
        </w:tc>
        <w:tc>
          <w:tcPr>
            <w:tcW w:w="1475" w:type="dxa"/>
            <w:vAlign w:val="center"/>
          </w:tcPr>
          <w:p w:rsidR="00756BF4" w:rsidRPr="00243081" w:rsidRDefault="00756BF4" w:rsidP="0008280C">
            <w:pPr>
              <w:jc w:val="center"/>
            </w:pPr>
            <w:r w:rsidRPr="00243081">
              <w:rPr>
                <w:rFonts w:ascii="Arial Narrow" w:hAnsi="Arial Narrow"/>
                <w:sz w:val="20"/>
                <w:szCs w:val="20"/>
              </w:rPr>
              <w:t>78 (19.3)</w:t>
            </w:r>
          </w:p>
        </w:tc>
        <w:tc>
          <w:tcPr>
            <w:tcW w:w="1422" w:type="dxa"/>
            <w:vAlign w:val="center"/>
          </w:tcPr>
          <w:p w:rsidR="00756BF4" w:rsidRPr="00243081" w:rsidRDefault="00756BF4" w:rsidP="0008280C">
            <w:pPr>
              <w:jc w:val="center"/>
            </w:pPr>
            <w:r w:rsidRPr="00243081">
              <w:rPr>
                <w:rFonts w:ascii="Arial Narrow" w:hAnsi="Arial Narrow"/>
                <w:sz w:val="20"/>
                <w:szCs w:val="20"/>
              </w:rPr>
              <w:t>22 (10.9)</w:t>
            </w:r>
          </w:p>
        </w:tc>
        <w:tc>
          <w:tcPr>
            <w:tcW w:w="1454" w:type="dxa"/>
            <w:vAlign w:val="center"/>
          </w:tcPr>
          <w:p w:rsidR="00756BF4" w:rsidRPr="00243081" w:rsidRDefault="00756BF4" w:rsidP="0008280C">
            <w:pPr>
              <w:jc w:val="center"/>
              <w:rPr>
                <w:iCs/>
              </w:rPr>
            </w:pPr>
            <w:r w:rsidRPr="00243081">
              <w:rPr>
                <w:rFonts w:ascii="Arial Narrow" w:hAnsi="Arial Narrow"/>
                <w:b/>
                <w:iCs/>
                <w:sz w:val="20"/>
                <w:szCs w:val="20"/>
              </w:rPr>
              <w:t>1.95 (1.16,3.40)</w:t>
            </w:r>
          </w:p>
        </w:tc>
        <w:tc>
          <w:tcPr>
            <w:tcW w:w="1439" w:type="dxa"/>
            <w:vAlign w:val="center"/>
          </w:tcPr>
          <w:p w:rsidR="00756BF4" w:rsidRPr="00243081" w:rsidRDefault="00756BF4" w:rsidP="0008280C">
            <w:pPr>
              <w:jc w:val="center"/>
              <w:rPr>
                <w:iCs/>
              </w:rPr>
            </w:pPr>
            <w:r w:rsidRPr="00243081">
              <w:rPr>
                <w:rFonts w:ascii="Arial Narrow" w:hAnsi="Arial Narrow"/>
                <w:b/>
                <w:iCs/>
                <w:sz w:val="20"/>
                <w:szCs w:val="20"/>
              </w:rPr>
              <w:t>1.77 (1.14,2.75)</w:t>
            </w:r>
          </w:p>
        </w:tc>
        <w:tc>
          <w:tcPr>
            <w:tcW w:w="1615" w:type="dxa"/>
            <w:vAlign w:val="center"/>
          </w:tcPr>
          <w:p w:rsidR="00756BF4" w:rsidRPr="00243081" w:rsidRDefault="00756BF4" w:rsidP="0008280C">
            <w:pPr>
              <w:jc w:val="center"/>
              <w:rPr>
                <w:iCs/>
              </w:rPr>
            </w:pPr>
            <w:r w:rsidRPr="00243081">
              <w:rPr>
                <w:rFonts w:ascii="Arial Narrow" w:hAnsi="Arial Narrow"/>
                <w:b/>
                <w:iCs/>
                <w:sz w:val="20"/>
                <w:szCs w:val="20"/>
              </w:rPr>
              <w:t>0.08 (0.02,0.14)</w:t>
            </w:r>
          </w:p>
        </w:tc>
      </w:tr>
      <w:tr w:rsidR="00756BF4" w:rsidRPr="00243081" w:rsidTr="00257288">
        <w:tc>
          <w:tcPr>
            <w:tcW w:w="1612" w:type="dxa"/>
          </w:tcPr>
          <w:p w:rsidR="00756BF4" w:rsidRPr="00243081" w:rsidRDefault="00756BF4" w:rsidP="0008280C">
            <w:pPr>
              <w:ind w:left="284"/>
            </w:pPr>
            <w:r w:rsidRPr="00243081">
              <w:rPr>
                <w:rFonts w:ascii="Arial Narrow" w:hAnsi="Arial Narrow"/>
                <w:sz w:val="20"/>
                <w:szCs w:val="20"/>
              </w:rPr>
              <w:t>Febrile neutropenia</w:t>
            </w:r>
          </w:p>
        </w:tc>
        <w:tc>
          <w:tcPr>
            <w:tcW w:w="1475" w:type="dxa"/>
            <w:vAlign w:val="center"/>
          </w:tcPr>
          <w:p w:rsidR="00756BF4" w:rsidRPr="00243081" w:rsidRDefault="00756BF4" w:rsidP="0008280C">
            <w:pPr>
              <w:jc w:val="center"/>
            </w:pPr>
            <w:r w:rsidRPr="00243081">
              <w:rPr>
                <w:rFonts w:ascii="Arial Narrow" w:hAnsi="Arial Narrow"/>
                <w:sz w:val="20"/>
                <w:szCs w:val="20"/>
              </w:rPr>
              <w:t>24 (5.9)</w:t>
            </w:r>
          </w:p>
        </w:tc>
        <w:tc>
          <w:tcPr>
            <w:tcW w:w="1422" w:type="dxa"/>
            <w:vAlign w:val="center"/>
          </w:tcPr>
          <w:p w:rsidR="00756BF4" w:rsidRPr="00243081" w:rsidRDefault="00756BF4" w:rsidP="0008280C">
            <w:pPr>
              <w:jc w:val="center"/>
            </w:pPr>
            <w:r w:rsidRPr="00243081">
              <w:rPr>
                <w:rFonts w:ascii="Arial Narrow" w:hAnsi="Arial Narrow"/>
                <w:sz w:val="20"/>
                <w:szCs w:val="20"/>
              </w:rPr>
              <w:t>4 (2.0)</w:t>
            </w:r>
          </w:p>
        </w:tc>
        <w:tc>
          <w:tcPr>
            <w:tcW w:w="1454" w:type="dxa"/>
            <w:vAlign w:val="center"/>
          </w:tcPr>
          <w:p w:rsidR="00756BF4" w:rsidRPr="00243081" w:rsidRDefault="00756BF4" w:rsidP="0008280C">
            <w:pPr>
              <w:jc w:val="center"/>
              <w:rPr>
                <w:iCs/>
              </w:rPr>
            </w:pPr>
            <w:r w:rsidRPr="00243081">
              <w:rPr>
                <w:rFonts w:ascii="Arial Narrow" w:hAnsi="Arial Narrow"/>
                <w:b/>
                <w:iCs/>
                <w:sz w:val="20"/>
                <w:szCs w:val="20"/>
              </w:rPr>
              <w:t>3.12 (1.05,12.52)</w:t>
            </w:r>
          </w:p>
        </w:tc>
        <w:tc>
          <w:tcPr>
            <w:tcW w:w="1439" w:type="dxa"/>
            <w:vAlign w:val="center"/>
          </w:tcPr>
          <w:p w:rsidR="00756BF4" w:rsidRPr="00243081" w:rsidRDefault="00756BF4" w:rsidP="0008280C">
            <w:pPr>
              <w:jc w:val="center"/>
              <w:rPr>
                <w:iCs/>
              </w:rPr>
            </w:pPr>
            <w:r w:rsidRPr="00243081">
              <w:rPr>
                <w:rFonts w:ascii="Arial Narrow" w:hAnsi="Arial Narrow"/>
                <w:b/>
                <w:iCs/>
                <w:sz w:val="20"/>
                <w:szCs w:val="20"/>
              </w:rPr>
              <w:t>2.99 (1.05,8.51)</w:t>
            </w:r>
          </w:p>
        </w:tc>
        <w:tc>
          <w:tcPr>
            <w:tcW w:w="1615" w:type="dxa"/>
            <w:vAlign w:val="center"/>
          </w:tcPr>
          <w:p w:rsidR="00756BF4" w:rsidRPr="00243081" w:rsidRDefault="00756BF4" w:rsidP="0008280C">
            <w:pPr>
              <w:jc w:val="center"/>
              <w:rPr>
                <w:iCs/>
              </w:rPr>
            </w:pPr>
            <w:r w:rsidRPr="00243081">
              <w:rPr>
                <w:rFonts w:ascii="Arial Narrow" w:hAnsi="Arial Narrow"/>
                <w:iCs/>
                <w:sz w:val="20"/>
                <w:szCs w:val="20"/>
              </w:rPr>
              <w:t>0.04 (0.00,0.07)</w:t>
            </w:r>
          </w:p>
        </w:tc>
      </w:tr>
      <w:tr w:rsidR="00756BF4" w:rsidRPr="00243081" w:rsidTr="00257288">
        <w:tc>
          <w:tcPr>
            <w:tcW w:w="1612" w:type="dxa"/>
          </w:tcPr>
          <w:p w:rsidR="00756BF4" w:rsidRPr="00243081" w:rsidRDefault="00756BF4" w:rsidP="0008280C">
            <w:r w:rsidRPr="00243081">
              <w:rPr>
                <w:rFonts w:ascii="Arial Narrow" w:hAnsi="Arial Narrow"/>
                <w:sz w:val="20"/>
                <w:szCs w:val="20"/>
              </w:rPr>
              <w:t>Discontinue due to DR AE</w:t>
            </w:r>
          </w:p>
        </w:tc>
        <w:tc>
          <w:tcPr>
            <w:tcW w:w="1475" w:type="dxa"/>
            <w:vAlign w:val="center"/>
          </w:tcPr>
          <w:p w:rsidR="00756BF4" w:rsidRPr="00243081" w:rsidRDefault="00756BF4" w:rsidP="0008280C">
            <w:pPr>
              <w:jc w:val="center"/>
            </w:pPr>
            <w:r w:rsidRPr="00243081">
              <w:rPr>
                <w:rFonts w:ascii="Arial Narrow" w:hAnsi="Arial Narrow"/>
                <w:sz w:val="20"/>
                <w:szCs w:val="20"/>
              </w:rPr>
              <w:t>85 (21.0)</w:t>
            </w:r>
          </w:p>
        </w:tc>
        <w:tc>
          <w:tcPr>
            <w:tcW w:w="1422" w:type="dxa"/>
            <w:vAlign w:val="center"/>
          </w:tcPr>
          <w:p w:rsidR="00756BF4" w:rsidRPr="00243081" w:rsidRDefault="00756BF4" w:rsidP="0008280C">
            <w:pPr>
              <w:jc w:val="center"/>
            </w:pPr>
            <w:r w:rsidRPr="00243081">
              <w:rPr>
                <w:rFonts w:ascii="Arial Narrow" w:hAnsi="Arial Narrow"/>
                <w:sz w:val="20"/>
                <w:szCs w:val="20"/>
              </w:rPr>
              <w:t>17 (8.4)</w:t>
            </w:r>
          </w:p>
        </w:tc>
        <w:tc>
          <w:tcPr>
            <w:tcW w:w="1454" w:type="dxa"/>
            <w:vAlign w:val="center"/>
          </w:tcPr>
          <w:p w:rsidR="00756BF4" w:rsidRPr="00243081" w:rsidRDefault="00756BF4" w:rsidP="0008280C">
            <w:pPr>
              <w:jc w:val="center"/>
              <w:rPr>
                <w:iCs/>
              </w:rPr>
            </w:pPr>
            <w:r w:rsidRPr="00243081">
              <w:rPr>
                <w:rFonts w:ascii="Arial Narrow" w:hAnsi="Arial Narrow"/>
                <w:b/>
                <w:iCs/>
                <w:sz w:val="20"/>
                <w:szCs w:val="20"/>
              </w:rPr>
              <w:t>2.89 (1.64,5.35)</w:t>
            </w:r>
          </w:p>
        </w:tc>
        <w:tc>
          <w:tcPr>
            <w:tcW w:w="1439" w:type="dxa"/>
            <w:vAlign w:val="center"/>
          </w:tcPr>
          <w:p w:rsidR="00756BF4" w:rsidRPr="00243081" w:rsidRDefault="00756BF4" w:rsidP="0008280C">
            <w:pPr>
              <w:jc w:val="center"/>
              <w:rPr>
                <w:iCs/>
              </w:rPr>
            </w:pPr>
            <w:r w:rsidRPr="00243081">
              <w:rPr>
                <w:rFonts w:ascii="Arial Narrow" w:hAnsi="Arial Narrow"/>
                <w:b/>
                <w:iCs/>
                <w:sz w:val="20"/>
                <w:szCs w:val="20"/>
              </w:rPr>
              <w:t>2.49 (1.52,4.08)</w:t>
            </w:r>
          </w:p>
        </w:tc>
        <w:tc>
          <w:tcPr>
            <w:tcW w:w="1615" w:type="dxa"/>
            <w:vAlign w:val="center"/>
          </w:tcPr>
          <w:p w:rsidR="00756BF4" w:rsidRPr="00243081" w:rsidRDefault="00756BF4" w:rsidP="0008280C">
            <w:pPr>
              <w:jc w:val="center"/>
              <w:rPr>
                <w:iCs/>
              </w:rPr>
            </w:pPr>
            <w:r w:rsidRPr="00243081">
              <w:rPr>
                <w:rFonts w:ascii="Arial Narrow" w:hAnsi="Arial Narrow"/>
                <w:b/>
                <w:iCs/>
                <w:sz w:val="20"/>
                <w:szCs w:val="20"/>
              </w:rPr>
              <w:t>0.13 (0.07,0.18)</w:t>
            </w:r>
          </w:p>
        </w:tc>
      </w:tr>
      <w:tr w:rsidR="00756BF4" w:rsidRPr="00243081" w:rsidTr="00257288">
        <w:tc>
          <w:tcPr>
            <w:tcW w:w="1612" w:type="dxa"/>
          </w:tcPr>
          <w:p w:rsidR="00756BF4" w:rsidRPr="00243081" w:rsidRDefault="007821AD" w:rsidP="0008280C">
            <w:r w:rsidRPr="00243081">
              <w:rPr>
                <w:rFonts w:ascii="Arial Narrow" w:hAnsi="Arial Narrow"/>
                <w:sz w:val="20"/>
                <w:szCs w:val="20"/>
              </w:rPr>
              <w:t>≥</w:t>
            </w:r>
            <w:r w:rsidR="00756BF4" w:rsidRPr="00243081">
              <w:rPr>
                <w:rFonts w:ascii="Arial Narrow" w:hAnsi="Arial Narrow"/>
                <w:sz w:val="20"/>
                <w:szCs w:val="20"/>
              </w:rPr>
              <w:t xml:space="preserve">1 AEOSI </w:t>
            </w:r>
          </w:p>
        </w:tc>
        <w:tc>
          <w:tcPr>
            <w:tcW w:w="1475" w:type="dxa"/>
            <w:vAlign w:val="center"/>
          </w:tcPr>
          <w:p w:rsidR="00756BF4" w:rsidRPr="00243081" w:rsidRDefault="00756BF4" w:rsidP="0008280C">
            <w:pPr>
              <w:jc w:val="center"/>
            </w:pPr>
            <w:r w:rsidRPr="00243081">
              <w:rPr>
                <w:rFonts w:ascii="Arial Narrow" w:hAnsi="Arial Narrow"/>
                <w:sz w:val="20"/>
                <w:szCs w:val="20"/>
              </w:rPr>
              <w:t>92 (22.7)</w:t>
            </w:r>
          </w:p>
        </w:tc>
        <w:tc>
          <w:tcPr>
            <w:tcW w:w="1422" w:type="dxa"/>
            <w:vAlign w:val="center"/>
          </w:tcPr>
          <w:p w:rsidR="00756BF4" w:rsidRPr="00243081" w:rsidRDefault="00756BF4" w:rsidP="0008280C">
            <w:pPr>
              <w:jc w:val="center"/>
            </w:pPr>
            <w:r w:rsidRPr="00243081">
              <w:rPr>
                <w:rFonts w:ascii="Arial Narrow" w:hAnsi="Arial Narrow"/>
                <w:sz w:val="20"/>
                <w:szCs w:val="20"/>
              </w:rPr>
              <w:t>24 (11.9)</w:t>
            </w:r>
          </w:p>
        </w:tc>
        <w:tc>
          <w:tcPr>
            <w:tcW w:w="1454" w:type="dxa"/>
            <w:vAlign w:val="center"/>
          </w:tcPr>
          <w:p w:rsidR="00756BF4" w:rsidRPr="00243081" w:rsidRDefault="00756BF4" w:rsidP="0008280C">
            <w:pPr>
              <w:jc w:val="center"/>
              <w:rPr>
                <w:b/>
                <w:iCs/>
              </w:rPr>
            </w:pPr>
            <w:r w:rsidRPr="00243081">
              <w:rPr>
                <w:rFonts w:ascii="Arial Narrow" w:hAnsi="Arial Narrow"/>
                <w:b/>
                <w:iCs/>
                <w:sz w:val="20"/>
                <w:szCs w:val="20"/>
              </w:rPr>
              <w:t>2.18 (1.32,3.71)</w:t>
            </w:r>
          </w:p>
        </w:tc>
        <w:tc>
          <w:tcPr>
            <w:tcW w:w="1439" w:type="dxa"/>
            <w:vAlign w:val="center"/>
          </w:tcPr>
          <w:p w:rsidR="00756BF4" w:rsidRPr="00243081" w:rsidRDefault="00756BF4" w:rsidP="0008280C">
            <w:pPr>
              <w:jc w:val="center"/>
              <w:rPr>
                <w:b/>
                <w:iCs/>
              </w:rPr>
            </w:pPr>
            <w:r w:rsidRPr="00243081">
              <w:rPr>
                <w:rFonts w:ascii="Arial Narrow" w:hAnsi="Arial Narrow"/>
                <w:b/>
                <w:iCs/>
                <w:sz w:val="20"/>
                <w:szCs w:val="20"/>
              </w:rPr>
              <w:t>1.91 (1.27,2.91)</w:t>
            </w:r>
          </w:p>
        </w:tc>
        <w:tc>
          <w:tcPr>
            <w:tcW w:w="1615" w:type="dxa"/>
            <w:vAlign w:val="center"/>
          </w:tcPr>
          <w:p w:rsidR="00756BF4" w:rsidRPr="00243081" w:rsidRDefault="00756BF4" w:rsidP="0008280C">
            <w:pPr>
              <w:jc w:val="center"/>
              <w:rPr>
                <w:b/>
                <w:iCs/>
              </w:rPr>
            </w:pPr>
            <w:r w:rsidRPr="00243081">
              <w:rPr>
                <w:rFonts w:ascii="Arial Narrow" w:hAnsi="Arial Narrow"/>
                <w:b/>
                <w:iCs/>
                <w:sz w:val="20"/>
                <w:szCs w:val="20"/>
              </w:rPr>
              <w:t>0.11 (0.04,0.17)</w:t>
            </w:r>
          </w:p>
        </w:tc>
      </w:tr>
      <w:tr w:rsidR="00756BF4" w:rsidRPr="00243081" w:rsidTr="00257288">
        <w:tc>
          <w:tcPr>
            <w:tcW w:w="1612" w:type="dxa"/>
          </w:tcPr>
          <w:p w:rsidR="00756BF4" w:rsidRPr="00243081" w:rsidRDefault="00756BF4" w:rsidP="0008280C">
            <w:r w:rsidRPr="00243081">
              <w:rPr>
                <w:rFonts w:ascii="Arial Narrow" w:hAnsi="Arial Narrow"/>
                <w:sz w:val="20"/>
                <w:szCs w:val="20"/>
              </w:rPr>
              <w:t>DR AEOSI</w:t>
            </w:r>
          </w:p>
        </w:tc>
        <w:tc>
          <w:tcPr>
            <w:tcW w:w="1475" w:type="dxa"/>
            <w:vAlign w:val="center"/>
          </w:tcPr>
          <w:p w:rsidR="00756BF4" w:rsidRPr="00243081" w:rsidRDefault="00756BF4" w:rsidP="0008280C">
            <w:pPr>
              <w:jc w:val="center"/>
            </w:pPr>
            <w:r w:rsidRPr="00243081">
              <w:rPr>
                <w:rFonts w:ascii="Arial Narrow" w:hAnsi="Arial Narrow"/>
                <w:sz w:val="20"/>
                <w:szCs w:val="20"/>
              </w:rPr>
              <w:t>75 (18.5)</w:t>
            </w:r>
          </w:p>
        </w:tc>
        <w:tc>
          <w:tcPr>
            <w:tcW w:w="1422" w:type="dxa"/>
            <w:vAlign w:val="center"/>
          </w:tcPr>
          <w:p w:rsidR="00756BF4" w:rsidRPr="00243081" w:rsidRDefault="00756BF4" w:rsidP="0008280C">
            <w:pPr>
              <w:jc w:val="center"/>
            </w:pPr>
            <w:r w:rsidRPr="00243081">
              <w:rPr>
                <w:rFonts w:ascii="Arial Narrow" w:hAnsi="Arial Narrow"/>
                <w:sz w:val="20"/>
                <w:szCs w:val="20"/>
              </w:rPr>
              <w:t>18 (8.9)</w:t>
            </w:r>
          </w:p>
        </w:tc>
        <w:tc>
          <w:tcPr>
            <w:tcW w:w="1454" w:type="dxa"/>
            <w:vAlign w:val="center"/>
          </w:tcPr>
          <w:p w:rsidR="00756BF4" w:rsidRPr="00243081" w:rsidRDefault="00756BF4" w:rsidP="0008280C">
            <w:pPr>
              <w:jc w:val="center"/>
              <w:rPr>
                <w:b/>
                <w:iCs/>
              </w:rPr>
            </w:pPr>
            <w:r w:rsidRPr="00243081">
              <w:rPr>
                <w:rFonts w:ascii="Arial Narrow" w:hAnsi="Arial Narrow"/>
                <w:b/>
                <w:iCs/>
                <w:sz w:val="20"/>
                <w:szCs w:val="20"/>
              </w:rPr>
              <w:t>2.32 (1.32,4.26)</w:t>
            </w:r>
          </w:p>
        </w:tc>
        <w:tc>
          <w:tcPr>
            <w:tcW w:w="1439" w:type="dxa"/>
            <w:vAlign w:val="center"/>
          </w:tcPr>
          <w:p w:rsidR="00756BF4" w:rsidRPr="00243081" w:rsidRDefault="00756BF4" w:rsidP="0008280C">
            <w:pPr>
              <w:jc w:val="center"/>
              <w:rPr>
                <w:b/>
                <w:iCs/>
              </w:rPr>
            </w:pPr>
            <w:r w:rsidRPr="00243081">
              <w:rPr>
                <w:rFonts w:ascii="Arial Narrow" w:hAnsi="Arial Narrow"/>
                <w:b/>
                <w:iCs/>
                <w:sz w:val="20"/>
                <w:szCs w:val="20"/>
              </w:rPr>
              <w:t>2.08 (1.29,3.38)</w:t>
            </w:r>
          </w:p>
        </w:tc>
        <w:tc>
          <w:tcPr>
            <w:tcW w:w="1615" w:type="dxa"/>
            <w:vAlign w:val="center"/>
          </w:tcPr>
          <w:p w:rsidR="00756BF4" w:rsidRPr="00243081" w:rsidRDefault="00756BF4" w:rsidP="0008280C">
            <w:pPr>
              <w:jc w:val="center"/>
              <w:rPr>
                <w:b/>
                <w:iCs/>
              </w:rPr>
            </w:pPr>
            <w:r w:rsidRPr="00243081">
              <w:rPr>
                <w:rFonts w:ascii="Arial Narrow" w:hAnsi="Arial Narrow"/>
                <w:b/>
                <w:iCs/>
                <w:sz w:val="20"/>
                <w:szCs w:val="20"/>
              </w:rPr>
              <w:t>0.10 (0.04,0.15)</w:t>
            </w:r>
          </w:p>
        </w:tc>
      </w:tr>
      <w:tr w:rsidR="00756BF4" w:rsidRPr="00243081" w:rsidTr="00257288">
        <w:tc>
          <w:tcPr>
            <w:tcW w:w="1612" w:type="dxa"/>
          </w:tcPr>
          <w:p w:rsidR="00756BF4" w:rsidRPr="00243081" w:rsidRDefault="00756BF4" w:rsidP="0008280C">
            <w:pPr>
              <w:rPr>
                <w:rFonts w:ascii="Arial Narrow" w:hAnsi="Arial Narrow"/>
                <w:sz w:val="20"/>
                <w:szCs w:val="20"/>
              </w:rPr>
            </w:pPr>
            <w:r w:rsidRPr="00243081">
              <w:rPr>
                <w:rFonts w:ascii="Arial Narrow" w:hAnsi="Arial Narrow"/>
                <w:sz w:val="20"/>
                <w:szCs w:val="20"/>
              </w:rPr>
              <w:t>Grade 3-5 AEOSI</w:t>
            </w:r>
          </w:p>
        </w:tc>
        <w:tc>
          <w:tcPr>
            <w:tcW w:w="1475"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36 (8.9)</w:t>
            </w:r>
          </w:p>
        </w:tc>
        <w:tc>
          <w:tcPr>
            <w:tcW w:w="1422"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9 (4.5)</w:t>
            </w:r>
          </w:p>
        </w:tc>
        <w:tc>
          <w:tcPr>
            <w:tcW w:w="1454" w:type="dxa"/>
            <w:vAlign w:val="center"/>
          </w:tcPr>
          <w:p w:rsidR="00756BF4" w:rsidRPr="00243081" w:rsidRDefault="00756BF4" w:rsidP="0008280C">
            <w:pPr>
              <w:jc w:val="center"/>
              <w:rPr>
                <w:rFonts w:ascii="Arial Narrow" w:hAnsi="Arial Narrow"/>
                <w:bCs/>
                <w:iCs/>
                <w:sz w:val="20"/>
                <w:szCs w:val="20"/>
              </w:rPr>
            </w:pPr>
            <w:r w:rsidRPr="00243081">
              <w:rPr>
                <w:rFonts w:ascii="Arial Narrow" w:hAnsi="Arial Narrow"/>
                <w:bCs/>
                <w:iCs/>
                <w:sz w:val="20"/>
                <w:szCs w:val="20"/>
              </w:rPr>
              <w:t>2.09 (0.96,5.04)</w:t>
            </w:r>
          </w:p>
        </w:tc>
        <w:tc>
          <w:tcPr>
            <w:tcW w:w="1439"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2.00 (1.00,4.02)</w:t>
            </w:r>
          </w:p>
        </w:tc>
        <w:tc>
          <w:tcPr>
            <w:tcW w:w="1615"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0.04 (0.00,0.08)</w:t>
            </w:r>
          </w:p>
        </w:tc>
      </w:tr>
      <w:tr w:rsidR="00756BF4" w:rsidRPr="00243081" w:rsidTr="00257288">
        <w:tc>
          <w:tcPr>
            <w:tcW w:w="1612" w:type="dxa"/>
          </w:tcPr>
          <w:p w:rsidR="00756BF4" w:rsidRPr="00243081" w:rsidRDefault="00756BF4" w:rsidP="0008280C">
            <w:pPr>
              <w:ind w:left="284"/>
            </w:pPr>
            <w:r w:rsidRPr="00243081">
              <w:rPr>
                <w:rFonts w:ascii="Arial Narrow" w:hAnsi="Arial Narrow"/>
                <w:sz w:val="20"/>
                <w:szCs w:val="20"/>
              </w:rPr>
              <w:t>Colitis</w:t>
            </w:r>
          </w:p>
        </w:tc>
        <w:tc>
          <w:tcPr>
            <w:tcW w:w="1475" w:type="dxa"/>
            <w:vAlign w:val="center"/>
          </w:tcPr>
          <w:p w:rsidR="00756BF4" w:rsidRPr="00243081" w:rsidRDefault="00756BF4" w:rsidP="0008280C">
            <w:pPr>
              <w:jc w:val="center"/>
            </w:pPr>
            <w:r w:rsidRPr="00243081">
              <w:rPr>
                <w:rFonts w:ascii="Arial Narrow" w:hAnsi="Arial Narrow"/>
                <w:sz w:val="20"/>
                <w:szCs w:val="20"/>
              </w:rPr>
              <w:t>9 (2.2)</w:t>
            </w:r>
          </w:p>
        </w:tc>
        <w:tc>
          <w:tcPr>
            <w:tcW w:w="1422" w:type="dxa"/>
            <w:vAlign w:val="center"/>
          </w:tcPr>
          <w:p w:rsidR="00756BF4" w:rsidRPr="00243081" w:rsidRDefault="00756BF4" w:rsidP="0008280C">
            <w:pPr>
              <w:jc w:val="center"/>
            </w:pPr>
            <w:r w:rsidRPr="00243081">
              <w:rPr>
                <w:rFonts w:ascii="Arial Narrow" w:hAnsi="Arial Narrow"/>
                <w:sz w:val="20"/>
                <w:szCs w:val="20"/>
              </w:rPr>
              <w:t>0 (0.0)</w:t>
            </w:r>
          </w:p>
        </w:tc>
        <w:tc>
          <w:tcPr>
            <w:tcW w:w="1454" w:type="dxa"/>
            <w:vAlign w:val="center"/>
          </w:tcPr>
          <w:p w:rsidR="00756BF4" w:rsidRPr="00243081" w:rsidRDefault="00756BF4" w:rsidP="0008280C">
            <w:pPr>
              <w:jc w:val="center"/>
              <w:rPr>
                <w:iCs/>
              </w:rPr>
            </w:pPr>
            <w:r w:rsidRPr="00243081">
              <w:rPr>
                <w:rFonts w:ascii="Arial Narrow" w:hAnsi="Arial Narrow"/>
                <w:iCs/>
                <w:sz w:val="20"/>
                <w:szCs w:val="20"/>
              </w:rPr>
              <w:t>NC</w:t>
            </w:r>
          </w:p>
        </w:tc>
        <w:tc>
          <w:tcPr>
            <w:tcW w:w="1439" w:type="dxa"/>
            <w:vAlign w:val="center"/>
          </w:tcPr>
          <w:p w:rsidR="00756BF4" w:rsidRPr="00243081" w:rsidRDefault="00756BF4" w:rsidP="0008280C">
            <w:pPr>
              <w:jc w:val="center"/>
              <w:rPr>
                <w:iCs/>
              </w:rPr>
            </w:pPr>
            <w:r w:rsidRPr="00243081">
              <w:rPr>
                <w:rFonts w:ascii="Arial Narrow" w:hAnsi="Arial Narrow"/>
                <w:iCs/>
                <w:sz w:val="20"/>
                <w:szCs w:val="20"/>
              </w:rPr>
              <w:t>NC</w:t>
            </w:r>
          </w:p>
        </w:tc>
        <w:tc>
          <w:tcPr>
            <w:tcW w:w="1615" w:type="dxa"/>
            <w:vAlign w:val="center"/>
          </w:tcPr>
          <w:p w:rsidR="00756BF4" w:rsidRPr="00243081" w:rsidRDefault="00756BF4" w:rsidP="0008280C">
            <w:pPr>
              <w:jc w:val="center"/>
              <w:rPr>
                <w:iCs/>
              </w:rPr>
            </w:pPr>
            <w:r w:rsidRPr="00243081">
              <w:rPr>
                <w:rFonts w:ascii="Arial Narrow" w:hAnsi="Arial Narrow"/>
                <w:b/>
                <w:iCs/>
                <w:sz w:val="20"/>
                <w:szCs w:val="20"/>
              </w:rPr>
              <w:t>0.02 (0.00,0.04)</w:t>
            </w:r>
          </w:p>
        </w:tc>
      </w:tr>
      <w:tr w:rsidR="00756BF4" w:rsidRPr="00243081" w:rsidTr="00257288">
        <w:tc>
          <w:tcPr>
            <w:tcW w:w="1612" w:type="dxa"/>
          </w:tcPr>
          <w:p w:rsidR="00756BF4" w:rsidRPr="00243081" w:rsidRDefault="00756BF4" w:rsidP="0008280C">
            <w:pPr>
              <w:ind w:left="284"/>
              <w:rPr>
                <w:rFonts w:ascii="Arial Narrow" w:hAnsi="Arial Narrow"/>
                <w:sz w:val="20"/>
                <w:szCs w:val="20"/>
              </w:rPr>
            </w:pPr>
            <w:r w:rsidRPr="00243081">
              <w:rPr>
                <w:rFonts w:ascii="Arial Narrow" w:hAnsi="Arial Narrow"/>
                <w:sz w:val="20"/>
                <w:szCs w:val="20"/>
              </w:rPr>
              <w:t>Hypothyroidism</w:t>
            </w:r>
          </w:p>
        </w:tc>
        <w:tc>
          <w:tcPr>
            <w:tcW w:w="1475"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27 (6.7)</w:t>
            </w:r>
          </w:p>
        </w:tc>
        <w:tc>
          <w:tcPr>
            <w:tcW w:w="1422" w:type="dxa"/>
            <w:vAlign w:val="center"/>
          </w:tcPr>
          <w:p w:rsidR="00756BF4" w:rsidRPr="00243081" w:rsidRDefault="00756BF4" w:rsidP="0008280C">
            <w:pPr>
              <w:jc w:val="center"/>
              <w:rPr>
                <w:rFonts w:ascii="Arial Narrow" w:hAnsi="Arial Narrow"/>
                <w:sz w:val="20"/>
                <w:szCs w:val="20"/>
              </w:rPr>
            </w:pPr>
            <w:r w:rsidRPr="00243081">
              <w:rPr>
                <w:rFonts w:ascii="Arial Narrow" w:hAnsi="Arial Narrow"/>
                <w:sz w:val="20"/>
                <w:szCs w:val="20"/>
              </w:rPr>
              <w:t>5 (2.5)</w:t>
            </w:r>
          </w:p>
        </w:tc>
        <w:tc>
          <w:tcPr>
            <w:tcW w:w="1454" w:type="dxa"/>
            <w:vAlign w:val="center"/>
          </w:tcPr>
          <w:p w:rsidR="00756BF4" w:rsidRPr="00243081" w:rsidRDefault="00756BF4" w:rsidP="0008280C">
            <w:pPr>
              <w:jc w:val="center"/>
              <w:rPr>
                <w:rFonts w:ascii="Arial Narrow" w:hAnsi="Arial Narrow"/>
                <w:iCs/>
                <w:sz w:val="20"/>
                <w:szCs w:val="20"/>
              </w:rPr>
            </w:pPr>
            <w:r w:rsidRPr="00243081">
              <w:rPr>
                <w:rFonts w:ascii="Arial Narrow" w:hAnsi="Arial Narrow"/>
                <w:b/>
                <w:iCs/>
                <w:sz w:val="20"/>
                <w:szCs w:val="20"/>
              </w:rPr>
              <w:t>2.81 (1.05,9.49)</w:t>
            </w:r>
          </w:p>
        </w:tc>
        <w:tc>
          <w:tcPr>
            <w:tcW w:w="1439" w:type="dxa"/>
            <w:vAlign w:val="center"/>
          </w:tcPr>
          <w:p w:rsidR="00756BF4" w:rsidRPr="00243081" w:rsidRDefault="00756BF4" w:rsidP="0008280C">
            <w:pPr>
              <w:jc w:val="center"/>
              <w:rPr>
                <w:rFonts w:ascii="Arial Narrow" w:hAnsi="Arial Narrow"/>
                <w:iCs/>
                <w:sz w:val="20"/>
                <w:szCs w:val="20"/>
              </w:rPr>
            </w:pPr>
            <w:r w:rsidRPr="00243081">
              <w:rPr>
                <w:rFonts w:ascii="Arial Narrow" w:hAnsi="Arial Narrow"/>
                <w:b/>
                <w:iCs/>
                <w:sz w:val="20"/>
                <w:szCs w:val="20"/>
              </w:rPr>
              <w:t>2.69 (1.05,6.89)</w:t>
            </w:r>
          </w:p>
        </w:tc>
        <w:tc>
          <w:tcPr>
            <w:tcW w:w="1615" w:type="dxa"/>
            <w:vAlign w:val="center"/>
          </w:tcPr>
          <w:p w:rsidR="00756BF4" w:rsidRPr="00243081" w:rsidRDefault="00756BF4" w:rsidP="0008280C">
            <w:pPr>
              <w:jc w:val="center"/>
              <w:rPr>
                <w:rFonts w:ascii="Arial Narrow" w:hAnsi="Arial Narrow"/>
                <w:b/>
                <w:iCs/>
                <w:sz w:val="20"/>
                <w:szCs w:val="20"/>
              </w:rPr>
            </w:pPr>
            <w:r w:rsidRPr="00243081">
              <w:rPr>
                <w:rFonts w:ascii="Arial Narrow" w:hAnsi="Arial Narrow"/>
                <w:b/>
                <w:iCs/>
                <w:sz w:val="20"/>
                <w:szCs w:val="20"/>
              </w:rPr>
              <w:t>0.04 (0.00,0.07)</w:t>
            </w:r>
          </w:p>
        </w:tc>
      </w:tr>
    </w:tbl>
    <w:p w:rsidR="00756BF4" w:rsidRPr="00243081" w:rsidRDefault="00257288" w:rsidP="00756BF4">
      <w:pPr>
        <w:rPr>
          <w:rFonts w:ascii="Arial Narrow" w:hAnsi="Arial Narrow"/>
          <w:sz w:val="18"/>
          <w:szCs w:val="20"/>
        </w:rPr>
      </w:pPr>
      <w:proofErr w:type="spellStart"/>
      <w:r w:rsidRPr="00243081">
        <w:rPr>
          <w:rFonts w:ascii="Arial Narrow" w:hAnsi="Arial Narrow"/>
          <w:sz w:val="18"/>
          <w:szCs w:val="18"/>
        </w:rPr>
        <w:t>Pembro+plat+peme</w:t>
      </w:r>
      <w:proofErr w:type="spellEnd"/>
      <w:r w:rsidRPr="00243081">
        <w:rPr>
          <w:rFonts w:ascii="Arial Narrow" w:hAnsi="Arial Narrow"/>
          <w:sz w:val="18"/>
          <w:szCs w:val="18"/>
        </w:rPr>
        <w:t xml:space="preserve"> = </w:t>
      </w:r>
      <w:proofErr w:type="spellStart"/>
      <w:r w:rsidRPr="00243081">
        <w:rPr>
          <w:rFonts w:ascii="Arial Narrow" w:hAnsi="Arial Narrow"/>
          <w:sz w:val="18"/>
          <w:szCs w:val="18"/>
        </w:rPr>
        <w:t>pembrolizumab+platinum+pemetrexed</w:t>
      </w:r>
      <w:proofErr w:type="spellEnd"/>
      <w:r w:rsidRPr="00243081">
        <w:rPr>
          <w:rFonts w:ascii="Arial Narrow" w:hAnsi="Arial Narrow"/>
          <w:sz w:val="18"/>
          <w:szCs w:val="18"/>
        </w:rPr>
        <w:t>,</w:t>
      </w:r>
      <w:r w:rsidRPr="00243081">
        <w:rPr>
          <w:rFonts w:ascii="Arial Narrow" w:hAnsi="Arial Narrow"/>
          <w:sz w:val="18"/>
          <w:szCs w:val="20"/>
        </w:rPr>
        <w:t xml:space="preserve"> </w:t>
      </w:r>
      <w:r w:rsidR="00756BF4" w:rsidRPr="00243081">
        <w:rPr>
          <w:rFonts w:ascii="Arial Narrow" w:hAnsi="Arial Narrow"/>
          <w:sz w:val="18"/>
          <w:szCs w:val="20"/>
        </w:rPr>
        <w:t xml:space="preserve">AE = Adverse event, DR = drug related, AEOSI = Adverse events of special </w:t>
      </w:r>
      <w:r w:rsidR="00756BF4" w:rsidRPr="00243081">
        <w:rPr>
          <w:rFonts w:ascii="Arial Narrow" w:hAnsi="Arial Narrow"/>
          <w:sz w:val="18"/>
          <w:szCs w:val="20"/>
        </w:rPr>
        <w:lastRenderedPageBreak/>
        <w:t xml:space="preserve">interest, NC = </w:t>
      </w:r>
      <w:proofErr w:type="spellStart"/>
      <w:r w:rsidR="00756BF4" w:rsidRPr="00243081">
        <w:rPr>
          <w:rFonts w:ascii="Arial Narrow" w:hAnsi="Arial Narrow"/>
          <w:sz w:val="18"/>
          <w:szCs w:val="20"/>
        </w:rPr>
        <w:t>not</w:t>
      </w:r>
      <w:proofErr w:type="spellEnd"/>
      <w:r w:rsidR="00756BF4" w:rsidRPr="00243081">
        <w:rPr>
          <w:rFonts w:ascii="Arial Narrow" w:hAnsi="Arial Narrow"/>
          <w:sz w:val="18"/>
          <w:szCs w:val="20"/>
        </w:rPr>
        <w:t xml:space="preserve"> calculated</w:t>
      </w:r>
    </w:p>
    <w:p w:rsidR="00756BF4" w:rsidRPr="00243081" w:rsidRDefault="00756BF4" w:rsidP="00756BF4">
      <w:pPr>
        <w:rPr>
          <w:rFonts w:ascii="Arial Narrow" w:hAnsi="Arial Narrow"/>
          <w:sz w:val="18"/>
          <w:szCs w:val="20"/>
        </w:rPr>
      </w:pPr>
      <w:r w:rsidRPr="00243081">
        <w:rPr>
          <w:rFonts w:ascii="Arial Narrow" w:hAnsi="Arial Narrow"/>
          <w:sz w:val="18"/>
          <w:szCs w:val="20"/>
        </w:rPr>
        <w:t xml:space="preserve">Text in bold indicates statistically significant differences </w:t>
      </w:r>
    </w:p>
    <w:p w:rsidR="003118CF" w:rsidRPr="001C6E85" w:rsidRDefault="00756BF4" w:rsidP="001C6E85">
      <w:pPr>
        <w:rPr>
          <w:rFonts w:ascii="Arial Narrow" w:hAnsi="Arial Narrow"/>
          <w:sz w:val="20"/>
          <w:szCs w:val="20"/>
        </w:rPr>
      </w:pPr>
      <w:r w:rsidRPr="00243081">
        <w:rPr>
          <w:rFonts w:ascii="Arial Narrow" w:hAnsi="Arial Narrow"/>
          <w:sz w:val="18"/>
          <w:szCs w:val="20"/>
        </w:rPr>
        <w:t xml:space="preserve">Source: Table 2.5-11, p62, Table 2.5-12, p63, Figure 2.5-5, p64 and Table 2.5-14, p66 and Table 2.5-18, p70 of the submission </w:t>
      </w:r>
    </w:p>
    <w:p w:rsidR="007F1017" w:rsidRPr="00243081" w:rsidRDefault="007F1017" w:rsidP="00890F38">
      <w:pPr>
        <w:pStyle w:val="Heading2"/>
      </w:pPr>
      <w:bookmarkStart w:id="26" w:name="_Toc524518825"/>
      <w:r w:rsidRPr="00243081">
        <w:t>Benefits/harms</w:t>
      </w:r>
      <w:bookmarkEnd w:id="26"/>
    </w:p>
    <w:p w:rsidR="00B80DBA" w:rsidRPr="00243081" w:rsidRDefault="00EC00C9" w:rsidP="00E063A5">
      <w:pPr>
        <w:pStyle w:val="ListParagraph"/>
        <w:widowControl/>
        <w:numPr>
          <w:ilvl w:val="1"/>
          <w:numId w:val="3"/>
        </w:numPr>
      </w:pPr>
      <w:r w:rsidRPr="00243081">
        <w:t>A summary of the comparative benefits and harms</w:t>
      </w:r>
      <w:r w:rsidR="00F50D78" w:rsidRPr="00243081">
        <w:t xml:space="preserve"> is not provided at this time as the submission did not present the appropriate comparisons to allow th</w:t>
      </w:r>
      <w:r w:rsidR="003137F2">
        <w:t>is information to be generated.</w:t>
      </w:r>
    </w:p>
    <w:p w:rsidR="00B60939" w:rsidRPr="00243081" w:rsidRDefault="00B60939" w:rsidP="00890F38">
      <w:pPr>
        <w:pStyle w:val="Heading2"/>
      </w:pPr>
      <w:bookmarkStart w:id="27" w:name="_Toc524518826"/>
      <w:r w:rsidRPr="00243081">
        <w:t>Clinical claim</w:t>
      </w:r>
      <w:bookmarkEnd w:id="27"/>
    </w:p>
    <w:p w:rsidR="00B60939" w:rsidRPr="00243081" w:rsidRDefault="00B80DBA" w:rsidP="003118CF">
      <w:pPr>
        <w:pStyle w:val="ListParagraph"/>
        <w:widowControl/>
        <w:numPr>
          <w:ilvl w:val="1"/>
          <w:numId w:val="3"/>
        </w:numPr>
      </w:pPr>
      <w:r w:rsidRPr="00243081">
        <w:t xml:space="preserve">The </w:t>
      </w:r>
      <w:r w:rsidR="007305C3" w:rsidRPr="00243081">
        <w:t xml:space="preserve">sponsor </w:t>
      </w:r>
      <w:r w:rsidRPr="00243081">
        <w:t xml:space="preserve"> </w:t>
      </w:r>
      <w:r w:rsidR="007305C3" w:rsidRPr="00243081">
        <w:t xml:space="preserve">claimed </w:t>
      </w:r>
      <w:r w:rsidRPr="00243081">
        <w:t xml:space="preserve"> </w:t>
      </w:r>
      <w:proofErr w:type="spellStart"/>
      <w:r w:rsidRPr="00243081">
        <w:t>pembrolizumab+platinum+pemetrexed</w:t>
      </w:r>
      <w:proofErr w:type="spellEnd"/>
      <w:r w:rsidRPr="00243081">
        <w:t xml:space="preserve"> as superior in terms of effectiveness</w:t>
      </w:r>
      <w:r w:rsidR="002D1BF4" w:rsidRPr="00243081">
        <w:t xml:space="preserve"> and inferior in terms of safety</w:t>
      </w:r>
      <w:r w:rsidRPr="00243081">
        <w:t xml:space="preserve"> compared with </w:t>
      </w:r>
      <w:proofErr w:type="spellStart"/>
      <w:r w:rsidRPr="00243081">
        <w:t>platinum+pemetrexed</w:t>
      </w:r>
      <w:proofErr w:type="spellEnd"/>
      <w:r w:rsidRPr="00243081">
        <w:t xml:space="preserve"> (platinum doublet)</w:t>
      </w:r>
      <w:r w:rsidR="006A3CF8" w:rsidRPr="00243081">
        <w:t xml:space="preserve"> followed by PD-(L)1 therapy</w:t>
      </w:r>
      <w:r w:rsidRPr="00243081">
        <w:t xml:space="preserve"> in patients with PD-L1 TPS &lt;50%.  </w:t>
      </w:r>
    </w:p>
    <w:p w:rsidR="00F815DE" w:rsidRPr="00243081" w:rsidRDefault="00B80DBA" w:rsidP="00F815DE">
      <w:pPr>
        <w:pStyle w:val="ListParagraph"/>
        <w:widowControl/>
        <w:numPr>
          <w:ilvl w:val="1"/>
          <w:numId w:val="3"/>
        </w:numPr>
        <w:rPr>
          <w:i/>
        </w:rPr>
      </w:pPr>
      <w:r w:rsidRPr="00243081">
        <w:t xml:space="preserve">The submission described </w:t>
      </w:r>
      <w:proofErr w:type="spellStart"/>
      <w:r w:rsidRPr="00243081">
        <w:t>pembrolizumab+platinum+pemetrexed</w:t>
      </w:r>
      <w:proofErr w:type="spellEnd"/>
      <w:r w:rsidRPr="00243081">
        <w:t xml:space="preserve"> as superior in terms of effectiveness </w:t>
      </w:r>
      <w:r w:rsidR="002D1BF4" w:rsidRPr="00243081">
        <w:t xml:space="preserve">and inferior in terms of safety </w:t>
      </w:r>
      <w:r w:rsidRPr="00243081">
        <w:t xml:space="preserve">compared with </w:t>
      </w:r>
      <w:proofErr w:type="spellStart"/>
      <w:r w:rsidRPr="00243081">
        <w:t>pembrolizumab</w:t>
      </w:r>
      <w:proofErr w:type="spellEnd"/>
      <w:r w:rsidRPr="00243081">
        <w:t xml:space="preserve"> monotherapy in patients with PD-L1 TPS ≥50%.  </w:t>
      </w:r>
      <w:bookmarkStart w:id="28" w:name="_Toc524518827"/>
    </w:p>
    <w:p w:rsidR="002D16C0" w:rsidRPr="00243081" w:rsidRDefault="002D16C0" w:rsidP="002D16C0">
      <w:pPr>
        <w:pStyle w:val="ListParagraph"/>
        <w:widowControl/>
        <w:numPr>
          <w:ilvl w:val="1"/>
          <w:numId w:val="3"/>
        </w:numPr>
        <w:ind w:left="709"/>
      </w:pPr>
      <w:r w:rsidRPr="00243081">
        <w:rPr>
          <w:rFonts w:asciiTheme="minorHAnsi" w:hAnsiTheme="minorHAnsi"/>
          <w:szCs w:val="20"/>
        </w:rPr>
        <w:t>For the PD-L1 TPS &lt;50% subgroup, compared with platinum doublet</w:t>
      </w:r>
      <w:r w:rsidR="006A3CF8" w:rsidRPr="00243081">
        <w:rPr>
          <w:rFonts w:asciiTheme="minorHAnsi" w:hAnsiTheme="minorHAnsi"/>
          <w:szCs w:val="20"/>
        </w:rPr>
        <w:t xml:space="preserve"> followed by PD-(L)1</w:t>
      </w:r>
      <w:r w:rsidRPr="00243081">
        <w:rPr>
          <w:rFonts w:asciiTheme="minorHAnsi" w:hAnsiTheme="minorHAnsi"/>
          <w:szCs w:val="20"/>
        </w:rPr>
        <w:t>, t</w:t>
      </w:r>
      <w:r w:rsidR="006B57AC" w:rsidRPr="00243081">
        <w:rPr>
          <w:rFonts w:asciiTheme="minorHAnsi" w:hAnsiTheme="minorHAnsi"/>
          <w:szCs w:val="20"/>
        </w:rPr>
        <w:t>he PBAC considered that the claim of superior comparative effectiveness was not adequately supported by the data</w:t>
      </w:r>
      <w:r w:rsidRPr="00243081">
        <w:rPr>
          <w:rFonts w:asciiTheme="minorHAnsi" w:hAnsiTheme="minorHAnsi"/>
          <w:szCs w:val="20"/>
        </w:rPr>
        <w:t xml:space="preserve"> and agreed that the claim of inferior safety was reasonable.</w:t>
      </w:r>
    </w:p>
    <w:p w:rsidR="006B57AC" w:rsidRPr="00243081" w:rsidRDefault="002D16C0" w:rsidP="002D16C0">
      <w:pPr>
        <w:pStyle w:val="ListParagraph"/>
        <w:widowControl/>
        <w:numPr>
          <w:ilvl w:val="1"/>
          <w:numId w:val="3"/>
        </w:numPr>
        <w:ind w:left="709"/>
      </w:pPr>
      <w:r w:rsidRPr="00243081">
        <w:rPr>
          <w:rFonts w:asciiTheme="minorHAnsi" w:hAnsiTheme="minorHAnsi"/>
          <w:szCs w:val="20"/>
        </w:rPr>
        <w:t xml:space="preserve">For the PD-L1 TPS ≥50% subgroup, compared with </w:t>
      </w:r>
      <w:proofErr w:type="spellStart"/>
      <w:r w:rsidRPr="00243081">
        <w:rPr>
          <w:rFonts w:asciiTheme="minorHAnsi" w:hAnsiTheme="minorHAnsi"/>
          <w:szCs w:val="20"/>
        </w:rPr>
        <w:t>pembrolizumab</w:t>
      </w:r>
      <w:proofErr w:type="spellEnd"/>
      <w:r w:rsidRPr="00243081">
        <w:rPr>
          <w:rFonts w:asciiTheme="minorHAnsi" w:hAnsiTheme="minorHAnsi"/>
          <w:szCs w:val="20"/>
        </w:rPr>
        <w:t xml:space="preserve"> monotherapy, the PBAC considered that the claim of superior comparative effectiveness was not adequately supported by the data and agreed that the claim of inferior safety was reasonable.</w:t>
      </w:r>
    </w:p>
    <w:p w:rsidR="00B60939" w:rsidRPr="00243081" w:rsidRDefault="00B60939" w:rsidP="00890F38">
      <w:pPr>
        <w:pStyle w:val="Heading2"/>
      </w:pPr>
      <w:r w:rsidRPr="00243081">
        <w:t>Economic analysis</w:t>
      </w:r>
      <w:bookmarkEnd w:id="28"/>
      <w:r w:rsidR="00491B3A" w:rsidRPr="00243081">
        <w:t xml:space="preserve"> </w:t>
      </w:r>
    </w:p>
    <w:p w:rsidR="00C92C54" w:rsidRPr="00243081" w:rsidRDefault="00C92C54" w:rsidP="00C92C54">
      <w:pPr>
        <w:pStyle w:val="ListParagraph"/>
        <w:widowControl/>
        <w:numPr>
          <w:ilvl w:val="1"/>
          <w:numId w:val="3"/>
        </w:numPr>
      </w:pPr>
      <w:r w:rsidRPr="00243081">
        <w:rPr>
          <w:rFonts w:cs="Calibri"/>
          <w:snapToGrid/>
          <w:szCs w:val="24"/>
          <w:lang w:val="en-US" w:eastAsia="en-AU"/>
        </w:rPr>
        <w:t>The submission presented a cost-utility partitioned survival analysis based on (</w:t>
      </w:r>
      <w:proofErr w:type="spellStart"/>
      <w:r w:rsidRPr="00243081">
        <w:rPr>
          <w:rFonts w:cs="Calibri"/>
          <w:snapToGrid/>
          <w:szCs w:val="24"/>
          <w:lang w:val="en-US" w:eastAsia="en-AU"/>
        </w:rPr>
        <w:t>i</w:t>
      </w:r>
      <w:proofErr w:type="spellEnd"/>
      <w:r w:rsidRPr="00243081">
        <w:rPr>
          <w:rFonts w:cs="Calibri"/>
          <w:snapToGrid/>
          <w:szCs w:val="24"/>
          <w:lang w:val="en-US" w:eastAsia="en-AU"/>
        </w:rPr>
        <w:t xml:space="preserve">) KN189 subgroup of PD-L1 TPS &lt;50% and (ii) an indirect comparison of KN189 subgroup (PD-L1 TPS ≥50% subgroup) with KN024 (NSQ NSCLC subgroup).  A weighted ICER was estimated assuming 71.5% of patients have PD-L1 TPS &lt;50% and 28.5% of patients have PD-L1 TPS ≥50%.  </w:t>
      </w:r>
      <w:r w:rsidR="00CE70B6" w:rsidRPr="00243081">
        <w:rPr>
          <w:rFonts w:cs="Calibri"/>
          <w:snapToGrid/>
          <w:szCs w:val="24"/>
          <w:lang w:val="en-US" w:eastAsia="en-AU"/>
        </w:rPr>
        <w:t xml:space="preserve">This </w:t>
      </w:r>
      <w:r w:rsidR="00000B33" w:rsidRPr="00243081">
        <w:rPr>
          <w:rFonts w:cs="Calibri"/>
          <w:snapToGrid/>
          <w:szCs w:val="24"/>
          <w:lang w:val="en-US" w:eastAsia="en-AU"/>
        </w:rPr>
        <w:t>wa</w:t>
      </w:r>
      <w:r w:rsidR="00CE70B6" w:rsidRPr="00243081">
        <w:rPr>
          <w:rFonts w:cs="Calibri"/>
          <w:snapToGrid/>
          <w:szCs w:val="24"/>
          <w:lang w:val="en-US" w:eastAsia="en-AU"/>
        </w:rPr>
        <w:t xml:space="preserve">s </w:t>
      </w:r>
      <w:r w:rsidR="00000B33" w:rsidRPr="00243081">
        <w:rPr>
          <w:rFonts w:cs="Calibri"/>
          <w:snapToGrid/>
          <w:szCs w:val="24"/>
          <w:lang w:val="en-US" w:eastAsia="en-AU"/>
        </w:rPr>
        <w:t xml:space="preserve">consistent with the proportional split assumed in the </w:t>
      </w:r>
      <w:proofErr w:type="spellStart"/>
      <w:r w:rsidR="00CE70B6" w:rsidRPr="00243081">
        <w:rPr>
          <w:rFonts w:cs="Calibri"/>
          <w:snapToGrid/>
          <w:szCs w:val="24"/>
          <w:lang w:val="en-US" w:eastAsia="en-AU"/>
        </w:rPr>
        <w:t>pembrolizumab</w:t>
      </w:r>
      <w:proofErr w:type="spellEnd"/>
      <w:r w:rsidR="00CE70B6" w:rsidRPr="00243081">
        <w:rPr>
          <w:rFonts w:cs="Calibri"/>
          <w:snapToGrid/>
          <w:szCs w:val="24"/>
          <w:lang w:val="en-US" w:eastAsia="en-AU"/>
        </w:rPr>
        <w:t xml:space="preserve"> monotherapy submission.</w:t>
      </w:r>
      <w:r w:rsidR="00CE70B6" w:rsidRPr="00243081">
        <w:rPr>
          <w:rFonts w:cs="Calibri"/>
          <w:i/>
          <w:snapToGrid/>
          <w:szCs w:val="24"/>
          <w:lang w:val="en-US" w:eastAsia="en-AU"/>
        </w:rPr>
        <w:t xml:space="preserve">   </w:t>
      </w:r>
    </w:p>
    <w:p w:rsidR="00A706E8" w:rsidRPr="00243081" w:rsidRDefault="00F059E8" w:rsidP="00C92C54">
      <w:pPr>
        <w:pStyle w:val="ListParagraph"/>
        <w:widowControl/>
        <w:numPr>
          <w:ilvl w:val="1"/>
          <w:numId w:val="3"/>
        </w:numPr>
      </w:pPr>
      <w:r w:rsidRPr="00243081">
        <w:t xml:space="preserve">Table </w:t>
      </w:r>
      <w:r w:rsidRPr="00243081">
        <w:rPr>
          <w:noProof/>
        </w:rPr>
        <w:t>11</w:t>
      </w:r>
      <w:r w:rsidR="00A706E8" w:rsidRPr="00243081">
        <w:rPr>
          <w:rFonts w:cs="Calibri"/>
          <w:snapToGrid/>
          <w:szCs w:val="24"/>
          <w:lang w:val="en-US" w:eastAsia="en-AU"/>
        </w:rPr>
        <w:t xml:space="preserve"> and </w:t>
      </w:r>
      <w:r w:rsidRPr="00243081">
        <w:t xml:space="preserve">Table </w:t>
      </w:r>
      <w:r w:rsidRPr="00243081">
        <w:rPr>
          <w:noProof/>
        </w:rPr>
        <w:t>12</w:t>
      </w:r>
      <w:r w:rsidR="003977B4" w:rsidRPr="00243081">
        <w:rPr>
          <w:rFonts w:cs="Calibri"/>
          <w:snapToGrid/>
          <w:szCs w:val="24"/>
          <w:lang w:val="en-US" w:eastAsia="en-AU"/>
        </w:rPr>
        <w:t xml:space="preserve"> </w:t>
      </w:r>
      <w:r w:rsidR="00A706E8" w:rsidRPr="00243081">
        <w:rPr>
          <w:rFonts w:cs="Calibri"/>
          <w:snapToGrid/>
          <w:szCs w:val="24"/>
          <w:lang w:val="en-US" w:eastAsia="en-AU"/>
        </w:rPr>
        <w:t>present the summary of the model structure and the utilities used in the economic evaluation presented in the submission, respectively.</w:t>
      </w:r>
    </w:p>
    <w:p w:rsidR="00C92C54" w:rsidRPr="00243081" w:rsidRDefault="00000B33" w:rsidP="003137F2">
      <w:pPr>
        <w:pStyle w:val="Caption"/>
        <w:keepNext/>
        <w:keepLines/>
        <w:rPr>
          <w:rStyle w:val="CommentReference"/>
        </w:rPr>
      </w:pPr>
      <w:bookmarkStart w:id="29" w:name="_Ref523207382"/>
      <w:r w:rsidRPr="00243081">
        <w:lastRenderedPageBreak/>
        <w:t xml:space="preserve">Table </w:t>
      </w:r>
      <w:r w:rsidR="00364F3F" w:rsidRPr="00243081">
        <w:rPr>
          <w:noProof/>
        </w:rPr>
        <w:t>11</w:t>
      </w:r>
      <w:bookmarkEnd w:id="29"/>
      <w:r w:rsidR="00C92C54" w:rsidRPr="00243081">
        <w:rPr>
          <w:rStyle w:val="CommentReference"/>
        </w:rPr>
        <w:t xml:space="preserve">: </w:t>
      </w:r>
      <w:r w:rsidR="00C92C54" w:rsidRPr="00243081">
        <w:rPr>
          <w:rStyle w:val="CommentReference"/>
          <w:b/>
        </w:rPr>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3872"/>
        <w:gridCol w:w="3874"/>
      </w:tblGrid>
      <w:tr w:rsidR="00C92C54" w:rsidRPr="00243081" w:rsidTr="00AA0FF8">
        <w:trPr>
          <w:tblHeader/>
        </w:trPr>
        <w:tc>
          <w:tcPr>
            <w:tcW w:w="705" w:type="pct"/>
            <w:shd w:val="clear" w:color="auto" w:fill="auto"/>
            <w:vAlign w:val="center"/>
          </w:tcPr>
          <w:p w:rsidR="00C92C54" w:rsidRPr="00243081" w:rsidRDefault="00C92C54" w:rsidP="003137F2">
            <w:pPr>
              <w:pStyle w:val="Tabletext"/>
              <w:keepNext/>
              <w:keepLines/>
              <w:rPr>
                <w:b/>
              </w:rPr>
            </w:pPr>
            <w:r w:rsidRPr="00243081">
              <w:rPr>
                <w:b/>
              </w:rPr>
              <w:t>Component</w:t>
            </w:r>
          </w:p>
        </w:tc>
        <w:tc>
          <w:tcPr>
            <w:tcW w:w="2147" w:type="pct"/>
            <w:shd w:val="clear" w:color="auto" w:fill="auto"/>
            <w:vAlign w:val="center"/>
          </w:tcPr>
          <w:p w:rsidR="00C92C54" w:rsidRPr="00243081" w:rsidRDefault="00C92C54" w:rsidP="003137F2">
            <w:pPr>
              <w:pStyle w:val="Tabletext"/>
              <w:keepNext/>
              <w:keepLines/>
              <w:jc w:val="center"/>
              <w:rPr>
                <w:b/>
              </w:rPr>
            </w:pPr>
            <w:r w:rsidRPr="00243081">
              <w:rPr>
                <w:b/>
              </w:rPr>
              <w:t>Summary</w:t>
            </w:r>
          </w:p>
        </w:tc>
        <w:tc>
          <w:tcPr>
            <w:tcW w:w="2148" w:type="pct"/>
          </w:tcPr>
          <w:p w:rsidR="00C92C54" w:rsidRPr="00243081" w:rsidRDefault="00C92C54" w:rsidP="003137F2">
            <w:pPr>
              <w:pStyle w:val="Tabletext"/>
              <w:keepNext/>
              <w:keepLines/>
              <w:jc w:val="center"/>
              <w:rPr>
                <w:b/>
              </w:rPr>
            </w:pPr>
            <w:r w:rsidRPr="00243081">
              <w:rPr>
                <w:b/>
              </w:rPr>
              <w:t>Justification/comments</w:t>
            </w:r>
          </w:p>
        </w:tc>
      </w:tr>
      <w:tr w:rsidR="00C92C54" w:rsidRPr="00243081" w:rsidTr="00AA0FF8">
        <w:tc>
          <w:tcPr>
            <w:tcW w:w="705" w:type="pct"/>
            <w:shd w:val="clear" w:color="auto" w:fill="auto"/>
            <w:vAlign w:val="center"/>
          </w:tcPr>
          <w:p w:rsidR="00C92C54" w:rsidRPr="00243081" w:rsidRDefault="00C92C54" w:rsidP="003137F2">
            <w:pPr>
              <w:pStyle w:val="Tabletext"/>
              <w:keepNext/>
              <w:keepLines/>
            </w:pPr>
            <w:r w:rsidRPr="00243081">
              <w:t>Time horizon</w:t>
            </w:r>
          </w:p>
        </w:tc>
        <w:tc>
          <w:tcPr>
            <w:tcW w:w="2147" w:type="pct"/>
            <w:shd w:val="clear" w:color="auto" w:fill="auto"/>
            <w:vAlign w:val="center"/>
          </w:tcPr>
          <w:p w:rsidR="00C92C54" w:rsidRPr="00243081" w:rsidRDefault="00C92C54" w:rsidP="003137F2">
            <w:pPr>
              <w:pStyle w:val="Tabletext"/>
              <w:keepNext/>
              <w:keepLines/>
            </w:pPr>
            <w:r w:rsidRPr="00243081">
              <w:t xml:space="preserve">7.5 years </w:t>
            </w:r>
          </w:p>
        </w:tc>
        <w:tc>
          <w:tcPr>
            <w:tcW w:w="2148" w:type="pct"/>
          </w:tcPr>
          <w:p w:rsidR="00C92C54" w:rsidRPr="00243081" w:rsidRDefault="00C92C54" w:rsidP="003137F2">
            <w:pPr>
              <w:pStyle w:val="Tabletext"/>
              <w:keepNext/>
              <w:keepLines/>
            </w:pPr>
            <w:r w:rsidRPr="00243081">
              <w:t>The PBAC (</w:t>
            </w:r>
            <w:proofErr w:type="spellStart"/>
            <w:r w:rsidRPr="00243081">
              <w:t>pembrolizumab</w:t>
            </w:r>
            <w:proofErr w:type="spellEnd"/>
            <w:r w:rsidRPr="00243081">
              <w:t xml:space="preserve"> monotherapy Nov 2017 PSD, 7.13 p32) has previously accepted a 7.5 year time horizon in first-line NSCLC when particular specifications around costing and extrapolations are applied.</w:t>
            </w:r>
          </w:p>
        </w:tc>
      </w:tr>
      <w:tr w:rsidR="00C92C54" w:rsidRPr="00243081" w:rsidTr="00AA0FF8">
        <w:tc>
          <w:tcPr>
            <w:tcW w:w="705" w:type="pct"/>
            <w:shd w:val="clear" w:color="auto" w:fill="auto"/>
            <w:vAlign w:val="center"/>
          </w:tcPr>
          <w:p w:rsidR="00C92C54" w:rsidRPr="00243081" w:rsidRDefault="00C92C54" w:rsidP="003137F2">
            <w:pPr>
              <w:pStyle w:val="Tabletext"/>
              <w:keepNext/>
              <w:keepLines/>
            </w:pPr>
            <w:r w:rsidRPr="00243081">
              <w:t>Outcomes</w:t>
            </w:r>
          </w:p>
        </w:tc>
        <w:tc>
          <w:tcPr>
            <w:tcW w:w="2147" w:type="pct"/>
            <w:shd w:val="clear" w:color="auto" w:fill="auto"/>
            <w:vAlign w:val="center"/>
          </w:tcPr>
          <w:p w:rsidR="00C92C54" w:rsidRPr="00243081" w:rsidRDefault="00C92C54" w:rsidP="003137F2">
            <w:pPr>
              <w:pStyle w:val="Tabletext"/>
              <w:keepNext/>
              <w:keepLines/>
            </w:pPr>
            <w:r w:rsidRPr="00243081">
              <w:t>QALY, LYG</w:t>
            </w:r>
          </w:p>
        </w:tc>
        <w:tc>
          <w:tcPr>
            <w:tcW w:w="2148" w:type="pct"/>
          </w:tcPr>
          <w:p w:rsidR="00C92C54" w:rsidRPr="00243081" w:rsidRDefault="00C92C54" w:rsidP="003137F2">
            <w:pPr>
              <w:pStyle w:val="Tabletext"/>
              <w:keepNext/>
              <w:keepLines/>
            </w:pPr>
            <w:r w:rsidRPr="00243081">
              <w:t>Appropriate</w:t>
            </w:r>
          </w:p>
        </w:tc>
      </w:tr>
      <w:tr w:rsidR="00C92C54" w:rsidRPr="00243081" w:rsidTr="00AA0FF8">
        <w:tc>
          <w:tcPr>
            <w:tcW w:w="705" w:type="pct"/>
            <w:shd w:val="clear" w:color="auto" w:fill="auto"/>
            <w:vAlign w:val="center"/>
          </w:tcPr>
          <w:p w:rsidR="00C92C54" w:rsidRPr="00243081" w:rsidRDefault="00C92C54" w:rsidP="003137F2">
            <w:pPr>
              <w:pStyle w:val="Tabletext"/>
              <w:keepNext/>
              <w:keepLines/>
            </w:pPr>
            <w:r w:rsidRPr="00243081">
              <w:t>Health states</w:t>
            </w:r>
          </w:p>
        </w:tc>
        <w:tc>
          <w:tcPr>
            <w:tcW w:w="2147" w:type="pct"/>
            <w:shd w:val="clear" w:color="auto" w:fill="auto"/>
            <w:vAlign w:val="center"/>
          </w:tcPr>
          <w:p w:rsidR="00C92C54" w:rsidRPr="00243081" w:rsidRDefault="00C92C54" w:rsidP="003137F2">
            <w:pPr>
              <w:pStyle w:val="Tabletext"/>
              <w:keepNext/>
              <w:keepLines/>
            </w:pPr>
            <w:r w:rsidRPr="00243081">
              <w:t>Progression</w:t>
            </w:r>
            <w:r w:rsidR="00C9441D" w:rsidRPr="00243081">
              <w:t>-</w:t>
            </w:r>
            <w:r w:rsidRPr="00243081">
              <w:t>free, progressed disease, dead</w:t>
            </w:r>
          </w:p>
        </w:tc>
        <w:tc>
          <w:tcPr>
            <w:tcW w:w="2148" w:type="pct"/>
          </w:tcPr>
          <w:p w:rsidR="00C92C54" w:rsidRPr="00243081" w:rsidRDefault="00C92C54" w:rsidP="003137F2">
            <w:pPr>
              <w:pStyle w:val="Tabletext"/>
              <w:keepNext/>
              <w:keepLines/>
            </w:pPr>
            <w:r w:rsidRPr="00243081">
              <w:t>Appropriate.</w:t>
            </w:r>
          </w:p>
        </w:tc>
      </w:tr>
      <w:tr w:rsidR="00C92C54" w:rsidRPr="00243081" w:rsidTr="00AA0FF8">
        <w:tc>
          <w:tcPr>
            <w:tcW w:w="705" w:type="pct"/>
            <w:shd w:val="clear" w:color="auto" w:fill="auto"/>
            <w:vAlign w:val="center"/>
          </w:tcPr>
          <w:p w:rsidR="00C92C54" w:rsidRPr="00243081" w:rsidRDefault="00C92C54" w:rsidP="003137F2">
            <w:pPr>
              <w:pStyle w:val="Tabletext"/>
              <w:keepNext/>
              <w:keepLines/>
            </w:pPr>
            <w:r w:rsidRPr="00243081">
              <w:t>Methods used to generate results</w:t>
            </w:r>
          </w:p>
        </w:tc>
        <w:tc>
          <w:tcPr>
            <w:tcW w:w="2147" w:type="pct"/>
            <w:shd w:val="clear" w:color="auto" w:fill="auto"/>
            <w:vAlign w:val="center"/>
          </w:tcPr>
          <w:p w:rsidR="00C92C54" w:rsidRPr="00243081" w:rsidRDefault="00C92C54" w:rsidP="003137F2">
            <w:pPr>
              <w:pStyle w:val="Tabletext"/>
              <w:keepNext/>
              <w:keepLines/>
            </w:pPr>
            <w:r w:rsidRPr="00243081">
              <w:t>OS and PFS curves from KN189 (for TPS &lt;50%</w:t>
            </w:r>
            <w:r w:rsidR="00A706E8" w:rsidRPr="00243081">
              <w:t xml:space="preserve"> </w:t>
            </w:r>
            <w:r w:rsidRPr="00243081">
              <w:t xml:space="preserve">subgroup) were used to estimate the proportion of patients who are in each health state.  For the TPS ≥50% subgroup a </w:t>
            </w:r>
            <w:r w:rsidR="00CC6E9C" w:rsidRPr="00243081">
              <w:t xml:space="preserve">constant </w:t>
            </w:r>
            <w:r w:rsidRPr="00243081">
              <w:t>HR from the indirect comparison of KN189 and KN024 NSQ TPS ≥50</w:t>
            </w:r>
            <w:r w:rsidR="00A706E8" w:rsidRPr="00243081">
              <w:t>%</w:t>
            </w:r>
            <w:r w:rsidRPr="00243081">
              <w:t xml:space="preserve"> subgroup was applied to the OS and PFS curve for </w:t>
            </w:r>
            <w:proofErr w:type="spellStart"/>
            <w:r w:rsidR="004A43D9" w:rsidRPr="00243081">
              <w:t>pembrolizumab+platinum+pemetrexed</w:t>
            </w:r>
            <w:proofErr w:type="spellEnd"/>
            <w:r w:rsidRPr="00243081">
              <w:t xml:space="preserve"> in KN189 to estimate the proportion of patients in each health state for </w:t>
            </w:r>
            <w:proofErr w:type="spellStart"/>
            <w:r w:rsidRPr="00243081">
              <w:t>pembrolizumab</w:t>
            </w:r>
            <w:proofErr w:type="spellEnd"/>
            <w:r w:rsidR="00A706E8" w:rsidRPr="00243081">
              <w:t xml:space="preserve"> monotherapy.  Extrapolation </w:t>
            </w:r>
            <w:r w:rsidRPr="00243081">
              <w:t>utilise</w:t>
            </w:r>
            <w:r w:rsidR="00C9441D" w:rsidRPr="00243081">
              <w:t>d</w:t>
            </w:r>
            <w:r w:rsidRPr="00243081">
              <w:t xml:space="preserve"> all the available data and </w:t>
            </w:r>
            <w:r w:rsidR="00C9441D" w:rsidRPr="00243081">
              <w:t xml:space="preserve">was </w:t>
            </w:r>
            <w:r w:rsidRPr="00243081">
              <w:t>applie</w:t>
            </w:r>
            <w:r w:rsidR="00C9441D" w:rsidRPr="00243081">
              <w:t>d</w:t>
            </w:r>
            <w:r w:rsidRPr="00243081">
              <w:t xml:space="preserve"> from median OS/PFS onwards.</w:t>
            </w:r>
          </w:p>
          <w:p w:rsidR="00C92C54" w:rsidRPr="00243081" w:rsidRDefault="002D33C9" w:rsidP="003137F2">
            <w:pPr>
              <w:pStyle w:val="Tabletext"/>
              <w:keepNext/>
              <w:keepLines/>
            </w:pPr>
            <w:r w:rsidRPr="00243081">
              <w:t>Time on treatment (</w:t>
            </w:r>
            <w:proofErr w:type="spellStart"/>
            <w:r w:rsidR="00C92C54" w:rsidRPr="00243081">
              <w:t>ToT</w:t>
            </w:r>
            <w:proofErr w:type="spellEnd"/>
            <w:r w:rsidRPr="00243081">
              <w:t>)</w:t>
            </w:r>
            <w:r w:rsidR="00C92C54" w:rsidRPr="00243081">
              <w:t xml:space="preserve"> curves from KN189 </w:t>
            </w:r>
            <w:r w:rsidR="00BF1E91" w:rsidRPr="00243081">
              <w:t xml:space="preserve">were </w:t>
            </w:r>
            <w:r w:rsidR="00C92C54" w:rsidRPr="00243081">
              <w:t>used to inform the proportion of patients who remain on treatment.  The submission assume</w:t>
            </w:r>
            <w:r w:rsidR="00C9441D" w:rsidRPr="00243081">
              <w:t>d</w:t>
            </w:r>
            <w:r w:rsidR="00C92C54" w:rsidRPr="00243081">
              <w:t xml:space="preserve"> that </w:t>
            </w:r>
            <w:proofErr w:type="spellStart"/>
            <w:r w:rsidR="00C92C54" w:rsidRPr="00243081">
              <w:t>pembrolizumab</w:t>
            </w:r>
            <w:proofErr w:type="spellEnd"/>
            <w:r w:rsidR="00C92C54" w:rsidRPr="00243081">
              <w:t xml:space="preserve"> treatment cease</w:t>
            </w:r>
            <w:r w:rsidR="00C9441D" w:rsidRPr="00243081">
              <w:t>d</w:t>
            </w:r>
            <w:r w:rsidR="00C92C54" w:rsidRPr="00243081">
              <w:t xml:space="preserve"> at 104 weeks.</w:t>
            </w:r>
          </w:p>
          <w:p w:rsidR="00C92C54" w:rsidRPr="00243081" w:rsidRDefault="00C92C54" w:rsidP="003137F2">
            <w:pPr>
              <w:pStyle w:val="Tabletext"/>
              <w:keepNext/>
              <w:keepLines/>
            </w:pPr>
            <w:r w:rsidRPr="00243081">
              <w:t>QALY in the model was estimated based on the time before death and unrelated to progression</w:t>
            </w:r>
            <w:r w:rsidR="00FB4E05" w:rsidRPr="00243081">
              <w:t>-</w:t>
            </w:r>
            <w:r w:rsidRPr="00243081">
              <w:t xml:space="preserve">free or progressed health states. The utility at each time-to-death state was mapped from KN189 (for </w:t>
            </w:r>
            <w:proofErr w:type="spellStart"/>
            <w:r w:rsidR="00875A22" w:rsidRPr="00243081">
              <w:t>pembrolizumab</w:t>
            </w:r>
            <w:r w:rsidR="00FB4E05" w:rsidRPr="00243081">
              <w:t>+platinum+pemetrexed</w:t>
            </w:r>
            <w:proofErr w:type="spellEnd"/>
            <w:r w:rsidRPr="00243081">
              <w:t xml:space="preserve"> and platinum doublet) and KN024 (for </w:t>
            </w:r>
            <w:proofErr w:type="spellStart"/>
            <w:r w:rsidRPr="00243081">
              <w:t>pembrolizumab</w:t>
            </w:r>
            <w:proofErr w:type="spellEnd"/>
            <w:r w:rsidRPr="00243081">
              <w:t xml:space="preserve"> monotherapy</w:t>
            </w:r>
            <w:r w:rsidR="00BF1E91" w:rsidRPr="00243081">
              <w:t>)</w:t>
            </w:r>
            <w:r w:rsidRPr="00243081">
              <w:t xml:space="preserve">.   </w:t>
            </w:r>
          </w:p>
        </w:tc>
        <w:tc>
          <w:tcPr>
            <w:tcW w:w="2148" w:type="pct"/>
          </w:tcPr>
          <w:p w:rsidR="00C92C54" w:rsidRPr="00243081" w:rsidRDefault="00C92C54" w:rsidP="003137F2">
            <w:pPr>
              <w:pStyle w:val="Tabletext"/>
              <w:keepNext/>
              <w:keepLines/>
            </w:pPr>
            <w:r w:rsidRPr="00243081">
              <w:t>The use of OS and PFS curves to inform partition survival analysis is reasonable</w:t>
            </w:r>
            <w:r w:rsidR="002548E1" w:rsidRPr="00243081">
              <w:t>. However, the assumption that</w:t>
            </w:r>
            <w:r w:rsidRPr="00243081">
              <w:t xml:space="preserve"> </w:t>
            </w:r>
            <w:r w:rsidR="005112DC" w:rsidRPr="00243081">
              <w:t xml:space="preserve">the HR </w:t>
            </w:r>
            <w:r w:rsidR="002548E1" w:rsidRPr="00243081">
              <w:t>gradually declined</w:t>
            </w:r>
            <w:r w:rsidR="005112DC" w:rsidRPr="00243081">
              <w:t xml:space="preserve"> from </w:t>
            </w:r>
            <w:r w:rsidR="00CC6E9C" w:rsidRPr="00243081">
              <w:t>week 152</w:t>
            </w:r>
            <w:r w:rsidR="005112DC" w:rsidRPr="00243081">
              <w:t>, reaching a HR=1</w:t>
            </w:r>
            <w:r w:rsidR="00CC6E9C" w:rsidRPr="00243081">
              <w:t xml:space="preserve"> </w:t>
            </w:r>
            <w:r w:rsidRPr="00243081">
              <w:t>at 7.5 years</w:t>
            </w:r>
            <w:r w:rsidR="002548E1" w:rsidRPr="00243081">
              <w:t xml:space="preserve"> was optimistic</w:t>
            </w:r>
            <w:r w:rsidRPr="00243081">
              <w:t xml:space="preserve">. </w:t>
            </w:r>
            <w:r w:rsidR="002548E1" w:rsidRPr="00243081">
              <w:t>A conservative approach would be to assume that the HR becomes 1 at week 152 (noting that for the ≥50% population, there was no gradual decline in treatment effect, the HR between treatment groups was assumed to be 1 at 90 weeks).</w:t>
            </w:r>
          </w:p>
          <w:p w:rsidR="00C92C54" w:rsidRPr="00243081" w:rsidRDefault="00C92C54" w:rsidP="003137F2">
            <w:pPr>
              <w:pStyle w:val="Tabletext"/>
              <w:keepNext/>
              <w:keepLines/>
            </w:pPr>
          </w:p>
          <w:p w:rsidR="00C92C54" w:rsidRPr="00243081" w:rsidRDefault="005112DC" w:rsidP="003137F2">
            <w:pPr>
              <w:pStyle w:val="Tabletext"/>
              <w:keepNext/>
              <w:keepLines/>
            </w:pPr>
            <w:r w:rsidRPr="00243081">
              <w:t xml:space="preserve">Use of </w:t>
            </w:r>
            <w:proofErr w:type="spellStart"/>
            <w:r w:rsidRPr="00243081">
              <w:t>ToT</w:t>
            </w:r>
            <w:proofErr w:type="spellEnd"/>
            <w:r w:rsidRPr="00243081">
              <w:t xml:space="preserve"> curves rather than remaining on treatment until disease progression was tested in a sensitivity analysis during the evaluation and was sh</w:t>
            </w:r>
            <w:r w:rsidR="002548E1" w:rsidRPr="00243081">
              <w:t>own to have a minim</w:t>
            </w:r>
            <w:r w:rsidRPr="00243081">
              <w:t xml:space="preserve">al impact (8.1% increase) on the ICER, thus use of </w:t>
            </w:r>
            <w:proofErr w:type="spellStart"/>
            <w:r w:rsidRPr="00243081">
              <w:t>ToT</w:t>
            </w:r>
            <w:proofErr w:type="spellEnd"/>
            <w:r w:rsidRPr="00243081">
              <w:t xml:space="preserve"> favoured </w:t>
            </w:r>
            <w:proofErr w:type="spellStart"/>
            <w:r w:rsidR="00C92C54" w:rsidRPr="00243081">
              <w:t>pembrolizumab</w:t>
            </w:r>
            <w:r w:rsidR="00FB4E05" w:rsidRPr="00243081">
              <w:t>+platinum+pemetrexed</w:t>
            </w:r>
            <w:proofErr w:type="spellEnd"/>
            <w:r w:rsidR="00C92C54" w:rsidRPr="00243081">
              <w:t xml:space="preserve">.  </w:t>
            </w:r>
          </w:p>
        </w:tc>
      </w:tr>
      <w:tr w:rsidR="00C92C54" w:rsidRPr="00243081" w:rsidTr="00AA0FF8">
        <w:tc>
          <w:tcPr>
            <w:tcW w:w="705" w:type="pct"/>
            <w:shd w:val="clear" w:color="auto" w:fill="auto"/>
            <w:vAlign w:val="center"/>
          </w:tcPr>
          <w:p w:rsidR="00C92C54" w:rsidRPr="00243081" w:rsidRDefault="00C92C54" w:rsidP="003137F2">
            <w:pPr>
              <w:pStyle w:val="Tabletext"/>
              <w:keepNext/>
              <w:keepLines/>
            </w:pPr>
            <w:r w:rsidRPr="00243081">
              <w:t>Utilities</w:t>
            </w:r>
          </w:p>
        </w:tc>
        <w:tc>
          <w:tcPr>
            <w:tcW w:w="2147" w:type="pct"/>
            <w:shd w:val="clear" w:color="auto" w:fill="auto"/>
            <w:vAlign w:val="center"/>
          </w:tcPr>
          <w:p w:rsidR="00C92C54" w:rsidRPr="00243081" w:rsidRDefault="00C92C54" w:rsidP="003137F2">
            <w:pPr>
              <w:pStyle w:val="Tabletext"/>
              <w:keepNext/>
              <w:keepLines/>
            </w:pPr>
            <w:r w:rsidRPr="00243081">
              <w:t xml:space="preserve">See </w:t>
            </w:r>
            <w:r w:rsidR="00F059E8" w:rsidRPr="00243081">
              <w:t xml:space="preserve">Table </w:t>
            </w:r>
            <w:r w:rsidR="00F059E8" w:rsidRPr="00243081">
              <w:rPr>
                <w:noProof/>
              </w:rPr>
              <w:t>12</w:t>
            </w:r>
          </w:p>
        </w:tc>
        <w:tc>
          <w:tcPr>
            <w:tcW w:w="2148" w:type="pct"/>
          </w:tcPr>
          <w:p w:rsidR="00C92C54" w:rsidRPr="00243081" w:rsidRDefault="00C92C54" w:rsidP="003137F2">
            <w:pPr>
              <w:pStyle w:val="Tabletext"/>
              <w:keepNext/>
              <w:keepLines/>
            </w:pPr>
            <w:r w:rsidRPr="00243081">
              <w:t xml:space="preserve">May not be reasonable and overestimates QALY gain compared to using health state utilities. </w:t>
            </w:r>
          </w:p>
        </w:tc>
      </w:tr>
      <w:tr w:rsidR="00C92C54" w:rsidRPr="00243081" w:rsidTr="00AA0FF8">
        <w:tc>
          <w:tcPr>
            <w:tcW w:w="705" w:type="pct"/>
            <w:shd w:val="clear" w:color="auto" w:fill="auto"/>
            <w:vAlign w:val="center"/>
          </w:tcPr>
          <w:p w:rsidR="00C92C54" w:rsidRPr="00243081" w:rsidRDefault="00C92C54" w:rsidP="003137F2">
            <w:pPr>
              <w:pStyle w:val="Tabletext"/>
              <w:keepNext/>
              <w:keepLines/>
            </w:pPr>
            <w:r w:rsidRPr="00243081">
              <w:t>Cycle length</w:t>
            </w:r>
          </w:p>
        </w:tc>
        <w:tc>
          <w:tcPr>
            <w:tcW w:w="2147" w:type="pct"/>
            <w:shd w:val="clear" w:color="auto" w:fill="auto"/>
            <w:vAlign w:val="center"/>
          </w:tcPr>
          <w:p w:rsidR="00C92C54" w:rsidRPr="00243081" w:rsidRDefault="00C92C54" w:rsidP="003137F2">
            <w:pPr>
              <w:pStyle w:val="Tabletext"/>
              <w:keepNext/>
              <w:keepLines/>
            </w:pPr>
            <w:r w:rsidRPr="00243081">
              <w:t>1 week</w:t>
            </w:r>
          </w:p>
        </w:tc>
        <w:tc>
          <w:tcPr>
            <w:tcW w:w="2148" w:type="pct"/>
          </w:tcPr>
          <w:p w:rsidR="00C92C54" w:rsidRPr="00243081" w:rsidRDefault="00C92C54" w:rsidP="003137F2">
            <w:pPr>
              <w:pStyle w:val="Tabletext"/>
              <w:keepNext/>
              <w:keepLines/>
            </w:pPr>
            <w:r w:rsidRPr="00243081">
              <w:t xml:space="preserve">Reasonable </w:t>
            </w:r>
          </w:p>
        </w:tc>
      </w:tr>
    </w:tbl>
    <w:p w:rsidR="00C92C54" w:rsidRPr="00243081" w:rsidRDefault="00C92C54" w:rsidP="003137F2">
      <w:pPr>
        <w:pStyle w:val="TableFooter"/>
        <w:keepNext/>
        <w:keepLines/>
      </w:pPr>
      <w:r w:rsidRPr="00243081">
        <w:t>Source: Table 3.1-1, p106 of the submission</w:t>
      </w:r>
    </w:p>
    <w:p w:rsidR="00C92C54" w:rsidRPr="00243081" w:rsidRDefault="00C92C54" w:rsidP="003137F2">
      <w:pPr>
        <w:keepNext/>
        <w:keepLines/>
        <w:rPr>
          <w:sz w:val="18"/>
          <w:szCs w:val="18"/>
        </w:rPr>
      </w:pPr>
    </w:p>
    <w:p w:rsidR="003137F2" w:rsidRDefault="003137F2">
      <w:pPr>
        <w:widowControl/>
        <w:jc w:val="left"/>
        <w:rPr>
          <w:rFonts w:ascii="Arial Narrow" w:hAnsi="Arial Narrow"/>
          <w:b/>
          <w:bCs/>
          <w:sz w:val="20"/>
          <w:szCs w:val="18"/>
        </w:rPr>
      </w:pPr>
      <w:bookmarkStart w:id="30" w:name="_Ref523207363"/>
    </w:p>
    <w:p w:rsidR="00C92C54" w:rsidRPr="00243081" w:rsidRDefault="001C0D03" w:rsidP="003137F2">
      <w:pPr>
        <w:pStyle w:val="Caption"/>
        <w:keepNext/>
        <w:keepLines/>
        <w:widowControl/>
        <w:rPr>
          <w:b w:val="0"/>
        </w:rPr>
      </w:pPr>
      <w:r w:rsidRPr="00243081">
        <w:lastRenderedPageBreak/>
        <w:t xml:space="preserve">Table </w:t>
      </w:r>
      <w:r w:rsidR="00364F3F" w:rsidRPr="00243081">
        <w:rPr>
          <w:noProof/>
        </w:rPr>
        <w:t>12</w:t>
      </w:r>
      <w:bookmarkEnd w:id="30"/>
      <w:r w:rsidR="00A706E8" w:rsidRPr="00243081">
        <w:t>: Time-to-</w:t>
      </w:r>
      <w:r w:rsidR="00C92C54" w:rsidRPr="00243081">
        <w:t>death utilities used in the economic evaluation</w:t>
      </w:r>
    </w:p>
    <w:tbl>
      <w:tblPr>
        <w:tblStyle w:val="TableGrid"/>
        <w:tblW w:w="0" w:type="auto"/>
        <w:tblCellMar>
          <w:left w:w="28" w:type="dxa"/>
          <w:right w:w="28" w:type="dxa"/>
        </w:tblCellMar>
        <w:tblLook w:val="04A0" w:firstRow="1" w:lastRow="0" w:firstColumn="1" w:lastColumn="0" w:noHBand="0" w:noVBand="1"/>
        <w:tblCaption w:val="Time-to-death utilities used in the economic evaluation"/>
      </w:tblPr>
      <w:tblGrid>
        <w:gridCol w:w="1888"/>
        <w:gridCol w:w="2372"/>
        <w:gridCol w:w="2512"/>
        <w:gridCol w:w="2245"/>
      </w:tblGrid>
      <w:tr w:rsidR="00C92C54" w:rsidRPr="00243081" w:rsidTr="009A1E78">
        <w:trPr>
          <w:cantSplit/>
          <w:tblHeader/>
        </w:trPr>
        <w:tc>
          <w:tcPr>
            <w:tcW w:w="9243" w:type="dxa"/>
            <w:gridSpan w:val="4"/>
          </w:tcPr>
          <w:p w:rsidR="00C92C54" w:rsidRPr="00243081" w:rsidRDefault="00C92C54" w:rsidP="003137F2">
            <w:pPr>
              <w:keepNext/>
              <w:keepLines/>
              <w:widowControl/>
              <w:spacing w:before="40" w:after="40"/>
              <w:rPr>
                <w:rFonts w:ascii="Arial Narrow" w:hAnsi="Arial Narrow"/>
                <w:b/>
                <w:sz w:val="20"/>
                <w:szCs w:val="20"/>
              </w:rPr>
            </w:pPr>
            <w:r w:rsidRPr="00243081">
              <w:rPr>
                <w:rFonts w:ascii="Arial Narrow" w:hAnsi="Arial Narrow"/>
                <w:b/>
                <w:sz w:val="20"/>
                <w:szCs w:val="20"/>
              </w:rPr>
              <w:t>PD-L1 TPS &lt;50%</w:t>
            </w: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b/>
                <w:sz w:val="20"/>
                <w:szCs w:val="20"/>
              </w:rPr>
            </w:pPr>
            <w:r w:rsidRPr="00243081">
              <w:rPr>
                <w:rFonts w:ascii="Arial Narrow" w:hAnsi="Arial Narrow"/>
                <w:b/>
                <w:sz w:val="20"/>
                <w:szCs w:val="20"/>
              </w:rPr>
              <w:t>Time to death (days)</w:t>
            </w:r>
          </w:p>
        </w:tc>
        <w:tc>
          <w:tcPr>
            <w:tcW w:w="2410" w:type="dxa"/>
            <w:vAlign w:val="center"/>
          </w:tcPr>
          <w:p w:rsidR="00C92C54" w:rsidRPr="00243081" w:rsidRDefault="004A43D9" w:rsidP="003137F2">
            <w:pPr>
              <w:keepNext/>
              <w:keepLines/>
              <w:widowControl/>
              <w:spacing w:before="40" w:after="40"/>
              <w:jc w:val="center"/>
              <w:rPr>
                <w:rFonts w:ascii="Arial Narrow" w:hAnsi="Arial Narrow"/>
                <w:b/>
                <w:sz w:val="20"/>
                <w:szCs w:val="20"/>
              </w:rPr>
            </w:pPr>
            <w:proofErr w:type="spellStart"/>
            <w:r w:rsidRPr="00243081">
              <w:rPr>
                <w:rFonts w:ascii="Arial Narrow" w:hAnsi="Arial Narrow"/>
                <w:b/>
                <w:sz w:val="20"/>
                <w:szCs w:val="20"/>
              </w:rPr>
              <w:t>Pembro+plat+peme</w:t>
            </w:r>
            <w:proofErr w:type="spellEnd"/>
            <w:r w:rsidRPr="00243081">
              <w:rPr>
                <w:rFonts w:ascii="Arial Narrow" w:hAnsi="Arial Narrow"/>
                <w:b/>
                <w:sz w:val="20"/>
                <w:szCs w:val="20"/>
              </w:rPr>
              <w:t xml:space="preserve"> </w:t>
            </w:r>
          </w:p>
        </w:tc>
        <w:tc>
          <w:tcPr>
            <w:tcW w:w="257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Platinum doublet</w:t>
            </w:r>
          </w:p>
        </w:tc>
        <w:tc>
          <w:tcPr>
            <w:tcW w:w="231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 xml:space="preserve">Pooled </w:t>
            </w:r>
            <w:proofErr w:type="spellStart"/>
            <w:r w:rsidRPr="00243081">
              <w:rPr>
                <w:rFonts w:ascii="Arial Narrow" w:hAnsi="Arial Narrow"/>
                <w:b/>
                <w:sz w:val="20"/>
                <w:szCs w:val="20"/>
              </w:rPr>
              <w:t>treatment</w:t>
            </w:r>
            <w:r w:rsidRPr="00243081">
              <w:rPr>
                <w:rFonts w:ascii="Arial Narrow" w:hAnsi="Arial Narrow"/>
                <w:b/>
                <w:sz w:val="20"/>
                <w:szCs w:val="20"/>
                <w:vertAlign w:val="superscript"/>
              </w:rPr>
              <w:t>a</w:t>
            </w:r>
            <w:proofErr w:type="spellEnd"/>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sz w:val="20"/>
                <w:szCs w:val="20"/>
              </w:rPr>
            </w:pPr>
            <w:r w:rsidRPr="00243081">
              <w:rPr>
                <w:rFonts w:ascii="Arial Narrow" w:hAnsi="Arial Narrow" w:cs="Calibri"/>
                <w:sz w:val="20"/>
                <w:szCs w:val="20"/>
              </w:rPr>
              <w:t>≥</w:t>
            </w:r>
            <w:r w:rsidRPr="00243081">
              <w:rPr>
                <w:rFonts w:ascii="Arial Narrow" w:hAnsi="Arial Narrow"/>
                <w:sz w:val="20"/>
                <w:szCs w:val="20"/>
              </w:rPr>
              <w:t>360 days</w:t>
            </w:r>
          </w:p>
        </w:tc>
        <w:tc>
          <w:tcPr>
            <w:tcW w:w="2410"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0.764 (0.749, 0.779) n=136</w:t>
            </w:r>
          </w:p>
        </w:tc>
        <w:tc>
          <w:tcPr>
            <w:tcW w:w="2571"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0.774 (0.755, 0.792), n=48</w:t>
            </w:r>
          </w:p>
        </w:tc>
        <w:tc>
          <w:tcPr>
            <w:tcW w:w="231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 xml:space="preserve">0.767 </w:t>
            </w:r>
            <w:r w:rsidRPr="00243081">
              <w:rPr>
                <w:rFonts w:ascii="Arial Narrow" w:hAnsi="Arial Narrow"/>
                <w:sz w:val="20"/>
                <w:szCs w:val="20"/>
              </w:rPr>
              <w:t>(0.755, 0.779), n=184</w:t>
            </w: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sz w:val="20"/>
                <w:szCs w:val="20"/>
              </w:rPr>
            </w:pPr>
            <w:r w:rsidRPr="00243081">
              <w:rPr>
                <w:rFonts w:ascii="Arial Narrow" w:hAnsi="Arial Narrow"/>
                <w:sz w:val="20"/>
                <w:szCs w:val="20"/>
              </w:rPr>
              <w:t xml:space="preserve">Days 180-359 </w:t>
            </w:r>
          </w:p>
        </w:tc>
        <w:tc>
          <w:tcPr>
            <w:tcW w:w="2410"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0.702 (0.674, 0.731), n=58</w:t>
            </w:r>
          </w:p>
        </w:tc>
        <w:tc>
          <w:tcPr>
            <w:tcW w:w="2571"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0.699 (0.658, 0.739), n=36</w:t>
            </w:r>
          </w:p>
        </w:tc>
        <w:tc>
          <w:tcPr>
            <w:tcW w:w="231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 xml:space="preserve">0.701 </w:t>
            </w:r>
            <w:r w:rsidRPr="00243081">
              <w:rPr>
                <w:rFonts w:ascii="Arial Narrow" w:hAnsi="Arial Narrow"/>
                <w:sz w:val="20"/>
                <w:szCs w:val="20"/>
              </w:rPr>
              <w:t>(0.678, 0.724), n=94</w:t>
            </w: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sz w:val="20"/>
                <w:szCs w:val="20"/>
              </w:rPr>
            </w:pPr>
            <w:r w:rsidRPr="00243081">
              <w:rPr>
                <w:rFonts w:ascii="Arial Narrow" w:hAnsi="Arial Narrow"/>
                <w:sz w:val="20"/>
                <w:szCs w:val="20"/>
              </w:rPr>
              <w:t>Days 30-179</w:t>
            </w:r>
          </w:p>
        </w:tc>
        <w:tc>
          <w:tcPr>
            <w:tcW w:w="2410"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0.620 (0.590, 0.649), n=91</w:t>
            </w:r>
          </w:p>
        </w:tc>
        <w:tc>
          <w:tcPr>
            <w:tcW w:w="2571"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0.656 (0.626, 0.687), n=76</w:t>
            </w:r>
          </w:p>
        </w:tc>
        <w:tc>
          <w:tcPr>
            <w:tcW w:w="231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 xml:space="preserve">0.637 </w:t>
            </w:r>
            <w:r w:rsidRPr="00243081">
              <w:rPr>
                <w:rFonts w:ascii="Arial Narrow" w:hAnsi="Arial Narrow"/>
                <w:sz w:val="20"/>
                <w:szCs w:val="20"/>
              </w:rPr>
              <w:t>(0.616, 0.659), n=167</w:t>
            </w: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sz w:val="20"/>
                <w:szCs w:val="20"/>
              </w:rPr>
            </w:pPr>
            <w:r w:rsidRPr="00243081">
              <w:rPr>
                <w:rFonts w:ascii="Arial Narrow" w:hAnsi="Arial Narrow"/>
                <w:sz w:val="20"/>
                <w:szCs w:val="20"/>
              </w:rPr>
              <w:t>&lt;30 days</w:t>
            </w:r>
          </w:p>
        </w:tc>
        <w:tc>
          <w:tcPr>
            <w:tcW w:w="2410"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0.554 (0.411, 0.698), n=19</w:t>
            </w:r>
          </w:p>
        </w:tc>
        <w:tc>
          <w:tcPr>
            <w:tcW w:w="2571"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0.398 (0.220, 0.577), n=13</w:t>
            </w:r>
          </w:p>
        </w:tc>
        <w:tc>
          <w:tcPr>
            <w:tcW w:w="231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 xml:space="preserve">0.485 </w:t>
            </w:r>
            <w:r w:rsidRPr="00243081">
              <w:rPr>
                <w:rFonts w:ascii="Arial Narrow" w:hAnsi="Arial Narrow"/>
                <w:sz w:val="20"/>
                <w:szCs w:val="20"/>
              </w:rPr>
              <w:t>(0.375, 0.595), n=32</w:t>
            </w:r>
          </w:p>
        </w:tc>
      </w:tr>
      <w:tr w:rsidR="00C92C54" w:rsidRPr="00243081" w:rsidTr="00C92C54">
        <w:tc>
          <w:tcPr>
            <w:tcW w:w="9243" w:type="dxa"/>
            <w:gridSpan w:val="4"/>
          </w:tcPr>
          <w:p w:rsidR="00C92C54" w:rsidRPr="00243081" w:rsidRDefault="00C92C54" w:rsidP="003137F2">
            <w:pPr>
              <w:keepNext/>
              <w:keepLines/>
              <w:widowControl/>
              <w:spacing w:before="40" w:after="40"/>
              <w:rPr>
                <w:rFonts w:ascii="Arial Narrow" w:hAnsi="Arial Narrow"/>
                <w:b/>
                <w:sz w:val="20"/>
                <w:szCs w:val="20"/>
              </w:rPr>
            </w:pPr>
            <w:r w:rsidRPr="00243081">
              <w:rPr>
                <w:rFonts w:ascii="Arial Narrow" w:hAnsi="Arial Narrow"/>
                <w:b/>
                <w:sz w:val="20"/>
                <w:szCs w:val="20"/>
              </w:rPr>
              <w:t>PD-L1 TPS ≥50%</w:t>
            </w: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b/>
                <w:sz w:val="20"/>
                <w:szCs w:val="20"/>
              </w:rPr>
            </w:pPr>
            <w:r w:rsidRPr="00243081">
              <w:rPr>
                <w:rFonts w:ascii="Arial Narrow" w:hAnsi="Arial Narrow"/>
                <w:b/>
                <w:sz w:val="20"/>
                <w:szCs w:val="20"/>
              </w:rPr>
              <w:t>Time to death (days)</w:t>
            </w:r>
          </w:p>
        </w:tc>
        <w:tc>
          <w:tcPr>
            <w:tcW w:w="2410" w:type="dxa"/>
            <w:vAlign w:val="center"/>
          </w:tcPr>
          <w:p w:rsidR="00C92C54" w:rsidRPr="00243081" w:rsidRDefault="00C92C54" w:rsidP="003137F2">
            <w:pPr>
              <w:keepNext/>
              <w:keepLines/>
              <w:widowControl/>
              <w:spacing w:before="40" w:after="40"/>
              <w:jc w:val="center"/>
              <w:rPr>
                <w:rFonts w:ascii="Arial Narrow" w:hAnsi="Arial Narrow"/>
                <w:b/>
                <w:sz w:val="20"/>
                <w:szCs w:val="20"/>
              </w:rPr>
            </w:pPr>
            <w:proofErr w:type="spellStart"/>
            <w:r w:rsidRPr="00243081">
              <w:rPr>
                <w:rFonts w:ascii="Arial Narrow" w:hAnsi="Arial Narrow"/>
                <w:b/>
                <w:sz w:val="20"/>
                <w:szCs w:val="20"/>
              </w:rPr>
              <w:t>Pembro</w:t>
            </w:r>
            <w:r w:rsidR="004A43D9" w:rsidRPr="00243081">
              <w:rPr>
                <w:rFonts w:ascii="Arial Narrow" w:hAnsi="Arial Narrow"/>
                <w:b/>
                <w:sz w:val="20"/>
                <w:szCs w:val="20"/>
              </w:rPr>
              <w:t>+plat+peme</w:t>
            </w:r>
            <w:proofErr w:type="spellEnd"/>
          </w:p>
        </w:tc>
        <w:tc>
          <w:tcPr>
            <w:tcW w:w="257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proofErr w:type="spellStart"/>
            <w:r w:rsidRPr="00243081">
              <w:rPr>
                <w:rFonts w:ascii="Arial Narrow" w:hAnsi="Arial Narrow"/>
                <w:b/>
                <w:sz w:val="20"/>
                <w:szCs w:val="20"/>
              </w:rPr>
              <w:t>Pembrolizumab</w:t>
            </w:r>
            <w:proofErr w:type="spellEnd"/>
            <w:r w:rsidRPr="00243081">
              <w:rPr>
                <w:rFonts w:ascii="Arial Narrow" w:hAnsi="Arial Narrow"/>
                <w:b/>
                <w:sz w:val="20"/>
                <w:szCs w:val="20"/>
              </w:rPr>
              <w:t xml:space="preserve"> monotherapy</w:t>
            </w:r>
          </w:p>
        </w:tc>
        <w:tc>
          <w:tcPr>
            <w:tcW w:w="231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Pooled treatment</w:t>
            </w: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sz w:val="20"/>
                <w:szCs w:val="20"/>
              </w:rPr>
            </w:pPr>
            <w:r w:rsidRPr="00243081">
              <w:rPr>
                <w:rFonts w:ascii="Arial Narrow" w:hAnsi="Arial Narrow" w:cs="Calibri"/>
                <w:sz w:val="20"/>
                <w:szCs w:val="20"/>
              </w:rPr>
              <w:t>≥</w:t>
            </w:r>
            <w:r w:rsidRPr="00243081">
              <w:rPr>
                <w:rFonts w:ascii="Arial Narrow" w:hAnsi="Arial Narrow"/>
                <w:sz w:val="20"/>
                <w:szCs w:val="20"/>
              </w:rPr>
              <w:t>360 days</w:t>
            </w:r>
          </w:p>
        </w:tc>
        <w:tc>
          <w:tcPr>
            <w:tcW w:w="2410"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b/>
                <w:sz w:val="20"/>
                <w:szCs w:val="20"/>
              </w:rPr>
              <w:t xml:space="preserve">0.767 </w:t>
            </w:r>
            <w:r w:rsidRPr="00243081">
              <w:rPr>
                <w:rFonts w:ascii="Arial Narrow" w:hAnsi="Arial Narrow"/>
                <w:sz w:val="20"/>
                <w:szCs w:val="20"/>
              </w:rPr>
              <w:t>(0.755, 0.779), n=184</w:t>
            </w:r>
          </w:p>
        </w:tc>
        <w:tc>
          <w:tcPr>
            <w:tcW w:w="257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0.786</w:t>
            </w:r>
          </w:p>
        </w:tc>
        <w:tc>
          <w:tcPr>
            <w:tcW w:w="2311" w:type="dxa"/>
            <w:vMerge w:val="restart"/>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sz w:val="20"/>
                <w:szCs w:val="20"/>
              </w:rPr>
              <w:t>N/A</w:t>
            </w: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sz w:val="20"/>
                <w:szCs w:val="20"/>
              </w:rPr>
            </w:pPr>
            <w:r w:rsidRPr="00243081">
              <w:rPr>
                <w:rFonts w:ascii="Arial Narrow" w:hAnsi="Arial Narrow"/>
                <w:sz w:val="20"/>
                <w:szCs w:val="20"/>
              </w:rPr>
              <w:t xml:space="preserve">Days 180-359 </w:t>
            </w:r>
          </w:p>
        </w:tc>
        <w:tc>
          <w:tcPr>
            <w:tcW w:w="2410"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b/>
                <w:sz w:val="20"/>
                <w:szCs w:val="20"/>
              </w:rPr>
              <w:t xml:space="preserve">0.701 </w:t>
            </w:r>
            <w:r w:rsidRPr="00243081">
              <w:rPr>
                <w:rFonts w:ascii="Arial Narrow" w:hAnsi="Arial Narrow"/>
                <w:sz w:val="20"/>
                <w:szCs w:val="20"/>
              </w:rPr>
              <w:t>(0.678, 0.724), n=94</w:t>
            </w:r>
          </w:p>
        </w:tc>
        <w:tc>
          <w:tcPr>
            <w:tcW w:w="257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0.707</w:t>
            </w:r>
          </w:p>
        </w:tc>
        <w:tc>
          <w:tcPr>
            <w:tcW w:w="2311" w:type="dxa"/>
            <w:vMerge/>
          </w:tcPr>
          <w:p w:rsidR="00C92C54" w:rsidRPr="00243081" w:rsidRDefault="00C92C54" w:rsidP="003137F2">
            <w:pPr>
              <w:keepNext/>
              <w:keepLines/>
              <w:widowControl/>
              <w:spacing w:before="40" w:after="40"/>
              <w:rPr>
                <w:rFonts w:ascii="Arial Narrow" w:hAnsi="Arial Narrow"/>
                <w:sz w:val="20"/>
                <w:szCs w:val="20"/>
              </w:rPr>
            </w:pP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sz w:val="20"/>
                <w:szCs w:val="20"/>
              </w:rPr>
            </w:pPr>
            <w:r w:rsidRPr="00243081">
              <w:rPr>
                <w:rFonts w:ascii="Arial Narrow" w:hAnsi="Arial Narrow"/>
                <w:sz w:val="20"/>
                <w:szCs w:val="20"/>
              </w:rPr>
              <w:t>Days 30-179</w:t>
            </w:r>
          </w:p>
        </w:tc>
        <w:tc>
          <w:tcPr>
            <w:tcW w:w="2410"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b/>
                <w:sz w:val="20"/>
                <w:szCs w:val="20"/>
              </w:rPr>
              <w:t xml:space="preserve">0.637 </w:t>
            </w:r>
            <w:r w:rsidRPr="00243081">
              <w:rPr>
                <w:rFonts w:ascii="Arial Narrow" w:hAnsi="Arial Narrow"/>
                <w:sz w:val="20"/>
                <w:szCs w:val="20"/>
              </w:rPr>
              <w:t>(0.616, 0.659), n=167</w:t>
            </w:r>
          </w:p>
        </w:tc>
        <w:tc>
          <w:tcPr>
            <w:tcW w:w="257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0.600</w:t>
            </w:r>
          </w:p>
        </w:tc>
        <w:tc>
          <w:tcPr>
            <w:tcW w:w="2311" w:type="dxa"/>
            <w:vMerge/>
          </w:tcPr>
          <w:p w:rsidR="00C92C54" w:rsidRPr="00243081" w:rsidRDefault="00C92C54" w:rsidP="003137F2">
            <w:pPr>
              <w:keepNext/>
              <w:keepLines/>
              <w:widowControl/>
              <w:spacing w:before="40" w:after="40"/>
              <w:rPr>
                <w:rFonts w:ascii="Arial Narrow" w:hAnsi="Arial Narrow"/>
                <w:sz w:val="20"/>
                <w:szCs w:val="20"/>
              </w:rPr>
            </w:pPr>
          </w:p>
        </w:tc>
      </w:tr>
      <w:tr w:rsidR="00C92C54" w:rsidRPr="00243081" w:rsidTr="00C92C54">
        <w:tc>
          <w:tcPr>
            <w:tcW w:w="1951" w:type="dxa"/>
          </w:tcPr>
          <w:p w:rsidR="00C92C54" w:rsidRPr="00243081" w:rsidRDefault="00C92C54" w:rsidP="003137F2">
            <w:pPr>
              <w:keepNext/>
              <w:keepLines/>
              <w:widowControl/>
              <w:spacing w:before="40" w:after="40"/>
              <w:rPr>
                <w:rFonts w:ascii="Arial Narrow" w:hAnsi="Arial Narrow"/>
                <w:sz w:val="20"/>
                <w:szCs w:val="20"/>
              </w:rPr>
            </w:pPr>
            <w:r w:rsidRPr="00243081">
              <w:rPr>
                <w:rFonts w:ascii="Arial Narrow" w:hAnsi="Arial Narrow"/>
                <w:sz w:val="20"/>
                <w:szCs w:val="20"/>
              </w:rPr>
              <w:t>&lt;30 days</w:t>
            </w:r>
          </w:p>
        </w:tc>
        <w:tc>
          <w:tcPr>
            <w:tcW w:w="2410" w:type="dxa"/>
            <w:vAlign w:val="center"/>
          </w:tcPr>
          <w:p w:rsidR="00C92C54" w:rsidRPr="00243081" w:rsidRDefault="00C92C54" w:rsidP="003137F2">
            <w:pPr>
              <w:keepNext/>
              <w:keepLines/>
              <w:widowControl/>
              <w:spacing w:before="40" w:after="40"/>
              <w:jc w:val="center"/>
              <w:rPr>
                <w:rFonts w:ascii="Arial Narrow" w:hAnsi="Arial Narrow"/>
                <w:sz w:val="20"/>
                <w:szCs w:val="20"/>
              </w:rPr>
            </w:pPr>
            <w:r w:rsidRPr="00243081">
              <w:rPr>
                <w:rFonts w:ascii="Arial Narrow" w:hAnsi="Arial Narrow"/>
                <w:b/>
                <w:sz w:val="20"/>
                <w:szCs w:val="20"/>
              </w:rPr>
              <w:t xml:space="preserve">0.485 </w:t>
            </w:r>
            <w:r w:rsidRPr="00243081">
              <w:rPr>
                <w:rFonts w:ascii="Arial Narrow" w:hAnsi="Arial Narrow"/>
                <w:sz w:val="20"/>
                <w:szCs w:val="20"/>
              </w:rPr>
              <w:t>(0.375, 0.595), n=32</w:t>
            </w:r>
          </w:p>
        </w:tc>
        <w:tc>
          <w:tcPr>
            <w:tcW w:w="2571" w:type="dxa"/>
            <w:vAlign w:val="center"/>
          </w:tcPr>
          <w:p w:rsidR="00C92C54" w:rsidRPr="00243081" w:rsidRDefault="00C92C54" w:rsidP="003137F2">
            <w:pPr>
              <w:keepNext/>
              <w:keepLines/>
              <w:widowControl/>
              <w:spacing w:before="40" w:after="40"/>
              <w:jc w:val="center"/>
              <w:rPr>
                <w:rFonts w:ascii="Arial Narrow" w:hAnsi="Arial Narrow"/>
                <w:b/>
                <w:sz w:val="20"/>
                <w:szCs w:val="20"/>
              </w:rPr>
            </w:pPr>
            <w:r w:rsidRPr="00243081">
              <w:rPr>
                <w:rFonts w:ascii="Arial Narrow" w:hAnsi="Arial Narrow"/>
                <w:b/>
                <w:sz w:val="20"/>
                <w:szCs w:val="20"/>
              </w:rPr>
              <w:t>0.562</w:t>
            </w:r>
          </w:p>
        </w:tc>
        <w:tc>
          <w:tcPr>
            <w:tcW w:w="2311" w:type="dxa"/>
            <w:vMerge/>
          </w:tcPr>
          <w:p w:rsidR="00C92C54" w:rsidRPr="00243081" w:rsidRDefault="00C92C54" w:rsidP="003137F2">
            <w:pPr>
              <w:keepNext/>
              <w:keepLines/>
              <w:widowControl/>
              <w:spacing w:before="40" w:after="40"/>
              <w:rPr>
                <w:rFonts w:ascii="Arial Narrow" w:hAnsi="Arial Narrow"/>
                <w:sz w:val="20"/>
                <w:szCs w:val="20"/>
              </w:rPr>
            </w:pPr>
          </w:p>
        </w:tc>
      </w:tr>
    </w:tbl>
    <w:p w:rsidR="00C92C54" w:rsidRPr="00243081" w:rsidRDefault="00C92C54" w:rsidP="003137F2">
      <w:pPr>
        <w:keepNext/>
        <w:keepLines/>
        <w:widowControl/>
        <w:rPr>
          <w:rFonts w:ascii="Arial Narrow" w:hAnsi="Arial Narrow"/>
          <w:sz w:val="18"/>
          <w:szCs w:val="20"/>
        </w:rPr>
      </w:pPr>
      <w:r w:rsidRPr="00243081">
        <w:rPr>
          <w:rFonts w:ascii="Arial Narrow" w:hAnsi="Arial Narrow"/>
          <w:sz w:val="18"/>
          <w:szCs w:val="20"/>
        </w:rPr>
        <w:t>Text in bold indicates values used in economic model</w:t>
      </w:r>
    </w:p>
    <w:p w:rsidR="00C92C54" w:rsidRPr="00243081" w:rsidRDefault="00C92C54" w:rsidP="003137F2">
      <w:pPr>
        <w:keepNext/>
        <w:keepLines/>
        <w:widowControl/>
        <w:tabs>
          <w:tab w:val="left" w:pos="284"/>
        </w:tabs>
        <w:rPr>
          <w:rFonts w:ascii="Arial Narrow" w:hAnsi="Arial Narrow"/>
          <w:sz w:val="18"/>
          <w:szCs w:val="20"/>
        </w:rPr>
      </w:pPr>
      <w:proofErr w:type="spellStart"/>
      <w:proofErr w:type="gramStart"/>
      <w:r w:rsidRPr="00243081">
        <w:rPr>
          <w:rFonts w:ascii="Arial Narrow" w:hAnsi="Arial Narrow"/>
          <w:sz w:val="18"/>
          <w:szCs w:val="20"/>
          <w:vertAlign w:val="superscript"/>
        </w:rPr>
        <w:t>a</w:t>
      </w:r>
      <w:proofErr w:type="spellEnd"/>
      <w:proofErr w:type="gramEnd"/>
      <w:r w:rsidRPr="00243081">
        <w:rPr>
          <w:rFonts w:ascii="Arial Narrow" w:hAnsi="Arial Narrow"/>
          <w:sz w:val="18"/>
          <w:szCs w:val="20"/>
          <w:vertAlign w:val="superscript"/>
        </w:rPr>
        <w:tab/>
      </w:r>
      <w:r w:rsidRPr="00243081">
        <w:rPr>
          <w:rFonts w:ascii="Arial Narrow" w:hAnsi="Arial Narrow"/>
          <w:sz w:val="18"/>
          <w:szCs w:val="20"/>
        </w:rPr>
        <w:t>applied to bot</w:t>
      </w:r>
      <w:bookmarkStart w:id="31" w:name="_GoBack"/>
      <w:bookmarkEnd w:id="31"/>
      <w:r w:rsidRPr="00243081">
        <w:rPr>
          <w:rFonts w:ascii="Arial Narrow" w:hAnsi="Arial Narrow"/>
          <w:sz w:val="18"/>
          <w:szCs w:val="20"/>
        </w:rPr>
        <w:t xml:space="preserve">h </w:t>
      </w:r>
      <w:proofErr w:type="spellStart"/>
      <w:r w:rsidR="004A43D9" w:rsidRPr="00243081">
        <w:rPr>
          <w:rFonts w:ascii="Arial Narrow" w:hAnsi="Arial Narrow"/>
          <w:sz w:val="18"/>
          <w:szCs w:val="20"/>
        </w:rPr>
        <w:t>pembrolizumab+platinum+pemetrexed</w:t>
      </w:r>
      <w:proofErr w:type="spellEnd"/>
      <w:r w:rsidRPr="00243081">
        <w:rPr>
          <w:rFonts w:ascii="Arial Narrow" w:hAnsi="Arial Narrow"/>
          <w:sz w:val="18"/>
          <w:szCs w:val="20"/>
        </w:rPr>
        <w:t xml:space="preserve"> </w:t>
      </w:r>
      <w:r w:rsidR="00257288" w:rsidRPr="00243081">
        <w:rPr>
          <w:rFonts w:ascii="Arial Narrow" w:hAnsi="Arial Narrow"/>
          <w:sz w:val="18"/>
          <w:szCs w:val="20"/>
        </w:rPr>
        <w:t>(</w:t>
      </w:r>
      <w:proofErr w:type="spellStart"/>
      <w:r w:rsidR="00257288" w:rsidRPr="00243081">
        <w:rPr>
          <w:rFonts w:ascii="Arial Narrow" w:hAnsi="Arial Narrow"/>
          <w:sz w:val="18"/>
          <w:szCs w:val="20"/>
        </w:rPr>
        <w:t>pembro+plat+peme</w:t>
      </w:r>
      <w:proofErr w:type="spellEnd"/>
      <w:r w:rsidR="00257288" w:rsidRPr="00243081">
        <w:rPr>
          <w:rFonts w:ascii="Arial Narrow" w:hAnsi="Arial Narrow"/>
          <w:sz w:val="18"/>
          <w:szCs w:val="20"/>
        </w:rPr>
        <w:t xml:space="preserve">) </w:t>
      </w:r>
      <w:r w:rsidRPr="00243081">
        <w:rPr>
          <w:rFonts w:ascii="Arial Narrow" w:hAnsi="Arial Narrow"/>
          <w:sz w:val="18"/>
          <w:szCs w:val="20"/>
        </w:rPr>
        <w:t>and platinum doublet</w:t>
      </w:r>
    </w:p>
    <w:p w:rsidR="00C92C54" w:rsidRPr="00243081" w:rsidRDefault="00C92C54" w:rsidP="003137F2">
      <w:pPr>
        <w:keepNext/>
        <w:keepLines/>
        <w:widowControl/>
        <w:rPr>
          <w:rFonts w:ascii="Arial Narrow" w:hAnsi="Arial Narrow"/>
          <w:sz w:val="20"/>
          <w:szCs w:val="20"/>
        </w:rPr>
      </w:pPr>
      <w:r w:rsidRPr="00243081">
        <w:rPr>
          <w:rFonts w:ascii="Arial Narrow" w:hAnsi="Arial Narrow"/>
          <w:sz w:val="18"/>
          <w:szCs w:val="20"/>
        </w:rPr>
        <w:t>Source: Table 3.5-1, p141 and 3.5-2, p142 of the submission</w:t>
      </w:r>
    </w:p>
    <w:p w:rsidR="00F059E8" w:rsidRPr="00243081" w:rsidRDefault="00F059E8" w:rsidP="00AA0FF8">
      <w:pPr>
        <w:pStyle w:val="Caption"/>
        <w:keepNext/>
      </w:pPr>
    </w:p>
    <w:p w:rsidR="001F2F06" w:rsidRPr="00243081" w:rsidRDefault="00F059E8" w:rsidP="002D52D6">
      <w:pPr>
        <w:pStyle w:val="ListParagraph"/>
        <w:keepNext/>
        <w:widowControl/>
        <w:numPr>
          <w:ilvl w:val="1"/>
          <w:numId w:val="3"/>
        </w:numPr>
        <w:rPr>
          <w:rFonts w:ascii="Arial Narrow" w:hAnsi="Arial Narrow"/>
          <w:b/>
          <w:sz w:val="20"/>
          <w:szCs w:val="16"/>
        </w:rPr>
      </w:pPr>
      <w:r w:rsidRPr="00243081">
        <w:t xml:space="preserve">Table </w:t>
      </w:r>
      <w:r w:rsidRPr="00243081">
        <w:rPr>
          <w:noProof/>
        </w:rPr>
        <w:t>13</w:t>
      </w:r>
      <w:r w:rsidR="0003374A" w:rsidRPr="00243081">
        <w:t xml:space="preserve"> summarises the key drive</w:t>
      </w:r>
      <w:r w:rsidR="000A699D" w:rsidRPr="00243081">
        <w:t>r</w:t>
      </w:r>
      <w:r w:rsidR="0003374A" w:rsidRPr="00243081">
        <w:t>s for the models.</w:t>
      </w:r>
      <w:bookmarkStart w:id="32" w:name="_Ref523207571"/>
    </w:p>
    <w:p w:rsidR="00C92C54" w:rsidRPr="00243081" w:rsidRDefault="00AA0FF8" w:rsidP="003137F2">
      <w:pPr>
        <w:keepNext/>
        <w:keepLines/>
        <w:widowControl/>
        <w:rPr>
          <w:rStyle w:val="CommentReference"/>
          <w:b w:val="0"/>
          <w:szCs w:val="20"/>
        </w:rPr>
      </w:pPr>
      <w:r w:rsidRPr="00243081">
        <w:rPr>
          <w:rFonts w:ascii="Arial Narrow" w:hAnsi="Arial Narrow"/>
          <w:b/>
          <w:sz w:val="20"/>
          <w:szCs w:val="20"/>
        </w:rPr>
        <w:t xml:space="preserve">Table </w:t>
      </w:r>
      <w:r w:rsidR="00364F3F" w:rsidRPr="00243081">
        <w:rPr>
          <w:rFonts w:ascii="Arial Narrow" w:hAnsi="Arial Narrow"/>
          <w:b/>
          <w:noProof/>
          <w:sz w:val="20"/>
          <w:szCs w:val="20"/>
        </w:rPr>
        <w:t>13</w:t>
      </w:r>
      <w:bookmarkEnd w:id="32"/>
      <w:r w:rsidR="00C92C54" w:rsidRPr="00243081">
        <w:rPr>
          <w:rStyle w:val="CommentReference"/>
          <w:b w:val="0"/>
          <w:szCs w:val="20"/>
        </w:rPr>
        <w:t xml:space="preserve">: </w:t>
      </w:r>
      <w:r w:rsidR="00C92C54" w:rsidRPr="00243081">
        <w:rPr>
          <w:rStyle w:val="CommentReference"/>
          <w:szCs w:val="20"/>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9"/>
        <w:gridCol w:w="4127"/>
        <w:gridCol w:w="2901"/>
      </w:tblGrid>
      <w:tr w:rsidR="00C92C54" w:rsidRPr="00243081" w:rsidTr="00F25BB5">
        <w:trPr>
          <w:cantSplit/>
          <w:tblHeader/>
        </w:trPr>
        <w:tc>
          <w:tcPr>
            <w:tcW w:w="950" w:type="pct"/>
            <w:shd w:val="clear" w:color="auto" w:fill="auto"/>
            <w:vAlign w:val="center"/>
          </w:tcPr>
          <w:p w:rsidR="00C92C54" w:rsidRPr="00243081" w:rsidRDefault="00C92C54" w:rsidP="00F25BB5">
            <w:pPr>
              <w:pStyle w:val="Tabletext"/>
              <w:keepLines/>
              <w:widowControl w:val="0"/>
              <w:rPr>
                <w:b/>
                <w:lang w:val="en-US"/>
              </w:rPr>
            </w:pPr>
            <w:r w:rsidRPr="00243081">
              <w:rPr>
                <w:b/>
                <w:lang w:val="en-US"/>
              </w:rPr>
              <w:t>Description</w:t>
            </w:r>
          </w:p>
        </w:tc>
        <w:tc>
          <w:tcPr>
            <w:tcW w:w="2561" w:type="pct"/>
            <w:shd w:val="clear" w:color="auto" w:fill="auto"/>
            <w:vAlign w:val="center"/>
          </w:tcPr>
          <w:p w:rsidR="00C92C54" w:rsidRPr="00243081" w:rsidRDefault="00C92C54" w:rsidP="00F25BB5">
            <w:pPr>
              <w:pStyle w:val="Tabletext"/>
              <w:keepLines/>
              <w:widowControl w:val="0"/>
              <w:jc w:val="center"/>
              <w:rPr>
                <w:b/>
                <w:lang w:val="en-US"/>
              </w:rPr>
            </w:pPr>
            <w:r w:rsidRPr="00243081">
              <w:rPr>
                <w:b/>
                <w:lang w:val="en-US"/>
              </w:rPr>
              <w:t>Method/Value</w:t>
            </w:r>
          </w:p>
        </w:tc>
        <w:tc>
          <w:tcPr>
            <w:tcW w:w="1489" w:type="pct"/>
            <w:shd w:val="clear" w:color="auto" w:fill="auto"/>
            <w:vAlign w:val="center"/>
          </w:tcPr>
          <w:p w:rsidR="00C92C54" w:rsidRPr="00243081" w:rsidRDefault="00C92C54" w:rsidP="00F25BB5">
            <w:pPr>
              <w:pStyle w:val="Tabletext"/>
              <w:keepLines/>
              <w:widowControl w:val="0"/>
              <w:jc w:val="center"/>
              <w:rPr>
                <w:b/>
                <w:lang w:val="en-US"/>
              </w:rPr>
            </w:pPr>
            <w:r w:rsidRPr="00243081">
              <w:rPr>
                <w:b/>
                <w:lang w:val="en-US"/>
              </w:rPr>
              <w:t>Impact on weighted ICER</w:t>
            </w:r>
          </w:p>
        </w:tc>
      </w:tr>
      <w:tr w:rsidR="00C92C54" w:rsidRPr="00243081" w:rsidTr="00F25BB5">
        <w:trPr>
          <w:cantSplit/>
        </w:trPr>
        <w:tc>
          <w:tcPr>
            <w:tcW w:w="950" w:type="pct"/>
            <w:shd w:val="clear" w:color="auto" w:fill="auto"/>
            <w:vAlign w:val="center"/>
          </w:tcPr>
          <w:p w:rsidR="00C92C54" w:rsidRPr="00243081" w:rsidRDefault="00C92C54" w:rsidP="00F25BB5">
            <w:pPr>
              <w:pStyle w:val="Tabletext"/>
              <w:keepLines/>
              <w:widowControl w:val="0"/>
              <w:rPr>
                <w:lang w:val="en-US"/>
              </w:rPr>
            </w:pPr>
            <w:r w:rsidRPr="00243081">
              <w:rPr>
                <w:lang w:val="en-US"/>
              </w:rPr>
              <w:t xml:space="preserve">Assumption of benefit of </w:t>
            </w:r>
            <w:proofErr w:type="spellStart"/>
            <w:r w:rsidR="004A43D9" w:rsidRPr="00243081">
              <w:rPr>
                <w:lang w:val="en-US"/>
              </w:rPr>
              <w:t>pembrolizumab+platinum</w:t>
            </w:r>
            <w:proofErr w:type="spellEnd"/>
            <w:r w:rsidR="004A43D9" w:rsidRPr="00243081">
              <w:rPr>
                <w:lang w:val="en-US"/>
              </w:rPr>
              <w:t>+</w:t>
            </w:r>
            <w:r w:rsidR="00257288" w:rsidRPr="00243081">
              <w:rPr>
                <w:lang w:val="en-US"/>
              </w:rPr>
              <w:t xml:space="preserve"> </w:t>
            </w:r>
            <w:proofErr w:type="spellStart"/>
            <w:r w:rsidR="004A43D9" w:rsidRPr="00243081">
              <w:rPr>
                <w:lang w:val="en-US"/>
              </w:rPr>
              <w:t>pemetrexed</w:t>
            </w:r>
            <w:proofErr w:type="spellEnd"/>
            <w:r w:rsidRPr="00243081">
              <w:rPr>
                <w:lang w:val="en-US"/>
              </w:rPr>
              <w:t xml:space="preserve"> over </w:t>
            </w:r>
            <w:proofErr w:type="spellStart"/>
            <w:r w:rsidRPr="00243081">
              <w:rPr>
                <w:lang w:val="en-US"/>
              </w:rPr>
              <w:t>pembrolizumab</w:t>
            </w:r>
            <w:proofErr w:type="spellEnd"/>
            <w:r w:rsidRPr="00243081">
              <w:rPr>
                <w:lang w:val="en-US"/>
              </w:rPr>
              <w:t xml:space="preserve"> monotherapy</w:t>
            </w:r>
          </w:p>
        </w:tc>
        <w:tc>
          <w:tcPr>
            <w:tcW w:w="2561" w:type="pct"/>
            <w:shd w:val="clear" w:color="auto" w:fill="auto"/>
            <w:vAlign w:val="center"/>
          </w:tcPr>
          <w:p w:rsidR="00C92C54" w:rsidRPr="00243081" w:rsidRDefault="00C92C54" w:rsidP="00F25BB5">
            <w:pPr>
              <w:pStyle w:val="Tabletext"/>
              <w:keepLines/>
              <w:widowControl w:val="0"/>
              <w:rPr>
                <w:lang w:val="en-US"/>
              </w:rPr>
            </w:pPr>
            <w:r w:rsidRPr="00243081">
              <w:rPr>
                <w:lang w:val="en-US"/>
              </w:rPr>
              <w:t xml:space="preserve">The submission assumed that </w:t>
            </w:r>
            <w:proofErr w:type="spellStart"/>
            <w:r w:rsidR="004A43D9" w:rsidRPr="00243081">
              <w:rPr>
                <w:lang w:val="en-US"/>
              </w:rPr>
              <w:t>pembrolizumab+platinum+pemetrexed</w:t>
            </w:r>
            <w:proofErr w:type="spellEnd"/>
            <w:r w:rsidRPr="00243081">
              <w:rPr>
                <w:lang w:val="en-US"/>
              </w:rPr>
              <w:t xml:space="preserve"> was more effective than </w:t>
            </w:r>
            <w:proofErr w:type="spellStart"/>
            <w:r w:rsidRPr="00243081">
              <w:rPr>
                <w:lang w:val="en-US"/>
              </w:rPr>
              <w:t>pembrolizumab</w:t>
            </w:r>
            <w:proofErr w:type="spellEnd"/>
            <w:r w:rsidRPr="00243081">
              <w:rPr>
                <w:lang w:val="en-US"/>
              </w:rPr>
              <w:t xml:space="preserve"> monotherapy even though this was not supported by the indirect comparison.</w:t>
            </w:r>
          </w:p>
        </w:tc>
        <w:tc>
          <w:tcPr>
            <w:tcW w:w="1489" w:type="pct"/>
            <w:shd w:val="clear" w:color="auto" w:fill="auto"/>
            <w:vAlign w:val="center"/>
          </w:tcPr>
          <w:p w:rsidR="00C92C54" w:rsidRPr="00243081" w:rsidRDefault="00A706E8" w:rsidP="00F25BB5">
            <w:pPr>
              <w:pStyle w:val="Tabletext"/>
              <w:keepLines/>
              <w:widowControl w:val="0"/>
              <w:rPr>
                <w:lang w:val="en-US"/>
              </w:rPr>
            </w:pPr>
            <w:r w:rsidRPr="00243081">
              <w:rPr>
                <w:lang w:val="en-US"/>
              </w:rPr>
              <w:t>H</w:t>
            </w:r>
            <w:r w:rsidR="00C92C54" w:rsidRPr="00243081">
              <w:rPr>
                <w:lang w:val="en-US"/>
              </w:rPr>
              <w:t xml:space="preserve">igh and </w:t>
            </w:r>
            <w:proofErr w:type="spellStart"/>
            <w:r w:rsidR="00C92C54" w:rsidRPr="00243081">
              <w:rPr>
                <w:lang w:val="en-US"/>
              </w:rPr>
              <w:t>favours</w:t>
            </w:r>
            <w:proofErr w:type="spellEnd"/>
            <w:r w:rsidR="00C92C54" w:rsidRPr="00243081">
              <w:rPr>
                <w:lang w:val="en-US"/>
              </w:rPr>
              <w:t xml:space="preserve"> </w:t>
            </w:r>
            <w:proofErr w:type="spellStart"/>
            <w:r w:rsidR="004A43D9" w:rsidRPr="00243081">
              <w:rPr>
                <w:lang w:val="en-US"/>
              </w:rPr>
              <w:t>pembrolizumab+platinum+pemetrexed</w:t>
            </w:r>
            <w:proofErr w:type="spellEnd"/>
            <w:r w:rsidR="00C92C54" w:rsidRPr="00243081">
              <w:rPr>
                <w:lang w:val="en-US"/>
              </w:rPr>
              <w:t xml:space="preserve">.  Assuming no difference in OS and PFS between </w:t>
            </w:r>
            <w:proofErr w:type="spellStart"/>
            <w:proofErr w:type="gramStart"/>
            <w:r w:rsidR="004A43D9" w:rsidRPr="00243081">
              <w:rPr>
                <w:lang w:val="en-US"/>
              </w:rPr>
              <w:t>pembrolizumab+platinum</w:t>
            </w:r>
            <w:proofErr w:type="gramEnd"/>
            <w:r w:rsidR="004A43D9" w:rsidRPr="00243081">
              <w:rPr>
                <w:lang w:val="en-US"/>
              </w:rPr>
              <w:t>+pemetrexed</w:t>
            </w:r>
            <w:proofErr w:type="spellEnd"/>
            <w:r w:rsidR="00C92C54" w:rsidRPr="00243081">
              <w:rPr>
                <w:lang w:val="en-US"/>
              </w:rPr>
              <w:t xml:space="preserve"> and </w:t>
            </w:r>
            <w:proofErr w:type="spellStart"/>
            <w:r w:rsidR="00C92C54" w:rsidRPr="00243081">
              <w:rPr>
                <w:lang w:val="en-US"/>
              </w:rPr>
              <w:t>pembrolizumab</w:t>
            </w:r>
            <w:proofErr w:type="spellEnd"/>
            <w:r w:rsidR="00C92C54" w:rsidRPr="00243081">
              <w:rPr>
                <w:lang w:val="en-US"/>
              </w:rPr>
              <w:t xml:space="preserve"> monotherapy results in </w:t>
            </w:r>
            <w:proofErr w:type="spellStart"/>
            <w:r w:rsidR="004A43D9" w:rsidRPr="00243081">
              <w:rPr>
                <w:lang w:val="en-US"/>
              </w:rPr>
              <w:t>pembrolizumab+platinum+pemetrexed</w:t>
            </w:r>
            <w:proofErr w:type="spellEnd"/>
            <w:r w:rsidR="00C92C54" w:rsidRPr="00243081">
              <w:rPr>
                <w:lang w:val="en-US"/>
              </w:rPr>
              <w:t xml:space="preserve"> being dominated, even when weighted. </w:t>
            </w:r>
          </w:p>
        </w:tc>
      </w:tr>
      <w:tr w:rsidR="009F660E" w:rsidRPr="00243081" w:rsidTr="00F25BB5">
        <w:trPr>
          <w:cantSplit/>
        </w:trPr>
        <w:tc>
          <w:tcPr>
            <w:tcW w:w="950" w:type="pct"/>
            <w:shd w:val="clear" w:color="auto" w:fill="auto"/>
            <w:vAlign w:val="center"/>
          </w:tcPr>
          <w:p w:rsidR="009F660E" w:rsidRPr="00243081" w:rsidRDefault="009F660E" w:rsidP="00F25BB5">
            <w:pPr>
              <w:pStyle w:val="Tabletext"/>
              <w:keepLines/>
              <w:widowControl w:val="0"/>
              <w:rPr>
                <w:lang w:val="en-US"/>
              </w:rPr>
            </w:pPr>
            <w:r w:rsidRPr="00243081">
              <w:rPr>
                <w:lang w:val="en-US"/>
              </w:rPr>
              <w:t>Assumption of proportional hazards</w:t>
            </w:r>
          </w:p>
        </w:tc>
        <w:tc>
          <w:tcPr>
            <w:tcW w:w="2561" w:type="pct"/>
            <w:shd w:val="clear" w:color="auto" w:fill="auto"/>
            <w:vAlign w:val="center"/>
          </w:tcPr>
          <w:p w:rsidR="009F660E" w:rsidRPr="00243081" w:rsidRDefault="009F660E" w:rsidP="00F25BB5">
            <w:pPr>
              <w:pStyle w:val="Tabletext"/>
              <w:keepLines/>
              <w:widowControl w:val="0"/>
              <w:rPr>
                <w:lang w:val="en-US"/>
              </w:rPr>
            </w:pPr>
            <w:r w:rsidRPr="00243081">
              <w:rPr>
                <w:lang w:val="en-US"/>
              </w:rPr>
              <w:t xml:space="preserve">The OS curves for both comparators are specified by applying hazard ratios to the fitted curves for the </w:t>
            </w:r>
            <w:proofErr w:type="spellStart"/>
            <w:r w:rsidRPr="00243081">
              <w:rPr>
                <w:lang w:val="en-US"/>
              </w:rPr>
              <w:t>pembrolizumab</w:t>
            </w:r>
            <w:proofErr w:type="spellEnd"/>
            <w:r w:rsidRPr="00243081">
              <w:rPr>
                <w:lang w:val="en-US"/>
              </w:rPr>
              <w:t xml:space="preserve"> combination arms.</w:t>
            </w:r>
          </w:p>
        </w:tc>
        <w:tc>
          <w:tcPr>
            <w:tcW w:w="1489" w:type="pct"/>
            <w:shd w:val="clear" w:color="auto" w:fill="auto"/>
            <w:vAlign w:val="center"/>
          </w:tcPr>
          <w:p w:rsidR="009F660E" w:rsidRPr="00243081" w:rsidRDefault="009F660E" w:rsidP="00F25BB5">
            <w:pPr>
              <w:pStyle w:val="Tabletext"/>
              <w:keepLines/>
              <w:widowControl w:val="0"/>
              <w:rPr>
                <w:lang w:val="en-US"/>
              </w:rPr>
            </w:pPr>
            <w:r w:rsidRPr="00243081">
              <w:rPr>
                <w:lang w:val="en-US"/>
              </w:rPr>
              <w:t xml:space="preserve">High impact, </w:t>
            </w:r>
            <w:proofErr w:type="spellStart"/>
            <w:r w:rsidRPr="00243081">
              <w:rPr>
                <w:lang w:val="en-US"/>
              </w:rPr>
              <w:t>favours</w:t>
            </w:r>
            <w:proofErr w:type="spellEnd"/>
            <w:r w:rsidRPr="00243081">
              <w:rPr>
                <w:lang w:val="en-US"/>
              </w:rPr>
              <w:t xml:space="preserve"> </w:t>
            </w:r>
            <w:proofErr w:type="spellStart"/>
            <w:r w:rsidRPr="00243081">
              <w:rPr>
                <w:lang w:val="en-US"/>
              </w:rPr>
              <w:t>pembrolizumab</w:t>
            </w:r>
            <w:proofErr w:type="spellEnd"/>
            <w:r w:rsidRPr="00243081">
              <w:rPr>
                <w:lang w:val="en-US"/>
              </w:rPr>
              <w:t>. Fitting separate curves for the &lt;50% subgroup appears to reduce the OS benefit by around 50%.</w:t>
            </w:r>
            <w:r w:rsidR="008069F3" w:rsidRPr="00243081">
              <w:rPr>
                <w:lang w:val="en-US"/>
              </w:rPr>
              <w:t xml:space="preserve"> The model does not permit fitting a separate curve to the </w:t>
            </w:r>
            <w:proofErr w:type="spellStart"/>
            <w:r w:rsidR="008069F3" w:rsidRPr="00243081">
              <w:rPr>
                <w:lang w:val="en-US"/>
              </w:rPr>
              <w:t>pembrolizumab</w:t>
            </w:r>
            <w:proofErr w:type="spellEnd"/>
            <w:r w:rsidR="008069F3" w:rsidRPr="00243081">
              <w:rPr>
                <w:lang w:val="en-US"/>
              </w:rPr>
              <w:t xml:space="preserve"> monotherapy arm for the ≥50% subgroup.</w:t>
            </w:r>
          </w:p>
        </w:tc>
      </w:tr>
      <w:tr w:rsidR="00A234C1" w:rsidRPr="00243081" w:rsidTr="00F25BB5">
        <w:trPr>
          <w:cantSplit/>
        </w:trPr>
        <w:tc>
          <w:tcPr>
            <w:tcW w:w="950" w:type="pct"/>
            <w:shd w:val="clear" w:color="auto" w:fill="auto"/>
            <w:vAlign w:val="center"/>
          </w:tcPr>
          <w:p w:rsidR="00A234C1" w:rsidRPr="00243081" w:rsidRDefault="00A234C1" w:rsidP="00F25BB5">
            <w:pPr>
              <w:pStyle w:val="Tabletext"/>
              <w:keepLines/>
              <w:widowControl w:val="0"/>
              <w:rPr>
                <w:lang w:val="en-US"/>
              </w:rPr>
            </w:pPr>
            <w:r w:rsidRPr="00243081">
              <w:rPr>
                <w:lang w:val="en-US"/>
              </w:rPr>
              <w:t xml:space="preserve">Dosage </w:t>
            </w:r>
            <w:r w:rsidR="00C9441D" w:rsidRPr="00243081">
              <w:rPr>
                <w:lang w:val="en-US"/>
              </w:rPr>
              <w:t xml:space="preserve">of </w:t>
            </w:r>
            <w:r w:rsidRPr="00243081">
              <w:rPr>
                <w:lang w:val="en-US"/>
              </w:rPr>
              <w:t>second</w:t>
            </w:r>
            <w:r w:rsidR="00C9441D" w:rsidRPr="00243081">
              <w:rPr>
                <w:lang w:val="en-US"/>
              </w:rPr>
              <w:t>-</w:t>
            </w:r>
            <w:r w:rsidRPr="00243081">
              <w:rPr>
                <w:lang w:val="en-US"/>
              </w:rPr>
              <w:t xml:space="preserve">line </w:t>
            </w:r>
            <w:proofErr w:type="spellStart"/>
            <w:r w:rsidRPr="00243081">
              <w:rPr>
                <w:lang w:val="en-US"/>
              </w:rPr>
              <w:t>nivolumab</w:t>
            </w:r>
            <w:proofErr w:type="spellEnd"/>
          </w:p>
        </w:tc>
        <w:tc>
          <w:tcPr>
            <w:tcW w:w="2561" w:type="pct"/>
            <w:shd w:val="clear" w:color="auto" w:fill="auto"/>
            <w:vAlign w:val="center"/>
          </w:tcPr>
          <w:p w:rsidR="00A234C1" w:rsidRPr="00243081" w:rsidRDefault="007E788A" w:rsidP="00F25BB5">
            <w:pPr>
              <w:pStyle w:val="Tabletext"/>
              <w:keepLines/>
              <w:widowControl w:val="0"/>
              <w:rPr>
                <w:lang w:val="en-US"/>
              </w:rPr>
            </w:pPr>
            <w:r w:rsidRPr="00243081">
              <w:rPr>
                <w:lang w:val="en-US"/>
              </w:rPr>
              <w:t>The submission assumed</w:t>
            </w:r>
            <w:r w:rsidR="00A234C1" w:rsidRPr="00243081">
              <w:rPr>
                <w:lang w:val="en-US"/>
              </w:rPr>
              <w:t xml:space="preserve"> that patients with PD-L1 TPS &lt;50% will have </w:t>
            </w:r>
            <w:r w:rsidR="00227BBD">
              <w:rPr>
                <w:noProof/>
                <w:color w:val="000000"/>
                <w:highlight w:val="black"/>
                <w:lang w:val="en-US"/>
              </w:rPr>
              <w:t>'''''''</w:t>
            </w:r>
            <w:r w:rsidR="00A234C1" w:rsidRPr="000C6570">
              <w:rPr>
                <w:lang w:val="en-US"/>
              </w:rPr>
              <w:t xml:space="preserve"> doses of </w:t>
            </w:r>
            <w:proofErr w:type="spellStart"/>
            <w:r w:rsidR="00A234C1" w:rsidRPr="000C6570">
              <w:rPr>
                <w:lang w:val="en-US"/>
              </w:rPr>
              <w:t>nivolumab</w:t>
            </w:r>
            <w:proofErr w:type="spellEnd"/>
            <w:r w:rsidR="00A234C1" w:rsidRPr="000C6570">
              <w:rPr>
                <w:lang w:val="en-US"/>
              </w:rPr>
              <w:t xml:space="preserve"> at a cost of $</w:t>
            </w:r>
            <w:r w:rsidR="00227BBD">
              <w:rPr>
                <w:noProof/>
                <w:color w:val="000000"/>
                <w:highlight w:val="black"/>
                <w:lang w:val="en-US"/>
              </w:rPr>
              <w:t>''''''''''''''''''''</w:t>
            </w:r>
            <w:r w:rsidR="00A234C1" w:rsidRPr="000C6570">
              <w:rPr>
                <w:lang w:val="en-US"/>
              </w:rPr>
              <w:t xml:space="preserve"> after progression when treated</w:t>
            </w:r>
            <w:r w:rsidR="00A234C1" w:rsidRPr="00243081">
              <w:rPr>
                <w:lang w:val="en-US"/>
              </w:rPr>
              <w:t xml:space="preserve"> with platinum doublet only.  ESC has previously (July 2017 </w:t>
            </w:r>
            <w:proofErr w:type="spellStart"/>
            <w:r w:rsidR="00A234C1" w:rsidRPr="00243081">
              <w:rPr>
                <w:lang w:val="en-US"/>
              </w:rPr>
              <w:t>pembrolizumab</w:t>
            </w:r>
            <w:proofErr w:type="spellEnd"/>
            <w:r w:rsidR="00A234C1" w:rsidRPr="00243081">
              <w:rPr>
                <w:lang w:val="en-US"/>
              </w:rPr>
              <w:t xml:space="preserve"> monotherapy PSD) noted that 5.0 doses would be more appropriate</w:t>
            </w:r>
            <w:r w:rsidR="00C9441D" w:rsidRPr="00243081">
              <w:rPr>
                <w:lang w:val="en-US"/>
              </w:rPr>
              <w:t>.</w:t>
            </w:r>
            <w:r w:rsidR="00A234C1" w:rsidRPr="00243081">
              <w:rPr>
                <w:lang w:val="en-US"/>
              </w:rPr>
              <w:t xml:space="preserve"> </w:t>
            </w:r>
          </w:p>
        </w:tc>
        <w:tc>
          <w:tcPr>
            <w:tcW w:w="1489" w:type="pct"/>
            <w:shd w:val="clear" w:color="auto" w:fill="auto"/>
            <w:vAlign w:val="center"/>
          </w:tcPr>
          <w:p w:rsidR="00A234C1" w:rsidRPr="00243081" w:rsidRDefault="00A234C1" w:rsidP="00F25BB5">
            <w:pPr>
              <w:pStyle w:val="Tabletext"/>
              <w:keepLines/>
              <w:widowControl w:val="0"/>
              <w:rPr>
                <w:lang w:val="en-US"/>
              </w:rPr>
            </w:pPr>
            <w:r w:rsidRPr="00243081">
              <w:rPr>
                <w:lang w:val="en-US"/>
              </w:rPr>
              <w:t xml:space="preserve">Moderate and </w:t>
            </w:r>
            <w:proofErr w:type="spellStart"/>
            <w:r w:rsidRPr="00243081">
              <w:rPr>
                <w:lang w:val="en-US"/>
              </w:rPr>
              <w:t>favours</w:t>
            </w:r>
            <w:proofErr w:type="spellEnd"/>
            <w:r w:rsidRPr="00243081">
              <w:rPr>
                <w:lang w:val="en-US"/>
              </w:rPr>
              <w:t xml:space="preserve"> </w:t>
            </w:r>
            <w:proofErr w:type="spellStart"/>
            <w:r w:rsidR="004A43D9" w:rsidRPr="00243081">
              <w:rPr>
                <w:lang w:val="en-US"/>
              </w:rPr>
              <w:t>pembrolizumab+platinum+pemetrexed</w:t>
            </w:r>
            <w:proofErr w:type="spellEnd"/>
            <w:r w:rsidRPr="00243081">
              <w:rPr>
                <w:lang w:val="en-US"/>
              </w:rPr>
              <w:t xml:space="preserve">.  Assuming 5 doses of </w:t>
            </w:r>
            <w:proofErr w:type="spellStart"/>
            <w:r w:rsidRPr="00243081">
              <w:rPr>
                <w:lang w:val="en-US"/>
              </w:rPr>
              <w:t>nivolumab</w:t>
            </w:r>
            <w:proofErr w:type="spellEnd"/>
            <w:r w:rsidRPr="00243081">
              <w:rPr>
                <w:lang w:val="en-US"/>
              </w:rPr>
              <w:t xml:space="preserve"> instead of 12 doses in second</w:t>
            </w:r>
            <w:r w:rsidR="008E2676" w:rsidRPr="00243081">
              <w:rPr>
                <w:lang w:val="en-US"/>
              </w:rPr>
              <w:t>-</w:t>
            </w:r>
            <w:r w:rsidRPr="00243081">
              <w:rPr>
                <w:lang w:val="en-US"/>
              </w:rPr>
              <w:t>line</w:t>
            </w:r>
            <w:r w:rsidR="00C9441D" w:rsidRPr="00243081">
              <w:rPr>
                <w:lang w:val="en-US"/>
              </w:rPr>
              <w:t>,</w:t>
            </w:r>
            <w:r w:rsidRPr="00243081">
              <w:rPr>
                <w:lang w:val="en-US"/>
              </w:rPr>
              <w:t xml:space="preserve"> ICER increase</w:t>
            </w:r>
            <w:r w:rsidR="008E2676" w:rsidRPr="00243081">
              <w:rPr>
                <w:lang w:val="en-US"/>
              </w:rPr>
              <w:t>d</w:t>
            </w:r>
            <w:r w:rsidRPr="00243081">
              <w:rPr>
                <w:lang w:val="en-US"/>
              </w:rPr>
              <w:t xml:space="preserve"> by 20%</w:t>
            </w:r>
          </w:p>
        </w:tc>
      </w:tr>
      <w:tr w:rsidR="00A234C1" w:rsidRPr="00243081" w:rsidTr="00F25BB5">
        <w:trPr>
          <w:cantSplit/>
        </w:trPr>
        <w:tc>
          <w:tcPr>
            <w:tcW w:w="950" w:type="pct"/>
            <w:shd w:val="clear" w:color="auto" w:fill="auto"/>
            <w:vAlign w:val="center"/>
          </w:tcPr>
          <w:p w:rsidR="00A234C1" w:rsidRPr="00243081" w:rsidRDefault="00A234C1" w:rsidP="00F25BB5">
            <w:pPr>
              <w:pStyle w:val="Tabletext"/>
              <w:keepLines/>
              <w:widowControl w:val="0"/>
              <w:rPr>
                <w:lang w:val="en-US"/>
              </w:rPr>
            </w:pPr>
            <w:r w:rsidRPr="00243081">
              <w:rPr>
                <w:lang w:val="en-US"/>
              </w:rPr>
              <w:t>Time horizon</w:t>
            </w:r>
          </w:p>
        </w:tc>
        <w:tc>
          <w:tcPr>
            <w:tcW w:w="2561" w:type="pct"/>
            <w:shd w:val="clear" w:color="auto" w:fill="auto"/>
            <w:vAlign w:val="center"/>
          </w:tcPr>
          <w:p w:rsidR="00A234C1" w:rsidRPr="00243081" w:rsidRDefault="00A234C1" w:rsidP="00F25BB5">
            <w:pPr>
              <w:pStyle w:val="Tabletext"/>
              <w:keepLines/>
              <w:widowControl w:val="0"/>
              <w:rPr>
                <w:lang w:val="en-US"/>
              </w:rPr>
            </w:pPr>
            <w:r w:rsidRPr="00243081">
              <w:rPr>
                <w:lang w:val="en-US"/>
              </w:rPr>
              <w:t>Base case time horizon was 7.5 years but given the nature of the disease (</w:t>
            </w:r>
            <w:r w:rsidR="008E2676" w:rsidRPr="00243081">
              <w:rPr>
                <w:lang w:val="en-US"/>
              </w:rPr>
              <w:t>S</w:t>
            </w:r>
            <w:r w:rsidRPr="00243081">
              <w:rPr>
                <w:lang w:val="en-US"/>
              </w:rPr>
              <w:t>tage IV NSCLC) it might be optimistic</w:t>
            </w:r>
          </w:p>
        </w:tc>
        <w:tc>
          <w:tcPr>
            <w:tcW w:w="1489" w:type="pct"/>
            <w:shd w:val="clear" w:color="auto" w:fill="auto"/>
            <w:vAlign w:val="center"/>
          </w:tcPr>
          <w:p w:rsidR="00A234C1" w:rsidRPr="00243081" w:rsidRDefault="00A234C1" w:rsidP="00F25BB5">
            <w:pPr>
              <w:pStyle w:val="Tabletext"/>
              <w:keepLines/>
              <w:widowControl w:val="0"/>
              <w:rPr>
                <w:lang w:val="en-US"/>
              </w:rPr>
            </w:pPr>
            <w:r w:rsidRPr="00243081">
              <w:rPr>
                <w:lang w:val="en-US"/>
              </w:rPr>
              <w:t xml:space="preserve">Moderate and </w:t>
            </w:r>
            <w:proofErr w:type="spellStart"/>
            <w:r w:rsidRPr="00243081">
              <w:rPr>
                <w:lang w:val="en-US"/>
              </w:rPr>
              <w:t>favours</w:t>
            </w:r>
            <w:proofErr w:type="spellEnd"/>
            <w:r w:rsidRPr="00243081">
              <w:rPr>
                <w:lang w:val="en-US"/>
              </w:rPr>
              <w:t xml:space="preserve"> </w:t>
            </w:r>
            <w:proofErr w:type="spellStart"/>
            <w:r w:rsidR="004A43D9" w:rsidRPr="00243081">
              <w:rPr>
                <w:lang w:val="en-US"/>
              </w:rPr>
              <w:t>pembrolizumab+platinum+pemetrexed</w:t>
            </w:r>
            <w:proofErr w:type="spellEnd"/>
            <w:r w:rsidRPr="00243081">
              <w:rPr>
                <w:lang w:val="en-US"/>
              </w:rPr>
              <w:t>. Lowering time horizon to 5 years increases ICER by 15.5%</w:t>
            </w:r>
          </w:p>
        </w:tc>
      </w:tr>
      <w:tr w:rsidR="00A234C1" w:rsidRPr="00243081" w:rsidTr="00F25BB5">
        <w:trPr>
          <w:cantSplit/>
        </w:trPr>
        <w:tc>
          <w:tcPr>
            <w:tcW w:w="950" w:type="pct"/>
            <w:shd w:val="clear" w:color="auto" w:fill="auto"/>
            <w:vAlign w:val="center"/>
          </w:tcPr>
          <w:p w:rsidR="00A234C1" w:rsidRPr="00243081" w:rsidRDefault="00A234C1" w:rsidP="00F25BB5">
            <w:pPr>
              <w:pStyle w:val="Tabletext"/>
              <w:keepLines/>
              <w:widowControl w:val="0"/>
              <w:rPr>
                <w:lang w:val="en-US"/>
              </w:rPr>
            </w:pPr>
            <w:r w:rsidRPr="00243081">
              <w:rPr>
                <w:lang w:val="en-US"/>
              </w:rPr>
              <w:lastRenderedPageBreak/>
              <w:t>Timing of convergence  in OS and PFS HR in platinum doublet in TPS &lt;50%</w:t>
            </w:r>
          </w:p>
        </w:tc>
        <w:tc>
          <w:tcPr>
            <w:tcW w:w="2561" w:type="pct"/>
            <w:shd w:val="clear" w:color="auto" w:fill="auto"/>
            <w:vAlign w:val="center"/>
          </w:tcPr>
          <w:p w:rsidR="00A234C1" w:rsidRPr="00243081" w:rsidRDefault="00A234C1" w:rsidP="00F25BB5">
            <w:pPr>
              <w:pStyle w:val="Tabletext"/>
              <w:keepLines/>
              <w:widowControl w:val="0"/>
              <w:rPr>
                <w:lang w:val="en-US"/>
              </w:rPr>
            </w:pPr>
            <w:r w:rsidRPr="00243081">
              <w:rPr>
                <w:lang w:val="en-US"/>
              </w:rPr>
              <w:t>The submission assumed that the HR between treatment arms in PD-L1 TPS &lt;50% slowly decline</w:t>
            </w:r>
            <w:r w:rsidR="008E2676" w:rsidRPr="00243081">
              <w:rPr>
                <w:lang w:val="en-US"/>
              </w:rPr>
              <w:t>d</w:t>
            </w:r>
            <w:r w:rsidRPr="00243081">
              <w:rPr>
                <w:lang w:val="en-US"/>
              </w:rPr>
              <w:t xml:space="preserve"> from week 152 such that </w:t>
            </w:r>
            <w:r w:rsidR="008E2676" w:rsidRPr="00243081">
              <w:rPr>
                <w:lang w:val="en-US"/>
              </w:rPr>
              <w:t xml:space="preserve">a HR=1.0 occurred </w:t>
            </w:r>
            <w:r w:rsidRPr="00243081">
              <w:rPr>
                <w:lang w:val="en-US"/>
              </w:rPr>
              <w:t>only at the end of the model however</w:t>
            </w:r>
            <w:r w:rsidR="008E2676" w:rsidRPr="00243081">
              <w:rPr>
                <w:lang w:val="en-US"/>
              </w:rPr>
              <w:t>,</w:t>
            </w:r>
            <w:r w:rsidRPr="00243081">
              <w:rPr>
                <w:lang w:val="en-US"/>
              </w:rPr>
              <w:t xml:space="preserve"> in the PD-L1 TPS ≥50% model</w:t>
            </w:r>
            <w:r w:rsidR="008E2676" w:rsidRPr="00243081">
              <w:rPr>
                <w:lang w:val="en-US"/>
              </w:rPr>
              <w:t>, a HR=1.0 was applied from</w:t>
            </w:r>
            <w:r w:rsidRPr="00243081">
              <w:rPr>
                <w:lang w:val="en-US"/>
              </w:rPr>
              <w:t xml:space="preserve"> week 90.  The difference in approaches has not been adequately justified.</w:t>
            </w:r>
          </w:p>
        </w:tc>
        <w:tc>
          <w:tcPr>
            <w:tcW w:w="1489" w:type="pct"/>
            <w:shd w:val="clear" w:color="auto" w:fill="auto"/>
            <w:vAlign w:val="center"/>
          </w:tcPr>
          <w:p w:rsidR="00A234C1" w:rsidRPr="00243081" w:rsidRDefault="00A234C1" w:rsidP="00F25BB5">
            <w:pPr>
              <w:pStyle w:val="Tabletext"/>
              <w:keepLines/>
              <w:widowControl w:val="0"/>
              <w:rPr>
                <w:lang w:val="en-US"/>
              </w:rPr>
            </w:pPr>
            <w:r w:rsidRPr="00243081">
              <w:rPr>
                <w:lang w:val="en-US"/>
              </w:rPr>
              <w:t xml:space="preserve">Low and </w:t>
            </w:r>
            <w:proofErr w:type="spellStart"/>
            <w:r w:rsidRPr="00243081">
              <w:rPr>
                <w:lang w:val="en-US"/>
              </w:rPr>
              <w:t>favours</w:t>
            </w:r>
            <w:proofErr w:type="spellEnd"/>
            <w:r w:rsidRPr="00243081">
              <w:rPr>
                <w:lang w:val="en-US"/>
              </w:rPr>
              <w:t xml:space="preserve"> </w:t>
            </w:r>
            <w:proofErr w:type="spellStart"/>
            <w:r w:rsidR="004A43D9" w:rsidRPr="00243081">
              <w:rPr>
                <w:lang w:val="en-US"/>
              </w:rPr>
              <w:t>pembrolizumab+platinum+pemetrexed</w:t>
            </w:r>
            <w:proofErr w:type="spellEnd"/>
            <w:r w:rsidRPr="00243081">
              <w:rPr>
                <w:lang w:val="en-US"/>
              </w:rPr>
              <w:t xml:space="preserve">.  </w:t>
            </w:r>
            <w:r w:rsidR="00B2344C" w:rsidRPr="00243081">
              <w:rPr>
                <w:lang w:val="en-US"/>
              </w:rPr>
              <w:t>Applying HR=1.0 from</w:t>
            </w:r>
            <w:r w:rsidRPr="00243081">
              <w:rPr>
                <w:lang w:val="en-US"/>
              </w:rPr>
              <w:t xml:space="preserve"> week 104 (where the submission ceases all </w:t>
            </w:r>
            <w:proofErr w:type="spellStart"/>
            <w:r w:rsidRPr="00243081">
              <w:rPr>
                <w:lang w:val="en-US"/>
              </w:rPr>
              <w:t>pembrolizumab</w:t>
            </w:r>
            <w:proofErr w:type="spellEnd"/>
            <w:r w:rsidRPr="00243081">
              <w:rPr>
                <w:lang w:val="en-US"/>
              </w:rPr>
              <w:t xml:space="preserve"> treatment) in TPS &lt;50% increases ICER by 8.1% </w:t>
            </w:r>
          </w:p>
          <w:p w:rsidR="009811AA" w:rsidRPr="00243081" w:rsidRDefault="009811AA" w:rsidP="00F25BB5">
            <w:pPr>
              <w:pStyle w:val="Tabletext"/>
              <w:keepLines/>
              <w:widowControl w:val="0"/>
              <w:rPr>
                <w:lang w:val="en-US"/>
              </w:rPr>
            </w:pPr>
            <w:r w:rsidRPr="00243081">
              <w:rPr>
                <w:lang w:val="en-US"/>
              </w:rPr>
              <w:t>If survival curves are fitted independently, concerns relating to the application of the HR to survival curves are not relevant.</w:t>
            </w:r>
          </w:p>
        </w:tc>
      </w:tr>
      <w:tr w:rsidR="00A234C1" w:rsidRPr="00243081" w:rsidTr="00F25BB5">
        <w:trPr>
          <w:cantSplit/>
        </w:trPr>
        <w:tc>
          <w:tcPr>
            <w:tcW w:w="950" w:type="pct"/>
            <w:shd w:val="clear" w:color="auto" w:fill="auto"/>
            <w:vAlign w:val="center"/>
          </w:tcPr>
          <w:p w:rsidR="00A234C1" w:rsidRPr="00243081" w:rsidRDefault="00A234C1" w:rsidP="00F25BB5">
            <w:pPr>
              <w:pStyle w:val="Tabletext"/>
              <w:keepLines/>
              <w:widowControl w:val="0"/>
              <w:rPr>
                <w:lang w:val="en-US"/>
              </w:rPr>
            </w:pPr>
            <w:r w:rsidRPr="00243081">
              <w:rPr>
                <w:lang w:val="en-US"/>
              </w:rPr>
              <w:t xml:space="preserve">Function for extrapolation of OS, PFS and </w:t>
            </w:r>
            <w:proofErr w:type="spellStart"/>
            <w:r w:rsidRPr="00243081">
              <w:rPr>
                <w:lang w:val="en-US"/>
              </w:rPr>
              <w:t>ToT</w:t>
            </w:r>
            <w:proofErr w:type="spellEnd"/>
          </w:p>
        </w:tc>
        <w:tc>
          <w:tcPr>
            <w:tcW w:w="2561" w:type="pct"/>
            <w:shd w:val="clear" w:color="auto" w:fill="auto"/>
            <w:vAlign w:val="center"/>
          </w:tcPr>
          <w:p w:rsidR="00A234C1" w:rsidRPr="00243081" w:rsidRDefault="00A234C1" w:rsidP="00F25BB5">
            <w:pPr>
              <w:pStyle w:val="Tabletext"/>
              <w:keepLines/>
              <w:widowControl w:val="0"/>
              <w:rPr>
                <w:lang w:val="en-US"/>
              </w:rPr>
            </w:pPr>
            <w:r w:rsidRPr="00243081">
              <w:rPr>
                <w:lang w:val="en-US"/>
              </w:rPr>
              <w:t xml:space="preserve">Six different parametric functions were fitted to each of the OS, PFS and </w:t>
            </w:r>
            <w:proofErr w:type="spellStart"/>
            <w:r w:rsidRPr="00243081">
              <w:rPr>
                <w:lang w:val="en-US"/>
              </w:rPr>
              <w:t>ToT</w:t>
            </w:r>
            <w:proofErr w:type="spellEnd"/>
            <w:r w:rsidRPr="00243081">
              <w:rPr>
                <w:lang w:val="en-US"/>
              </w:rPr>
              <w:t xml:space="preserve"> curves.  Changing the parametric function </w:t>
            </w:r>
            <w:r w:rsidR="00B2344C" w:rsidRPr="00243081">
              <w:rPr>
                <w:lang w:val="en-US"/>
              </w:rPr>
              <w:t>had</w:t>
            </w:r>
            <w:r w:rsidRPr="00243081">
              <w:rPr>
                <w:lang w:val="en-US"/>
              </w:rPr>
              <w:t xml:space="preserve"> variable impact on the ICER.  </w:t>
            </w:r>
          </w:p>
        </w:tc>
        <w:tc>
          <w:tcPr>
            <w:tcW w:w="1489" w:type="pct"/>
            <w:shd w:val="clear" w:color="auto" w:fill="auto"/>
            <w:vAlign w:val="center"/>
          </w:tcPr>
          <w:p w:rsidR="00A234C1" w:rsidRPr="00243081" w:rsidRDefault="00A234C1" w:rsidP="00F25BB5">
            <w:pPr>
              <w:pStyle w:val="Tabletext"/>
              <w:keepLines/>
              <w:widowControl w:val="0"/>
              <w:rPr>
                <w:lang w:val="en-US"/>
              </w:rPr>
            </w:pPr>
            <w:r w:rsidRPr="00243081">
              <w:rPr>
                <w:lang w:val="en-US"/>
              </w:rPr>
              <w:t xml:space="preserve">Variable and can </w:t>
            </w:r>
            <w:proofErr w:type="spellStart"/>
            <w:r w:rsidRPr="00243081">
              <w:rPr>
                <w:lang w:val="en-US"/>
              </w:rPr>
              <w:t>favour</w:t>
            </w:r>
            <w:proofErr w:type="spellEnd"/>
            <w:r w:rsidRPr="00243081">
              <w:rPr>
                <w:lang w:val="en-US"/>
              </w:rPr>
              <w:t xml:space="preserve"> both </w:t>
            </w:r>
            <w:proofErr w:type="spellStart"/>
            <w:r w:rsidR="004A43D9" w:rsidRPr="00243081">
              <w:rPr>
                <w:lang w:val="en-US"/>
              </w:rPr>
              <w:t>pembrolizumab+platinum+pemetrexed</w:t>
            </w:r>
            <w:proofErr w:type="spellEnd"/>
            <w:r w:rsidRPr="00243081">
              <w:rPr>
                <w:lang w:val="en-US"/>
              </w:rPr>
              <w:t xml:space="preserve"> and platinum doublet.  </w:t>
            </w:r>
          </w:p>
        </w:tc>
      </w:tr>
    </w:tbl>
    <w:p w:rsidR="00C92C54" w:rsidRPr="00243081" w:rsidRDefault="00C92C54" w:rsidP="003137F2">
      <w:pPr>
        <w:pStyle w:val="TableFooter"/>
        <w:keepNext/>
        <w:keepLines/>
        <w:widowControl/>
      </w:pPr>
      <w:r w:rsidRPr="00243081">
        <w:t xml:space="preserve">OS = overall survival, PFS = progression free survival, </w:t>
      </w:r>
      <w:proofErr w:type="spellStart"/>
      <w:r w:rsidRPr="00243081">
        <w:t>ToT</w:t>
      </w:r>
      <w:proofErr w:type="spellEnd"/>
      <w:r w:rsidRPr="00243081">
        <w:t xml:space="preserve"> = time on treatment, QALY = quality adjusted life years, ICER = incremental cost effectiveness, PD-L1 = programmed death ligand one, TPS =tumour proportion score. </w:t>
      </w:r>
    </w:p>
    <w:p w:rsidR="00C92C54" w:rsidRPr="00243081" w:rsidRDefault="00C92C54" w:rsidP="003137F2">
      <w:pPr>
        <w:pStyle w:val="TableFooter"/>
        <w:keepNext/>
        <w:keepLines/>
        <w:widowControl/>
      </w:pPr>
      <w:r w:rsidRPr="00243081">
        <w:t xml:space="preserve">Source: constructed during evaluation </w:t>
      </w:r>
    </w:p>
    <w:p w:rsidR="00C92C54" w:rsidRPr="00243081" w:rsidRDefault="00C92C54" w:rsidP="00C92C54">
      <w:pPr>
        <w:widowControl/>
        <w:rPr>
          <w:sz w:val="18"/>
          <w:szCs w:val="18"/>
        </w:rPr>
      </w:pPr>
    </w:p>
    <w:p w:rsidR="00C92C54" w:rsidRPr="00243081" w:rsidRDefault="00C92C54" w:rsidP="00C92C54">
      <w:pPr>
        <w:pStyle w:val="ListParagraph"/>
        <w:widowControl/>
        <w:numPr>
          <w:ilvl w:val="1"/>
          <w:numId w:val="3"/>
        </w:numPr>
      </w:pPr>
      <w:r w:rsidRPr="00243081">
        <w:t xml:space="preserve">The results of the </w:t>
      </w:r>
      <w:r w:rsidR="001469AA" w:rsidRPr="00243081">
        <w:t xml:space="preserve">submission’s </w:t>
      </w:r>
      <w:r w:rsidRPr="00243081">
        <w:t xml:space="preserve">economic evaluation are presented in </w:t>
      </w:r>
      <w:r w:rsidR="00F059E8" w:rsidRPr="00243081">
        <w:t xml:space="preserve">Table </w:t>
      </w:r>
      <w:r w:rsidR="00F059E8" w:rsidRPr="00243081">
        <w:rPr>
          <w:noProof/>
        </w:rPr>
        <w:t>14</w:t>
      </w:r>
      <w:r w:rsidRPr="00243081">
        <w:t xml:space="preserve">. </w:t>
      </w:r>
    </w:p>
    <w:p w:rsidR="00C92C54" w:rsidRPr="00243081" w:rsidRDefault="00336248" w:rsidP="00B1228A">
      <w:pPr>
        <w:pStyle w:val="Caption"/>
        <w:keepNext/>
        <w:rPr>
          <w:rStyle w:val="CommentReference"/>
          <w:b/>
          <w:szCs w:val="20"/>
        </w:rPr>
      </w:pPr>
      <w:bookmarkStart w:id="33" w:name="_Ref523208273"/>
      <w:bookmarkStart w:id="34" w:name="_Ref524312267"/>
      <w:r w:rsidRPr="00243081">
        <w:t xml:space="preserve">Table </w:t>
      </w:r>
      <w:r w:rsidR="00364F3F" w:rsidRPr="00243081">
        <w:rPr>
          <w:noProof/>
        </w:rPr>
        <w:t>14</w:t>
      </w:r>
      <w:bookmarkEnd w:id="33"/>
      <w:bookmarkEnd w:id="34"/>
      <w:r w:rsidR="00C92C54" w:rsidRPr="00243081">
        <w:rPr>
          <w:rStyle w:val="CommentReference"/>
          <w:b/>
          <w:szCs w:val="20"/>
        </w:rPr>
        <w:t>: Results of the economic evaluations in patients with PD-L1 TPS &lt;50% and TPS ≥50%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28"/>
        <w:gridCol w:w="2096"/>
        <w:gridCol w:w="2097"/>
        <w:gridCol w:w="2096"/>
      </w:tblGrid>
      <w:tr w:rsidR="00C92C54" w:rsidRPr="00243081" w:rsidTr="00257288">
        <w:trPr>
          <w:tblHeader/>
        </w:trPr>
        <w:tc>
          <w:tcPr>
            <w:tcW w:w="1513" w:type="pct"/>
            <w:vMerge w:val="restart"/>
            <w:vAlign w:val="bottom"/>
          </w:tcPr>
          <w:p w:rsidR="00C92C54" w:rsidRPr="00243081" w:rsidRDefault="00C92C54" w:rsidP="00B1228A">
            <w:pPr>
              <w:pStyle w:val="Tabletext"/>
              <w:keepNext/>
              <w:spacing w:before="40" w:after="40"/>
              <w:rPr>
                <w:b/>
                <w:szCs w:val="20"/>
              </w:rPr>
            </w:pPr>
            <w:r w:rsidRPr="00243081">
              <w:rPr>
                <w:b/>
                <w:szCs w:val="20"/>
              </w:rPr>
              <w:t>Component</w:t>
            </w:r>
          </w:p>
        </w:tc>
        <w:tc>
          <w:tcPr>
            <w:tcW w:w="1162" w:type="pct"/>
            <w:vMerge w:val="restart"/>
            <w:vAlign w:val="center"/>
          </w:tcPr>
          <w:p w:rsidR="00C92C54" w:rsidRPr="00243081" w:rsidRDefault="00C92C54" w:rsidP="00B1228A">
            <w:pPr>
              <w:pStyle w:val="Tabletext"/>
              <w:keepNext/>
              <w:spacing w:before="40" w:after="40"/>
              <w:jc w:val="center"/>
              <w:rPr>
                <w:b/>
                <w:szCs w:val="20"/>
              </w:rPr>
            </w:pPr>
            <w:proofErr w:type="spellStart"/>
            <w:r w:rsidRPr="00243081">
              <w:rPr>
                <w:b/>
                <w:szCs w:val="20"/>
              </w:rPr>
              <w:t>Pembro</w:t>
            </w:r>
            <w:r w:rsidR="004A43D9" w:rsidRPr="00243081">
              <w:rPr>
                <w:b/>
                <w:szCs w:val="20"/>
              </w:rPr>
              <w:t>+plat+peme</w:t>
            </w:r>
            <w:proofErr w:type="spellEnd"/>
          </w:p>
        </w:tc>
        <w:tc>
          <w:tcPr>
            <w:tcW w:w="1162" w:type="pct"/>
            <w:vAlign w:val="center"/>
          </w:tcPr>
          <w:p w:rsidR="00C92C54" w:rsidRPr="00243081" w:rsidRDefault="00C92C54" w:rsidP="00B1228A">
            <w:pPr>
              <w:pStyle w:val="Tabletext"/>
              <w:keepNext/>
              <w:spacing w:before="40" w:after="40"/>
              <w:jc w:val="center"/>
              <w:rPr>
                <w:b/>
                <w:szCs w:val="20"/>
              </w:rPr>
            </w:pPr>
            <w:r w:rsidRPr="00243081">
              <w:rPr>
                <w:b/>
                <w:szCs w:val="20"/>
              </w:rPr>
              <w:t>Comparator</w:t>
            </w:r>
          </w:p>
        </w:tc>
        <w:tc>
          <w:tcPr>
            <w:tcW w:w="1162" w:type="pct"/>
            <w:vMerge w:val="restart"/>
            <w:vAlign w:val="center"/>
          </w:tcPr>
          <w:p w:rsidR="00C92C54" w:rsidRPr="00243081" w:rsidRDefault="00C92C54" w:rsidP="00B1228A">
            <w:pPr>
              <w:pStyle w:val="Tabletext"/>
              <w:keepNext/>
              <w:spacing w:before="40" w:after="40"/>
              <w:jc w:val="center"/>
              <w:rPr>
                <w:b/>
                <w:szCs w:val="20"/>
              </w:rPr>
            </w:pPr>
            <w:r w:rsidRPr="00243081">
              <w:rPr>
                <w:b/>
                <w:szCs w:val="20"/>
              </w:rPr>
              <w:t>Increment</w:t>
            </w:r>
          </w:p>
        </w:tc>
      </w:tr>
      <w:tr w:rsidR="00C92C54" w:rsidRPr="00243081" w:rsidTr="00257288">
        <w:tc>
          <w:tcPr>
            <w:tcW w:w="1513" w:type="pct"/>
            <w:vMerge/>
            <w:vAlign w:val="center"/>
          </w:tcPr>
          <w:p w:rsidR="00C92C54" w:rsidRPr="00243081" w:rsidRDefault="00C92C54" w:rsidP="00B1228A">
            <w:pPr>
              <w:pStyle w:val="Tabletext"/>
              <w:keepNext/>
              <w:spacing w:before="40" w:after="40"/>
              <w:rPr>
                <w:b/>
                <w:szCs w:val="20"/>
              </w:rPr>
            </w:pPr>
          </w:p>
        </w:tc>
        <w:tc>
          <w:tcPr>
            <w:tcW w:w="1162" w:type="pct"/>
            <w:vMerge/>
            <w:vAlign w:val="center"/>
          </w:tcPr>
          <w:p w:rsidR="00C92C54" w:rsidRPr="00243081" w:rsidRDefault="00C92C54" w:rsidP="00B1228A">
            <w:pPr>
              <w:pStyle w:val="Tabletext"/>
              <w:keepNext/>
              <w:spacing w:before="40" w:after="40"/>
              <w:jc w:val="center"/>
              <w:rPr>
                <w:szCs w:val="20"/>
              </w:rPr>
            </w:pPr>
          </w:p>
        </w:tc>
        <w:tc>
          <w:tcPr>
            <w:tcW w:w="1162" w:type="pct"/>
            <w:vAlign w:val="center"/>
          </w:tcPr>
          <w:p w:rsidR="00C92C54" w:rsidRPr="00243081" w:rsidRDefault="00C92C54" w:rsidP="00B1228A">
            <w:pPr>
              <w:pStyle w:val="Tabletext"/>
              <w:keepNext/>
              <w:spacing w:before="40" w:after="40"/>
              <w:jc w:val="center"/>
              <w:rPr>
                <w:b/>
                <w:szCs w:val="20"/>
              </w:rPr>
            </w:pPr>
            <w:r w:rsidRPr="00243081">
              <w:rPr>
                <w:b/>
                <w:szCs w:val="20"/>
              </w:rPr>
              <w:t>Platinum doublet</w:t>
            </w:r>
          </w:p>
        </w:tc>
        <w:tc>
          <w:tcPr>
            <w:tcW w:w="1162" w:type="pct"/>
            <w:vMerge/>
            <w:vAlign w:val="center"/>
          </w:tcPr>
          <w:p w:rsidR="00C92C54" w:rsidRPr="00243081" w:rsidRDefault="00C92C54" w:rsidP="00B1228A">
            <w:pPr>
              <w:pStyle w:val="Tabletext"/>
              <w:keepNext/>
              <w:spacing w:before="40" w:after="40"/>
              <w:jc w:val="center"/>
              <w:rPr>
                <w:szCs w:val="20"/>
              </w:rPr>
            </w:pPr>
          </w:p>
        </w:tc>
      </w:tr>
      <w:tr w:rsidR="00C92C54" w:rsidRPr="00243081" w:rsidTr="00C92C54">
        <w:tc>
          <w:tcPr>
            <w:tcW w:w="5000" w:type="pct"/>
            <w:gridSpan w:val="4"/>
            <w:vAlign w:val="center"/>
          </w:tcPr>
          <w:p w:rsidR="00C92C54" w:rsidRPr="00243081" w:rsidRDefault="00C92C54" w:rsidP="00B1228A">
            <w:pPr>
              <w:pStyle w:val="Tabletext"/>
              <w:keepNext/>
              <w:spacing w:before="40" w:after="40"/>
              <w:rPr>
                <w:szCs w:val="20"/>
              </w:rPr>
            </w:pPr>
            <w:r w:rsidRPr="00243081">
              <w:rPr>
                <w:b/>
                <w:szCs w:val="20"/>
              </w:rPr>
              <w:t>PD-L1 TPS &lt;50%</w:t>
            </w:r>
          </w:p>
        </w:tc>
      </w:tr>
      <w:tr w:rsidR="00C92C54" w:rsidRPr="00243081" w:rsidTr="00257288">
        <w:tc>
          <w:tcPr>
            <w:tcW w:w="1513" w:type="pct"/>
            <w:vAlign w:val="center"/>
          </w:tcPr>
          <w:p w:rsidR="00C92C54" w:rsidRPr="00243081" w:rsidRDefault="00C92C54" w:rsidP="00B1228A">
            <w:pPr>
              <w:pStyle w:val="Tabletext"/>
              <w:keepNext/>
              <w:spacing w:before="40" w:after="40"/>
              <w:rPr>
                <w:szCs w:val="20"/>
              </w:rPr>
            </w:pPr>
            <w:r w:rsidRPr="00243081">
              <w:rPr>
                <w:szCs w:val="20"/>
              </w:rPr>
              <w:t>Life years gained (LYG)</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2.228</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1.406</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0.821</w:t>
            </w:r>
          </w:p>
        </w:tc>
      </w:tr>
      <w:tr w:rsidR="00C92C54" w:rsidRPr="00243081" w:rsidTr="00257288">
        <w:tc>
          <w:tcPr>
            <w:tcW w:w="1513" w:type="pct"/>
            <w:vAlign w:val="center"/>
          </w:tcPr>
          <w:p w:rsidR="00C92C54" w:rsidRPr="00243081" w:rsidRDefault="00C92C54" w:rsidP="00B1228A">
            <w:pPr>
              <w:pStyle w:val="Tabletext"/>
              <w:keepNext/>
              <w:spacing w:before="40" w:after="40"/>
              <w:rPr>
                <w:szCs w:val="20"/>
              </w:rPr>
            </w:pPr>
            <w:r w:rsidRPr="00243081">
              <w:rPr>
                <w:szCs w:val="20"/>
              </w:rPr>
              <w:t>QALY gained</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1.624</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0.994</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0.630</w:t>
            </w:r>
          </w:p>
        </w:tc>
      </w:tr>
      <w:tr w:rsidR="00C92C54" w:rsidRPr="00243081" w:rsidTr="00257288">
        <w:tc>
          <w:tcPr>
            <w:tcW w:w="1513" w:type="pct"/>
            <w:vAlign w:val="center"/>
          </w:tcPr>
          <w:p w:rsidR="00C92C54" w:rsidRPr="00243081" w:rsidRDefault="00C92C54" w:rsidP="00B1228A">
            <w:pPr>
              <w:pStyle w:val="Tabletext"/>
              <w:keepNext/>
              <w:spacing w:before="40" w:after="40"/>
              <w:rPr>
                <w:szCs w:val="20"/>
              </w:rPr>
            </w:pPr>
            <w:r w:rsidRPr="00243081">
              <w:rPr>
                <w:szCs w:val="20"/>
              </w:rPr>
              <w:t>Cost</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w:t>
            </w:r>
            <w:r w:rsidR="00227BBD">
              <w:rPr>
                <w:noProof/>
                <w:color w:val="000000"/>
                <w:szCs w:val="20"/>
                <w:highlight w:val="black"/>
              </w:rPr>
              <w:t>'''''''''''''''''</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w:t>
            </w:r>
            <w:r w:rsidR="00227BBD">
              <w:rPr>
                <w:noProof/>
                <w:color w:val="000000"/>
                <w:szCs w:val="20"/>
                <w:highlight w:val="black"/>
              </w:rPr>
              <w:t>'''''''''''''''</w:t>
            </w:r>
          </w:p>
        </w:tc>
        <w:tc>
          <w:tcPr>
            <w:tcW w:w="1162" w:type="pct"/>
            <w:vAlign w:val="center"/>
          </w:tcPr>
          <w:p w:rsidR="00C92C54" w:rsidRPr="00243081" w:rsidRDefault="00C92C54" w:rsidP="00B1228A">
            <w:pPr>
              <w:pStyle w:val="Tabletext"/>
              <w:keepNext/>
              <w:spacing w:before="40" w:after="40"/>
              <w:jc w:val="center"/>
              <w:rPr>
                <w:szCs w:val="20"/>
              </w:rPr>
            </w:pPr>
            <w:r w:rsidRPr="00243081">
              <w:rPr>
                <w:szCs w:val="20"/>
              </w:rPr>
              <w:t>$</w:t>
            </w:r>
            <w:r w:rsidR="00227BBD">
              <w:rPr>
                <w:noProof/>
                <w:color w:val="000000"/>
                <w:szCs w:val="20"/>
                <w:highlight w:val="black"/>
              </w:rPr>
              <w:t>'''''''''''''''''</w:t>
            </w:r>
          </w:p>
        </w:tc>
      </w:tr>
      <w:tr w:rsidR="00C92C54" w:rsidRPr="00243081" w:rsidTr="00257288">
        <w:tc>
          <w:tcPr>
            <w:tcW w:w="3838" w:type="pct"/>
            <w:gridSpan w:val="3"/>
            <w:vAlign w:val="center"/>
          </w:tcPr>
          <w:p w:rsidR="00C92C54" w:rsidRPr="00243081" w:rsidRDefault="00C92C54" w:rsidP="00B1228A">
            <w:pPr>
              <w:pStyle w:val="Tabletext"/>
              <w:keepNext/>
              <w:spacing w:before="40" w:after="40"/>
              <w:jc w:val="right"/>
              <w:rPr>
                <w:b/>
                <w:szCs w:val="20"/>
              </w:rPr>
            </w:pPr>
            <w:r w:rsidRPr="00243081">
              <w:rPr>
                <w:b/>
                <w:szCs w:val="20"/>
              </w:rPr>
              <w:t>Incremental cost per LYG (PD-L1 TPS &lt;50%)</w:t>
            </w:r>
          </w:p>
        </w:tc>
        <w:tc>
          <w:tcPr>
            <w:tcW w:w="1162" w:type="pct"/>
            <w:vAlign w:val="center"/>
          </w:tcPr>
          <w:p w:rsidR="00C92C54" w:rsidRPr="00243081" w:rsidRDefault="00C92C54" w:rsidP="00B1228A">
            <w:pPr>
              <w:pStyle w:val="Tabletext"/>
              <w:keepNext/>
              <w:spacing w:before="40" w:after="40"/>
              <w:jc w:val="center"/>
              <w:rPr>
                <w:b/>
                <w:szCs w:val="20"/>
              </w:rPr>
            </w:pPr>
            <w:r w:rsidRPr="00243081">
              <w:rPr>
                <w:b/>
                <w:szCs w:val="20"/>
              </w:rPr>
              <w:t>$</w:t>
            </w:r>
            <w:r w:rsidR="00227BBD">
              <w:rPr>
                <w:b/>
                <w:noProof/>
                <w:color w:val="000000"/>
                <w:szCs w:val="20"/>
                <w:highlight w:val="black"/>
              </w:rPr>
              <w:t>''''''''''''</w:t>
            </w:r>
          </w:p>
        </w:tc>
      </w:tr>
      <w:tr w:rsidR="00C92C54" w:rsidRPr="00243081" w:rsidTr="00257288">
        <w:tc>
          <w:tcPr>
            <w:tcW w:w="3838" w:type="pct"/>
            <w:gridSpan w:val="3"/>
            <w:tcBorders>
              <w:bottom w:val="double" w:sz="4" w:space="0" w:color="auto"/>
            </w:tcBorders>
            <w:vAlign w:val="center"/>
          </w:tcPr>
          <w:p w:rsidR="00C92C54" w:rsidRPr="00243081" w:rsidRDefault="00C92C54" w:rsidP="00B1228A">
            <w:pPr>
              <w:pStyle w:val="Tabletext"/>
              <w:keepNext/>
              <w:spacing w:before="40" w:after="40"/>
              <w:jc w:val="right"/>
              <w:rPr>
                <w:b/>
                <w:szCs w:val="20"/>
              </w:rPr>
            </w:pPr>
            <w:r w:rsidRPr="00243081">
              <w:rPr>
                <w:b/>
                <w:szCs w:val="20"/>
              </w:rPr>
              <w:t>Incremental cost per QALY gained (PD-L1 TPS &lt;50%)</w:t>
            </w:r>
          </w:p>
        </w:tc>
        <w:tc>
          <w:tcPr>
            <w:tcW w:w="1162" w:type="pct"/>
            <w:vAlign w:val="center"/>
          </w:tcPr>
          <w:p w:rsidR="00C92C54" w:rsidRPr="00243081" w:rsidRDefault="00C92C54" w:rsidP="00B1228A">
            <w:pPr>
              <w:pStyle w:val="Tabletext"/>
              <w:keepNext/>
              <w:spacing w:before="40" w:after="40"/>
              <w:jc w:val="center"/>
              <w:rPr>
                <w:b/>
                <w:szCs w:val="20"/>
              </w:rPr>
            </w:pPr>
            <w:r w:rsidRPr="00243081">
              <w:rPr>
                <w:b/>
                <w:szCs w:val="20"/>
              </w:rPr>
              <w:t>$</w:t>
            </w:r>
            <w:r w:rsidR="00227BBD">
              <w:rPr>
                <w:b/>
                <w:noProof/>
                <w:color w:val="000000"/>
                <w:szCs w:val="20"/>
                <w:highlight w:val="black"/>
              </w:rPr>
              <w:t>''''''''''''''</w:t>
            </w:r>
          </w:p>
        </w:tc>
      </w:tr>
      <w:tr w:rsidR="00C92C54" w:rsidRPr="00243081" w:rsidTr="00257288">
        <w:tc>
          <w:tcPr>
            <w:tcW w:w="1513" w:type="pct"/>
            <w:tcBorders>
              <w:top w:val="double" w:sz="4" w:space="0" w:color="auto"/>
            </w:tcBorders>
            <w:vAlign w:val="bottom"/>
          </w:tcPr>
          <w:p w:rsidR="00C92C54" w:rsidRPr="00243081" w:rsidRDefault="00C92C54" w:rsidP="00B1228A">
            <w:pPr>
              <w:pStyle w:val="Tabletext"/>
              <w:keepNext/>
              <w:spacing w:before="40" w:after="40"/>
              <w:rPr>
                <w:b/>
                <w:szCs w:val="20"/>
              </w:rPr>
            </w:pPr>
            <w:r w:rsidRPr="00243081">
              <w:rPr>
                <w:b/>
                <w:szCs w:val="20"/>
              </w:rPr>
              <w:t>Component</w:t>
            </w:r>
          </w:p>
        </w:tc>
        <w:tc>
          <w:tcPr>
            <w:tcW w:w="1162" w:type="pct"/>
            <w:tcBorders>
              <w:top w:val="double" w:sz="4" w:space="0" w:color="auto"/>
            </w:tcBorders>
            <w:vAlign w:val="center"/>
          </w:tcPr>
          <w:p w:rsidR="00C92C54" w:rsidRPr="00243081" w:rsidRDefault="00C92C54" w:rsidP="00B1228A">
            <w:pPr>
              <w:pStyle w:val="Tabletext"/>
              <w:keepNext/>
              <w:spacing w:before="40" w:after="40"/>
              <w:jc w:val="center"/>
              <w:rPr>
                <w:szCs w:val="20"/>
              </w:rPr>
            </w:pPr>
            <w:proofErr w:type="spellStart"/>
            <w:r w:rsidRPr="00243081">
              <w:rPr>
                <w:b/>
                <w:szCs w:val="20"/>
              </w:rPr>
              <w:t>Pembro</w:t>
            </w:r>
            <w:r w:rsidR="004A43D9" w:rsidRPr="00243081">
              <w:rPr>
                <w:b/>
                <w:szCs w:val="20"/>
              </w:rPr>
              <w:t>+plat+peme</w:t>
            </w:r>
            <w:proofErr w:type="spellEnd"/>
          </w:p>
        </w:tc>
        <w:tc>
          <w:tcPr>
            <w:tcW w:w="1162" w:type="pct"/>
            <w:vAlign w:val="center"/>
          </w:tcPr>
          <w:p w:rsidR="00C92C54" w:rsidRPr="00243081" w:rsidRDefault="00C92C54" w:rsidP="00B1228A">
            <w:pPr>
              <w:pStyle w:val="Tabletext"/>
              <w:keepNext/>
              <w:spacing w:before="40" w:after="40"/>
              <w:jc w:val="center"/>
              <w:rPr>
                <w:b/>
                <w:szCs w:val="20"/>
              </w:rPr>
            </w:pPr>
            <w:proofErr w:type="spellStart"/>
            <w:r w:rsidRPr="00243081">
              <w:rPr>
                <w:b/>
                <w:szCs w:val="20"/>
              </w:rPr>
              <w:t>Pembrolizumab</w:t>
            </w:r>
            <w:proofErr w:type="spellEnd"/>
            <w:r w:rsidRPr="00243081">
              <w:rPr>
                <w:b/>
                <w:szCs w:val="20"/>
              </w:rPr>
              <w:t xml:space="preserve"> mono</w:t>
            </w:r>
          </w:p>
        </w:tc>
        <w:tc>
          <w:tcPr>
            <w:tcW w:w="1162" w:type="pct"/>
            <w:vAlign w:val="center"/>
          </w:tcPr>
          <w:p w:rsidR="00C92C54" w:rsidRPr="00243081" w:rsidRDefault="00C92C54" w:rsidP="00B1228A">
            <w:pPr>
              <w:pStyle w:val="Tabletext"/>
              <w:keepNext/>
              <w:spacing w:before="40" w:after="40"/>
              <w:jc w:val="center"/>
              <w:rPr>
                <w:szCs w:val="20"/>
              </w:rPr>
            </w:pPr>
            <w:r w:rsidRPr="00243081">
              <w:rPr>
                <w:b/>
                <w:szCs w:val="20"/>
              </w:rPr>
              <w:t>Increment</w:t>
            </w:r>
          </w:p>
        </w:tc>
      </w:tr>
      <w:tr w:rsidR="00C92C54" w:rsidRPr="00243081" w:rsidTr="00C92C54">
        <w:tc>
          <w:tcPr>
            <w:tcW w:w="5000" w:type="pct"/>
            <w:gridSpan w:val="4"/>
            <w:vAlign w:val="center"/>
          </w:tcPr>
          <w:p w:rsidR="00C92C54" w:rsidRPr="00243081" w:rsidRDefault="00C92C54" w:rsidP="00B1228A">
            <w:pPr>
              <w:pStyle w:val="Tabletext"/>
              <w:keepNext/>
              <w:spacing w:before="40" w:after="40"/>
              <w:rPr>
                <w:szCs w:val="20"/>
              </w:rPr>
            </w:pPr>
            <w:r w:rsidRPr="00243081">
              <w:rPr>
                <w:b/>
                <w:szCs w:val="20"/>
              </w:rPr>
              <w:t>PD-L1 TPS ≥50%</w:t>
            </w:r>
          </w:p>
        </w:tc>
      </w:tr>
      <w:tr w:rsidR="00C92C54" w:rsidRPr="00243081" w:rsidTr="00257288">
        <w:tc>
          <w:tcPr>
            <w:tcW w:w="1513" w:type="pct"/>
            <w:vAlign w:val="center"/>
          </w:tcPr>
          <w:p w:rsidR="00C92C54" w:rsidRPr="00243081" w:rsidRDefault="00C92C54" w:rsidP="00C92C54">
            <w:pPr>
              <w:pStyle w:val="Tabletext"/>
              <w:spacing w:before="40" w:after="40"/>
              <w:rPr>
                <w:b/>
                <w:szCs w:val="20"/>
              </w:rPr>
            </w:pPr>
            <w:r w:rsidRPr="00243081">
              <w:rPr>
                <w:szCs w:val="20"/>
              </w:rPr>
              <w:t>Life years gained (LYG)</w:t>
            </w:r>
          </w:p>
        </w:tc>
        <w:tc>
          <w:tcPr>
            <w:tcW w:w="1162" w:type="pct"/>
            <w:vAlign w:val="center"/>
          </w:tcPr>
          <w:p w:rsidR="00C92C54" w:rsidRPr="00243081" w:rsidRDefault="00C92C54" w:rsidP="00C92C54">
            <w:pPr>
              <w:pStyle w:val="Tabletext"/>
              <w:spacing w:before="40" w:after="40"/>
              <w:jc w:val="center"/>
              <w:rPr>
                <w:szCs w:val="20"/>
              </w:rPr>
            </w:pPr>
            <w:r w:rsidRPr="00243081">
              <w:rPr>
                <w:szCs w:val="20"/>
              </w:rPr>
              <w:t>2.812</w:t>
            </w:r>
          </w:p>
        </w:tc>
        <w:tc>
          <w:tcPr>
            <w:tcW w:w="1162" w:type="pct"/>
            <w:vAlign w:val="center"/>
          </w:tcPr>
          <w:p w:rsidR="00C92C54" w:rsidRPr="00243081" w:rsidRDefault="00C92C54" w:rsidP="00C92C54">
            <w:pPr>
              <w:pStyle w:val="Tabletext"/>
              <w:spacing w:before="40" w:after="40"/>
              <w:jc w:val="center"/>
              <w:rPr>
                <w:b/>
                <w:szCs w:val="20"/>
              </w:rPr>
            </w:pPr>
            <w:r w:rsidRPr="00243081">
              <w:rPr>
                <w:szCs w:val="20"/>
              </w:rPr>
              <w:t>2.312</w:t>
            </w:r>
          </w:p>
        </w:tc>
        <w:tc>
          <w:tcPr>
            <w:tcW w:w="1162" w:type="pct"/>
            <w:vAlign w:val="center"/>
          </w:tcPr>
          <w:p w:rsidR="00C92C54" w:rsidRPr="00243081" w:rsidRDefault="00C92C54" w:rsidP="00C92C54">
            <w:pPr>
              <w:pStyle w:val="Tabletext"/>
              <w:spacing w:before="40" w:after="40"/>
              <w:jc w:val="center"/>
              <w:rPr>
                <w:szCs w:val="20"/>
              </w:rPr>
            </w:pPr>
            <w:r w:rsidRPr="00243081">
              <w:rPr>
                <w:szCs w:val="20"/>
              </w:rPr>
              <w:t>0.501</w:t>
            </w:r>
          </w:p>
        </w:tc>
      </w:tr>
      <w:tr w:rsidR="00C92C54" w:rsidRPr="00243081" w:rsidTr="00257288">
        <w:tc>
          <w:tcPr>
            <w:tcW w:w="1513" w:type="pct"/>
            <w:vAlign w:val="center"/>
          </w:tcPr>
          <w:p w:rsidR="00C92C54" w:rsidRPr="00243081" w:rsidRDefault="00C92C54" w:rsidP="00C92C54">
            <w:pPr>
              <w:pStyle w:val="Tabletext"/>
              <w:spacing w:before="40" w:after="40"/>
              <w:rPr>
                <w:b/>
                <w:szCs w:val="20"/>
              </w:rPr>
            </w:pPr>
            <w:r w:rsidRPr="00243081">
              <w:rPr>
                <w:szCs w:val="20"/>
              </w:rPr>
              <w:t>QALY gained</w:t>
            </w:r>
          </w:p>
        </w:tc>
        <w:tc>
          <w:tcPr>
            <w:tcW w:w="1162" w:type="pct"/>
            <w:vAlign w:val="center"/>
          </w:tcPr>
          <w:p w:rsidR="00C92C54" w:rsidRPr="00243081" w:rsidRDefault="00C92C54" w:rsidP="00C92C54">
            <w:pPr>
              <w:pStyle w:val="Tabletext"/>
              <w:spacing w:before="40" w:after="40"/>
              <w:jc w:val="center"/>
              <w:rPr>
                <w:szCs w:val="20"/>
              </w:rPr>
            </w:pPr>
            <w:r w:rsidRPr="00243081">
              <w:rPr>
                <w:szCs w:val="20"/>
              </w:rPr>
              <w:t>2.079</w:t>
            </w:r>
          </w:p>
        </w:tc>
        <w:tc>
          <w:tcPr>
            <w:tcW w:w="1162" w:type="pct"/>
            <w:vAlign w:val="center"/>
          </w:tcPr>
          <w:p w:rsidR="00C92C54" w:rsidRPr="00243081" w:rsidRDefault="00C92C54" w:rsidP="00C92C54">
            <w:pPr>
              <w:pStyle w:val="Tabletext"/>
              <w:spacing w:before="40" w:after="40"/>
              <w:jc w:val="center"/>
              <w:rPr>
                <w:b/>
                <w:szCs w:val="20"/>
              </w:rPr>
            </w:pPr>
            <w:r w:rsidRPr="00243081">
              <w:rPr>
                <w:szCs w:val="20"/>
              </w:rPr>
              <w:t>1.721</w:t>
            </w:r>
          </w:p>
        </w:tc>
        <w:tc>
          <w:tcPr>
            <w:tcW w:w="1162" w:type="pct"/>
            <w:vAlign w:val="center"/>
          </w:tcPr>
          <w:p w:rsidR="00C92C54" w:rsidRPr="00243081" w:rsidRDefault="00C92C54" w:rsidP="00650CFB">
            <w:pPr>
              <w:pStyle w:val="Tabletext"/>
              <w:spacing w:before="40" w:after="40"/>
              <w:jc w:val="center"/>
              <w:rPr>
                <w:szCs w:val="20"/>
              </w:rPr>
            </w:pPr>
            <w:r w:rsidRPr="00243081">
              <w:rPr>
                <w:szCs w:val="20"/>
              </w:rPr>
              <w:t>0.357</w:t>
            </w:r>
          </w:p>
        </w:tc>
      </w:tr>
      <w:tr w:rsidR="00C92C54" w:rsidRPr="00243081" w:rsidTr="00257288">
        <w:tc>
          <w:tcPr>
            <w:tcW w:w="1513" w:type="pct"/>
            <w:vAlign w:val="center"/>
          </w:tcPr>
          <w:p w:rsidR="00C92C54" w:rsidRPr="00243081" w:rsidRDefault="00C92C54" w:rsidP="00C92C54">
            <w:pPr>
              <w:pStyle w:val="Tabletext"/>
              <w:spacing w:before="40" w:after="40"/>
              <w:rPr>
                <w:b/>
                <w:szCs w:val="20"/>
              </w:rPr>
            </w:pPr>
            <w:r w:rsidRPr="00243081">
              <w:rPr>
                <w:szCs w:val="20"/>
              </w:rPr>
              <w:t>Cost</w:t>
            </w:r>
          </w:p>
        </w:tc>
        <w:tc>
          <w:tcPr>
            <w:tcW w:w="1162" w:type="pct"/>
            <w:vAlign w:val="center"/>
          </w:tcPr>
          <w:p w:rsidR="00C92C54" w:rsidRPr="00243081" w:rsidRDefault="00C92C54" w:rsidP="00C92C54">
            <w:pPr>
              <w:pStyle w:val="Tabletext"/>
              <w:spacing w:before="40" w:after="40"/>
              <w:jc w:val="center"/>
              <w:rPr>
                <w:szCs w:val="20"/>
              </w:rPr>
            </w:pPr>
            <w:r w:rsidRPr="00243081">
              <w:rPr>
                <w:szCs w:val="20"/>
              </w:rPr>
              <w:t>$</w:t>
            </w:r>
            <w:r w:rsidR="00227BBD">
              <w:rPr>
                <w:noProof/>
                <w:color w:val="000000"/>
                <w:szCs w:val="20"/>
                <w:highlight w:val="black"/>
              </w:rPr>
              <w:t>''''''''''''''''</w:t>
            </w:r>
          </w:p>
        </w:tc>
        <w:tc>
          <w:tcPr>
            <w:tcW w:w="1162" w:type="pct"/>
            <w:vAlign w:val="center"/>
          </w:tcPr>
          <w:p w:rsidR="00C92C54" w:rsidRPr="00243081" w:rsidRDefault="00C92C54" w:rsidP="00C92C54">
            <w:pPr>
              <w:pStyle w:val="Tabletext"/>
              <w:spacing w:before="40" w:after="40"/>
              <w:jc w:val="center"/>
              <w:rPr>
                <w:b/>
                <w:szCs w:val="20"/>
              </w:rPr>
            </w:pPr>
            <w:r w:rsidRPr="00243081">
              <w:rPr>
                <w:szCs w:val="20"/>
              </w:rPr>
              <w:t>$</w:t>
            </w:r>
            <w:r w:rsidR="00227BBD">
              <w:rPr>
                <w:noProof/>
                <w:color w:val="000000"/>
                <w:szCs w:val="20"/>
                <w:highlight w:val="black"/>
              </w:rPr>
              <w:t>''''''''''''''''</w:t>
            </w:r>
          </w:p>
        </w:tc>
        <w:tc>
          <w:tcPr>
            <w:tcW w:w="1162" w:type="pct"/>
            <w:vAlign w:val="center"/>
          </w:tcPr>
          <w:p w:rsidR="00C92C54" w:rsidRPr="00243081" w:rsidRDefault="00C92C54" w:rsidP="00C92C54">
            <w:pPr>
              <w:pStyle w:val="Tabletext"/>
              <w:spacing w:before="40" w:after="40"/>
              <w:jc w:val="center"/>
              <w:rPr>
                <w:szCs w:val="20"/>
              </w:rPr>
            </w:pPr>
            <w:r w:rsidRPr="00243081">
              <w:rPr>
                <w:szCs w:val="20"/>
              </w:rPr>
              <w:t>$</w:t>
            </w:r>
            <w:r w:rsidR="00227BBD">
              <w:rPr>
                <w:noProof/>
                <w:color w:val="000000"/>
                <w:szCs w:val="20"/>
                <w:highlight w:val="black"/>
              </w:rPr>
              <w:t>'''''''''''''''''</w:t>
            </w:r>
          </w:p>
        </w:tc>
      </w:tr>
      <w:tr w:rsidR="00C92C54" w:rsidRPr="00243081" w:rsidTr="00257288">
        <w:tc>
          <w:tcPr>
            <w:tcW w:w="3838" w:type="pct"/>
            <w:gridSpan w:val="3"/>
            <w:vAlign w:val="center"/>
          </w:tcPr>
          <w:p w:rsidR="00C92C54" w:rsidRPr="00243081" w:rsidRDefault="00C92C54" w:rsidP="00C92C54">
            <w:pPr>
              <w:pStyle w:val="Tabletext"/>
              <w:spacing w:before="40" w:after="40"/>
              <w:jc w:val="right"/>
              <w:rPr>
                <w:b/>
                <w:szCs w:val="20"/>
              </w:rPr>
            </w:pPr>
            <w:r w:rsidRPr="00243081">
              <w:rPr>
                <w:b/>
                <w:szCs w:val="20"/>
              </w:rPr>
              <w:t>Incremental cost per LYG (PD-L1 TPS ≥50%)</w:t>
            </w:r>
          </w:p>
        </w:tc>
        <w:tc>
          <w:tcPr>
            <w:tcW w:w="1162" w:type="pct"/>
            <w:vAlign w:val="center"/>
          </w:tcPr>
          <w:p w:rsidR="00C92C54" w:rsidRPr="00243081" w:rsidRDefault="00C92C54" w:rsidP="00C92C54">
            <w:pPr>
              <w:pStyle w:val="Tabletext"/>
              <w:spacing w:before="40" w:after="40"/>
              <w:jc w:val="center"/>
              <w:rPr>
                <w:szCs w:val="20"/>
              </w:rPr>
            </w:pPr>
            <w:r w:rsidRPr="00243081">
              <w:rPr>
                <w:b/>
                <w:szCs w:val="20"/>
              </w:rPr>
              <w:t>$</w:t>
            </w:r>
            <w:r w:rsidR="00227BBD">
              <w:rPr>
                <w:b/>
                <w:noProof/>
                <w:color w:val="000000"/>
                <w:szCs w:val="20"/>
                <w:highlight w:val="black"/>
              </w:rPr>
              <w:t>'''''''''''''''</w:t>
            </w:r>
          </w:p>
        </w:tc>
      </w:tr>
      <w:tr w:rsidR="00C92C54" w:rsidRPr="00243081" w:rsidTr="00257288">
        <w:tc>
          <w:tcPr>
            <w:tcW w:w="3838" w:type="pct"/>
            <w:gridSpan w:val="3"/>
            <w:vAlign w:val="center"/>
          </w:tcPr>
          <w:p w:rsidR="00C92C54" w:rsidRPr="00243081" w:rsidRDefault="00C92C54" w:rsidP="00C92C54">
            <w:pPr>
              <w:pStyle w:val="Tabletext"/>
              <w:spacing w:before="40" w:after="40"/>
              <w:jc w:val="right"/>
              <w:rPr>
                <w:b/>
                <w:szCs w:val="20"/>
              </w:rPr>
            </w:pPr>
            <w:r w:rsidRPr="00243081">
              <w:rPr>
                <w:b/>
                <w:szCs w:val="20"/>
              </w:rPr>
              <w:t>Incremental cost per QALY gained (PD-L1 TPS ≥50%)</w:t>
            </w:r>
          </w:p>
        </w:tc>
        <w:tc>
          <w:tcPr>
            <w:tcW w:w="1162" w:type="pct"/>
            <w:vAlign w:val="center"/>
          </w:tcPr>
          <w:p w:rsidR="00C92C54" w:rsidRPr="00243081" w:rsidRDefault="00C92C54" w:rsidP="00C92C54">
            <w:pPr>
              <w:pStyle w:val="Tabletext"/>
              <w:spacing w:before="40" w:after="40"/>
              <w:jc w:val="center"/>
              <w:rPr>
                <w:szCs w:val="20"/>
              </w:rPr>
            </w:pPr>
            <w:r w:rsidRPr="00243081">
              <w:rPr>
                <w:b/>
                <w:szCs w:val="20"/>
              </w:rPr>
              <w:t>$</w:t>
            </w:r>
            <w:r w:rsidR="00227BBD">
              <w:rPr>
                <w:b/>
                <w:noProof/>
                <w:color w:val="000000"/>
                <w:szCs w:val="20"/>
                <w:highlight w:val="black"/>
              </w:rPr>
              <w:t>''''''''''''</w:t>
            </w:r>
          </w:p>
        </w:tc>
      </w:tr>
      <w:tr w:rsidR="00C92C54" w:rsidRPr="00243081" w:rsidTr="00C92C54">
        <w:tc>
          <w:tcPr>
            <w:tcW w:w="5000" w:type="pct"/>
            <w:gridSpan w:val="4"/>
            <w:vAlign w:val="center"/>
          </w:tcPr>
          <w:p w:rsidR="00C92C54" w:rsidRPr="00243081" w:rsidRDefault="00C92C54" w:rsidP="00C92C54">
            <w:pPr>
              <w:pStyle w:val="Tabletext"/>
              <w:spacing w:before="40" w:after="40"/>
              <w:rPr>
                <w:szCs w:val="20"/>
                <w:vertAlign w:val="superscript"/>
              </w:rPr>
            </w:pPr>
            <w:r w:rsidRPr="00243081">
              <w:rPr>
                <w:b/>
                <w:szCs w:val="20"/>
              </w:rPr>
              <w:t>Weighted ICER (71.5% TPS &lt;50% and 28.5% TPS ≥50%)</w:t>
            </w:r>
            <w:r w:rsidRPr="00243081">
              <w:rPr>
                <w:b/>
                <w:szCs w:val="20"/>
                <w:vertAlign w:val="superscript"/>
              </w:rPr>
              <w:t>a</w:t>
            </w:r>
          </w:p>
        </w:tc>
      </w:tr>
      <w:tr w:rsidR="00C92C54" w:rsidRPr="00243081" w:rsidTr="00257288">
        <w:tc>
          <w:tcPr>
            <w:tcW w:w="3838" w:type="pct"/>
            <w:gridSpan w:val="3"/>
            <w:vAlign w:val="center"/>
          </w:tcPr>
          <w:p w:rsidR="00C92C54" w:rsidRPr="00243081" w:rsidRDefault="00C92C54" w:rsidP="00C92C54">
            <w:pPr>
              <w:pStyle w:val="Tabletext"/>
              <w:spacing w:before="40" w:after="40"/>
              <w:jc w:val="right"/>
              <w:rPr>
                <w:b/>
                <w:szCs w:val="20"/>
              </w:rPr>
            </w:pPr>
            <w:r w:rsidRPr="00243081">
              <w:rPr>
                <w:b/>
                <w:szCs w:val="20"/>
              </w:rPr>
              <w:t>Weighted Incremental cost per LYG</w:t>
            </w:r>
          </w:p>
        </w:tc>
        <w:tc>
          <w:tcPr>
            <w:tcW w:w="1162" w:type="pct"/>
            <w:vAlign w:val="center"/>
          </w:tcPr>
          <w:p w:rsidR="00C92C54" w:rsidRPr="00243081" w:rsidRDefault="00C92C54" w:rsidP="00C92C54">
            <w:pPr>
              <w:pStyle w:val="Tabletext"/>
              <w:spacing w:before="40" w:after="40"/>
              <w:jc w:val="center"/>
              <w:rPr>
                <w:b/>
                <w:szCs w:val="20"/>
              </w:rPr>
            </w:pPr>
            <w:r w:rsidRPr="00243081">
              <w:rPr>
                <w:b/>
                <w:szCs w:val="20"/>
              </w:rPr>
              <w:t>$</w:t>
            </w:r>
            <w:r w:rsidR="00227BBD">
              <w:rPr>
                <w:b/>
                <w:noProof/>
                <w:color w:val="000000"/>
                <w:szCs w:val="20"/>
                <w:highlight w:val="black"/>
              </w:rPr>
              <w:t>''''''''''''''</w:t>
            </w:r>
          </w:p>
        </w:tc>
      </w:tr>
      <w:tr w:rsidR="00C92C54" w:rsidRPr="00243081" w:rsidTr="00257288">
        <w:tc>
          <w:tcPr>
            <w:tcW w:w="3838" w:type="pct"/>
            <w:gridSpan w:val="3"/>
            <w:vAlign w:val="center"/>
          </w:tcPr>
          <w:p w:rsidR="00C92C54" w:rsidRPr="00243081" w:rsidRDefault="00C92C54" w:rsidP="00C92C54">
            <w:pPr>
              <w:pStyle w:val="Tabletext"/>
              <w:spacing w:before="40" w:after="40"/>
              <w:jc w:val="right"/>
              <w:rPr>
                <w:b/>
                <w:snapToGrid w:val="0"/>
                <w:szCs w:val="20"/>
              </w:rPr>
            </w:pPr>
            <w:r w:rsidRPr="00243081">
              <w:rPr>
                <w:b/>
                <w:szCs w:val="20"/>
              </w:rPr>
              <w:t>Weighted Incremental cost per QALY gained</w:t>
            </w:r>
          </w:p>
        </w:tc>
        <w:tc>
          <w:tcPr>
            <w:tcW w:w="1162" w:type="pct"/>
            <w:vAlign w:val="center"/>
          </w:tcPr>
          <w:p w:rsidR="00C92C54" w:rsidRPr="00243081" w:rsidRDefault="00C92C54" w:rsidP="00C92C54">
            <w:pPr>
              <w:pStyle w:val="Tabletext"/>
              <w:spacing w:before="40" w:after="40"/>
              <w:jc w:val="center"/>
              <w:rPr>
                <w:b/>
                <w:szCs w:val="20"/>
              </w:rPr>
            </w:pPr>
            <w:r w:rsidRPr="00243081">
              <w:rPr>
                <w:b/>
                <w:szCs w:val="20"/>
              </w:rPr>
              <w:t>$</w:t>
            </w:r>
            <w:r w:rsidR="00227BBD">
              <w:rPr>
                <w:b/>
                <w:noProof/>
                <w:color w:val="000000"/>
                <w:szCs w:val="20"/>
                <w:highlight w:val="black"/>
              </w:rPr>
              <w:t>'''''''''''''</w:t>
            </w:r>
          </w:p>
        </w:tc>
      </w:tr>
    </w:tbl>
    <w:p w:rsidR="00C92C54" w:rsidRPr="00243081" w:rsidRDefault="00C92C54" w:rsidP="00C7586D">
      <w:pPr>
        <w:pStyle w:val="TableFooter"/>
      </w:pPr>
      <w:proofErr w:type="spellStart"/>
      <w:proofErr w:type="gramStart"/>
      <w:r w:rsidRPr="00243081">
        <w:rPr>
          <w:vertAlign w:val="superscript"/>
        </w:rPr>
        <w:t>a</w:t>
      </w:r>
      <w:proofErr w:type="spellEnd"/>
      <w:proofErr w:type="gramEnd"/>
      <w:r w:rsidRPr="00243081">
        <w:rPr>
          <w:vertAlign w:val="superscript"/>
        </w:rPr>
        <w:tab/>
      </w:r>
      <w:r w:rsidRPr="00243081">
        <w:t>Estimated by 71.5% of ICER from PD-L1 TPS &lt;50% and 28.5% of ICER from PD-L1 TPS ≥50%</w:t>
      </w:r>
    </w:p>
    <w:p w:rsidR="00257288" w:rsidRPr="00243081" w:rsidRDefault="00257288" w:rsidP="00C7586D">
      <w:pPr>
        <w:pStyle w:val="TableFooter"/>
        <w:rPr>
          <w:szCs w:val="20"/>
        </w:rPr>
      </w:pPr>
      <w:proofErr w:type="spellStart"/>
      <w:r w:rsidRPr="00243081">
        <w:t>Pembro+plat+peme</w:t>
      </w:r>
      <w:proofErr w:type="spellEnd"/>
      <w:r w:rsidRPr="00243081">
        <w:t xml:space="preserve"> = </w:t>
      </w:r>
      <w:proofErr w:type="spellStart"/>
      <w:r w:rsidRPr="00243081">
        <w:t>pembrolizumab+platinum+pemetrexed</w:t>
      </w:r>
      <w:proofErr w:type="spellEnd"/>
    </w:p>
    <w:p w:rsidR="00C92C54" w:rsidRDefault="00C92C54" w:rsidP="00C7586D">
      <w:pPr>
        <w:pStyle w:val="TableFooter"/>
      </w:pPr>
      <w:r w:rsidRPr="00243081">
        <w:t xml:space="preserve">Source: Table 3.8-6 and 3.8-7, pp155-156 of the submission </w:t>
      </w:r>
    </w:p>
    <w:p w:rsidR="002A7879" w:rsidRPr="00243081" w:rsidRDefault="002A7879" w:rsidP="00C7586D">
      <w:pPr>
        <w:pStyle w:val="TableFooter"/>
      </w:pPr>
    </w:p>
    <w:p w:rsidR="002A7879" w:rsidRPr="002A7879" w:rsidRDefault="002A7879" w:rsidP="001C6E85">
      <w:pPr>
        <w:rPr>
          <w:i/>
          <w:szCs w:val="18"/>
        </w:rPr>
      </w:pPr>
      <w:r w:rsidRPr="002A7879">
        <w:rPr>
          <w:i/>
          <w:szCs w:val="18"/>
        </w:rPr>
        <w:t>The redacted tabl</w:t>
      </w:r>
      <w:r>
        <w:rPr>
          <w:i/>
          <w:szCs w:val="18"/>
        </w:rPr>
        <w:t>e shows ICERs in the range of $1</w:t>
      </w:r>
      <w:r w:rsidRPr="002A7879">
        <w:rPr>
          <w:i/>
          <w:szCs w:val="18"/>
        </w:rPr>
        <w:t>5,000 –</w:t>
      </w:r>
      <w:r>
        <w:rPr>
          <w:i/>
          <w:szCs w:val="18"/>
        </w:rPr>
        <w:t xml:space="preserve"> $4</w:t>
      </w:r>
      <w:r w:rsidRPr="002A7879">
        <w:rPr>
          <w:i/>
          <w:szCs w:val="18"/>
        </w:rPr>
        <w:t xml:space="preserve">5,000 to </w:t>
      </w:r>
      <w:r>
        <w:rPr>
          <w:i/>
          <w:szCs w:val="18"/>
        </w:rPr>
        <w:t>$7</w:t>
      </w:r>
      <w:r w:rsidRPr="002A7879">
        <w:rPr>
          <w:i/>
          <w:szCs w:val="18"/>
        </w:rPr>
        <w:t xml:space="preserve">5,000 – </w:t>
      </w:r>
      <w:r>
        <w:rPr>
          <w:i/>
          <w:szCs w:val="18"/>
        </w:rPr>
        <w:t>$105</w:t>
      </w:r>
      <w:r w:rsidRPr="002A7879">
        <w:rPr>
          <w:i/>
          <w:szCs w:val="18"/>
        </w:rPr>
        <w:t>,000</w:t>
      </w:r>
      <w:r w:rsidR="00454125">
        <w:rPr>
          <w:i/>
          <w:szCs w:val="18"/>
        </w:rPr>
        <w:t xml:space="preserve"> per</w:t>
      </w:r>
      <w:r w:rsidRPr="002A7879">
        <w:rPr>
          <w:i/>
          <w:szCs w:val="18"/>
        </w:rPr>
        <w:t xml:space="preserve"> life year or QALY gained.</w:t>
      </w:r>
    </w:p>
    <w:p w:rsidR="00C92C54" w:rsidRPr="00243081" w:rsidRDefault="00C92C54" w:rsidP="00C92C54">
      <w:pPr>
        <w:rPr>
          <w:sz w:val="18"/>
          <w:szCs w:val="18"/>
        </w:rPr>
      </w:pPr>
    </w:p>
    <w:p w:rsidR="001651A0" w:rsidRPr="00243081" w:rsidRDefault="001651A0" w:rsidP="00B92E74">
      <w:pPr>
        <w:pStyle w:val="ListParagraph"/>
        <w:widowControl/>
        <w:numPr>
          <w:ilvl w:val="1"/>
          <w:numId w:val="3"/>
        </w:numPr>
      </w:pPr>
      <w:r w:rsidRPr="00243081">
        <w:t>The incremental cost in the</w:t>
      </w:r>
      <w:r w:rsidR="007305C3" w:rsidRPr="00243081">
        <w:t xml:space="preserve"> submission’s economic model for the</w:t>
      </w:r>
      <w:r w:rsidRPr="00243081">
        <w:t xml:space="preserve"> PD-L1 TPS &lt;50% subgroup, </w:t>
      </w:r>
      <w:r w:rsidR="00454125">
        <w:t>$15,000-$45,000</w:t>
      </w:r>
      <w:r w:rsidRPr="00243081">
        <w:t xml:space="preserve">, was markedly higher than in the PD-L1 TPS ≥50% </w:t>
      </w:r>
      <w:r w:rsidRPr="00243081">
        <w:lastRenderedPageBreak/>
        <w:t>subgroup,</w:t>
      </w:r>
      <w:r w:rsidR="00454125" w:rsidRPr="00454125">
        <w:rPr>
          <w:i/>
          <w:szCs w:val="18"/>
        </w:rPr>
        <w:t xml:space="preserve"> </w:t>
      </w:r>
      <w:r w:rsidR="00454125" w:rsidRPr="00454125">
        <w:rPr>
          <w:szCs w:val="18"/>
        </w:rPr>
        <w:t>$15,000 – $45,000</w:t>
      </w:r>
      <w:r w:rsidR="00454125" w:rsidRPr="002A7879">
        <w:rPr>
          <w:i/>
          <w:szCs w:val="18"/>
        </w:rPr>
        <w:t xml:space="preserve"> </w:t>
      </w:r>
      <w:r w:rsidRPr="00243081">
        <w:t xml:space="preserve">. This is largely as the drug cost-offsets in the PD-L1 TPS &lt;50% subgroup are based on chemotherapy and a proportion of patients receiving second-line </w:t>
      </w:r>
      <w:proofErr w:type="spellStart"/>
      <w:r w:rsidRPr="00243081">
        <w:t>nivolumab</w:t>
      </w:r>
      <w:proofErr w:type="spellEnd"/>
      <w:r w:rsidRPr="00243081">
        <w:t xml:space="preserve">, and are far less than the cost-offsets estimated for </w:t>
      </w:r>
      <w:proofErr w:type="spellStart"/>
      <w:r w:rsidRPr="00243081">
        <w:t>pembrolizumab</w:t>
      </w:r>
      <w:proofErr w:type="spellEnd"/>
      <w:r w:rsidRPr="00243081">
        <w:t xml:space="preserve"> monotherapy</w:t>
      </w:r>
      <w:r w:rsidR="00F815DE" w:rsidRPr="00243081">
        <w:t>.</w:t>
      </w:r>
      <w:r w:rsidR="008A67AE" w:rsidRPr="00243081">
        <w:t xml:space="preserve"> </w:t>
      </w:r>
    </w:p>
    <w:p w:rsidR="001469AA" w:rsidRPr="00243081" w:rsidRDefault="00336248" w:rsidP="0041166A">
      <w:pPr>
        <w:pStyle w:val="ListParagraph"/>
        <w:widowControl/>
        <w:numPr>
          <w:ilvl w:val="1"/>
          <w:numId w:val="3"/>
        </w:numPr>
      </w:pPr>
      <w:r w:rsidRPr="00243081">
        <w:t>The ICER</w:t>
      </w:r>
      <w:r w:rsidR="001469AA" w:rsidRPr="00243081">
        <w:t>s</w:t>
      </w:r>
      <w:r w:rsidRPr="00243081">
        <w:t xml:space="preserve"> for PD-L1 TPS &lt;50% and TPS ≥50% were </w:t>
      </w:r>
      <w:r w:rsidR="007E788A" w:rsidRPr="00243081">
        <w:t>approximately the same</w:t>
      </w:r>
      <w:r w:rsidRPr="00243081">
        <w:t xml:space="preserve"> due to the differential effective price for </w:t>
      </w:r>
      <w:proofErr w:type="spellStart"/>
      <w:r w:rsidRPr="00243081">
        <w:t>pembrolizumab</w:t>
      </w:r>
      <w:proofErr w:type="spellEnd"/>
      <w:r w:rsidRPr="00243081">
        <w:t xml:space="preserve"> applied (see </w:t>
      </w:r>
      <w:r w:rsidR="00F059E8" w:rsidRPr="00243081">
        <w:t>Table 2</w:t>
      </w:r>
      <w:r w:rsidRPr="00243081">
        <w:t>).</w:t>
      </w:r>
    </w:p>
    <w:p w:rsidR="006A3CF8" w:rsidRPr="00243081" w:rsidRDefault="006A3CF8" w:rsidP="006A3CF8">
      <w:pPr>
        <w:pStyle w:val="ListParagraph"/>
        <w:widowControl/>
        <w:numPr>
          <w:ilvl w:val="1"/>
          <w:numId w:val="3"/>
        </w:numPr>
      </w:pPr>
      <w:r w:rsidRPr="00243081">
        <w:t xml:space="preserve">The PBAC noted and agreed with the evaluation and ESC concerns regarding the approach taken to the economic model (with the exception that the PBAC agreed it was appropriate to assume a duration of 24 weeks of </w:t>
      </w:r>
      <w:proofErr w:type="spellStart"/>
      <w:r w:rsidRPr="00243081">
        <w:t>nivolumab</w:t>
      </w:r>
      <w:proofErr w:type="spellEnd"/>
      <w:r w:rsidRPr="00243081">
        <w:t xml:space="preserve"> treatment in the second line setting).  </w:t>
      </w:r>
    </w:p>
    <w:p w:rsidR="00283DB5" w:rsidRPr="00D829A0" w:rsidRDefault="006A3CF8" w:rsidP="00D829A0">
      <w:pPr>
        <w:pStyle w:val="ListParagraph"/>
        <w:widowControl/>
        <w:numPr>
          <w:ilvl w:val="1"/>
          <w:numId w:val="3"/>
        </w:numPr>
        <w:jc w:val="left"/>
        <w:rPr>
          <w:b/>
          <w:i/>
          <w:sz w:val="28"/>
        </w:rPr>
      </w:pPr>
      <w:r w:rsidRPr="00243081">
        <w:t>However, overall t</w:t>
      </w:r>
      <w:r w:rsidR="001469AA" w:rsidRPr="00243081">
        <w:t>he PBAC did not consider the economic analyses presented by the submission to be in</w:t>
      </w:r>
      <w:r w:rsidRPr="00243081">
        <w:t>formative for decision making given the PBAC’s non-acceptance of the clinical claims on wh</w:t>
      </w:r>
      <w:r w:rsidR="00BF41C9">
        <w:t>ich these analyses were based.</w:t>
      </w:r>
      <w:bookmarkStart w:id="35" w:name="_Toc524518828"/>
    </w:p>
    <w:p w:rsidR="00BF41C9" w:rsidRDefault="00BF41C9" w:rsidP="00283DB5">
      <w:pPr>
        <w:pStyle w:val="Heading2"/>
      </w:pPr>
      <w:r>
        <w:t>Drug cost/patient</w:t>
      </w:r>
      <w:r w:rsidR="001469AA" w:rsidRPr="00243081">
        <w:tab/>
      </w:r>
    </w:p>
    <w:p w:rsidR="001469AA" w:rsidRPr="00BF41C9" w:rsidRDefault="00C92C54" w:rsidP="00F25BB5">
      <w:pPr>
        <w:pStyle w:val="ListParagraph"/>
        <w:keepNext/>
        <w:keepLines/>
        <w:widowControl/>
        <w:numPr>
          <w:ilvl w:val="1"/>
          <w:numId w:val="3"/>
        </w:numPr>
        <w:rPr>
          <w:szCs w:val="24"/>
        </w:rPr>
      </w:pPr>
      <w:r w:rsidRPr="00BF41C9">
        <w:rPr>
          <w:szCs w:val="24"/>
        </w:rPr>
        <w:t>$</w:t>
      </w:r>
      <w:r w:rsidR="00227BBD">
        <w:rPr>
          <w:noProof/>
          <w:color w:val="000000"/>
          <w:szCs w:val="24"/>
          <w:highlight w:val="black"/>
        </w:rPr>
        <w:t>'''''''''''''</w:t>
      </w:r>
      <w:r w:rsidR="008978DB" w:rsidRPr="00BF41C9">
        <w:rPr>
          <w:szCs w:val="24"/>
        </w:rPr>
        <w:t xml:space="preserve"> </w:t>
      </w:r>
      <w:r w:rsidRPr="00BF41C9">
        <w:rPr>
          <w:szCs w:val="24"/>
        </w:rPr>
        <w:t>over 2 years</w:t>
      </w:r>
      <w:bookmarkEnd w:id="35"/>
      <w:r w:rsidR="007305C3" w:rsidRPr="00BF41C9">
        <w:rPr>
          <w:szCs w:val="24"/>
        </w:rPr>
        <w:t xml:space="preserve"> for all patients</w:t>
      </w:r>
      <w:r w:rsidR="001469AA" w:rsidRPr="00BF41C9">
        <w:rPr>
          <w:szCs w:val="24"/>
        </w:rPr>
        <w:t xml:space="preserve"> in initial submission</w:t>
      </w:r>
      <w:r w:rsidR="00BF41C9" w:rsidRPr="00BF41C9">
        <w:rPr>
          <w:szCs w:val="24"/>
        </w:rPr>
        <w:t>;</w:t>
      </w:r>
      <w:r w:rsidR="00BF41C9">
        <w:rPr>
          <w:szCs w:val="24"/>
        </w:rPr>
        <w:t xml:space="preserve"> </w:t>
      </w:r>
      <w:r w:rsidR="00BF41C9">
        <w:rPr>
          <w:szCs w:val="24"/>
        </w:rPr>
        <w:br/>
      </w:r>
      <w:r w:rsidR="001469AA" w:rsidRPr="00BF41C9">
        <w:rPr>
          <w:szCs w:val="24"/>
        </w:rPr>
        <w:t>$</w:t>
      </w:r>
      <w:r w:rsidR="00227BBD">
        <w:rPr>
          <w:noProof/>
          <w:color w:val="000000"/>
          <w:szCs w:val="24"/>
          <w:highlight w:val="black"/>
        </w:rPr>
        <w:t>''''''''''''</w:t>
      </w:r>
      <w:r w:rsidR="001469AA" w:rsidRPr="00BF41C9">
        <w:rPr>
          <w:szCs w:val="24"/>
        </w:rPr>
        <w:t xml:space="preserve"> for PD-L1 TPS &lt;50% </w:t>
      </w:r>
      <w:r w:rsidR="007305C3" w:rsidRPr="00BF41C9">
        <w:rPr>
          <w:szCs w:val="24"/>
        </w:rPr>
        <w:t xml:space="preserve">only patients </w:t>
      </w:r>
      <w:r w:rsidR="001469AA" w:rsidRPr="00BF41C9">
        <w:rPr>
          <w:szCs w:val="24"/>
        </w:rPr>
        <w:t>in pre-PBAC response</w:t>
      </w:r>
      <w:r w:rsidR="00BF41C9" w:rsidRPr="00BF41C9">
        <w:rPr>
          <w:szCs w:val="24"/>
        </w:rPr>
        <w:t>.</w:t>
      </w:r>
    </w:p>
    <w:p w:rsidR="000D0F71" w:rsidRPr="00243081" w:rsidRDefault="00D745B8" w:rsidP="00C92C54">
      <w:pPr>
        <w:pStyle w:val="ListParagraph"/>
        <w:keepNext/>
        <w:widowControl/>
        <w:numPr>
          <w:ilvl w:val="1"/>
          <w:numId w:val="3"/>
        </w:numPr>
      </w:pPr>
      <w:r w:rsidRPr="00243081">
        <w:t>The submission estimated the w</w:t>
      </w:r>
      <w:r w:rsidR="00C92C54" w:rsidRPr="00243081">
        <w:t>eighted drug cost per patient from the economic model</w:t>
      </w:r>
      <w:r w:rsidR="001530BB" w:rsidRPr="00243081">
        <w:t>, assuming 71.5% of PD-L1 TPS &lt;</w:t>
      </w:r>
      <w:r w:rsidR="00C92C54" w:rsidRPr="00243081">
        <w:t>50% (drug cost/patient $</w:t>
      </w:r>
      <w:r w:rsidR="00227BBD">
        <w:rPr>
          <w:noProof/>
          <w:color w:val="000000"/>
          <w:highlight w:val="black"/>
        </w:rPr>
        <w:t>''''''''''''''</w:t>
      </w:r>
      <w:r w:rsidR="00C92C54" w:rsidRPr="00243081">
        <w:t xml:space="preserve">) and 28.5% PD-L1 TPS </w:t>
      </w:r>
      <w:r w:rsidR="00C92C54" w:rsidRPr="00243081">
        <w:rPr>
          <w:rFonts w:cs="Calibri"/>
        </w:rPr>
        <w:t>≥</w:t>
      </w:r>
      <w:r w:rsidR="00C92C54" w:rsidRPr="00243081">
        <w:t>50% (drug cost/patient $</w:t>
      </w:r>
      <w:r w:rsidR="00227BBD">
        <w:rPr>
          <w:noProof/>
          <w:color w:val="000000"/>
          <w:highlight w:val="black"/>
        </w:rPr>
        <w:t>'''''''''''''</w:t>
      </w:r>
      <w:r w:rsidR="00C92C54" w:rsidRPr="00243081">
        <w:t>)</w:t>
      </w:r>
      <w:r w:rsidR="00053C33" w:rsidRPr="00243081">
        <w:t>, assuming a maximum of 104 weeks (or 35 doses) of treatment</w:t>
      </w:r>
      <w:r w:rsidR="00C92C54" w:rsidRPr="00243081">
        <w:t xml:space="preserve">.  Costs were derived from the economic models and were undiscounted and excluded administration costs.  The maximum treatment duration was 2 years for </w:t>
      </w:r>
      <w:proofErr w:type="spellStart"/>
      <w:r w:rsidR="00C92C54" w:rsidRPr="00243081">
        <w:t>pembrolizumab</w:t>
      </w:r>
      <w:proofErr w:type="spellEnd"/>
      <w:r w:rsidR="00C92C54" w:rsidRPr="00243081">
        <w:t>.</w:t>
      </w:r>
    </w:p>
    <w:p w:rsidR="00C92C54" w:rsidRPr="00243081" w:rsidRDefault="000D0F71" w:rsidP="001A03AB">
      <w:pPr>
        <w:pStyle w:val="ListParagraph"/>
        <w:keepNext/>
        <w:widowControl/>
        <w:numPr>
          <w:ilvl w:val="1"/>
          <w:numId w:val="3"/>
        </w:numPr>
        <w:rPr>
          <w:iCs/>
        </w:rPr>
      </w:pPr>
      <w:r w:rsidRPr="00243081">
        <w:rPr>
          <w:iCs/>
        </w:rPr>
        <w:t xml:space="preserve">The ESC noted that at the proposed price, the model estimated cost of </w:t>
      </w:r>
      <w:proofErr w:type="spellStart"/>
      <w:r w:rsidRPr="00243081">
        <w:rPr>
          <w:iCs/>
        </w:rPr>
        <w:t>pembrolizumab</w:t>
      </w:r>
      <w:proofErr w:type="spellEnd"/>
      <w:r w:rsidRPr="00243081">
        <w:rPr>
          <w:iCs/>
        </w:rPr>
        <w:t xml:space="preserve"> in combination treatment </w:t>
      </w:r>
      <w:r w:rsidR="00581C81" w:rsidRPr="00243081">
        <w:rPr>
          <w:iCs/>
        </w:rPr>
        <w:t xml:space="preserve">in the PD-L1 TPS ≥50% subgroup </w:t>
      </w:r>
      <w:r w:rsidRPr="00243081">
        <w:rPr>
          <w:iCs/>
        </w:rPr>
        <w:t xml:space="preserve">was considerably higher than the cost of </w:t>
      </w:r>
      <w:proofErr w:type="spellStart"/>
      <w:r w:rsidRPr="00243081">
        <w:rPr>
          <w:iCs/>
        </w:rPr>
        <w:t>pembrolizumab</w:t>
      </w:r>
      <w:proofErr w:type="spellEnd"/>
      <w:r w:rsidRPr="00243081">
        <w:rPr>
          <w:iCs/>
        </w:rPr>
        <w:t xml:space="preserve"> when used as monotherapy ($</w:t>
      </w:r>
      <w:r w:rsidR="00227BBD">
        <w:rPr>
          <w:iCs/>
          <w:noProof/>
          <w:color w:val="000000"/>
          <w:highlight w:val="black"/>
        </w:rPr>
        <w:t>''''''''''''''</w:t>
      </w:r>
      <w:r w:rsidRPr="00243081">
        <w:rPr>
          <w:iCs/>
        </w:rPr>
        <w:t xml:space="preserve"> versus $</w:t>
      </w:r>
      <w:r w:rsidR="00227BBD">
        <w:rPr>
          <w:iCs/>
          <w:noProof/>
          <w:color w:val="000000"/>
          <w:highlight w:val="black"/>
        </w:rPr>
        <w:t>''''''''''''</w:t>
      </w:r>
      <w:r w:rsidRPr="00243081">
        <w:rPr>
          <w:iCs/>
        </w:rPr>
        <w:t xml:space="preserve">). </w:t>
      </w:r>
    </w:p>
    <w:p w:rsidR="00C92C54" w:rsidRPr="00243081" w:rsidRDefault="00C92C54" w:rsidP="00890F38">
      <w:pPr>
        <w:pStyle w:val="Heading2"/>
      </w:pPr>
      <w:bookmarkStart w:id="36" w:name="_Toc524518829"/>
      <w:r w:rsidRPr="00243081">
        <w:t>Estimated PBS usage &amp; financial implications</w:t>
      </w:r>
      <w:bookmarkEnd w:id="36"/>
    </w:p>
    <w:p w:rsidR="00C92C54" w:rsidRPr="00243081" w:rsidRDefault="00C92C54" w:rsidP="00C92C54">
      <w:pPr>
        <w:pStyle w:val="ListParagraph"/>
        <w:widowControl/>
        <w:numPr>
          <w:ilvl w:val="1"/>
          <w:numId w:val="3"/>
        </w:numPr>
      </w:pPr>
      <w:r w:rsidRPr="00243081">
        <w:t xml:space="preserve">This submission </w:t>
      </w:r>
      <w:r w:rsidR="00DB0D40" w:rsidRPr="00243081">
        <w:t>was</w:t>
      </w:r>
      <w:r w:rsidR="00511759" w:rsidRPr="00243081">
        <w:t xml:space="preserve"> not </w:t>
      </w:r>
      <w:r w:rsidRPr="00243081">
        <w:t>considered by DUSC. The submission present</w:t>
      </w:r>
      <w:r w:rsidR="00361710" w:rsidRPr="00243081">
        <w:t>ed</w:t>
      </w:r>
      <w:r w:rsidRPr="00243081">
        <w:t xml:space="preserve"> an epidemiological approach to estimating the financial impact of listing </w:t>
      </w:r>
      <w:proofErr w:type="spellStart"/>
      <w:r w:rsidRPr="00243081">
        <w:t>pembrolizumab</w:t>
      </w:r>
      <w:r w:rsidR="006A63AF" w:rsidRPr="00243081">
        <w:t>+platinum+pemetrexed</w:t>
      </w:r>
      <w:proofErr w:type="spellEnd"/>
      <w:r w:rsidRPr="00243081">
        <w:t xml:space="preserve"> on the PBS for patients with NSQ, EGFR/ALK negative NSCLC.  However market share was partially used to estimate u</w:t>
      </w:r>
      <w:r w:rsidR="001530BB" w:rsidRPr="00243081">
        <w:t>se in patients with PD-L1 TPS ≥</w:t>
      </w:r>
      <w:r w:rsidRPr="00243081">
        <w:t xml:space="preserve">50%.  </w:t>
      </w:r>
    </w:p>
    <w:p w:rsidR="00C92C54" w:rsidRPr="00243081" w:rsidRDefault="00C92C54" w:rsidP="00C92C54">
      <w:pPr>
        <w:pStyle w:val="ListParagraph"/>
        <w:widowControl/>
        <w:numPr>
          <w:ilvl w:val="1"/>
          <w:numId w:val="3"/>
        </w:numPr>
      </w:pPr>
      <w:r w:rsidRPr="00243081">
        <w:t>The</w:t>
      </w:r>
      <w:r w:rsidR="001F2F06" w:rsidRPr="00243081">
        <w:t xml:space="preserve"> </w:t>
      </w:r>
      <w:r w:rsidR="00AD12F1" w:rsidRPr="00243081">
        <w:t xml:space="preserve">submission’s </w:t>
      </w:r>
      <w:r w:rsidRPr="00243081">
        <w:t xml:space="preserve">estimated financial impact of listing </w:t>
      </w:r>
      <w:proofErr w:type="spellStart"/>
      <w:r w:rsidRPr="00243081">
        <w:t>pembrolizumab</w:t>
      </w:r>
      <w:r w:rsidR="006A63AF" w:rsidRPr="00243081">
        <w:t>+platinum+pemetrexed</w:t>
      </w:r>
      <w:proofErr w:type="spellEnd"/>
      <w:r w:rsidRPr="00243081">
        <w:t xml:space="preserve"> is summarised in </w:t>
      </w:r>
      <w:r w:rsidR="00F059E8" w:rsidRPr="00243081">
        <w:t>Table 16</w:t>
      </w:r>
      <w:r w:rsidRPr="00243081">
        <w:t xml:space="preserve">. </w:t>
      </w:r>
    </w:p>
    <w:p w:rsidR="00C92C54" w:rsidRPr="00243081" w:rsidRDefault="006A63AF" w:rsidP="00D829A0">
      <w:pPr>
        <w:pStyle w:val="Caption"/>
        <w:keepNext/>
        <w:keepLines/>
        <w:pageBreakBefore/>
        <w:rPr>
          <w:b w:val="0"/>
          <w:szCs w:val="20"/>
        </w:rPr>
      </w:pPr>
      <w:bookmarkStart w:id="37" w:name="_Ref523209743"/>
      <w:r w:rsidRPr="00243081">
        <w:lastRenderedPageBreak/>
        <w:t xml:space="preserve">Table </w:t>
      </w:r>
      <w:r w:rsidR="00364F3F" w:rsidRPr="00243081">
        <w:rPr>
          <w:noProof/>
        </w:rPr>
        <w:t>16</w:t>
      </w:r>
      <w:bookmarkEnd w:id="37"/>
      <w:r w:rsidR="00C92C54" w:rsidRPr="00243081">
        <w:rPr>
          <w:szCs w:val="20"/>
        </w:rPr>
        <w:t>: Summary of financial estimates in the submission</w:t>
      </w:r>
      <w:r w:rsidR="00E8556D" w:rsidRPr="00243081">
        <w:rPr>
          <w:szCs w:val="20"/>
        </w:rPr>
        <w:t xml:space="preserve"> </w:t>
      </w:r>
      <w:r w:rsidR="0051121A" w:rsidRPr="00243081">
        <w:rPr>
          <w:szCs w:val="20"/>
        </w:rPr>
        <w:t xml:space="preserve">as </w:t>
      </w:r>
      <w:r w:rsidR="00E8556D" w:rsidRPr="00243081">
        <w:rPr>
          <w:szCs w:val="20"/>
        </w:rPr>
        <w:t>corrected during evaluation</w:t>
      </w:r>
      <w:r w:rsidR="00C92C54" w:rsidRPr="00243081">
        <w:rPr>
          <w:b w:val="0"/>
          <w:szCs w:val="20"/>
        </w:rPr>
        <w:t xml:space="preserve"> </w:t>
      </w:r>
    </w:p>
    <w:tbl>
      <w:tblPr>
        <w:tblStyle w:val="TableGrid"/>
        <w:tblW w:w="0" w:type="auto"/>
        <w:tblCellMar>
          <w:left w:w="28" w:type="dxa"/>
          <w:right w:w="28" w:type="dxa"/>
        </w:tblCellMar>
        <w:tblLook w:val="04A0" w:firstRow="1" w:lastRow="0" w:firstColumn="1" w:lastColumn="0" w:noHBand="0" w:noVBand="1"/>
        <w:tblCaption w:val="Summary of financial estimates in the submission as corrected during evaluation "/>
      </w:tblPr>
      <w:tblGrid>
        <w:gridCol w:w="1330"/>
        <w:gridCol w:w="1328"/>
        <w:gridCol w:w="1272"/>
        <w:gridCol w:w="1270"/>
        <w:gridCol w:w="1272"/>
        <w:gridCol w:w="1273"/>
        <w:gridCol w:w="1272"/>
      </w:tblGrid>
      <w:tr w:rsidR="00C92C54" w:rsidRPr="00243081" w:rsidTr="005A5031">
        <w:trPr>
          <w:tblHeader/>
        </w:trPr>
        <w:tc>
          <w:tcPr>
            <w:tcW w:w="1339" w:type="dxa"/>
            <w:vAlign w:val="center"/>
          </w:tcPr>
          <w:p w:rsidR="00C92C54" w:rsidRPr="00243081" w:rsidRDefault="00C92C54" w:rsidP="00D829A0">
            <w:pPr>
              <w:spacing w:before="40" w:after="40"/>
              <w:jc w:val="left"/>
              <w:rPr>
                <w:rFonts w:ascii="Arial Narrow" w:hAnsi="Arial Narrow"/>
                <w:sz w:val="20"/>
                <w:szCs w:val="20"/>
              </w:rPr>
            </w:pPr>
          </w:p>
        </w:tc>
        <w:tc>
          <w:tcPr>
            <w:tcW w:w="134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Year 1</w:t>
            </w:r>
          </w:p>
        </w:tc>
        <w:tc>
          <w:tcPr>
            <w:tcW w:w="128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Year 2</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Year 3</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Year 4</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Year 5</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Year 6</w:t>
            </w:r>
          </w:p>
        </w:tc>
      </w:tr>
      <w:tr w:rsidR="00C92C54" w:rsidRPr="00243081" w:rsidTr="00C92C54">
        <w:tc>
          <w:tcPr>
            <w:tcW w:w="9083" w:type="dxa"/>
            <w:gridSpan w:val="7"/>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Estimated extent of use</w:t>
            </w:r>
          </w:p>
        </w:tc>
      </w:tr>
      <w:tr w:rsidR="00C92C54" w:rsidRPr="00243081" w:rsidTr="00C92C54">
        <w:tc>
          <w:tcPr>
            <w:tcW w:w="1339" w:type="dxa"/>
            <w:vAlign w:val="center"/>
          </w:tcPr>
          <w:p w:rsidR="00C92C54" w:rsidRPr="00243081" w:rsidRDefault="00C92C54" w:rsidP="00D829A0">
            <w:pPr>
              <w:spacing w:before="40" w:after="40"/>
              <w:jc w:val="left"/>
              <w:rPr>
                <w:rFonts w:ascii="Arial Narrow" w:hAnsi="Arial Narrow"/>
                <w:sz w:val="20"/>
                <w:szCs w:val="20"/>
              </w:rPr>
            </w:pPr>
            <w:proofErr w:type="spellStart"/>
            <w:r w:rsidRPr="00243081">
              <w:rPr>
                <w:rFonts w:ascii="Arial Narrow" w:hAnsi="Arial Narrow"/>
                <w:sz w:val="20"/>
                <w:szCs w:val="20"/>
              </w:rPr>
              <w:t>Pembro</w:t>
            </w:r>
            <w:proofErr w:type="spellEnd"/>
            <w:r w:rsidRPr="00243081">
              <w:rPr>
                <w:rFonts w:ascii="Arial Narrow" w:hAnsi="Arial Narrow"/>
                <w:sz w:val="20"/>
                <w:szCs w:val="20"/>
              </w:rPr>
              <w:t xml:space="preserve"> combo patients treated</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c>
          <w:tcPr>
            <w:tcW w:w="9083" w:type="dxa"/>
            <w:gridSpan w:val="7"/>
            <w:vAlign w:val="center"/>
          </w:tcPr>
          <w:p w:rsidR="00C92C54" w:rsidRPr="00243081" w:rsidRDefault="00C92C54" w:rsidP="00D829A0">
            <w:pPr>
              <w:spacing w:before="40" w:after="40"/>
              <w:jc w:val="left"/>
              <w:rPr>
                <w:rFonts w:ascii="Arial Narrow" w:hAnsi="Arial Narrow"/>
                <w:b/>
                <w:sz w:val="20"/>
                <w:szCs w:val="20"/>
                <w:vertAlign w:val="superscript"/>
              </w:rPr>
            </w:pPr>
            <w:r w:rsidRPr="00243081">
              <w:rPr>
                <w:rFonts w:ascii="Arial Narrow" w:hAnsi="Arial Narrow"/>
                <w:b/>
                <w:sz w:val="20"/>
                <w:szCs w:val="20"/>
              </w:rPr>
              <w:t>Number of administrations</w:t>
            </w:r>
          </w:p>
        </w:tc>
      </w:tr>
      <w:tr w:rsidR="00C92C54" w:rsidRPr="00243081" w:rsidTr="00C92C54">
        <w:tc>
          <w:tcPr>
            <w:tcW w:w="1339" w:type="dxa"/>
            <w:vAlign w:val="center"/>
          </w:tcPr>
          <w:p w:rsidR="00C92C54" w:rsidRPr="00243081" w:rsidRDefault="00C92C54" w:rsidP="00D829A0">
            <w:pPr>
              <w:spacing w:before="40" w:after="40"/>
              <w:jc w:val="left"/>
              <w:rPr>
                <w:rFonts w:ascii="Arial Narrow" w:hAnsi="Arial Narrow"/>
                <w:sz w:val="20"/>
                <w:szCs w:val="20"/>
              </w:rPr>
            </w:pPr>
            <w:proofErr w:type="spellStart"/>
            <w:r w:rsidRPr="00243081">
              <w:rPr>
                <w:rFonts w:ascii="Arial Narrow" w:hAnsi="Arial Narrow"/>
                <w:sz w:val="20"/>
                <w:szCs w:val="20"/>
              </w:rPr>
              <w:t>Pembrolizumab</w:t>
            </w:r>
            <w:proofErr w:type="spellEnd"/>
            <w:r w:rsidRPr="00243081">
              <w:rPr>
                <w:rFonts w:ascii="Arial Narrow" w:hAnsi="Arial Narrow"/>
                <w:sz w:val="20"/>
                <w:szCs w:val="20"/>
              </w:rPr>
              <w:t xml:space="preserve"> 100mg </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c>
          <w:tcPr>
            <w:tcW w:w="1339" w:type="dxa"/>
            <w:vAlign w:val="center"/>
          </w:tcPr>
          <w:p w:rsidR="00C92C54" w:rsidRPr="00243081" w:rsidRDefault="00C92C54" w:rsidP="00D829A0">
            <w:pPr>
              <w:spacing w:before="40" w:after="40"/>
              <w:jc w:val="left"/>
              <w:rPr>
                <w:rFonts w:ascii="Arial Narrow" w:hAnsi="Arial Narrow"/>
                <w:sz w:val="20"/>
                <w:szCs w:val="20"/>
              </w:rPr>
            </w:pPr>
            <w:proofErr w:type="spellStart"/>
            <w:r w:rsidRPr="00243081">
              <w:rPr>
                <w:rFonts w:ascii="Arial Narrow" w:hAnsi="Arial Narrow"/>
                <w:sz w:val="20"/>
                <w:szCs w:val="20"/>
              </w:rPr>
              <w:t>Pemetrexed</w:t>
            </w:r>
            <w:proofErr w:type="spellEnd"/>
            <w:r w:rsidRPr="00243081">
              <w:rPr>
                <w:rFonts w:ascii="Arial Narrow" w:hAnsi="Arial Narrow"/>
                <w:sz w:val="20"/>
                <w:szCs w:val="20"/>
              </w:rPr>
              <w:t xml:space="preserve"> 100mg</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t>Carboplatin 150mg</w:t>
            </w:r>
            <w:r w:rsidRPr="00243081">
              <w:rPr>
                <w:rFonts w:ascii="Arial Narrow" w:hAnsi="Arial Narrow"/>
                <w:sz w:val="20"/>
                <w:szCs w:val="20"/>
                <w:vertAlign w:val="superscript"/>
              </w:rPr>
              <w:t>e</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t>Cisplatin 50mg</w:t>
            </w:r>
            <w:r w:rsidRPr="00243081">
              <w:rPr>
                <w:rFonts w:ascii="Arial Narrow" w:hAnsi="Arial Narrow"/>
                <w:sz w:val="20"/>
                <w:szCs w:val="20"/>
                <w:vertAlign w:val="superscript"/>
              </w:rPr>
              <w:t>e</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c>
          <w:tcPr>
            <w:tcW w:w="9083" w:type="dxa"/>
            <w:gridSpan w:val="7"/>
            <w:vAlign w:val="center"/>
          </w:tcPr>
          <w:p w:rsidR="00C92C54" w:rsidRPr="00243081" w:rsidRDefault="00A706E8" w:rsidP="00D829A0">
            <w:pPr>
              <w:spacing w:before="40" w:after="40"/>
              <w:jc w:val="left"/>
              <w:rPr>
                <w:rFonts w:ascii="Arial Narrow" w:hAnsi="Arial Narrow"/>
                <w:b/>
                <w:sz w:val="20"/>
                <w:szCs w:val="20"/>
              </w:rPr>
            </w:pPr>
            <w:r w:rsidRPr="00243081">
              <w:rPr>
                <w:rFonts w:ascii="Arial Narrow" w:hAnsi="Arial Narrow"/>
                <w:b/>
                <w:sz w:val="20"/>
                <w:szCs w:val="20"/>
              </w:rPr>
              <w:t xml:space="preserve">Cost of drugs </w:t>
            </w:r>
            <w:r w:rsidR="00C92C54" w:rsidRPr="00243081">
              <w:rPr>
                <w:rFonts w:ascii="Arial Narrow" w:hAnsi="Arial Narrow"/>
                <w:b/>
                <w:sz w:val="20"/>
                <w:szCs w:val="20"/>
              </w:rPr>
              <w:t xml:space="preserve">(PBS + RPBS) </w:t>
            </w:r>
          </w:p>
        </w:tc>
      </w:tr>
      <w:tr w:rsidR="00C92C54" w:rsidRPr="00243081" w:rsidTr="00C92C54">
        <w:tc>
          <w:tcPr>
            <w:tcW w:w="1339" w:type="dxa"/>
            <w:vAlign w:val="center"/>
          </w:tcPr>
          <w:p w:rsidR="00C92C54" w:rsidRPr="00243081" w:rsidRDefault="00C92C54" w:rsidP="00D829A0">
            <w:pPr>
              <w:spacing w:before="40" w:after="40"/>
              <w:jc w:val="left"/>
              <w:rPr>
                <w:rFonts w:ascii="Arial Narrow" w:hAnsi="Arial Narrow"/>
                <w:sz w:val="20"/>
                <w:szCs w:val="20"/>
              </w:rPr>
            </w:pPr>
            <w:proofErr w:type="spellStart"/>
            <w:r w:rsidRPr="00243081">
              <w:rPr>
                <w:rFonts w:ascii="Arial Narrow" w:hAnsi="Arial Narrow"/>
                <w:sz w:val="20"/>
                <w:szCs w:val="20"/>
              </w:rPr>
              <w:t>Pembrolizumab</w:t>
            </w:r>
            <w:proofErr w:type="spellEnd"/>
            <w:r w:rsidRPr="00243081">
              <w:rPr>
                <w:rFonts w:ascii="Arial Narrow" w:hAnsi="Arial Narrow"/>
                <w:sz w:val="20"/>
                <w:szCs w:val="20"/>
              </w:rPr>
              <w:t xml:space="preserve"> 100mg</w:t>
            </w:r>
            <w:r w:rsidRPr="00243081">
              <w:rPr>
                <w:rFonts w:ascii="Arial Narrow" w:hAnsi="Arial Narrow"/>
                <w:sz w:val="20"/>
                <w:szCs w:val="20"/>
                <w:vertAlign w:val="superscript"/>
              </w:rPr>
              <w:t>f</w:t>
            </w:r>
            <w:r w:rsidRPr="00243081">
              <w:rPr>
                <w:rFonts w:ascii="Arial Narrow" w:hAnsi="Arial Narrow"/>
                <w:sz w:val="20"/>
                <w:szCs w:val="20"/>
              </w:rPr>
              <w:t xml:space="preserve"> </w:t>
            </w:r>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proofErr w:type="spellStart"/>
            <w:r w:rsidRPr="00243081">
              <w:rPr>
                <w:rFonts w:ascii="Arial Narrow" w:hAnsi="Arial Narrow"/>
                <w:sz w:val="20"/>
                <w:szCs w:val="20"/>
              </w:rPr>
              <w:t>Pemetrexed</w:t>
            </w:r>
            <w:proofErr w:type="spellEnd"/>
            <w:r w:rsidRPr="00243081">
              <w:rPr>
                <w:rFonts w:ascii="Arial Narrow" w:hAnsi="Arial Narrow"/>
                <w:sz w:val="20"/>
                <w:szCs w:val="20"/>
              </w:rPr>
              <w:t xml:space="preserve"> 100mg</w:t>
            </w:r>
            <w:r w:rsidRPr="00243081">
              <w:rPr>
                <w:rFonts w:ascii="Arial Narrow" w:hAnsi="Arial Narrow"/>
                <w:sz w:val="20"/>
                <w:szCs w:val="20"/>
                <w:vertAlign w:val="superscript"/>
              </w:rPr>
              <w:t>g</w:t>
            </w:r>
          </w:p>
        </w:tc>
        <w:tc>
          <w:tcPr>
            <w:tcW w:w="1340" w:type="dxa"/>
            <w:vAlign w:val="center"/>
          </w:tcPr>
          <w:p w:rsidR="00C92C54" w:rsidRPr="00243081" w:rsidRDefault="00C92C54" w:rsidP="00D829A0">
            <w:pPr>
              <w:spacing w:before="40" w:after="40"/>
              <w:jc w:val="center"/>
              <w:rPr>
                <w:rFonts w:ascii="Arial Narrow" w:hAnsi="Arial Narrow" w:cs="Calibri"/>
                <w:color w:val="000000"/>
                <w:sz w:val="20"/>
                <w:szCs w:val="20"/>
              </w:rPr>
            </w:pPr>
            <w:r w:rsidRPr="00243081">
              <w:rPr>
                <w:rFonts w:ascii="Arial Narrow" w:hAnsi="Arial Narrow" w:cs="Calibri"/>
                <w:color w:val="000000"/>
                <w:sz w:val="20"/>
                <w:szCs w:val="20"/>
              </w:rPr>
              <w:t>$</w:t>
            </w:r>
            <w:r w:rsidR="00227BBD">
              <w:rPr>
                <w:rFonts w:ascii="Arial Narrow" w:hAnsi="Arial Narrow" w:cs="Calibri"/>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cs="Calibri"/>
                <w:color w:val="000000"/>
                <w:sz w:val="20"/>
                <w:szCs w:val="20"/>
              </w:rPr>
            </w:pPr>
            <w:r w:rsidRPr="00243081">
              <w:rPr>
                <w:rFonts w:ascii="Arial Narrow" w:hAnsi="Arial Narrow" w:cs="Calibri"/>
                <w:color w:val="000000"/>
                <w:sz w:val="20"/>
                <w:szCs w:val="20"/>
              </w:rPr>
              <w:t>$</w:t>
            </w:r>
            <w:r w:rsidR="00227BBD">
              <w:rPr>
                <w:rFonts w:ascii="Arial Narrow" w:hAnsi="Arial Narrow" w:cs="Calibri"/>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cs="Calibri"/>
                <w:color w:val="000000"/>
                <w:sz w:val="20"/>
                <w:szCs w:val="20"/>
              </w:rPr>
            </w:pPr>
            <w:r w:rsidRPr="00243081">
              <w:rPr>
                <w:rFonts w:ascii="Arial Narrow" w:hAnsi="Arial Narrow" w:cs="Calibri"/>
                <w:color w:val="000000"/>
                <w:sz w:val="20"/>
                <w:szCs w:val="20"/>
              </w:rPr>
              <w:t>$</w:t>
            </w:r>
            <w:r w:rsidR="00227BBD">
              <w:rPr>
                <w:rFonts w:ascii="Arial Narrow" w:hAnsi="Arial Narrow" w:cs="Calibri"/>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cs="Calibri"/>
                <w:color w:val="000000"/>
                <w:sz w:val="20"/>
                <w:szCs w:val="20"/>
              </w:rPr>
            </w:pPr>
            <w:r w:rsidRPr="00243081">
              <w:rPr>
                <w:rFonts w:ascii="Arial Narrow" w:hAnsi="Arial Narrow" w:cs="Calibri"/>
                <w:color w:val="000000"/>
                <w:sz w:val="20"/>
                <w:szCs w:val="20"/>
              </w:rPr>
              <w:t>$</w:t>
            </w:r>
            <w:r w:rsidR="00227BBD">
              <w:rPr>
                <w:rFonts w:ascii="Arial Narrow" w:hAnsi="Arial Narrow" w:cs="Calibri"/>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cs="Calibri"/>
                <w:color w:val="000000"/>
                <w:sz w:val="20"/>
                <w:szCs w:val="20"/>
              </w:rPr>
            </w:pPr>
            <w:r w:rsidRPr="00243081">
              <w:rPr>
                <w:rFonts w:ascii="Arial Narrow" w:hAnsi="Arial Narrow" w:cs="Calibri"/>
                <w:color w:val="000000"/>
                <w:sz w:val="20"/>
                <w:szCs w:val="20"/>
              </w:rPr>
              <w:t>$</w:t>
            </w:r>
            <w:r w:rsidR="00227BBD">
              <w:rPr>
                <w:rFonts w:ascii="Arial Narrow" w:hAnsi="Arial Narrow" w:cs="Calibri"/>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cs="Calibri"/>
                <w:color w:val="000000"/>
                <w:sz w:val="20"/>
                <w:szCs w:val="20"/>
              </w:rPr>
            </w:pPr>
            <w:r w:rsidRPr="00243081">
              <w:rPr>
                <w:rFonts w:ascii="Arial Narrow" w:hAnsi="Arial Narrow" w:cs="Calibri"/>
                <w:color w:val="000000"/>
                <w:sz w:val="20"/>
                <w:szCs w:val="20"/>
              </w:rPr>
              <w:t>$</w:t>
            </w:r>
            <w:r w:rsidR="00227BBD">
              <w:rPr>
                <w:rFonts w:ascii="Arial Narrow" w:hAnsi="Arial Narrow" w:cs="Calibri"/>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t>Carboplatin 150mg</w:t>
            </w:r>
            <w:r w:rsidRPr="00243081">
              <w:rPr>
                <w:rFonts w:ascii="Arial Narrow" w:hAnsi="Arial Narrow"/>
                <w:sz w:val="20"/>
                <w:szCs w:val="20"/>
                <w:vertAlign w:val="superscript"/>
              </w:rPr>
              <w:t>e</w:t>
            </w:r>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t>Cisplatin 50mg</w:t>
            </w:r>
            <w:r w:rsidRPr="00243081">
              <w:rPr>
                <w:rFonts w:ascii="Arial Narrow" w:hAnsi="Arial Narrow"/>
                <w:sz w:val="20"/>
                <w:szCs w:val="20"/>
                <w:vertAlign w:val="superscript"/>
              </w:rPr>
              <w:t>e</w:t>
            </w:r>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rPr>
            </w:pPr>
            <w:proofErr w:type="spellStart"/>
            <w:r w:rsidRPr="00243081">
              <w:rPr>
                <w:rFonts w:ascii="Arial Narrow" w:hAnsi="Arial Narrow"/>
                <w:sz w:val="20"/>
                <w:szCs w:val="20"/>
              </w:rPr>
              <w:t>Copayments</w:t>
            </w:r>
            <w:proofErr w:type="spellEnd"/>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 xml:space="preserve">Total additional drugs net </w:t>
            </w:r>
            <w:proofErr w:type="spellStart"/>
            <w:r w:rsidRPr="00243081">
              <w:rPr>
                <w:rFonts w:ascii="Arial Narrow" w:hAnsi="Arial Narrow"/>
                <w:b/>
                <w:sz w:val="20"/>
                <w:szCs w:val="20"/>
              </w:rPr>
              <w:t>copayment</w:t>
            </w:r>
            <w:proofErr w:type="spellEnd"/>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9083" w:type="dxa"/>
            <w:gridSpan w:val="7"/>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Reduction in number of patients treated with other drugs</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t xml:space="preserve">Platinum </w:t>
            </w:r>
            <w:proofErr w:type="spellStart"/>
            <w:r w:rsidRPr="00243081">
              <w:rPr>
                <w:rFonts w:ascii="Arial Narrow" w:hAnsi="Arial Narrow"/>
                <w:sz w:val="20"/>
                <w:szCs w:val="20"/>
              </w:rPr>
              <w:t>doublet</w:t>
            </w:r>
            <w:r w:rsidRPr="00243081">
              <w:rPr>
                <w:rFonts w:ascii="Arial Narrow" w:hAnsi="Arial Narrow"/>
                <w:sz w:val="20"/>
                <w:szCs w:val="20"/>
                <w:vertAlign w:val="superscript"/>
              </w:rPr>
              <w:t>h</w:t>
            </w:r>
            <w:proofErr w:type="spellEnd"/>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rPr>
            </w:pPr>
            <w:proofErr w:type="spellStart"/>
            <w:r w:rsidRPr="00243081">
              <w:rPr>
                <w:rFonts w:ascii="Arial Narrow" w:hAnsi="Arial Narrow"/>
                <w:sz w:val="20"/>
                <w:szCs w:val="20"/>
              </w:rPr>
              <w:t>Pembro</w:t>
            </w:r>
            <w:proofErr w:type="spellEnd"/>
            <w:r w:rsidRPr="00243081">
              <w:rPr>
                <w:rFonts w:ascii="Arial Narrow" w:hAnsi="Arial Narrow"/>
                <w:sz w:val="20"/>
                <w:szCs w:val="20"/>
              </w:rPr>
              <w:t xml:space="preserve"> </w:t>
            </w:r>
            <w:proofErr w:type="spellStart"/>
            <w:r w:rsidRPr="00243081">
              <w:rPr>
                <w:rFonts w:ascii="Arial Narrow" w:hAnsi="Arial Narrow"/>
                <w:sz w:val="20"/>
                <w:szCs w:val="20"/>
              </w:rPr>
              <w:t>mono</w:t>
            </w:r>
            <w:r w:rsidRPr="00243081">
              <w:rPr>
                <w:rFonts w:ascii="Arial Narrow" w:hAnsi="Arial Narrow"/>
                <w:sz w:val="20"/>
                <w:szCs w:val="20"/>
                <w:vertAlign w:val="superscript"/>
              </w:rPr>
              <w:t>i</w:t>
            </w:r>
            <w:proofErr w:type="spellEnd"/>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rPr>
          <w:trHeight w:val="77"/>
        </w:trPr>
        <w:tc>
          <w:tcPr>
            <w:tcW w:w="9083" w:type="dxa"/>
            <w:gridSpan w:val="7"/>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 xml:space="preserve">Reduction in number of administrations for drugs not used </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proofErr w:type="spellStart"/>
            <w:r w:rsidRPr="00243081">
              <w:rPr>
                <w:rFonts w:ascii="Arial Narrow" w:hAnsi="Arial Narrow"/>
                <w:sz w:val="20"/>
                <w:szCs w:val="20"/>
              </w:rPr>
              <w:t>Pembrolizumab</w:t>
            </w:r>
            <w:proofErr w:type="spellEnd"/>
            <w:r w:rsidRPr="00243081">
              <w:rPr>
                <w:rFonts w:ascii="Arial Narrow" w:hAnsi="Arial Narrow"/>
                <w:sz w:val="20"/>
                <w:szCs w:val="20"/>
              </w:rPr>
              <w:t xml:space="preserve"> 100mg</w:t>
            </w:r>
            <w:r w:rsidRPr="00243081">
              <w:rPr>
                <w:rFonts w:ascii="Arial Narrow" w:hAnsi="Arial Narrow"/>
                <w:sz w:val="20"/>
                <w:szCs w:val="20"/>
                <w:vertAlign w:val="superscript"/>
              </w:rPr>
              <w:t>i,j</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rPr>
            </w:pPr>
            <w:proofErr w:type="spellStart"/>
            <w:r w:rsidRPr="00243081">
              <w:rPr>
                <w:rFonts w:ascii="Arial Narrow" w:hAnsi="Arial Narrow"/>
                <w:sz w:val="20"/>
                <w:szCs w:val="20"/>
              </w:rPr>
              <w:t>Pemetrexed</w:t>
            </w:r>
            <w:proofErr w:type="spellEnd"/>
            <w:r w:rsidRPr="00243081">
              <w:rPr>
                <w:rFonts w:ascii="Arial Narrow" w:hAnsi="Arial Narrow"/>
                <w:sz w:val="20"/>
                <w:szCs w:val="20"/>
              </w:rPr>
              <w:t xml:space="preserve"> 100mg</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t>Carboplatin 150mg</w:t>
            </w:r>
            <w:r w:rsidRPr="00243081">
              <w:rPr>
                <w:rFonts w:ascii="Arial Narrow" w:hAnsi="Arial Narrow"/>
                <w:sz w:val="20"/>
                <w:szCs w:val="20"/>
                <w:vertAlign w:val="superscript"/>
              </w:rPr>
              <w:t>e</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t>Cisplatin 50mg</w:t>
            </w:r>
            <w:r w:rsidRPr="00243081">
              <w:rPr>
                <w:rFonts w:ascii="Arial Narrow" w:hAnsi="Arial Narrow"/>
                <w:sz w:val="20"/>
                <w:szCs w:val="20"/>
                <w:vertAlign w:val="superscript"/>
              </w:rPr>
              <w:t>e</w:t>
            </w:r>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rPr>
          <w:trHeight w:val="77"/>
        </w:trPr>
        <w:tc>
          <w:tcPr>
            <w:tcW w:w="9083" w:type="dxa"/>
            <w:gridSpan w:val="7"/>
            <w:vAlign w:val="center"/>
          </w:tcPr>
          <w:p w:rsidR="00C92C54" w:rsidRPr="00243081" w:rsidRDefault="00C92C54" w:rsidP="00D829A0">
            <w:pPr>
              <w:spacing w:before="40" w:after="40"/>
              <w:jc w:val="left"/>
              <w:rPr>
                <w:rFonts w:ascii="Arial Narrow" w:hAnsi="Arial Narrow"/>
                <w:b/>
                <w:sz w:val="20"/>
                <w:szCs w:val="20"/>
                <w:vertAlign w:val="superscript"/>
              </w:rPr>
            </w:pPr>
            <w:r w:rsidRPr="00243081">
              <w:rPr>
                <w:rFonts w:ascii="Arial Narrow" w:hAnsi="Arial Narrow"/>
                <w:b/>
                <w:sz w:val="20"/>
                <w:szCs w:val="20"/>
              </w:rPr>
              <w:t>Reduction in cost of drugs not used (PBS + RPBS)</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rPr>
            </w:pPr>
            <w:proofErr w:type="spellStart"/>
            <w:r w:rsidRPr="00243081">
              <w:rPr>
                <w:rFonts w:ascii="Arial Narrow" w:hAnsi="Arial Narrow"/>
                <w:sz w:val="20"/>
                <w:szCs w:val="20"/>
              </w:rPr>
              <w:t>Pembrolizumab</w:t>
            </w:r>
            <w:proofErr w:type="spellEnd"/>
            <w:r w:rsidRPr="00243081">
              <w:rPr>
                <w:rFonts w:ascii="Arial Narrow" w:hAnsi="Arial Narrow"/>
                <w:sz w:val="20"/>
                <w:szCs w:val="20"/>
              </w:rPr>
              <w:t xml:space="preserve"> 100mg</w:t>
            </w:r>
            <w:r w:rsidRPr="00243081">
              <w:rPr>
                <w:rFonts w:ascii="Arial Narrow" w:hAnsi="Arial Narrow"/>
                <w:sz w:val="20"/>
                <w:szCs w:val="20"/>
                <w:vertAlign w:val="superscript"/>
              </w:rPr>
              <w:t>j</w:t>
            </w:r>
            <w:r w:rsidRPr="00243081">
              <w:rPr>
                <w:rFonts w:ascii="Arial Narrow" w:hAnsi="Arial Narrow"/>
                <w:sz w:val="20"/>
                <w:szCs w:val="20"/>
              </w:rPr>
              <w:t xml:space="preserve"> </w:t>
            </w:r>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proofErr w:type="spellStart"/>
            <w:r w:rsidRPr="00243081">
              <w:rPr>
                <w:rFonts w:ascii="Arial Narrow" w:hAnsi="Arial Narrow"/>
                <w:sz w:val="20"/>
                <w:szCs w:val="20"/>
              </w:rPr>
              <w:t>Pemetrexed</w:t>
            </w:r>
            <w:proofErr w:type="spellEnd"/>
            <w:r w:rsidRPr="00243081">
              <w:rPr>
                <w:rFonts w:ascii="Arial Narrow" w:hAnsi="Arial Narrow"/>
                <w:sz w:val="20"/>
                <w:szCs w:val="20"/>
              </w:rPr>
              <w:t xml:space="preserve"> 100mg</w:t>
            </w:r>
            <w:r w:rsidRPr="00243081">
              <w:rPr>
                <w:rFonts w:ascii="Arial Narrow" w:hAnsi="Arial Narrow"/>
                <w:sz w:val="20"/>
                <w:szCs w:val="20"/>
                <w:vertAlign w:val="superscript"/>
              </w:rPr>
              <w:t>g</w:t>
            </w:r>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t>Carboplatin 150mg</w:t>
            </w:r>
            <w:r w:rsidRPr="00243081">
              <w:rPr>
                <w:rFonts w:ascii="Arial Narrow" w:hAnsi="Arial Narrow"/>
                <w:sz w:val="20"/>
                <w:szCs w:val="20"/>
                <w:vertAlign w:val="superscript"/>
              </w:rPr>
              <w:t>e</w:t>
            </w:r>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sz w:val="20"/>
                <w:szCs w:val="20"/>
                <w:vertAlign w:val="superscript"/>
              </w:rPr>
            </w:pPr>
            <w:r w:rsidRPr="00243081">
              <w:rPr>
                <w:rFonts w:ascii="Arial Narrow" w:hAnsi="Arial Narrow"/>
                <w:sz w:val="20"/>
                <w:szCs w:val="20"/>
              </w:rPr>
              <w:lastRenderedPageBreak/>
              <w:t>Cisplatin 50mg</w:t>
            </w:r>
            <w:r w:rsidRPr="00243081">
              <w:rPr>
                <w:rFonts w:ascii="Arial Narrow" w:hAnsi="Arial Narrow"/>
                <w:sz w:val="20"/>
                <w:szCs w:val="20"/>
                <w:vertAlign w:val="superscript"/>
              </w:rPr>
              <w:t>e</w:t>
            </w:r>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b/>
                <w:sz w:val="20"/>
                <w:szCs w:val="20"/>
              </w:rPr>
            </w:pPr>
            <w:proofErr w:type="spellStart"/>
            <w:r w:rsidRPr="00243081">
              <w:rPr>
                <w:rFonts w:ascii="Arial Narrow" w:hAnsi="Arial Narrow"/>
                <w:b/>
                <w:sz w:val="20"/>
                <w:szCs w:val="20"/>
              </w:rPr>
              <w:t>Copayments</w:t>
            </w:r>
            <w:proofErr w:type="spellEnd"/>
          </w:p>
        </w:tc>
        <w:tc>
          <w:tcPr>
            <w:tcW w:w="134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sz w:val="20"/>
                <w:szCs w:val="20"/>
              </w:rPr>
            </w:pPr>
            <w:r w:rsidRPr="00243081">
              <w:rPr>
                <w:rFonts w:ascii="Arial Narrow" w:hAnsi="Arial Narrow"/>
                <w:sz w:val="20"/>
                <w:szCs w:val="20"/>
              </w:rPr>
              <w:t>-$</w:t>
            </w:r>
            <w:r w:rsidR="00227BBD">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 xml:space="preserve">Total reduction drugs net </w:t>
            </w:r>
            <w:proofErr w:type="spellStart"/>
            <w:r w:rsidRPr="00243081">
              <w:rPr>
                <w:rFonts w:ascii="Arial Narrow" w:hAnsi="Arial Narrow"/>
                <w:b/>
                <w:sz w:val="20"/>
                <w:szCs w:val="20"/>
              </w:rPr>
              <w:t>copayment</w:t>
            </w:r>
            <w:proofErr w:type="spellEnd"/>
          </w:p>
        </w:tc>
        <w:tc>
          <w:tcPr>
            <w:tcW w:w="134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r>
      <w:tr w:rsidR="00C92C54" w:rsidRPr="00243081" w:rsidTr="00361710">
        <w:trPr>
          <w:trHeight w:val="77"/>
        </w:trPr>
        <w:tc>
          <w:tcPr>
            <w:tcW w:w="1339" w:type="dxa"/>
            <w:shd w:val="clear" w:color="auto" w:fill="auto"/>
            <w:vAlign w:val="center"/>
          </w:tcPr>
          <w:p w:rsidR="00C92C54" w:rsidRPr="00B47AA8" w:rsidRDefault="00B47AA8" w:rsidP="00D829A0">
            <w:pPr>
              <w:spacing w:before="40" w:after="40"/>
              <w:jc w:val="left"/>
              <w:rPr>
                <w:rFonts w:ascii="Arial Narrow" w:hAnsi="Arial Narrow"/>
                <w:b/>
                <w:sz w:val="20"/>
                <w:szCs w:val="20"/>
                <w:highlight w:val="black"/>
              </w:rPr>
            </w:pPr>
            <w:r>
              <w:rPr>
                <w:rFonts w:ascii="Arial Narrow" w:hAnsi="Arial Narrow"/>
                <w:b/>
                <w:noProof/>
                <w:color w:val="000000"/>
                <w:sz w:val="20"/>
                <w:szCs w:val="20"/>
                <w:highlight w:val="black"/>
              </w:rPr>
              <w:t>''''''''''''''''''''''' '''' ''''''''' '''' ''''' ''''''''''''''''''''''</w:t>
            </w:r>
          </w:p>
        </w:tc>
        <w:tc>
          <w:tcPr>
            <w:tcW w:w="1340" w:type="dxa"/>
            <w:shd w:val="clear" w:color="auto" w:fill="auto"/>
            <w:vAlign w:val="center"/>
          </w:tcPr>
          <w:p w:rsidR="00C92C54" w:rsidRPr="00B47AA8" w:rsidRDefault="00B47AA8"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shd w:val="clear" w:color="auto" w:fill="auto"/>
            <w:vAlign w:val="center"/>
          </w:tcPr>
          <w:p w:rsidR="00C92C54" w:rsidRPr="00B47AA8" w:rsidRDefault="00B47AA8"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rPr>
          <w:trHeight w:val="77"/>
        </w:trPr>
        <w:tc>
          <w:tcPr>
            <w:tcW w:w="9083" w:type="dxa"/>
            <w:gridSpan w:val="7"/>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Estimated financial impact for PBS/RPBS</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Total change in PBS/RPBS budget</w:t>
            </w:r>
          </w:p>
        </w:tc>
        <w:tc>
          <w:tcPr>
            <w:tcW w:w="134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r>
      <w:tr w:rsidR="00C92C54" w:rsidRPr="00243081" w:rsidTr="00361710">
        <w:trPr>
          <w:trHeight w:val="77"/>
        </w:trPr>
        <w:tc>
          <w:tcPr>
            <w:tcW w:w="1339" w:type="dxa"/>
            <w:shd w:val="clear" w:color="auto" w:fill="auto"/>
            <w:vAlign w:val="center"/>
          </w:tcPr>
          <w:p w:rsidR="00C92C54" w:rsidRPr="00B47AA8" w:rsidRDefault="00B47AA8" w:rsidP="00D829A0">
            <w:pPr>
              <w:spacing w:before="40" w:after="40"/>
              <w:jc w:val="left"/>
              <w:rPr>
                <w:rFonts w:ascii="Arial Narrow" w:hAnsi="Arial Narrow"/>
                <w:b/>
                <w:sz w:val="20"/>
                <w:szCs w:val="20"/>
                <w:highlight w:val="black"/>
              </w:rPr>
            </w:pPr>
            <w:r>
              <w:rPr>
                <w:rFonts w:ascii="Arial Narrow" w:hAnsi="Arial Narrow"/>
                <w:b/>
                <w:noProof/>
                <w:color w:val="000000"/>
                <w:sz w:val="20"/>
                <w:szCs w:val="20"/>
                <w:highlight w:val="black"/>
              </w:rPr>
              <w:t>''''''''''' '''''''''''''' '''' '''''''''''''''''''''' '''''''''''''' ''''''''' '''''''''''''''''''' ''''''''''''</w:t>
            </w:r>
          </w:p>
        </w:tc>
        <w:tc>
          <w:tcPr>
            <w:tcW w:w="1340"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0"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C92C54" w:rsidRPr="00243081" w:rsidTr="00C92C54">
        <w:trPr>
          <w:trHeight w:val="77"/>
        </w:trPr>
        <w:tc>
          <w:tcPr>
            <w:tcW w:w="9083" w:type="dxa"/>
            <w:gridSpan w:val="7"/>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Estimated financial implications for the health budget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b/>
                <w:sz w:val="20"/>
                <w:szCs w:val="20"/>
                <w:vertAlign w:val="superscript"/>
              </w:rPr>
            </w:pPr>
            <w:r w:rsidRPr="00243081">
              <w:rPr>
                <w:rFonts w:ascii="Arial Narrow" w:hAnsi="Arial Narrow"/>
                <w:b/>
                <w:sz w:val="20"/>
                <w:szCs w:val="20"/>
              </w:rPr>
              <w:t xml:space="preserve">Change in script </w:t>
            </w:r>
            <w:proofErr w:type="spellStart"/>
            <w:r w:rsidRPr="00243081">
              <w:rPr>
                <w:rFonts w:ascii="Arial Narrow" w:hAnsi="Arial Narrow"/>
                <w:b/>
                <w:sz w:val="20"/>
                <w:szCs w:val="20"/>
              </w:rPr>
              <w:t>numbers</w:t>
            </w:r>
            <w:r w:rsidRPr="00243081">
              <w:rPr>
                <w:rFonts w:ascii="Arial Narrow" w:hAnsi="Arial Narrow"/>
                <w:b/>
                <w:sz w:val="20"/>
                <w:szCs w:val="20"/>
                <w:vertAlign w:val="superscript"/>
              </w:rPr>
              <w:t>k</w:t>
            </w:r>
            <w:proofErr w:type="spellEnd"/>
          </w:p>
        </w:tc>
        <w:tc>
          <w:tcPr>
            <w:tcW w:w="134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0"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81" w:type="dxa"/>
            <w:vAlign w:val="center"/>
          </w:tcPr>
          <w:p w:rsidR="00C92C54" w:rsidRPr="00227BBD" w:rsidRDefault="00227BBD" w:rsidP="00D829A0">
            <w:pPr>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b/>
                <w:sz w:val="20"/>
                <w:szCs w:val="20"/>
                <w:vertAlign w:val="superscript"/>
              </w:rPr>
            </w:pPr>
            <w:r w:rsidRPr="00243081">
              <w:rPr>
                <w:rFonts w:ascii="Arial Narrow" w:hAnsi="Arial Narrow"/>
                <w:b/>
                <w:sz w:val="20"/>
                <w:szCs w:val="20"/>
              </w:rPr>
              <w:t xml:space="preserve">Total MBS </w:t>
            </w:r>
            <w:proofErr w:type="spellStart"/>
            <w:r w:rsidRPr="00243081">
              <w:rPr>
                <w:rFonts w:ascii="Arial Narrow" w:hAnsi="Arial Narrow"/>
                <w:b/>
                <w:sz w:val="20"/>
                <w:szCs w:val="20"/>
              </w:rPr>
              <w:t>cost</w:t>
            </w:r>
            <w:r w:rsidRPr="00243081">
              <w:rPr>
                <w:rFonts w:ascii="Arial Narrow" w:hAnsi="Arial Narrow"/>
                <w:b/>
                <w:sz w:val="20"/>
                <w:szCs w:val="20"/>
                <w:vertAlign w:val="superscript"/>
              </w:rPr>
              <w:t>i</w:t>
            </w:r>
            <w:proofErr w:type="spellEnd"/>
          </w:p>
        </w:tc>
        <w:tc>
          <w:tcPr>
            <w:tcW w:w="134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r>
      <w:tr w:rsidR="00C92C54" w:rsidRPr="00243081" w:rsidTr="00C92C54">
        <w:trPr>
          <w:trHeight w:val="77"/>
        </w:trPr>
        <w:tc>
          <w:tcPr>
            <w:tcW w:w="1339" w:type="dxa"/>
            <w:vAlign w:val="center"/>
          </w:tcPr>
          <w:p w:rsidR="00C92C54" w:rsidRPr="00243081" w:rsidRDefault="00C92C54" w:rsidP="00D829A0">
            <w:pPr>
              <w:spacing w:before="40" w:after="40"/>
              <w:jc w:val="left"/>
              <w:rPr>
                <w:rFonts w:ascii="Arial Narrow" w:hAnsi="Arial Narrow"/>
                <w:b/>
                <w:sz w:val="20"/>
                <w:szCs w:val="20"/>
              </w:rPr>
            </w:pPr>
            <w:r w:rsidRPr="00243081">
              <w:rPr>
                <w:rFonts w:ascii="Arial Narrow" w:hAnsi="Arial Narrow"/>
                <w:b/>
                <w:sz w:val="20"/>
                <w:szCs w:val="20"/>
              </w:rPr>
              <w:t>Total change in government budget</w:t>
            </w:r>
          </w:p>
        </w:tc>
        <w:tc>
          <w:tcPr>
            <w:tcW w:w="134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0"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c>
          <w:tcPr>
            <w:tcW w:w="1281" w:type="dxa"/>
            <w:vAlign w:val="center"/>
          </w:tcPr>
          <w:p w:rsidR="00C92C54" w:rsidRPr="00243081" w:rsidRDefault="00C92C54" w:rsidP="00D829A0">
            <w:pPr>
              <w:spacing w:before="40" w:after="40"/>
              <w:jc w:val="center"/>
              <w:rPr>
                <w:rFonts w:ascii="Arial Narrow" w:hAnsi="Arial Narrow"/>
                <w:b/>
                <w:sz w:val="20"/>
                <w:szCs w:val="20"/>
              </w:rPr>
            </w:pPr>
            <w:r w:rsidRPr="00243081">
              <w:rPr>
                <w:rFonts w:ascii="Arial Narrow" w:hAnsi="Arial Narrow"/>
                <w:b/>
                <w:sz w:val="20"/>
                <w:szCs w:val="20"/>
              </w:rPr>
              <w:t>$</w:t>
            </w:r>
            <w:r w:rsidR="00227BBD">
              <w:rPr>
                <w:rFonts w:ascii="Arial Narrow" w:hAnsi="Arial Narrow"/>
                <w:b/>
                <w:noProof/>
                <w:color w:val="000000"/>
                <w:sz w:val="20"/>
                <w:szCs w:val="20"/>
                <w:highlight w:val="black"/>
              </w:rPr>
              <w:t>''''''''''''''''''''''''</w:t>
            </w:r>
          </w:p>
        </w:tc>
      </w:tr>
      <w:tr w:rsidR="00C92C54" w:rsidRPr="00243081" w:rsidTr="00361710">
        <w:trPr>
          <w:trHeight w:val="77"/>
        </w:trPr>
        <w:tc>
          <w:tcPr>
            <w:tcW w:w="1339" w:type="dxa"/>
            <w:shd w:val="clear" w:color="auto" w:fill="auto"/>
            <w:vAlign w:val="center"/>
          </w:tcPr>
          <w:p w:rsidR="00C92C54" w:rsidRPr="00B47AA8" w:rsidRDefault="00B47AA8" w:rsidP="00D829A0">
            <w:pPr>
              <w:spacing w:before="40" w:after="40"/>
              <w:jc w:val="left"/>
              <w:rPr>
                <w:rFonts w:ascii="Arial Narrow" w:hAnsi="Arial Narrow"/>
                <w:b/>
                <w:sz w:val="20"/>
                <w:szCs w:val="20"/>
                <w:highlight w:val="black"/>
              </w:rPr>
            </w:pPr>
            <w:r>
              <w:rPr>
                <w:rFonts w:ascii="Arial Narrow" w:hAnsi="Arial Narrow"/>
                <w:b/>
                <w:noProof/>
                <w:color w:val="000000"/>
                <w:sz w:val="20"/>
                <w:szCs w:val="20"/>
                <w:highlight w:val="black"/>
              </w:rPr>
              <w:t xml:space="preserve">'''''''''' '''''''''''''''' ''''' ''''''''''''''''''''''''''' '''''''''''''''' '''''''' ''''''''''''''''''''''' ''''''''''''' </w:t>
            </w:r>
          </w:p>
        </w:tc>
        <w:tc>
          <w:tcPr>
            <w:tcW w:w="1340"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0"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281" w:type="dxa"/>
            <w:shd w:val="clear" w:color="auto" w:fill="auto"/>
            <w:vAlign w:val="center"/>
          </w:tcPr>
          <w:p w:rsidR="00C92C54" w:rsidRPr="00B47AA8" w:rsidRDefault="00B47AA8" w:rsidP="00D829A0">
            <w:pPr>
              <w:spacing w:before="40" w:after="40"/>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bl>
    <w:p w:rsidR="00C92C54" w:rsidRPr="00243081" w:rsidRDefault="00C92C54" w:rsidP="00C92C54">
      <w:pPr>
        <w:rPr>
          <w:rFonts w:ascii="Arial Narrow" w:hAnsi="Arial Narrow"/>
          <w:sz w:val="18"/>
          <w:szCs w:val="18"/>
        </w:rPr>
      </w:pPr>
      <w:r w:rsidRPr="00243081">
        <w:rPr>
          <w:rFonts w:ascii="Arial Narrow" w:hAnsi="Arial Narrow"/>
          <w:sz w:val="18"/>
          <w:szCs w:val="18"/>
        </w:rPr>
        <w:t>1L = first</w:t>
      </w:r>
      <w:r w:rsidR="005A5031" w:rsidRPr="00243081">
        <w:rPr>
          <w:rFonts w:ascii="Arial Narrow" w:hAnsi="Arial Narrow"/>
          <w:sz w:val="18"/>
          <w:szCs w:val="18"/>
        </w:rPr>
        <w:t>-</w:t>
      </w:r>
      <w:r w:rsidRPr="00243081">
        <w:rPr>
          <w:rFonts w:ascii="Arial Narrow" w:hAnsi="Arial Narrow"/>
          <w:sz w:val="18"/>
          <w:szCs w:val="18"/>
        </w:rPr>
        <w:t>line treatment</w:t>
      </w:r>
    </w:p>
    <w:p w:rsidR="00C92C54" w:rsidRPr="00243081" w:rsidRDefault="00C92C54" w:rsidP="00C92C54">
      <w:pPr>
        <w:tabs>
          <w:tab w:val="left" w:pos="284"/>
        </w:tabs>
        <w:ind w:left="284" w:hanging="284"/>
        <w:rPr>
          <w:rFonts w:ascii="Arial Narrow" w:hAnsi="Arial Narrow"/>
          <w:sz w:val="18"/>
          <w:szCs w:val="18"/>
        </w:rPr>
      </w:pPr>
      <w:proofErr w:type="spellStart"/>
      <w:proofErr w:type="gramStart"/>
      <w:r w:rsidRPr="00243081">
        <w:rPr>
          <w:rFonts w:ascii="Arial Narrow" w:hAnsi="Arial Narrow"/>
          <w:sz w:val="18"/>
          <w:szCs w:val="18"/>
          <w:vertAlign w:val="superscript"/>
        </w:rPr>
        <w:t>a</w:t>
      </w:r>
      <w:proofErr w:type="spellEnd"/>
      <w:proofErr w:type="gramEnd"/>
      <w:r w:rsidRPr="00243081">
        <w:rPr>
          <w:rFonts w:ascii="Arial Narrow" w:hAnsi="Arial Narrow"/>
          <w:sz w:val="18"/>
          <w:szCs w:val="18"/>
        </w:rPr>
        <w:tab/>
        <w:t>Includes 100 grandfathered patients</w:t>
      </w:r>
    </w:p>
    <w:p w:rsidR="00C92C54" w:rsidRPr="00243081" w:rsidRDefault="00C92C54" w:rsidP="00C92C54">
      <w:pPr>
        <w:tabs>
          <w:tab w:val="left" w:pos="284"/>
        </w:tabs>
        <w:ind w:left="284" w:hanging="284"/>
        <w:rPr>
          <w:rFonts w:ascii="Arial Narrow" w:hAnsi="Arial Narrow"/>
          <w:sz w:val="18"/>
          <w:szCs w:val="18"/>
        </w:rPr>
      </w:pPr>
      <w:proofErr w:type="gramStart"/>
      <w:r w:rsidRPr="00243081">
        <w:rPr>
          <w:rFonts w:ascii="Arial Narrow" w:hAnsi="Arial Narrow"/>
          <w:sz w:val="18"/>
          <w:szCs w:val="18"/>
          <w:vertAlign w:val="superscript"/>
        </w:rPr>
        <w:t>b</w:t>
      </w:r>
      <w:proofErr w:type="gramEnd"/>
      <w:r w:rsidRPr="00243081">
        <w:rPr>
          <w:rFonts w:ascii="Arial Narrow" w:hAnsi="Arial Narrow"/>
          <w:sz w:val="18"/>
          <w:szCs w:val="18"/>
          <w:vertAlign w:val="superscript"/>
        </w:rPr>
        <w:tab/>
      </w:r>
      <w:r w:rsidRPr="00243081">
        <w:rPr>
          <w:rFonts w:ascii="Arial Narrow" w:hAnsi="Arial Narrow"/>
          <w:sz w:val="18"/>
          <w:szCs w:val="18"/>
        </w:rPr>
        <w:t>81% of all TPS &lt;50% patients (71.5% of all NSQ NSCLC patients)</w:t>
      </w:r>
    </w:p>
    <w:p w:rsidR="00C92C54" w:rsidRPr="00243081" w:rsidRDefault="00C92C54" w:rsidP="00C92C54">
      <w:pPr>
        <w:tabs>
          <w:tab w:val="left" w:pos="284"/>
        </w:tabs>
        <w:ind w:left="284" w:hanging="284"/>
        <w:rPr>
          <w:rFonts w:ascii="Arial Narrow" w:hAnsi="Arial Narrow"/>
          <w:sz w:val="18"/>
          <w:szCs w:val="18"/>
        </w:rPr>
      </w:pPr>
      <w:proofErr w:type="gramStart"/>
      <w:r w:rsidRPr="00243081">
        <w:rPr>
          <w:rFonts w:ascii="Arial Narrow" w:hAnsi="Arial Narrow"/>
          <w:sz w:val="18"/>
          <w:szCs w:val="18"/>
          <w:vertAlign w:val="superscript"/>
        </w:rPr>
        <w:t>c</w:t>
      </w:r>
      <w:proofErr w:type="gramEnd"/>
      <w:r w:rsidRPr="00243081">
        <w:rPr>
          <w:rFonts w:ascii="Arial Narrow" w:hAnsi="Arial Narrow"/>
          <w:sz w:val="18"/>
          <w:szCs w:val="18"/>
        </w:rPr>
        <w:tab/>
        <w:t xml:space="preserve">80% of 81% of all TPS </w:t>
      </w:r>
      <w:r w:rsidRPr="00243081">
        <w:rPr>
          <w:rFonts w:ascii="Arial Narrow" w:hAnsi="Arial Narrow" w:cs="Calibri"/>
          <w:sz w:val="18"/>
          <w:szCs w:val="18"/>
        </w:rPr>
        <w:t>≥</w:t>
      </w:r>
      <w:r w:rsidRPr="00243081">
        <w:rPr>
          <w:rFonts w:ascii="Arial Narrow" w:hAnsi="Arial Narrow"/>
          <w:sz w:val="18"/>
          <w:szCs w:val="18"/>
        </w:rPr>
        <w:t xml:space="preserve">50% patients (28.5% of all NSQ NSCLC patients), assume remaining 20% will receive </w:t>
      </w:r>
      <w:proofErr w:type="spellStart"/>
      <w:r w:rsidRPr="00243081">
        <w:rPr>
          <w:rFonts w:ascii="Arial Narrow" w:hAnsi="Arial Narrow"/>
          <w:sz w:val="18"/>
          <w:szCs w:val="18"/>
        </w:rPr>
        <w:t>pembrolizumab</w:t>
      </w:r>
      <w:proofErr w:type="spellEnd"/>
      <w:r w:rsidRPr="00243081">
        <w:rPr>
          <w:rFonts w:ascii="Arial Narrow" w:hAnsi="Arial Narrow"/>
          <w:sz w:val="18"/>
          <w:szCs w:val="18"/>
        </w:rPr>
        <w:t xml:space="preserve"> monotherapy</w:t>
      </w:r>
    </w:p>
    <w:p w:rsidR="00C92C54" w:rsidRPr="00243081" w:rsidRDefault="00C92C54" w:rsidP="00C92C54">
      <w:pPr>
        <w:tabs>
          <w:tab w:val="left" w:pos="284"/>
        </w:tabs>
        <w:ind w:left="284" w:hanging="284"/>
        <w:rPr>
          <w:rFonts w:ascii="Arial Narrow" w:hAnsi="Arial Narrow"/>
          <w:sz w:val="18"/>
          <w:szCs w:val="18"/>
        </w:rPr>
      </w:pPr>
      <w:r w:rsidRPr="00243081">
        <w:rPr>
          <w:rFonts w:ascii="Arial Narrow" w:hAnsi="Arial Narrow"/>
          <w:sz w:val="18"/>
          <w:szCs w:val="18"/>
          <w:vertAlign w:val="superscript"/>
        </w:rPr>
        <w:t>d</w:t>
      </w:r>
      <w:r w:rsidRPr="00243081">
        <w:rPr>
          <w:rFonts w:ascii="Arial Narrow" w:hAnsi="Arial Narrow"/>
          <w:sz w:val="18"/>
          <w:szCs w:val="18"/>
        </w:rPr>
        <w:tab/>
        <w:t xml:space="preserve">Estimated by number of patients with PD-L1 TPS &lt;50% multiplied by average number of administrations + number of patients with PD-L1 TPS </w:t>
      </w:r>
      <w:r w:rsidRPr="00243081">
        <w:rPr>
          <w:rFonts w:ascii="Arial Narrow" w:hAnsi="Arial Narrow" w:cs="Calibri"/>
          <w:sz w:val="18"/>
          <w:szCs w:val="18"/>
        </w:rPr>
        <w:t>≥</w:t>
      </w:r>
      <w:r w:rsidRPr="00243081">
        <w:rPr>
          <w:rFonts w:ascii="Arial Narrow" w:hAnsi="Arial Narrow"/>
          <w:sz w:val="18"/>
          <w:szCs w:val="18"/>
        </w:rPr>
        <w:t>50% % multiplied by average number of administrations</w:t>
      </w:r>
    </w:p>
    <w:p w:rsidR="00C92C54" w:rsidRPr="00243081" w:rsidRDefault="00C92C54" w:rsidP="00C92C54">
      <w:pPr>
        <w:tabs>
          <w:tab w:val="left" w:pos="284"/>
        </w:tabs>
        <w:ind w:left="284" w:hanging="284"/>
        <w:rPr>
          <w:rFonts w:ascii="Arial Narrow" w:hAnsi="Arial Narrow"/>
          <w:sz w:val="18"/>
          <w:szCs w:val="18"/>
        </w:rPr>
      </w:pPr>
      <w:proofErr w:type="spellStart"/>
      <w:proofErr w:type="gramStart"/>
      <w:r w:rsidRPr="00243081">
        <w:rPr>
          <w:rFonts w:ascii="Arial Narrow" w:hAnsi="Arial Narrow"/>
          <w:sz w:val="18"/>
          <w:szCs w:val="18"/>
          <w:vertAlign w:val="superscript"/>
        </w:rPr>
        <w:t>e</w:t>
      </w:r>
      <w:proofErr w:type="spellEnd"/>
      <w:proofErr w:type="gramEnd"/>
      <w:r w:rsidRPr="00243081">
        <w:rPr>
          <w:rFonts w:ascii="Arial Narrow" w:hAnsi="Arial Narrow"/>
          <w:sz w:val="18"/>
          <w:szCs w:val="18"/>
          <w:vertAlign w:val="superscript"/>
        </w:rPr>
        <w:t xml:space="preserve"> </w:t>
      </w:r>
      <w:r w:rsidRPr="00243081">
        <w:rPr>
          <w:rFonts w:ascii="Arial Narrow" w:hAnsi="Arial Narrow"/>
          <w:sz w:val="18"/>
          <w:szCs w:val="18"/>
          <w:vertAlign w:val="superscript"/>
        </w:rPr>
        <w:tab/>
      </w:r>
      <w:r w:rsidRPr="00243081">
        <w:rPr>
          <w:rFonts w:ascii="Arial Narrow" w:hAnsi="Arial Narrow"/>
          <w:sz w:val="18"/>
          <w:szCs w:val="18"/>
        </w:rPr>
        <w:t xml:space="preserve">Assume 72% of all patients will use carboplatin and 28% will use cisplatin </w:t>
      </w:r>
    </w:p>
    <w:p w:rsidR="00C92C54" w:rsidRPr="00243081" w:rsidRDefault="00C92C54" w:rsidP="00C92C54">
      <w:pPr>
        <w:tabs>
          <w:tab w:val="left" w:pos="284"/>
        </w:tabs>
        <w:ind w:left="284" w:hanging="284"/>
        <w:rPr>
          <w:rFonts w:ascii="Arial Narrow" w:hAnsi="Arial Narrow"/>
          <w:sz w:val="18"/>
          <w:szCs w:val="18"/>
        </w:rPr>
      </w:pPr>
      <w:proofErr w:type="gramStart"/>
      <w:r w:rsidRPr="00243081">
        <w:rPr>
          <w:rFonts w:ascii="Arial Narrow" w:hAnsi="Arial Narrow"/>
          <w:sz w:val="18"/>
          <w:szCs w:val="18"/>
          <w:vertAlign w:val="superscript"/>
        </w:rPr>
        <w:t>f</w:t>
      </w:r>
      <w:proofErr w:type="gramEnd"/>
      <w:r w:rsidRPr="00243081">
        <w:rPr>
          <w:rFonts w:ascii="Arial Narrow" w:hAnsi="Arial Narrow"/>
          <w:sz w:val="18"/>
          <w:szCs w:val="18"/>
        </w:rPr>
        <w:t xml:space="preserve"> </w:t>
      </w:r>
      <w:r w:rsidRPr="00243081">
        <w:rPr>
          <w:rFonts w:ascii="Arial Narrow" w:hAnsi="Arial Narrow"/>
          <w:sz w:val="18"/>
          <w:szCs w:val="18"/>
        </w:rPr>
        <w:tab/>
        <w:t xml:space="preserve">An error was made by the submission; cell referenced to the total </w:t>
      </w:r>
      <w:proofErr w:type="spellStart"/>
      <w:r w:rsidR="004A43D9" w:rsidRPr="00243081">
        <w:rPr>
          <w:rFonts w:ascii="Arial Narrow" w:hAnsi="Arial Narrow"/>
          <w:sz w:val="18"/>
          <w:szCs w:val="18"/>
        </w:rPr>
        <w:t>pembrolizumab+platinum+pemetrexed</w:t>
      </w:r>
      <w:proofErr w:type="spellEnd"/>
      <w:r w:rsidRPr="00243081">
        <w:rPr>
          <w:rFonts w:ascii="Arial Narrow" w:hAnsi="Arial Narrow"/>
          <w:sz w:val="18"/>
          <w:szCs w:val="18"/>
        </w:rPr>
        <w:t xml:space="preserve"> cost rather than </w:t>
      </w:r>
      <w:proofErr w:type="spellStart"/>
      <w:r w:rsidRPr="00243081">
        <w:rPr>
          <w:rFonts w:ascii="Arial Narrow" w:hAnsi="Arial Narrow"/>
          <w:sz w:val="18"/>
          <w:szCs w:val="18"/>
        </w:rPr>
        <w:t>pembrolizumab</w:t>
      </w:r>
      <w:proofErr w:type="spellEnd"/>
      <w:r w:rsidRPr="00243081">
        <w:rPr>
          <w:rFonts w:ascii="Arial Narrow" w:hAnsi="Arial Narrow"/>
          <w:sz w:val="18"/>
          <w:szCs w:val="18"/>
        </w:rPr>
        <w:t xml:space="preserve"> only cost, so the submission’s estimates were overestimated. Estimates provided in the Commentary are based on an effective weighted price of $</w:t>
      </w:r>
      <w:r w:rsidR="00227BBD">
        <w:rPr>
          <w:rFonts w:ascii="Arial Narrow" w:hAnsi="Arial Narrow"/>
          <w:noProof/>
          <w:color w:val="000000"/>
          <w:sz w:val="18"/>
          <w:szCs w:val="18"/>
          <w:highlight w:val="black"/>
        </w:rPr>
        <w:t>''''''''''''''''''''''</w:t>
      </w:r>
      <w:r w:rsidRPr="00243081">
        <w:rPr>
          <w:rFonts w:ascii="Arial Narrow" w:hAnsi="Arial Narrow"/>
          <w:sz w:val="18"/>
          <w:szCs w:val="18"/>
        </w:rPr>
        <w:t xml:space="preserve"> (spreadsheet provided with the submission used a cost of $</w:t>
      </w:r>
      <w:r w:rsidR="00227BBD">
        <w:rPr>
          <w:rFonts w:ascii="Arial Narrow" w:hAnsi="Arial Narrow"/>
          <w:noProof/>
          <w:color w:val="000000"/>
          <w:sz w:val="18"/>
          <w:szCs w:val="18"/>
          <w:highlight w:val="black"/>
        </w:rPr>
        <w:t>'''''''''''''''''''''</w:t>
      </w:r>
      <w:r w:rsidRPr="00243081">
        <w:rPr>
          <w:rFonts w:ascii="Arial Narrow" w:hAnsi="Arial Narrow"/>
          <w:sz w:val="18"/>
          <w:szCs w:val="18"/>
        </w:rPr>
        <w:t xml:space="preserve">, the cost of the whole </w:t>
      </w:r>
      <w:proofErr w:type="spellStart"/>
      <w:r w:rsidR="004A43D9" w:rsidRPr="00243081">
        <w:rPr>
          <w:rFonts w:ascii="Arial Narrow" w:hAnsi="Arial Narrow"/>
          <w:sz w:val="18"/>
          <w:szCs w:val="18"/>
        </w:rPr>
        <w:t>pembrolizumab+platinum+pemetrexed</w:t>
      </w:r>
      <w:proofErr w:type="spellEnd"/>
      <w:r w:rsidRPr="00243081">
        <w:rPr>
          <w:rFonts w:ascii="Arial Narrow" w:hAnsi="Arial Narrow"/>
          <w:sz w:val="18"/>
          <w:szCs w:val="18"/>
        </w:rPr>
        <w:t xml:space="preserve"> regimen, not just </w:t>
      </w:r>
      <w:proofErr w:type="spellStart"/>
      <w:r w:rsidRPr="00243081">
        <w:rPr>
          <w:rFonts w:ascii="Arial Narrow" w:hAnsi="Arial Narrow"/>
          <w:sz w:val="18"/>
          <w:szCs w:val="18"/>
        </w:rPr>
        <w:t>pembrolizumab</w:t>
      </w:r>
      <w:proofErr w:type="spellEnd"/>
      <w:r w:rsidRPr="00243081">
        <w:rPr>
          <w:rFonts w:ascii="Arial Narrow" w:hAnsi="Arial Narrow"/>
          <w:sz w:val="18"/>
          <w:szCs w:val="18"/>
        </w:rPr>
        <w:t>)</w:t>
      </w:r>
    </w:p>
    <w:p w:rsidR="00C92C54" w:rsidRPr="00243081" w:rsidRDefault="00C92C54" w:rsidP="00C92C54">
      <w:pPr>
        <w:tabs>
          <w:tab w:val="left" w:pos="284"/>
        </w:tabs>
        <w:ind w:left="284" w:hanging="284"/>
        <w:rPr>
          <w:rFonts w:ascii="Arial Narrow" w:hAnsi="Arial Narrow"/>
          <w:sz w:val="18"/>
          <w:szCs w:val="18"/>
        </w:rPr>
      </w:pPr>
      <w:proofErr w:type="gramStart"/>
      <w:r w:rsidRPr="00243081">
        <w:rPr>
          <w:rFonts w:ascii="Arial Narrow" w:hAnsi="Arial Narrow"/>
          <w:sz w:val="18"/>
          <w:szCs w:val="18"/>
          <w:vertAlign w:val="superscript"/>
        </w:rPr>
        <w:t>g</w:t>
      </w:r>
      <w:proofErr w:type="gramEnd"/>
      <w:r w:rsidRPr="00243081">
        <w:rPr>
          <w:rFonts w:ascii="Arial Narrow" w:hAnsi="Arial Narrow"/>
          <w:sz w:val="18"/>
          <w:szCs w:val="18"/>
        </w:rPr>
        <w:tab/>
        <w:t xml:space="preserve">Values in body of submission (Table 4.3-10, p174) were miscalculated.  The submission’s spreadsheet had a bad reference for RPBS patients with PD-L1 TPS </w:t>
      </w:r>
      <w:r w:rsidRPr="00243081">
        <w:rPr>
          <w:rFonts w:ascii="Arial Narrow" w:hAnsi="Arial Narrow" w:cs="Calibri"/>
          <w:sz w:val="18"/>
          <w:szCs w:val="18"/>
        </w:rPr>
        <w:t>≥</w:t>
      </w:r>
      <w:r w:rsidRPr="00243081">
        <w:rPr>
          <w:rFonts w:ascii="Arial Narrow" w:hAnsi="Arial Narrow"/>
          <w:sz w:val="18"/>
          <w:szCs w:val="18"/>
        </w:rPr>
        <w:t xml:space="preserve">50% and underestimated the number of administrations for </w:t>
      </w:r>
      <w:proofErr w:type="spellStart"/>
      <w:r w:rsidRPr="00243081">
        <w:rPr>
          <w:rFonts w:ascii="Arial Narrow" w:hAnsi="Arial Narrow"/>
          <w:sz w:val="18"/>
          <w:szCs w:val="18"/>
        </w:rPr>
        <w:t>pemetrexed</w:t>
      </w:r>
      <w:proofErr w:type="spellEnd"/>
      <w:r w:rsidRPr="00243081">
        <w:rPr>
          <w:rFonts w:ascii="Arial Narrow" w:hAnsi="Arial Narrow"/>
          <w:sz w:val="18"/>
          <w:szCs w:val="18"/>
        </w:rPr>
        <w:t xml:space="preserve">. </w:t>
      </w:r>
    </w:p>
    <w:p w:rsidR="00C92C54" w:rsidRPr="00243081" w:rsidRDefault="00C92C54" w:rsidP="00C92C54">
      <w:pPr>
        <w:tabs>
          <w:tab w:val="left" w:pos="284"/>
        </w:tabs>
        <w:ind w:left="284" w:hanging="284"/>
        <w:rPr>
          <w:rFonts w:ascii="Arial Narrow" w:hAnsi="Arial Narrow"/>
          <w:sz w:val="18"/>
          <w:szCs w:val="18"/>
        </w:rPr>
      </w:pPr>
      <w:proofErr w:type="gramStart"/>
      <w:r w:rsidRPr="00243081">
        <w:rPr>
          <w:rFonts w:ascii="Arial Narrow" w:hAnsi="Arial Narrow"/>
          <w:sz w:val="18"/>
          <w:szCs w:val="18"/>
          <w:vertAlign w:val="superscript"/>
        </w:rPr>
        <w:t>h</w:t>
      </w:r>
      <w:proofErr w:type="gramEnd"/>
      <w:r w:rsidRPr="00243081">
        <w:rPr>
          <w:rFonts w:ascii="Arial Narrow" w:hAnsi="Arial Narrow"/>
          <w:sz w:val="18"/>
          <w:szCs w:val="18"/>
        </w:rPr>
        <w:t xml:space="preserve"> </w:t>
      </w:r>
      <w:r w:rsidRPr="00243081">
        <w:rPr>
          <w:rFonts w:ascii="Arial Narrow" w:hAnsi="Arial Narrow"/>
          <w:sz w:val="18"/>
          <w:szCs w:val="18"/>
        </w:rPr>
        <w:tab/>
        <w:t>Assume 71% of patients with PD-L1 TPS &lt;50% were treated with platinum doublet</w:t>
      </w:r>
    </w:p>
    <w:p w:rsidR="00C92C54" w:rsidRPr="00243081" w:rsidRDefault="00C92C54" w:rsidP="00C92C54">
      <w:pPr>
        <w:tabs>
          <w:tab w:val="left" w:pos="284"/>
        </w:tabs>
        <w:ind w:left="284" w:hanging="284"/>
        <w:rPr>
          <w:rFonts w:ascii="Arial Narrow" w:hAnsi="Arial Narrow"/>
          <w:sz w:val="18"/>
          <w:szCs w:val="18"/>
        </w:rPr>
      </w:pPr>
      <w:proofErr w:type="spellStart"/>
      <w:r w:rsidRPr="00243081">
        <w:rPr>
          <w:rFonts w:ascii="Arial Narrow" w:hAnsi="Arial Narrow"/>
          <w:sz w:val="18"/>
          <w:szCs w:val="18"/>
          <w:vertAlign w:val="superscript"/>
        </w:rPr>
        <w:t>i</w:t>
      </w:r>
      <w:proofErr w:type="spellEnd"/>
      <w:r w:rsidRPr="00243081">
        <w:rPr>
          <w:rFonts w:ascii="Arial Narrow" w:hAnsi="Arial Narrow"/>
          <w:sz w:val="18"/>
          <w:szCs w:val="18"/>
        </w:rPr>
        <w:tab/>
        <w:t xml:space="preserve"> Submission </w:t>
      </w:r>
      <w:r w:rsidRPr="00243081">
        <w:rPr>
          <w:rFonts w:ascii="Arial Narrow" w:hAnsi="Arial Narrow"/>
          <w:i/>
          <w:sz w:val="18"/>
          <w:szCs w:val="18"/>
        </w:rPr>
        <w:t xml:space="preserve">inappropriately </w:t>
      </w:r>
      <w:r w:rsidRPr="00243081">
        <w:rPr>
          <w:rFonts w:ascii="Arial Narrow" w:hAnsi="Arial Narrow"/>
          <w:sz w:val="18"/>
          <w:szCs w:val="18"/>
        </w:rPr>
        <w:t>a</w:t>
      </w:r>
      <w:r w:rsidRPr="00243081">
        <w:rPr>
          <w:rFonts w:ascii="Arial Narrow" w:hAnsi="Arial Narrow"/>
          <w:i/>
          <w:sz w:val="18"/>
          <w:szCs w:val="18"/>
        </w:rPr>
        <w:t>s</w:t>
      </w:r>
      <w:r w:rsidRPr="00243081">
        <w:rPr>
          <w:rFonts w:ascii="Arial Narrow" w:hAnsi="Arial Narrow"/>
          <w:sz w:val="18"/>
          <w:szCs w:val="18"/>
        </w:rPr>
        <w:t xml:space="preserve">sumed 81% of patients with PD-L1 TPS </w:t>
      </w:r>
      <w:r w:rsidRPr="00243081">
        <w:rPr>
          <w:rFonts w:ascii="Arial Narrow" w:hAnsi="Arial Narrow" w:cs="Calibri"/>
          <w:sz w:val="18"/>
          <w:szCs w:val="18"/>
        </w:rPr>
        <w:t>≥</w:t>
      </w:r>
      <w:r w:rsidRPr="00243081">
        <w:rPr>
          <w:rFonts w:ascii="Arial Narrow" w:hAnsi="Arial Narrow"/>
          <w:sz w:val="18"/>
          <w:szCs w:val="18"/>
        </w:rPr>
        <w:t xml:space="preserve">50% were treated with </w:t>
      </w:r>
      <w:proofErr w:type="spellStart"/>
      <w:r w:rsidRPr="00243081">
        <w:rPr>
          <w:rFonts w:ascii="Arial Narrow" w:hAnsi="Arial Narrow"/>
          <w:sz w:val="18"/>
          <w:szCs w:val="18"/>
        </w:rPr>
        <w:t>pembrolizumab</w:t>
      </w:r>
      <w:proofErr w:type="spellEnd"/>
      <w:r w:rsidRPr="00243081">
        <w:rPr>
          <w:rFonts w:ascii="Arial Narrow" w:hAnsi="Arial Narrow"/>
          <w:sz w:val="18"/>
          <w:szCs w:val="18"/>
        </w:rPr>
        <w:t xml:space="preserve"> monotherapy but did not consider that only 80% switched to </w:t>
      </w:r>
      <w:proofErr w:type="spellStart"/>
      <w:r w:rsidR="004A43D9" w:rsidRPr="00243081">
        <w:rPr>
          <w:rFonts w:ascii="Arial Narrow" w:hAnsi="Arial Narrow"/>
          <w:sz w:val="18"/>
          <w:szCs w:val="18"/>
        </w:rPr>
        <w:t>pembrolizumab+platinum+pemetrexed</w:t>
      </w:r>
      <w:proofErr w:type="spellEnd"/>
      <w:r w:rsidRPr="00243081">
        <w:rPr>
          <w:rFonts w:ascii="Arial Narrow" w:hAnsi="Arial Narrow"/>
          <w:sz w:val="18"/>
          <w:szCs w:val="18"/>
        </w:rPr>
        <w:t xml:space="preserve">.  The submission’s estimates would have meant that there were MORE patients being substituted for than </w:t>
      </w:r>
      <w:proofErr w:type="spellStart"/>
      <w:r w:rsidR="004A43D9" w:rsidRPr="00243081">
        <w:rPr>
          <w:rFonts w:ascii="Arial Narrow" w:hAnsi="Arial Narrow"/>
          <w:sz w:val="18"/>
          <w:szCs w:val="18"/>
        </w:rPr>
        <w:t>pembrolizumab+platinum+pemetrexed</w:t>
      </w:r>
      <w:proofErr w:type="spellEnd"/>
      <w:r w:rsidRPr="00243081">
        <w:rPr>
          <w:rFonts w:ascii="Arial Narrow" w:hAnsi="Arial Narrow"/>
          <w:sz w:val="18"/>
          <w:szCs w:val="18"/>
        </w:rPr>
        <w:t xml:space="preserve"> would have treated. </w:t>
      </w:r>
    </w:p>
    <w:p w:rsidR="00C92C54" w:rsidRPr="00243081" w:rsidRDefault="00C92C54" w:rsidP="00C92C54">
      <w:pPr>
        <w:tabs>
          <w:tab w:val="left" w:pos="284"/>
        </w:tabs>
        <w:ind w:left="284" w:hanging="284"/>
        <w:rPr>
          <w:rFonts w:ascii="Arial Narrow" w:hAnsi="Arial Narrow"/>
          <w:sz w:val="18"/>
          <w:szCs w:val="18"/>
        </w:rPr>
      </w:pPr>
      <w:proofErr w:type="gramStart"/>
      <w:r w:rsidRPr="00243081">
        <w:rPr>
          <w:rFonts w:ascii="Arial Narrow" w:hAnsi="Arial Narrow"/>
          <w:sz w:val="18"/>
          <w:szCs w:val="18"/>
          <w:vertAlign w:val="superscript"/>
        </w:rPr>
        <w:t>j</w:t>
      </w:r>
      <w:proofErr w:type="gramEnd"/>
      <w:r w:rsidRPr="00243081">
        <w:rPr>
          <w:rFonts w:ascii="Arial Narrow" w:hAnsi="Arial Narrow"/>
          <w:sz w:val="18"/>
          <w:szCs w:val="18"/>
        </w:rPr>
        <w:tab/>
        <w:t xml:space="preserve">Refers to </w:t>
      </w:r>
      <w:proofErr w:type="spellStart"/>
      <w:r w:rsidRPr="00243081">
        <w:rPr>
          <w:rFonts w:ascii="Arial Narrow" w:hAnsi="Arial Narrow"/>
          <w:sz w:val="18"/>
          <w:szCs w:val="18"/>
        </w:rPr>
        <w:t>pembrolizumab</w:t>
      </w:r>
      <w:proofErr w:type="spellEnd"/>
      <w:r w:rsidRPr="00243081">
        <w:rPr>
          <w:rFonts w:ascii="Arial Narrow" w:hAnsi="Arial Narrow"/>
          <w:sz w:val="18"/>
          <w:szCs w:val="18"/>
        </w:rPr>
        <w:t xml:space="preserve"> monotherapy, which has a different effective price than </w:t>
      </w:r>
      <w:proofErr w:type="spellStart"/>
      <w:r w:rsidR="004A43D9" w:rsidRPr="00243081">
        <w:rPr>
          <w:rFonts w:ascii="Arial Narrow" w:hAnsi="Arial Narrow"/>
          <w:sz w:val="18"/>
          <w:szCs w:val="18"/>
        </w:rPr>
        <w:t>pembrolizumab+platinum+pemetrexed</w:t>
      </w:r>
      <w:proofErr w:type="spellEnd"/>
    </w:p>
    <w:p w:rsidR="00C92C54" w:rsidRPr="00243081" w:rsidRDefault="00C92C54" w:rsidP="00C92C54">
      <w:pPr>
        <w:tabs>
          <w:tab w:val="left" w:pos="284"/>
        </w:tabs>
        <w:ind w:left="284" w:hanging="284"/>
        <w:rPr>
          <w:rFonts w:ascii="Arial Narrow" w:hAnsi="Arial Narrow"/>
          <w:sz w:val="18"/>
          <w:szCs w:val="18"/>
        </w:rPr>
      </w:pPr>
      <w:proofErr w:type="gramStart"/>
      <w:r w:rsidRPr="00243081">
        <w:rPr>
          <w:rFonts w:ascii="Arial Narrow" w:hAnsi="Arial Narrow"/>
          <w:sz w:val="18"/>
          <w:szCs w:val="18"/>
          <w:vertAlign w:val="superscript"/>
        </w:rPr>
        <w:t>k</w:t>
      </w:r>
      <w:proofErr w:type="gramEnd"/>
      <w:r w:rsidRPr="00243081">
        <w:rPr>
          <w:rFonts w:ascii="Arial Narrow" w:hAnsi="Arial Narrow"/>
          <w:sz w:val="18"/>
          <w:szCs w:val="18"/>
          <w:vertAlign w:val="superscript"/>
        </w:rPr>
        <w:tab/>
      </w:r>
      <w:r w:rsidRPr="00243081">
        <w:rPr>
          <w:rFonts w:ascii="Arial Narrow" w:hAnsi="Arial Narrow"/>
          <w:sz w:val="18"/>
          <w:szCs w:val="18"/>
        </w:rPr>
        <w:t xml:space="preserve">Estimated as total number of administrations for </w:t>
      </w:r>
      <w:proofErr w:type="spellStart"/>
      <w:r w:rsidR="004A43D9" w:rsidRPr="00243081">
        <w:rPr>
          <w:rFonts w:ascii="Arial Narrow" w:hAnsi="Arial Narrow"/>
          <w:sz w:val="18"/>
          <w:szCs w:val="18"/>
        </w:rPr>
        <w:t>pembrolizumab+platinum+pemetrexed</w:t>
      </w:r>
      <w:proofErr w:type="spellEnd"/>
      <w:r w:rsidRPr="00243081">
        <w:rPr>
          <w:rFonts w:ascii="Arial Narrow" w:hAnsi="Arial Narrow"/>
          <w:sz w:val="18"/>
          <w:szCs w:val="18"/>
        </w:rPr>
        <w:t xml:space="preserve"> for each drug minus the total number of administrations for drugs not used.  The submission (table 4.6-1, p183) included an error as it did not include </w:t>
      </w:r>
      <w:proofErr w:type="spellStart"/>
      <w:r w:rsidRPr="00243081">
        <w:rPr>
          <w:rFonts w:ascii="Arial Narrow" w:hAnsi="Arial Narrow"/>
          <w:sz w:val="18"/>
          <w:szCs w:val="18"/>
        </w:rPr>
        <w:t>pemetrexed</w:t>
      </w:r>
      <w:proofErr w:type="spellEnd"/>
      <w:r w:rsidRPr="00243081">
        <w:rPr>
          <w:rFonts w:ascii="Arial Narrow" w:hAnsi="Arial Narrow"/>
          <w:sz w:val="18"/>
          <w:szCs w:val="18"/>
        </w:rPr>
        <w:t xml:space="preserve"> use in P-L1 </w:t>
      </w:r>
      <w:r w:rsidRPr="00243081">
        <w:rPr>
          <w:rFonts w:ascii="Arial Narrow" w:hAnsi="Arial Narrow"/>
          <w:sz w:val="18"/>
          <w:szCs w:val="18"/>
        </w:rPr>
        <w:lastRenderedPageBreak/>
        <w:t xml:space="preserve">TPS </w:t>
      </w:r>
      <w:r w:rsidRPr="00243081">
        <w:rPr>
          <w:rFonts w:ascii="Arial Narrow" w:hAnsi="Arial Narrow" w:cs="Calibri"/>
          <w:sz w:val="18"/>
          <w:szCs w:val="18"/>
        </w:rPr>
        <w:t>≥</w:t>
      </w:r>
      <w:r w:rsidRPr="00243081">
        <w:rPr>
          <w:rFonts w:ascii="Arial Narrow" w:hAnsi="Arial Narrow"/>
          <w:sz w:val="18"/>
          <w:szCs w:val="18"/>
        </w:rPr>
        <w:t xml:space="preserve">50%  </w:t>
      </w:r>
    </w:p>
    <w:p w:rsidR="00C92C54" w:rsidRPr="00243081" w:rsidRDefault="00C92C54" w:rsidP="00C92C54">
      <w:pPr>
        <w:tabs>
          <w:tab w:val="left" w:pos="284"/>
        </w:tabs>
        <w:ind w:left="284" w:hanging="284"/>
        <w:rPr>
          <w:rFonts w:ascii="Arial Narrow" w:hAnsi="Arial Narrow"/>
          <w:sz w:val="18"/>
          <w:szCs w:val="18"/>
        </w:rPr>
      </w:pPr>
      <w:proofErr w:type="gramStart"/>
      <w:r w:rsidRPr="00243081">
        <w:rPr>
          <w:rFonts w:ascii="Arial Narrow" w:hAnsi="Arial Narrow"/>
          <w:sz w:val="18"/>
          <w:szCs w:val="18"/>
          <w:vertAlign w:val="superscript"/>
        </w:rPr>
        <w:t>l</w:t>
      </w:r>
      <w:proofErr w:type="gramEnd"/>
      <w:r w:rsidRPr="00243081">
        <w:rPr>
          <w:rFonts w:ascii="Arial Narrow" w:hAnsi="Arial Narrow"/>
          <w:sz w:val="18"/>
          <w:szCs w:val="18"/>
          <w:vertAlign w:val="superscript"/>
        </w:rPr>
        <w:tab/>
      </w:r>
      <w:r w:rsidRPr="00243081">
        <w:rPr>
          <w:rFonts w:ascii="Arial Narrow" w:hAnsi="Arial Narrow"/>
          <w:sz w:val="18"/>
          <w:szCs w:val="18"/>
        </w:rPr>
        <w:t xml:space="preserve">submission made two errors in the estimation for MBS costs. Firstly, the item costs were not applied to the number of items before being </w:t>
      </w:r>
      <w:r w:rsidR="001E25D2" w:rsidRPr="00243081">
        <w:rPr>
          <w:rFonts w:ascii="Arial Narrow" w:hAnsi="Arial Narrow"/>
          <w:sz w:val="18"/>
          <w:szCs w:val="18"/>
        </w:rPr>
        <w:t>reported;</w:t>
      </w:r>
      <w:r w:rsidRPr="00243081">
        <w:rPr>
          <w:rFonts w:ascii="Arial Narrow" w:hAnsi="Arial Narrow"/>
          <w:sz w:val="18"/>
          <w:szCs w:val="18"/>
        </w:rPr>
        <w:t xml:space="preserve"> secondly </w:t>
      </w:r>
      <w:proofErr w:type="spellStart"/>
      <w:r w:rsidRPr="00243081">
        <w:rPr>
          <w:rFonts w:ascii="Arial Narrow" w:hAnsi="Arial Narrow"/>
          <w:sz w:val="18"/>
          <w:szCs w:val="18"/>
        </w:rPr>
        <w:t>pembrolizumab</w:t>
      </w:r>
      <w:proofErr w:type="spellEnd"/>
      <w:r w:rsidRPr="00243081">
        <w:rPr>
          <w:rFonts w:ascii="Arial Narrow" w:hAnsi="Arial Narrow"/>
          <w:sz w:val="18"/>
          <w:szCs w:val="18"/>
        </w:rPr>
        <w:t xml:space="preserve"> monotherapy was not included in the offsets.</w:t>
      </w:r>
    </w:p>
    <w:p w:rsidR="00C92C54" w:rsidRPr="00243081" w:rsidRDefault="00C92C54" w:rsidP="00C92C54">
      <w:pPr>
        <w:rPr>
          <w:rFonts w:ascii="Arial Narrow" w:hAnsi="Arial Narrow"/>
          <w:sz w:val="18"/>
          <w:szCs w:val="18"/>
        </w:rPr>
      </w:pPr>
      <w:r w:rsidRPr="00243081">
        <w:rPr>
          <w:rFonts w:ascii="Arial Narrow" w:hAnsi="Arial Narrow"/>
          <w:sz w:val="18"/>
          <w:szCs w:val="18"/>
        </w:rPr>
        <w:t>Text in italics indicate values calculated during evaluation</w:t>
      </w:r>
    </w:p>
    <w:p w:rsidR="00C92C54" w:rsidRDefault="00C92C54" w:rsidP="00C92C54">
      <w:pPr>
        <w:rPr>
          <w:rFonts w:ascii="Arial Narrow" w:hAnsi="Arial Narrow"/>
          <w:sz w:val="18"/>
          <w:szCs w:val="18"/>
        </w:rPr>
      </w:pPr>
      <w:r w:rsidRPr="00243081">
        <w:rPr>
          <w:rFonts w:ascii="Arial Narrow" w:hAnsi="Arial Narrow"/>
          <w:sz w:val="18"/>
          <w:szCs w:val="18"/>
        </w:rPr>
        <w:t xml:space="preserve">Source: constructed during evaluation using 1L NSCLC KN-189 Section 4_Budget Impact </w:t>
      </w:r>
      <w:proofErr w:type="spellStart"/>
      <w:r w:rsidRPr="00243081">
        <w:rPr>
          <w:rFonts w:ascii="Arial Narrow" w:hAnsi="Arial Narrow"/>
          <w:sz w:val="18"/>
          <w:szCs w:val="18"/>
        </w:rPr>
        <w:t>Model_July</w:t>
      </w:r>
      <w:proofErr w:type="spellEnd"/>
      <w:r w:rsidRPr="00243081">
        <w:rPr>
          <w:rFonts w:ascii="Arial Narrow" w:hAnsi="Arial Narrow"/>
          <w:sz w:val="18"/>
          <w:szCs w:val="18"/>
        </w:rPr>
        <w:t xml:space="preserve"> 2018.xlsx and section 4 of the submission </w:t>
      </w:r>
    </w:p>
    <w:p w:rsidR="00927764" w:rsidRPr="00243081" w:rsidRDefault="00927764" w:rsidP="00C92C54">
      <w:pPr>
        <w:rPr>
          <w:rFonts w:ascii="Arial Narrow" w:hAnsi="Arial Narrow"/>
          <w:sz w:val="18"/>
          <w:szCs w:val="18"/>
        </w:rPr>
      </w:pPr>
    </w:p>
    <w:p w:rsidR="00C92C54" w:rsidRPr="00D829A0" w:rsidRDefault="00927764" w:rsidP="00D829A0">
      <w:pPr>
        <w:rPr>
          <w:i/>
        </w:rPr>
      </w:pPr>
      <w:r w:rsidRPr="00D829A0">
        <w:rPr>
          <w:i/>
        </w:rPr>
        <w:t>The redacted table shows that at year 6 the estimated number of patients was less than 10,000 per year and the net cost to the PBS would be more than $100 million per year.</w:t>
      </w:r>
    </w:p>
    <w:p w:rsidR="00927764" w:rsidRPr="00243081" w:rsidRDefault="00927764" w:rsidP="00C92C54">
      <w:pPr>
        <w:rPr>
          <w:sz w:val="18"/>
          <w:szCs w:val="18"/>
        </w:rPr>
      </w:pPr>
    </w:p>
    <w:p w:rsidR="00C92C54" w:rsidRPr="00243081" w:rsidRDefault="00E8556D" w:rsidP="005A5031">
      <w:pPr>
        <w:pStyle w:val="ListParagraph"/>
        <w:widowControl/>
        <w:numPr>
          <w:ilvl w:val="1"/>
          <w:numId w:val="3"/>
        </w:numPr>
        <w:spacing w:after="0"/>
      </w:pPr>
      <w:bookmarkStart w:id="38" w:name="_Ref524313080"/>
      <w:r w:rsidRPr="00243081">
        <w:t>T</w:t>
      </w:r>
      <w:r w:rsidR="00C92C54" w:rsidRPr="00243081">
        <w:t>here were a number of errors in the financial estimates presented</w:t>
      </w:r>
      <w:r w:rsidRPr="00243081">
        <w:t xml:space="preserve"> by the submission</w:t>
      </w:r>
      <w:r w:rsidR="00C92C54" w:rsidRPr="00243081">
        <w:t xml:space="preserve">, all of which have been corrected in the values presented in </w:t>
      </w:r>
      <w:r w:rsidR="00F059E8" w:rsidRPr="00243081">
        <w:t>Table 16</w:t>
      </w:r>
      <w:r w:rsidR="00C92C54" w:rsidRPr="00243081">
        <w:t>:</w:t>
      </w:r>
      <w:bookmarkEnd w:id="38"/>
    </w:p>
    <w:p w:rsidR="00C92C54" w:rsidRPr="00243081" w:rsidRDefault="00C92C54" w:rsidP="00113C01">
      <w:pPr>
        <w:ind w:left="993" w:hanging="284"/>
      </w:pPr>
      <w:r w:rsidRPr="00243081">
        <w:t>•</w:t>
      </w:r>
      <w:r w:rsidRPr="00243081">
        <w:tab/>
        <w:t xml:space="preserve">The cost of </w:t>
      </w:r>
      <w:proofErr w:type="spellStart"/>
      <w:r w:rsidRPr="00243081">
        <w:t>pembrolizumab</w:t>
      </w:r>
      <w:proofErr w:type="spellEnd"/>
      <w:r w:rsidRPr="00243081">
        <w:t xml:space="preserve"> estimated by the submission was overestimated due to using a cost of $</w:t>
      </w:r>
      <w:r w:rsidR="00227BBD">
        <w:rPr>
          <w:noProof/>
          <w:color w:val="000000"/>
          <w:highlight w:val="black"/>
        </w:rPr>
        <w:t>'''''''''''''''''</w:t>
      </w:r>
      <w:r w:rsidRPr="00243081">
        <w:t xml:space="preserve">, the cost of the whole </w:t>
      </w:r>
      <w:proofErr w:type="spellStart"/>
      <w:r w:rsidRPr="00243081">
        <w:t>pembrolizumab</w:t>
      </w:r>
      <w:r w:rsidR="006A63AF" w:rsidRPr="00243081">
        <w:t>+platinum+pemetrexed</w:t>
      </w:r>
      <w:proofErr w:type="spellEnd"/>
      <w:r w:rsidRPr="00243081">
        <w:t xml:space="preserve"> regimen (not just </w:t>
      </w:r>
      <w:proofErr w:type="spellStart"/>
      <w:r w:rsidRPr="00243081">
        <w:t>pembrolizumab</w:t>
      </w:r>
      <w:proofErr w:type="spellEnd"/>
      <w:r w:rsidRPr="00243081">
        <w:t>)</w:t>
      </w:r>
      <w:r w:rsidR="00DE3D0E" w:rsidRPr="00243081">
        <w:t xml:space="preserve"> resulting in a double counting of the platinum doublet costs</w:t>
      </w:r>
      <w:r w:rsidRPr="00243081">
        <w:t>.  Estimates provided in above are based on an effective weighted price of $</w:t>
      </w:r>
      <w:r w:rsidR="00227BBD">
        <w:rPr>
          <w:noProof/>
          <w:color w:val="000000"/>
          <w:highlight w:val="black"/>
        </w:rPr>
        <w:t>'''''''''''''''</w:t>
      </w:r>
      <w:r w:rsidRPr="00243081">
        <w:t>;</w:t>
      </w:r>
    </w:p>
    <w:p w:rsidR="00C92C54" w:rsidRPr="00243081" w:rsidRDefault="00C92C54" w:rsidP="00C92C54">
      <w:pPr>
        <w:ind w:left="993" w:hanging="284"/>
      </w:pPr>
      <w:r w:rsidRPr="00243081">
        <w:t>•</w:t>
      </w:r>
      <w:r w:rsidRPr="00243081">
        <w:tab/>
        <w:t xml:space="preserve">The cost of </w:t>
      </w:r>
      <w:proofErr w:type="spellStart"/>
      <w:r w:rsidRPr="00243081">
        <w:t>pemetrexed</w:t>
      </w:r>
      <w:proofErr w:type="spellEnd"/>
      <w:r w:rsidRPr="00243081">
        <w:t xml:space="preserve"> in the submission was underestimated due to RPBS patients in the TPS ≥50% being excluded; </w:t>
      </w:r>
    </w:p>
    <w:p w:rsidR="00C92C54" w:rsidRPr="00243081" w:rsidRDefault="00C92C54" w:rsidP="00C92C54">
      <w:pPr>
        <w:ind w:left="993" w:hanging="284"/>
      </w:pPr>
      <w:r w:rsidRPr="00243081">
        <w:t>•</w:t>
      </w:r>
      <w:r w:rsidRPr="00243081">
        <w:tab/>
        <w:t xml:space="preserve">While the submission stated that 80% of those who would have been treated with </w:t>
      </w:r>
      <w:proofErr w:type="spellStart"/>
      <w:r w:rsidRPr="00243081">
        <w:t>pembrolizumab</w:t>
      </w:r>
      <w:proofErr w:type="spellEnd"/>
      <w:r w:rsidR="00113C01">
        <w:t xml:space="preserve"> </w:t>
      </w:r>
      <w:r w:rsidRPr="00243081">
        <w:t xml:space="preserve">monotherapy will switch to </w:t>
      </w:r>
      <w:proofErr w:type="spellStart"/>
      <w:r w:rsidR="001E25D2" w:rsidRPr="00243081">
        <w:t>pembrolizumab+platinum+pemetrexed</w:t>
      </w:r>
      <w:proofErr w:type="spellEnd"/>
      <w:r w:rsidRPr="00243081">
        <w:t xml:space="preserve">, the entire </w:t>
      </w:r>
      <w:proofErr w:type="spellStart"/>
      <w:r w:rsidRPr="00243081">
        <w:t>pembrolizumab</w:t>
      </w:r>
      <w:proofErr w:type="spellEnd"/>
      <w:r w:rsidRPr="00243081">
        <w:t xml:space="preserve"> monotherapy population was accounted for in the cost-offsets provided in the submission.  The submission essentially assumed there were more patients treated with </w:t>
      </w:r>
      <w:proofErr w:type="spellStart"/>
      <w:r w:rsidRPr="00243081">
        <w:t>pembrolizumab</w:t>
      </w:r>
      <w:proofErr w:type="spellEnd"/>
      <w:r w:rsidRPr="00243081">
        <w:t xml:space="preserve"> monotherapy </w:t>
      </w:r>
      <w:r w:rsidR="00B73376" w:rsidRPr="00243081">
        <w:t xml:space="preserve">while calculating the </w:t>
      </w:r>
      <w:r w:rsidRPr="00243081">
        <w:t>offset</w:t>
      </w:r>
      <w:r w:rsidR="00B73376" w:rsidRPr="00243081">
        <w:t>s,</w:t>
      </w:r>
      <w:r w:rsidRPr="00243081">
        <w:t xml:space="preserve"> than there were treated with </w:t>
      </w:r>
      <w:proofErr w:type="spellStart"/>
      <w:r w:rsidRPr="00243081">
        <w:t>pembrolizumab</w:t>
      </w:r>
      <w:r w:rsidR="006A63AF" w:rsidRPr="00243081">
        <w:t>+platinum+pemetrexed</w:t>
      </w:r>
      <w:proofErr w:type="spellEnd"/>
      <w:r w:rsidRPr="00243081">
        <w:t>; and</w:t>
      </w:r>
    </w:p>
    <w:p w:rsidR="00C92C54" w:rsidRPr="00243081" w:rsidRDefault="00C92C54" w:rsidP="00D829A0">
      <w:pPr>
        <w:spacing w:after="160"/>
        <w:ind w:left="993" w:hanging="284"/>
      </w:pPr>
      <w:r w:rsidRPr="00243081">
        <w:t>•</w:t>
      </w:r>
      <w:r w:rsidRPr="00243081">
        <w:tab/>
        <w:t xml:space="preserve">The total number of MBS items presented in the submission were overestimated as the reduction in </w:t>
      </w:r>
      <w:proofErr w:type="spellStart"/>
      <w:r w:rsidRPr="00243081">
        <w:t>pembrolizumab</w:t>
      </w:r>
      <w:proofErr w:type="spellEnd"/>
      <w:r w:rsidRPr="00243081">
        <w:t xml:space="preserve"> monotherapy infusions replaced due to patients being treated with </w:t>
      </w:r>
      <w:proofErr w:type="spellStart"/>
      <w:r w:rsidRPr="00243081">
        <w:t>pembrolizumab</w:t>
      </w:r>
      <w:r w:rsidR="006A63AF" w:rsidRPr="00243081">
        <w:t>+platinum+pemetrexed</w:t>
      </w:r>
      <w:proofErr w:type="spellEnd"/>
      <w:r w:rsidRPr="00243081">
        <w:t xml:space="preserve"> were not accounted for. The number of items above are those accounting for </w:t>
      </w:r>
      <w:proofErr w:type="spellStart"/>
      <w:r w:rsidRPr="00243081">
        <w:t>pembrolizumab</w:t>
      </w:r>
      <w:proofErr w:type="spellEnd"/>
      <w:r w:rsidRPr="00243081">
        <w:t xml:space="preserve"> monotherapy administrations that would no longer occur.  Additionally, the submission did not allocate costs to the relevant MBS items, these were included in the estimates above.</w:t>
      </w:r>
    </w:p>
    <w:p w:rsidR="00C92C54" w:rsidRPr="00243081" w:rsidRDefault="00C92C54" w:rsidP="00C92C54">
      <w:pPr>
        <w:pStyle w:val="ListParagraph"/>
        <w:widowControl/>
        <w:numPr>
          <w:ilvl w:val="1"/>
          <w:numId w:val="3"/>
        </w:numPr>
      </w:pPr>
      <w:r w:rsidRPr="00243081">
        <w:t xml:space="preserve">The submission also presented a sensitivity analysis using the ITT population in KN189 instead of separate PD-L1 TPS &lt;50% and </w:t>
      </w:r>
      <w:r w:rsidRPr="00243081">
        <w:rPr>
          <w:rFonts w:cs="Calibri"/>
        </w:rPr>
        <w:t>≥</w:t>
      </w:r>
      <w:r w:rsidRPr="00243081">
        <w:t xml:space="preserve">50% populations, which increased </w:t>
      </w:r>
      <w:r w:rsidR="005A5031" w:rsidRPr="00243081">
        <w:t>the cost in Y</w:t>
      </w:r>
      <w:r w:rsidRPr="00243081">
        <w:t xml:space="preserve">ear 1 to </w:t>
      </w:r>
      <w:r w:rsidR="00FA7D59">
        <w:t xml:space="preserve">more than </w:t>
      </w:r>
      <w:r w:rsidRPr="00243081">
        <w:t>$</w:t>
      </w:r>
      <w:r w:rsidR="00FA7D59">
        <w:t>100</w:t>
      </w:r>
      <w:r w:rsidR="00FA7D59" w:rsidRPr="00243081">
        <w:t xml:space="preserve"> </w:t>
      </w:r>
      <w:r w:rsidRPr="00243081">
        <w:t>million ($</w:t>
      </w:r>
      <w:r w:rsidR="00FA7D59">
        <w:t>60-$100</w:t>
      </w:r>
      <w:r w:rsidRPr="00243081">
        <w:t xml:space="preserve"> million if </w:t>
      </w:r>
      <w:proofErr w:type="spellStart"/>
      <w:r w:rsidRPr="00243081">
        <w:t>nivol</w:t>
      </w:r>
      <w:r w:rsidR="00A706E8" w:rsidRPr="00243081">
        <w:t>u</w:t>
      </w:r>
      <w:r w:rsidRPr="00243081">
        <w:t>mab</w:t>
      </w:r>
      <w:proofErr w:type="spellEnd"/>
      <w:r w:rsidRPr="00243081">
        <w:t xml:space="preserve"> offset</w:t>
      </w:r>
      <w:r w:rsidR="00B47AA8">
        <w:t xml:space="preserve"> was included</w:t>
      </w:r>
      <w:r w:rsidRPr="00243081">
        <w:t xml:space="preserve">) to </w:t>
      </w:r>
      <w:r w:rsidR="00FA7D59">
        <w:t xml:space="preserve">substantially more than </w:t>
      </w:r>
      <w:r w:rsidRPr="00243081">
        <w:t>$</w:t>
      </w:r>
      <w:r w:rsidR="00FA7D59">
        <w:t>100</w:t>
      </w:r>
      <w:r w:rsidR="00FA7D59" w:rsidRPr="00243081">
        <w:t xml:space="preserve"> </w:t>
      </w:r>
      <w:r w:rsidRPr="00243081">
        <w:t>million (</w:t>
      </w:r>
      <w:r w:rsidR="00FA7D59">
        <w:t xml:space="preserve">more than </w:t>
      </w:r>
      <w:r w:rsidRPr="00243081">
        <w:t>$</w:t>
      </w:r>
      <w:r w:rsidR="00FA7D59">
        <w:t xml:space="preserve">100 </w:t>
      </w:r>
      <w:r w:rsidRPr="00243081">
        <w:t xml:space="preserve">million if </w:t>
      </w:r>
      <w:proofErr w:type="spellStart"/>
      <w:r w:rsidRPr="00243081">
        <w:t>nivolumab</w:t>
      </w:r>
      <w:proofErr w:type="spellEnd"/>
      <w:r w:rsidRPr="00243081">
        <w:t xml:space="preserve"> offset</w:t>
      </w:r>
      <w:r w:rsidR="005A5031" w:rsidRPr="00243081">
        <w:t xml:space="preserve"> was included</w:t>
      </w:r>
      <w:r w:rsidRPr="00243081">
        <w:t xml:space="preserve">).  </w:t>
      </w:r>
    </w:p>
    <w:p w:rsidR="00223244" w:rsidRPr="00243081" w:rsidRDefault="00087BE1" w:rsidP="001A03AB">
      <w:pPr>
        <w:pStyle w:val="ListParagraph"/>
        <w:widowControl/>
        <w:numPr>
          <w:ilvl w:val="1"/>
          <w:numId w:val="3"/>
        </w:numPr>
        <w:rPr>
          <w:iCs/>
        </w:rPr>
      </w:pPr>
      <w:r w:rsidRPr="00243081">
        <w:rPr>
          <w:iCs/>
        </w:rPr>
        <w:t xml:space="preserve">The ESC </w:t>
      </w:r>
      <w:r w:rsidRPr="00243081">
        <w:t>considered</w:t>
      </w:r>
      <w:r w:rsidRPr="00243081">
        <w:rPr>
          <w:iCs/>
        </w:rPr>
        <w:t xml:space="preserve"> the submission’s estimates of patient numbers to be too high based on the estimates developed during the consideration of the PBS listing for </w:t>
      </w:r>
      <w:proofErr w:type="spellStart"/>
      <w:r w:rsidRPr="00243081">
        <w:rPr>
          <w:iCs/>
        </w:rPr>
        <w:t>pembrolizumab</w:t>
      </w:r>
      <w:proofErr w:type="spellEnd"/>
      <w:r w:rsidRPr="00243081">
        <w:rPr>
          <w:iCs/>
        </w:rPr>
        <w:t xml:space="preserve"> in 1</w:t>
      </w:r>
      <w:r w:rsidRPr="00243081">
        <w:rPr>
          <w:iCs/>
          <w:vertAlign w:val="superscript"/>
        </w:rPr>
        <w:t>st</w:t>
      </w:r>
      <w:r w:rsidRPr="00243081">
        <w:rPr>
          <w:iCs/>
        </w:rPr>
        <w:t xml:space="preserve"> line NSCLC PD-L1 TPS ≥50% population</w:t>
      </w:r>
      <w:r w:rsidR="0069225B" w:rsidRPr="00243081">
        <w:rPr>
          <w:iCs/>
        </w:rPr>
        <w:t xml:space="preserve"> and using the same assumptions to inform the estimates for stage III disease</w:t>
      </w:r>
      <w:r w:rsidRPr="00243081">
        <w:rPr>
          <w:iCs/>
        </w:rPr>
        <w:t xml:space="preserve">.  The ESC proposed the patient numbers in Table 17 as a more reasonable basis for estimating the financial </w:t>
      </w:r>
      <w:r w:rsidRPr="00243081">
        <w:rPr>
          <w:iCs/>
        </w:rPr>
        <w:lastRenderedPageBreak/>
        <w:t xml:space="preserve">impact of listing </w:t>
      </w:r>
      <w:proofErr w:type="spellStart"/>
      <w:r w:rsidRPr="00243081">
        <w:rPr>
          <w:iCs/>
        </w:rPr>
        <w:t>pembrolizumab</w:t>
      </w:r>
      <w:proofErr w:type="spellEnd"/>
      <w:r w:rsidRPr="00243081">
        <w:rPr>
          <w:iCs/>
        </w:rPr>
        <w:t xml:space="preserve"> for the expanded NSCLC population</w:t>
      </w:r>
      <w:r w:rsidR="00617143" w:rsidRPr="00243081">
        <w:rPr>
          <w:iCs/>
        </w:rPr>
        <w:t>, however noting that those estimates do not include grandfather</w:t>
      </w:r>
      <w:r w:rsidR="00995EF9" w:rsidRPr="00243081">
        <w:rPr>
          <w:iCs/>
        </w:rPr>
        <w:t>ed</w:t>
      </w:r>
      <w:r w:rsidR="00617143" w:rsidRPr="00243081">
        <w:rPr>
          <w:iCs/>
        </w:rPr>
        <w:t xml:space="preserve"> patients.</w:t>
      </w:r>
    </w:p>
    <w:p w:rsidR="001A03AB" w:rsidRPr="00243081" w:rsidRDefault="001A03AB" w:rsidP="00101F72">
      <w:pPr>
        <w:pStyle w:val="ListParagraph"/>
        <w:widowControl/>
        <w:numPr>
          <w:ilvl w:val="1"/>
          <w:numId w:val="3"/>
        </w:numPr>
        <w:rPr>
          <w:iCs/>
        </w:rPr>
      </w:pPr>
      <w:r w:rsidRPr="00243081">
        <w:rPr>
          <w:iCs/>
        </w:rPr>
        <w:t xml:space="preserve">The </w:t>
      </w:r>
      <w:r w:rsidR="00E063A5" w:rsidRPr="00243081">
        <w:rPr>
          <w:iCs/>
        </w:rPr>
        <w:t>p</w:t>
      </w:r>
      <w:r w:rsidRPr="00243081">
        <w:rPr>
          <w:iCs/>
        </w:rPr>
        <w:t xml:space="preserve">re-PBAC response provided an updated budget impact model </w:t>
      </w:r>
      <w:r w:rsidR="00DB0D40" w:rsidRPr="00243081">
        <w:rPr>
          <w:iCs/>
        </w:rPr>
        <w:t>for the</w:t>
      </w:r>
      <w:r w:rsidR="00E66F09" w:rsidRPr="00243081">
        <w:rPr>
          <w:iCs/>
        </w:rPr>
        <w:t xml:space="preserve"> </w:t>
      </w:r>
      <w:r w:rsidR="00DB0D40" w:rsidRPr="00243081">
        <w:rPr>
          <w:iCs/>
        </w:rPr>
        <w:t xml:space="preserve">PD-L1 </w:t>
      </w:r>
      <w:r w:rsidR="00E66F09" w:rsidRPr="00243081">
        <w:rPr>
          <w:iCs/>
        </w:rPr>
        <w:t xml:space="preserve">TPS &lt;50% </w:t>
      </w:r>
      <w:r w:rsidR="00DB0D40" w:rsidRPr="00243081">
        <w:rPr>
          <w:iCs/>
        </w:rPr>
        <w:t xml:space="preserve">group only. </w:t>
      </w:r>
      <w:r w:rsidR="00101F72" w:rsidRPr="00243081">
        <w:rPr>
          <w:iCs/>
        </w:rPr>
        <w:t>Th</w:t>
      </w:r>
      <w:r w:rsidR="00DB0D40" w:rsidRPr="00243081">
        <w:rPr>
          <w:iCs/>
        </w:rPr>
        <w:t>e sponsor’s pre-PBAC</w:t>
      </w:r>
      <w:r w:rsidR="00101F72" w:rsidRPr="00243081">
        <w:rPr>
          <w:iCs/>
        </w:rPr>
        <w:t xml:space="preserve"> estimate is similar to that </w:t>
      </w:r>
      <w:r w:rsidR="00DB0D40" w:rsidRPr="00243081">
        <w:rPr>
          <w:iCs/>
        </w:rPr>
        <w:t>presented in Table 17</w:t>
      </w:r>
      <w:r w:rsidR="00101F72" w:rsidRPr="00243081">
        <w:rPr>
          <w:iCs/>
        </w:rPr>
        <w:t xml:space="preserve">. The estimated numbers for the PD-L1 TPS &lt;50% subgroup ranged from </w:t>
      </w:r>
      <w:r w:rsidR="00227BBD">
        <w:rPr>
          <w:iCs/>
          <w:noProof/>
          <w:color w:val="000000"/>
          <w:highlight w:val="black"/>
        </w:rPr>
        <w:t>'''''''''</w:t>
      </w:r>
      <w:r w:rsidR="00101F72" w:rsidRPr="00243081">
        <w:rPr>
          <w:iCs/>
        </w:rPr>
        <w:t xml:space="preserve"> in Year 1 (excluding grandfathering) to </w:t>
      </w:r>
      <w:r w:rsidR="00227BBD">
        <w:rPr>
          <w:iCs/>
          <w:noProof/>
          <w:color w:val="000000"/>
          <w:highlight w:val="black"/>
        </w:rPr>
        <w:t>''''''''''''</w:t>
      </w:r>
      <w:r w:rsidR="00101F72" w:rsidRPr="00243081">
        <w:rPr>
          <w:iCs/>
        </w:rPr>
        <w:t xml:space="preserve"> in Year 6</w:t>
      </w:r>
      <w:r w:rsidR="00364F3F" w:rsidRPr="00243081">
        <w:rPr>
          <w:iCs/>
        </w:rPr>
        <w:t xml:space="preserve"> (</w:t>
      </w:r>
      <w:r w:rsidR="00364F3F" w:rsidRPr="00243081">
        <w:t xml:space="preserve">Table </w:t>
      </w:r>
      <w:r w:rsidR="00364F3F" w:rsidRPr="00243081">
        <w:rPr>
          <w:noProof/>
        </w:rPr>
        <w:t>17</w:t>
      </w:r>
      <w:r w:rsidR="00364F3F" w:rsidRPr="00243081">
        <w:rPr>
          <w:iCs/>
        </w:rPr>
        <w:t>)</w:t>
      </w:r>
      <w:r w:rsidR="00101F72" w:rsidRPr="00243081">
        <w:rPr>
          <w:iCs/>
        </w:rPr>
        <w:t xml:space="preserve">. The numbers calculated according to ESC input included an estimate of the number of patients who would progress from Stage III NSCLC to Stage IV and become eligible for </w:t>
      </w:r>
      <w:proofErr w:type="spellStart"/>
      <w:r w:rsidR="00101F72" w:rsidRPr="00243081">
        <w:rPr>
          <w:iCs/>
        </w:rPr>
        <w:t>pembrolizumab+platinum+pemetrexed</w:t>
      </w:r>
      <w:proofErr w:type="spellEnd"/>
      <w:r w:rsidR="00101F72" w:rsidRPr="00243081">
        <w:rPr>
          <w:iCs/>
        </w:rPr>
        <w:t xml:space="preserve">. </w:t>
      </w:r>
    </w:p>
    <w:p w:rsidR="00E66F09" w:rsidRPr="00243081" w:rsidRDefault="00E66F09" w:rsidP="00E66F09">
      <w:pPr>
        <w:pStyle w:val="ListParagraph"/>
        <w:widowControl/>
        <w:numPr>
          <w:ilvl w:val="1"/>
          <w:numId w:val="3"/>
        </w:numPr>
        <w:rPr>
          <w:iCs/>
        </w:rPr>
      </w:pPr>
      <w:r w:rsidRPr="00243081">
        <w:rPr>
          <w:iCs/>
        </w:rPr>
        <w:t xml:space="preserve">The </w:t>
      </w:r>
      <w:r w:rsidR="00CA38FE" w:rsidRPr="00243081">
        <w:rPr>
          <w:iCs/>
        </w:rPr>
        <w:t>p</w:t>
      </w:r>
      <w:r w:rsidRPr="00243081">
        <w:rPr>
          <w:iCs/>
        </w:rPr>
        <w:t>re-PBAC response estimate of the net cost to government</w:t>
      </w:r>
      <w:r w:rsidR="00DB0D40" w:rsidRPr="00243081">
        <w:rPr>
          <w:iCs/>
        </w:rPr>
        <w:t xml:space="preserve"> for the PD-L1 &lt; 50% subgroup</w:t>
      </w:r>
      <w:r w:rsidRPr="00243081">
        <w:rPr>
          <w:iCs/>
        </w:rPr>
        <w:t xml:space="preserve">, accounting for the second line offset of </w:t>
      </w:r>
      <w:proofErr w:type="spellStart"/>
      <w:r w:rsidRPr="00243081">
        <w:rPr>
          <w:iCs/>
        </w:rPr>
        <w:t>nivolumab</w:t>
      </w:r>
      <w:proofErr w:type="spellEnd"/>
      <w:r w:rsidRPr="00243081">
        <w:rPr>
          <w:iCs/>
        </w:rPr>
        <w:t>, was $</w:t>
      </w:r>
      <w:r w:rsidR="00FA7D59">
        <w:rPr>
          <w:iCs/>
        </w:rPr>
        <w:t xml:space="preserve">30-$60 million </w:t>
      </w:r>
      <w:r w:rsidRPr="00243081">
        <w:rPr>
          <w:iCs/>
        </w:rPr>
        <w:t>in year 1, increasing to $</w:t>
      </w:r>
      <w:r w:rsidR="00FA7D59">
        <w:rPr>
          <w:iCs/>
        </w:rPr>
        <w:t>60-$100 million</w:t>
      </w:r>
      <w:r w:rsidRPr="00243081">
        <w:rPr>
          <w:iCs/>
        </w:rPr>
        <w:t xml:space="preserve"> in year 6. </w:t>
      </w:r>
    </w:p>
    <w:p w:rsidR="00DB0D40" w:rsidRPr="00243081" w:rsidRDefault="00DB0D40" w:rsidP="00DB0D40">
      <w:pPr>
        <w:pStyle w:val="ListParagraph"/>
        <w:widowControl/>
        <w:numPr>
          <w:ilvl w:val="1"/>
          <w:numId w:val="3"/>
        </w:numPr>
        <w:rPr>
          <w:iCs/>
        </w:rPr>
      </w:pPr>
      <w:r w:rsidRPr="00243081">
        <w:rPr>
          <w:iCs/>
        </w:rPr>
        <w:t>N</w:t>
      </w:r>
      <w:r w:rsidR="00101F72" w:rsidRPr="00243081">
        <w:rPr>
          <w:iCs/>
        </w:rPr>
        <w:t>o</w:t>
      </w:r>
      <w:r w:rsidRPr="00243081">
        <w:rPr>
          <w:iCs/>
        </w:rPr>
        <w:t xml:space="preserve"> updated</w:t>
      </w:r>
      <w:r w:rsidR="00101F72" w:rsidRPr="00243081">
        <w:rPr>
          <w:iCs/>
        </w:rPr>
        <w:t xml:space="preserve"> financial estimates for</w:t>
      </w:r>
      <w:r w:rsidRPr="00243081">
        <w:t xml:space="preserve"> </w:t>
      </w:r>
      <w:r w:rsidRPr="00243081">
        <w:rPr>
          <w:iCs/>
        </w:rPr>
        <w:t>the PD-L1 TPS ≥50% group were included in the pre-PBAC response.</w:t>
      </w:r>
    </w:p>
    <w:p w:rsidR="00223244" w:rsidRPr="00243081" w:rsidRDefault="00DB0D40" w:rsidP="009B1E8C">
      <w:pPr>
        <w:pStyle w:val="ListParagraph"/>
        <w:widowControl/>
        <w:numPr>
          <w:ilvl w:val="1"/>
          <w:numId w:val="3"/>
        </w:numPr>
        <w:sectPr w:rsidR="00223244" w:rsidRPr="00243081" w:rsidSect="00624521">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440" w:bottom="1440" w:left="1440" w:header="1440" w:footer="1440" w:gutter="0"/>
          <w:pgNumType w:start="1"/>
          <w:cols w:space="708"/>
          <w:docGrid w:linePitch="360"/>
        </w:sectPr>
      </w:pPr>
      <w:r w:rsidRPr="00243081">
        <w:rPr>
          <w:iCs/>
        </w:rPr>
        <w:t xml:space="preserve">The PBAC noted the high financial cost associated with the sponsor’s proposed listing.  The PBAC </w:t>
      </w:r>
      <w:r w:rsidR="00FE4533" w:rsidRPr="00243081">
        <w:rPr>
          <w:iCs/>
        </w:rPr>
        <w:t>considered the additional costs associated with the listing as presented in the pre-PBAC response appeared implausible as the majority of patients who would be eligible for treatment under the</w:t>
      </w:r>
      <w:r w:rsidR="007305C3" w:rsidRPr="00243081">
        <w:rPr>
          <w:iCs/>
        </w:rPr>
        <w:t xml:space="preserve"> pre-PBAC response’s revised</w:t>
      </w:r>
      <w:r w:rsidR="00FE4533" w:rsidRPr="00243081">
        <w:rPr>
          <w:iCs/>
        </w:rPr>
        <w:t xml:space="preserve"> proposed listing are already eligible for treatment with a PD-(L)1 inhibitor  after platinum doublet therapy.</w:t>
      </w:r>
      <w:r w:rsidR="00524867" w:rsidRPr="00243081">
        <w:rPr>
          <w:iCs/>
        </w:rPr>
        <w:t xml:space="preserve"> </w:t>
      </w:r>
      <w:r w:rsidR="00FE4533" w:rsidRPr="00243081">
        <w:rPr>
          <w:iCs/>
        </w:rPr>
        <w:t>The PBAC requested the sponsor revisit these estimates in any future submission.</w:t>
      </w:r>
    </w:p>
    <w:p w:rsidR="00624521" w:rsidRPr="00243081" w:rsidRDefault="00624521" w:rsidP="00087BE1">
      <w:pPr>
        <w:widowControl/>
        <w:jc w:val="left"/>
        <w:rPr>
          <w:rFonts w:cs="Calibri"/>
          <w:b/>
          <w:snapToGrid/>
          <w:color w:val="000000"/>
          <w:sz w:val="22"/>
          <w:lang w:eastAsia="en-AU"/>
        </w:rPr>
        <w:sectPr w:rsidR="00624521" w:rsidRPr="00243081" w:rsidSect="00243081">
          <w:pgSz w:w="16840" w:h="11907" w:orient="landscape" w:code="9"/>
          <w:pgMar w:top="1440" w:right="1440" w:bottom="1440" w:left="1440" w:header="1440" w:footer="1440" w:gutter="0"/>
          <w:cols w:space="708"/>
          <w:docGrid w:linePitch="360"/>
        </w:sectPr>
      </w:pPr>
    </w:p>
    <w:p w:rsidR="00364F3F" w:rsidRPr="00243081" w:rsidRDefault="00364F3F" w:rsidP="00364F3F">
      <w:pPr>
        <w:pStyle w:val="Caption"/>
        <w:keepNext/>
      </w:pPr>
      <w:bookmarkStart w:id="39" w:name="_Ref530495380"/>
      <w:r w:rsidRPr="00243081">
        <w:t xml:space="preserve">Table </w:t>
      </w:r>
      <w:r w:rsidRPr="00243081">
        <w:rPr>
          <w:noProof/>
        </w:rPr>
        <w:t>17</w:t>
      </w:r>
      <w:bookmarkEnd w:id="39"/>
      <w:r w:rsidRPr="00243081">
        <w:t xml:space="preserve">: Revised Patient Number estimates for </w:t>
      </w:r>
      <w:proofErr w:type="spellStart"/>
      <w:r w:rsidRPr="00243081">
        <w:t>pembrolizumab+platinum+pemetrexed</w:t>
      </w:r>
      <w:proofErr w:type="spellEnd"/>
      <w:r w:rsidRPr="00243081">
        <w:t>, based on ESC advice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4442"/>
        <w:gridCol w:w="1005"/>
        <w:gridCol w:w="1149"/>
        <w:gridCol w:w="1149"/>
        <w:gridCol w:w="1149"/>
        <w:gridCol w:w="1149"/>
        <w:gridCol w:w="1005"/>
        <w:gridCol w:w="1838"/>
      </w:tblGrid>
      <w:tr w:rsidR="00223244" w:rsidRPr="00243081" w:rsidTr="00364F3F">
        <w:trPr>
          <w:trHeight w:val="92"/>
        </w:trPr>
        <w:tc>
          <w:tcPr>
            <w:tcW w:w="1064" w:type="dxa"/>
            <w:shd w:val="clear" w:color="auto" w:fill="auto"/>
            <w:noWrap/>
            <w:vAlign w:val="bottom"/>
            <w:hideMark/>
          </w:tcPr>
          <w:p w:rsidR="00223244" w:rsidRPr="00243081" w:rsidRDefault="00223244" w:rsidP="00087BE1">
            <w:pPr>
              <w:widowControl/>
              <w:jc w:val="left"/>
              <w:rPr>
                <w:rFonts w:ascii="Arial Narrow" w:hAnsi="Arial Narrow" w:cs="Calibri"/>
                <w:b/>
                <w:snapToGrid/>
                <w:color w:val="000000"/>
                <w:sz w:val="20"/>
                <w:szCs w:val="20"/>
                <w:lang w:eastAsia="en-AU"/>
              </w:rPr>
            </w:pPr>
          </w:p>
        </w:tc>
        <w:tc>
          <w:tcPr>
            <w:tcW w:w="4442" w:type="dxa"/>
            <w:shd w:val="clear" w:color="000000" w:fill="EEECE1"/>
            <w:noWrap/>
            <w:vAlign w:val="bottom"/>
            <w:hideMark/>
          </w:tcPr>
          <w:p w:rsidR="00223244" w:rsidRPr="00243081" w:rsidRDefault="00223244"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PATIENTS DIAGNOSED AT STAGE IV*</w:t>
            </w:r>
          </w:p>
        </w:tc>
        <w:tc>
          <w:tcPr>
            <w:tcW w:w="1005" w:type="dxa"/>
            <w:shd w:val="clear" w:color="auto" w:fill="auto"/>
            <w:noWrap/>
            <w:vAlign w:val="bottom"/>
            <w:hideMark/>
          </w:tcPr>
          <w:p w:rsidR="00223244" w:rsidRPr="00243081" w:rsidRDefault="00223244" w:rsidP="00087BE1">
            <w:pPr>
              <w:widowControl/>
              <w:jc w:val="left"/>
              <w:rPr>
                <w:rFonts w:ascii="Arial Narrow" w:hAnsi="Arial Narrow" w:cstheme="minorHAnsi"/>
                <w:snapToGrid/>
                <w:color w:val="000000"/>
                <w:sz w:val="20"/>
                <w:szCs w:val="20"/>
                <w:lang w:eastAsia="en-AU"/>
              </w:rPr>
            </w:pPr>
          </w:p>
        </w:tc>
        <w:tc>
          <w:tcPr>
            <w:tcW w:w="1149" w:type="dxa"/>
            <w:shd w:val="clear" w:color="auto" w:fill="auto"/>
            <w:noWrap/>
            <w:vAlign w:val="bottom"/>
            <w:hideMark/>
          </w:tcPr>
          <w:p w:rsidR="00223244" w:rsidRPr="00243081" w:rsidRDefault="00223244" w:rsidP="00087BE1">
            <w:pPr>
              <w:widowControl/>
              <w:jc w:val="left"/>
              <w:rPr>
                <w:rFonts w:ascii="Arial Narrow" w:hAnsi="Arial Narrow" w:cstheme="minorHAnsi"/>
                <w:snapToGrid/>
                <w:color w:val="000000"/>
                <w:sz w:val="20"/>
                <w:szCs w:val="20"/>
                <w:lang w:eastAsia="en-AU"/>
              </w:rPr>
            </w:pPr>
          </w:p>
        </w:tc>
        <w:tc>
          <w:tcPr>
            <w:tcW w:w="1149"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1149"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1149"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1005"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1838" w:type="dxa"/>
          </w:tcPr>
          <w:p w:rsidR="00223244" w:rsidRPr="00243081" w:rsidRDefault="00223244" w:rsidP="00087BE1">
            <w:pPr>
              <w:widowControl/>
              <w:jc w:val="left"/>
              <w:rPr>
                <w:rFonts w:ascii="Arial Narrow" w:hAnsi="Arial Narrow" w:cs="Calibri"/>
                <w:snapToGrid/>
                <w:color w:val="000000"/>
                <w:sz w:val="20"/>
                <w:szCs w:val="20"/>
                <w:lang w:eastAsia="en-AU"/>
              </w:rPr>
            </w:pPr>
          </w:p>
        </w:tc>
      </w:tr>
      <w:tr w:rsidR="0028750A" w:rsidRPr="00243081" w:rsidTr="00364F3F">
        <w:trPr>
          <w:trHeight w:val="300"/>
        </w:trPr>
        <w:tc>
          <w:tcPr>
            <w:tcW w:w="1064" w:type="dxa"/>
            <w:shd w:val="clear" w:color="auto" w:fill="auto"/>
            <w:noWrap/>
            <w:vAlign w:val="bottom"/>
            <w:hideMark/>
          </w:tcPr>
          <w:p w:rsidR="0028750A" w:rsidRPr="00243081" w:rsidRDefault="002875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 </w:t>
            </w:r>
          </w:p>
        </w:tc>
        <w:tc>
          <w:tcPr>
            <w:tcW w:w="4442" w:type="dxa"/>
            <w:shd w:val="clear" w:color="auto" w:fill="auto"/>
            <w:noWrap/>
            <w:vAlign w:val="bottom"/>
            <w:hideMark/>
          </w:tcPr>
          <w:p w:rsidR="0028750A" w:rsidRPr="00243081" w:rsidRDefault="002875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YEAR</w:t>
            </w:r>
          </w:p>
        </w:tc>
        <w:tc>
          <w:tcPr>
            <w:tcW w:w="1005" w:type="dxa"/>
            <w:shd w:val="clear" w:color="auto" w:fill="auto"/>
            <w:noWrap/>
            <w:vAlign w:val="bottom"/>
            <w:hideMark/>
          </w:tcPr>
          <w:p w:rsidR="0028750A" w:rsidRPr="00243081" w:rsidRDefault="0028750A" w:rsidP="00087BE1">
            <w:pPr>
              <w:widowControl/>
              <w:jc w:val="right"/>
              <w:rPr>
                <w:rFonts w:ascii="Arial Narrow" w:hAnsi="Arial Narrow" w:cstheme="minorHAnsi"/>
                <w:b/>
                <w:snapToGrid/>
                <w:color w:val="000000"/>
                <w:sz w:val="20"/>
                <w:szCs w:val="20"/>
                <w:lang w:eastAsia="en-AU"/>
              </w:rPr>
            </w:pPr>
            <w:r w:rsidRPr="00243081">
              <w:rPr>
                <w:rFonts w:ascii="Arial Narrow" w:hAnsi="Arial Narrow" w:cstheme="minorHAnsi"/>
                <w:b/>
                <w:snapToGrid/>
                <w:color w:val="000000"/>
                <w:sz w:val="20"/>
                <w:szCs w:val="20"/>
                <w:lang w:eastAsia="en-AU"/>
              </w:rPr>
              <w:t>2019</w:t>
            </w:r>
          </w:p>
        </w:tc>
        <w:tc>
          <w:tcPr>
            <w:tcW w:w="1149" w:type="dxa"/>
            <w:shd w:val="clear" w:color="auto" w:fill="auto"/>
            <w:noWrap/>
            <w:vAlign w:val="bottom"/>
            <w:hideMark/>
          </w:tcPr>
          <w:p w:rsidR="0028750A" w:rsidRPr="00243081" w:rsidRDefault="0028750A" w:rsidP="00087BE1">
            <w:pPr>
              <w:widowControl/>
              <w:jc w:val="right"/>
              <w:rPr>
                <w:rFonts w:ascii="Arial Narrow" w:hAnsi="Arial Narrow" w:cstheme="minorHAnsi"/>
                <w:b/>
                <w:snapToGrid/>
                <w:color w:val="000000"/>
                <w:sz w:val="20"/>
                <w:szCs w:val="20"/>
                <w:lang w:eastAsia="en-AU"/>
              </w:rPr>
            </w:pPr>
            <w:r w:rsidRPr="00243081">
              <w:rPr>
                <w:rFonts w:ascii="Arial Narrow" w:hAnsi="Arial Narrow" w:cstheme="minorHAnsi"/>
                <w:b/>
                <w:snapToGrid/>
                <w:color w:val="000000"/>
                <w:sz w:val="20"/>
                <w:szCs w:val="20"/>
                <w:lang w:eastAsia="en-AU"/>
              </w:rPr>
              <w:t>2020</w:t>
            </w:r>
          </w:p>
        </w:tc>
        <w:tc>
          <w:tcPr>
            <w:tcW w:w="1149" w:type="dxa"/>
            <w:shd w:val="clear" w:color="auto" w:fill="auto"/>
            <w:noWrap/>
            <w:vAlign w:val="bottom"/>
            <w:hideMark/>
          </w:tcPr>
          <w:p w:rsidR="0028750A" w:rsidRPr="00243081" w:rsidRDefault="0028750A" w:rsidP="00087BE1">
            <w:pPr>
              <w:widowControl/>
              <w:jc w:val="right"/>
              <w:rPr>
                <w:rFonts w:ascii="Arial Narrow" w:hAnsi="Arial Narrow" w:cs="Calibri"/>
                <w:b/>
                <w:snapToGrid/>
                <w:color w:val="000000"/>
                <w:sz w:val="20"/>
                <w:szCs w:val="20"/>
                <w:lang w:eastAsia="en-AU"/>
              </w:rPr>
            </w:pPr>
            <w:r w:rsidRPr="00243081">
              <w:rPr>
                <w:rFonts w:ascii="Arial Narrow" w:hAnsi="Arial Narrow" w:cs="Calibri"/>
                <w:b/>
                <w:snapToGrid/>
                <w:color w:val="000000"/>
                <w:sz w:val="20"/>
                <w:szCs w:val="20"/>
                <w:lang w:eastAsia="en-AU"/>
              </w:rPr>
              <w:t>2021</w:t>
            </w:r>
          </w:p>
        </w:tc>
        <w:tc>
          <w:tcPr>
            <w:tcW w:w="1149" w:type="dxa"/>
            <w:shd w:val="clear" w:color="auto" w:fill="auto"/>
            <w:noWrap/>
            <w:vAlign w:val="bottom"/>
            <w:hideMark/>
          </w:tcPr>
          <w:p w:rsidR="0028750A" w:rsidRPr="00243081" w:rsidRDefault="0028750A" w:rsidP="00087BE1">
            <w:pPr>
              <w:widowControl/>
              <w:jc w:val="right"/>
              <w:rPr>
                <w:rFonts w:ascii="Arial Narrow" w:hAnsi="Arial Narrow" w:cs="Calibri"/>
                <w:b/>
                <w:snapToGrid/>
                <w:color w:val="000000"/>
                <w:sz w:val="20"/>
                <w:szCs w:val="20"/>
                <w:lang w:eastAsia="en-AU"/>
              </w:rPr>
            </w:pPr>
            <w:r w:rsidRPr="00243081">
              <w:rPr>
                <w:rFonts w:ascii="Arial Narrow" w:hAnsi="Arial Narrow" w:cs="Calibri"/>
                <w:b/>
                <w:snapToGrid/>
                <w:color w:val="000000"/>
                <w:sz w:val="20"/>
                <w:szCs w:val="20"/>
                <w:lang w:eastAsia="en-AU"/>
              </w:rPr>
              <w:t>2022</w:t>
            </w:r>
          </w:p>
        </w:tc>
        <w:tc>
          <w:tcPr>
            <w:tcW w:w="1149" w:type="dxa"/>
            <w:shd w:val="clear" w:color="auto" w:fill="auto"/>
            <w:noWrap/>
            <w:vAlign w:val="bottom"/>
            <w:hideMark/>
          </w:tcPr>
          <w:p w:rsidR="0028750A" w:rsidRPr="00243081" w:rsidRDefault="0028750A" w:rsidP="00087BE1">
            <w:pPr>
              <w:widowControl/>
              <w:jc w:val="right"/>
              <w:rPr>
                <w:rFonts w:ascii="Arial Narrow" w:hAnsi="Arial Narrow" w:cs="Calibri"/>
                <w:b/>
                <w:snapToGrid/>
                <w:color w:val="000000"/>
                <w:sz w:val="20"/>
                <w:szCs w:val="20"/>
                <w:lang w:eastAsia="en-AU"/>
              </w:rPr>
            </w:pPr>
            <w:r w:rsidRPr="00243081">
              <w:rPr>
                <w:rFonts w:ascii="Arial Narrow" w:hAnsi="Arial Narrow" w:cs="Calibri"/>
                <w:b/>
                <w:snapToGrid/>
                <w:color w:val="000000"/>
                <w:sz w:val="20"/>
                <w:szCs w:val="20"/>
                <w:lang w:eastAsia="en-AU"/>
              </w:rPr>
              <w:t>2023</w:t>
            </w:r>
          </w:p>
        </w:tc>
        <w:tc>
          <w:tcPr>
            <w:tcW w:w="1005" w:type="dxa"/>
            <w:shd w:val="clear" w:color="auto" w:fill="auto"/>
            <w:noWrap/>
            <w:vAlign w:val="bottom"/>
            <w:hideMark/>
          </w:tcPr>
          <w:p w:rsidR="0028750A" w:rsidRPr="00243081" w:rsidRDefault="0028750A" w:rsidP="00087BE1">
            <w:pPr>
              <w:widowControl/>
              <w:jc w:val="right"/>
              <w:rPr>
                <w:rFonts w:ascii="Arial Narrow" w:hAnsi="Arial Narrow" w:cs="Calibri"/>
                <w:b/>
                <w:snapToGrid/>
                <w:color w:val="000000"/>
                <w:sz w:val="20"/>
                <w:szCs w:val="20"/>
                <w:lang w:eastAsia="en-AU"/>
              </w:rPr>
            </w:pPr>
            <w:r w:rsidRPr="00243081">
              <w:rPr>
                <w:rFonts w:ascii="Arial Narrow" w:hAnsi="Arial Narrow" w:cs="Calibri"/>
                <w:b/>
                <w:snapToGrid/>
                <w:color w:val="000000"/>
                <w:sz w:val="20"/>
                <w:szCs w:val="20"/>
                <w:lang w:eastAsia="en-AU"/>
              </w:rPr>
              <w:t>2024</w:t>
            </w:r>
          </w:p>
        </w:tc>
        <w:tc>
          <w:tcPr>
            <w:tcW w:w="1838" w:type="dxa"/>
          </w:tcPr>
          <w:p w:rsidR="0028750A" w:rsidRPr="00243081" w:rsidRDefault="0028750A" w:rsidP="00223244">
            <w:pPr>
              <w:widowControl/>
              <w:jc w:val="right"/>
              <w:rPr>
                <w:rFonts w:ascii="Arial Narrow" w:hAnsi="Arial Narrow" w:cstheme="minorHAnsi"/>
                <w:b/>
                <w:snapToGrid/>
                <w:color w:val="000000"/>
                <w:sz w:val="20"/>
                <w:szCs w:val="20"/>
                <w:lang w:eastAsia="en-AU"/>
              </w:rPr>
            </w:pPr>
          </w:p>
        </w:tc>
      </w:tr>
      <w:tr w:rsidR="0081110A" w:rsidRPr="00243081" w:rsidTr="00364F3F">
        <w:trPr>
          <w:trHeight w:val="6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 </w:t>
            </w:r>
          </w:p>
        </w:tc>
        <w:tc>
          <w:tcPr>
            <w:tcW w:w="4442" w:type="dxa"/>
            <w:shd w:val="clear" w:color="auto" w:fill="auto"/>
            <w:vAlign w:val="bottom"/>
            <w:hideMark/>
          </w:tcPr>
          <w:p w:rsidR="0081110A" w:rsidRPr="00243081" w:rsidRDefault="0081110A" w:rsidP="006C6C0C">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 xml:space="preserve">Agreed </w:t>
            </w:r>
            <w:r w:rsidR="006C6C0C" w:rsidRPr="00243081">
              <w:rPr>
                <w:rFonts w:ascii="Arial Narrow" w:hAnsi="Arial Narrow" w:cs="Calibri"/>
                <w:color w:val="000000"/>
                <w:sz w:val="20"/>
                <w:szCs w:val="20"/>
              </w:rPr>
              <w:t>1</w:t>
            </w:r>
            <w:r w:rsidRPr="00243081">
              <w:rPr>
                <w:rFonts w:ascii="Arial Narrow" w:hAnsi="Arial Narrow" w:cs="Calibri"/>
                <w:color w:val="000000"/>
                <w:sz w:val="20"/>
                <w:szCs w:val="20"/>
              </w:rPr>
              <w:t xml:space="preserve">st line IV Population from </w:t>
            </w:r>
            <w:proofErr w:type="spellStart"/>
            <w:r w:rsidRPr="00243081">
              <w:rPr>
                <w:rFonts w:ascii="Arial Narrow" w:hAnsi="Arial Narrow" w:cs="Calibri"/>
                <w:color w:val="000000"/>
                <w:sz w:val="20"/>
                <w:szCs w:val="20"/>
              </w:rPr>
              <w:t>pembro</w:t>
            </w:r>
            <w:proofErr w:type="spellEnd"/>
            <w:r w:rsidRPr="00243081">
              <w:rPr>
                <w:rFonts w:ascii="Arial Narrow" w:hAnsi="Arial Narrow" w:cs="Calibri"/>
                <w:color w:val="000000"/>
                <w:sz w:val="20"/>
                <w:szCs w:val="20"/>
              </w:rPr>
              <w:t xml:space="preserve"> 1st line submission PD-L1+, EGFR-, ALK- NSCLC,, all patients </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838" w:type="dxa"/>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July 2018 PBAC </w:t>
            </w:r>
          </w:p>
        </w:tc>
      </w:tr>
      <w:tr w:rsidR="0081110A" w:rsidRPr="00243081" w:rsidTr="00364F3F">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#1</w:t>
            </w:r>
          </w:p>
        </w:tc>
        <w:tc>
          <w:tcPr>
            <w:tcW w:w="4442" w:type="dxa"/>
            <w:shd w:val="clear" w:color="000000" w:fill="FFFFFF"/>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Total Patients with NSCLC diagnosed at Stage IV EGFR-, ALK- NSCLC</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838" w:type="dxa"/>
            <w:shd w:val="clear" w:color="000000" w:fill="FFFFFF"/>
          </w:tcPr>
          <w:p w:rsidR="0081110A" w:rsidRPr="00243081" w:rsidRDefault="0081110A" w:rsidP="00087BE1">
            <w:pPr>
              <w:widowControl/>
              <w:jc w:val="right"/>
              <w:rPr>
                <w:rFonts w:ascii="Arial Narrow" w:hAnsi="Arial Narrow" w:cstheme="minorHAnsi"/>
                <w:snapToGrid/>
                <w:color w:val="000000"/>
                <w:sz w:val="20"/>
                <w:szCs w:val="20"/>
                <w:lang w:eastAsia="en-AU"/>
              </w:rPr>
            </w:pPr>
          </w:p>
          <w:p w:rsidR="0081110A" w:rsidRPr="00243081" w:rsidRDefault="0081110A" w:rsidP="00087BE1">
            <w:pPr>
              <w:widowControl/>
              <w:jc w:val="righ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28.5% PDL1+ </w:t>
            </w:r>
          </w:p>
        </w:tc>
      </w:tr>
      <w:tr w:rsidR="0081110A" w:rsidRPr="00243081" w:rsidTr="00364F3F">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#2</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#1 who are Not ROS-1</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838" w:type="dxa"/>
          </w:tcPr>
          <w:p w:rsidR="0081110A" w:rsidRPr="00243081" w:rsidRDefault="0081110A" w:rsidP="00087BE1">
            <w:pPr>
              <w:widowControl/>
              <w:jc w:val="righ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1.6% ROS-1</w:t>
            </w:r>
          </w:p>
        </w:tc>
      </w:tr>
      <w:tr w:rsidR="0081110A" w:rsidRPr="00243081" w:rsidTr="00364F3F">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#3</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#2 who are NSQ</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838" w:type="dxa"/>
          </w:tcPr>
          <w:p w:rsidR="0081110A" w:rsidRPr="00243081" w:rsidRDefault="0081110A" w:rsidP="0081110A">
            <w:pPr>
              <w:widowControl/>
              <w:jc w:val="right"/>
              <w:rPr>
                <w:rFonts w:ascii="Arial Narrow" w:hAnsi="Arial Narrow" w:cstheme="minorHAnsi"/>
                <w:snapToGrid/>
                <w:color w:val="000000"/>
                <w:sz w:val="20"/>
                <w:szCs w:val="20"/>
                <w:lang w:eastAsia="en-AU"/>
              </w:rPr>
            </w:pPr>
          </w:p>
        </w:tc>
      </w:tr>
      <w:tr w:rsidR="0081110A" w:rsidRPr="00243081" w:rsidTr="00364F3F">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#4</w:t>
            </w:r>
          </w:p>
        </w:tc>
        <w:tc>
          <w:tcPr>
            <w:tcW w:w="4442" w:type="dxa"/>
            <w:shd w:val="clear" w:color="000000" w:fill="FFFFFF"/>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#3 who are PD-L1 &lt;50%</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838" w:type="dxa"/>
            <w:shd w:val="clear" w:color="000000" w:fill="FFFFFF"/>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74.2% NSQ </w:t>
            </w:r>
          </w:p>
        </w:tc>
      </w:tr>
      <w:tr w:rsidR="0081110A" w:rsidRPr="00243081" w:rsidTr="00364F3F">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#5</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#3 who are PD-L1 ≥50%</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838" w:type="dxa"/>
          </w:tcPr>
          <w:p w:rsidR="0081110A" w:rsidRPr="00243081" w:rsidRDefault="0081110A" w:rsidP="00087BE1">
            <w:pPr>
              <w:widowControl/>
              <w:jc w:val="right"/>
              <w:rPr>
                <w:rFonts w:ascii="Arial Narrow" w:hAnsi="Arial Narrow" w:cstheme="minorHAnsi"/>
                <w:snapToGrid/>
                <w:color w:val="000000"/>
                <w:sz w:val="20"/>
                <w:szCs w:val="20"/>
                <w:lang w:eastAsia="en-AU"/>
              </w:rPr>
            </w:pPr>
          </w:p>
        </w:tc>
      </w:tr>
      <w:tr w:rsidR="0081110A" w:rsidRPr="00243081" w:rsidTr="00364F3F">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 </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b/>
                <w:bCs/>
                <w:color w:val="000000"/>
                <w:sz w:val="20"/>
                <w:szCs w:val="20"/>
              </w:rPr>
              <w:t>PD-L1 &lt;50%</w:t>
            </w:r>
          </w:p>
        </w:tc>
        <w:tc>
          <w:tcPr>
            <w:tcW w:w="1005" w:type="dxa"/>
            <w:shd w:val="clear" w:color="auto" w:fill="FFFFFF" w:themeFill="background1"/>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149" w:type="dxa"/>
            <w:shd w:val="clear" w:color="auto" w:fill="FFFFFF" w:themeFill="background1"/>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149" w:type="dxa"/>
            <w:shd w:val="clear" w:color="auto" w:fill="FFFFFF" w:themeFill="background1"/>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149" w:type="dxa"/>
            <w:shd w:val="clear" w:color="auto" w:fill="FFFFFF" w:themeFill="background1"/>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149" w:type="dxa"/>
            <w:shd w:val="clear" w:color="auto" w:fill="FFFFFF" w:themeFill="background1"/>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005" w:type="dxa"/>
            <w:shd w:val="clear" w:color="auto" w:fill="FFFFFF" w:themeFill="background1"/>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838" w:type="dxa"/>
          </w:tcPr>
          <w:p w:rsidR="0081110A" w:rsidRPr="00243081" w:rsidRDefault="0081110A" w:rsidP="00087BE1">
            <w:pPr>
              <w:widowControl/>
              <w:jc w:val="right"/>
              <w:rPr>
                <w:rFonts w:ascii="Arial Narrow" w:hAnsi="Arial Narrow" w:cstheme="minorHAnsi"/>
                <w:snapToGrid/>
                <w:color w:val="000000"/>
                <w:sz w:val="20"/>
                <w:szCs w:val="20"/>
                <w:lang w:eastAsia="en-AU"/>
              </w:rPr>
            </w:pPr>
          </w:p>
        </w:tc>
      </w:tr>
      <w:tr w:rsidR="0081110A" w:rsidRPr="00243081" w:rsidTr="00793B21">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#6</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b/>
                <w:bCs/>
                <w:snapToGrid/>
                <w:color w:val="000000"/>
                <w:sz w:val="20"/>
                <w:szCs w:val="20"/>
                <w:lang w:eastAsia="en-AU"/>
              </w:rPr>
            </w:pPr>
            <w:r w:rsidRPr="00243081">
              <w:rPr>
                <w:rFonts w:ascii="Arial Narrow" w:hAnsi="Arial Narrow" w:cs="Calibri"/>
                <w:color w:val="000000"/>
                <w:sz w:val="20"/>
                <w:szCs w:val="20"/>
              </w:rPr>
              <w:t xml:space="preserve">Predicted uptake in </w:t>
            </w:r>
            <w:proofErr w:type="spellStart"/>
            <w:r w:rsidRPr="00243081">
              <w:rPr>
                <w:rFonts w:ascii="Arial Narrow" w:hAnsi="Arial Narrow" w:cs="Calibri"/>
                <w:color w:val="000000"/>
                <w:sz w:val="20"/>
                <w:szCs w:val="20"/>
              </w:rPr>
              <w:t>Pembrolizumab</w:t>
            </w:r>
            <w:proofErr w:type="spellEnd"/>
            <w:r w:rsidRPr="00243081">
              <w:rPr>
                <w:rFonts w:ascii="Arial Narrow" w:hAnsi="Arial Narrow" w:cs="Calibri"/>
                <w:color w:val="000000"/>
                <w:sz w:val="20"/>
                <w:szCs w:val="20"/>
              </w:rPr>
              <w:t xml:space="preserve"> combo for PD-L1&lt;50% (#4*81%)</w:t>
            </w:r>
          </w:p>
        </w:tc>
        <w:tc>
          <w:tcPr>
            <w:tcW w:w="1005"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005"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838" w:type="dxa"/>
          </w:tcPr>
          <w:p w:rsidR="0081110A" w:rsidRPr="00243081" w:rsidRDefault="0081110A" w:rsidP="00087BE1">
            <w:pPr>
              <w:widowControl/>
              <w:jc w:val="left"/>
              <w:rPr>
                <w:rFonts w:ascii="Arial Narrow" w:hAnsi="Arial Narrow" w:cstheme="minorHAnsi"/>
                <w:snapToGrid/>
                <w:color w:val="000000"/>
                <w:sz w:val="20"/>
                <w:szCs w:val="20"/>
                <w:lang w:eastAsia="en-AU"/>
              </w:rPr>
            </w:pPr>
          </w:p>
        </w:tc>
      </w:tr>
      <w:tr w:rsidR="0081110A" w:rsidRPr="00243081" w:rsidTr="00793B21">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 </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b/>
                <w:bCs/>
                <w:color w:val="000000"/>
                <w:sz w:val="20"/>
                <w:szCs w:val="20"/>
              </w:rPr>
              <w:t>PD-L1 ≥50%</w:t>
            </w:r>
          </w:p>
        </w:tc>
        <w:tc>
          <w:tcPr>
            <w:tcW w:w="1005" w:type="dxa"/>
            <w:shd w:val="clear" w:color="auto" w:fill="auto"/>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149" w:type="dxa"/>
            <w:shd w:val="clear" w:color="auto" w:fill="auto"/>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149" w:type="dxa"/>
            <w:shd w:val="clear" w:color="auto" w:fill="auto"/>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149" w:type="dxa"/>
            <w:shd w:val="clear" w:color="auto" w:fill="auto"/>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149" w:type="dxa"/>
            <w:shd w:val="clear" w:color="auto" w:fill="auto"/>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005" w:type="dxa"/>
            <w:shd w:val="clear" w:color="auto" w:fill="auto"/>
            <w:noWrap/>
            <w:vAlign w:val="bottom"/>
            <w:hideMark/>
          </w:tcPr>
          <w:p w:rsidR="0081110A" w:rsidRPr="00243081" w:rsidRDefault="0081110A" w:rsidP="0081110A">
            <w:pPr>
              <w:widowControl/>
              <w:jc w:val="right"/>
              <w:rPr>
                <w:rFonts w:ascii="Arial Narrow" w:hAnsi="Arial Narrow" w:cstheme="minorHAnsi"/>
                <w:snapToGrid/>
                <w:color w:val="000000"/>
                <w:sz w:val="20"/>
                <w:szCs w:val="20"/>
                <w:lang w:eastAsia="en-AU"/>
              </w:rPr>
            </w:pPr>
            <w:r w:rsidRPr="00243081">
              <w:rPr>
                <w:rFonts w:ascii="Arial Narrow" w:hAnsi="Arial Narrow" w:cstheme="minorHAnsi"/>
                <w:color w:val="000000"/>
                <w:sz w:val="20"/>
                <w:szCs w:val="20"/>
              </w:rPr>
              <w:t> </w:t>
            </w:r>
          </w:p>
        </w:tc>
        <w:tc>
          <w:tcPr>
            <w:tcW w:w="1838" w:type="dxa"/>
            <w:shd w:val="clear" w:color="auto" w:fill="auto"/>
          </w:tcPr>
          <w:p w:rsidR="0081110A" w:rsidRPr="00243081" w:rsidRDefault="0081110A" w:rsidP="00087BE1">
            <w:pPr>
              <w:widowControl/>
              <w:jc w:val="right"/>
              <w:rPr>
                <w:rFonts w:ascii="Arial Narrow" w:hAnsi="Arial Narrow" w:cstheme="minorHAnsi"/>
                <w:snapToGrid/>
                <w:color w:val="000000"/>
                <w:sz w:val="20"/>
                <w:szCs w:val="20"/>
                <w:lang w:eastAsia="en-AU"/>
              </w:rPr>
            </w:pPr>
          </w:p>
        </w:tc>
      </w:tr>
      <w:tr w:rsidR="0081110A" w:rsidRPr="00243081" w:rsidTr="00793B21">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#7</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b/>
                <w:bCs/>
                <w:snapToGrid/>
                <w:color w:val="000000"/>
                <w:sz w:val="20"/>
                <w:szCs w:val="20"/>
                <w:lang w:eastAsia="en-AU"/>
              </w:rPr>
            </w:pPr>
            <w:r w:rsidRPr="00243081">
              <w:rPr>
                <w:rFonts w:ascii="Arial Narrow" w:hAnsi="Arial Narrow" w:cs="Calibri"/>
                <w:color w:val="000000"/>
                <w:sz w:val="20"/>
                <w:szCs w:val="20"/>
              </w:rPr>
              <w:t xml:space="preserve">Predicted uptake in </w:t>
            </w:r>
            <w:proofErr w:type="spellStart"/>
            <w:r w:rsidRPr="00243081">
              <w:rPr>
                <w:rFonts w:ascii="Arial Narrow" w:hAnsi="Arial Narrow" w:cs="Calibri"/>
                <w:color w:val="000000"/>
                <w:sz w:val="20"/>
                <w:szCs w:val="20"/>
              </w:rPr>
              <w:t>Pembrolizumab</w:t>
            </w:r>
            <w:proofErr w:type="spellEnd"/>
            <w:r w:rsidRPr="00243081">
              <w:rPr>
                <w:rFonts w:ascii="Arial Narrow" w:hAnsi="Arial Narrow" w:cs="Calibri"/>
                <w:color w:val="000000"/>
                <w:sz w:val="20"/>
                <w:szCs w:val="20"/>
              </w:rPr>
              <w:t xml:space="preserve"> combo for PD-L1≥50% (#5 * 81% * 80%)</w:t>
            </w:r>
          </w:p>
        </w:tc>
        <w:tc>
          <w:tcPr>
            <w:tcW w:w="1005"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005"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838" w:type="dxa"/>
            <w:shd w:val="clear" w:color="auto" w:fill="auto"/>
          </w:tcPr>
          <w:p w:rsidR="0081110A" w:rsidRPr="00243081" w:rsidRDefault="0081110A" w:rsidP="00087BE1">
            <w:pPr>
              <w:widowControl/>
              <w:jc w:val="left"/>
              <w:rPr>
                <w:rFonts w:ascii="Arial Narrow" w:hAnsi="Arial Narrow" w:cstheme="minorHAnsi"/>
                <w:snapToGrid/>
                <w:color w:val="000000"/>
                <w:sz w:val="20"/>
                <w:szCs w:val="20"/>
                <w:lang w:eastAsia="en-AU"/>
              </w:rPr>
            </w:pPr>
          </w:p>
        </w:tc>
      </w:tr>
      <w:tr w:rsidR="0081110A" w:rsidRPr="00243081" w:rsidTr="00793B21">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#8</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 xml:space="preserve">Predicted remaining in </w:t>
            </w:r>
            <w:proofErr w:type="spellStart"/>
            <w:r w:rsidRPr="00243081">
              <w:rPr>
                <w:rFonts w:ascii="Arial Narrow" w:hAnsi="Arial Narrow" w:cs="Calibri"/>
                <w:color w:val="000000"/>
                <w:sz w:val="20"/>
                <w:szCs w:val="20"/>
              </w:rPr>
              <w:t>Pembro</w:t>
            </w:r>
            <w:proofErr w:type="spellEnd"/>
            <w:r w:rsidRPr="00243081">
              <w:rPr>
                <w:rFonts w:ascii="Arial Narrow" w:hAnsi="Arial Narrow" w:cs="Calibri"/>
                <w:color w:val="000000"/>
                <w:sz w:val="20"/>
                <w:szCs w:val="20"/>
              </w:rPr>
              <w:t xml:space="preserve"> mono for PD-L1≥50% (#6 * 81% * 20%)</w:t>
            </w:r>
          </w:p>
        </w:tc>
        <w:tc>
          <w:tcPr>
            <w:tcW w:w="1005"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005"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color w:val="000000"/>
                <w:sz w:val="20"/>
                <w:szCs w:val="20"/>
                <w:highlight w:val="black"/>
              </w:rPr>
              <w:t>'''''''''</w:t>
            </w:r>
          </w:p>
        </w:tc>
        <w:tc>
          <w:tcPr>
            <w:tcW w:w="1838" w:type="dxa"/>
            <w:shd w:val="clear" w:color="auto" w:fill="auto"/>
          </w:tcPr>
          <w:p w:rsidR="0081110A" w:rsidRPr="00243081" w:rsidRDefault="0081110A" w:rsidP="00087BE1">
            <w:pPr>
              <w:widowControl/>
              <w:jc w:val="right"/>
              <w:rPr>
                <w:rFonts w:ascii="Arial Narrow" w:hAnsi="Arial Narrow" w:cstheme="minorHAnsi"/>
                <w:snapToGrid/>
                <w:color w:val="000000"/>
                <w:sz w:val="20"/>
                <w:szCs w:val="20"/>
                <w:lang w:eastAsia="en-AU"/>
              </w:rPr>
            </w:pPr>
          </w:p>
        </w:tc>
      </w:tr>
      <w:tr w:rsidR="0081110A" w:rsidRPr="00243081" w:rsidTr="00364F3F">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#9</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 xml:space="preserve">Total taking </w:t>
            </w:r>
            <w:proofErr w:type="spellStart"/>
            <w:r w:rsidRPr="00243081">
              <w:rPr>
                <w:rFonts w:ascii="Arial Narrow" w:hAnsi="Arial Narrow" w:cs="Calibri"/>
                <w:color w:val="000000"/>
                <w:sz w:val="20"/>
                <w:szCs w:val="20"/>
              </w:rPr>
              <w:t>pembro</w:t>
            </w:r>
            <w:proofErr w:type="spellEnd"/>
            <w:r w:rsidRPr="00243081">
              <w:rPr>
                <w:rFonts w:ascii="Arial Narrow" w:hAnsi="Arial Narrow" w:cs="Calibri"/>
                <w:color w:val="000000"/>
                <w:sz w:val="20"/>
                <w:szCs w:val="20"/>
              </w:rPr>
              <w:t xml:space="preserve"> combo (#6 + #7)</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149"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005" w:type="dxa"/>
            <w:shd w:val="clear" w:color="auto" w:fill="FFFFFF" w:themeFill="background1"/>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838" w:type="dxa"/>
          </w:tcPr>
          <w:p w:rsidR="0081110A" w:rsidRPr="00243081" w:rsidRDefault="0081110A" w:rsidP="00087BE1">
            <w:pPr>
              <w:widowControl/>
              <w:jc w:val="left"/>
              <w:rPr>
                <w:rFonts w:ascii="Arial Narrow" w:hAnsi="Arial Narrow" w:cstheme="minorHAnsi"/>
                <w:snapToGrid/>
                <w:color w:val="000000"/>
                <w:sz w:val="20"/>
                <w:szCs w:val="20"/>
                <w:lang w:eastAsia="en-AU"/>
              </w:rPr>
            </w:pPr>
          </w:p>
        </w:tc>
      </w:tr>
      <w:tr w:rsidR="0081110A" w:rsidRPr="00243081" w:rsidTr="00364F3F">
        <w:trPr>
          <w:trHeight w:val="300"/>
        </w:trPr>
        <w:tc>
          <w:tcPr>
            <w:tcW w:w="1064" w:type="dxa"/>
            <w:shd w:val="clear" w:color="auto" w:fill="auto"/>
            <w:noWrap/>
            <w:vAlign w:val="bottom"/>
            <w:hideMark/>
          </w:tcPr>
          <w:p w:rsidR="0081110A" w:rsidRPr="00243081" w:rsidRDefault="0081110A" w:rsidP="00087BE1">
            <w:pPr>
              <w:widowControl/>
              <w:jc w:val="left"/>
              <w:rPr>
                <w:rFonts w:ascii="Arial Narrow" w:hAnsi="Arial Narrow" w:cs="Calibri"/>
                <w:snapToGrid/>
                <w:color w:val="000000"/>
                <w:sz w:val="20"/>
                <w:szCs w:val="20"/>
                <w:lang w:eastAsia="en-AU"/>
              </w:rPr>
            </w:pPr>
            <w:r w:rsidRPr="00243081">
              <w:rPr>
                <w:rFonts w:ascii="Arial Narrow" w:hAnsi="Arial Narrow" w:cs="Calibri"/>
                <w:color w:val="000000"/>
                <w:sz w:val="20"/>
                <w:szCs w:val="20"/>
              </w:rPr>
              <w:t>#10</w:t>
            </w:r>
          </w:p>
        </w:tc>
        <w:tc>
          <w:tcPr>
            <w:tcW w:w="4442" w:type="dxa"/>
            <w:shd w:val="clear" w:color="auto" w:fill="auto"/>
            <w:noWrap/>
            <w:vAlign w:val="bottom"/>
            <w:hideMark/>
          </w:tcPr>
          <w:p w:rsidR="0081110A" w:rsidRPr="00243081" w:rsidRDefault="0081110A" w:rsidP="00087BE1">
            <w:pPr>
              <w:widowControl/>
              <w:jc w:val="left"/>
              <w:rPr>
                <w:rFonts w:ascii="Arial Narrow" w:hAnsi="Arial Narrow" w:cstheme="minorHAnsi"/>
                <w:snapToGrid/>
                <w:color w:val="000000"/>
                <w:sz w:val="20"/>
                <w:szCs w:val="20"/>
                <w:lang w:eastAsia="en-AU"/>
              </w:rPr>
            </w:pPr>
            <w:r w:rsidRPr="00243081">
              <w:rPr>
                <w:rFonts w:ascii="Arial Narrow" w:hAnsi="Arial Narrow" w:cs="Calibri"/>
                <w:color w:val="000000"/>
                <w:sz w:val="20"/>
                <w:szCs w:val="20"/>
              </w:rPr>
              <w:t xml:space="preserve">Total taking </w:t>
            </w:r>
            <w:proofErr w:type="spellStart"/>
            <w:r w:rsidRPr="00243081">
              <w:rPr>
                <w:rFonts w:ascii="Arial Narrow" w:hAnsi="Arial Narrow" w:cs="Calibri"/>
                <w:color w:val="000000"/>
                <w:sz w:val="20"/>
                <w:szCs w:val="20"/>
              </w:rPr>
              <w:t>pembro</w:t>
            </w:r>
            <w:proofErr w:type="spellEnd"/>
            <w:r w:rsidRPr="00243081">
              <w:rPr>
                <w:rFonts w:ascii="Arial Narrow" w:hAnsi="Arial Narrow" w:cs="Calibri"/>
                <w:color w:val="000000"/>
                <w:sz w:val="20"/>
                <w:szCs w:val="20"/>
              </w:rPr>
              <w:t xml:space="preserve"> combo or mono (#6 + #7 + #8)</w:t>
            </w:r>
          </w:p>
        </w:tc>
        <w:tc>
          <w:tcPr>
            <w:tcW w:w="1005"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149"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005" w:type="dxa"/>
            <w:shd w:val="clear" w:color="auto" w:fill="auto"/>
            <w:noWrap/>
            <w:vAlign w:val="bottom"/>
            <w:hideMark/>
          </w:tcPr>
          <w:p w:rsidR="0081110A" w:rsidRPr="00227BBD" w:rsidRDefault="00227BBD" w:rsidP="0081110A">
            <w:pPr>
              <w:widowControl/>
              <w:jc w:val="right"/>
              <w:rPr>
                <w:rFonts w:ascii="Arial Narrow" w:hAnsi="Arial Narrow" w:cstheme="minorHAnsi"/>
                <w:snapToGrid/>
                <w:color w:val="000000"/>
                <w:sz w:val="20"/>
                <w:szCs w:val="20"/>
                <w:highlight w:val="black"/>
                <w:lang w:eastAsia="en-AU"/>
              </w:rPr>
            </w:pPr>
            <w:r>
              <w:rPr>
                <w:rFonts w:ascii="Arial Narrow" w:hAnsi="Arial Narrow" w:cs="Calibri"/>
                <w:noProof/>
                <w:color w:val="000000"/>
                <w:sz w:val="20"/>
                <w:szCs w:val="20"/>
                <w:highlight w:val="black"/>
              </w:rPr>
              <w:t>''''''''''''''</w:t>
            </w:r>
          </w:p>
        </w:tc>
        <w:tc>
          <w:tcPr>
            <w:tcW w:w="1838" w:type="dxa"/>
          </w:tcPr>
          <w:p w:rsidR="0081110A" w:rsidRPr="00243081" w:rsidRDefault="0081110A" w:rsidP="00087BE1">
            <w:pPr>
              <w:widowControl/>
              <w:jc w:val="right"/>
              <w:rPr>
                <w:rFonts w:ascii="Arial Narrow" w:hAnsi="Arial Narrow" w:cstheme="minorHAnsi"/>
                <w:snapToGrid/>
                <w:color w:val="000000"/>
                <w:sz w:val="20"/>
                <w:szCs w:val="20"/>
                <w:lang w:eastAsia="en-AU"/>
              </w:rPr>
            </w:pPr>
          </w:p>
        </w:tc>
      </w:tr>
      <w:tr w:rsidR="00223244" w:rsidRPr="00243081" w:rsidTr="00364F3F">
        <w:trPr>
          <w:trHeight w:val="269"/>
        </w:trPr>
        <w:tc>
          <w:tcPr>
            <w:tcW w:w="1064"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4442" w:type="dxa"/>
            <w:shd w:val="clear" w:color="auto" w:fill="auto"/>
            <w:noWrap/>
            <w:vAlign w:val="bottom"/>
            <w:hideMark/>
          </w:tcPr>
          <w:p w:rsidR="00223244" w:rsidRPr="00243081" w:rsidRDefault="00223244" w:rsidP="00087BE1">
            <w:pPr>
              <w:widowControl/>
              <w:jc w:val="left"/>
              <w:rPr>
                <w:rFonts w:ascii="Arial Narrow" w:hAnsi="Arial Narrow" w:cstheme="minorHAnsi"/>
                <w:snapToGrid/>
                <w:color w:val="000000"/>
                <w:sz w:val="20"/>
                <w:szCs w:val="20"/>
                <w:lang w:eastAsia="en-AU"/>
              </w:rPr>
            </w:pPr>
          </w:p>
        </w:tc>
        <w:tc>
          <w:tcPr>
            <w:tcW w:w="1005" w:type="dxa"/>
            <w:shd w:val="clear" w:color="auto" w:fill="auto"/>
            <w:noWrap/>
            <w:vAlign w:val="bottom"/>
            <w:hideMark/>
          </w:tcPr>
          <w:p w:rsidR="00223244" w:rsidRPr="00243081" w:rsidRDefault="00223244" w:rsidP="00087BE1">
            <w:pPr>
              <w:widowControl/>
              <w:jc w:val="left"/>
              <w:rPr>
                <w:rFonts w:ascii="Arial Narrow" w:hAnsi="Arial Narrow" w:cstheme="minorHAnsi"/>
                <w:snapToGrid/>
                <w:color w:val="000000"/>
                <w:sz w:val="20"/>
                <w:szCs w:val="20"/>
                <w:lang w:eastAsia="en-AU"/>
              </w:rPr>
            </w:pPr>
          </w:p>
        </w:tc>
        <w:tc>
          <w:tcPr>
            <w:tcW w:w="1149" w:type="dxa"/>
            <w:shd w:val="clear" w:color="auto" w:fill="auto"/>
            <w:noWrap/>
            <w:vAlign w:val="bottom"/>
            <w:hideMark/>
          </w:tcPr>
          <w:p w:rsidR="00223244" w:rsidRPr="00243081" w:rsidRDefault="00223244" w:rsidP="00087BE1">
            <w:pPr>
              <w:widowControl/>
              <w:jc w:val="left"/>
              <w:rPr>
                <w:rFonts w:ascii="Arial Narrow" w:hAnsi="Arial Narrow" w:cstheme="minorHAnsi"/>
                <w:snapToGrid/>
                <w:color w:val="000000"/>
                <w:sz w:val="20"/>
                <w:szCs w:val="20"/>
                <w:lang w:eastAsia="en-AU"/>
              </w:rPr>
            </w:pPr>
          </w:p>
        </w:tc>
        <w:tc>
          <w:tcPr>
            <w:tcW w:w="1149"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1149"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1149"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1005" w:type="dxa"/>
            <w:shd w:val="clear" w:color="auto" w:fill="auto"/>
            <w:noWrap/>
            <w:vAlign w:val="bottom"/>
            <w:hideMark/>
          </w:tcPr>
          <w:p w:rsidR="00223244" w:rsidRPr="00243081" w:rsidRDefault="00223244" w:rsidP="00087BE1">
            <w:pPr>
              <w:widowControl/>
              <w:jc w:val="left"/>
              <w:rPr>
                <w:rFonts w:ascii="Arial Narrow" w:hAnsi="Arial Narrow" w:cs="Calibri"/>
                <w:snapToGrid/>
                <w:color w:val="000000"/>
                <w:sz w:val="20"/>
                <w:szCs w:val="20"/>
                <w:lang w:eastAsia="en-AU"/>
              </w:rPr>
            </w:pPr>
          </w:p>
        </w:tc>
        <w:tc>
          <w:tcPr>
            <w:tcW w:w="1838" w:type="dxa"/>
          </w:tcPr>
          <w:p w:rsidR="00223244" w:rsidRPr="00243081" w:rsidRDefault="00223244" w:rsidP="00087BE1">
            <w:pPr>
              <w:widowControl/>
              <w:jc w:val="left"/>
              <w:rPr>
                <w:rFonts w:ascii="Arial Narrow" w:hAnsi="Arial Narrow" w:cs="Calibri"/>
                <w:snapToGrid/>
                <w:color w:val="000000"/>
                <w:sz w:val="20"/>
                <w:szCs w:val="20"/>
                <w:lang w:eastAsia="en-AU"/>
              </w:rPr>
            </w:pPr>
          </w:p>
        </w:tc>
      </w:tr>
    </w:tbl>
    <w:p w:rsidR="00C47107" w:rsidRPr="00243081" w:rsidRDefault="00C47107">
      <w:r w:rsidRPr="0024308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4432"/>
        <w:gridCol w:w="992"/>
        <w:gridCol w:w="1134"/>
        <w:gridCol w:w="1134"/>
        <w:gridCol w:w="1134"/>
        <w:gridCol w:w="1134"/>
        <w:gridCol w:w="992"/>
        <w:gridCol w:w="1906"/>
      </w:tblGrid>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p>
        </w:tc>
        <w:tc>
          <w:tcPr>
            <w:tcW w:w="99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p>
        </w:tc>
        <w:tc>
          <w:tcPr>
            <w:tcW w:w="1134"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9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1906" w:type="dxa"/>
          </w:tcPr>
          <w:p w:rsidR="00A42AD7" w:rsidRPr="00243081" w:rsidRDefault="00A42AD7" w:rsidP="00087BE1">
            <w:pPr>
              <w:widowControl/>
              <w:jc w:val="left"/>
              <w:rPr>
                <w:rFonts w:ascii="Arial Narrow" w:hAnsi="Arial Narrow" w:cs="Calibri"/>
                <w:snapToGrid/>
                <w:color w:val="000000"/>
                <w:sz w:val="20"/>
                <w:szCs w:val="20"/>
                <w:lang w:eastAsia="en-AU"/>
              </w:rPr>
            </w:pP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4432" w:type="dxa"/>
            <w:shd w:val="clear" w:color="000000" w:fill="EEECE1"/>
            <w:noWrap/>
            <w:vAlign w:val="bottom"/>
            <w:hideMark/>
          </w:tcPr>
          <w:p w:rsidR="00A42AD7" w:rsidRPr="00243081" w:rsidRDefault="00A42AD7" w:rsidP="00A42AD7">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PATIENTS DIAGNOSED AT STAGE III</w:t>
            </w:r>
          </w:p>
        </w:tc>
        <w:tc>
          <w:tcPr>
            <w:tcW w:w="99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p>
        </w:tc>
        <w:tc>
          <w:tcPr>
            <w:tcW w:w="1134"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9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1906" w:type="dxa"/>
          </w:tcPr>
          <w:p w:rsidR="00A42AD7" w:rsidRPr="00243081" w:rsidRDefault="00A42AD7" w:rsidP="00087BE1">
            <w:pPr>
              <w:widowControl/>
              <w:jc w:val="left"/>
              <w:rPr>
                <w:rFonts w:ascii="Arial Narrow" w:hAnsi="Arial Narrow" w:cs="Calibri"/>
                <w:snapToGrid/>
                <w:color w:val="000000"/>
                <w:sz w:val="20"/>
                <w:szCs w:val="20"/>
                <w:lang w:eastAsia="en-AU"/>
              </w:rPr>
            </w:pP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YEAR</w:t>
            </w:r>
          </w:p>
        </w:tc>
        <w:tc>
          <w:tcPr>
            <w:tcW w:w="992" w:type="dxa"/>
            <w:shd w:val="clear" w:color="auto" w:fill="auto"/>
            <w:noWrap/>
            <w:vAlign w:val="bottom"/>
            <w:hideMark/>
          </w:tcPr>
          <w:p w:rsidR="00A42AD7" w:rsidRPr="00243081" w:rsidRDefault="00A42AD7" w:rsidP="00101F72">
            <w:pPr>
              <w:widowControl/>
              <w:jc w:val="center"/>
              <w:rPr>
                <w:rFonts w:ascii="Arial Narrow" w:hAnsi="Arial Narrow" w:cstheme="minorHAnsi"/>
                <w:b/>
                <w:snapToGrid/>
                <w:color w:val="000000"/>
                <w:sz w:val="20"/>
                <w:szCs w:val="20"/>
                <w:lang w:eastAsia="en-AU"/>
              </w:rPr>
            </w:pPr>
            <w:r w:rsidRPr="00243081">
              <w:rPr>
                <w:rFonts w:ascii="Arial Narrow" w:hAnsi="Arial Narrow" w:cstheme="minorHAnsi"/>
                <w:b/>
                <w:snapToGrid/>
                <w:color w:val="000000"/>
                <w:sz w:val="20"/>
                <w:szCs w:val="20"/>
                <w:lang w:eastAsia="en-AU"/>
              </w:rPr>
              <w:t>2019</w:t>
            </w:r>
          </w:p>
        </w:tc>
        <w:tc>
          <w:tcPr>
            <w:tcW w:w="1134" w:type="dxa"/>
            <w:shd w:val="clear" w:color="auto" w:fill="auto"/>
            <w:noWrap/>
            <w:vAlign w:val="bottom"/>
            <w:hideMark/>
          </w:tcPr>
          <w:p w:rsidR="00A42AD7" w:rsidRPr="00243081" w:rsidRDefault="00A42AD7" w:rsidP="00101F72">
            <w:pPr>
              <w:widowControl/>
              <w:jc w:val="center"/>
              <w:rPr>
                <w:rFonts w:ascii="Arial Narrow" w:hAnsi="Arial Narrow" w:cstheme="minorHAnsi"/>
                <w:b/>
                <w:snapToGrid/>
                <w:color w:val="000000"/>
                <w:sz w:val="20"/>
                <w:szCs w:val="20"/>
                <w:lang w:eastAsia="en-AU"/>
              </w:rPr>
            </w:pPr>
            <w:r w:rsidRPr="00243081">
              <w:rPr>
                <w:rFonts w:ascii="Arial Narrow" w:hAnsi="Arial Narrow" w:cstheme="minorHAnsi"/>
                <w:b/>
                <w:snapToGrid/>
                <w:color w:val="000000"/>
                <w:sz w:val="20"/>
                <w:szCs w:val="20"/>
                <w:lang w:eastAsia="en-AU"/>
              </w:rPr>
              <w:t>2020</w:t>
            </w:r>
          </w:p>
        </w:tc>
        <w:tc>
          <w:tcPr>
            <w:tcW w:w="1134" w:type="dxa"/>
            <w:shd w:val="clear" w:color="auto" w:fill="auto"/>
            <w:noWrap/>
            <w:vAlign w:val="bottom"/>
            <w:hideMark/>
          </w:tcPr>
          <w:p w:rsidR="00A42AD7" w:rsidRPr="00243081" w:rsidRDefault="00A42AD7" w:rsidP="00101F72">
            <w:pPr>
              <w:widowControl/>
              <w:jc w:val="center"/>
              <w:rPr>
                <w:rFonts w:ascii="Arial Narrow" w:hAnsi="Arial Narrow" w:cs="Calibri"/>
                <w:b/>
                <w:snapToGrid/>
                <w:color w:val="000000"/>
                <w:sz w:val="20"/>
                <w:szCs w:val="20"/>
                <w:lang w:eastAsia="en-AU"/>
              </w:rPr>
            </w:pPr>
            <w:r w:rsidRPr="00243081">
              <w:rPr>
                <w:rFonts w:ascii="Arial Narrow" w:hAnsi="Arial Narrow" w:cs="Calibri"/>
                <w:b/>
                <w:snapToGrid/>
                <w:color w:val="000000"/>
                <w:sz w:val="20"/>
                <w:szCs w:val="20"/>
                <w:lang w:eastAsia="en-AU"/>
              </w:rPr>
              <w:t>2021</w:t>
            </w:r>
          </w:p>
        </w:tc>
        <w:tc>
          <w:tcPr>
            <w:tcW w:w="1134" w:type="dxa"/>
            <w:shd w:val="clear" w:color="auto" w:fill="auto"/>
            <w:noWrap/>
            <w:vAlign w:val="bottom"/>
            <w:hideMark/>
          </w:tcPr>
          <w:p w:rsidR="00A42AD7" w:rsidRPr="00243081" w:rsidRDefault="00A42AD7" w:rsidP="00101F72">
            <w:pPr>
              <w:widowControl/>
              <w:jc w:val="center"/>
              <w:rPr>
                <w:rFonts w:ascii="Arial Narrow" w:hAnsi="Arial Narrow" w:cs="Calibri"/>
                <w:b/>
                <w:snapToGrid/>
                <w:color w:val="000000"/>
                <w:sz w:val="20"/>
                <w:szCs w:val="20"/>
                <w:lang w:eastAsia="en-AU"/>
              </w:rPr>
            </w:pPr>
            <w:r w:rsidRPr="00243081">
              <w:rPr>
                <w:rFonts w:ascii="Arial Narrow" w:hAnsi="Arial Narrow" w:cs="Calibri"/>
                <w:b/>
                <w:snapToGrid/>
                <w:color w:val="000000"/>
                <w:sz w:val="20"/>
                <w:szCs w:val="20"/>
                <w:lang w:eastAsia="en-AU"/>
              </w:rPr>
              <w:t>2022</w:t>
            </w:r>
          </w:p>
        </w:tc>
        <w:tc>
          <w:tcPr>
            <w:tcW w:w="1134" w:type="dxa"/>
            <w:shd w:val="clear" w:color="auto" w:fill="auto"/>
            <w:noWrap/>
            <w:vAlign w:val="bottom"/>
            <w:hideMark/>
          </w:tcPr>
          <w:p w:rsidR="00A42AD7" w:rsidRPr="00243081" w:rsidRDefault="00A42AD7" w:rsidP="00101F72">
            <w:pPr>
              <w:widowControl/>
              <w:jc w:val="center"/>
              <w:rPr>
                <w:rFonts w:ascii="Arial Narrow" w:hAnsi="Arial Narrow" w:cs="Calibri"/>
                <w:b/>
                <w:snapToGrid/>
                <w:color w:val="000000"/>
                <w:sz w:val="20"/>
                <w:szCs w:val="20"/>
                <w:lang w:eastAsia="en-AU"/>
              </w:rPr>
            </w:pPr>
            <w:r w:rsidRPr="00243081">
              <w:rPr>
                <w:rFonts w:ascii="Arial Narrow" w:hAnsi="Arial Narrow" w:cs="Calibri"/>
                <w:b/>
                <w:snapToGrid/>
                <w:color w:val="000000"/>
                <w:sz w:val="20"/>
                <w:szCs w:val="20"/>
                <w:lang w:eastAsia="en-AU"/>
              </w:rPr>
              <w:t>2023</w:t>
            </w:r>
          </w:p>
        </w:tc>
        <w:tc>
          <w:tcPr>
            <w:tcW w:w="992" w:type="dxa"/>
            <w:shd w:val="clear" w:color="auto" w:fill="auto"/>
            <w:noWrap/>
            <w:vAlign w:val="bottom"/>
            <w:hideMark/>
          </w:tcPr>
          <w:p w:rsidR="00A42AD7" w:rsidRPr="00243081" w:rsidRDefault="00A42AD7" w:rsidP="00101F72">
            <w:pPr>
              <w:widowControl/>
              <w:jc w:val="center"/>
              <w:rPr>
                <w:rFonts w:ascii="Arial Narrow" w:hAnsi="Arial Narrow" w:cs="Calibri"/>
                <w:b/>
                <w:snapToGrid/>
                <w:color w:val="000000"/>
                <w:sz w:val="20"/>
                <w:szCs w:val="20"/>
                <w:lang w:eastAsia="en-AU"/>
              </w:rPr>
            </w:pPr>
            <w:r w:rsidRPr="00243081">
              <w:rPr>
                <w:rFonts w:ascii="Arial Narrow" w:hAnsi="Arial Narrow" w:cs="Calibri"/>
                <w:b/>
                <w:snapToGrid/>
                <w:color w:val="000000"/>
                <w:sz w:val="20"/>
                <w:szCs w:val="20"/>
                <w:lang w:eastAsia="en-AU"/>
              </w:rPr>
              <w:t>2024</w:t>
            </w:r>
          </w:p>
        </w:tc>
        <w:tc>
          <w:tcPr>
            <w:tcW w:w="1906" w:type="dxa"/>
          </w:tcPr>
          <w:p w:rsidR="00A42AD7" w:rsidRPr="00243081" w:rsidRDefault="00A42AD7" w:rsidP="00087BE1">
            <w:pPr>
              <w:widowControl/>
              <w:jc w:val="right"/>
              <w:rPr>
                <w:rFonts w:ascii="Arial Narrow" w:hAnsi="Arial Narrow" w:cs="Calibri"/>
                <w:b/>
                <w:snapToGrid/>
                <w:color w:val="000000"/>
                <w:sz w:val="20"/>
                <w:szCs w:val="20"/>
                <w:lang w:eastAsia="en-AU"/>
              </w:rPr>
            </w:pP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4432" w:type="dxa"/>
            <w:shd w:val="clear" w:color="auto" w:fill="auto"/>
            <w:noWrap/>
            <w:vAlign w:val="bottom"/>
            <w:hideMark/>
          </w:tcPr>
          <w:p w:rsidR="00A42AD7" w:rsidRPr="00243081" w:rsidRDefault="00A42AD7" w:rsidP="00A42AD7">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Patients with NSCLC diagnosed at Stage III </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2,849</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2,902</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2,956</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3,010</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3,063</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3,117</w:t>
            </w:r>
          </w:p>
        </w:tc>
        <w:tc>
          <w:tcPr>
            <w:tcW w:w="1906" w:type="dxa"/>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(AIHW + Mitchell et al (2013)</w:t>
            </w: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4432" w:type="dxa"/>
            <w:shd w:val="clear" w:color="auto" w:fill="auto"/>
            <w:noWrap/>
            <w:vAlign w:val="bottom"/>
            <w:hideMark/>
          </w:tcPr>
          <w:p w:rsidR="00A42AD7" w:rsidRPr="00243081" w:rsidRDefault="00A42AD7" w:rsidP="00A42AD7">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Stage III A </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1,303</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1,327</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1,352</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1,377</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1,401</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1,426</w:t>
            </w:r>
          </w:p>
        </w:tc>
        <w:tc>
          <w:tcPr>
            <w:tcW w:w="1906" w:type="dxa"/>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11.8%</w:t>
            </w: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4432" w:type="dxa"/>
            <w:shd w:val="clear" w:color="auto" w:fill="auto"/>
            <w:noWrap/>
            <w:vAlign w:val="bottom"/>
            <w:hideMark/>
          </w:tcPr>
          <w:p w:rsidR="00A42AD7" w:rsidRPr="00243081" w:rsidRDefault="00A42AD7" w:rsidP="00A42AD7">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Stage III B</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1,546</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1,575</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1,604</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1,633</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1,662</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1,691</w:t>
            </w:r>
          </w:p>
        </w:tc>
        <w:tc>
          <w:tcPr>
            <w:tcW w:w="1906" w:type="dxa"/>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14%</w:t>
            </w: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#1</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Number progressing to Stage IV ( = 100% IIIB + 60% IIIA)</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2,327</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2,371</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2,415</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2,459</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2,503</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2,547</w:t>
            </w:r>
          </w:p>
        </w:tc>
        <w:tc>
          <w:tcPr>
            <w:tcW w:w="1906" w:type="dxa"/>
          </w:tcPr>
          <w:p w:rsidR="00A42AD7" w:rsidRPr="00100C63" w:rsidRDefault="0069225B"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assumption</w:t>
            </w: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#2</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#1 who are Non-Squamous</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1,727</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1,760</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1,792</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1,825</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1,857</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1,890</w:t>
            </w:r>
          </w:p>
        </w:tc>
        <w:tc>
          <w:tcPr>
            <w:tcW w:w="1906" w:type="dxa"/>
          </w:tcPr>
          <w:p w:rsidR="00A42AD7" w:rsidRPr="00100C63" w:rsidRDefault="00A42AD7" w:rsidP="00087BE1">
            <w:pPr>
              <w:widowControl/>
              <w:jc w:val="right"/>
              <w:rPr>
                <w:rFonts w:ascii="Arial Narrow" w:hAnsi="Arial Narrow" w:cs="Calibri"/>
                <w:snapToGrid/>
                <w:color w:val="000000"/>
                <w:sz w:val="20"/>
                <w:szCs w:val="20"/>
                <w:lang w:eastAsia="en-AU"/>
              </w:rPr>
            </w:pP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#3</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#2 who are Performance Status 0-1 at diagnosis</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1,093</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1,114</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1,134</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1,155</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1,176</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1,196</w:t>
            </w:r>
          </w:p>
        </w:tc>
        <w:tc>
          <w:tcPr>
            <w:tcW w:w="1906" w:type="dxa"/>
          </w:tcPr>
          <w:p w:rsidR="00A42AD7" w:rsidRPr="00100C63" w:rsidRDefault="00A42AD7" w:rsidP="00087BE1">
            <w:pPr>
              <w:widowControl/>
              <w:jc w:val="right"/>
              <w:rPr>
                <w:rFonts w:ascii="Arial Narrow" w:hAnsi="Arial Narrow" w:cs="Calibri"/>
                <w:snapToGrid/>
                <w:color w:val="000000"/>
                <w:sz w:val="20"/>
                <w:szCs w:val="20"/>
                <w:lang w:eastAsia="en-AU"/>
              </w:rPr>
            </w:pP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#4</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#3 who are NOT ALK, EGFR or ROS1</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859</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875</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891</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907</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923</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939</w:t>
            </w:r>
          </w:p>
        </w:tc>
        <w:tc>
          <w:tcPr>
            <w:tcW w:w="1906" w:type="dxa"/>
          </w:tcPr>
          <w:p w:rsidR="00A42AD7" w:rsidRPr="00100C63" w:rsidRDefault="00A42AD7" w:rsidP="00087BE1">
            <w:pPr>
              <w:widowControl/>
              <w:jc w:val="right"/>
              <w:rPr>
                <w:rFonts w:ascii="Arial Narrow" w:hAnsi="Arial Narrow" w:cs="Calibri"/>
                <w:snapToGrid/>
                <w:color w:val="000000"/>
                <w:sz w:val="20"/>
                <w:szCs w:val="20"/>
                <w:lang w:eastAsia="en-AU"/>
              </w:rPr>
            </w:pP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#5</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#4 who are PD-L1 &lt;50%</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614</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625</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637</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649</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660</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672</w:t>
            </w:r>
          </w:p>
        </w:tc>
        <w:tc>
          <w:tcPr>
            <w:tcW w:w="1906" w:type="dxa"/>
          </w:tcPr>
          <w:p w:rsidR="00A42AD7" w:rsidRPr="00100C63" w:rsidRDefault="00A42AD7" w:rsidP="00087BE1">
            <w:pPr>
              <w:widowControl/>
              <w:jc w:val="right"/>
              <w:rPr>
                <w:rFonts w:ascii="Arial Narrow" w:hAnsi="Arial Narrow" w:cs="Calibri"/>
                <w:snapToGrid/>
                <w:color w:val="000000"/>
                <w:sz w:val="20"/>
                <w:szCs w:val="20"/>
                <w:lang w:eastAsia="en-AU"/>
              </w:rPr>
            </w:pP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#6</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#4 who are PD-L1 ≥50%</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245</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theme="minorHAnsi"/>
                <w:snapToGrid/>
                <w:color w:val="000000"/>
                <w:sz w:val="20"/>
                <w:szCs w:val="20"/>
                <w:lang w:eastAsia="en-AU"/>
              </w:rPr>
            </w:pPr>
            <w:r w:rsidRPr="00100C63">
              <w:rPr>
                <w:rFonts w:ascii="Arial Narrow" w:hAnsi="Arial Narrow" w:cstheme="minorHAnsi"/>
                <w:snapToGrid/>
                <w:color w:val="000000"/>
                <w:sz w:val="20"/>
                <w:szCs w:val="20"/>
                <w:lang w:eastAsia="en-AU"/>
              </w:rPr>
              <w:t>249</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254</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259</w:t>
            </w:r>
          </w:p>
        </w:tc>
        <w:tc>
          <w:tcPr>
            <w:tcW w:w="1134"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263</w:t>
            </w:r>
          </w:p>
        </w:tc>
        <w:tc>
          <w:tcPr>
            <w:tcW w:w="992" w:type="dxa"/>
            <w:shd w:val="clear" w:color="auto" w:fill="auto"/>
            <w:noWrap/>
            <w:vAlign w:val="bottom"/>
            <w:hideMark/>
          </w:tcPr>
          <w:p w:rsidR="00A42AD7" w:rsidRPr="00100C63" w:rsidRDefault="00A42AD7" w:rsidP="00087BE1">
            <w:pPr>
              <w:widowControl/>
              <w:jc w:val="right"/>
              <w:rPr>
                <w:rFonts w:ascii="Arial Narrow" w:hAnsi="Arial Narrow" w:cs="Calibri"/>
                <w:snapToGrid/>
                <w:color w:val="000000"/>
                <w:sz w:val="20"/>
                <w:szCs w:val="20"/>
                <w:lang w:eastAsia="en-AU"/>
              </w:rPr>
            </w:pPr>
            <w:r w:rsidRPr="00100C63">
              <w:rPr>
                <w:rFonts w:ascii="Arial Narrow" w:hAnsi="Arial Narrow" w:cs="Calibri"/>
                <w:snapToGrid/>
                <w:color w:val="000000"/>
                <w:sz w:val="20"/>
                <w:szCs w:val="20"/>
                <w:lang w:eastAsia="en-AU"/>
              </w:rPr>
              <w:t>268</w:t>
            </w:r>
          </w:p>
        </w:tc>
        <w:tc>
          <w:tcPr>
            <w:tcW w:w="1906" w:type="dxa"/>
          </w:tcPr>
          <w:p w:rsidR="00A42AD7" w:rsidRPr="00100C63" w:rsidRDefault="00A42AD7" w:rsidP="00087BE1">
            <w:pPr>
              <w:widowControl/>
              <w:jc w:val="right"/>
              <w:rPr>
                <w:rFonts w:ascii="Arial Narrow" w:hAnsi="Arial Narrow" w:cs="Calibri"/>
                <w:snapToGrid/>
                <w:color w:val="000000"/>
                <w:sz w:val="20"/>
                <w:szCs w:val="20"/>
                <w:lang w:eastAsia="en-AU"/>
              </w:rPr>
            </w:pPr>
          </w:p>
        </w:tc>
      </w:tr>
      <w:tr w:rsidR="00364F3F" w:rsidRPr="00243081" w:rsidTr="00364F3F">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b/>
                <w:bCs/>
                <w:snapToGrid/>
                <w:color w:val="000000"/>
                <w:sz w:val="20"/>
                <w:szCs w:val="20"/>
                <w:lang w:eastAsia="en-AU"/>
              </w:rPr>
            </w:pPr>
            <w:r w:rsidRPr="00243081">
              <w:rPr>
                <w:rFonts w:ascii="Arial Narrow" w:hAnsi="Arial Narrow" w:cstheme="minorHAnsi"/>
                <w:b/>
                <w:bCs/>
                <w:snapToGrid/>
                <w:color w:val="000000"/>
                <w:sz w:val="20"/>
                <w:szCs w:val="20"/>
                <w:lang w:eastAsia="en-AU"/>
              </w:rPr>
              <w:t>PD-L1 &lt;50%</w:t>
            </w:r>
          </w:p>
        </w:tc>
        <w:tc>
          <w:tcPr>
            <w:tcW w:w="99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w:t>
            </w:r>
          </w:p>
        </w:tc>
        <w:tc>
          <w:tcPr>
            <w:tcW w:w="1134"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w:t>
            </w: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9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1906" w:type="dxa"/>
          </w:tcPr>
          <w:p w:rsidR="00A42AD7" w:rsidRPr="00243081" w:rsidRDefault="00A42AD7" w:rsidP="00087BE1">
            <w:pPr>
              <w:widowControl/>
              <w:jc w:val="left"/>
              <w:rPr>
                <w:rFonts w:ascii="Arial Narrow" w:hAnsi="Arial Narrow" w:cs="Calibri"/>
                <w:snapToGrid/>
                <w:color w:val="000000"/>
                <w:sz w:val="20"/>
                <w:szCs w:val="20"/>
                <w:lang w:eastAsia="en-AU"/>
              </w:rPr>
            </w:pPr>
          </w:p>
        </w:tc>
      </w:tr>
      <w:tr w:rsidR="00364F3F" w:rsidRPr="00243081" w:rsidTr="00793B21">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#7</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Predicted uptake in </w:t>
            </w:r>
            <w:proofErr w:type="spellStart"/>
            <w:r w:rsidRPr="00243081">
              <w:rPr>
                <w:rFonts w:ascii="Arial Narrow" w:hAnsi="Arial Narrow" w:cstheme="minorHAnsi"/>
                <w:snapToGrid/>
                <w:color w:val="000000"/>
                <w:sz w:val="20"/>
                <w:szCs w:val="20"/>
                <w:lang w:eastAsia="en-AU"/>
              </w:rPr>
              <w:t>Pembrolizumab</w:t>
            </w:r>
            <w:proofErr w:type="spellEnd"/>
            <w:r w:rsidRPr="00243081">
              <w:rPr>
                <w:rFonts w:ascii="Arial Narrow" w:hAnsi="Arial Narrow" w:cstheme="minorHAnsi"/>
                <w:snapToGrid/>
                <w:color w:val="000000"/>
                <w:sz w:val="20"/>
                <w:szCs w:val="20"/>
                <w:lang w:eastAsia="en-AU"/>
              </w:rPr>
              <w:t xml:space="preserve"> combo for PD-L1&lt;50% (#5*81%)</w:t>
            </w:r>
          </w:p>
        </w:tc>
        <w:tc>
          <w:tcPr>
            <w:tcW w:w="992" w:type="dxa"/>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992"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906" w:type="dxa"/>
            <w:shd w:val="clear" w:color="auto" w:fill="auto"/>
          </w:tcPr>
          <w:p w:rsidR="00A42AD7" w:rsidRPr="00243081" w:rsidRDefault="00A42AD7" w:rsidP="00087BE1">
            <w:pPr>
              <w:widowControl/>
              <w:jc w:val="right"/>
              <w:rPr>
                <w:rFonts w:ascii="Arial Narrow" w:hAnsi="Arial Narrow" w:cs="Calibri"/>
                <w:snapToGrid/>
                <w:color w:val="000000"/>
                <w:sz w:val="20"/>
                <w:szCs w:val="20"/>
                <w:lang w:eastAsia="en-AU"/>
              </w:rPr>
            </w:pPr>
          </w:p>
        </w:tc>
      </w:tr>
      <w:tr w:rsidR="00364F3F" w:rsidRPr="00243081" w:rsidTr="00793B21">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b/>
                <w:bCs/>
                <w:snapToGrid/>
                <w:color w:val="000000"/>
                <w:sz w:val="20"/>
                <w:szCs w:val="20"/>
                <w:lang w:eastAsia="en-AU"/>
              </w:rPr>
            </w:pPr>
            <w:r w:rsidRPr="00243081">
              <w:rPr>
                <w:rFonts w:ascii="Arial Narrow" w:hAnsi="Arial Narrow" w:cstheme="minorHAnsi"/>
                <w:b/>
                <w:bCs/>
                <w:snapToGrid/>
                <w:color w:val="000000"/>
                <w:sz w:val="20"/>
                <w:szCs w:val="20"/>
                <w:lang w:eastAsia="en-AU"/>
              </w:rPr>
              <w:t>PD-L1 ≥50%</w:t>
            </w:r>
          </w:p>
        </w:tc>
        <w:tc>
          <w:tcPr>
            <w:tcW w:w="99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w:t>
            </w:r>
          </w:p>
        </w:tc>
        <w:tc>
          <w:tcPr>
            <w:tcW w:w="1134"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w:t>
            </w: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1134"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9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w:t>
            </w:r>
          </w:p>
        </w:tc>
        <w:tc>
          <w:tcPr>
            <w:tcW w:w="1906" w:type="dxa"/>
            <w:shd w:val="clear" w:color="auto" w:fill="auto"/>
          </w:tcPr>
          <w:p w:rsidR="00A42AD7" w:rsidRPr="00243081" w:rsidRDefault="00A42AD7" w:rsidP="00087BE1">
            <w:pPr>
              <w:widowControl/>
              <w:jc w:val="left"/>
              <w:rPr>
                <w:rFonts w:ascii="Arial Narrow" w:hAnsi="Arial Narrow" w:cs="Calibri"/>
                <w:snapToGrid/>
                <w:color w:val="000000"/>
                <w:sz w:val="20"/>
                <w:szCs w:val="20"/>
                <w:lang w:eastAsia="en-AU"/>
              </w:rPr>
            </w:pPr>
          </w:p>
        </w:tc>
      </w:tr>
      <w:tr w:rsidR="00364F3F" w:rsidRPr="00243081" w:rsidTr="00793B21">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#8</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Predicted uptake in </w:t>
            </w:r>
            <w:proofErr w:type="spellStart"/>
            <w:r w:rsidRPr="00243081">
              <w:rPr>
                <w:rFonts w:ascii="Arial Narrow" w:hAnsi="Arial Narrow" w:cstheme="minorHAnsi"/>
                <w:snapToGrid/>
                <w:color w:val="000000"/>
                <w:sz w:val="20"/>
                <w:szCs w:val="20"/>
                <w:lang w:eastAsia="en-AU"/>
              </w:rPr>
              <w:t>Pembrolizumab</w:t>
            </w:r>
            <w:proofErr w:type="spellEnd"/>
            <w:r w:rsidRPr="00243081">
              <w:rPr>
                <w:rFonts w:ascii="Arial Narrow" w:hAnsi="Arial Narrow" w:cstheme="minorHAnsi"/>
                <w:snapToGrid/>
                <w:color w:val="000000"/>
                <w:sz w:val="20"/>
                <w:szCs w:val="20"/>
                <w:lang w:eastAsia="en-AU"/>
              </w:rPr>
              <w:t xml:space="preserve"> combo for PD-L1≥50% (#6 * 81% * 80%)</w:t>
            </w:r>
          </w:p>
        </w:tc>
        <w:tc>
          <w:tcPr>
            <w:tcW w:w="992" w:type="dxa"/>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992"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906" w:type="dxa"/>
            <w:shd w:val="clear" w:color="auto" w:fill="auto"/>
          </w:tcPr>
          <w:p w:rsidR="00A42AD7" w:rsidRPr="00243081" w:rsidRDefault="00A42AD7" w:rsidP="00087BE1">
            <w:pPr>
              <w:widowControl/>
              <w:jc w:val="right"/>
              <w:rPr>
                <w:rFonts w:ascii="Arial Narrow" w:hAnsi="Arial Narrow" w:cs="Calibri"/>
                <w:snapToGrid/>
                <w:color w:val="000000"/>
                <w:sz w:val="20"/>
                <w:szCs w:val="20"/>
                <w:lang w:eastAsia="en-AU"/>
              </w:rPr>
            </w:pPr>
          </w:p>
        </w:tc>
      </w:tr>
      <w:tr w:rsidR="00364F3F" w:rsidRPr="00243081" w:rsidTr="00793B21">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#9</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Predicted remaining in </w:t>
            </w:r>
            <w:proofErr w:type="spellStart"/>
            <w:r w:rsidRPr="00243081">
              <w:rPr>
                <w:rFonts w:ascii="Arial Narrow" w:hAnsi="Arial Narrow" w:cstheme="minorHAnsi"/>
                <w:snapToGrid/>
                <w:color w:val="000000"/>
                <w:sz w:val="20"/>
                <w:szCs w:val="20"/>
                <w:lang w:eastAsia="en-AU"/>
              </w:rPr>
              <w:t>Pembro</w:t>
            </w:r>
            <w:proofErr w:type="spellEnd"/>
            <w:r w:rsidRPr="00243081">
              <w:rPr>
                <w:rFonts w:ascii="Arial Narrow" w:hAnsi="Arial Narrow" w:cstheme="minorHAnsi"/>
                <w:snapToGrid/>
                <w:color w:val="000000"/>
                <w:sz w:val="20"/>
                <w:szCs w:val="20"/>
                <w:lang w:eastAsia="en-AU"/>
              </w:rPr>
              <w:t xml:space="preserve"> mono for PD-L1≥50% (#6 * 81% * 20%)</w:t>
            </w:r>
          </w:p>
        </w:tc>
        <w:tc>
          <w:tcPr>
            <w:tcW w:w="992" w:type="dxa"/>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992"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906" w:type="dxa"/>
            <w:shd w:val="clear" w:color="auto" w:fill="auto"/>
          </w:tcPr>
          <w:p w:rsidR="00A42AD7" w:rsidRPr="00243081" w:rsidRDefault="00A42AD7" w:rsidP="00087BE1">
            <w:pPr>
              <w:widowControl/>
              <w:jc w:val="right"/>
              <w:rPr>
                <w:rFonts w:ascii="Arial Narrow" w:hAnsi="Arial Narrow" w:cs="Calibri"/>
                <w:snapToGrid/>
                <w:color w:val="000000"/>
                <w:sz w:val="20"/>
                <w:szCs w:val="20"/>
                <w:lang w:eastAsia="en-AU"/>
              </w:rPr>
            </w:pPr>
          </w:p>
        </w:tc>
      </w:tr>
      <w:tr w:rsidR="00364F3F" w:rsidRPr="00243081" w:rsidTr="00793B21">
        <w:trPr>
          <w:trHeight w:val="300"/>
        </w:trPr>
        <w:tc>
          <w:tcPr>
            <w:tcW w:w="1092" w:type="dxa"/>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#10</w:t>
            </w:r>
          </w:p>
        </w:tc>
        <w:tc>
          <w:tcPr>
            <w:tcW w:w="4432" w:type="dxa"/>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Total taking </w:t>
            </w:r>
            <w:proofErr w:type="spellStart"/>
            <w:r w:rsidRPr="00243081">
              <w:rPr>
                <w:rFonts w:ascii="Arial Narrow" w:hAnsi="Arial Narrow" w:cstheme="minorHAnsi"/>
                <w:snapToGrid/>
                <w:color w:val="000000"/>
                <w:sz w:val="20"/>
                <w:szCs w:val="20"/>
                <w:lang w:eastAsia="en-AU"/>
              </w:rPr>
              <w:t>pembro</w:t>
            </w:r>
            <w:proofErr w:type="spellEnd"/>
            <w:r w:rsidRPr="00243081">
              <w:rPr>
                <w:rFonts w:ascii="Arial Narrow" w:hAnsi="Arial Narrow" w:cstheme="minorHAnsi"/>
                <w:snapToGrid/>
                <w:color w:val="000000"/>
                <w:sz w:val="20"/>
                <w:szCs w:val="20"/>
                <w:lang w:eastAsia="en-AU"/>
              </w:rPr>
              <w:t xml:space="preserve"> combo (#7 + #8)</w:t>
            </w:r>
          </w:p>
        </w:tc>
        <w:tc>
          <w:tcPr>
            <w:tcW w:w="992" w:type="dxa"/>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992" w:type="dxa"/>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906" w:type="dxa"/>
            <w:shd w:val="clear" w:color="auto" w:fill="auto"/>
          </w:tcPr>
          <w:p w:rsidR="00A42AD7" w:rsidRPr="00243081" w:rsidRDefault="00A42AD7" w:rsidP="00087BE1">
            <w:pPr>
              <w:widowControl/>
              <w:jc w:val="right"/>
              <w:rPr>
                <w:rFonts w:ascii="Arial Narrow" w:hAnsi="Arial Narrow" w:cs="Calibri"/>
                <w:snapToGrid/>
                <w:color w:val="000000"/>
                <w:sz w:val="20"/>
                <w:szCs w:val="20"/>
                <w:lang w:eastAsia="en-AU"/>
              </w:rPr>
            </w:pPr>
          </w:p>
        </w:tc>
      </w:tr>
      <w:tr w:rsidR="00364F3F" w:rsidRPr="00243081" w:rsidTr="00793B21">
        <w:trPr>
          <w:trHeight w:val="300"/>
        </w:trPr>
        <w:tc>
          <w:tcPr>
            <w:tcW w:w="1092" w:type="dxa"/>
            <w:tcBorders>
              <w:bottom w:val="single" w:sz="4" w:space="0" w:color="auto"/>
            </w:tcBorders>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#11</w:t>
            </w:r>
          </w:p>
        </w:tc>
        <w:tc>
          <w:tcPr>
            <w:tcW w:w="4432" w:type="dxa"/>
            <w:tcBorders>
              <w:bottom w:val="single" w:sz="4" w:space="0" w:color="auto"/>
            </w:tcBorders>
            <w:shd w:val="clear" w:color="auto" w:fill="auto"/>
            <w:noWrap/>
            <w:vAlign w:val="bottom"/>
            <w:hideMark/>
          </w:tcPr>
          <w:p w:rsidR="00A42AD7" w:rsidRPr="00243081" w:rsidRDefault="00A42AD7" w:rsidP="00087BE1">
            <w:pPr>
              <w:widowControl/>
              <w:jc w:val="left"/>
              <w:rPr>
                <w:rFonts w:ascii="Arial Narrow" w:hAnsi="Arial Narrow" w:cstheme="minorHAnsi"/>
                <w:snapToGrid/>
                <w:color w:val="000000"/>
                <w:sz w:val="20"/>
                <w:szCs w:val="20"/>
                <w:lang w:eastAsia="en-AU"/>
              </w:rPr>
            </w:pPr>
            <w:r w:rsidRPr="00243081">
              <w:rPr>
                <w:rFonts w:ascii="Arial Narrow" w:hAnsi="Arial Narrow" w:cstheme="minorHAnsi"/>
                <w:snapToGrid/>
                <w:color w:val="000000"/>
                <w:sz w:val="20"/>
                <w:szCs w:val="20"/>
                <w:lang w:eastAsia="en-AU"/>
              </w:rPr>
              <w:t xml:space="preserve">Total taking </w:t>
            </w:r>
            <w:proofErr w:type="spellStart"/>
            <w:r w:rsidRPr="00243081">
              <w:rPr>
                <w:rFonts w:ascii="Arial Narrow" w:hAnsi="Arial Narrow" w:cstheme="minorHAnsi"/>
                <w:snapToGrid/>
                <w:color w:val="000000"/>
                <w:sz w:val="20"/>
                <w:szCs w:val="20"/>
                <w:lang w:eastAsia="en-AU"/>
              </w:rPr>
              <w:t>pembro</w:t>
            </w:r>
            <w:proofErr w:type="spellEnd"/>
            <w:r w:rsidRPr="00243081">
              <w:rPr>
                <w:rFonts w:ascii="Arial Narrow" w:hAnsi="Arial Narrow" w:cstheme="minorHAnsi"/>
                <w:snapToGrid/>
                <w:color w:val="000000"/>
                <w:sz w:val="20"/>
                <w:szCs w:val="20"/>
                <w:lang w:eastAsia="en-AU"/>
              </w:rPr>
              <w:t xml:space="preserve"> combo or mono (#7 + #8 + #9)</w:t>
            </w:r>
          </w:p>
        </w:tc>
        <w:tc>
          <w:tcPr>
            <w:tcW w:w="992" w:type="dxa"/>
            <w:tcBorders>
              <w:bottom w:val="single" w:sz="4" w:space="0" w:color="auto"/>
            </w:tcBorders>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tcBorders>
              <w:bottom w:val="single" w:sz="4" w:space="0" w:color="auto"/>
            </w:tcBorders>
            <w:shd w:val="clear" w:color="auto" w:fill="auto"/>
            <w:noWrap/>
            <w:vAlign w:val="bottom"/>
            <w:hideMark/>
          </w:tcPr>
          <w:p w:rsidR="00A42AD7" w:rsidRPr="00227BBD" w:rsidRDefault="00227BBD" w:rsidP="00087BE1">
            <w:pPr>
              <w:widowControl/>
              <w:jc w:val="right"/>
              <w:rPr>
                <w:rFonts w:ascii="Arial Narrow" w:hAnsi="Arial Narrow" w:cstheme="minorHAnsi"/>
                <w:snapToGrid/>
                <w:color w:val="000000"/>
                <w:sz w:val="20"/>
                <w:szCs w:val="20"/>
                <w:highlight w:val="black"/>
                <w:lang w:eastAsia="en-AU"/>
              </w:rPr>
            </w:pPr>
            <w:r>
              <w:rPr>
                <w:rFonts w:ascii="Arial Narrow" w:hAnsi="Arial Narrow" w:cstheme="minorHAnsi"/>
                <w:noProof/>
                <w:snapToGrid/>
                <w:color w:val="000000"/>
                <w:sz w:val="20"/>
                <w:szCs w:val="20"/>
                <w:highlight w:val="black"/>
                <w:lang w:eastAsia="en-AU"/>
              </w:rPr>
              <w:t>'''''''''</w:t>
            </w:r>
          </w:p>
        </w:tc>
        <w:tc>
          <w:tcPr>
            <w:tcW w:w="1134" w:type="dxa"/>
            <w:tcBorders>
              <w:bottom w:val="single" w:sz="4" w:space="0" w:color="auto"/>
            </w:tcBorders>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tcBorders>
              <w:bottom w:val="single" w:sz="4" w:space="0" w:color="auto"/>
            </w:tcBorders>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34" w:type="dxa"/>
            <w:tcBorders>
              <w:bottom w:val="single" w:sz="4" w:space="0" w:color="auto"/>
            </w:tcBorders>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992" w:type="dxa"/>
            <w:tcBorders>
              <w:bottom w:val="single" w:sz="4" w:space="0" w:color="auto"/>
            </w:tcBorders>
            <w:shd w:val="clear" w:color="auto" w:fill="auto"/>
            <w:noWrap/>
            <w:vAlign w:val="bottom"/>
            <w:hideMark/>
          </w:tcPr>
          <w:p w:rsidR="00A42AD7" w:rsidRPr="00227BBD" w:rsidRDefault="00227BBD" w:rsidP="00087BE1">
            <w:pPr>
              <w:widowControl/>
              <w:jc w:val="right"/>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906" w:type="dxa"/>
            <w:tcBorders>
              <w:bottom w:val="single" w:sz="4" w:space="0" w:color="auto"/>
            </w:tcBorders>
            <w:shd w:val="clear" w:color="auto" w:fill="auto"/>
          </w:tcPr>
          <w:p w:rsidR="00A42AD7" w:rsidRPr="00243081" w:rsidRDefault="00A42AD7" w:rsidP="00087BE1">
            <w:pPr>
              <w:widowControl/>
              <w:jc w:val="right"/>
              <w:rPr>
                <w:rFonts w:ascii="Arial Narrow" w:hAnsi="Arial Narrow" w:cs="Calibri"/>
                <w:snapToGrid/>
                <w:color w:val="000000"/>
                <w:sz w:val="20"/>
                <w:szCs w:val="20"/>
                <w:lang w:eastAsia="en-AU"/>
              </w:rPr>
            </w:pPr>
          </w:p>
        </w:tc>
      </w:tr>
      <w:tr w:rsidR="00A42AD7" w:rsidRPr="00243081" w:rsidTr="00793B21">
        <w:trPr>
          <w:trHeight w:val="315"/>
        </w:trPr>
        <w:tc>
          <w:tcPr>
            <w:tcW w:w="12044" w:type="dxa"/>
            <w:gridSpan w:val="8"/>
            <w:tcBorders>
              <w:top w:val="single" w:sz="4" w:space="0" w:color="auto"/>
              <w:left w:val="nil"/>
              <w:bottom w:val="single" w:sz="4" w:space="0" w:color="auto"/>
              <w:right w:val="nil"/>
            </w:tcBorders>
            <w:shd w:val="clear" w:color="auto" w:fill="auto"/>
            <w:noWrap/>
            <w:vAlign w:val="bottom"/>
            <w:hideMark/>
          </w:tcPr>
          <w:p w:rsidR="00A42AD7" w:rsidRPr="00243081" w:rsidRDefault="00A42AD7" w:rsidP="00087BE1">
            <w:pPr>
              <w:widowControl/>
              <w:jc w:val="left"/>
              <w:rPr>
                <w:rFonts w:ascii="Arial Narrow" w:hAnsi="Arial Narrow" w:cs="Calibri"/>
                <w:snapToGrid/>
                <w:color w:val="000000"/>
                <w:sz w:val="20"/>
                <w:szCs w:val="20"/>
                <w:lang w:eastAsia="en-AU"/>
              </w:rPr>
            </w:pPr>
            <w:r w:rsidRPr="00243081">
              <w:rPr>
                <w:rFonts w:ascii="Arial Narrow" w:hAnsi="Arial Narrow" w:cs="Calibri"/>
                <w:snapToGrid/>
                <w:color w:val="000000"/>
                <w:sz w:val="20"/>
                <w:szCs w:val="20"/>
                <w:lang w:eastAsia="en-AU"/>
              </w:rPr>
              <w:t xml:space="preserve">Source: prepared by Department based on ESC advice.  </w:t>
            </w:r>
          </w:p>
          <w:p w:rsidR="00A42AD7" w:rsidRPr="00243081" w:rsidRDefault="00A42AD7" w:rsidP="00087BE1">
            <w:pPr>
              <w:widowControl/>
              <w:jc w:val="left"/>
              <w:rPr>
                <w:rFonts w:ascii="Arial Narrow" w:hAnsi="Arial Narrow" w:cs="Calibri"/>
                <w:snapToGrid/>
                <w:color w:val="000000"/>
                <w:sz w:val="20"/>
                <w:szCs w:val="20"/>
                <w:lang w:eastAsia="en-AU"/>
              </w:rPr>
            </w:pPr>
          </w:p>
        </w:tc>
        <w:tc>
          <w:tcPr>
            <w:tcW w:w="1906" w:type="dxa"/>
            <w:tcBorders>
              <w:top w:val="single" w:sz="4" w:space="0" w:color="auto"/>
              <w:left w:val="nil"/>
              <w:bottom w:val="single" w:sz="4" w:space="0" w:color="auto"/>
              <w:right w:val="nil"/>
            </w:tcBorders>
            <w:shd w:val="clear" w:color="auto" w:fill="auto"/>
          </w:tcPr>
          <w:p w:rsidR="00A42AD7" w:rsidRPr="00243081" w:rsidRDefault="00A42AD7" w:rsidP="00087BE1">
            <w:pPr>
              <w:widowControl/>
              <w:jc w:val="left"/>
              <w:rPr>
                <w:rFonts w:ascii="Arial Narrow" w:hAnsi="Arial Narrow" w:cs="Calibri"/>
                <w:snapToGrid/>
                <w:color w:val="000000"/>
                <w:sz w:val="20"/>
                <w:szCs w:val="20"/>
                <w:lang w:eastAsia="en-AU"/>
              </w:rPr>
            </w:pPr>
          </w:p>
        </w:tc>
      </w:tr>
      <w:tr w:rsidR="00364F3F" w:rsidRPr="00243081" w:rsidTr="00793B21">
        <w:trPr>
          <w:trHeight w:val="315"/>
        </w:trPr>
        <w:tc>
          <w:tcPr>
            <w:tcW w:w="5524" w:type="dxa"/>
            <w:gridSpan w:val="2"/>
            <w:tcBorders>
              <w:top w:val="single" w:sz="4" w:space="0" w:color="auto"/>
            </w:tcBorders>
            <w:shd w:val="clear" w:color="auto" w:fill="auto"/>
            <w:noWrap/>
            <w:vAlign w:val="bottom"/>
            <w:hideMark/>
          </w:tcPr>
          <w:p w:rsidR="0081110A" w:rsidRPr="00243081" w:rsidRDefault="0081110A" w:rsidP="00087BE1">
            <w:pPr>
              <w:widowControl/>
              <w:jc w:val="left"/>
              <w:rPr>
                <w:rFonts w:ascii="Arial Narrow" w:hAnsi="Arial Narrow" w:cstheme="minorHAnsi"/>
                <w:b/>
                <w:bCs/>
                <w:snapToGrid/>
                <w:color w:val="000000"/>
                <w:sz w:val="20"/>
                <w:szCs w:val="20"/>
                <w:lang w:eastAsia="en-AU"/>
              </w:rPr>
            </w:pPr>
            <w:r w:rsidRPr="00243081">
              <w:rPr>
                <w:rFonts w:ascii="Arial Narrow" w:hAnsi="Arial Narrow" w:cs="Calibri"/>
                <w:b/>
                <w:bCs/>
                <w:snapToGrid/>
                <w:color w:val="000000"/>
                <w:sz w:val="20"/>
                <w:szCs w:val="20"/>
                <w:lang w:eastAsia="en-AU"/>
              </w:rPr>
              <w:t> </w:t>
            </w:r>
            <w:r w:rsidRPr="00243081">
              <w:rPr>
                <w:rFonts w:ascii="Arial Narrow" w:hAnsi="Arial Narrow" w:cstheme="minorHAnsi"/>
                <w:b/>
                <w:bCs/>
                <w:snapToGrid/>
                <w:color w:val="000000"/>
                <w:sz w:val="20"/>
                <w:szCs w:val="20"/>
                <w:lang w:eastAsia="en-AU"/>
              </w:rPr>
              <w:t xml:space="preserve">Grand Total taking </w:t>
            </w:r>
            <w:proofErr w:type="spellStart"/>
            <w:r w:rsidRPr="00243081">
              <w:rPr>
                <w:rFonts w:ascii="Arial Narrow" w:hAnsi="Arial Narrow" w:cstheme="minorHAnsi"/>
                <w:b/>
                <w:bCs/>
                <w:snapToGrid/>
                <w:color w:val="000000"/>
                <w:sz w:val="20"/>
                <w:szCs w:val="20"/>
                <w:lang w:eastAsia="en-AU"/>
              </w:rPr>
              <w:t>pembro</w:t>
            </w:r>
            <w:proofErr w:type="spellEnd"/>
            <w:r w:rsidRPr="00243081">
              <w:rPr>
                <w:rFonts w:ascii="Arial Narrow" w:hAnsi="Arial Narrow" w:cstheme="minorHAnsi"/>
                <w:b/>
                <w:bCs/>
                <w:snapToGrid/>
                <w:color w:val="000000"/>
                <w:sz w:val="20"/>
                <w:szCs w:val="20"/>
                <w:lang w:eastAsia="en-AU"/>
              </w:rPr>
              <w:t xml:space="preserve"> combo (stage IV #10 + stage III #10) </w:t>
            </w:r>
          </w:p>
        </w:tc>
        <w:tc>
          <w:tcPr>
            <w:tcW w:w="992" w:type="dxa"/>
            <w:tcBorders>
              <w:top w:val="single" w:sz="4" w:space="0" w:color="auto"/>
            </w:tcBorders>
            <w:shd w:val="clear" w:color="auto" w:fill="auto"/>
            <w:noWrap/>
            <w:vAlign w:val="bottom"/>
          </w:tcPr>
          <w:p w:rsidR="0081110A" w:rsidRPr="00227BBD" w:rsidRDefault="00227BBD" w:rsidP="00087BE1">
            <w:pPr>
              <w:widowControl/>
              <w:jc w:val="right"/>
              <w:rPr>
                <w:rFonts w:ascii="Arial Narrow" w:hAnsi="Arial Narrow" w:cstheme="minorHAnsi"/>
                <w:b/>
                <w:bCs/>
                <w:snapToGrid/>
                <w:color w:val="000000"/>
                <w:sz w:val="20"/>
                <w:szCs w:val="20"/>
                <w:highlight w:val="black"/>
                <w:lang w:eastAsia="en-AU"/>
              </w:rPr>
            </w:pPr>
            <w:r>
              <w:rPr>
                <w:rFonts w:ascii="Arial Narrow" w:hAnsi="Arial Narrow" w:cs="Calibri"/>
                <w:b/>
                <w:bCs/>
                <w:noProof/>
                <w:color w:val="000000"/>
                <w:sz w:val="20"/>
                <w:szCs w:val="20"/>
                <w:highlight w:val="black"/>
              </w:rPr>
              <w:t>''''''''''</w:t>
            </w:r>
          </w:p>
        </w:tc>
        <w:tc>
          <w:tcPr>
            <w:tcW w:w="1134" w:type="dxa"/>
            <w:tcBorders>
              <w:top w:val="single" w:sz="4" w:space="0" w:color="auto"/>
            </w:tcBorders>
            <w:shd w:val="clear" w:color="auto" w:fill="auto"/>
            <w:noWrap/>
            <w:vAlign w:val="bottom"/>
          </w:tcPr>
          <w:p w:rsidR="0081110A" w:rsidRPr="00227BBD" w:rsidRDefault="00227BBD" w:rsidP="00087BE1">
            <w:pPr>
              <w:widowControl/>
              <w:jc w:val="right"/>
              <w:rPr>
                <w:rFonts w:ascii="Arial Narrow" w:hAnsi="Arial Narrow" w:cstheme="minorHAnsi"/>
                <w:b/>
                <w:bCs/>
                <w:snapToGrid/>
                <w:color w:val="000000"/>
                <w:sz w:val="20"/>
                <w:szCs w:val="20"/>
                <w:highlight w:val="black"/>
                <w:lang w:eastAsia="en-AU"/>
              </w:rPr>
            </w:pPr>
            <w:r>
              <w:rPr>
                <w:rFonts w:ascii="Arial Narrow" w:hAnsi="Arial Narrow" w:cs="Calibri"/>
                <w:b/>
                <w:bCs/>
                <w:noProof/>
                <w:color w:val="000000"/>
                <w:sz w:val="20"/>
                <w:szCs w:val="20"/>
                <w:highlight w:val="black"/>
              </w:rPr>
              <w:t>''''''''''''</w:t>
            </w:r>
          </w:p>
        </w:tc>
        <w:tc>
          <w:tcPr>
            <w:tcW w:w="1134" w:type="dxa"/>
            <w:tcBorders>
              <w:top w:val="single" w:sz="4" w:space="0" w:color="auto"/>
            </w:tcBorders>
            <w:shd w:val="clear" w:color="auto" w:fill="auto"/>
            <w:noWrap/>
            <w:vAlign w:val="bottom"/>
          </w:tcPr>
          <w:p w:rsidR="0081110A" w:rsidRPr="00227BBD" w:rsidRDefault="00227BBD" w:rsidP="00087BE1">
            <w:pPr>
              <w:widowControl/>
              <w:jc w:val="right"/>
              <w:rPr>
                <w:rFonts w:ascii="Arial Narrow" w:hAnsi="Arial Narrow" w:cs="Calibri"/>
                <w:b/>
                <w:bCs/>
                <w:snapToGrid/>
                <w:color w:val="000000"/>
                <w:sz w:val="20"/>
                <w:szCs w:val="20"/>
                <w:highlight w:val="black"/>
                <w:lang w:eastAsia="en-AU"/>
              </w:rPr>
            </w:pPr>
            <w:r>
              <w:rPr>
                <w:rFonts w:ascii="Arial Narrow" w:hAnsi="Arial Narrow" w:cs="Calibri"/>
                <w:b/>
                <w:bCs/>
                <w:noProof/>
                <w:color w:val="000000"/>
                <w:sz w:val="20"/>
                <w:szCs w:val="20"/>
                <w:highlight w:val="black"/>
              </w:rPr>
              <w:t>''''''''''</w:t>
            </w:r>
          </w:p>
        </w:tc>
        <w:tc>
          <w:tcPr>
            <w:tcW w:w="1134" w:type="dxa"/>
            <w:tcBorders>
              <w:top w:val="single" w:sz="4" w:space="0" w:color="auto"/>
            </w:tcBorders>
            <w:shd w:val="clear" w:color="auto" w:fill="auto"/>
            <w:noWrap/>
            <w:vAlign w:val="bottom"/>
          </w:tcPr>
          <w:p w:rsidR="0081110A" w:rsidRPr="00227BBD" w:rsidRDefault="00227BBD" w:rsidP="00087BE1">
            <w:pPr>
              <w:widowControl/>
              <w:jc w:val="right"/>
              <w:rPr>
                <w:rFonts w:ascii="Arial Narrow" w:hAnsi="Arial Narrow" w:cs="Calibri"/>
                <w:b/>
                <w:bCs/>
                <w:snapToGrid/>
                <w:color w:val="000000"/>
                <w:sz w:val="20"/>
                <w:szCs w:val="20"/>
                <w:highlight w:val="black"/>
                <w:lang w:eastAsia="en-AU"/>
              </w:rPr>
            </w:pPr>
            <w:r>
              <w:rPr>
                <w:rFonts w:ascii="Arial Narrow" w:hAnsi="Arial Narrow" w:cs="Calibri"/>
                <w:b/>
                <w:bCs/>
                <w:noProof/>
                <w:color w:val="000000"/>
                <w:sz w:val="20"/>
                <w:szCs w:val="20"/>
                <w:highlight w:val="black"/>
              </w:rPr>
              <w:t>'''''''''''</w:t>
            </w:r>
          </w:p>
        </w:tc>
        <w:tc>
          <w:tcPr>
            <w:tcW w:w="1134" w:type="dxa"/>
            <w:tcBorders>
              <w:top w:val="single" w:sz="4" w:space="0" w:color="auto"/>
            </w:tcBorders>
            <w:shd w:val="clear" w:color="auto" w:fill="auto"/>
            <w:noWrap/>
            <w:vAlign w:val="bottom"/>
          </w:tcPr>
          <w:p w:rsidR="0081110A" w:rsidRPr="00227BBD" w:rsidRDefault="00227BBD" w:rsidP="00087BE1">
            <w:pPr>
              <w:widowControl/>
              <w:jc w:val="right"/>
              <w:rPr>
                <w:rFonts w:ascii="Arial Narrow" w:hAnsi="Arial Narrow" w:cs="Calibri"/>
                <w:b/>
                <w:bCs/>
                <w:snapToGrid/>
                <w:color w:val="000000"/>
                <w:sz w:val="20"/>
                <w:szCs w:val="20"/>
                <w:highlight w:val="black"/>
                <w:lang w:eastAsia="en-AU"/>
              </w:rPr>
            </w:pPr>
            <w:r>
              <w:rPr>
                <w:rFonts w:ascii="Arial Narrow" w:hAnsi="Arial Narrow" w:cs="Calibri"/>
                <w:b/>
                <w:bCs/>
                <w:noProof/>
                <w:color w:val="000000"/>
                <w:sz w:val="20"/>
                <w:szCs w:val="20"/>
                <w:highlight w:val="black"/>
              </w:rPr>
              <w:t>''''''''''''</w:t>
            </w:r>
          </w:p>
        </w:tc>
        <w:tc>
          <w:tcPr>
            <w:tcW w:w="992" w:type="dxa"/>
            <w:tcBorders>
              <w:top w:val="single" w:sz="4" w:space="0" w:color="auto"/>
            </w:tcBorders>
            <w:shd w:val="clear" w:color="auto" w:fill="auto"/>
            <w:noWrap/>
            <w:vAlign w:val="bottom"/>
          </w:tcPr>
          <w:p w:rsidR="0081110A" w:rsidRPr="00227BBD" w:rsidRDefault="00227BBD" w:rsidP="00087BE1">
            <w:pPr>
              <w:widowControl/>
              <w:jc w:val="right"/>
              <w:rPr>
                <w:rFonts w:ascii="Arial Narrow" w:hAnsi="Arial Narrow" w:cs="Calibri"/>
                <w:b/>
                <w:bCs/>
                <w:snapToGrid/>
                <w:color w:val="000000"/>
                <w:sz w:val="20"/>
                <w:szCs w:val="20"/>
                <w:highlight w:val="black"/>
                <w:lang w:eastAsia="en-AU"/>
              </w:rPr>
            </w:pPr>
            <w:r>
              <w:rPr>
                <w:rFonts w:ascii="Arial Narrow" w:hAnsi="Arial Narrow" w:cs="Calibri"/>
                <w:b/>
                <w:bCs/>
                <w:noProof/>
                <w:color w:val="000000"/>
                <w:sz w:val="20"/>
                <w:szCs w:val="20"/>
                <w:highlight w:val="black"/>
              </w:rPr>
              <w:t>''''''''''''</w:t>
            </w:r>
          </w:p>
        </w:tc>
        <w:tc>
          <w:tcPr>
            <w:tcW w:w="1906" w:type="dxa"/>
            <w:tcBorders>
              <w:top w:val="single" w:sz="4" w:space="0" w:color="auto"/>
            </w:tcBorders>
            <w:shd w:val="clear" w:color="auto" w:fill="auto"/>
          </w:tcPr>
          <w:p w:rsidR="0081110A" w:rsidRPr="00243081" w:rsidRDefault="0081110A" w:rsidP="00087BE1">
            <w:pPr>
              <w:widowControl/>
              <w:jc w:val="right"/>
              <w:rPr>
                <w:rFonts w:ascii="Arial Narrow" w:hAnsi="Arial Narrow" w:cs="Calibri"/>
                <w:b/>
                <w:bCs/>
                <w:snapToGrid/>
                <w:color w:val="000000"/>
                <w:sz w:val="20"/>
                <w:szCs w:val="20"/>
                <w:lang w:eastAsia="en-AU"/>
              </w:rPr>
            </w:pPr>
          </w:p>
        </w:tc>
      </w:tr>
    </w:tbl>
    <w:p w:rsidR="00F06D3D" w:rsidRPr="00243081" w:rsidRDefault="00F06D3D" w:rsidP="001F2F06">
      <w:pPr>
        <w:pStyle w:val="ListParagraph"/>
        <w:widowControl/>
        <w:sectPr w:rsidR="00F06D3D" w:rsidRPr="00243081" w:rsidSect="00CD2129">
          <w:type w:val="continuous"/>
          <w:pgSz w:w="16840" w:h="11907" w:orient="landscape" w:code="9"/>
          <w:pgMar w:top="1440" w:right="1440" w:bottom="1440" w:left="1440" w:header="1440" w:footer="1440" w:gutter="0"/>
          <w:cols w:space="708"/>
          <w:docGrid w:linePitch="360"/>
        </w:sectPr>
      </w:pPr>
    </w:p>
    <w:p w:rsidR="00C92C54" w:rsidRPr="00243081" w:rsidRDefault="00C92C54" w:rsidP="00890F38">
      <w:pPr>
        <w:pStyle w:val="Heading2"/>
      </w:pPr>
      <w:bookmarkStart w:id="40" w:name="_Toc524518830"/>
      <w:r w:rsidRPr="00243081">
        <w:lastRenderedPageBreak/>
        <w:t>Quality Use of Medicines</w:t>
      </w:r>
      <w:bookmarkEnd w:id="40"/>
    </w:p>
    <w:p w:rsidR="00C92C54" w:rsidRPr="00243081" w:rsidRDefault="00C92C54" w:rsidP="00C92C54">
      <w:pPr>
        <w:pStyle w:val="ListParagraph"/>
        <w:widowControl/>
        <w:numPr>
          <w:ilvl w:val="1"/>
          <w:numId w:val="3"/>
        </w:numPr>
      </w:pPr>
      <w:r w:rsidRPr="00243081">
        <w:t xml:space="preserve">The </w:t>
      </w:r>
      <w:r w:rsidR="006A63AF" w:rsidRPr="00243081">
        <w:t>s</w:t>
      </w:r>
      <w:r w:rsidRPr="00243081">
        <w:t xml:space="preserve">ponsor </w:t>
      </w:r>
      <w:r w:rsidR="005A5031" w:rsidRPr="00243081">
        <w:t xml:space="preserve">indicated it will </w:t>
      </w:r>
      <w:r w:rsidRPr="00243081">
        <w:t>develop materials to provide the latest information to health care practitioners on how to identify and manage treatment-related adverse events.  Additionally</w:t>
      </w:r>
      <w:r w:rsidR="005A5031" w:rsidRPr="00243081">
        <w:t>,</w:t>
      </w:r>
      <w:r w:rsidRPr="00243081">
        <w:t xml:space="preserve"> educational activities (e.g. workshop sessions and conferences) have been planned to disseminate new information and incorporate peers as teachers.  A 1</w:t>
      </w:r>
      <w:r w:rsidR="007305C3" w:rsidRPr="00243081">
        <w:t>-</w:t>
      </w:r>
      <w:r w:rsidRPr="00243081">
        <w:t xml:space="preserve">800 medical information service run by the </w:t>
      </w:r>
      <w:r w:rsidR="006A63AF" w:rsidRPr="00243081">
        <w:t>s</w:t>
      </w:r>
      <w:r w:rsidRPr="00243081">
        <w:t>ponsor is also available to address queries.</w:t>
      </w:r>
    </w:p>
    <w:p w:rsidR="00C92C54" w:rsidRPr="00243081" w:rsidRDefault="00C92C54" w:rsidP="00890F38">
      <w:pPr>
        <w:pStyle w:val="Heading2"/>
      </w:pPr>
      <w:bookmarkStart w:id="41" w:name="_Toc524518831"/>
      <w:r w:rsidRPr="00243081">
        <w:t>Financial Management – Risk Sharing Arrangements</w:t>
      </w:r>
      <w:bookmarkEnd w:id="41"/>
    </w:p>
    <w:p w:rsidR="00C92C54" w:rsidRPr="00243081" w:rsidRDefault="005A5031" w:rsidP="00C92C54">
      <w:pPr>
        <w:pStyle w:val="ListParagraph"/>
        <w:widowControl/>
        <w:numPr>
          <w:ilvl w:val="1"/>
          <w:numId w:val="3"/>
        </w:numPr>
      </w:pPr>
      <w:r w:rsidRPr="00243081">
        <w:t xml:space="preserve">The </w:t>
      </w:r>
      <w:r w:rsidR="006A63AF" w:rsidRPr="00243081">
        <w:t>s</w:t>
      </w:r>
      <w:r w:rsidR="00C92C54" w:rsidRPr="00243081">
        <w:t xml:space="preserve">ponsor </w:t>
      </w:r>
      <w:r w:rsidR="00444EDF" w:rsidRPr="00243081">
        <w:t xml:space="preserve">indicated its willingness </w:t>
      </w:r>
      <w:r w:rsidR="00C92C54" w:rsidRPr="00243081">
        <w:t>to enter into a risk sharing arrangement which includes a special pricing arrangement (SPA) and annual subsidy caps, but details on</w:t>
      </w:r>
      <w:r w:rsidR="00444EDF" w:rsidRPr="00243081">
        <w:t xml:space="preserve"> the</w:t>
      </w:r>
      <w:r w:rsidR="00C92C54" w:rsidRPr="00243081">
        <w:t xml:space="preserve"> subsidy caps </w:t>
      </w:r>
      <w:r w:rsidR="00444EDF" w:rsidRPr="00243081">
        <w:t xml:space="preserve">were not </w:t>
      </w:r>
      <w:r w:rsidR="00C92C54" w:rsidRPr="00243081">
        <w:t xml:space="preserve">provided.  </w:t>
      </w:r>
    </w:p>
    <w:p w:rsidR="00FA55D2" w:rsidRPr="00243081" w:rsidRDefault="00FA55D2" w:rsidP="00C92C54">
      <w:pPr>
        <w:pStyle w:val="ListParagraph"/>
        <w:widowControl/>
        <w:numPr>
          <w:ilvl w:val="1"/>
          <w:numId w:val="3"/>
        </w:numPr>
      </w:pPr>
      <w:r w:rsidRPr="00243081">
        <w:rPr>
          <w:iCs/>
        </w:rPr>
        <w:t xml:space="preserve">The PBAC noted that the listing of </w:t>
      </w:r>
      <w:proofErr w:type="spellStart"/>
      <w:r w:rsidRPr="00243081">
        <w:rPr>
          <w:iCs/>
        </w:rPr>
        <w:t>pembrolizumab</w:t>
      </w:r>
      <w:proofErr w:type="spellEnd"/>
      <w:r w:rsidRPr="00243081">
        <w:rPr>
          <w:iCs/>
        </w:rPr>
        <w:t xml:space="preserve"> as requested will have implications for existing RSAs for the use of PD-(L)1 therapies for NSCLC.</w:t>
      </w:r>
    </w:p>
    <w:p w:rsidR="006B57AC" w:rsidRPr="00243081" w:rsidRDefault="00444EDF" w:rsidP="00522E6D">
      <w:pPr>
        <w:ind w:firstLine="720"/>
        <w:rPr>
          <w:i/>
        </w:rPr>
      </w:pPr>
      <w:r w:rsidRPr="00243081">
        <w:rPr>
          <w:i/>
        </w:rPr>
        <w:t>For</w:t>
      </w:r>
      <w:r w:rsidR="00146837" w:rsidRPr="00243081">
        <w:rPr>
          <w:i/>
        </w:rPr>
        <w:t xml:space="preserve"> more</w:t>
      </w:r>
      <w:r w:rsidRPr="00243081">
        <w:rPr>
          <w:i/>
        </w:rPr>
        <w:t xml:space="preserve"> information on PBAC’s view, see</w:t>
      </w:r>
      <w:r w:rsidR="00146837" w:rsidRPr="00243081">
        <w:rPr>
          <w:i/>
        </w:rPr>
        <w:t xml:space="preserve"> Section 7;</w:t>
      </w:r>
      <w:r w:rsidRPr="00243081">
        <w:rPr>
          <w:i/>
        </w:rPr>
        <w:t xml:space="preserve"> PBAC Outcome</w:t>
      </w:r>
    </w:p>
    <w:p w:rsidR="00444EDF" w:rsidRPr="00243081" w:rsidRDefault="00444EDF" w:rsidP="006B57AC">
      <w:pPr>
        <w:rPr>
          <w:i/>
        </w:rPr>
      </w:pPr>
    </w:p>
    <w:p w:rsidR="006B57AC" w:rsidRPr="00243081" w:rsidRDefault="006B57AC" w:rsidP="006B57AC">
      <w:pPr>
        <w:pStyle w:val="Heading1"/>
        <w:keepNext/>
        <w:widowControl/>
        <w:numPr>
          <w:ilvl w:val="0"/>
          <w:numId w:val="3"/>
        </w:numPr>
        <w:spacing w:after="120"/>
        <w:jc w:val="left"/>
      </w:pPr>
      <w:r w:rsidRPr="00243081">
        <w:t>PBAC Outcome</w:t>
      </w:r>
    </w:p>
    <w:p w:rsidR="00F20108" w:rsidRPr="00243081" w:rsidRDefault="00364F3F" w:rsidP="00710A5E">
      <w:pPr>
        <w:numPr>
          <w:ilvl w:val="1"/>
          <w:numId w:val="3"/>
        </w:numPr>
        <w:spacing w:after="120"/>
        <w:rPr>
          <w:rFonts w:asciiTheme="minorHAnsi" w:hAnsiTheme="minorHAnsi"/>
          <w:bCs/>
          <w:lang w:val="en-GB"/>
        </w:rPr>
      </w:pPr>
      <w:r w:rsidRPr="00243081">
        <w:rPr>
          <w:rFonts w:asciiTheme="minorHAnsi" w:hAnsiTheme="minorHAnsi"/>
          <w:bCs/>
          <w:lang w:val="en-GB"/>
        </w:rPr>
        <w:t xml:space="preserve">The PBAC did not recommend listing of </w:t>
      </w:r>
      <w:proofErr w:type="spellStart"/>
      <w:r w:rsidRPr="00243081">
        <w:rPr>
          <w:rFonts w:asciiTheme="minorHAnsi" w:hAnsiTheme="minorHAnsi"/>
          <w:bCs/>
          <w:lang w:val="en-GB"/>
        </w:rPr>
        <w:t>pembrolizumab</w:t>
      </w:r>
      <w:proofErr w:type="spellEnd"/>
      <w:r w:rsidRPr="00243081">
        <w:rPr>
          <w:rFonts w:asciiTheme="minorHAnsi" w:hAnsiTheme="minorHAnsi"/>
          <w:bCs/>
          <w:lang w:val="en-GB"/>
        </w:rPr>
        <w:t xml:space="preserve"> for the first line treatment of Stage IV NSCLC</w:t>
      </w:r>
      <w:r w:rsidR="00444EDF" w:rsidRPr="00243081">
        <w:rPr>
          <w:rFonts w:asciiTheme="minorHAnsi" w:hAnsiTheme="minorHAnsi"/>
          <w:bCs/>
          <w:lang w:val="en-GB"/>
        </w:rPr>
        <w:t xml:space="preserve"> in combination with </w:t>
      </w:r>
      <w:proofErr w:type="spellStart"/>
      <w:r w:rsidR="00444EDF" w:rsidRPr="00243081">
        <w:rPr>
          <w:rFonts w:asciiTheme="minorHAnsi" w:hAnsiTheme="minorHAnsi"/>
          <w:bCs/>
          <w:lang w:val="en-GB"/>
        </w:rPr>
        <w:t>pemetrexed</w:t>
      </w:r>
      <w:proofErr w:type="spellEnd"/>
      <w:r w:rsidR="00444EDF" w:rsidRPr="00243081">
        <w:rPr>
          <w:rFonts w:asciiTheme="minorHAnsi" w:hAnsiTheme="minorHAnsi"/>
          <w:bCs/>
          <w:lang w:val="en-GB"/>
        </w:rPr>
        <w:t xml:space="preserve"> and platinum chemotherapy</w:t>
      </w:r>
      <w:r w:rsidR="009A3A15" w:rsidRPr="00243081">
        <w:rPr>
          <w:rFonts w:asciiTheme="minorHAnsi" w:hAnsiTheme="minorHAnsi"/>
          <w:bCs/>
          <w:lang w:val="en-GB"/>
        </w:rPr>
        <w:t xml:space="preserve">, </w:t>
      </w:r>
      <w:r w:rsidRPr="00243081">
        <w:rPr>
          <w:rFonts w:asciiTheme="minorHAnsi" w:hAnsiTheme="minorHAnsi"/>
          <w:bCs/>
          <w:lang w:val="en-GB"/>
        </w:rPr>
        <w:t>on the basis</w:t>
      </w:r>
      <w:r w:rsidR="009A3A15" w:rsidRPr="00243081">
        <w:rPr>
          <w:rFonts w:asciiTheme="minorHAnsi" w:hAnsiTheme="minorHAnsi"/>
          <w:bCs/>
          <w:lang w:val="en-GB"/>
        </w:rPr>
        <w:t xml:space="preserve"> that</w:t>
      </w:r>
      <w:r w:rsidR="00BC69B8" w:rsidRPr="00243081">
        <w:rPr>
          <w:rFonts w:asciiTheme="minorHAnsi" w:hAnsiTheme="minorHAnsi"/>
          <w:bCs/>
          <w:lang w:val="en-GB"/>
        </w:rPr>
        <w:t>,</w:t>
      </w:r>
      <w:r w:rsidR="009A3A15" w:rsidRPr="00243081">
        <w:rPr>
          <w:rFonts w:asciiTheme="minorHAnsi" w:hAnsiTheme="minorHAnsi"/>
          <w:bCs/>
          <w:lang w:val="en-GB"/>
        </w:rPr>
        <w:t xml:space="preserve"> </w:t>
      </w:r>
      <w:r w:rsidR="00DF66E4" w:rsidRPr="00243081">
        <w:rPr>
          <w:rFonts w:asciiTheme="minorHAnsi" w:hAnsiTheme="minorHAnsi"/>
          <w:bCs/>
          <w:lang w:val="en-GB"/>
        </w:rPr>
        <w:t xml:space="preserve">in patients with a programmed death ligand 1(PD-L1) tumour proportion score (TPS) ≥50% </w:t>
      </w:r>
      <w:r w:rsidR="009A3A15" w:rsidRPr="00243081">
        <w:rPr>
          <w:rFonts w:asciiTheme="minorHAnsi" w:hAnsiTheme="minorHAnsi"/>
          <w:bCs/>
          <w:lang w:val="en-GB"/>
        </w:rPr>
        <w:t>the available evidence does not support there being an additional</w:t>
      </w:r>
      <w:r w:rsidR="00F20108" w:rsidRPr="00243081">
        <w:rPr>
          <w:rFonts w:asciiTheme="minorHAnsi" w:hAnsiTheme="minorHAnsi"/>
          <w:bCs/>
          <w:lang w:val="en-GB"/>
        </w:rPr>
        <w:t xml:space="preserve"> </w:t>
      </w:r>
      <w:r w:rsidR="009A3A15" w:rsidRPr="00243081">
        <w:rPr>
          <w:rFonts w:asciiTheme="minorHAnsi" w:hAnsiTheme="minorHAnsi"/>
          <w:bCs/>
          <w:lang w:val="en-GB"/>
        </w:rPr>
        <w:t>benefit</w:t>
      </w:r>
      <w:r w:rsidR="00F20108" w:rsidRPr="00243081">
        <w:rPr>
          <w:rFonts w:asciiTheme="minorHAnsi" w:hAnsiTheme="minorHAnsi"/>
          <w:bCs/>
          <w:lang w:val="en-GB"/>
        </w:rPr>
        <w:t>, in terms of efficacy,</w:t>
      </w:r>
      <w:r w:rsidR="009A3A15" w:rsidRPr="00243081">
        <w:rPr>
          <w:rFonts w:asciiTheme="minorHAnsi" w:hAnsiTheme="minorHAnsi"/>
          <w:bCs/>
          <w:lang w:val="en-GB"/>
        </w:rPr>
        <w:t xml:space="preserve"> for combination treatment over </w:t>
      </w:r>
      <w:proofErr w:type="spellStart"/>
      <w:r w:rsidR="009A3A15" w:rsidRPr="00243081">
        <w:rPr>
          <w:rFonts w:asciiTheme="minorHAnsi" w:hAnsiTheme="minorHAnsi"/>
          <w:bCs/>
          <w:lang w:val="en-GB"/>
        </w:rPr>
        <w:t>pembrolizumab</w:t>
      </w:r>
      <w:proofErr w:type="spellEnd"/>
      <w:r w:rsidR="009A3A15" w:rsidRPr="00243081">
        <w:rPr>
          <w:rFonts w:asciiTheme="minorHAnsi" w:hAnsiTheme="minorHAnsi"/>
          <w:bCs/>
          <w:lang w:val="en-GB"/>
        </w:rPr>
        <w:t xml:space="preserve"> monotherapy </w:t>
      </w:r>
      <w:r w:rsidR="00DF66E4" w:rsidRPr="00243081">
        <w:rPr>
          <w:rFonts w:asciiTheme="minorHAnsi" w:hAnsiTheme="minorHAnsi"/>
          <w:bCs/>
          <w:lang w:val="en-GB"/>
        </w:rPr>
        <w:t xml:space="preserve">and because the safety of combination treatment appears worse than monotherapy treatment in this patient group.  In patients with </w:t>
      </w:r>
      <w:r w:rsidR="00F20108" w:rsidRPr="00243081">
        <w:rPr>
          <w:rFonts w:asciiTheme="minorHAnsi" w:hAnsiTheme="minorHAnsi"/>
          <w:bCs/>
          <w:lang w:val="en-GB"/>
        </w:rPr>
        <w:t>a PD-L1 TPS &lt; 50%</w:t>
      </w:r>
      <w:r w:rsidR="00DF66E4" w:rsidRPr="00243081">
        <w:rPr>
          <w:rFonts w:asciiTheme="minorHAnsi" w:hAnsiTheme="minorHAnsi"/>
          <w:bCs/>
          <w:lang w:val="en-GB"/>
        </w:rPr>
        <w:t xml:space="preserve"> there is uncertainty in the magnitude of the incremental benefit, if any, over </w:t>
      </w:r>
      <w:r w:rsidR="00320507" w:rsidRPr="00243081">
        <w:rPr>
          <w:rFonts w:asciiTheme="minorHAnsi" w:hAnsiTheme="minorHAnsi"/>
          <w:bCs/>
          <w:lang w:val="en-GB"/>
        </w:rPr>
        <w:t>the alternative therapy of chemotherapy followed by a PD-(L</w:t>
      </w:r>
      <w:proofErr w:type="gramStart"/>
      <w:r w:rsidR="00320507" w:rsidRPr="00243081">
        <w:rPr>
          <w:rFonts w:asciiTheme="minorHAnsi" w:hAnsiTheme="minorHAnsi"/>
          <w:bCs/>
          <w:lang w:val="en-GB"/>
        </w:rPr>
        <w:t>)1</w:t>
      </w:r>
      <w:proofErr w:type="gramEnd"/>
      <w:r w:rsidR="00320507" w:rsidRPr="00243081">
        <w:rPr>
          <w:rFonts w:asciiTheme="minorHAnsi" w:hAnsiTheme="minorHAnsi"/>
          <w:bCs/>
          <w:lang w:val="en-GB"/>
        </w:rPr>
        <w:t xml:space="preserve"> inhibitor</w:t>
      </w:r>
      <w:r w:rsidR="00DF66E4" w:rsidRPr="00243081">
        <w:rPr>
          <w:rFonts w:asciiTheme="minorHAnsi" w:hAnsiTheme="minorHAnsi"/>
          <w:bCs/>
          <w:lang w:val="en-GB"/>
        </w:rPr>
        <w:t>.</w:t>
      </w:r>
      <w:r w:rsidR="00146837" w:rsidRPr="00243081">
        <w:rPr>
          <w:rFonts w:asciiTheme="minorHAnsi" w:hAnsiTheme="minorHAnsi"/>
          <w:bCs/>
          <w:lang w:val="en-GB"/>
        </w:rPr>
        <w:t xml:space="preserve"> </w:t>
      </w:r>
    </w:p>
    <w:p w:rsidR="00146837" w:rsidRPr="00243081" w:rsidRDefault="00320507" w:rsidP="00710A5E">
      <w:pPr>
        <w:numPr>
          <w:ilvl w:val="1"/>
          <w:numId w:val="3"/>
        </w:numPr>
        <w:spacing w:after="120"/>
        <w:rPr>
          <w:rFonts w:asciiTheme="minorHAnsi" w:hAnsiTheme="minorHAnsi"/>
          <w:bCs/>
          <w:lang w:val="en-GB"/>
        </w:rPr>
      </w:pPr>
      <w:r w:rsidRPr="00243081">
        <w:rPr>
          <w:rFonts w:asciiTheme="minorHAnsi" w:hAnsiTheme="minorHAnsi"/>
          <w:bCs/>
          <w:lang w:val="en-GB"/>
        </w:rPr>
        <w:t>Furthermore</w:t>
      </w:r>
      <w:r w:rsidR="00F20108" w:rsidRPr="00243081">
        <w:rPr>
          <w:rFonts w:asciiTheme="minorHAnsi" w:hAnsiTheme="minorHAnsi"/>
          <w:bCs/>
          <w:lang w:val="en-GB"/>
        </w:rPr>
        <w:t>, the PBAC formed the view</w:t>
      </w:r>
      <w:r w:rsidR="005E21B7" w:rsidRPr="00243081">
        <w:rPr>
          <w:rFonts w:asciiTheme="minorHAnsi" w:hAnsiTheme="minorHAnsi"/>
          <w:bCs/>
          <w:lang w:val="en-GB"/>
        </w:rPr>
        <w:t>, based on the totality of the evidence now available, that</w:t>
      </w:r>
      <w:r w:rsidR="00F20108" w:rsidRPr="00243081">
        <w:rPr>
          <w:rFonts w:asciiTheme="minorHAnsi" w:hAnsiTheme="minorHAnsi"/>
          <w:bCs/>
          <w:lang w:val="en-GB"/>
        </w:rPr>
        <w:t xml:space="preserve"> PD-L1 expression status alone is insufficient in determining which patients</w:t>
      </w:r>
      <w:r w:rsidR="005E21B7" w:rsidRPr="00243081">
        <w:rPr>
          <w:rFonts w:asciiTheme="minorHAnsi" w:hAnsiTheme="minorHAnsi"/>
          <w:bCs/>
          <w:lang w:val="en-GB"/>
        </w:rPr>
        <w:t xml:space="preserve"> with NSCLC</w:t>
      </w:r>
      <w:r w:rsidR="00F20108" w:rsidRPr="00243081">
        <w:rPr>
          <w:rFonts w:asciiTheme="minorHAnsi" w:hAnsiTheme="minorHAnsi"/>
          <w:bCs/>
          <w:lang w:val="en-GB"/>
        </w:rPr>
        <w:t xml:space="preserve"> should be offered PD-(L)1 inhibitor therapy</w:t>
      </w:r>
      <w:r w:rsidR="005858CC" w:rsidRPr="00243081">
        <w:rPr>
          <w:rFonts w:asciiTheme="minorHAnsi" w:hAnsiTheme="minorHAnsi"/>
          <w:bCs/>
          <w:lang w:val="en-GB"/>
        </w:rPr>
        <w:t xml:space="preserve"> (see Figure </w:t>
      </w:r>
      <w:r w:rsidR="00415215" w:rsidRPr="00243081">
        <w:rPr>
          <w:rFonts w:asciiTheme="minorHAnsi" w:hAnsiTheme="minorHAnsi"/>
          <w:bCs/>
          <w:lang w:val="en-GB"/>
        </w:rPr>
        <w:t>6</w:t>
      </w:r>
      <w:r w:rsidR="00BC69B8" w:rsidRPr="00243081">
        <w:rPr>
          <w:rStyle w:val="FootnoteReference"/>
          <w:rFonts w:asciiTheme="minorHAnsi" w:hAnsiTheme="minorHAnsi"/>
          <w:bCs/>
          <w:lang w:val="en-GB"/>
        </w:rPr>
        <w:footnoteReference w:id="3"/>
      </w:r>
      <w:r w:rsidR="005858CC" w:rsidRPr="00243081">
        <w:rPr>
          <w:rFonts w:asciiTheme="minorHAnsi" w:hAnsiTheme="minorHAnsi"/>
          <w:bCs/>
          <w:lang w:val="en-GB"/>
        </w:rPr>
        <w:t>)</w:t>
      </w:r>
      <w:r w:rsidR="005E21B7" w:rsidRPr="00243081">
        <w:rPr>
          <w:rFonts w:asciiTheme="minorHAnsi" w:hAnsiTheme="minorHAnsi"/>
          <w:bCs/>
          <w:lang w:val="en-GB"/>
        </w:rPr>
        <w:t xml:space="preserve">.  The PBAC considered that a listing that made </w:t>
      </w:r>
      <w:proofErr w:type="spellStart"/>
      <w:r w:rsidR="005E21B7" w:rsidRPr="00243081">
        <w:rPr>
          <w:rFonts w:asciiTheme="minorHAnsi" w:hAnsiTheme="minorHAnsi"/>
          <w:bCs/>
          <w:lang w:val="en-GB"/>
        </w:rPr>
        <w:t>pembrolizumab</w:t>
      </w:r>
      <w:proofErr w:type="spellEnd"/>
      <w:r w:rsidR="005E21B7" w:rsidRPr="00243081">
        <w:rPr>
          <w:rFonts w:asciiTheme="minorHAnsi" w:hAnsiTheme="minorHAnsi"/>
          <w:bCs/>
          <w:lang w:val="en-GB"/>
        </w:rPr>
        <w:t xml:space="preserve"> available to patients as a </w:t>
      </w:r>
      <w:r w:rsidR="009B1E8C" w:rsidRPr="00243081">
        <w:rPr>
          <w:rFonts w:asciiTheme="minorHAnsi" w:hAnsiTheme="minorHAnsi"/>
          <w:bCs/>
          <w:lang w:val="en-GB"/>
        </w:rPr>
        <w:t>first-</w:t>
      </w:r>
      <w:r w:rsidR="005E21B7" w:rsidRPr="00243081">
        <w:rPr>
          <w:rFonts w:asciiTheme="minorHAnsi" w:hAnsiTheme="minorHAnsi"/>
          <w:bCs/>
          <w:lang w:val="en-GB"/>
        </w:rPr>
        <w:t>line treatment for Stage IV NSCLC irrespective of PD-(L)1 status was appropriate but noted that this would require a reduction in the proposed price.</w:t>
      </w:r>
      <w:r w:rsidRPr="00243081">
        <w:rPr>
          <w:rFonts w:asciiTheme="minorHAnsi" w:hAnsiTheme="minorHAnsi"/>
          <w:bCs/>
          <w:lang w:val="en-GB"/>
        </w:rPr>
        <w:t xml:space="preserve"> </w:t>
      </w:r>
      <w:r w:rsidR="00E3475D" w:rsidRPr="00243081">
        <w:rPr>
          <w:rFonts w:asciiTheme="minorHAnsi" w:hAnsiTheme="minorHAnsi"/>
          <w:bCs/>
          <w:lang w:val="en-GB"/>
        </w:rPr>
        <w:t xml:space="preserve">The PBAC also noted the </w:t>
      </w:r>
      <w:r w:rsidR="00146837" w:rsidRPr="00243081">
        <w:rPr>
          <w:rFonts w:asciiTheme="minorHAnsi" w:hAnsiTheme="minorHAnsi"/>
          <w:bCs/>
          <w:lang w:val="en-GB"/>
        </w:rPr>
        <w:t xml:space="preserve">high </w:t>
      </w:r>
      <w:r w:rsidRPr="00243081">
        <w:rPr>
          <w:rFonts w:asciiTheme="minorHAnsi" w:hAnsiTheme="minorHAnsi"/>
          <w:bCs/>
          <w:lang w:val="en-GB"/>
        </w:rPr>
        <w:t xml:space="preserve">estimated </w:t>
      </w:r>
      <w:r w:rsidR="00146837" w:rsidRPr="00243081">
        <w:rPr>
          <w:rFonts w:asciiTheme="minorHAnsi" w:hAnsiTheme="minorHAnsi"/>
          <w:bCs/>
          <w:lang w:val="en-GB"/>
        </w:rPr>
        <w:t xml:space="preserve">cost of subsidising </w:t>
      </w:r>
      <w:proofErr w:type="spellStart"/>
      <w:r w:rsidR="00146837" w:rsidRPr="00243081">
        <w:rPr>
          <w:rFonts w:asciiTheme="minorHAnsi" w:hAnsiTheme="minorHAnsi"/>
          <w:bCs/>
          <w:lang w:val="en-GB"/>
        </w:rPr>
        <w:t>pembrolizumab</w:t>
      </w:r>
      <w:proofErr w:type="spellEnd"/>
      <w:r w:rsidR="00146837" w:rsidRPr="00243081">
        <w:rPr>
          <w:rFonts w:asciiTheme="minorHAnsi" w:hAnsiTheme="minorHAnsi"/>
          <w:bCs/>
          <w:lang w:val="en-GB"/>
        </w:rPr>
        <w:t xml:space="preserve"> in this setting at </w:t>
      </w:r>
      <w:r w:rsidR="00F20108" w:rsidRPr="00243081">
        <w:rPr>
          <w:rFonts w:asciiTheme="minorHAnsi" w:hAnsiTheme="minorHAnsi"/>
          <w:bCs/>
          <w:lang w:val="en-GB"/>
        </w:rPr>
        <w:t xml:space="preserve">the </w:t>
      </w:r>
      <w:r w:rsidR="00146837" w:rsidRPr="00243081">
        <w:rPr>
          <w:rFonts w:asciiTheme="minorHAnsi" w:hAnsiTheme="minorHAnsi"/>
          <w:bCs/>
          <w:lang w:val="en-GB"/>
        </w:rPr>
        <w:lastRenderedPageBreak/>
        <w:t>proposed price.</w:t>
      </w:r>
    </w:p>
    <w:p w:rsidR="005858CC" w:rsidRPr="00D829A0" w:rsidRDefault="00415215" w:rsidP="005858CC">
      <w:pPr>
        <w:spacing w:after="120"/>
        <w:ind w:left="720"/>
        <w:rPr>
          <w:rFonts w:ascii="Arial Narrow" w:hAnsi="Arial Narrow" w:cs="Calibri"/>
          <w:b/>
          <w:bCs/>
          <w:sz w:val="20"/>
          <w:szCs w:val="20"/>
          <w:lang w:val="en-GB"/>
        </w:rPr>
      </w:pPr>
      <w:r w:rsidRPr="00D829A0">
        <w:rPr>
          <w:rFonts w:ascii="Arial Narrow" w:hAnsi="Arial Narrow" w:cs="Calibri"/>
          <w:b/>
          <w:bCs/>
          <w:sz w:val="20"/>
          <w:szCs w:val="20"/>
          <w:lang w:val="en-GB"/>
        </w:rPr>
        <w:t>Figure 6</w:t>
      </w:r>
      <w:r w:rsidR="001F2F06" w:rsidRPr="00D829A0">
        <w:rPr>
          <w:rFonts w:ascii="Arial Narrow" w:hAnsi="Arial Narrow" w:cs="Calibri"/>
          <w:b/>
          <w:bCs/>
          <w:sz w:val="20"/>
          <w:szCs w:val="20"/>
          <w:lang w:val="en-GB"/>
        </w:rPr>
        <w:t>:</w:t>
      </w:r>
      <w:r w:rsidR="00BC69B8" w:rsidRPr="00D829A0">
        <w:rPr>
          <w:rFonts w:ascii="Arial Narrow" w:hAnsi="Arial Narrow" w:cs="Calibri"/>
          <w:b/>
          <w:bCs/>
          <w:sz w:val="20"/>
          <w:szCs w:val="20"/>
          <w:lang w:val="en-GB"/>
        </w:rPr>
        <w:t xml:space="preserve"> </w:t>
      </w:r>
      <w:r w:rsidR="00BC69B8" w:rsidRPr="00D829A0">
        <w:rPr>
          <w:rFonts w:ascii="Arial Narrow" w:hAnsi="Arial Narrow" w:cs="Calibri"/>
          <w:b/>
          <w:sz w:val="20"/>
          <w:szCs w:val="20"/>
        </w:rPr>
        <w:t>Hazard ratio of death for patients that are PD-L1 positive and negative in various trials compared with control group (taken from Shen et al)</w:t>
      </w:r>
    </w:p>
    <w:p w:rsidR="00932D4D" w:rsidRPr="00243081" w:rsidRDefault="005858CC" w:rsidP="00BF41C9">
      <w:pPr>
        <w:spacing w:after="120"/>
        <w:ind w:left="720"/>
        <w:rPr>
          <w:rFonts w:asciiTheme="minorHAnsi" w:hAnsiTheme="minorHAnsi"/>
          <w:bCs/>
          <w:lang w:val="en-GB"/>
        </w:rPr>
      </w:pPr>
      <w:r w:rsidRPr="00243081">
        <w:rPr>
          <w:rFonts w:asciiTheme="minorHAnsi" w:hAnsiTheme="minorHAnsi"/>
          <w:bCs/>
          <w:noProof/>
          <w:lang w:eastAsia="en-AU"/>
        </w:rPr>
        <w:drawing>
          <wp:inline distT="0" distB="0" distL="0" distR="0" wp14:anchorId="74B8E266" wp14:editId="73D25BE9">
            <wp:extent cx="4481195" cy="443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1195" cy="4438015"/>
                    </a:xfrm>
                    <a:prstGeom prst="rect">
                      <a:avLst/>
                    </a:prstGeom>
                    <a:noFill/>
                  </pic:spPr>
                </pic:pic>
              </a:graphicData>
            </a:graphic>
          </wp:inline>
        </w:drawing>
      </w:r>
    </w:p>
    <w:p w:rsidR="00BB07C9" w:rsidRPr="00243081" w:rsidRDefault="00BB07C9" w:rsidP="00710A5E">
      <w:pPr>
        <w:numPr>
          <w:ilvl w:val="1"/>
          <w:numId w:val="3"/>
        </w:numPr>
        <w:spacing w:after="120"/>
        <w:rPr>
          <w:rFonts w:asciiTheme="minorHAnsi" w:hAnsiTheme="minorHAnsi"/>
          <w:bCs/>
          <w:lang w:val="en-GB"/>
        </w:rPr>
      </w:pPr>
      <w:r w:rsidRPr="00243081">
        <w:rPr>
          <w:rFonts w:asciiTheme="minorHAnsi" w:hAnsiTheme="minorHAnsi"/>
          <w:bCs/>
          <w:lang w:val="en-GB"/>
        </w:rPr>
        <w:t xml:space="preserve">The PBAC </w:t>
      </w:r>
      <w:r w:rsidR="00DF66E4" w:rsidRPr="00243081">
        <w:rPr>
          <w:rFonts w:asciiTheme="minorHAnsi" w:hAnsiTheme="minorHAnsi"/>
          <w:bCs/>
          <w:lang w:val="en-GB"/>
        </w:rPr>
        <w:t>noted the sponsor’s</w:t>
      </w:r>
      <w:r w:rsidRPr="00243081">
        <w:rPr>
          <w:rFonts w:asciiTheme="minorHAnsi" w:hAnsiTheme="minorHAnsi"/>
          <w:bCs/>
          <w:lang w:val="en-GB"/>
        </w:rPr>
        <w:t xml:space="preserve"> request in </w:t>
      </w:r>
      <w:r w:rsidR="00DF66E4" w:rsidRPr="00243081">
        <w:rPr>
          <w:rFonts w:asciiTheme="minorHAnsi" w:hAnsiTheme="minorHAnsi"/>
          <w:bCs/>
          <w:lang w:val="en-GB"/>
        </w:rPr>
        <w:t>its</w:t>
      </w:r>
      <w:r w:rsidRPr="00243081">
        <w:rPr>
          <w:rFonts w:asciiTheme="minorHAnsi" w:hAnsiTheme="minorHAnsi"/>
          <w:bCs/>
          <w:lang w:val="en-GB"/>
        </w:rPr>
        <w:t xml:space="preserve"> </w:t>
      </w:r>
      <w:r w:rsidR="00932D4D" w:rsidRPr="00243081">
        <w:rPr>
          <w:rFonts w:asciiTheme="minorHAnsi" w:hAnsiTheme="minorHAnsi"/>
          <w:bCs/>
          <w:lang w:val="en-GB"/>
        </w:rPr>
        <w:t>p</w:t>
      </w:r>
      <w:r w:rsidRPr="00243081">
        <w:rPr>
          <w:rFonts w:asciiTheme="minorHAnsi" w:hAnsiTheme="minorHAnsi"/>
          <w:bCs/>
          <w:lang w:val="en-GB"/>
        </w:rPr>
        <w:t xml:space="preserve">re-PBAC response </w:t>
      </w:r>
      <w:r w:rsidR="00DF66E4" w:rsidRPr="00243081">
        <w:rPr>
          <w:rFonts w:asciiTheme="minorHAnsi" w:hAnsiTheme="minorHAnsi"/>
          <w:bCs/>
          <w:lang w:val="en-GB"/>
        </w:rPr>
        <w:t>that the PBAC</w:t>
      </w:r>
      <w:r w:rsidRPr="00243081">
        <w:rPr>
          <w:rFonts w:asciiTheme="minorHAnsi" w:hAnsiTheme="minorHAnsi"/>
          <w:bCs/>
          <w:lang w:val="en-GB"/>
        </w:rPr>
        <w:t xml:space="preserve"> defer consideration of the</w:t>
      </w:r>
      <w:r w:rsidR="00DF66E4" w:rsidRPr="00243081">
        <w:rPr>
          <w:rFonts w:asciiTheme="minorHAnsi" w:hAnsiTheme="minorHAnsi"/>
          <w:bCs/>
          <w:lang w:val="en-GB"/>
        </w:rPr>
        <w:t xml:space="preserve"> listing request for the</w:t>
      </w:r>
      <w:r w:rsidRPr="00243081">
        <w:rPr>
          <w:rFonts w:asciiTheme="minorHAnsi" w:hAnsiTheme="minorHAnsi"/>
          <w:bCs/>
          <w:lang w:val="en-GB"/>
        </w:rPr>
        <w:t xml:space="preserve"> PD-L1 TPS ≥50% subgroup. </w:t>
      </w:r>
      <w:r w:rsidR="00DF66E4" w:rsidRPr="00243081">
        <w:rPr>
          <w:rFonts w:asciiTheme="minorHAnsi" w:hAnsiTheme="minorHAnsi"/>
          <w:bCs/>
          <w:lang w:val="en-GB"/>
        </w:rPr>
        <w:t xml:space="preserve">The PBAC </w:t>
      </w:r>
      <w:r w:rsidR="00710A5E" w:rsidRPr="00243081">
        <w:rPr>
          <w:rFonts w:asciiTheme="minorHAnsi" w:hAnsiTheme="minorHAnsi"/>
          <w:bCs/>
          <w:lang w:val="en-GB"/>
        </w:rPr>
        <w:t>did not agree to th</w:t>
      </w:r>
      <w:r w:rsidR="00BD228D" w:rsidRPr="00243081">
        <w:rPr>
          <w:rFonts w:asciiTheme="minorHAnsi" w:hAnsiTheme="minorHAnsi"/>
          <w:bCs/>
          <w:lang w:val="en-GB"/>
        </w:rPr>
        <w:t xml:space="preserve">is </w:t>
      </w:r>
      <w:r w:rsidR="00710A5E" w:rsidRPr="00243081">
        <w:rPr>
          <w:rFonts w:asciiTheme="minorHAnsi" w:hAnsiTheme="minorHAnsi"/>
          <w:bCs/>
          <w:lang w:val="en-GB"/>
        </w:rPr>
        <w:t>request</w:t>
      </w:r>
      <w:r w:rsidR="00320507" w:rsidRPr="00243081">
        <w:rPr>
          <w:rFonts w:asciiTheme="minorHAnsi" w:hAnsiTheme="minorHAnsi"/>
          <w:bCs/>
          <w:lang w:val="en-GB"/>
        </w:rPr>
        <w:t xml:space="preserve"> on the grounds that </w:t>
      </w:r>
      <w:r w:rsidR="00617E64" w:rsidRPr="00243081">
        <w:rPr>
          <w:rFonts w:asciiTheme="minorHAnsi" w:hAnsiTheme="minorHAnsi"/>
          <w:bCs/>
          <w:lang w:val="en-GB"/>
        </w:rPr>
        <w:t xml:space="preserve">the PBAC </w:t>
      </w:r>
      <w:r w:rsidR="00320507" w:rsidRPr="00243081">
        <w:rPr>
          <w:rFonts w:asciiTheme="minorHAnsi" w:hAnsiTheme="minorHAnsi"/>
          <w:bCs/>
          <w:lang w:val="en-GB"/>
        </w:rPr>
        <w:t xml:space="preserve">considered </w:t>
      </w:r>
      <w:r w:rsidR="005C66D5" w:rsidRPr="00243081">
        <w:rPr>
          <w:rFonts w:asciiTheme="minorHAnsi" w:hAnsiTheme="minorHAnsi"/>
          <w:bCs/>
          <w:lang w:val="en-GB"/>
        </w:rPr>
        <w:t xml:space="preserve">all </w:t>
      </w:r>
      <w:r w:rsidR="00320507" w:rsidRPr="00243081">
        <w:rPr>
          <w:rFonts w:asciiTheme="minorHAnsi" w:hAnsiTheme="minorHAnsi"/>
          <w:bCs/>
          <w:lang w:val="en-GB"/>
        </w:rPr>
        <w:t xml:space="preserve">patients </w:t>
      </w:r>
      <w:r w:rsidR="005C66D5" w:rsidRPr="00243081">
        <w:rPr>
          <w:rFonts w:asciiTheme="minorHAnsi" w:hAnsiTheme="minorHAnsi"/>
          <w:bCs/>
          <w:lang w:val="en-GB"/>
        </w:rPr>
        <w:t xml:space="preserve">(irrespective of their tumour PDL1 status) </w:t>
      </w:r>
      <w:r w:rsidR="00320507" w:rsidRPr="00243081">
        <w:rPr>
          <w:rFonts w:asciiTheme="minorHAnsi" w:hAnsiTheme="minorHAnsi"/>
          <w:bCs/>
          <w:lang w:val="en-GB"/>
        </w:rPr>
        <w:t xml:space="preserve">should </w:t>
      </w:r>
      <w:r w:rsidR="005C66D5" w:rsidRPr="00243081">
        <w:rPr>
          <w:rFonts w:asciiTheme="minorHAnsi" w:hAnsiTheme="minorHAnsi"/>
          <w:bCs/>
          <w:lang w:val="en-GB"/>
        </w:rPr>
        <w:t>have the choice</w:t>
      </w:r>
      <w:r w:rsidR="00617E64" w:rsidRPr="00243081">
        <w:rPr>
          <w:rFonts w:asciiTheme="minorHAnsi" w:hAnsiTheme="minorHAnsi"/>
          <w:bCs/>
          <w:lang w:val="en-GB"/>
        </w:rPr>
        <w:t>, based on the</w:t>
      </w:r>
      <w:r w:rsidR="005C66D5" w:rsidRPr="00243081">
        <w:rPr>
          <w:rFonts w:asciiTheme="minorHAnsi" w:hAnsiTheme="minorHAnsi"/>
          <w:bCs/>
          <w:lang w:val="en-GB"/>
        </w:rPr>
        <w:t xml:space="preserve"> advice of their clinician</w:t>
      </w:r>
      <w:r w:rsidR="00617E64" w:rsidRPr="00243081">
        <w:rPr>
          <w:rFonts w:asciiTheme="minorHAnsi" w:hAnsiTheme="minorHAnsi"/>
          <w:bCs/>
          <w:lang w:val="en-GB"/>
        </w:rPr>
        <w:t>,</w:t>
      </w:r>
      <w:r w:rsidR="005C66D5" w:rsidRPr="00243081">
        <w:rPr>
          <w:rFonts w:asciiTheme="minorHAnsi" w:hAnsiTheme="minorHAnsi"/>
          <w:bCs/>
          <w:lang w:val="en-GB"/>
        </w:rPr>
        <w:t xml:space="preserve"> </w:t>
      </w:r>
      <w:r w:rsidR="00617E64" w:rsidRPr="00243081">
        <w:rPr>
          <w:rFonts w:asciiTheme="minorHAnsi" w:hAnsiTheme="minorHAnsi"/>
          <w:bCs/>
          <w:lang w:val="en-GB"/>
        </w:rPr>
        <w:t>to</w:t>
      </w:r>
      <w:r w:rsidR="005C66D5" w:rsidRPr="00243081">
        <w:rPr>
          <w:rFonts w:asciiTheme="minorHAnsi" w:hAnsiTheme="minorHAnsi"/>
          <w:bCs/>
          <w:lang w:val="en-GB"/>
        </w:rPr>
        <w:t xml:space="preserve"> undertak</w:t>
      </w:r>
      <w:r w:rsidR="00617E64" w:rsidRPr="00243081">
        <w:rPr>
          <w:rFonts w:asciiTheme="minorHAnsi" w:hAnsiTheme="minorHAnsi"/>
          <w:bCs/>
          <w:lang w:val="en-GB"/>
        </w:rPr>
        <w:t>e</w:t>
      </w:r>
      <w:r w:rsidR="005C66D5" w:rsidRPr="00243081">
        <w:rPr>
          <w:rFonts w:asciiTheme="minorHAnsi" w:hAnsiTheme="minorHAnsi"/>
          <w:bCs/>
          <w:lang w:val="en-GB"/>
        </w:rPr>
        <w:t xml:space="preserve"> treatment with </w:t>
      </w:r>
      <w:proofErr w:type="spellStart"/>
      <w:r w:rsidR="00320507" w:rsidRPr="00243081">
        <w:rPr>
          <w:rFonts w:asciiTheme="minorHAnsi" w:hAnsiTheme="minorHAnsi"/>
          <w:bCs/>
          <w:lang w:val="en-GB"/>
        </w:rPr>
        <w:t>pembrolizumab</w:t>
      </w:r>
      <w:proofErr w:type="spellEnd"/>
      <w:r w:rsidR="00320507" w:rsidRPr="00243081">
        <w:rPr>
          <w:rFonts w:asciiTheme="minorHAnsi" w:hAnsiTheme="minorHAnsi"/>
          <w:bCs/>
          <w:lang w:val="en-GB"/>
        </w:rPr>
        <w:t xml:space="preserve"> in combination with chemotherapy</w:t>
      </w:r>
      <w:r w:rsidR="005C66D5" w:rsidRPr="00243081">
        <w:rPr>
          <w:rFonts w:asciiTheme="minorHAnsi" w:hAnsiTheme="minorHAnsi"/>
          <w:bCs/>
          <w:lang w:val="en-GB"/>
        </w:rPr>
        <w:t>.</w:t>
      </w:r>
    </w:p>
    <w:p w:rsidR="001C6FAC" w:rsidRPr="00243081" w:rsidRDefault="00364F3F" w:rsidP="001C6FAC">
      <w:pPr>
        <w:numPr>
          <w:ilvl w:val="1"/>
          <w:numId w:val="3"/>
        </w:numPr>
        <w:spacing w:after="120"/>
        <w:rPr>
          <w:rFonts w:asciiTheme="minorHAnsi" w:hAnsiTheme="minorHAnsi"/>
          <w:bCs/>
          <w:lang w:val="en-GB"/>
        </w:rPr>
      </w:pPr>
      <w:r w:rsidRPr="00243081">
        <w:rPr>
          <w:rFonts w:asciiTheme="minorHAnsi" w:hAnsiTheme="minorHAnsi"/>
          <w:bCs/>
          <w:lang w:val="en-GB"/>
        </w:rPr>
        <w:t xml:space="preserve">The PBAC considered that the proposed </w:t>
      </w:r>
      <w:r w:rsidR="00E5051C" w:rsidRPr="00243081">
        <w:rPr>
          <w:rFonts w:asciiTheme="minorHAnsi" w:hAnsiTheme="minorHAnsi"/>
          <w:bCs/>
          <w:lang w:val="en-GB"/>
        </w:rPr>
        <w:t>restriction wording</w:t>
      </w:r>
      <w:r w:rsidRPr="00243081">
        <w:rPr>
          <w:rFonts w:asciiTheme="minorHAnsi" w:hAnsiTheme="minorHAnsi"/>
          <w:bCs/>
          <w:lang w:val="en-GB"/>
        </w:rPr>
        <w:t xml:space="preserve"> was appropriate, although agreed with </w:t>
      </w:r>
      <w:r w:rsidR="00710A5E" w:rsidRPr="00243081">
        <w:rPr>
          <w:rFonts w:asciiTheme="minorHAnsi" w:hAnsiTheme="minorHAnsi"/>
          <w:bCs/>
          <w:lang w:val="en-GB"/>
        </w:rPr>
        <w:t xml:space="preserve">the </w:t>
      </w:r>
      <w:r w:rsidRPr="00243081">
        <w:rPr>
          <w:rFonts w:asciiTheme="minorHAnsi" w:hAnsiTheme="minorHAnsi"/>
          <w:bCs/>
          <w:lang w:val="en-GB"/>
        </w:rPr>
        <w:t xml:space="preserve">ESC that the effectiveness of </w:t>
      </w:r>
      <w:proofErr w:type="spellStart"/>
      <w:r w:rsidRPr="00243081">
        <w:rPr>
          <w:rFonts w:asciiTheme="minorHAnsi" w:hAnsiTheme="minorHAnsi"/>
          <w:bCs/>
          <w:lang w:val="en-GB"/>
        </w:rPr>
        <w:t>pembrolizumab</w:t>
      </w:r>
      <w:proofErr w:type="spellEnd"/>
      <w:r w:rsidRPr="00243081">
        <w:rPr>
          <w:rFonts w:asciiTheme="minorHAnsi" w:hAnsiTheme="minorHAnsi"/>
          <w:bCs/>
          <w:lang w:val="en-GB"/>
        </w:rPr>
        <w:t xml:space="preserve"> in patients with ROS1 translocations is </w:t>
      </w:r>
      <w:r w:rsidR="001C6FAC" w:rsidRPr="00243081">
        <w:rPr>
          <w:rFonts w:asciiTheme="minorHAnsi" w:hAnsiTheme="minorHAnsi"/>
          <w:bCs/>
          <w:lang w:val="en-GB"/>
        </w:rPr>
        <w:t xml:space="preserve">unknown and the </w:t>
      </w:r>
      <w:r w:rsidR="00E5051C" w:rsidRPr="00243081">
        <w:rPr>
          <w:rFonts w:asciiTheme="minorHAnsi" w:hAnsiTheme="minorHAnsi"/>
          <w:bCs/>
          <w:lang w:val="en-GB"/>
        </w:rPr>
        <w:t>restriction</w:t>
      </w:r>
      <w:r w:rsidR="001C6FAC" w:rsidRPr="00243081">
        <w:rPr>
          <w:rFonts w:asciiTheme="minorHAnsi" w:hAnsiTheme="minorHAnsi"/>
          <w:bCs/>
          <w:lang w:val="en-GB"/>
        </w:rPr>
        <w:t xml:space="preserve"> should preclude the use of </w:t>
      </w:r>
      <w:proofErr w:type="spellStart"/>
      <w:r w:rsidR="001C6FAC" w:rsidRPr="00243081">
        <w:rPr>
          <w:rFonts w:asciiTheme="minorHAnsi" w:hAnsiTheme="minorHAnsi"/>
          <w:bCs/>
          <w:lang w:val="en-GB"/>
        </w:rPr>
        <w:t>pembrolizumab</w:t>
      </w:r>
      <w:proofErr w:type="spellEnd"/>
      <w:r w:rsidR="001C6FAC" w:rsidRPr="00243081">
        <w:rPr>
          <w:rFonts w:asciiTheme="minorHAnsi" w:hAnsiTheme="minorHAnsi"/>
          <w:bCs/>
          <w:lang w:val="en-GB"/>
        </w:rPr>
        <w:t xml:space="preserve"> in this subset.</w:t>
      </w:r>
    </w:p>
    <w:p w:rsidR="001C6FAC" w:rsidRPr="00243081" w:rsidRDefault="001C6FAC" w:rsidP="001C6FAC">
      <w:pPr>
        <w:numPr>
          <w:ilvl w:val="1"/>
          <w:numId w:val="3"/>
        </w:numPr>
        <w:spacing w:after="120"/>
        <w:rPr>
          <w:rFonts w:asciiTheme="minorHAnsi" w:hAnsiTheme="minorHAnsi"/>
          <w:bCs/>
          <w:lang w:val="en-GB"/>
        </w:rPr>
      </w:pPr>
      <w:r w:rsidRPr="00243081">
        <w:rPr>
          <w:rFonts w:asciiTheme="minorHAnsi" w:hAnsiTheme="minorHAnsi"/>
          <w:bCs/>
          <w:lang w:val="en-GB"/>
        </w:rPr>
        <w:t xml:space="preserve">The PBAC noted the lack of evidence for the effectiveness of sequential use of PD-(L)1 therapies, and </w:t>
      </w:r>
      <w:r w:rsidR="00710A5E" w:rsidRPr="00243081">
        <w:rPr>
          <w:rFonts w:asciiTheme="minorHAnsi" w:hAnsiTheme="minorHAnsi"/>
          <w:bCs/>
          <w:lang w:val="en-GB"/>
        </w:rPr>
        <w:t>recommended</w:t>
      </w:r>
      <w:r w:rsidRPr="00243081">
        <w:rPr>
          <w:rFonts w:asciiTheme="minorHAnsi" w:hAnsiTheme="minorHAnsi"/>
          <w:bCs/>
          <w:lang w:val="en-GB"/>
        </w:rPr>
        <w:t xml:space="preserve"> that the </w:t>
      </w:r>
      <w:r w:rsidR="00710A5E" w:rsidRPr="00243081">
        <w:rPr>
          <w:rFonts w:asciiTheme="minorHAnsi" w:hAnsiTheme="minorHAnsi"/>
          <w:bCs/>
          <w:lang w:val="en-GB"/>
        </w:rPr>
        <w:t xml:space="preserve">restriction </w:t>
      </w:r>
      <w:r w:rsidRPr="00243081">
        <w:rPr>
          <w:rFonts w:asciiTheme="minorHAnsi" w:hAnsiTheme="minorHAnsi"/>
          <w:bCs/>
          <w:lang w:val="en-GB"/>
        </w:rPr>
        <w:t xml:space="preserve">preclude the use of </w:t>
      </w:r>
      <w:proofErr w:type="spellStart"/>
      <w:r w:rsidR="001E25D2" w:rsidRPr="00243081">
        <w:t>pembrolizumab+platinum+pemetrexed</w:t>
      </w:r>
      <w:proofErr w:type="spellEnd"/>
      <w:r w:rsidR="001E25D2" w:rsidRPr="00243081">
        <w:rPr>
          <w:rFonts w:asciiTheme="minorHAnsi" w:hAnsiTheme="minorHAnsi"/>
          <w:bCs/>
          <w:lang w:val="en-GB"/>
        </w:rPr>
        <w:t xml:space="preserve"> </w:t>
      </w:r>
      <w:r w:rsidRPr="00243081">
        <w:rPr>
          <w:rFonts w:asciiTheme="minorHAnsi" w:hAnsiTheme="minorHAnsi"/>
          <w:bCs/>
          <w:lang w:val="en-GB"/>
        </w:rPr>
        <w:t xml:space="preserve">in patients previously treated for NSCLC with </w:t>
      </w:r>
      <w:r w:rsidRPr="00243081">
        <w:rPr>
          <w:rFonts w:asciiTheme="minorHAnsi" w:hAnsiTheme="minorHAnsi"/>
          <w:bCs/>
          <w:lang w:val="en-GB"/>
        </w:rPr>
        <w:lastRenderedPageBreak/>
        <w:t xml:space="preserve">PD-(L)1 therapies, regardless of </w:t>
      </w:r>
      <w:r w:rsidR="00D8337F" w:rsidRPr="00243081">
        <w:rPr>
          <w:rFonts w:asciiTheme="minorHAnsi" w:hAnsiTheme="minorHAnsi"/>
          <w:bCs/>
          <w:lang w:val="en-GB"/>
        </w:rPr>
        <w:t xml:space="preserve">disease </w:t>
      </w:r>
      <w:r w:rsidRPr="00243081">
        <w:rPr>
          <w:rFonts w:asciiTheme="minorHAnsi" w:hAnsiTheme="minorHAnsi"/>
          <w:bCs/>
          <w:lang w:val="en-GB"/>
        </w:rPr>
        <w:t>stage</w:t>
      </w:r>
      <w:r w:rsidR="00710A5E" w:rsidRPr="00243081">
        <w:rPr>
          <w:rFonts w:asciiTheme="minorHAnsi" w:hAnsiTheme="minorHAnsi"/>
          <w:bCs/>
          <w:lang w:val="en-GB"/>
        </w:rPr>
        <w:t xml:space="preserve"> or </w:t>
      </w:r>
      <w:r w:rsidR="00D8337F" w:rsidRPr="00243081">
        <w:rPr>
          <w:rFonts w:asciiTheme="minorHAnsi" w:hAnsiTheme="minorHAnsi"/>
          <w:bCs/>
          <w:lang w:val="en-GB"/>
        </w:rPr>
        <w:t xml:space="preserve">treatment </w:t>
      </w:r>
      <w:r w:rsidR="00710A5E" w:rsidRPr="00243081">
        <w:rPr>
          <w:rFonts w:asciiTheme="minorHAnsi" w:hAnsiTheme="minorHAnsi"/>
          <w:bCs/>
          <w:lang w:val="en-GB"/>
        </w:rPr>
        <w:t>line</w:t>
      </w:r>
      <w:r w:rsidRPr="00243081">
        <w:rPr>
          <w:rFonts w:asciiTheme="minorHAnsi" w:hAnsiTheme="minorHAnsi"/>
          <w:bCs/>
          <w:lang w:val="en-GB"/>
        </w:rPr>
        <w:t>.</w:t>
      </w:r>
    </w:p>
    <w:p w:rsidR="00320507" w:rsidRPr="00243081" w:rsidRDefault="00E5051C" w:rsidP="005858CC">
      <w:pPr>
        <w:numPr>
          <w:ilvl w:val="1"/>
          <w:numId w:val="3"/>
        </w:numPr>
        <w:spacing w:after="120"/>
        <w:rPr>
          <w:rFonts w:asciiTheme="minorHAnsi" w:hAnsiTheme="minorHAnsi"/>
          <w:bCs/>
          <w:lang w:val="en-GB"/>
        </w:rPr>
      </w:pPr>
      <w:r w:rsidRPr="00243081">
        <w:rPr>
          <w:rFonts w:asciiTheme="minorHAnsi" w:hAnsiTheme="minorHAnsi"/>
          <w:bCs/>
          <w:lang w:val="en-GB"/>
        </w:rPr>
        <w:t>The PBAC noted that the submission</w:t>
      </w:r>
      <w:r w:rsidR="00BD228D" w:rsidRPr="00243081">
        <w:t xml:space="preserve"> </w:t>
      </w:r>
      <w:r w:rsidR="00BD228D" w:rsidRPr="00243081">
        <w:rPr>
          <w:rFonts w:asciiTheme="minorHAnsi" w:hAnsiTheme="minorHAnsi"/>
          <w:bCs/>
          <w:lang w:val="en-GB"/>
        </w:rPr>
        <w:t>divided the target patient population into patients with a PD-L1 TPS &lt; 50%</w:t>
      </w:r>
      <w:r w:rsidR="005858CC" w:rsidRPr="00243081">
        <w:rPr>
          <w:rFonts w:asciiTheme="minorHAnsi" w:hAnsiTheme="minorHAnsi"/>
          <w:bCs/>
          <w:lang w:val="en-GB"/>
        </w:rPr>
        <w:t xml:space="preserve"> and patients with a PD-L1 TPS ≥50%, </w:t>
      </w:r>
      <w:r w:rsidR="00BD228D" w:rsidRPr="00243081">
        <w:rPr>
          <w:rFonts w:asciiTheme="minorHAnsi" w:hAnsiTheme="minorHAnsi"/>
          <w:bCs/>
          <w:lang w:val="en-GB"/>
        </w:rPr>
        <w:t xml:space="preserve">with different </w:t>
      </w:r>
      <w:r w:rsidR="00BC287E" w:rsidRPr="00243081">
        <w:rPr>
          <w:rFonts w:asciiTheme="minorHAnsi" w:hAnsiTheme="minorHAnsi"/>
          <w:bCs/>
          <w:lang w:val="en-GB"/>
        </w:rPr>
        <w:t>proposed comparators</w:t>
      </w:r>
      <w:r w:rsidR="00BD228D" w:rsidRPr="00243081">
        <w:rPr>
          <w:rFonts w:asciiTheme="minorHAnsi" w:hAnsiTheme="minorHAnsi"/>
          <w:bCs/>
          <w:lang w:val="en-GB"/>
        </w:rPr>
        <w:t xml:space="preserve"> and clinical and economic analyses. </w:t>
      </w:r>
      <w:r w:rsidR="00320507" w:rsidRPr="00243081">
        <w:rPr>
          <w:rFonts w:asciiTheme="minorHAnsi" w:hAnsiTheme="minorHAnsi"/>
          <w:bCs/>
          <w:lang w:val="en-GB"/>
        </w:rPr>
        <w:t xml:space="preserve"> </w:t>
      </w:r>
      <w:r w:rsidR="00BD228D" w:rsidRPr="00243081">
        <w:rPr>
          <w:rFonts w:asciiTheme="minorHAnsi" w:hAnsiTheme="minorHAnsi"/>
          <w:bCs/>
          <w:lang w:val="en-GB"/>
        </w:rPr>
        <w:t xml:space="preserve">Although the PBAC acknowledged the submission’s approach is aligned with the current PBS availability of </w:t>
      </w:r>
      <w:proofErr w:type="spellStart"/>
      <w:r w:rsidR="00BD228D" w:rsidRPr="00243081">
        <w:rPr>
          <w:rFonts w:asciiTheme="minorHAnsi" w:hAnsiTheme="minorHAnsi"/>
          <w:bCs/>
          <w:lang w:val="en-GB"/>
        </w:rPr>
        <w:t>pembrolizumab</w:t>
      </w:r>
      <w:proofErr w:type="spellEnd"/>
      <w:r w:rsidR="00BD228D" w:rsidRPr="00243081">
        <w:rPr>
          <w:rFonts w:asciiTheme="minorHAnsi" w:hAnsiTheme="minorHAnsi"/>
          <w:bCs/>
          <w:lang w:val="en-GB"/>
        </w:rPr>
        <w:t xml:space="preserve"> monotherapy for patients with a PD-L1 TPS ≥50%, the PBAC</w:t>
      </w:r>
      <w:r w:rsidR="00320507" w:rsidRPr="00243081">
        <w:rPr>
          <w:rFonts w:asciiTheme="minorHAnsi" w:hAnsiTheme="minorHAnsi"/>
          <w:bCs/>
          <w:lang w:val="en-GB"/>
        </w:rPr>
        <w:t xml:space="preserve"> did not consider the submission</w:t>
      </w:r>
      <w:r w:rsidR="00D8337F" w:rsidRPr="00243081">
        <w:rPr>
          <w:rFonts w:asciiTheme="minorHAnsi" w:hAnsiTheme="minorHAnsi"/>
          <w:bCs/>
          <w:lang w:val="en-GB"/>
        </w:rPr>
        <w:t>’</w:t>
      </w:r>
      <w:r w:rsidR="00320507" w:rsidRPr="00243081">
        <w:rPr>
          <w:rFonts w:asciiTheme="minorHAnsi" w:hAnsiTheme="minorHAnsi"/>
          <w:bCs/>
          <w:lang w:val="en-GB"/>
        </w:rPr>
        <w:t>s nominated comparators to be appropriate.</w:t>
      </w:r>
      <w:r w:rsidR="005858CC" w:rsidRPr="00243081">
        <w:rPr>
          <w:rFonts w:asciiTheme="minorHAnsi" w:hAnsiTheme="minorHAnsi"/>
          <w:bCs/>
          <w:lang w:val="en-GB"/>
        </w:rPr>
        <w:t xml:space="preserve"> </w:t>
      </w:r>
      <w:r w:rsidR="00320507" w:rsidRPr="00243081">
        <w:rPr>
          <w:rFonts w:asciiTheme="minorHAnsi" w:hAnsiTheme="minorHAnsi"/>
          <w:bCs/>
          <w:lang w:val="en-GB"/>
        </w:rPr>
        <w:t>The PBAC considered that sequential treatment with a platinum doublet followed by PD-(L</w:t>
      </w:r>
      <w:proofErr w:type="gramStart"/>
      <w:r w:rsidR="00320507" w:rsidRPr="00243081">
        <w:rPr>
          <w:rFonts w:asciiTheme="minorHAnsi" w:hAnsiTheme="minorHAnsi"/>
          <w:bCs/>
          <w:lang w:val="en-GB"/>
        </w:rPr>
        <w:t>)1</w:t>
      </w:r>
      <w:proofErr w:type="gramEnd"/>
      <w:r w:rsidR="00320507" w:rsidRPr="00243081">
        <w:rPr>
          <w:rFonts w:asciiTheme="minorHAnsi" w:hAnsiTheme="minorHAnsi"/>
          <w:bCs/>
          <w:lang w:val="en-GB"/>
        </w:rPr>
        <w:t xml:space="preserve"> therapy</w:t>
      </w:r>
      <w:r w:rsidR="005858CC" w:rsidRPr="00243081">
        <w:rPr>
          <w:rFonts w:asciiTheme="minorHAnsi" w:hAnsiTheme="minorHAnsi"/>
          <w:bCs/>
          <w:lang w:val="en-GB"/>
        </w:rPr>
        <w:t>,</w:t>
      </w:r>
      <w:r w:rsidR="00320507" w:rsidRPr="00243081">
        <w:rPr>
          <w:rFonts w:asciiTheme="minorHAnsi" w:hAnsiTheme="minorHAnsi"/>
          <w:bCs/>
          <w:lang w:val="en-GB"/>
        </w:rPr>
        <w:t xml:space="preserve"> or PD-(L)1 therapy followed </w:t>
      </w:r>
      <w:r w:rsidR="005858CC" w:rsidRPr="00243081">
        <w:rPr>
          <w:rFonts w:asciiTheme="minorHAnsi" w:hAnsiTheme="minorHAnsi"/>
          <w:bCs/>
          <w:lang w:val="en-GB"/>
        </w:rPr>
        <w:t>by platinum doublet to be the appropriate comparators in these settings, respectively.</w:t>
      </w:r>
    </w:p>
    <w:p w:rsidR="00A84C6C" w:rsidRPr="00243081" w:rsidRDefault="00A84C6C" w:rsidP="00CA1928">
      <w:pPr>
        <w:widowControl/>
        <w:numPr>
          <w:ilvl w:val="1"/>
          <w:numId w:val="3"/>
        </w:numPr>
        <w:spacing w:after="120"/>
      </w:pPr>
      <w:r w:rsidRPr="00243081">
        <w:rPr>
          <w:rFonts w:asciiTheme="minorHAnsi" w:hAnsiTheme="minorHAnsi"/>
          <w:bCs/>
          <w:lang w:val="en-GB"/>
        </w:rPr>
        <w:t>The PBAC noted that the KN-189 clinical trial demonstrated a</w:t>
      </w:r>
      <w:r w:rsidRPr="00243081">
        <w:rPr>
          <w:rFonts w:cs="Calibri"/>
          <w:snapToGrid/>
          <w:szCs w:val="24"/>
          <w:lang w:val="en-US" w:eastAsia="en-AU"/>
        </w:rPr>
        <w:t xml:space="preserve"> statistically significant improvement in overall and progression free survival for the ITT and PD-L1 TPS &lt;50% and ≥50% populations treated with </w:t>
      </w:r>
      <w:proofErr w:type="spellStart"/>
      <w:r w:rsidRPr="00243081">
        <w:rPr>
          <w:rFonts w:cs="Calibri"/>
          <w:snapToGrid/>
          <w:szCs w:val="24"/>
          <w:lang w:val="en-US" w:eastAsia="en-AU"/>
        </w:rPr>
        <w:t>pembrolizumab+platinum+pemetrexed</w:t>
      </w:r>
      <w:proofErr w:type="spellEnd"/>
      <w:r w:rsidRPr="00243081">
        <w:rPr>
          <w:rFonts w:cs="Calibri"/>
          <w:snapToGrid/>
          <w:szCs w:val="24"/>
          <w:lang w:val="en-US" w:eastAsia="en-AU"/>
        </w:rPr>
        <w:t xml:space="preserve"> compared with platinum doublet. However the data from this trial are immature</w:t>
      </w:r>
      <w:r w:rsidR="00D8337F" w:rsidRPr="00243081">
        <w:rPr>
          <w:rFonts w:cs="Calibri"/>
          <w:snapToGrid/>
          <w:szCs w:val="24"/>
          <w:lang w:val="en-US" w:eastAsia="en-AU"/>
        </w:rPr>
        <w:t>,</w:t>
      </w:r>
      <w:r w:rsidRPr="00243081">
        <w:rPr>
          <w:rFonts w:cs="Calibri"/>
          <w:snapToGrid/>
          <w:szCs w:val="24"/>
          <w:lang w:val="en-US" w:eastAsia="en-AU"/>
        </w:rPr>
        <w:t xml:space="preserve"> with median overall survival not yet reached in the </w:t>
      </w:r>
      <w:proofErr w:type="spellStart"/>
      <w:r w:rsidRPr="00243081">
        <w:rPr>
          <w:rFonts w:cs="Calibri"/>
          <w:snapToGrid/>
          <w:szCs w:val="24"/>
          <w:lang w:val="en-US" w:eastAsia="en-AU"/>
        </w:rPr>
        <w:t>pembrolizumab+platinum+pemetrexed</w:t>
      </w:r>
      <w:proofErr w:type="spellEnd"/>
      <w:r w:rsidRPr="00243081">
        <w:rPr>
          <w:rFonts w:cs="Calibri"/>
          <w:snapToGrid/>
          <w:szCs w:val="24"/>
          <w:lang w:val="en-US" w:eastAsia="en-AU"/>
        </w:rPr>
        <w:t xml:space="preserve"> arm</w:t>
      </w:r>
      <w:r w:rsidR="005858CC" w:rsidRPr="00243081">
        <w:rPr>
          <w:rFonts w:cs="Calibri"/>
          <w:snapToGrid/>
          <w:szCs w:val="24"/>
          <w:lang w:val="en-US" w:eastAsia="en-AU"/>
        </w:rPr>
        <w:t xml:space="preserve">.  </w:t>
      </w:r>
    </w:p>
    <w:p w:rsidR="00774096" w:rsidRPr="00243081" w:rsidRDefault="00916AC2" w:rsidP="00916AC2">
      <w:pPr>
        <w:numPr>
          <w:ilvl w:val="1"/>
          <w:numId w:val="3"/>
        </w:numPr>
        <w:spacing w:after="120"/>
        <w:rPr>
          <w:rFonts w:asciiTheme="minorHAnsi" w:hAnsiTheme="minorHAnsi"/>
          <w:bCs/>
          <w:lang w:val="en-GB"/>
        </w:rPr>
      </w:pPr>
      <w:r w:rsidRPr="00243081">
        <w:rPr>
          <w:rFonts w:asciiTheme="minorHAnsi" w:hAnsiTheme="minorHAnsi"/>
          <w:bCs/>
          <w:lang w:val="en-GB"/>
        </w:rPr>
        <w:t xml:space="preserve">For the PD-L1 TPS ≥50% subgroup, the PBAC agreed with ESC that the indirect comparison with </w:t>
      </w:r>
      <w:proofErr w:type="spellStart"/>
      <w:r w:rsidRPr="00243081">
        <w:rPr>
          <w:rFonts w:asciiTheme="minorHAnsi" w:hAnsiTheme="minorHAnsi"/>
          <w:bCs/>
          <w:lang w:val="en-GB"/>
        </w:rPr>
        <w:t>pembrolizumab</w:t>
      </w:r>
      <w:proofErr w:type="spellEnd"/>
      <w:r w:rsidRPr="00243081">
        <w:rPr>
          <w:rFonts w:asciiTheme="minorHAnsi" w:hAnsiTheme="minorHAnsi"/>
          <w:bCs/>
          <w:lang w:val="en-GB"/>
        </w:rPr>
        <w:t xml:space="preserve"> monotherapy using the KN024 trial was highly uncertain. The PBAC considered that the transitivity of the studies had not been adequately addressed. The PBAC considered that an indirect comparison relying upon subgroups from each trial was inherently uncertain. The PBAC noted that the estimate of the indirect treatment effect was not statistically significant, and a claim of non-inferiority would have been more appropriate.</w:t>
      </w:r>
    </w:p>
    <w:p w:rsidR="00916AC2" w:rsidRPr="00243081" w:rsidRDefault="00916AC2" w:rsidP="00916AC2">
      <w:pPr>
        <w:numPr>
          <w:ilvl w:val="1"/>
          <w:numId w:val="3"/>
        </w:numPr>
        <w:spacing w:after="120"/>
        <w:rPr>
          <w:rFonts w:asciiTheme="minorHAnsi" w:hAnsiTheme="minorHAnsi"/>
          <w:bCs/>
          <w:lang w:val="en-GB"/>
        </w:rPr>
      </w:pPr>
      <w:r w:rsidRPr="00243081">
        <w:rPr>
          <w:rFonts w:asciiTheme="minorHAnsi" w:hAnsiTheme="minorHAnsi"/>
          <w:bCs/>
          <w:lang w:val="en-GB"/>
        </w:rPr>
        <w:t>PBAC considered that</w:t>
      </w:r>
      <w:r w:rsidR="00774096" w:rsidRPr="00243081">
        <w:rPr>
          <w:rFonts w:asciiTheme="minorHAnsi" w:hAnsiTheme="minorHAnsi"/>
          <w:bCs/>
          <w:lang w:val="en-GB"/>
        </w:rPr>
        <w:t xml:space="preserve"> for the TPS </w:t>
      </w:r>
      <w:r w:rsidR="00774096" w:rsidRPr="00243081">
        <w:rPr>
          <w:rFonts w:cs="Calibri"/>
          <w:snapToGrid/>
          <w:szCs w:val="24"/>
          <w:lang w:val="en-US" w:eastAsia="en-AU"/>
        </w:rPr>
        <w:t>≥50% subgroup</w:t>
      </w:r>
      <w:r w:rsidRPr="00243081">
        <w:rPr>
          <w:rFonts w:asciiTheme="minorHAnsi" w:hAnsiTheme="minorHAnsi"/>
          <w:bCs/>
          <w:lang w:val="en-GB"/>
        </w:rPr>
        <w:t xml:space="preserve"> </w:t>
      </w:r>
      <w:proofErr w:type="spellStart"/>
      <w:r w:rsidRPr="00243081">
        <w:rPr>
          <w:rFonts w:asciiTheme="minorHAnsi" w:hAnsiTheme="minorHAnsi"/>
          <w:bCs/>
          <w:lang w:val="en-GB"/>
        </w:rPr>
        <w:t>pembrolizumab+platinum+pemetrexed</w:t>
      </w:r>
      <w:proofErr w:type="spellEnd"/>
      <w:r w:rsidRPr="00243081">
        <w:rPr>
          <w:rFonts w:asciiTheme="minorHAnsi" w:hAnsiTheme="minorHAnsi"/>
          <w:bCs/>
          <w:lang w:val="en-GB"/>
        </w:rPr>
        <w:t xml:space="preserve"> </w:t>
      </w:r>
      <w:r w:rsidR="00774096" w:rsidRPr="00243081">
        <w:rPr>
          <w:rFonts w:asciiTheme="minorHAnsi" w:hAnsiTheme="minorHAnsi"/>
          <w:bCs/>
          <w:lang w:val="en-GB"/>
        </w:rPr>
        <w:t xml:space="preserve">could not be considered </w:t>
      </w:r>
      <w:r w:rsidRPr="00243081">
        <w:rPr>
          <w:rFonts w:asciiTheme="minorHAnsi" w:hAnsiTheme="minorHAnsi"/>
          <w:bCs/>
          <w:lang w:val="en-GB"/>
        </w:rPr>
        <w:t xml:space="preserve">superior to </w:t>
      </w:r>
      <w:proofErr w:type="spellStart"/>
      <w:r w:rsidRPr="00243081">
        <w:rPr>
          <w:rFonts w:asciiTheme="minorHAnsi" w:hAnsiTheme="minorHAnsi"/>
          <w:bCs/>
          <w:lang w:val="en-GB"/>
        </w:rPr>
        <w:t>pembrolizumab</w:t>
      </w:r>
      <w:proofErr w:type="spellEnd"/>
      <w:r w:rsidRPr="00243081">
        <w:rPr>
          <w:rFonts w:asciiTheme="minorHAnsi" w:hAnsiTheme="minorHAnsi"/>
          <w:bCs/>
          <w:lang w:val="en-GB"/>
        </w:rPr>
        <w:t xml:space="preserve"> monotherapy in terms of effectiveness</w:t>
      </w:r>
      <w:r w:rsidR="00774096" w:rsidRPr="00243081">
        <w:rPr>
          <w:rFonts w:asciiTheme="minorHAnsi" w:hAnsiTheme="minorHAnsi"/>
          <w:bCs/>
          <w:lang w:val="en-GB"/>
        </w:rPr>
        <w:t xml:space="preserve"> and was likely inferior in terms of adverse effects</w:t>
      </w:r>
      <w:r w:rsidRPr="00243081">
        <w:rPr>
          <w:rFonts w:asciiTheme="minorHAnsi" w:hAnsiTheme="minorHAnsi"/>
          <w:bCs/>
          <w:lang w:val="en-GB"/>
        </w:rPr>
        <w:t>.</w:t>
      </w:r>
      <w:r w:rsidR="00774096" w:rsidRPr="00243081">
        <w:rPr>
          <w:rFonts w:asciiTheme="minorHAnsi" w:hAnsiTheme="minorHAnsi"/>
          <w:bCs/>
          <w:lang w:val="en-GB"/>
        </w:rPr>
        <w:t xml:space="preserve"> For the TPS &lt;50% subgroup, it was uncertain whether the combination of </w:t>
      </w:r>
      <w:proofErr w:type="spellStart"/>
      <w:r w:rsidR="00774096" w:rsidRPr="00243081">
        <w:rPr>
          <w:rFonts w:asciiTheme="minorHAnsi" w:hAnsiTheme="minorHAnsi"/>
          <w:bCs/>
          <w:lang w:val="en-GB"/>
        </w:rPr>
        <w:t>pembrolizumab</w:t>
      </w:r>
      <w:proofErr w:type="spellEnd"/>
      <w:r w:rsidR="00774096" w:rsidRPr="00243081">
        <w:rPr>
          <w:rFonts w:asciiTheme="minorHAnsi" w:hAnsiTheme="minorHAnsi"/>
          <w:bCs/>
          <w:lang w:val="en-GB"/>
        </w:rPr>
        <w:t xml:space="preserve"> with doublet chemotherapy conferred an advantage over sequential use chemotherapy followed by </w:t>
      </w:r>
      <w:proofErr w:type="spellStart"/>
      <w:r w:rsidR="00774096" w:rsidRPr="00243081">
        <w:rPr>
          <w:rFonts w:asciiTheme="minorHAnsi" w:hAnsiTheme="minorHAnsi"/>
          <w:bCs/>
          <w:lang w:val="en-GB"/>
        </w:rPr>
        <w:t>pembrolizumab</w:t>
      </w:r>
      <w:proofErr w:type="spellEnd"/>
      <w:r w:rsidR="00774096" w:rsidRPr="00243081">
        <w:rPr>
          <w:rFonts w:asciiTheme="minorHAnsi" w:hAnsiTheme="minorHAnsi"/>
          <w:bCs/>
          <w:lang w:val="en-GB"/>
        </w:rPr>
        <w:t xml:space="preserve"> (or other PD1/PD-</w:t>
      </w:r>
      <w:r w:rsidR="00DD2B0F" w:rsidRPr="00243081">
        <w:rPr>
          <w:rFonts w:asciiTheme="minorHAnsi" w:hAnsiTheme="minorHAnsi"/>
          <w:bCs/>
          <w:lang w:val="en-GB"/>
        </w:rPr>
        <w:t>(</w:t>
      </w:r>
      <w:r w:rsidR="00774096" w:rsidRPr="00243081">
        <w:rPr>
          <w:rFonts w:asciiTheme="minorHAnsi" w:hAnsiTheme="minorHAnsi"/>
          <w:bCs/>
          <w:lang w:val="en-GB"/>
        </w:rPr>
        <w:t>L</w:t>
      </w:r>
      <w:proofErr w:type="gramStart"/>
      <w:r w:rsidR="00DD2B0F" w:rsidRPr="00243081">
        <w:rPr>
          <w:rFonts w:asciiTheme="minorHAnsi" w:hAnsiTheme="minorHAnsi"/>
          <w:bCs/>
          <w:lang w:val="en-GB"/>
        </w:rPr>
        <w:t>)</w:t>
      </w:r>
      <w:r w:rsidR="00774096" w:rsidRPr="00243081">
        <w:rPr>
          <w:rFonts w:asciiTheme="minorHAnsi" w:hAnsiTheme="minorHAnsi"/>
          <w:bCs/>
          <w:lang w:val="en-GB"/>
        </w:rPr>
        <w:t>1</w:t>
      </w:r>
      <w:proofErr w:type="gramEnd"/>
      <w:r w:rsidR="00774096" w:rsidRPr="00243081">
        <w:rPr>
          <w:rFonts w:asciiTheme="minorHAnsi" w:hAnsiTheme="minorHAnsi"/>
          <w:bCs/>
          <w:lang w:val="en-GB"/>
        </w:rPr>
        <w:t xml:space="preserve"> inhibitors).</w:t>
      </w:r>
    </w:p>
    <w:p w:rsidR="009A38D3" w:rsidRPr="00243081" w:rsidRDefault="00122D3E" w:rsidP="00CE738A">
      <w:pPr>
        <w:numPr>
          <w:ilvl w:val="1"/>
          <w:numId w:val="3"/>
        </w:numPr>
        <w:spacing w:after="120"/>
        <w:rPr>
          <w:rFonts w:asciiTheme="minorHAnsi" w:hAnsiTheme="minorHAnsi"/>
          <w:bCs/>
          <w:lang w:val="en-GB"/>
        </w:rPr>
      </w:pPr>
      <w:r w:rsidRPr="00243081">
        <w:rPr>
          <w:rFonts w:asciiTheme="minorHAnsi" w:hAnsiTheme="minorHAnsi"/>
          <w:bCs/>
          <w:lang w:val="en-GB"/>
        </w:rPr>
        <w:t>Regarding the economic analysis f</w:t>
      </w:r>
      <w:r w:rsidR="0020380A" w:rsidRPr="00243081">
        <w:rPr>
          <w:rFonts w:asciiTheme="minorHAnsi" w:hAnsiTheme="minorHAnsi"/>
          <w:bCs/>
          <w:lang w:val="en-GB"/>
        </w:rPr>
        <w:t>or the PD-L1 TPS &lt;50% sub</w:t>
      </w:r>
      <w:r w:rsidRPr="00243081">
        <w:rPr>
          <w:rFonts w:asciiTheme="minorHAnsi" w:hAnsiTheme="minorHAnsi"/>
          <w:bCs/>
          <w:lang w:val="en-GB"/>
        </w:rPr>
        <w:t xml:space="preserve">group, the PBAC agreed with the ESC that the </w:t>
      </w:r>
      <w:r w:rsidR="00CE738A" w:rsidRPr="00243081">
        <w:rPr>
          <w:rFonts w:asciiTheme="minorHAnsi" w:hAnsiTheme="minorHAnsi"/>
          <w:bCs/>
          <w:lang w:val="en-GB"/>
        </w:rPr>
        <w:t xml:space="preserve">extrapolation method, which applied a constant hazard ratio to the treatment effect until week 152, based on trial data with a maximum follow up of less than 2 years, and a median follow up of less than one year, was uncertain. The PBAC noted that the assumed hazard ratio from week 152 until the end of the modelled time horizon of 7.5 years remained less than one (favourable to </w:t>
      </w:r>
      <w:proofErr w:type="spellStart"/>
      <w:r w:rsidR="00CE738A" w:rsidRPr="00243081">
        <w:rPr>
          <w:rFonts w:asciiTheme="minorHAnsi" w:hAnsiTheme="minorHAnsi"/>
          <w:bCs/>
          <w:lang w:val="en-GB"/>
        </w:rPr>
        <w:t>pembrolizumab+platinum+pemetrexed</w:t>
      </w:r>
      <w:proofErr w:type="spellEnd"/>
      <w:r w:rsidR="00CE738A" w:rsidRPr="00243081">
        <w:rPr>
          <w:rFonts w:asciiTheme="minorHAnsi" w:hAnsiTheme="minorHAnsi"/>
          <w:bCs/>
          <w:lang w:val="en-GB"/>
        </w:rPr>
        <w:t xml:space="preserve">). The PBAC considered that this approach was not conservative and likely underestimated the ICER. </w:t>
      </w:r>
    </w:p>
    <w:p w:rsidR="00CE738A" w:rsidRPr="00243081" w:rsidRDefault="00CE738A" w:rsidP="00CE738A">
      <w:pPr>
        <w:numPr>
          <w:ilvl w:val="1"/>
          <w:numId w:val="3"/>
        </w:numPr>
        <w:spacing w:after="120"/>
        <w:rPr>
          <w:rFonts w:asciiTheme="minorHAnsi" w:hAnsiTheme="minorHAnsi"/>
          <w:bCs/>
          <w:lang w:val="en-GB"/>
        </w:rPr>
      </w:pPr>
      <w:r w:rsidRPr="00243081">
        <w:rPr>
          <w:rFonts w:asciiTheme="minorHAnsi" w:hAnsiTheme="minorHAnsi"/>
          <w:bCs/>
          <w:lang w:val="en-GB"/>
        </w:rPr>
        <w:t xml:space="preserve">The PBAC agreed with the ESC that separately fitting OS extrapolations may be more appropriate, but considered that any extrapolation out to 7.5 years that maintained a </w:t>
      </w:r>
      <w:r w:rsidRPr="00243081">
        <w:rPr>
          <w:rFonts w:asciiTheme="minorHAnsi" w:hAnsiTheme="minorHAnsi"/>
          <w:bCs/>
          <w:lang w:val="en-GB"/>
        </w:rPr>
        <w:lastRenderedPageBreak/>
        <w:t>substantial separation of the survival curves to be uncertain in the context of the maturity of the trial data.</w:t>
      </w:r>
    </w:p>
    <w:p w:rsidR="00CE738A" w:rsidRPr="00243081" w:rsidRDefault="00CE738A" w:rsidP="00F71FBE">
      <w:pPr>
        <w:numPr>
          <w:ilvl w:val="1"/>
          <w:numId w:val="3"/>
        </w:numPr>
        <w:spacing w:after="120"/>
        <w:rPr>
          <w:rFonts w:asciiTheme="minorHAnsi" w:hAnsiTheme="minorHAnsi"/>
          <w:bCs/>
          <w:lang w:val="en-GB"/>
        </w:rPr>
      </w:pPr>
      <w:r w:rsidRPr="00243081">
        <w:rPr>
          <w:rFonts w:asciiTheme="minorHAnsi" w:hAnsiTheme="minorHAnsi"/>
          <w:bCs/>
          <w:lang w:val="en-GB"/>
        </w:rPr>
        <w:t>The PBAC noted that, if the subsequent use of PD-(L)1 inhibitors in the key trial differed from use in the Australian setting, then the treatment effect</w:t>
      </w:r>
      <w:r w:rsidR="00F71FBE" w:rsidRPr="00243081">
        <w:rPr>
          <w:rFonts w:asciiTheme="minorHAnsi" w:hAnsiTheme="minorHAnsi"/>
          <w:bCs/>
          <w:lang w:val="en-GB"/>
        </w:rPr>
        <w:t xml:space="preserve"> observed in the key trial may </w:t>
      </w:r>
      <w:r w:rsidR="006C6C0C" w:rsidRPr="00243081">
        <w:rPr>
          <w:rFonts w:asciiTheme="minorHAnsi" w:hAnsiTheme="minorHAnsi"/>
          <w:bCs/>
          <w:lang w:val="en-GB"/>
        </w:rPr>
        <w:t xml:space="preserve">also </w:t>
      </w:r>
      <w:r w:rsidR="00F71FBE" w:rsidRPr="00243081">
        <w:rPr>
          <w:rFonts w:asciiTheme="minorHAnsi" w:hAnsiTheme="minorHAnsi"/>
          <w:bCs/>
          <w:lang w:val="en-GB"/>
        </w:rPr>
        <w:t>differ</w:t>
      </w:r>
      <w:r w:rsidR="006C6C0C" w:rsidRPr="00243081">
        <w:rPr>
          <w:rFonts w:asciiTheme="minorHAnsi" w:hAnsiTheme="minorHAnsi"/>
          <w:bCs/>
          <w:lang w:val="en-GB"/>
        </w:rPr>
        <w:t xml:space="preserve"> in Australian practice</w:t>
      </w:r>
      <w:r w:rsidR="00F71FBE" w:rsidRPr="00243081">
        <w:rPr>
          <w:rFonts w:asciiTheme="minorHAnsi" w:hAnsiTheme="minorHAnsi"/>
          <w:bCs/>
          <w:lang w:val="en-GB"/>
        </w:rPr>
        <w:t>, and this will affect the estimate of the ICER. The PBAC noted that the proportion of patients in KN-189 who crossed over was reported for the ITT population, but could not be located for the PD-L1 TPS &lt;50% subgroup.</w:t>
      </w:r>
    </w:p>
    <w:p w:rsidR="00F81455" w:rsidRPr="00243081" w:rsidRDefault="00CE738A" w:rsidP="00F81455">
      <w:pPr>
        <w:numPr>
          <w:ilvl w:val="1"/>
          <w:numId w:val="3"/>
        </w:numPr>
        <w:spacing w:after="120"/>
        <w:rPr>
          <w:rFonts w:asciiTheme="minorHAnsi" w:hAnsiTheme="minorHAnsi"/>
          <w:bCs/>
          <w:lang w:val="en-GB"/>
        </w:rPr>
      </w:pPr>
      <w:r w:rsidRPr="00243081">
        <w:rPr>
          <w:rFonts w:asciiTheme="minorHAnsi" w:hAnsiTheme="minorHAnsi"/>
          <w:bCs/>
          <w:lang w:val="en-GB"/>
        </w:rPr>
        <w:t xml:space="preserve">The PBAC noted that the economic analysis for the PD-L1 TPS &lt;50% subgroup was sensitive to </w:t>
      </w:r>
      <w:r w:rsidR="00F71FBE" w:rsidRPr="00243081">
        <w:rPr>
          <w:rFonts w:asciiTheme="minorHAnsi" w:hAnsiTheme="minorHAnsi"/>
          <w:bCs/>
          <w:lang w:val="en-GB"/>
        </w:rPr>
        <w:t>the choice of extrapolation</w:t>
      </w:r>
      <w:r w:rsidR="00F81455" w:rsidRPr="00243081">
        <w:rPr>
          <w:rFonts w:asciiTheme="minorHAnsi" w:hAnsiTheme="minorHAnsi"/>
          <w:bCs/>
          <w:lang w:val="en-GB"/>
        </w:rPr>
        <w:t xml:space="preserve"> function</w:t>
      </w:r>
      <w:r w:rsidR="00F71FBE" w:rsidRPr="00243081">
        <w:rPr>
          <w:rFonts w:asciiTheme="minorHAnsi" w:hAnsiTheme="minorHAnsi"/>
          <w:bCs/>
          <w:lang w:val="en-GB"/>
        </w:rPr>
        <w:t xml:space="preserve"> and to the</w:t>
      </w:r>
      <w:r w:rsidR="00F81455" w:rsidRPr="00243081">
        <w:rPr>
          <w:rFonts w:asciiTheme="minorHAnsi" w:hAnsiTheme="minorHAnsi"/>
          <w:bCs/>
          <w:lang w:val="en-GB"/>
        </w:rPr>
        <w:t xml:space="preserve"> extent of cost-offsets from second-line treatment with PD-(L</w:t>
      </w:r>
      <w:proofErr w:type="gramStart"/>
      <w:r w:rsidR="00F81455" w:rsidRPr="00243081">
        <w:rPr>
          <w:rFonts w:asciiTheme="minorHAnsi" w:hAnsiTheme="minorHAnsi"/>
          <w:bCs/>
          <w:lang w:val="en-GB"/>
        </w:rPr>
        <w:t>)1</w:t>
      </w:r>
      <w:proofErr w:type="gramEnd"/>
      <w:r w:rsidR="00F81455" w:rsidRPr="00243081">
        <w:rPr>
          <w:rFonts w:asciiTheme="minorHAnsi" w:hAnsiTheme="minorHAnsi"/>
          <w:bCs/>
          <w:lang w:val="en-GB"/>
        </w:rPr>
        <w:t xml:space="preserve"> therapies</w:t>
      </w:r>
      <w:r w:rsidR="00BB07C9" w:rsidRPr="00243081">
        <w:rPr>
          <w:rFonts w:asciiTheme="minorHAnsi" w:hAnsiTheme="minorHAnsi"/>
          <w:bCs/>
          <w:lang w:val="en-GB"/>
        </w:rPr>
        <w:t>, and considered that both of these estimates were uncertain</w:t>
      </w:r>
      <w:r w:rsidR="00F81455" w:rsidRPr="00243081">
        <w:rPr>
          <w:rFonts w:asciiTheme="minorHAnsi" w:hAnsiTheme="minorHAnsi"/>
          <w:bCs/>
          <w:lang w:val="en-GB"/>
        </w:rPr>
        <w:t>.</w:t>
      </w:r>
    </w:p>
    <w:p w:rsidR="00E36BB4" w:rsidRPr="00243081" w:rsidRDefault="00F81455" w:rsidP="00524867">
      <w:pPr>
        <w:numPr>
          <w:ilvl w:val="1"/>
          <w:numId w:val="3"/>
        </w:numPr>
        <w:spacing w:after="120"/>
        <w:rPr>
          <w:rFonts w:asciiTheme="minorHAnsi" w:hAnsiTheme="minorHAnsi"/>
          <w:bCs/>
          <w:lang w:val="en-GB"/>
        </w:rPr>
      </w:pPr>
      <w:r w:rsidRPr="00243081">
        <w:rPr>
          <w:rFonts w:asciiTheme="minorHAnsi" w:hAnsiTheme="minorHAnsi"/>
          <w:bCs/>
          <w:lang w:val="en-GB"/>
        </w:rPr>
        <w:t>Based on the immaturity of the data and the uncertainty regarding the comparability of subsequent use of PD-(L</w:t>
      </w:r>
      <w:proofErr w:type="gramStart"/>
      <w:r w:rsidRPr="00243081">
        <w:rPr>
          <w:rFonts w:asciiTheme="minorHAnsi" w:hAnsiTheme="minorHAnsi"/>
          <w:bCs/>
          <w:lang w:val="en-GB"/>
        </w:rPr>
        <w:t>)1</w:t>
      </w:r>
      <w:proofErr w:type="gramEnd"/>
      <w:r w:rsidRPr="00243081">
        <w:rPr>
          <w:rFonts w:asciiTheme="minorHAnsi" w:hAnsiTheme="minorHAnsi"/>
          <w:bCs/>
          <w:lang w:val="en-GB"/>
        </w:rPr>
        <w:t xml:space="preserve"> inhibitors in KN-189 in the PD-L1 TPS &lt;50% subgroup and in the Australian setting, the PBAC considered a</w:t>
      </w:r>
      <w:r w:rsidR="005858CC" w:rsidRPr="00243081">
        <w:rPr>
          <w:rFonts w:asciiTheme="minorHAnsi" w:hAnsiTheme="minorHAnsi"/>
          <w:bCs/>
          <w:lang w:val="en-GB"/>
        </w:rPr>
        <w:t xml:space="preserve"> more</w:t>
      </w:r>
      <w:r w:rsidRPr="00243081">
        <w:rPr>
          <w:rFonts w:asciiTheme="minorHAnsi" w:hAnsiTheme="minorHAnsi"/>
          <w:bCs/>
          <w:lang w:val="en-GB"/>
        </w:rPr>
        <w:t xml:space="preserve"> appropriate approach </w:t>
      </w:r>
      <w:r w:rsidR="005858CC" w:rsidRPr="00243081">
        <w:rPr>
          <w:rFonts w:asciiTheme="minorHAnsi" w:hAnsiTheme="minorHAnsi"/>
          <w:bCs/>
          <w:lang w:val="en-GB"/>
        </w:rPr>
        <w:t xml:space="preserve">may be to </w:t>
      </w:r>
      <w:r w:rsidR="00524867" w:rsidRPr="00243081">
        <w:rPr>
          <w:rFonts w:asciiTheme="minorHAnsi" w:hAnsiTheme="minorHAnsi"/>
          <w:bCs/>
          <w:lang w:val="en-GB"/>
        </w:rPr>
        <w:t xml:space="preserve">allow </w:t>
      </w:r>
      <w:proofErr w:type="spellStart"/>
      <w:r w:rsidR="00524867" w:rsidRPr="00243081">
        <w:rPr>
          <w:rFonts w:asciiTheme="minorHAnsi" w:hAnsiTheme="minorHAnsi"/>
          <w:bCs/>
          <w:lang w:val="en-GB"/>
        </w:rPr>
        <w:t>pembrolizumab</w:t>
      </w:r>
      <w:proofErr w:type="spellEnd"/>
      <w:r w:rsidR="00524867" w:rsidRPr="00243081">
        <w:rPr>
          <w:rFonts w:asciiTheme="minorHAnsi" w:hAnsiTheme="minorHAnsi"/>
          <w:bCs/>
          <w:lang w:val="en-GB"/>
        </w:rPr>
        <w:t xml:space="preserve"> use in this setting at a price/cost that is aligned to the cost of second line PD-(L)1 inhibitors.</w:t>
      </w:r>
    </w:p>
    <w:p w:rsidR="00E36BB4" w:rsidRPr="00243081" w:rsidRDefault="00E36BB4" w:rsidP="00E36BB4">
      <w:pPr>
        <w:numPr>
          <w:ilvl w:val="1"/>
          <w:numId w:val="3"/>
        </w:numPr>
        <w:spacing w:after="120"/>
        <w:rPr>
          <w:rFonts w:asciiTheme="minorHAnsi" w:hAnsiTheme="minorHAnsi"/>
          <w:bCs/>
          <w:lang w:val="en-GB"/>
        </w:rPr>
      </w:pPr>
      <w:r w:rsidRPr="00243081">
        <w:rPr>
          <w:rFonts w:asciiTheme="minorHAnsi" w:hAnsiTheme="minorHAnsi"/>
          <w:bCs/>
          <w:lang w:val="en-GB"/>
        </w:rPr>
        <w:t xml:space="preserve">Regarding the economic analysis for the PD-L1 TPS ≥50% group, the PBAC considered a cost-utility analysis inappropriate in the context of a highly uncertain indirect comparison, based on subgroups with questionable transitivity, and with no significant difference in treatment effect between </w:t>
      </w:r>
      <w:proofErr w:type="spellStart"/>
      <w:r w:rsidRPr="00243081">
        <w:rPr>
          <w:rFonts w:asciiTheme="minorHAnsi" w:hAnsiTheme="minorHAnsi"/>
          <w:bCs/>
          <w:lang w:val="en-GB"/>
        </w:rPr>
        <w:t>pembrolizumab</w:t>
      </w:r>
      <w:proofErr w:type="spellEnd"/>
      <w:r w:rsidRPr="00243081">
        <w:rPr>
          <w:rFonts w:asciiTheme="minorHAnsi" w:hAnsiTheme="minorHAnsi"/>
          <w:bCs/>
          <w:lang w:val="en-GB"/>
        </w:rPr>
        <w:t xml:space="preserve"> monotherapy and </w:t>
      </w:r>
      <w:proofErr w:type="spellStart"/>
      <w:r w:rsidRPr="00243081">
        <w:rPr>
          <w:rFonts w:asciiTheme="minorHAnsi" w:hAnsiTheme="minorHAnsi"/>
          <w:bCs/>
          <w:lang w:val="en-GB"/>
        </w:rPr>
        <w:t>pembrolizumab+platinum+pemetrexed</w:t>
      </w:r>
      <w:proofErr w:type="spellEnd"/>
      <w:r w:rsidRPr="00243081">
        <w:rPr>
          <w:rFonts w:asciiTheme="minorHAnsi" w:hAnsiTheme="minorHAnsi"/>
          <w:bCs/>
          <w:lang w:val="en-GB"/>
        </w:rPr>
        <w:t xml:space="preserve">. Applying a cost utility approach, and modelling no difference in treatment effect, the resulting ICER is dominated due to the inferior safety profile of </w:t>
      </w:r>
      <w:proofErr w:type="spellStart"/>
      <w:r w:rsidRPr="00243081">
        <w:rPr>
          <w:rFonts w:asciiTheme="minorHAnsi" w:hAnsiTheme="minorHAnsi"/>
          <w:bCs/>
          <w:lang w:val="en-GB"/>
        </w:rPr>
        <w:t>pembrolizumab+platinum+pemetrexed</w:t>
      </w:r>
      <w:proofErr w:type="spellEnd"/>
      <w:r w:rsidRPr="00243081">
        <w:rPr>
          <w:rFonts w:asciiTheme="minorHAnsi" w:hAnsiTheme="minorHAnsi"/>
          <w:bCs/>
          <w:lang w:val="en-GB"/>
        </w:rPr>
        <w:t>.</w:t>
      </w:r>
    </w:p>
    <w:p w:rsidR="00E36BB4" w:rsidRPr="00243081" w:rsidRDefault="00E36BB4" w:rsidP="00E36BB4">
      <w:pPr>
        <w:numPr>
          <w:ilvl w:val="1"/>
          <w:numId w:val="3"/>
        </w:numPr>
        <w:spacing w:after="120"/>
        <w:rPr>
          <w:rFonts w:asciiTheme="minorHAnsi" w:hAnsiTheme="minorHAnsi"/>
          <w:bCs/>
          <w:lang w:val="en-GB"/>
        </w:rPr>
      </w:pPr>
      <w:r w:rsidRPr="00243081">
        <w:rPr>
          <w:rFonts w:asciiTheme="minorHAnsi" w:hAnsiTheme="minorHAnsi"/>
          <w:bCs/>
          <w:lang w:val="en-GB"/>
        </w:rPr>
        <w:t>The PBAC agreed with ESC that a cost-minimisation approach would be more appropriate</w:t>
      </w:r>
      <w:r w:rsidR="00BC69B8" w:rsidRPr="00243081">
        <w:rPr>
          <w:rFonts w:asciiTheme="minorHAnsi" w:hAnsiTheme="minorHAnsi"/>
          <w:bCs/>
          <w:lang w:val="en-GB"/>
        </w:rPr>
        <w:t xml:space="preserve"> for this patient group.</w:t>
      </w:r>
    </w:p>
    <w:p w:rsidR="00524867" w:rsidRPr="00243081" w:rsidRDefault="00BB07C9" w:rsidP="00524867">
      <w:pPr>
        <w:numPr>
          <w:ilvl w:val="1"/>
          <w:numId w:val="3"/>
        </w:numPr>
        <w:spacing w:after="120"/>
        <w:rPr>
          <w:rFonts w:asciiTheme="minorHAnsi" w:hAnsiTheme="minorHAnsi"/>
          <w:bCs/>
          <w:lang w:val="en-GB"/>
        </w:rPr>
      </w:pPr>
      <w:r w:rsidRPr="00243081">
        <w:rPr>
          <w:rFonts w:asciiTheme="minorHAnsi" w:hAnsiTheme="minorHAnsi"/>
          <w:bCs/>
          <w:lang w:val="en-GB"/>
        </w:rPr>
        <w:t xml:space="preserve">The </w:t>
      </w:r>
      <w:r w:rsidR="00524867" w:rsidRPr="00243081">
        <w:rPr>
          <w:rFonts w:asciiTheme="minorHAnsi" w:hAnsiTheme="minorHAnsi"/>
          <w:bCs/>
          <w:lang w:val="en-GB"/>
        </w:rPr>
        <w:t xml:space="preserve">PBAC </w:t>
      </w:r>
      <w:r w:rsidRPr="00243081">
        <w:rPr>
          <w:rFonts w:asciiTheme="minorHAnsi" w:hAnsiTheme="minorHAnsi"/>
          <w:bCs/>
          <w:lang w:val="en-GB"/>
        </w:rPr>
        <w:t xml:space="preserve">also noted that the newly available evidence from KN042 which involved 599 patients with PD-L1 TPS ≥50% (receiving either </w:t>
      </w:r>
      <w:proofErr w:type="spellStart"/>
      <w:r w:rsidRPr="00243081">
        <w:rPr>
          <w:rFonts w:asciiTheme="minorHAnsi" w:hAnsiTheme="minorHAnsi"/>
          <w:bCs/>
          <w:lang w:val="en-GB"/>
        </w:rPr>
        <w:t>pembrolizumab</w:t>
      </w:r>
      <w:proofErr w:type="spellEnd"/>
      <w:r w:rsidRPr="00243081">
        <w:rPr>
          <w:rFonts w:asciiTheme="minorHAnsi" w:hAnsiTheme="minorHAnsi"/>
          <w:bCs/>
          <w:lang w:val="en-GB"/>
        </w:rPr>
        <w:t xml:space="preserve"> monotherapy or chemotherapy), while still showing </w:t>
      </w:r>
      <w:proofErr w:type="spellStart"/>
      <w:r w:rsidRPr="00243081">
        <w:rPr>
          <w:rFonts w:asciiTheme="minorHAnsi" w:hAnsiTheme="minorHAnsi"/>
          <w:bCs/>
          <w:lang w:val="en-GB"/>
        </w:rPr>
        <w:t>pembrolizumab</w:t>
      </w:r>
      <w:proofErr w:type="spellEnd"/>
      <w:r w:rsidRPr="00243081">
        <w:rPr>
          <w:rFonts w:asciiTheme="minorHAnsi" w:hAnsiTheme="minorHAnsi"/>
          <w:bCs/>
          <w:lang w:val="en-GB"/>
        </w:rPr>
        <w:t xml:space="preserve"> treatment to result in significantly better overall survival than chemotherapy, appeared to show a lower absolute incremental benefit than in KN024. The </w:t>
      </w:r>
      <w:r w:rsidR="00524867" w:rsidRPr="00243081">
        <w:rPr>
          <w:rFonts w:asciiTheme="minorHAnsi" w:hAnsiTheme="minorHAnsi"/>
          <w:bCs/>
          <w:lang w:val="en-GB"/>
        </w:rPr>
        <w:t xml:space="preserve">PBAC </w:t>
      </w:r>
      <w:r w:rsidRPr="00243081">
        <w:rPr>
          <w:rFonts w:asciiTheme="minorHAnsi" w:hAnsiTheme="minorHAnsi"/>
          <w:bCs/>
          <w:lang w:val="en-GB"/>
        </w:rPr>
        <w:t>noted the arguments put forward by MSD in its 1 October</w:t>
      </w:r>
      <w:r w:rsidR="002F061A" w:rsidRPr="00243081">
        <w:rPr>
          <w:rFonts w:asciiTheme="minorHAnsi" w:hAnsiTheme="minorHAnsi"/>
          <w:bCs/>
          <w:lang w:val="en-GB"/>
        </w:rPr>
        <w:t xml:space="preserve"> 2018</w:t>
      </w:r>
      <w:r w:rsidRPr="00243081">
        <w:rPr>
          <w:rFonts w:asciiTheme="minorHAnsi" w:hAnsiTheme="minorHAnsi"/>
          <w:bCs/>
          <w:lang w:val="en-GB"/>
        </w:rPr>
        <w:t xml:space="preserve"> response to a request from the Department for further information </w:t>
      </w:r>
      <w:r w:rsidR="0061086A" w:rsidRPr="00243081">
        <w:rPr>
          <w:rFonts w:asciiTheme="minorHAnsi" w:hAnsiTheme="minorHAnsi"/>
          <w:bCs/>
          <w:lang w:val="en-GB"/>
        </w:rPr>
        <w:t xml:space="preserve">and an updated economic model for </w:t>
      </w:r>
      <w:proofErr w:type="spellStart"/>
      <w:r w:rsidR="0061086A" w:rsidRPr="00243081">
        <w:rPr>
          <w:rFonts w:asciiTheme="minorHAnsi" w:hAnsiTheme="minorHAnsi"/>
          <w:bCs/>
          <w:lang w:val="en-GB"/>
        </w:rPr>
        <w:t>pembrolizumab</w:t>
      </w:r>
      <w:proofErr w:type="spellEnd"/>
      <w:r w:rsidR="0061086A" w:rsidRPr="00243081">
        <w:rPr>
          <w:rFonts w:asciiTheme="minorHAnsi" w:hAnsiTheme="minorHAnsi"/>
          <w:bCs/>
          <w:lang w:val="en-GB"/>
        </w:rPr>
        <w:t xml:space="preserve"> monotherapy… incorporating the results from KN042. </w:t>
      </w:r>
      <w:r w:rsidRPr="00243081">
        <w:rPr>
          <w:rFonts w:asciiTheme="minorHAnsi" w:hAnsiTheme="minorHAnsi"/>
          <w:bCs/>
          <w:lang w:val="en-GB"/>
        </w:rPr>
        <w:t>.</w:t>
      </w:r>
      <w:r w:rsidR="00524867" w:rsidRPr="00243081">
        <w:rPr>
          <w:rFonts w:asciiTheme="minorHAnsi" w:hAnsiTheme="minorHAnsi"/>
          <w:bCs/>
          <w:lang w:val="en-GB"/>
        </w:rPr>
        <w:t xml:space="preserve">  The PBAC further noted that in its pre-PBAC response, </w:t>
      </w:r>
      <w:r w:rsidR="00524867" w:rsidRPr="00243081">
        <w:t>MSD acknowledged that th</w:t>
      </w:r>
      <w:r w:rsidR="0061086A" w:rsidRPr="00243081">
        <w:t xml:space="preserve">at new </w:t>
      </w:r>
      <w:proofErr w:type="gramStart"/>
      <w:r w:rsidR="0061086A" w:rsidRPr="00243081">
        <w:t xml:space="preserve">economic </w:t>
      </w:r>
      <w:r w:rsidR="00524867" w:rsidRPr="00243081">
        <w:t xml:space="preserve"> analyses</w:t>
      </w:r>
      <w:proofErr w:type="gramEnd"/>
      <w:r w:rsidR="00524867" w:rsidRPr="00243081">
        <w:t xml:space="preserve"> are relevant to the KN024 value proposition but does not currently have access to a KN042 economic model to submit at this time. </w:t>
      </w:r>
    </w:p>
    <w:p w:rsidR="00145C7E" w:rsidRPr="00243081" w:rsidRDefault="00BB07C9" w:rsidP="00524867">
      <w:pPr>
        <w:numPr>
          <w:ilvl w:val="1"/>
          <w:numId w:val="3"/>
        </w:numPr>
        <w:spacing w:after="120"/>
        <w:rPr>
          <w:rFonts w:asciiTheme="minorHAnsi" w:hAnsiTheme="minorHAnsi"/>
          <w:bCs/>
          <w:lang w:val="en-GB"/>
        </w:rPr>
      </w:pPr>
      <w:r w:rsidRPr="00243081">
        <w:rPr>
          <w:rFonts w:asciiTheme="minorHAnsi" w:hAnsiTheme="minorHAnsi"/>
          <w:bCs/>
          <w:lang w:val="en-GB"/>
        </w:rPr>
        <w:t xml:space="preserve">The </w:t>
      </w:r>
      <w:r w:rsidR="00524867" w:rsidRPr="00243081">
        <w:rPr>
          <w:rFonts w:asciiTheme="minorHAnsi" w:hAnsiTheme="minorHAnsi"/>
          <w:bCs/>
          <w:lang w:val="en-GB"/>
        </w:rPr>
        <w:t xml:space="preserve">PBAC agreed that it </w:t>
      </w:r>
      <w:r w:rsidR="00415215" w:rsidRPr="00243081">
        <w:rPr>
          <w:rFonts w:asciiTheme="minorHAnsi" w:hAnsiTheme="minorHAnsi"/>
          <w:bCs/>
          <w:lang w:val="en-GB"/>
        </w:rPr>
        <w:t>is important</w:t>
      </w:r>
      <w:r w:rsidRPr="00243081">
        <w:rPr>
          <w:rFonts w:asciiTheme="minorHAnsi" w:hAnsiTheme="minorHAnsi"/>
          <w:bCs/>
          <w:lang w:val="en-GB"/>
        </w:rPr>
        <w:t xml:space="preserve"> for the economi</w:t>
      </w:r>
      <w:r w:rsidR="002F061A" w:rsidRPr="00243081">
        <w:rPr>
          <w:rFonts w:asciiTheme="minorHAnsi" w:hAnsiTheme="minorHAnsi"/>
          <w:bCs/>
          <w:lang w:val="en-GB"/>
        </w:rPr>
        <w:t xml:space="preserve">c model submitted with the </w:t>
      </w:r>
      <w:r w:rsidR="002F061A" w:rsidRPr="00243081">
        <w:rPr>
          <w:rFonts w:asciiTheme="minorHAnsi" w:hAnsiTheme="minorHAnsi"/>
          <w:bCs/>
          <w:lang w:val="en-GB"/>
        </w:rPr>
        <w:lastRenderedPageBreak/>
        <w:t>July </w:t>
      </w:r>
      <w:r w:rsidRPr="00243081">
        <w:rPr>
          <w:rFonts w:asciiTheme="minorHAnsi" w:hAnsiTheme="minorHAnsi"/>
          <w:bCs/>
          <w:lang w:val="en-GB"/>
        </w:rPr>
        <w:t xml:space="preserve">2018 submission for </w:t>
      </w:r>
      <w:proofErr w:type="spellStart"/>
      <w:r w:rsidRPr="00243081">
        <w:rPr>
          <w:rFonts w:asciiTheme="minorHAnsi" w:hAnsiTheme="minorHAnsi"/>
          <w:bCs/>
          <w:lang w:val="en-GB"/>
        </w:rPr>
        <w:t>pembrolizumab</w:t>
      </w:r>
      <w:proofErr w:type="spellEnd"/>
      <w:r w:rsidR="007C6E06" w:rsidRPr="00243081">
        <w:rPr>
          <w:rFonts w:asciiTheme="minorHAnsi" w:hAnsiTheme="minorHAnsi"/>
          <w:bCs/>
          <w:lang w:val="en-GB"/>
        </w:rPr>
        <w:t xml:space="preserve"> monotherapy</w:t>
      </w:r>
      <w:r w:rsidRPr="00243081">
        <w:rPr>
          <w:rFonts w:asciiTheme="minorHAnsi" w:hAnsiTheme="minorHAnsi"/>
          <w:bCs/>
          <w:lang w:val="en-GB"/>
        </w:rPr>
        <w:t xml:space="preserve"> for NSCLC to be re-run incorporating the results from KN042, to determine if these results have an impact on the value proposition put to the PBAC in July 2018 and upon which the value proposition for the PD</w:t>
      </w:r>
      <w:r w:rsidR="007C6E06" w:rsidRPr="00243081">
        <w:rPr>
          <w:rFonts w:asciiTheme="minorHAnsi" w:hAnsiTheme="minorHAnsi"/>
          <w:bCs/>
          <w:lang w:val="en-GB"/>
        </w:rPr>
        <w:t>-</w:t>
      </w:r>
      <w:r w:rsidRPr="00243081">
        <w:rPr>
          <w:rFonts w:asciiTheme="minorHAnsi" w:hAnsiTheme="minorHAnsi"/>
          <w:bCs/>
          <w:lang w:val="en-GB"/>
        </w:rPr>
        <w:t xml:space="preserve">L1 ≥50% subgroup in the current submission is based. </w:t>
      </w:r>
    </w:p>
    <w:p w:rsidR="00524867" w:rsidRPr="00243081" w:rsidRDefault="00524867" w:rsidP="00524867">
      <w:pPr>
        <w:pStyle w:val="ListParagraph"/>
        <w:widowControl/>
        <w:numPr>
          <w:ilvl w:val="1"/>
          <w:numId w:val="3"/>
        </w:numPr>
        <w:rPr>
          <w:iCs/>
        </w:rPr>
      </w:pPr>
      <w:r w:rsidRPr="00243081">
        <w:rPr>
          <w:iCs/>
        </w:rPr>
        <w:t>The PBAC noted the high financial cost associated with the sponsor’s proposed listing.  The PBAC considered the additional costs associated with the listing as presented in the pre-PBAC response appeared implausible as the majority of patients who would be eligible for treatment under the proposed listing are already eligible for treatment with a PD-(L)1 inhibitor before or after platinum doublet therapy. The PBAC requested the sponsor revisit these estimates in any future submission.</w:t>
      </w:r>
    </w:p>
    <w:p w:rsidR="00415215" w:rsidRPr="00243081" w:rsidRDefault="00415215" w:rsidP="00415215">
      <w:pPr>
        <w:numPr>
          <w:ilvl w:val="1"/>
          <w:numId w:val="3"/>
        </w:numPr>
        <w:spacing w:after="120"/>
      </w:pPr>
      <w:r w:rsidRPr="00243081">
        <w:t>The PBAC advised the Minister examine the potential for a broad PBS subsidy listing for PD-(L)1 inhibitors for NSCLC, as substantial evidence and experience is now available for four PD-(L)1 medicines in this setting. The PBAC considered there is potential for a NSCLC listing that allows patients of WHO performance status 0 and 1 access to a single course of treatment with a PD-(L)1 inhibitor, irrespective of disease stage (</w:t>
      </w:r>
      <w:proofErr w:type="spellStart"/>
      <w:r w:rsidRPr="00243081">
        <w:t>unresectable</w:t>
      </w:r>
      <w:proofErr w:type="spellEnd"/>
      <w:r w:rsidRPr="00243081">
        <w:t xml:space="preserve"> stage III or IV), biomarker status, line of treatment (adjuvant, 1</w:t>
      </w:r>
      <w:r w:rsidRPr="00243081">
        <w:rPr>
          <w:vertAlign w:val="superscript"/>
        </w:rPr>
        <w:t>st</w:t>
      </w:r>
      <w:r w:rsidRPr="00243081">
        <w:t xml:space="preserve"> or later line), and with or without concomitant cytotoxic therapy. This would allow the decision regarding timing the PD-(L</w:t>
      </w:r>
      <w:proofErr w:type="gramStart"/>
      <w:r w:rsidRPr="00243081">
        <w:t>)1</w:t>
      </w:r>
      <w:proofErr w:type="gramEnd"/>
      <w:r w:rsidRPr="00243081">
        <w:t xml:space="preserve"> inhibitor to be determined by the clinician and patient. The PBAC noted a lack of robust evidence to support the efficacy of sequential courses of PD-(L</w:t>
      </w:r>
      <w:proofErr w:type="gramStart"/>
      <w:r w:rsidRPr="00243081">
        <w:t>)1</w:t>
      </w:r>
      <w:proofErr w:type="gramEnd"/>
      <w:r w:rsidRPr="00243081">
        <w:t xml:space="preserve"> checkpoint inhibitors and considered limiting treatment with a PD-(L)1 to once per lifetime appropriate at this time. </w:t>
      </w:r>
    </w:p>
    <w:p w:rsidR="008720C3" w:rsidRPr="00243081" w:rsidRDefault="006B57AC" w:rsidP="008720C3">
      <w:pPr>
        <w:numPr>
          <w:ilvl w:val="1"/>
          <w:numId w:val="3"/>
        </w:numPr>
        <w:spacing w:after="120"/>
        <w:rPr>
          <w:rFonts w:asciiTheme="minorHAnsi" w:hAnsiTheme="minorHAnsi"/>
          <w:bCs/>
          <w:i/>
          <w:lang w:val="en-GB"/>
        </w:rPr>
      </w:pPr>
      <w:r w:rsidRPr="00243081">
        <w:rPr>
          <w:rFonts w:asciiTheme="minorHAnsi" w:hAnsiTheme="minorHAnsi"/>
          <w:bCs/>
          <w:lang w:val="en-GB"/>
        </w:rPr>
        <w:t xml:space="preserve">The PBAC noted that this submission is eligible for an Independent Review. </w:t>
      </w:r>
    </w:p>
    <w:p w:rsidR="006B57AC" w:rsidRPr="00243081" w:rsidRDefault="006B57AC" w:rsidP="006B57AC">
      <w:pPr>
        <w:spacing w:before="240"/>
        <w:rPr>
          <w:rFonts w:asciiTheme="minorHAnsi" w:hAnsiTheme="minorHAnsi"/>
          <w:b/>
          <w:bCs/>
          <w:lang w:val="en-GB"/>
        </w:rPr>
      </w:pPr>
      <w:r w:rsidRPr="00243081">
        <w:rPr>
          <w:rFonts w:asciiTheme="minorHAnsi" w:hAnsiTheme="minorHAnsi"/>
          <w:b/>
          <w:bCs/>
          <w:lang w:val="en-GB"/>
        </w:rPr>
        <w:t>Outcome:</w:t>
      </w:r>
    </w:p>
    <w:p w:rsidR="00DE5D4E" w:rsidRDefault="008720C3" w:rsidP="00EA29E5">
      <w:pPr>
        <w:rPr>
          <w:rFonts w:asciiTheme="minorHAnsi" w:hAnsiTheme="minorHAnsi"/>
          <w:bCs/>
          <w:lang w:val="en-GB"/>
        </w:rPr>
      </w:pPr>
      <w:r w:rsidRPr="00243081">
        <w:rPr>
          <w:rFonts w:asciiTheme="minorHAnsi" w:hAnsiTheme="minorHAnsi"/>
          <w:bCs/>
          <w:lang w:val="en-GB"/>
        </w:rPr>
        <w:t>Rejected</w:t>
      </w:r>
    </w:p>
    <w:p w:rsidR="00C055BD" w:rsidRDefault="00C055BD" w:rsidP="00EA29E5">
      <w:pPr>
        <w:rPr>
          <w:rFonts w:asciiTheme="minorHAnsi" w:hAnsiTheme="minorHAnsi"/>
          <w:bCs/>
          <w:lang w:val="en-GB"/>
        </w:rPr>
      </w:pPr>
    </w:p>
    <w:p w:rsidR="00C055BD" w:rsidRPr="00C055BD" w:rsidRDefault="00C055BD" w:rsidP="00C055BD">
      <w:pPr>
        <w:pStyle w:val="Heading1"/>
        <w:keepNext/>
        <w:widowControl/>
        <w:numPr>
          <w:ilvl w:val="0"/>
          <w:numId w:val="3"/>
        </w:numPr>
        <w:spacing w:after="120"/>
        <w:jc w:val="left"/>
        <w:rPr>
          <w:rFonts w:asciiTheme="minorHAnsi" w:hAnsiTheme="minorHAnsi"/>
          <w:bCs/>
        </w:rPr>
      </w:pPr>
      <w:r>
        <w:rPr>
          <w:rFonts w:asciiTheme="minorHAnsi" w:hAnsiTheme="minorHAnsi"/>
          <w:b w:val="0"/>
          <w:bCs/>
        </w:rPr>
        <w:t xml:space="preserve"> </w:t>
      </w:r>
      <w:r w:rsidRPr="00C055BD">
        <w:t>Context for Decision</w:t>
      </w:r>
    </w:p>
    <w:p w:rsidR="00C055BD" w:rsidRPr="00C055BD" w:rsidRDefault="00C055BD" w:rsidP="00C055BD">
      <w:pPr>
        <w:rPr>
          <w:rFonts w:asciiTheme="minorHAnsi" w:hAnsiTheme="minorHAnsi"/>
          <w:bCs/>
        </w:rPr>
      </w:pPr>
      <w:r w:rsidRPr="00C055BD">
        <w:rPr>
          <w:rFonts w:asciiTheme="minorHAnsi" w:hAnsiTheme="minorHAnsi"/>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055BD" w:rsidRPr="00C055BD" w:rsidRDefault="00C055BD" w:rsidP="00C055BD">
      <w:pPr>
        <w:rPr>
          <w:rFonts w:asciiTheme="minorHAnsi" w:hAnsiTheme="minorHAnsi"/>
          <w:bCs/>
        </w:rPr>
      </w:pPr>
    </w:p>
    <w:p w:rsidR="00C055BD" w:rsidRDefault="00C055BD" w:rsidP="00C055BD">
      <w:pPr>
        <w:pStyle w:val="Heading1"/>
        <w:keepNext/>
        <w:widowControl/>
        <w:numPr>
          <w:ilvl w:val="0"/>
          <w:numId w:val="3"/>
        </w:numPr>
        <w:spacing w:after="120"/>
        <w:jc w:val="left"/>
        <w:rPr>
          <w:rFonts w:asciiTheme="minorHAnsi" w:hAnsiTheme="minorHAnsi"/>
          <w:bCs/>
        </w:rPr>
      </w:pPr>
      <w:r w:rsidRPr="00C055BD">
        <w:rPr>
          <w:rFonts w:asciiTheme="minorHAnsi" w:hAnsiTheme="minorHAnsi"/>
          <w:bCs/>
        </w:rPr>
        <w:t xml:space="preserve"> Sponsor’s Comment</w:t>
      </w:r>
    </w:p>
    <w:p w:rsidR="006250DE" w:rsidRPr="006250DE" w:rsidRDefault="006250DE" w:rsidP="006250DE">
      <w:r w:rsidRPr="006250DE">
        <w:rPr>
          <w:iCs/>
        </w:rPr>
        <w:t>MSD is disappointed with this outcome and hopes to work with the government to achieve an evidence-based first line solution for all NSCLC patients without a targetable mutation as soon as possible. MSD further notes that the assessment of safety undertaken by the PBAC was based on a naïve comparison of adverse event rates</w:t>
      </w:r>
      <w:r w:rsidR="00471C00">
        <w:rPr>
          <w:iCs/>
        </w:rPr>
        <w:t xml:space="preserve"> undertaken during the evaluation</w:t>
      </w:r>
      <w:r>
        <w:rPr>
          <w:iCs/>
        </w:rPr>
        <w:t>.</w:t>
      </w:r>
    </w:p>
    <w:sectPr w:rsidR="006250DE" w:rsidRPr="006250DE" w:rsidSect="00444EDF">
      <w:headerReference w:type="default" r:id="rId20"/>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A9CFA" w16cid:durableId="1FCA1179"/>
  <w16cid:commentId w16cid:paraId="283D6CF6" w16cid:durableId="1FCA1F57"/>
  <w16cid:commentId w16cid:paraId="32820171" w16cid:durableId="1FCA117A"/>
  <w16cid:commentId w16cid:paraId="019AF051" w16cid:durableId="1FCA1EEB"/>
  <w16cid:commentId w16cid:paraId="6898D7DD" w16cid:durableId="1FCA117B"/>
  <w16cid:commentId w16cid:paraId="09619A79" w16cid:durableId="1FCA117D"/>
  <w16cid:commentId w16cid:paraId="1E6301A5" w16cid:durableId="1FCA27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85" w:rsidRDefault="001C6E85" w:rsidP="00124A51">
      <w:r>
        <w:separator/>
      </w:r>
    </w:p>
    <w:p w:rsidR="001C6E85" w:rsidRDefault="001C6E85"/>
  </w:endnote>
  <w:endnote w:type="continuationSeparator" w:id="0">
    <w:p w:rsidR="001C6E85" w:rsidRDefault="001C6E85" w:rsidP="00124A51">
      <w:r>
        <w:continuationSeparator/>
      </w:r>
    </w:p>
    <w:p w:rsidR="001C6E85" w:rsidRDefault="001C6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85" w:rsidRDefault="001C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05696"/>
      <w:docPartObj>
        <w:docPartGallery w:val="Page Numbers (Bottom of Page)"/>
        <w:docPartUnique/>
      </w:docPartObj>
    </w:sdtPr>
    <w:sdtEndPr>
      <w:rPr>
        <w:noProof/>
      </w:rPr>
    </w:sdtEndPr>
    <w:sdtContent>
      <w:p w:rsidR="001C6E85" w:rsidRDefault="001C6E85">
        <w:pPr>
          <w:pStyle w:val="Footer"/>
          <w:jc w:val="center"/>
        </w:pPr>
        <w:r>
          <w:fldChar w:fldCharType="begin"/>
        </w:r>
        <w:r>
          <w:instrText xml:space="preserve"> PAGE   \* MERGEFORMAT </w:instrText>
        </w:r>
        <w:r>
          <w:fldChar w:fldCharType="separate"/>
        </w:r>
        <w:r w:rsidR="009A1E78">
          <w:rPr>
            <w:noProof/>
          </w:rPr>
          <w:t>27</w:t>
        </w:r>
        <w:r>
          <w:rPr>
            <w:noProof/>
          </w:rPr>
          <w:fldChar w:fldCharType="end"/>
        </w:r>
      </w:p>
    </w:sdtContent>
  </w:sdt>
  <w:p w:rsidR="001C6E85" w:rsidRPr="002D52D6" w:rsidRDefault="001C6E85" w:rsidP="002D5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85" w:rsidRDefault="001C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85" w:rsidRDefault="001C6E85" w:rsidP="00124A51">
      <w:r>
        <w:separator/>
      </w:r>
    </w:p>
    <w:p w:rsidR="001C6E85" w:rsidRDefault="001C6E85"/>
  </w:footnote>
  <w:footnote w:type="continuationSeparator" w:id="0">
    <w:p w:rsidR="001C6E85" w:rsidRDefault="001C6E85" w:rsidP="00124A51">
      <w:r>
        <w:continuationSeparator/>
      </w:r>
    </w:p>
    <w:p w:rsidR="001C6E85" w:rsidRDefault="001C6E85"/>
  </w:footnote>
  <w:footnote w:id="1">
    <w:p w:rsidR="001C6E85" w:rsidRPr="00BD5EAA" w:rsidRDefault="001C6E85" w:rsidP="00407FDD">
      <w:pPr>
        <w:pStyle w:val="FootnoteText"/>
        <w:rPr>
          <w:rFonts w:asciiTheme="minorHAnsi" w:hAnsiTheme="minorHAnsi" w:cstheme="minorHAnsi"/>
          <w:sz w:val="18"/>
          <w:szCs w:val="18"/>
        </w:rPr>
      </w:pPr>
      <w:r>
        <w:rPr>
          <w:rStyle w:val="FootnoteReference"/>
        </w:rPr>
        <w:footnoteRef/>
      </w:r>
      <w:r>
        <w:rPr>
          <w:rFonts w:asciiTheme="minorHAnsi" w:hAnsiTheme="minorHAnsi" w:cstheme="minorHAnsi"/>
          <w:sz w:val="18"/>
          <w:szCs w:val="18"/>
        </w:rPr>
        <w:t> </w:t>
      </w:r>
      <w:hyperlink r:id="rId1" w:anchor="18342" w:history="1">
        <w:r w:rsidRPr="00BD5EAA">
          <w:rPr>
            <w:rStyle w:val="Hyperlink"/>
            <w:rFonts w:asciiTheme="minorHAnsi" w:hAnsiTheme="minorHAnsi" w:cstheme="minorHAnsi"/>
            <w:sz w:val="18"/>
            <w:szCs w:val="18"/>
          </w:rPr>
          <w:t>https://www.eviq.org.au/medical-oncology/respiratory/non-small-cell-lung-cancer/88-nsclc-metastatic-cisplatin-and-pemetrexed#18342</w:t>
        </w:r>
      </w:hyperlink>
      <w:r w:rsidRPr="00BD5EAA">
        <w:rPr>
          <w:rFonts w:asciiTheme="minorHAnsi" w:hAnsiTheme="minorHAnsi" w:cstheme="minorHAnsi"/>
          <w:sz w:val="18"/>
          <w:szCs w:val="18"/>
        </w:rPr>
        <w:t xml:space="preserve"> accessed 27/7/18</w:t>
      </w:r>
    </w:p>
  </w:footnote>
  <w:footnote w:id="2">
    <w:p w:rsidR="001C6E85" w:rsidRDefault="001C6E85">
      <w:pPr>
        <w:pStyle w:val="FootnoteText"/>
      </w:pPr>
      <w:r w:rsidRPr="00BD5EAA">
        <w:rPr>
          <w:rStyle w:val="FootnoteReference"/>
          <w:rFonts w:asciiTheme="minorHAnsi" w:hAnsiTheme="minorHAnsi" w:cstheme="minorHAnsi"/>
          <w:sz w:val="18"/>
          <w:szCs w:val="18"/>
        </w:rPr>
        <w:footnoteRef/>
      </w:r>
      <w:r w:rsidRPr="00BD5EAA">
        <w:rPr>
          <w:rFonts w:asciiTheme="minorHAnsi" w:hAnsiTheme="minorHAnsi" w:cstheme="minorHAnsi"/>
          <w:sz w:val="18"/>
          <w:szCs w:val="18"/>
        </w:rPr>
        <w:t xml:space="preserve"> </w:t>
      </w:r>
      <w:proofErr w:type="spellStart"/>
      <w:r w:rsidRPr="00BD5EAA">
        <w:rPr>
          <w:rFonts w:asciiTheme="minorHAnsi" w:hAnsiTheme="minorHAnsi" w:cstheme="minorHAnsi"/>
          <w:bCs/>
          <w:sz w:val="18"/>
          <w:szCs w:val="18"/>
        </w:rPr>
        <w:t>Cherny</w:t>
      </w:r>
      <w:proofErr w:type="spellEnd"/>
      <w:r w:rsidRPr="00BD5EAA">
        <w:rPr>
          <w:rFonts w:asciiTheme="minorHAnsi" w:hAnsiTheme="minorHAnsi" w:cstheme="minorHAnsi"/>
          <w:bCs/>
          <w:sz w:val="18"/>
          <w:szCs w:val="18"/>
        </w:rPr>
        <w:t xml:space="preserve"> NI, Dafni U, </w:t>
      </w:r>
      <w:proofErr w:type="spellStart"/>
      <w:r w:rsidRPr="00BD5EAA">
        <w:rPr>
          <w:rFonts w:asciiTheme="minorHAnsi" w:hAnsiTheme="minorHAnsi" w:cstheme="minorHAnsi"/>
          <w:bCs/>
          <w:sz w:val="18"/>
          <w:szCs w:val="18"/>
        </w:rPr>
        <w:t>Bogaerts</w:t>
      </w:r>
      <w:proofErr w:type="spellEnd"/>
      <w:r w:rsidRPr="00BD5EAA">
        <w:rPr>
          <w:rFonts w:asciiTheme="minorHAnsi" w:hAnsiTheme="minorHAnsi" w:cstheme="minorHAnsi"/>
          <w:bCs/>
          <w:sz w:val="18"/>
          <w:szCs w:val="18"/>
        </w:rPr>
        <w:t xml:space="preserve"> J, et al: ESMO-Magnitude of Clinical Benefit Scale version 1.1. Annals of Oncology 28:2340-2366, 2017</w:t>
      </w:r>
    </w:p>
  </w:footnote>
  <w:footnote w:id="3">
    <w:p w:rsidR="001C6E85" w:rsidRPr="001E25D2" w:rsidRDefault="001C6E85" w:rsidP="00BC69B8">
      <w:pPr>
        <w:pStyle w:val="CommentText"/>
        <w:rPr>
          <w:rFonts w:asciiTheme="minorHAnsi" w:hAnsiTheme="minorHAnsi" w:cstheme="minorHAnsi"/>
        </w:rPr>
      </w:pPr>
      <w:r w:rsidRPr="001E25D2">
        <w:rPr>
          <w:rStyle w:val="FootnoteReference"/>
          <w:rFonts w:asciiTheme="minorHAnsi" w:hAnsiTheme="minorHAnsi" w:cstheme="minorHAnsi"/>
        </w:rPr>
        <w:footnoteRef/>
      </w:r>
      <w:r w:rsidRPr="001E25D2">
        <w:rPr>
          <w:rFonts w:asciiTheme="minorHAnsi" w:hAnsiTheme="minorHAnsi" w:cstheme="minorHAnsi"/>
        </w:rPr>
        <w:t xml:space="preserve"> </w:t>
      </w:r>
      <w:r w:rsidRPr="001E25D2">
        <w:rPr>
          <w:rFonts w:asciiTheme="minorHAnsi" w:hAnsiTheme="minorHAnsi" w:cstheme="minorHAnsi"/>
          <w:sz w:val="18"/>
          <w:szCs w:val="18"/>
        </w:rPr>
        <w:t xml:space="preserve">Shen, Xian &amp; Zhao, Bin. (2018). Efficacy of PD-1 or PD-L1 inhibitors and PD-L1 expression status in cancer: Meta-analysis. BMJ. 362. </w:t>
      </w:r>
      <w:proofErr w:type="gramStart"/>
      <w:r w:rsidRPr="001E25D2">
        <w:rPr>
          <w:rFonts w:asciiTheme="minorHAnsi" w:hAnsiTheme="minorHAnsi" w:cstheme="minorHAnsi"/>
          <w:sz w:val="18"/>
          <w:szCs w:val="18"/>
        </w:rPr>
        <w:t>k3529</w:t>
      </w:r>
      <w:proofErr w:type="gramEnd"/>
      <w:r w:rsidRPr="001E25D2">
        <w:rPr>
          <w:rFonts w:asciiTheme="minorHAnsi" w:hAnsiTheme="minorHAnsi" w:cstheme="minorHAnsi"/>
          <w:sz w:val="18"/>
          <w:szCs w:val="18"/>
        </w:rPr>
        <w:t>. 10.1136/bmj.k3529</w:t>
      </w:r>
      <w:r w:rsidRPr="001E25D2">
        <w:rPr>
          <w:rFonts w:asciiTheme="minorHAnsi" w:hAnsiTheme="minorHAnsi" w:cstheme="minorHAnsi"/>
        </w:rPr>
        <w:t>.</w:t>
      </w:r>
    </w:p>
    <w:p w:rsidR="001C6E85" w:rsidRDefault="001C6E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85" w:rsidRDefault="001C6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85" w:rsidRPr="00D03AE0" w:rsidRDefault="001C6E85" w:rsidP="00D03AE0">
    <w:pPr>
      <w:widowControl/>
      <w:tabs>
        <w:tab w:val="center" w:pos="4153"/>
        <w:tab w:val="right" w:pos="8306"/>
      </w:tabs>
      <w:jc w:val="center"/>
      <w:rPr>
        <w:rFonts w:asciiTheme="minorHAnsi" w:hAnsiTheme="minorHAnsi"/>
        <w:i/>
        <w:snapToGrid/>
        <w:szCs w:val="24"/>
        <w:lang w:eastAsia="en-AU"/>
      </w:rPr>
    </w:pPr>
    <w:r>
      <w:rPr>
        <w:rFonts w:asciiTheme="minorHAnsi" w:hAnsiTheme="minorHAnsi"/>
        <w:i/>
        <w:snapToGrid/>
        <w:szCs w:val="24"/>
        <w:lang w:eastAsia="en-AU"/>
      </w:rPr>
      <w:t>Public Summary Document</w:t>
    </w:r>
    <w:r w:rsidRPr="00D03AE0">
      <w:rPr>
        <w:rFonts w:asciiTheme="minorHAnsi" w:hAnsiTheme="minorHAnsi"/>
        <w:i/>
        <w:snapToGrid/>
        <w:szCs w:val="24"/>
        <w:lang w:eastAsia="en-AU"/>
      </w:rPr>
      <w:t xml:space="preserve"> – November 2018 PBAC Meeting</w:t>
    </w:r>
  </w:p>
  <w:p w:rsidR="001C6E85" w:rsidRPr="009E6097" w:rsidRDefault="001C6E85" w:rsidP="009E6097">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85" w:rsidRDefault="001C6E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85" w:rsidRDefault="001C6E85" w:rsidP="002B1C1F">
    <w:pPr>
      <w:tabs>
        <w:tab w:val="left" w:pos="142"/>
        <w:tab w:val="right" w:pos="9027"/>
      </w:tabs>
      <w:jc w:val="right"/>
      <w:rPr>
        <w:szCs w:val="24"/>
      </w:rPr>
    </w:pPr>
    <w:r>
      <w:rPr>
        <w:color w:val="D9D9D9" w:themeColor="background1" w:themeShade="D9"/>
      </w:rPr>
      <w:tab/>
    </w:r>
  </w:p>
  <w:p w:rsidR="001C6E85" w:rsidRPr="00243081" w:rsidRDefault="001C6E85" w:rsidP="001F2F06">
    <w:pPr>
      <w:widowControl/>
      <w:tabs>
        <w:tab w:val="center" w:pos="4153"/>
        <w:tab w:val="right" w:pos="8306"/>
      </w:tabs>
      <w:jc w:val="center"/>
      <w:rPr>
        <w:rFonts w:asciiTheme="minorHAnsi" w:hAnsiTheme="minorHAnsi"/>
        <w:i/>
        <w:snapToGrid/>
        <w:szCs w:val="24"/>
        <w:lang w:eastAsia="en-AU"/>
      </w:rPr>
    </w:pPr>
    <w:r>
      <w:rPr>
        <w:rFonts w:asciiTheme="minorHAnsi" w:hAnsiTheme="minorHAnsi"/>
        <w:i/>
        <w:snapToGrid/>
        <w:szCs w:val="24"/>
        <w:lang w:eastAsia="en-AU"/>
      </w:rPr>
      <w:t>Ratified</w:t>
    </w:r>
    <w:r w:rsidRPr="00243081">
      <w:rPr>
        <w:rFonts w:asciiTheme="minorHAnsi" w:hAnsiTheme="minorHAnsi"/>
        <w:i/>
        <w:snapToGrid/>
        <w:szCs w:val="24"/>
        <w:lang w:eastAsia="en-AU"/>
      </w:rPr>
      <w:t xml:space="preserve"> Minutes – November 2018 PBAC Meeting</w:t>
    </w:r>
  </w:p>
  <w:p w:rsidR="001C6E85" w:rsidRPr="00D03AE0" w:rsidRDefault="001C6E85" w:rsidP="001F2F06">
    <w:pPr>
      <w:widowControl/>
      <w:tabs>
        <w:tab w:val="center" w:pos="4153"/>
        <w:tab w:val="right" w:pos="8306"/>
      </w:tabs>
      <w:jc w:val="center"/>
      <w:rPr>
        <w:rFonts w:asciiTheme="minorHAnsi" w:hAnsiTheme="minorHAnsi"/>
        <w:i/>
        <w:noProof/>
        <w:snapToGrid/>
        <w:szCs w:val="24"/>
        <w:lang w:eastAsia="en-AU"/>
      </w:rPr>
    </w:pPr>
    <w:r w:rsidRPr="00243081">
      <w:rPr>
        <w:rFonts w:asciiTheme="minorHAnsi" w:hAnsiTheme="minorHAnsi"/>
        <w:i/>
        <w:noProof/>
        <w:snapToGrid/>
        <w:szCs w:val="24"/>
        <w:lang w:eastAsia="en-AU"/>
      </w:rPr>
      <w:t>Commercial-in-Confidence</w:t>
    </w:r>
  </w:p>
  <w:p w:rsidR="001C6E85" w:rsidRDefault="001C6E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3FA7"/>
    <w:multiLevelType w:val="hybridMultilevel"/>
    <w:tmpl w:val="089A7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B5F16"/>
    <w:multiLevelType w:val="hybridMultilevel"/>
    <w:tmpl w:val="449A57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00AC1"/>
    <w:multiLevelType w:val="hybridMultilevel"/>
    <w:tmpl w:val="737A8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81444"/>
    <w:multiLevelType w:val="hybridMultilevel"/>
    <w:tmpl w:val="5F3E4D7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1C6B59D5"/>
    <w:multiLevelType w:val="hybridMultilevel"/>
    <w:tmpl w:val="FDBCC1C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C895883"/>
    <w:multiLevelType w:val="hybridMultilevel"/>
    <w:tmpl w:val="CA220F8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106D79"/>
    <w:multiLevelType w:val="hybridMultilevel"/>
    <w:tmpl w:val="10A270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782073"/>
    <w:multiLevelType w:val="hybridMultilevel"/>
    <w:tmpl w:val="B1AC913E"/>
    <w:lvl w:ilvl="0" w:tplc="18CC997C">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5A5157"/>
    <w:multiLevelType w:val="hybridMultilevel"/>
    <w:tmpl w:val="997EE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84E6825"/>
    <w:multiLevelType w:val="multilevel"/>
    <w:tmpl w:val="18A2853C"/>
    <w:lvl w:ilvl="0">
      <w:start w:val="1"/>
      <w:numFmt w:val="decimal"/>
      <w:lvlText w:val="%1"/>
      <w:lvlJc w:val="left"/>
      <w:pPr>
        <w:ind w:left="432" w:hanging="432"/>
      </w:pPr>
      <w:rPr>
        <w:rFonts w:hint="default"/>
        <w:b/>
        <w:i w:val="0"/>
      </w:rPr>
    </w:lvl>
    <w:lvl w:ilvl="1">
      <w:start w:val="1"/>
      <w:numFmt w:val="decimal"/>
      <w:lvlText w:val="%2."/>
      <w:lvlJc w:val="left"/>
      <w:pPr>
        <w:ind w:left="576" w:hanging="576"/>
      </w:pPr>
      <w:rPr>
        <w:rFonts w:ascii="Calibri" w:eastAsia="Times New Roman" w:hAnsi="Calibri"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8B06A82"/>
    <w:multiLevelType w:val="hybridMultilevel"/>
    <w:tmpl w:val="B9F0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C34E2"/>
    <w:multiLevelType w:val="hybridMultilevel"/>
    <w:tmpl w:val="E5CC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8C5EC8"/>
    <w:multiLevelType w:val="hybridMultilevel"/>
    <w:tmpl w:val="BB1222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211362F"/>
    <w:multiLevelType w:val="hybridMultilevel"/>
    <w:tmpl w:val="D5C202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74741"/>
    <w:multiLevelType w:val="hybridMultilevel"/>
    <w:tmpl w:val="92D0D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8605D4"/>
    <w:multiLevelType w:val="hybridMultilevel"/>
    <w:tmpl w:val="B172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1F43C4"/>
    <w:multiLevelType w:val="hybridMultilevel"/>
    <w:tmpl w:val="63D8C5E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51DC3912"/>
    <w:multiLevelType w:val="hybridMultilevel"/>
    <w:tmpl w:val="BDB0A3F0"/>
    <w:lvl w:ilvl="0" w:tplc="8F760BD2">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45467F"/>
    <w:multiLevelType w:val="hybridMultilevel"/>
    <w:tmpl w:val="92683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FD669F2"/>
    <w:multiLevelType w:val="hybridMultilevel"/>
    <w:tmpl w:val="8F0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A7B8E"/>
    <w:multiLevelType w:val="hybridMultilevel"/>
    <w:tmpl w:val="6FDA8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187DD2"/>
    <w:multiLevelType w:val="hybridMultilevel"/>
    <w:tmpl w:val="70F02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25F48"/>
    <w:multiLevelType w:val="hybridMultilevel"/>
    <w:tmpl w:val="177430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F6E15A4"/>
    <w:multiLevelType w:val="hybridMultilevel"/>
    <w:tmpl w:val="D6B6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B570E"/>
    <w:multiLevelType w:val="hybridMultilevel"/>
    <w:tmpl w:val="DD6624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1EA6C01"/>
    <w:multiLevelType w:val="hybridMultilevel"/>
    <w:tmpl w:val="0A12C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650EB3"/>
    <w:multiLevelType w:val="hybridMultilevel"/>
    <w:tmpl w:val="66183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0A0256B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48112C"/>
    <w:multiLevelType w:val="hybridMultilevel"/>
    <w:tmpl w:val="139A73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4C6B53"/>
    <w:multiLevelType w:val="hybridMultilevel"/>
    <w:tmpl w:val="5EA8B7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1"/>
  </w:num>
  <w:num w:numId="3">
    <w:abstractNumId w:val="35"/>
  </w:num>
  <w:num w:numId="4">
    <w:abstractNumId w:val="19"/>
  </w:num>
  <w:num w:numId="5">
    <w:abstractNumId w:val="8"/>
  </w:num>
  <w:num w:numId="6">
    <w:abstractNumId w:val="23"/>
  </w:num>
  <w:num w:numId="7">
    <w:abstractNumId w:val="29"/>
  </w:num>
  <w:num w:numId="8">
    <w:abstractNumId w:val="5"/>
  </w:num>
  <w:num w:numId="9">
    <w:abstractNumId w:val="20"/>
  </w:num>
  <w:num w:numId="10">
    <w:abstractNumId w:val="27"/>
  </w:num>
  <w:num w:numId="11">
    <w:abstractNumId w:val="6"/>
  </w:num>
  <w:num w:numId="12">
    <w:abstractNumId w:val="22"/>
  </w:num>
  <w:num w:numId="13">
    <w:abstractNumId w:val="17"/>
  </w:num>
  <w:num w:numId="14">
    <w:abstractNumId w:val="21"/>
  </w:num>
  <w:num w:numId="15">
    <w:abstractNumId w:val="15"/>
  </w:num>
  <w:num w:numId="16">
    <w:abstractNumId w:val="31"/>
  </w:num>
  <w:num w:numId="17">
    <w:abstractNumId w:val="37"/>
  </w:num>
  <w:num w:numId="18">
    <w:abstractNumId w:val="26"/>
  </w:num>
  <w:num w:numId="19">
    <w:abstractNumId w:val="33"/>
  </w:num>
  <w:num w:numId="20">
    <w:abstractNumId w:val="34"/>
  </w:num>
  <w:num w:numId="21">
    <w:abstractNumId w:val="2"/>
  </w:num>
  <w:num w:numId="22">
    <w:abstractNumId w:val="11"/>
  </w:num>
  <w:num w:numId="23">
    <w:abstractNumId w:val="24"/>
  </w:num>
  <w:num w:numId="24">
    <w:abstractNumId w:val="10"/>
  </w:num>
  <w:num w:numId="25">
    <w:abstractNumId w:val="13"/>
  </w:num>
  <w:num w:numId="26">
    <w:abstractNumId w:val="30"/>
  </w:num>
  <w:num w:numId="27">
    <w:abstractNumId w:val="14"/>
  </w:num>
  <w:num w:numId="28">
    <w:abstractNumId w:val="32"/>
  </w:num>
  <w:num w:numId="29">
    <w:abstractNumId w:val="7"/>
  </w:num>
  <w:num w:numId="30">
    <w:abstractNumId w:val="18"/>
  </w:num>
  <w:num w:numId="31">
    <w:abstractNumId w:val="3"/>
  </w:num>
  <w:num w:numId="32">
    <w:abstractNumId w:val="36"/>
  </w:num>
  <w:num w:numId="33">
    <w:abstractNumId w:val="28"/>
  </w:num>
  <w:num w:numId="34">
    <w:abstractNumId w:val="9"/>
  </w:num>
  <w:num w:numId="35">
    <w:abstractNumId w:val="25"/>
  </w:num>
  <w:num w:numId="36">
    <w:abstractNumId w:val="4"/>
  </w:num>
  <w:num w:numId="37">
    <w:abstractNumId w:val="0"/>
  </w:num>
  <w:num w:numId="3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B33"/>
    <w:rsid w:val="00000BEA"/>
    <w:rsid w:val="0000110B"/>
    <w:rsid w:val="00002C1E"/>
    <w:rsid w:val="00002E87"/>
    <w:rsid w:val="00003499"/>
    <w:rsid w:val="000039B7"/>
    <w:rsid w:val="00003CE9"/>
    <w:rsid w:val="00004117"/>
    <w:rsid w:val="0000448C"/>
    <w:rsid w:val="00005AEC"/>
    <w:rsid w:val="0000764F"/>
    <w:rsid w:val="0001059C"/>
    <w:rsid w:val="0001111E"/>
    <w:rsid w:val="000122FB"/>
    <w:rsid w:val="00013247"/>
    <w:rsid w:val="0001346F"/>
    <w:rsid w:val="0001372B"/>
    <w:rsid w:val="000138B8"/>
    <w:rsid w:val="00015164"/>
    <w:rsid w:val="00015886"/>
    <w:rsid w:val="000160DB"/>
    <w:rsid w:val="000162EF"/>
    <w:rsid w:val="00016DFF"/>
    <w:rsid w:val="000201FC"/>
    <w:rsid w:val="00021CFA"/>
    <w:rsid w:val="000220EA"/>
    <w:rsid w:val="0002225F"/>
    <w:rsid w:val="00022B55"/>
    <w:rsid w:val="00022ED0"/>
    <w:rsid w:val="00023763"/>
    <w:rsid w:val="0002650D"/>
    <w:rsid w:val="00027084"/>
    <w:rsid w:val="00027610"/>
    <w:rsid w:val="00027958"/>
    <w:rsid w:val="00031F12"/>
    <w:rsid w:val="0003374A"/>
    <w:rsid w:val="00033863"/>
    <w:rsid w:val="00034F32"/>
    <w:rsid w:val="00035DC0"/>
    <w:rsid w:val="00036829"/>
    <w:rsid w:val="000373F2"/>
    <w:rsid w:val="000401FD"/>
    <w:rsid w:val="00040895"/>
    <w:rsid w:val="00041E9E"/>
    <w:rsid w:val="00043C37"/>
    <w:rsid w:val="00045017"/>
    <w:rsid w:val="00045A2B"/>
    <w:rsid w:val="0004698F"/>
    <w:rsid w:val="000469A6"/>
    <w:rsid w:val="0005000A"/>
    <w:rsid w:val="000539D0"/>
    <w:rsid w:val="00053C33"/>
    <w:rsid w:val="00053E31"/>
    <w:rsid w:val="00054621"/>
    <w:rsid w:val="000546D7"/>
    <w:rsid w:val="00054D1F"/>
    <w:rsid w:val="000576DF"/>
    <w:rsid w:val="0006078B"/>
    <w:rsid w:val="00060A15"/>
    <w:rsid w:val="00061B19"/>
    <w:rsid w:val="00063F1A"/>
    <w:rsid w:val="00064400"/>
    <w:rsid w:val="00065A5B"/>
    <w:rsid w:val="00066360"/>
    <w:rsid w:val="00067C09"/>
    <w:rsid w:val="00071248"/>
    <w:rsid w:val="000720B9"/>
    <w:rsid w:val="00072359"/>
    <w:rsid w:val="00072B5F"/>
    <w:rsid w:val="000737F7"/>
    <w:rsid w:val="00073BA0"/>
    <w:rsid w:val="00074715"/>
    <w:rsid w:val="00074BCB"/>
    <w:rsid w:val="000754AF"/>
    <w:rsid w:val="000757C6"/>
    <w:rsid w:val="00075806"/>
    <w:rsid w:val="000764C9"/>
    <w:rsid w:val="0007672F"/>
    <w:rsid w:val="00077424"/>
    <w:rsid w:val="000774F0"/>
    <w:rsid w:val="00080550"/>
    <w:rsid w:val="000808AF"/>
    <w:rsid w:val="00080909"/>
    <w:rsid w:val="000812CA"/>
    <w:rsid w:val="000813F4"/>
    <w:rsid w:val="0008258D"/>
    <w:rsid w:val="0008280C"/>
    <w:rsid w:val="00082874"/>
    <w:rsid w:val="000829E1"/>
    <w:rsid w:val="00082B08"/>
    <w:rsid w:val="00083E99"/>
    <w:rsid w:val="00083F7C"/>
    <w:rsid w:val="000856C5"/>
    <w:rsid w:val="00085A79"/>
    <w:rsid w:val="00086384"/>
    <w:rsid w:val="00086A52"/>
    <w:rsid w:val="00086C32"/>
    <w:rsid w:val="00087BE1"/>
    <w:rsid w:val="00090C7E"/>
    <w:rsid w:val="00091101"/>
    <w:rsid w:val="00091161"/>
    <w:rsid w:val="00091DB6"/>
    <w:rsid w:val="00092600"/>
    <w:rsid w:val="0009262B"/>
    <w:rsid w:val="00093145"/>
    <w:rsid w:val="00093310"/>
    <w:rsid w:val="00093883"/>
    <w:rsid w:val="0009445C"/>
    <w:rsid w:val="00094861"/>
    <w:rsid w:val="00095F0F"/>
    <w:rsid w:val="00095FE5"/>
    <w:rsid w:val="00096284"/>
    <w:rsid w:val="000A0B47"/>
    <w:rsid w:val="000A1574"/>
    <w:rsid w:val="000A329C"/>
    <w:rsid w:val="000A3449"/>
    <w:rsid w:val="000A3827"/>
    <w:rsid w:val="000A4D18"/>
    <w:rsid w:val="000A5D93"/>
    <w:rsid w:val="000A699D"/>
    <w:rsid w:val="000A6AA3"/>
    <w:rsid w:val="000A6FFC"/>
    <w:rsid w:val="000A7D08"/>
    <w:rsid w:val="000B0670"/>
    <w:rsid w:val="000B0E75"/>
    <w:rsid w:val="000B11ED"/>
    <w:rsid w:val="000B148C"/>
    <w:rsid w:val="000B16EA"/>
    <w:rsid w:val="000B1A90"/>
    <w:rsid w:val="000B3795"/>
    <w:rsid w:val="000B4B27"/>
    <w:rsid w:val="000B56EE"/>
    <w:rsid w:val="000B6CAC"/>
    <w:rsid w:val="000B7612"/>
    <w:rsid w:val="000C02EE"/>
    <w:rsid w:val="000C2ABB"/>
    <w:rsid w:val="000C3DF9"/>
    <w:rsid w:val="000C604A"/>
    <w:rsid w:val="000C6570"/>
    <w:rsid w:val="000C6713"/>
    <w:rsid w:val="000C7146"/>
    <w:rsid w:val="000D0F71"/>
    <w:rsid w:val="000D13A3"/>
    <w:rsid w:val="000D1B20"/>
    <w:rsid w:val="000D1BFC"/>
    <w:rsid w:val="000D281A"/>
    <w:rsid w:val="000D326A"/>
    <w:rsid w:val="000D495F"/>
    <w:rsid w:val="000D51FB"/>
    <w:rsid w:val="000D5364"/>
    <w:rsid w:val="000D7799"/>
    <w:rsid w:val="000D7F8D"/>
    <w:rsid w:val="000E135D"/>
    <w:rsid w:val="000E19B3"/>
    <w:rsid w:val="000E1BCE"/>
    <w:rsid w:val="000E1D5F"/>
    <w:rsid w:val="000E6F18"/>
    <w:rsid w:val="000E7472"/>
    <w:rsid w:val="000F00BA"/>
    <w:rsid w:val="000F09B4"/>
    <w:rsid w:val="000F316A"/>
    <w:rsid w:val="000F34EF"/>
    <w:rsid w:val="000F3C74"/>
    <w:rsid w:val="000F408E"/>
    <w:rsid w:val="000F4537"/>
    <w:rsid w:val="000F4BB8"/>
    <w:rsid w:val="000F5C1A"/>
    <w:rsid w:val="000F7127"/>
    <w:rsid w:val="000F71EE"/>
    <w:rsid w:val="000F73D8"/>
    <w:rsid w:val="00100C63"/>
    <w:rsid w:val="00100F8A"/>
    <w:rsid w:val="00101F72"/>
    <w:rsid w:val="00105AE2"/>
    <w:rsid w:val="00106058"/>
    <w:rsid w:val="00106B80"/>
    <w:rsid w:val="0011032E"/>
    <w:rsid w:val="0011348B"/>
    <w:rsid w:val="00113C01"/>
    <w:rsid w:val="0011506F"/>
    <w:rsid w:val="00115832"/>
    <w:rsid w:val="00115982"/>
    <w:rsid w:val="0011696D"/>
    <w:rsid w:val="00116C53"/>
    <w:rsid w:val="0011706F"/>
    <w:rsid w:val="001200F0"/>
    <w:rsid w:val="001201BC"/>
    <w:rsid w:val="00120F32"/>
    <w:rsid w:val="00121799"/>
    <w:rsid w:val="001222FC"/>
    <w:rsid w:val="00122D3E"/>
    <w:rsid w:val="001246F2"/>
    <w:rsid w:val="00124782"/>
    <w:rsid w:val="00124A51"/>
    <w:rsid w:val="00126621"/>
    <w:rsid w:val="00127F03"/>
    <w:rsid w:val="001301E9"/>
    <w:rsid w:val="00130C20"/>
    <w:rsid w:val="00130D83"/>
    <w:rsid w:val="00131970"/>
    <w:rsid w:val="00131D82"/>
    <w:rsid w:val="001332B1"/>
    <w:rsid w:val="00133D36"/>
    <w:rsid w:val="0013565F"/>
    <w:rsid w:val="00137645"/>
    <w:rsid w:val="0014015A"/>
    <w:rsid w:val="00140362"/>
    <w:rsid w:val="00140953"/>
    <w:rsid w:val="00140C72"/>
    <w:rsid w:val="00140E99"/>
    <w:rsid w:val="00143A7E"/>
    <w:rsid w:val="00144D3C"/>
    <w:rsid w:val="00145540"/>
    <w:rsid w:val="001456B0"/>
    <w:rsid w:val="00145C7E"/>
    <w:rsid w:val="001461A5"/>
    <w:rsid w:val="00146837"/>
    <w:rsid w:val="001469AA"/>
    <w:rsid w:val="00150C9A"/>
    <w:rsid w:val="001530BB"/>
    <w:rsid w:val="001534C1"/>
    <w:rsid w:val="0015549C"/>
    <w:rsid w:val="00155607"/>
    <w:rsid w:val="00157130"/>
    <w:rsid w:val="001576B1"/>
    <w:rsid w:val="00157B90"/>
    <w:rsid w:val="00160A4C"/>
    <w:rsid w:val="00162913"/>
    <w:rsid w:val="00163EFF"/>
    <w:rsid w:val="00164A34"/>
    <w:rsid w:val="00164C9D"/>
    <w:rsid w:val="00164E97"/>
    <w:rsid w:val="001651A0"/>
    <w:rsid w:val="001661FB"/>
    <w:rsid w:val="00167A27"/>
    <w:rsid w:val="00167F4A"/>
    <w:rsid w:val="00167FAF"/>
    <w:rsid w:val="00170A87"/>
    <w:rsid w:val="00170B18"/>
    <w:rsid w:val="00170F6C"/>
    <w:rsid w:val="00173565"/>
    <w:rsid w:val="00173B07"/>
    <w:rsid w:val="001753E2"/>
    <w:rsid w:val="00175C72"/>
    <w:rsid w:val="00177271"/>
    <w:rsid w:val="00177A6E"/>
    <w:rsid w:val="00180CAC"/>
    <w:rsid w:val="00181251"/>
    <w:rsid w:val="00181B6E"/>
    <w:rsid w:val="00181D9C"/>
    <w:rsid w:val="00185D50"/>
    <w:rsid w:val="00186F2A"/>
    <w:rsid w:val="0018752F"/>
    <w:rsid w:val="0018797E"/>
    <w:rsid w:val="001906FB"/>
    <w:rsid w:val="001913D5"/>
    <w:rsid w:val="0019520B"/>
    <w:rsid w:val="00195222"/>
    <w:rsid w:val="001975D8"/>
    <w:rsid w:val="001A03AB"/>
    <w:rsid w:val="001A2499"/>
    <w:rsid w:val="001A43C7"/>
    <w:rsid w:val="001A43FA"/>
    <w:rsid w:val="001A4F9E"/>
    <w:rsid w:val="001A59FB"/>
    <w:rsid w:val="001A6354"/>
    <w:rsid w:val="001A7AE8"/>
    <w:rsid w:val="001B1E07"/>
    <w:rsid w:val="001B204E"/>
    <w:rsid w:val="001B3443"/>
    <w:rsid w:val="001B4208"/>
    <w:rsid w:val="001B4D20"/>
    <w:rsid w:val="001B5BF0"/>
    <w:rsid w:val="001B62E2"/>
    <w:rsid w:val="001C0151"/>
    <w:rsid w:val="001C0D03"/>
    <w:rsid w:val="001C0DFE"/>
    <w:rsid w:val="001C0E1E"/>
    <w:rsid w:val="001C2A9B"/>
    <w:rsid w:val="001C2C92"/>
    <w:rsid w:val="001C34FF"/>
    <w:rsid w:val="001C4299"/>
    <w:rsid w:val="001C48E3"/>
    <w:rsid w:val="001C5F94"/>
    <w:rsid w:val="001C611B"/>
    <w:rsid w:val="001C6E66"/>
    <w:rsid w:val="001C6E85"/>
    <w:rsid w:val="001C6FAC"/>
    <w:rsid w:val="001D32BC"/>
    <w:rsid w:val="001D55C5"/>
    <w:rsid w:val="001D7B8F"/>
    <w:rsid w:val="001E0D43"/>
    <w:rsid w:val="001E1681"/>
    <w:rsid w:val="001E238E"/>
    <w:rsid w:val="001E2483"/>
    <w:rsid w:val="001E25D2"/>
    <w:rsid w:val="001E2B1E"/>
    <w:rsid w:val="001E30D4"/>
    <w:rsid w:val="001E350A"/>
    <w:rsid w:val="001E3CC4"/>
    <w:rsid w:val="001E52EB"/>
    <w:rsid w:val="001E61D2"/>
    <w:rsid w:val="001E6358"/>
    <w:rsid w:val="001E68AF"/>
    <w:rsid w:val="001E6B1A"/>
    <w:rsid w:val="001E740C"/>
    <w:rsid w:val="001E75D0"/>
    <w:rsid w:val="001E770C"/>
    <w:rsid w:val="001E7A49"/>
    <w:rsid w:val="001F0021"/>
    <w:rsid w:val="001F1235"/>
    <w:rsid w:val="001F1CB3"/>
    <w:rsid w:val="001F2130"/>
    <w:rsid w:val="001F2F06"/>
    <w:rsid w:val="001F308B"/>
    <w:rsid w:val="001F3656"/>
    <w:rsid w:val="001F38B5"/>
    <w:rsid w:val="001F66DF"/>
    <w:rsid w:val="001F7361"/>
    <w:rsid w:val="00200671"/>
    <w:rsid w:val="002011B0"/>
    <w:rsid w:val="00203116"/>
    <w:rsid w:val="00203181"/>
    <w:rsid w:val="00203783"/>
    <w:rsid w:val="0020380A"/>
    <w:rsid w:val="0020385F"/>
    <w:rsid w:val="00203A8E"/>
    <w:rsid w:val="002043E1"/>
    <w:rsid w:val="0020626E"/>
    <w:rsid w:val="00207021"/>
    <w:rsid w:val="0020732F"/>
    <w:rsid w:val="00207D00"/>
    <w:rsid w:val="002105C1"/>
    <w:rsid w:val="00211677"/>
    <w:rsid w:val="00211851"/>
    <w:rsid w:val="00212810"/>
    <w:rsid w:val="002129BB"/>
    <w:rsid w:val="00212AF8"/>
    <w:rsid w:val="00220A1D"/>
    <w:rsid w:val="002218B7"/>
    <w:rsid w:val="00223244"/>
    <w:rsid w:val="00223B49"/>
    <w:rsid w:val="00223F1A"/>
    <w:rsid w:val="00224295"/>
    <w:rsid w:val="00224AAD"/>
    <w:rsid w:val="00224DD4"/>
    <w:rsid w:val="00227BBD"/>
    <w:rsid w:val="002309CC"/>
    <w:rsid w:val="0023209F"/>
    <w:rsid w:val="0023629D"/>
    <w:rsid w:val="00236ACC"/>
    <w:rsid w:val="00237255"/>
    <w:rsid w:val="00237CB6"/>
    <w:rsid w:val="00241AA6"/>
    <w:rsid w:val="002424AF"/>
    <w:rsid w:val="00242AD9"/>
    <w:rsid w:val="00243081"/>
    <w:rsid w:val="002439DC"/>
    <w:rsid w:val="00244DC8"/>
    <w:rsid w:val="002458BA"/>
    <w:rsid w:val="0024636C"/>
    <w:rsid w:val="00246D17"/>
    <w:rsid w:val="00247925"/>
    <w:rsid w:val="00247D04"/>
    <w:rsid w:val="002505A9"/>
    <w:rsid w:val="002513C6"/>
    <w:rsid w:val="0025156F"/>
    <w:rsid w:val="002516EA"/>
    <w:rsid w:val="00254895"/>
    <w:rsid w:val="002548E1"/>
    <w:rsid w:val="00254DCF"/>
    <w:rsid w:val="0025531B"/>
    <w:rsid w:val="0025534B"/>
    <w:rsid w:val="00255BAF"/>
    <w:rsid w:val="00255BB7"/>
    <w:rsid w:val="00256158"/>
    <w:rsid w:val="00257288"/>
    <w:rsid w:val="00257541"/>
    <w:rsid w:val="002579D1"/>
    <w:rsid w:val="00262A1A"/>
    <w:rsid w:val="00262A87"/>
    <w:rsid w:val="00264D26"/>
    <w:rsid w:val="002670A2"/>
    <w:rsid w:val="00267642"/>
    <w:rsid w:val="00267AEA"/>
    <w:rsid w:val="002700E6"/>
    <w:rsid w:val="002714F9"/>
    <w:rsid w:val="002723B5"/>
    <w:rsid w:val="0027294B"/>
    <w:rsid w:val="0027482C"/>
    <w:rsid w:val="00274860"/>
    <w:rsid w:val="00274B6C"/>
    <w:rsid w:val="00274E88"/>
    <w:rsid w:val="002755FE"/>
    <w:rsid w:val="00275C5A"/>
    <w:rsid w:val="00280F9A"/>
    <w:rsid w:val="00281014"/>
    <w:rsid w:val="00282052"/>
    <w:rsid w:val="002831D1"/>
    <w:rsid w:val="00283DB5"/>
    <w:rsid w:val="002873EE"/>
    <w:rsid w:val="0028750A"/>
    <w:rsid w:val="002913E0"/>
    <w:rsid w:val="00291912"/>
    <w:rsid w:val="00291F3F"/>
    <w:rsid w:val="002920FC"/>
    <w:rsid w:val="002922D7"/>
    <w:rsid w:val="00293F17"/>
    <w:rsid w:val="002940CE"/>
    <w:rsid w:val="002952AE"/>
    <w:rsid w:val="0029563B"/>
    <w:rsid w:val="00296296"/>
    <w:rsid w:val="0029799F"/>
    <w:rsid w:val="002A14AB"/>
    <w:rsid w:val="002A1A7B"/>
    <w:rsid w:val="002A2F50"/>
    <w:rsid w:val="002A4BD7"/>
    <w:rsid w:val="002A5457"/>
    <w:rsid w:val="002A5832"/>
    <w:rsid w:val="002A7879"/>
    <w:rsid w:val="002B09A4"/>
    <w:rsid w:val="002B1C1F"/>
    <w:rsid w:val="002B1C62"/>
    <w:rsid w:val="002B2669"/>
    <w:rsid w:val="002B432F"/>
    <w:rsid w:val="002B56D3"/>
    <w:rsid w:val="002B62B3"/>
    <w:rsid w:val="002B6754"/>
    <w:rsid w:val="002B6CCE"/>
    <w:rsid w:val="002C09A1"/>
    <w:rsid w:val="002C22F2"/>
    <w:rsid w:val="002C2510"/>
    <w:rsid w:val="002C2775"/>
    <w:rsid w:val="002C27C1"/>
    <w:rsid w:val="002C41ED"/>
    <w:rsid w:val="002C48FF"/>
    <w:rsid w:val="002C5099"/>
    <w:rsid w:val="002C57DB"/>
    <w:rsid w:val="002C5889"/>
    <w:rsid w:val="002C5C45"/>
    <w:rsid w:val="002C71CE"/>
    <w:rsid w:val="002C7379"/>
    <w:rsid w:val="002D16C0"/>
    <w:rsid w:val="002D1BF4"/>
    <w:rsid w:val="002D33C9"/>
    <w:rsid w:val="002D4C39"/>
    <w:rsid w:val="002D52D6"/>
    <w:rsid w:val="002D577C"/>
    <w:rsid w:val="002D5CFD"/>
    <w:rsid w:val="002D73F7"/>
    <w:rsid w:val="002E07B9"/>
    <w:rsid w:val="002E15B9"/>
    <w:rsid w:val="002E1806"/>
    <w:rsid w:val="002E2158"/>
    <w:rsid w:val="002E2BB0"/>
    <w:rsid w:val="002E32A9"/>
    <w:rsid w:val="002E39C7"/>
    <w:rsid w:val="002E44F2"/>
    <w:rsid w:val="002E7722"/>
    <w:rsid w:val="002F03DF"/>
    <w:rsid w:val="002F061A"/>
    <w:rsid w:val="002F07BA"/>
    <w:rsid w:val="002F0DA9"/>
    <w:rsid w:val="002F28C4"/>
    <w:rsid w:val="002F3D12"/>
    <w:rsid w:val="002F410C"/>
    <w:rsid w:val="002F5D9A"/>
    <w:rsid w:val="002F643C"/>
    <w:rsid w:val="002F71C0"/>
    <w:rsid w:val="00300879"/>
    <w:rsid w:val="00300DB7"/>
    <w:rsid w:val="00301017"/>
    <w:rsid w:val="0030155F"/>
    <w:rsid w:val="00301973"/>
    <w:rsid w:val="00301AB3"/>
    <w:rsid w:val="00301D72"/>
    <w:rsid w:val="00303F67"/>
    <w:rsid w:val="0030587B"/>
    <w:rsid w:val="003063A2"/>
    <w:rsid w:val="00306D98"/>
    <w:rsid w:val="0030705C"/>
    <w:rsid w:val="0030786C"/>
    <w:rsid w:val="0031031A"/>
    <w:rsid w:val="00310981"/>
    <w:rsid w:val="003118CF"/>
    <w:rsid w:val="003137F2"/>
    <w:rsid w:val="003152E2"/>
    <w:rsid w:val="00315498"/>
    <w:rsid w:val="00320507"/>
    <w:rsid w:val="00321F1F"/>
    <w:rsid w:val="00322107"/>
    <w:rsid w:val="00322846"/>
    <w:rsid w:val="00322ADB"/>
    <w:rsid w:val="00322BAD"/>
    <w:rsid w:val="00324082"/>
    <w:rsid w:val="00324270"/>
    <w:rsid w:val="00326DA7"/>
    <w:rsid w:val="003270E4"/>
    <w:rsid w:val="00327233"/>
    <w:rsid w:val="00327AA9"/>
    <w:rsid w:val="00330F5C"/>
    <w:rsid w:val="00331050"/>
    <w:rsid w:val="0033236B"/>
    <w:rsid w:val="00332785"/>
    <w:rsid w:val="0033368D"/>
    <w:rsid w:val="00333A76"/>
    <w:rsid w:val="00334DE3"/>
    <w:rsid w:val="00336248"/>
    <w:rsid w:val="003366C9"/>
    <w:rsid w:val="003370A4"/>
    <w:rsid w:val="003371B0"/>
    <w:rsid w:val="003372BA"/>
    <w:rsid w:val="00340DF1"/>
    <w:rsid w:val="00343A75"/>
    <w:rsid w:val="00343EE5"/>
    <w:rsid w:val="00344749"/>
    <w:rsid w:val="003450BF"/>
    <w:rsid w:val="00345964"/>
    <w:rsid w:val="0034650C"/>
    <w:rsid w:val="00346831"/>
    <w:rsid w:val="003472E8"/>
    <w:rsid w:val="00351642"/>
    <w:rsid w:val="003517F9"/>
    <w:rsid w:val="00353B24"/>
    <w:rsid w:val="00353E03"/>
    <w:rsid w:val="00354A04"/>
    <w:rsid w:val="0035620E"/>
    <w:rsid w:val="00357B33"/>
    <w:rsid w:val="00361710"/>
    <w:rsid w:val="00361DF5"/>
    <w:rsid w:val="003621FA"/>
    <w:rsid w:val="00362488"/>
    <w:rsid w:val="003624C4"/>
    <w:rsid w:val="003626BF"/>
    <w:rsid w:val="00362796"/>
    <w:rsid w:val="00363B77"/>
    <w:rsid w:val="003641A1"/>
    <w:rsid w:val="00364F3F"/>
    <w:rsid w:val="003654AC"/>
    <w:rsid w:val="00370B31"/>
    <w:rsid w:val="00370D75"/>
    <w:rsid w:val="003710CF"/>
    <w:rsid w:val="00371454"/>
    <w:rsid w:val="0037358A"/>
    <w:rsid w:val="003750F6"/>
    <w:rsid w:val="00375801"/>
    <w:rsid w:val="00375B73"/>
    <w:rsid w:val="003760FC"/>
    <w:rsid w:val="00377D3B"/>
    <w:rsid w:val="0038365C"/>
    <w:rsid w:val="0038369B"/>
    <w:rsid w:val="00383B78"/>
    <w:rsid w:val="00385A9D"/>
    <w:rsid w:val="00387454"/>
    <w:rsid w:val="003902B1"/>
    <w:rsid w:val="00391332"/>
    <w:rsid w:val="00393E8A"/>
    <w:rsid w:val="00394716"/>
    <w:rsid w:val="00394B21"/>
    <w:rsid w:val="00395F29"/>
    <w:rsid w:val="00396896"/>
    <w:rsid w:val="00396FD0"/>
    <w:rsid w:val="003977B4"/>
    <w:rsid w:val="003A0E83"/>
    <w:rsid w:val="003A1A7A"/>
    <w:rsid w:val="003A2392"/>
    <w:rsid w:val="003A25E5"/>
    <w:rsid w:val="003A2831"/>
    <w:rsid w:val="003A3ED1"/>
    <w:rsid w:val="003A40F9"/>
    <w:rsid w:val="003A48A7"/>
    <w:rsid w:val="003A4E9C"/>
    <w:rsid w:val="003A519C"/>
    <w:rsid w:val="003A6068"/>
    <w:rsid w:val="003A6D65"/>
    <w:rsid w:val="003B091C"/>
    <w:rsid w:val="003B0A1B"/>
    <w:rsid w:val="003B2322"/>
    <w:rsid w:val="003B29D6"/>
    <w:rsid w:val="003B2C54"/>
    <w:rsid w:val="003B332E"/>
    <w:rsid w:val="003B5B61"/>
    <w:rsid w:val="003B5CCA"/>
    <w:rsid w:val="003B74B2"/>
    <w:rsid w:val="003C0050"/>
    <w:rsid w:val="003C1654"/>
    <w:rsid w:val="003C347A"/>
    <w:rsid w:val="003C44B1"/>
    <w:rsid w:val="003C7D19"/>
    <w:rsid w:val="003D1828"/>
    <w:rsid w:val="003D1DE4"/>
    <w:rsid w:val="003D2422"/>
    <w:rsid w:val="003D39A1"/>
    <w:rsid w:val="003D3FBF"/>
    <w:rsid w:val="003D4A30"/>
    <w:rsid w:val="003D4DE2"/>
    <w:rsid w:val="003D563B"/>
    <w:rsid w:val="003D60C6"/>
    <w:rsid w:val="003D6871"/>
    <w:rsid w:val="003D71BA"/>
    <w:rsid w:val="003D7383"/>
    <w:rsid w:val="003D79BB"/>
    <w:rsid w:val="003D7C98"/>
    <w:rsid w:val="003E0543"/>
    <w:rsid w:val="003E06AA"/>
    <w:rsid w:val="003E1FEA"/>
    <w:rsid w:val="003E30FD"/>
    <w:rsid w:val="003E5363"/>
    <w:rsid w:val="003E75F9"/>
    <w:rsid w:val="003E7A99"/>
    <w:rsid w:val="003F0EFD"/>
    <w:rsid w:val="003F0F81"/>
    <w:rsid w:val="003F2853"/>
    <w:rsid w:val="003F357D"/>
    <w:rsid w:val="003F3AEF"/>
    <w:rsid w:val="003F4156"/>
    <w:rsid w:val="003F44BC"/>
    <w:rsid w:val="003F50EB"/>
    <w:rsid w:val="003F5869"/>
    <w:rsid w:val="003F5A10"/>
    <w:rsid w:val="00400B29"/>
    <w:rsid w:val="00400CB0"/>
    <w:rsid w:val="00401EE1"/>
    <w:rsid w:val="00403B41"/>
    <w:rsid w:val="00404FE4"/>
    <w:rsid w:val="0040504B"/>
    <w:rsid w:val="0040765E"/>
    <w:rsid w:val="00407FDD"/>
    <w:rsid w:val="00410708"/>
    <w:rsid w:val="00410853"/>
    <w:rsid w:val="00410DF9"/>
    <w:rsid w:val="00410EC7"/>
    <w:rsid w:val="0041166A"/>
    <w:rsid w:val="00411B39"/>
    <w:rsid w:val="00413A1E"/>
    <w:rsid w:val="00414294"/>
    <w:rsid w:val="00414476"/>
    <w:rsid w:val="00414C2E"/>
    <w:rsid w:val="00414ED5"/>
    <w:rsid w:val="004151CF"/>
    <w:rsid w:val="00415215"/>
    <w:rsid w:val="00416231"/>
    <w:rsid w:val="00416364"/>
    <w:rsid w:val="004164BB"/>
    <w:rsid w:val="00420AA6"/>
    <w:rsid w:val="00420B9F"/>
    <w:rsid w:val="004215AC"/>
    <w:rsid w:val="00421F4F"/>
    <w:rsid w:val="00422260"/>
    <w:rsid w:val="0042319C"/>
    <w:rsid w:val="004236B0"/>
    <w:rsid w:val="0042413F"/>
    <w:rsid w:val="00425C18"/>
    <w:rsid w:val="00425D97"/>
    <w:rsid w:val="00427533"/>
    <w:rsid w:val="00427B8D"/>
    <w:rsid w:val="00427D1E"/>
    <w:rsid w:val="00431557"/>
    <w:rsid w:val="004319F8"/>
    <w:rsid w:val="00431C7E"/>
    <w:rsid w:val="00431E55"/>
    <w:rsid w:val="004321F6"/>
    <w:rsid w:val="00433044"/>
    <w:rsid w:val="00434399"/>
    <w:rsid w:val="0043531F"/>
    <w:rsid w:val="004375B9"/>
    <w:rsid w:val="00437CE8"/>
    <w:rsid w:val="00442059"/>
    <w:rsid w:val="004428D0"/>
    <w:rsid w:val="004443A7"/>
    <w:rsid w:val="0044442C"/>
    <w:rsid w:val="00444679"/>
    <w:rsid w:val="00444EDF"/>
    <w:rsid w:val="00445941"/>
    <w:rsid w:val="004464EB"/>
    <w:rsid w:val="00447D26"/>
    <w:rsid w:val="00451390"/>
    <w:rsid w:val="00452411"/>
    <w:rsid w:val="004531FC"/>
    <w:rsid w:val="00454125"/>
    <w:rsid w:val="00455D45"/>
    <w:rsid w:val="00456436"/>
    <w:rsid w:val="004634FE"/>
    <w:rsid w:val="00464595"/>
    <w:rsid w:val="00466D7A"/>
    <w:rsid w:val="00467456"/>
    <w:rsid w:val="00467CCC"/>
    <w:rsid w:val="004704E8"/>
    <w:rsid w:val="004705BF"/>
    <w:rsid w:val="00471C00"/>
    <w:rsid w:val="00472A79"/>
    <w:rsid w:val="00473F19"/>
    <w:rsid w:val="00474DA1"/>
    <w:rsid w:val="004754A8"/>
    <w:rsid w:val="00475E22"/>
    <w:rsid w:val="0047749E"/>
    <w:rsid w:val="004774B5"/>
    <w:rsid w:val="00477B13"/>
    <w:rsid w:val="0048088E"/>
    <w:rsid w:val="00482720"/>
    <w:rsid w:val="004830EA"/>
    <w:rsid w:val="00483326"/>
    <w:rsid w:val="004833F5"/>
    <w:rsid w:val="004835E7"/>
    <w:rsid w:val="00484057"/>
    <w:rsid w:val="004863C8"/>
    <w:rsid w:val="00486500"/>
    <w:rsid w:val="004867E2"/>
    <w:rsid w:val="00491B3A"/>
    <w:rsid w:val="00492CFD"/>
    <w:rsid w:val="0049481B"/>
    <w:rsid w:val="00494DD5"/>
    <w:rsid w:val="004962D2"/>
    <w:rsid w:val="004A0DA1"/>
    <w:rsid w:val="004A16E0"/>
    <w:rsid w:val="004A39B4"/>
    <w:rsid w:val="004A43D9"/>
    <w:rsid w:val="004A52E9"/>
    <w:rsid w:val="004A5A5C"/>
    <w:rsid w:val="004A6597"/>
    <w:rsid w:val="004A717D"/>
    <w:rsid w:val="004A7531"/>
    <w:rsid w:val="004A7848"/>
    <w:rsid w:val="004B0E3A"/>
    <w:rsid w:val="004B11E2"/>
    <w:rsid w:val="004B1A90"/>
    <w:rsid w:val="004B1CB4"/>
    <w:rsid w:val="004B2F18"/>
    <w:rsid w:val="004B3A52"/>
    <w:rsid w:val="004B3DDB"/>
    <w:rsid w:val="004B3F7B"/>
    <w:rsid w:val="004B44FD"/>
    <w:rsid w:val="004B55DF"/>
    <w:rsid w:val="004B59C5"/>
    <w:rsid w:val="004B5CFC"/>
    <w:rsid w:val="004B774D"/>
    <w:rsid w:val="004B7D77"/>
    <w:rsid w:val="004C3E0B"/>
    <w:rsid w:val="004C4AED"/>
    <w:rsid w:val="004C670F"/>
    <w:rsid w:val="004C6895"/>
    <w:rsid w:val="004C7DF3"/>
    <w:rsid w:val="004C7EAD"/>
    <w:rsid w:val="004D2C2D"/>
    <w:rsid w:val="004D3F42"/>
    <w:rsid w:val="004D42BE"/>
    <w:rsid w:val="004D4E50"/>
    <w:rsid w:val="004D4FEE"/>
    <w:rsid w:val="004D5C85"/>
    <w:rsid w:val="004D7227"/>
    <w:rsid w:val="004E07D8"/>
    <w:rsid w:val="004E0E7F"/>
    <w:rsid w:val="004E0EB8"/>
    <w:rsid w:val="004E2ADC"/>
    <w:rsid w:val="004E2F7A"/>
    <w:rsid w:val="004E3D05"/>
    <w:rsid w:val="004E43B2"/>
    <w:rsid w:val="004E449F"/>
    <w:rsid w:val="004E45B5"/>
    <w:rsid w:val="004E735F"/>
    <w:rsid w:val="004F022D"/>
    <w:rsid w:val="004F06BE"/>
    <w:rsid w:val="004F1D02"/>
    <w:rsid w:val="004F204A"/>
    <w:rsid w:val="004F2553"/>
    <w:rsid w:val="004F2679"/>
    <w:rsid w:val="004F2B69"/>
    <w:rsid w:val="004F2F21"/>
    <w:rsid w:val="004F43EB"/>
    <w:rsid w:val="004F4573"/>
    <w:rsid w:val="004F5A99"/>
    <w:rsid w:val="004F6913"/>
    <w:rsid w:val="004F7865"/>
    <w:rsid w:val="005011F4"/>
    <w:rsid w:val="00501BFD"/>
    <w:rsid w:val="0050219B"/>
    <w:rsid w:val="00503B59"/>
    <w:rsid w:val="00503F17"/>
    <w:rsid w:val="00506928"/>
    <w:rsid w:val="0050723F"/>
    <w:rsid w:val="0051121A"/>
    <w:rsid w:val="005112DC"/>
    <w:rsid w:val="00511759"/>
    <w:rsid w:val="0051396E"/>
    <w:rsid w:val="00513974"/>
    <w:rsid w:val="005152B5"/>
    <w:rsid w:val="005155DD"/>
    <w:rsid w:val="005160F2"/>
    <w:rsid w:val="00516780"/>
    <w:rsid w:val="00520C91"/>
    <w:rsid w:val="00521319"/>
    <w:rsid w:val="00521C44"/>
    <w:rsid w:val="00521DC7"/>
    <w:rsid w:val="005222A2"/>
    <w:rsid w:val="00522BC8"/>
    <w:rsid w:val="00522E6D"/>
    <w:rsid w:val="00523B54"/>
    <w:rsid w:val="00523C28"/>
    <w:rsid w:val="0052478B"/>
    <w:rsid w:val="00524867"/>
    <w:rsid w:val="005259AF"/>
    <w:rsid w:val="00525D7D"/>
    <w:rsid w:val="00526E42"/>
    <w:rsid w:val="0052722C"/>
    <w:rsid w:val="00527B44"/>
    <w:rsid w:val="005306A9"/>
    <w:rsid w:val="005316B1"/>
    <w:rsid w:val="0053175A"/>
    <w:rsid w:val="00531974"/>
    <w:rsid w:val="00531F52"/>
    <w:rsid w:val="00532C55"/>
    <w:rsid w:val="00534B9F"/>
    <w:rsid w:val="0053617A"/>
    <w:rsid w:val="005366D2"/>
    <w:rsid w:val="005366D5"/>
    <w:rsid w:val="00536F42"/>
    <w:rsid w:val="00537182"/>
    <w:rsid w:val="00540ECA"/>
    <w:rsid w:val="00540FF3"/>
    <w:rsid w:val="00541EFC"/>
    <w:rsid w:val="00542743"/>
    <w:rsid w:val="00542C2D"/>
    <w:rsid w:val="005513B2"/>
    <w:rsid w:val="00551985"/>
    <w:rsid w:val="00551CE9"/>
    <w:rsid w:val="00552BD3"/>
    <w:rsid w:val="0055362D"/>
    <w:rsid w:val="00555109"/>
    <w:rsid w:val="00561879"/>
    <w:rsid w:val="00562E30"/>
    <w:rsid w:val="00565238"/>
    <w:rsid w:val="00565F60"/>
    <w:rsid w:val="0056696F"/>
    <w:rsid w:val="00570C3D"/>
    <w:rsid w:val="00572047"/>
    <w:rsid w:val="00572269"/>
    <w:rsid w:val="0057244A"/>
    <w:rsid w:val="00573654"/>
    <w:rsid w:val="00573B52"/>
    <w:rsid w:val="00575D8D"/>
    <w:rsid w:val="00576972"/>
    <w:rsid w:val="00577D0E"/>
    <w:rsid w:val="00580F3F"/>
    <w:rsid w:val="00581C81"/>
    <w:rsid w:val="00582786"/>
    <w:rsid w:val="00583699"/>
    <w:rsid w:val="005845D4"/>
    <w:rsid w:val="00584DBA"/>
    <w:rsid w:val="005858CC"/>
    <w:rsid w:val="00585CDD"/>
    <w:rsid w:val="00587058"/>
    <w:rsid w:val="00590F69"/>
    <w:rsid w:val="005917AD"/>
    <w:rsid w:val="00591957"/>
    <w:rsid w:val="005924D6"/>
    <w:rsid w:val="005926A9"/>
    <w:rsid w:val="00594DBC"/>
    <w:rsid w:val="00596CE4"/>
    <w:rsid w:val="00597BF9"/>
    <w:rsid w:val="005A0ED2"/>
    <w:rsid w:val="005A373D"/>
    <w:rsid w:val="005A3D2F"/>
    <w:rsid w:val="005A4681"/>
    <w:rsid w:val="005A4764"/>
    <w:rsid w:val="005A5031"/>
    <w:rsid w:val="005A5724"/>
    <w:rsid w:val="005A5B42"/>
    <w:rsid w:val="005A6E0C"/>
    <w:rsid w:val="005A6E22"/>
    <w:rsid w:val="005B071F"/>
    <w:rsid w:val="005B4E99"/>
    <w:rsid w:val="005B5857"/>
    <w:rsid w:val="005B5F4E"/>
    <w:rsid w:val="005B6A99"/>
    <w:rsid w:val="005B784C"/>
    <w:rsid w:val="005C0B1D"/>
    <w:rsid w:val="005C1B83"/>
    <w:rsid w:val="005C2D55"/>
    <w:rsid w:val="005C346B"/>
    <w:rsid w:val="005C4C42"/>
    <w:rsid w:val="005C4F79"/>
    <w:rsid w:val="005C66D5"/>
    <w:rsid w:val="005D044D"/>
    <w:rsid w:val="005D0762"/>
    <w:rsid w:val="005D0ABD"/>
    <w:rsid w:val="005D18AD"/>
    <w:rsid w:val="005D2338"/>
    <w:rsid w:val="005D26B4"/>
    <w:rsid w:val="005D3500"/>
    <w:rsid w:val="005D3BCA"/>
    <w:rsid w:val="005D5FFE"/>
    <w:rsid w:val="005D6EF1"/>
    <w:rsid w:val="005D7055"/>
    <w:rsid w:val="005D791C"/>
    <w:rsid w:val="005E1399"/>
    <w:rsid w:val="005E21B7"/>
    <w:rsid w:val="005E2EBB"/>
    <w:rsid w:val="005E32A7"/>
    <w:rsid w:val="005E53DD"/>
    <w:rsid w:val="005E697B"/>
    <w:rsid w:val="005E6CBC"/>
    <w:rsid w:val="005E73C0"/>
    <w:rsid w:val="005E74D3"/>
    <w:rsid w:val="005F0718"/>
    <w:rsid w:val="005F1217"/>
    <w:rsid w:val="005F1E35"/>
    <w:rsid w:val="005F2706"/>
    <w:rsid w:val="005F421A"/>
    <w:rsid w:val="005F5240"/>
    <w:rsid w:val="005F6A8F"/>
    <w:rsid w:val="005F752A"/>
    <w:rsid w:val="00602F91"/>
    <w:rsid w:val="00603D65"/>
    <w:rsid w:val="00603DB9"/>
    <w:rsid w:val="00603E5A"/>
    <w:rsid w:val="00605171"/>
    <w:rsid w:val="00605848"/>
    <w:rsid w:val="00606991"/>
    <w:rsid w:val="00607669"/>
    <w:rsid w:val="00607AFD"/>
    <w:rsid w:val="0061086A"/>
    <w:rsid w:val="00610C8C"/>
    <w:rsid w:val="00612F97"/>
    <w:rsid w:val="0061345D"/>
    <w:rsid w:val="00614581"/>
    <w:rsid w:val="006158F8"/>
    <w:rsid w:val="00615DF9"/>
    <w:rsid w:val="0061622F"/>
    <w:rsid w:val="00616802"/>
    <w:rsid w:val="00617143"/>
    <w:rsid w:val="00617E12"/>
    <w:rsid w:val="00617E64"/>
    <w:rsid w:val="00620A80"/>
    <w:rsid w:val="00620BF1"/>
    <w:rsid w:val="00621477"/>
    <w:rsid w:val="00621839"/>
    <w:rsid w:val="0062188F"/>
    <w:rsid w:val="0062288B"/>
    <w:rsid w:val="00624521"/>
    <w:rsid w:val="006245A9"/>
    <w:rsid w:val="006250DE"/>
    <w:rsid w:val="00625416"/>
    <w:rsid w:val="00625543"/>
    <w:rsid w:val="00626C24"/>
    <w:rsid w:val="00627996"/>
    <w:rsid w:val="00630EAA"/>
    <w:rsid w:val="0063158F"/>
    <w:rsid w:val="00631ACE"/>
    <w:rsid w:val="00631D6B"/>
    <w:rsid w:val="006330A1"/>
    <w:rsid w:val="0063479F"/>
    <w:rsid w:val="00634CD7"/>
    <w:rsid w:val="006353F0"/>
    <w:rsid w:val="00635642"/>
    <w:rsid w:val="006364A1"/>
    <w:rsid w:val="00637BFD"/>
    <w:rsid w:val="0064014B"/>
    <w:rsid w:val="00641C4E"/>
    <w:rsid w:val="00643AC9"/>
    <w:rsid w:val="00645191"/>
    <w:rsid w:val="006471CC"/>
    <w:rsid w:val="00650390"/>
    <w:rsid w:val="0065079F"/>
    <w:rsid w:val="00650CFB"/>
    <w:rsid w:val="006512DD"/>
    <w:rsid w:val="00652E5B"/>
    <w:rsid w:val="00653159"/>
    <w:rsid w:val="0065379F"/>
    <w:rsid w:val="006540A2"/>
    <w:rsid w:val="00654410"/>
    <w:rsid w:val="006548D5"/>
    <w:rsid w:val="00657031"/>
    <w:rsid w:val="0066060E"/>
    <w:rsid w:val="00661C6B"/>
    <w:rsid w:val="00664030"/>
    <w:rsid w:val="00665F57"/>
    <w:rsid w:val="006660AF"/>
    <w:rsid w:val="00666B9A"/>
    <w:rsid w:val="00671078"/>
    <w:rsid w:val="00672CFF"/>
    <w:rsid w:val="006733C2"/>
    <w:rsid w:val="00674E42"/>
    <w:rsid w:val="0067648E"/>
    <w:rsid w:val="00677BB4"/>
    <w:rsid w:val="00677CDE"/>
    <w:rsid w:val="00680205"/>
    <w:rsid w:val="006816CA"/>
    <w:rsid w:val="00682112"/>
    <w:rsid w:val="006826CD"/>
    <w:rsid w:val="00682E91"/>
    <w:rsid w:val="00683156"/>
    <w:rsid w:val="006868AD"/>
    <w:rsid w:val="00686957"/>
    <w:rsid w:val="006872BA"/>
    <w:rsid w:val="0069037C"/>
    <w:rsid w:val="00690490"/>
    <w:rsid w:val="00691648"/>
    <w:rsid w:val="006917D7"/>
    <w:rsid w:val="0069225B"/>
    <w:rsid w:val="006938CC"/>
    <w:rsid w:val="0069405A"/>
    <w:rsid w:val="00694081"/>
    <w:rsid w:val="00694AAE"/>
    <w:rsid w:val="00694F44"/>
    <w:rsid w:val="0069597D"/>
    <w:rsid w:val="00695CA5"/>
    <w:rsid w:val="00697955"/>
    <w:rsid w:val="00697CBF"/>
    <w:rsid w:val="006A03B0"/>
    <w:rsid w:val="006A1840"/>
    <w:rsid w:val="006A2DB2"/>
    <w:rsid w:val="006A381B"/>
    <w:rsid w:val="006A3CF8"/>
    <w:rsid w:val="006A59B3"/>
    <w:rsid w:val="006A63AF"/>
    <w:rsid w:val="006A7E5F"/>
    <w:rsid w:val="006B073C"/>
    <w:rsid w:val="006B261B"/>
    <w:rsid w:val="006B2C90"/>
    <w:rsid w:val="006B42C6"/>
    <w:rsid w:val="006B4325"/>
    <w:rsid w:val="006B57AC"/>
    <w:rsid w:val="006B61DC"/>
    <w:rsid w:val="006B6DD0"/>
    <w:rsid w:val="006B7849"/>
    <w:rsid w:val="006C15F3"/>
    <w:rsid w:val="006C1F05"/>
    <w:rsid w:val="006C2A8E"/>
    <w:rsid w:val="006C58A1"/>
    <w:rsid w:val="006C596E"/>
    <w:rsid w:val="006C6803"/>
    <w:rsid w:val="006C6C0C"/>
    <w:rsid w:val="006C7DAC"/>
    <w:rsid w:val="006D0BDD"/>
    <w:rsid w:val="006D153F"/>
    <w:rsid w:val="006D3C7D"/>
    <w:rsid w:val="006D52DD"/>
    <w:rsid w:val="006D5D5F"/>
    <w:rsid w:val="006D6B58"/>
    <w:rsid w:val="006D6FE3"/>
    <w:rsid w:val="006E0C19"/>
    <w:rsid w:val="006E0EC4"/>
    <w:rsid w:val="006E0FDB"/>
    <w:rsid w:val="006E120A"/>
    <w:rsid w:val="006E3839"/>
    <w:rsid w:val="006E5D2B"/>
    <w:rsid w:val="006F06F8"/>
    <w:rsid w:val="006F1A82"/>
    <w:rsid w:val="006F2808"/>
    <w:rsid w:val="006F306C"/>
    <w:rsid w:val="006F3C17"/>
    <w:rsid w:val="006F4076"/>
    <w:rsid w:val="006F63A5"/>
    <w:rsid w:val="006F667D"/>
    <w:rsid w:val="006F6FA9"/>
    <w:rsid w:val="006F7966"/>
    <w:rsid w:val="00700670"/>
    <w:rsid w:val="00700C5E"/>
    <w:rsid w:val="00701370"/>
    <w:rsid w:val="0070142B"/>
    <w:rsid w:val="0070176C"/>
    <w:rsid w:val="0070276E"/>
    <w:rsid w:val="00702F8F"/>
    <w:rsid w:val="007039F8"/>
    <w:rsid w:val="00710A5E"/>
    <w:rsid w:val="00710E6A"/>
    <w:rsid w:val="00711A36"/>
    <w:rsid w:val="00712845"/>
    <w:rsid w:val="0071416B"/>
    <w:rsid w:val="0071529C"/>
    <w:rsid w:val="007172AD"/>
    <w:rsid w:val="00720890"/>
    <w:rsid w:val="00722B1B"/>
    <w:rsid w:val="0072416F"/>
    <w:rsid w:val="0072572E"/>
    <w:rsid w:val="007270BF"/>
    <w:rsid w:val="00727C94"/>
    <w:rsid w:val="00730547"/>
    <w:rsid w:val="007305C3"/>
    <w:rsid w:val="00731EAE"/>
    <w:rsid w:val="00732D46"/>
    <w:rsid w:val="00733B69"/>
    <w:rsid w:val="00733D76"/>
    <w:rsid w:val="00734FB7"/>
    <w:rsid w:val="00735033"/>
    <w:rsid w:val="00735328"/>
    <w:rsid w:val="00735E3F"/>
    <w:rsid w:val="00736381"/>
    <w:rsid w:val="0073667F"/>
    <w:rsid w:val="0073685B"/>
    <w:rsid w:val="00740E4D"/>
    <w:rsid w:val="0074649A"/>
    <w:rsid w:val="00746E26"/>
    <w:rsid w:val="00747836"/>
    <w:rsid w:val="00750FAC"/>
    <w:rsid w:val="00751743"/>
    <w:rsid w:val="00751D9E"/>
    <w:rsid w:val="00751F58"/>
    <w:rsid w:val="00752142"/>
    <w:rsid w:val="007523F9"/>
    <w:rsid w:val="00752C56"/>
    <w:rsid w:val="007532EF"/>
    <w:rsid w:val="00754899"/>
    <w:rsid w:val="0075575E"/>
    <w:rsid w:val="00756BF4"/>
    <w:rsid w:val="007573C0"/>
    <w:rsid w:val="007573E8"/>
    <w:rsid w:val="007603C9"/>
    <w:rsid w:val="00760C4E"/>
    <w:rsid w:val="00761426"/>
    <w:rsid w:val="00762655"/>
    <w:rsid w:val="0076492D"/>
    <w:rsid w:val="00764D23"/>
    <w:rsid w:val="007656BC"/>
    <w:rsid w:val="00765712"/>
    <w:rsid w:val="00765B1A"/>
    <w:rsid w:val="00767210"/>
    <w:rsid w:val="00767B73"/>
    <w:rsid w:val="00770441"/>
    <w:rsid w:val="00773E8E"/>
    <w:rsid w:val="00774096"/>
    <w:rsid w:val="00780061"/>
    <w:rsid w:val="007805A9"/>
    <w:rsid w:val="007821AD"/>
    <w:rsid w:val="0078384D"/>
    <w:rsid w:val="007843F2"/>
    <w:rsid w:val="007914FC"/>
    <w:rsid w:val="007919FE"/>
    <w:rsid w:val="0079279C"/>
    <w:rsid w:val="00792FCB"/>
    <w:rsid w:val="0079307B"/>
    <w:rsid w:val="00793B21"/>
    <w:rsid w:val="00795D19"/>
    <w:rsid w:val="00795E93"/>
    <w:rsid w:val="00796C35"/>
    <w:rsid w:val="00797116"/>
    <w:rsid w:val="007972AB"/>
    <w:rsid w:val="00797BF6"/>
    <w:rsid w:val="007A08AA"/>
    <w:rsid w:val="007A0A12"/>
    <w:rsid w:val="007A132D"/>
    <w:rsid w:val="007A14C9"/>
    <w:rsid w:val="007A30E4"/>
    <w:rsid w:val="007A5EF1"/>
    <w:rsid w:val="007A72C2"/>
    <w:rsid w:val="007A753D"/>
    <w:rsid w:val="007B0D68"/>
    <w:rsid w:val="007B1430"/>
    <w:rsid w:val="007B21A3"/>
    <w:rsid w:val="007B251D"/>
    <w:rsid w:val="007B447B"/>
    <w:rsid w:val="007B45AF"/>
    <w:rsid w:val="007B4F58"/>
    <w:rsid w:val="007B528D"/>
    <w:rsid w:val="007B571C"/>
    <w:rsid w:val="007B673B"/>
    <w:rsid w:val="007B77D1"/>
    <w:rsid w:val="007B7955"/>
    <w:rsid w:val="007C1CD9"/>
    <w:rsid w:val="007C361D"/>
    <w:rsid w:val="007C368D"/>
    <w:rsid w:val="007C3FCA"/>
    <w:rsid w:val="007C4B84"/>
    <w:rsid w:val="007C5D70"/>
    <w:rsid w:val="007C6176"/>
    <w:rsid w:val="007C6E06"/>
    <w:rsid w:val="007D004F"/>
    <w:rsid w:val="007D0B38"/>
    <w:rsid w:val="007D307F"/>
    <w:rsid w:val="007D5440"/>
    <w:rsid w:val="007D6EC1"/>
    <w:rsid w:val="007E23AB"/>
    <w:rsid w:val="007E247A"/>
    <w:rsid w:val="007E7432"/>
    <w:rsid w:val="007E7434"/>
    <w:rsid w:val="007E7809"/>
    <w:rsid w:val="007E788A"/>
    <w:rsid w:val="007F0E96"/>
    <w:rsid w:val="007F1017"/>
    <w:rsid w:val="007F1138"/>
    <w:rsid w:val="007F36B8"/>
    <w:rsid w:val="007F3D52"/>
    <w:rsid w:val="007F3D95"/>
    <w:rsid w:val="007F41EE"/>
    <w:rsid w:val="007F4A3F"/>
    <w:rsid w:val="007F4A61"/>
    <w:rsid w:val="007F61C2"/>
    <w:rsid w:val="008020E2"/>
    <w:rsid w:val="00802CFF"/>
    <w:rsid w:val="008036F5"/>
    <w:rsid w:val="00804FBE"/>
    <w:rsid w:val="00805142"/>
    <w:rsid w:val="00805F7F"/>
    <w:rsid w:val="008069F3"/>
    <w:rsid w:val="00806CC3"/>
    <w:rsid w:val="0080793F"/>
    <w:rsid w:val="00807A8B"/>
    <w:rsid w:val="0081110A"/>
    <w:rsid w:val="00811383"/>
    <w:rsid w:val="00812149"/>
    <w:rsid w:val="00812778"/>
    <w:rsid w:val="00812CAC"/>
    <w:rsid w:val="00812F7D"/>
    <w:rsid w:val="00814F2B"/>
    <w:rsid w:val="00815608"/>
    <w:rsid w:val="008166EF"/>
    <w:rsid w:val="00817829"/>
    <w:rsid w:val="008214FC"/>
    <w:rsid w:val="00823438"/>
    <w:rsid w:val="008244AA"/>
    <w:rsid w:val="00824F39"/>
    <w:rsid w:val="00825751"/>
    <w:rsid w:val="00825CAC"/>
    <w:rsid w:val="008264EB"/>
    <w:rsid w:val="00827053"/>
    <w:rsid w:val="008273A8"/>
    <w:rsid w:val="008311DD"/>
    <w:rsid w:val="00831B64"/>
    <w:rsid w:val="00832043"/>
    <w:rsid w:val="008321CD"/>
    <w:rsid w:val="00833AD9"/>
    <w:rsid w:val="00833B05"/>
    <w:rsid w:val="0083476D"/>
    <w:rsid w:val="00834EB1"/>
    <w:rsid w:val="00834F6C"/>
    <w:rsid w:val="008350C8"/>
    <w:rsid w:val="0083602B"/>
    <w:rsid w:val="008362B4"/>
    <w:rsid w:val="008364CD"/>
    <w:rsid w:val="00837B9D"/>
    <w:rsid w:val="008407D7"/>
    <w:rsid w:val="00840AD8"/>
    <w:rsid w:val="00840CA2"/>
    <w:rsid w:val="0084116B"/>
    <w:rsid w:val="00841AA9"/>
    <w:rsid w:val="00842455"/>
    <w:rsid w:val="00842E97"/>
    <w:rsid w:val="0084360B"/>
    <w:rsid w:val="0084374F"/>
    <w:rsid w:val="00843A62"/>
    <w:rsid w:val="00844298"/>
    <w:rsid w:val="008442F5"/>
    <w:rsid w:val="008449DA"/>
    <w:rsid w:val="0084590B"/>
    <w:rsid w:val="008471E7"/>
    <w:rsid w:val="00847226"/>
    <w:rsid w:val="00847DF5"/>
    <w:rsid w:val="008505D4"/>
    <w:rsid w:val="0085073F"/>
    <w:rsid w:val="00850F5B"/>
    <w:rsid w:val="008513F6"/>
    <w:rsid w:val="00851A7A"/>
    <w:rsid w:val="0085309D"/>
    <w:rsid w:val="00853143"/>
    <w:rsid w:val="008534F8"/>
    <w:rsid w:val="00856637"/>
    <w:rsid w:val="00856897"/>
    <w:rsid w:val="00856E9A"/>
    <w:rsid w:val="00856ED7"/>
    <w:rsid w:val="008579C4"/>
    <w:rsid w:val="00857A5D"/>
    <w:rsid w:val="0086001E"/>
    <w:rsid w:val="0086075D"/>
    <w:rsid w:val="00862502"/>
    <w:rsid w:val="00864418"/>
    <w:rsid w:val="008660D4"/>
    <w:rsid w:val="008663DB"/>
    <w:rsid w:val="008666D5"/>
    <w:rsid w:val="00866A2C"/>
    <w:rsid w:val="00867611"/>
    <w:rsid w:val="00871FA9"/>
    <w:rsid w:val="008720C3"/>
    <w:rsid w:val="008728E9"/>
    <w:rsid w:val="00872D33"/>
    <w:rsid w:val="00875A22"/>
    <w:rsid w:val="00876DAB"/>
    <w:rsid w:val="00882874"/>
    <w:rsid w:val="00883787"/>
    <w:rsid w:val="00884247"/>
    <w:rsid w:val="00884C75"/>
    <w:rsid w:val="00885A1F"/>
    <w:rsid w:val="00886CD2"/>
    <w:rsid w:val="00887461"/>
    <w:rsid w:val="00887ADC"/>
    <w:rsid w:val="00890E33"/>
    <w:rsid w:val="00890F38"/>
    <w:rsid w:val="00892A36"/>
    <w:rsid w:val="00892A5E"/>
    <w:rsid w:val="00893239"/>
    <w:rsid w:val="00894489"/>
    <w:rsid w:val="0089493E"/>
    <w:rsid w:val="008954B5"/>
    <w:rsid w:val="008963A5"/>
    <w:rsid w:val="008978DB"/>
    <w:rsid w:val="008A3363"/>
    <w:rsid w:val="008A3371"/>
    <w:rsid w:val="008A3C3E"/>
    <w:rsid w:val="008A4123"/>
    <w:rsid w:val="008A4FF9"/>
    <w:rsid w:val="008A6104"/>
    <w:rsid w:val="008A67AE"/>
    <w:rsid w:val="008A70C6"/>
    <w:rsid w:val="008A79DE"/>
    <w:rsid w:val="008A7CC3"/>
    <w:rsid w:val="008B0FCB"/>
    <w:rsid w:val="008B1757"/>
    <w:rsid w:val="008B3DC1"/>
    <w:rsid w:val="008B5A69"/>
    <w:rsid w:val="008B7D7E"/>
    <w:rsid w:val="008C2C78"/>
    <w:rsid w:val="008C3D4F"/>
    <w:rsid w:val="008C6A6F"/>
    <w:rsid w:val="008C72B3"/>
    <w:rsid w:val="008C7ECB"/>
    <w:rsid w:val="008D10A0"/>
    <w:rsid w:val="008D1446"/>
    <w:rsid w:val="008D256E"/>
    <w:rsid w:val="008D380E"/>
    <w:rsid w:val="008D468E"/>
    <w:rsid w:val="008D4755"/>
    <w:rsid w:val="008D4C3D"/>
    <w:rsid w:val="008D4E05"/>
    <w:rsid w:val="008D527E"/>
    <w:rsid w:val="008D5FC2"/>
    <w:rsid w:val="008E0D3C"/>
    <w:rsid w:val="008E1B9E"/>
    <w:rsid w:val="008E1DCF"/>
    <w:rsid w:val="008E2676"/>
    <w:rsid w:val="008E42D0"/>
    <w:rsid w:val="008E4C84"/>
    <w:rsid w:val="008E55AB"/>
    <w:rsid w:val="008E7B69"/>
    <w:rsid w:val="008F120A"/>
    <w:rsid w:val="008F20AC"/>
    <w:rsid w:val="008F273D"/>
    <w:rsid w:val="008F27E0"/>
    <w:rsid w:val="008F2816"/>
    <w:rsid w:val="008F2840"/>
    <w:rsid w:val="008F3577"/>
    <w:rsid w:val="008F48EB"/>
    <w:rsid w:val="008F4F0B"/>
    <w:rsid w:val="008F6BE9"/>
    <w:rsid w:val="00901799"/>
    <w:rsid w:val="00901A29"/>
    <w:rsid w:val="009039A4"/>
    <w:rsid w:val="009046C4"/>
    <w:rsid w:val="009062A5"/>
    <w:rsid w:val="009103BE"/>
    <w:rsid w:val="00911272"/>
    <w:rsid w:val="00911543"/>
    <w:rsid w:val="009135D6"/>
    <w:rsid w:val="00914C77"/>
    <w:rsid w:val="00915542"/>
    <w:rsid w:val="00916AC2"/>
    <w:rsid w:val="00917000"/>
    <w:rsid w:val="009200A4"/>
    <w:rsid w:val="009209A4"/>
    <w:rsid w:val="0092136C"/>
    <w:rsid w:val="00921ACE"/>
    <w:rsid w:val="00922573"/>
    <w:rsid w:val="00922C68"/>
    <w:rsid w:val="00923583"/>
    <w:rsid w:val="0092369B"/>
    <w:rsid w:val="00924DE3"/>
    <w:rsid w:val="00925426"/>
    <w:rsid w:val="00925939"/>
    <w:rsid w:val="00925A66"/>
    <w:rsid w:val="00925D0A"/>
    <w:rsid w:val="00927764"/>
    <w:rsid w:val="00931D23"/>
    <w:rsid w:val="00932D4D"/>
    <w:rsid w:val="00933861"/>
    <w:rsid w:val="00935DB8"/>
    <w:rsid w:val="009374B1"/>
    <w:rsid w:val="00942F70"/>
    <w:rsid w:val="009444D1"/>
    <w:rsid w:val="00945EED"/>
    <w:rsid w:val="009471CB"/>
    <w:rsid w:val="00947207"/>
    <w:rsid w:val="00950A85"/>
    <w:rsid w:val="00950EDF"/>
    <w:rsid w:val="009510A2"/>
    <w:rsid w:val="00952D69"/>
    <w:rsid w:val="00953257"/>
    <w:rsid w:val="00954D6E"/>
    <w:rsid w:val="00954D80"/>
    <w:rsid w:val="00956AEF"/>
    <w:rsid w:val="0096015B"/>
    <w:rsid w:val="00960F1D"/>
    <w:rsid w:val="00962CB9"/>
    <w:rsid w:val="00964312"/>
    <w:rsid w:val="009643EE"/>
    <w:rsid w:val="00965B8A"/>
    <w:rsid w:val="009660EA"/>
    <w:rsid w:val="00967436"/>
    <w:rsid w:val="009717AC"/>
    <w:rsid w:val="00971A4E"/>
    <w:rsid w:val="00972099"/>
    <w:rsid w:val="009726AF"/>
    <w:rsid w:val="00973511"/>
    <w:rsid w:val="00974ABE"/>
    <w:rsid w:val="009811AA"/>
    <w:rsid w:val="009811C5"/>
    <w:rsid w:val="00981C5D"/>
    <w:rsid w:val="0098248F"/>
    <w:rsid w:val="009824C8"/>
    <w:rsid w:val="00983E57"/>
    <w:rsid w:val="00984206"/>
    <w:rsid w:val="00984365"/>
    <w:rsid w:val="00986312"/>
    <w:rsid w:val="0098675D"/>
    <w:rsid w:val="0098796C"/>
    <w:rsid w:val="00987AEA"/>
    <w:rsid w:val="00987BD3"/>
    <w:rsid w:val="00993754"/>
    <w:rsid w:val="00995EF9"/>
    <w:rsid w:val="0099698A"/>
    <w:rsid w:val="00996B1A"/>
    <w:rsid w:val="00997C52"/>
    <w:rsid w:val="009A1E75"/>
    <w:rsid w:val="009A1E78"/>
    <w:rsid w:val="009A2C5D"/>
    <w:rsid w:val="009A38D3"/>
    <w:rsid w:val="009A3A15"/>
    <w:rsid w:val="009A76DF"/>
    <w:rsid w:val="009A7F10"/>
    <w:rsid w:val="009B145D"/>
    <w:rsid w:val="009B1E8C"/>
    <w:rsid w:val="009B3E26"/>
    <w:rsid w:val="009B479E"/>
    <w:rsid w:val="009B486D"/>
    <w:rsid w:val="009B4EB2"/>
    <w:rsid w:val="009B5906"/>
    <w:rsid w:val="009B700F"/>
    <w:rsid w:val="009B7F93"/>
    <w:rsid w:val="009C0082"/>
    <w:rsid w:val="009C0ED0"/>
    <w:rsid w:val="009C24CF"/>
    <w:rsid w:val="009C256D"/>
    <w:rsid w:val="009C344B"/>
    <w:rsid w:val="009C355B"/>
    <w:rsid w:val="009C6B9C"/>
    <w:rsid w:val="009C6CA2"/>
    <w:rsid w:val="009C6CEA"/>
    <w:rsid w:val="009C7A66"/>
    <w:rsid w:val="009C7B85"/>
    <w:rsid w:val="009D5524"/>
    <w:rsid w:val="009D5B90"/>
    <w:rsid w:val="009D5B91"/>
    <w:rsid w:val="009D659E"/>
    <w:rsid w:val="009D70F7"/>
    <w:rsid w:val="009D792E"/>
    <w:rsid w:val="009E0366"/>
    <w:rsid w:val="009E0C85"/>
    <w:rsid w:val="009E0DFE"/>
    <w:rsid w:val="009E1B5D"/>
    <w:rsid w:val="009E2A20"/>
    <w:rsid w:val="009E4C07"/>
    <w:rsid w:val="009E5E8E"/>
    <w:rsid w:val="009E6097"/>
    <w:rsid w:val="009E7F4C"/>
    <w:rsid w:val="009F0C03"/>
    <w:rsid w:val="009F1314"/>
    <w:rsid w:val="009F3ACA"/>
    <w:rsid w:val="009F4491"/>
    <w:rsid w:val="009F58AA"/>
    <w:rsid w:val="009F660E"/>
    <w:rsid w:val="009F7411"/>
    <w:rsid w:val="00A0015C"/>
    <w:rsid w:val="00A010BE"/>
    <w:rsid w:val="00A01184"/>
    <w:rsid w:val="00A03973"/>
    <w:rsid w:val="00A03D43"/>
    <w:rsid w:val="00A04380"/>
    <w:rsid w:val="00A046CC"/>
    <w:rsid w:val="00A101DA"/>
    <w:rsid w:val="00A10AC7"/>
    <w:rsid w:val="00A11473"/>
    <w:rsid w:val="00A118E9"/>
    <w:rsid w:val="00A11CD0"/>
    <w:rsid w:val="00A11E0B"/>
    <w:rsid w:val="00A13948"/>
    <w:rsid w:val="00A13B21"/>
    <w:rsid w:val="00A14E03"/>
    <w:rsid w:val="00A1555B"/>
    <w:rsid w:val="00A155C5"/>
    <w:rsid w:val="00A16AAE"/>
    <w:rsid w:val="00A16AD8"/>
    <w:rsid w:val="00A1763B"/>
    <w:rsid w:val="00A21CF3"/>
    <w:rsid w:val="00A21D5C"/>
    <w:rsid w:val="00A22923"/>
    <w:rsid w:val="00A234C1"/>
    <w:rsid w:val="00A23809"/>
    <w:rsid w:val="00A24A78"/>
    <w:rsid w:val="00A262D8"/>
    <w:rsid w:val="00A26A42"/>
    <w:rsid w:val="00A2745F"/>
    <w:rsid w:val="00A27AEC"/>
    <w:rsid w:val="00A30833"/>
    <w:rsid w:val="00A30E81"/>
    <w:rsid w:val="00A3197A"/>
    <w:rsid w:val="00A320DB"/>
    <w:rsid w:val="00A33431"/>
    <w:rsid w:val="00A335E7"/>
    <w:rsid w:val="00A35178"/>
    <w:rsid w:val="00A35D16"/>
    <w:rsid w:val="00A365EC"/>
    <w:rsid w:val="00A36F3F"/>
    <w:rsid w:val="00A377CC"/>
    <w:rsid w:val="00A37BCD"/>
    <w:rsid w:val="00A418F2"/>
    <w:rsid w:val="00A42AD7"/>
    <w:rsid w:val="00A434C5"/>
    <w:rsid w:val="00A43C59"/>
    <w:rsid w:val="00A44094"/>
    <w:rsid w:val="00A440F8"/>
    <w:rsid w:val="00A44534"/>
    <w:rsid w:val="00A44FA1"/>
    <w:rsid w:val="00A45163"/>
    <w:rsid w:val="00A50756"/>
    <w:rsid w:val="00A50ECD"/>
    <w:rsid w:val="00A518F3"/>
    <w:rsid w:val="00A52729"/>
    <w:rsid w:val="00A52B9A"/>
    <w:rsid w:val="00A53054"/>
    <w:rsid w:val="00A532CD"/>
    <w:rsid w:val="00A53675"/>
    <w:rsid w:val="00A564D7"/>
    <w:rsid w:val="00A568A7"/>
    <w:rsid w:val="00A56B6A"/>
    <w:rsid w:val="00A578DC"/>
    <w:rsid w:val="00A6101D"/>
    <w:rsid w:val="00A61928"/>
    <w:rsid w:val="00A61FF1"/>
    <w:rsid w:val="00A66B6B"/>
    <w:rsid w:val="00A6725B"/>
    <w:rsid w:val="00A70605"/>
    <w:rsid w:val="00A706E8"/>
    <w:rsid w:val="00A71EA8"/>
    <w:rsid w:val="00A720C9"/>
    <w:rsid w:val="00A73134"/>
    <w:rsid w:val="00A7377B"/>
    <w:rsid w:val="00A74049"/>
    <w:rsid w:val="00A75794"/>
    <w:rsid w:val="00A77666"/>
    <w:rsid w:val="00A777B2"/>
    <w:rsid w:val="00A8028B"/>
    <w:rsid w:val="00A81DA2"/>
    <w:rsid w:val="00A8215F"/>
    <w:rsid w:val="00A84C6C"/>
    <w:rsid w:val="00A86E8B"/>
    <w:rsid w:val="00A86F09"/>
    <w:rsid w:val="00A87164"/>
    <w:rsid w:val="00A91315"/>
    <w:rsid w:val="00A92122"/>
    <w:rsid w:val="00A93072"/>
    <w:rsid w:val="00A93953"/>
    <w:rsid w:val="00A93B47"/>
    <w:rsid w:val="00A959D8"/>
    <w:rsid w:val="00A96F35"/>
    <w:rsid w:val="00A97937"/>
    <w:rsid w:val="00AA030B"/>
    <w:rsid w:val="00AA0CAB"/>
    <w:rsid w:val="00AA0FF8"/>
    <w:rsid w:val="00AA113D"/>
    <w:rsid w:val="00AA1A62"/>
    <w:rsid w:val="00AA4AE8"/>
    <w:rsid w:val="00AA6C7D"/>
    <w:rsid w:val="00AA7FD6"/>
    <w:rsid w:val="00AB042A"/>
    <w:rsid w:val="00AB0E5A"/>
    <w:rsid w:val="00AB2AC6"/>
    <w:rsid w:val="00AB2D34"/>
    <w:rsid w:val="00AB3430"/>
    <w:rsid w:val="00AB424F"/>
    <w:rsid w:val="00AB48B7"/>
    <w:rsid w:val="00AB4AD1"/>
    <w:rsid w:val="00AB6D59"/>
    <w:rsid w:val="00AB7CFA"/>
    <w:rsid w:val="00AC0E15"/>
    <w:rsid w:val="00AC274C"/>
    <w:rsid w:val="00AC5B48"/>
    <w:rsid w:val="00AC5DC8"/>
    <w:rsid w:val="00AC60A2"/>
    <w:rsid w:val="00AC71F2"/>
    <w:rsid w:val="00AD08D7"/>
    <w:rsid w:val="00AD0AE5"/>
    <w:rsid w:val="00AD12F1"/>
    <w:rsid w:val="00AD6502"/>
    <w:rsid w:val="00AD6E3A"/>
    <w:rsid w:val="00AE03AC"/>
    <w:rsid w:val="00AE080A"/>
    <w:rsid w:val="00AE33B5"/>
    <w:rsid w:val="00AE3D94"/>
    <w:rsid w:val="00AE47B1"/>
    <w:rsid w:val="00AE483A"/>
    <w:rsid w:val="00AF1315"/>
    <w:rsid w:val="00AF14E5"/>
    <w:rsid w:val="00AF19BF"/>
    <w:rsid w:val="00AF1F67"/>
    <w:rsid w:val="00AF2DC3"/>
    <w:rsid w:val="00AF7E23"/>
    <w:rsid w:val="00B00AD8"/>
    <w:rsid w:val="00B0156E"/>
    <w:rsid w:val="00B033E5"/>
    <w:rsid w:val="00B03582"/>
    <w:rsid w:val="00B03A63"/>
    <w:rsid w:val="00B103A0"/>
    <w:rsid w:val="00B10403"/>
    <w:rsid w:val="00B10FEB"/>
    <w:rsid w:val="00B1228A"/>
    <w:rsid w:val="00B12AA1"/>
    <w:rsid w:val="00B138B7"/>
    <w:rsid w:val="00B1489F"/>
    <w:rsid w:val="00B14BFC"/>
    <w:rsid w:val="00B20168"/>
    <w:rsid w:val="00B201A4"/>
    <w:rsid w:val="00B2020E"/>
    <w:rsid w:val="00B20EDF"/>
    <w:rsid w:val="00B213A6"/>
    <w:rsid w:val="00B22C8A"/>
    <w:rsid w:val="00B232C6"/>
    <w:rsid w:val="00B2344C"/>
    <w:rsid w:val="00B24DF6"/>
    <w:rsid w:val="00B2514B"/>
    <w:rsid w:val="00B25BF8"/>
    <w:rsid w:val="00B2750B"/>
    <w:rsid w:val="00B27B33"/>
    <w:rsid w:val="00B31219"/>
    <w:rsid w:val="00B33E18"/>
    <w:rsid w:val="00B34FE2"/>
    <w:rsid w:val="00B352E0"/>
    <w:rsid w:val="00B357D8"/>
    <w:rsid w:val="00B3727A"/>
    <w:rsid w:val="00B37B73"/>
    <w:rsid w:val="00B37BFC"/>
    <w:rsid w:val="00B37C33"/>
    <w:rsid w:val="00B40358"/>
    <w:rsid w:val="00B41614"/>
    <w:rsid w:val="00B4262C"/>
    <w:rsid w:val="00B426B8"/>
    <w:rsid w:val="00B42851"/>
    <w:rsid w:val="00B42F80"/>
    <w:rsid w:val="00B435CB"/>
    <w:rsid w:val="00B44A48"/>
    <w:rsid w:val="00B46E0D"/>
    <w:rsid w:val="00B4763A"/>
    <w:rsid w:val="00B47AA8"/>
    <w:rsid w:val="00B50B95"/>
    <w:rsid w:val="00B50DB8"/>
    <w:rsid w:val="00B529DC"/>
    <w:rsid w:val="00B53654"/>
    <w:rsid w:val="00B53905"/>
    <w:rsid w:val="00B547BC"/>
    <w:rsid w:val="00B548B7"/>
    <w:rsid w:val="00B54B5B"/>
    <w:rsid w:val="00B5562E"/>
    <w:rsid w:val="00B57000"/>
    <w:rsid w:val="00B57009"/>
    <w:rsid w:val="00B60939"/>
    <w:rsid w:val="00B60AFD"/>
    <w:rsid w:val="00B62715"/>
    <w:rsid w:val="00B62CF3"/>
    <w:rsid w:val="00B6351D"/>
    <w:rsid w:val="00B650DD"/>
    <w:rsid w:val="00B6585A"/>
    <w:rsid w:val="00B67687"/>
    <w:rsid w:val="00B677FE"/>
    <w:rsid w:val="00B67963"/>
    <w:rsid w:val="00B67967"/>
    <w:rsid w:val="00B67D94"/>
    <w:rsid w:val="00B71489"/>
    <w:rsid w:val="00B71C21"/>
    <w:rsid w:val="00B72EA1"/>
    <w:rsid w:val="00B72FFB"/>
    <w:rsid w:val="00B73376"/>
    <w:rsid w:val="00B76657"/>
    <w:rsid w:val="00B771D2"/>
    <w:rsid w:val="00B8079C"/>
    <w:rsid w:val="00B80DBA"/>
    <w:rsid w:val="00B817D2"/>
    <w:rsid w:val="00B818A4"/>
    <w:rsid w:val="00B81C7F"/>
    <w:rsid w:val="00B84117"/>
    <w:rsid w:val="00B84AE8"/>
    <w:rsid w:val="00B85323"/>
    <w:rsid w:val="00B85A4A"/>
    <w:rsid w:val="00B85AA2"/>
    <w:rsid w:val="00B8649C"/>
    <w:rsid w:val="00B866B4"/>
    <w:rsid w:val="00B868A6"/>
    <w:rsid w:val="00B87920"/>
    <w:rsid w:val="00B87F0A"/>
    <w:rsid w:val="00B90895"/>
    <w:rsid w:val="00B91A02"/>
    <w:rsid w:val="00B92D0B"/>
    <w:rsid w:val="00B92E74"/>
    <w:rsid w:val="00B938C2"/>
    <w:rsid w:val="00B94945"/>
    <w:rsid w:val="00B95B2C"/>
    <w:rsid w:val="00BA0829"/>
    <w:rsid w:val="00BA322D"/>
    <w:rsid w:val="00BA42C5"/>
    <w:rsid w:val="00BB02C8"/>
    <w:rsid w:val="00BB07C9"/>
    <w:rsid w:val="00BB0BDD"/>
    <w:rsid w:val="00BB11FC"/>
    <w:rsid w:val="00BB2A73"/>
    <w:rsid w:val="00BB4ACC"/>
    <w:rsid w:val="00BB5CFD"/>
    <w:rsid w:val="00BB659C"/>
    <w:rsid w:val="00BB703E"/>
    <w:rsid w:val="00BB7405"/>
    <w:rsid w:val="00BB7A55"/>
    <w:rsid w:val="00BC287E"/>
    <w:rsid w:val="00BC3631"/>
    <w:rsid w:val="00BC3FF4"/>
    <w:rsid w:val="00BC69B8"/>
    <w:rsid w:val="00BC6DD1"/>
    <w:rsid w:val="00BD03A2"/>
    <w:rsid w:val="00BD0434"/>
    <w:rsid w:val="00BD228D"/>
    <w:rsid w:val="00BD5EAA"/>
    <w:rsid w:val="00BD68A3"/>
    <w:rsid w:val="00BD6938"/>
    <w:rsid w:val="00BD6A9C"/>
    <w:rsid w:val="00BD6CF3"/>
    <w:rsid w:val="00BD6E9D"/>
    <w:rsid w:val="00BD7C0F"/>
    <w:rsid w:val="00BE1B9A"/>
    <w:rsid w:val="00BE2180"/>
    <w:rsid w:val="00BE21F2"/>
    <w:rsid w:val="00BE344F"/>
    <w:rsid w:val="00BE4275"/>
    <w:rsid w:val="00BE4DD2"/>
    <w:rsid w:val="00BE6717"/>
    <w:rsid w:val="00BF0F95"/>
    <w:rsid w:val="00BF1AF0"/>
    <w:rsid w:val="00BF1E91"/>
    <w:rsid w:val="00BF2433"/>
    <w:rsid w:val="00BF3281"/>
    <w:rsid w:val="00BF3E22"/>
    <w:rsid w:val="00BF41C9"/>
    <w:rsid w:val="00BF4507"/>
    <w:rsid w:val="00BF5830"/>
    <w:rsid w:val="00BF61C9"/>
    <w:rsid w:val="00BF6C94"/>
    <w:rsid w:val="00BF745A"/>
    <w:rsid w:val="00BF7BBB"/>
    <w:rsid w:val="00C00424"/>
    <w:rsid w:val="00C00D61"/>
    <w:rsid w:val="00C023B5"/>
    <w:rsid w:val="00C027D2"/>
    <w:rsid w:val="00C03E4F"/>
    <w:rsid w:val="00C04BB0"/>
    <w:rsid w:val="00C04FD1"/>
    <w:rsid w:val="00C055BD"/>
    <w:rsid w:val="00C07EE1"/>
    <w:rsid w:val="00C10502"/>
    <w:rsid w:val="00C11051"/>
    <w:rsid w:val="00C1243E"/>
    <w:rsid w:val="00C12C14"/>
    <w:rsid w:val="00C13179"/>
    <w:rsid w:val="00C13585"/>
    <w:rsid w:val="00C14954"/>
    <w:rsid w:val="00C17BB9"/>
    <w:rsid w:val="00C200AA"/>
    <w:rsid w:val="00C20707"/>
    <w:rsid w:val="00C20A66"/>
    <w:rsid w:val="00C211A8"/>
    <w:rsid w:val="00C21C02"/>
    <w:rsid w:val="00C237ED"/>
    <w:rsid w:val="00C2419F"/>
    <w:rsid w:val="00C24632"/>
    <w:rsid w:val="00C25418"/>
    <w:rsid w:val="00C25D9C"/>
    <w:rsid w:val="00C26E53"/>
    <w:rsid w:val="00C2778B"/>
    <w:rsid w:val="00C27791"/>
    <w:rsid w:val="00C31649"/>
    <w:rsid w:val="00C35915"/>
    <w:rsid w:val="00C35EB8"/>
    <w:rsid w:val="00C36CCD"/>
    <w:rsid w:val="00C37040"/>
    <w:rsid w:val="00C40385"/>
    <w:rsid w:val="00C4182F"/>
    <w:rsid w:val="00C4372B"/>
    <w:rsid w:val="00C47107"/>
    <w:rsid w:val="00C475AA"/>
    <w:rsid w:val="00C502D1"/>
    <w:rsid w:val="00C51387"/>
    <w:rsid w:val="00C51775"/>
    <w:rsid w:val="00C5382E"/>
    <w:rsid w:val="00C5606E"/>
    <w:rsid w:val="00C569E4"/>
    <w:rsid w:val="00C607B9"/>
    <w:rsid w:val="00C623AB"/>
    <w:rsid w:val="00C62E32"/>
    <w:rsid w:val="00C65576"/>
    <w:rsid w:val="00C66165"/>
    <w:rsid w:val="00C70402"/>
    <w:rsid w:val="00C712C7"/>
    <w:rsid w:val="00C714F6"/>
    <w:rsid w:val="00C7151A"/>
    <w:rsid w:val="00C71F60"/>
    <w:rsid w:val="00C72241"/>
    <w:rsid w:val="00C750C8"/>
    <w:rsid w:val="00C7560F"/>
    <w:rsid w:val="00C7586D"/>
    <w:rsid w:val="00C766A9"/>
    <w:rsid w:val="00C80A0E"/>
    <w:rsid w:val="00C8213F"/>
    <w:rsid w:val="00C822E5"/>
    <w:rsid w:val="00C865FE"/>
    <w:rsid w:val="00C86B5C"/>
    <w:rsid w:val="00C8797A"/>
    <w:rsid w:val="00C900B8"/>
    <w:rsid w:val="00C90661"/>
    <w:rsid w:val="00C90C71"/>
    <w:rsid w:val="00C913F9"/>
    <w:rsid w:val="00C92068"/>
    <w:rsid w:val="00C92C54"/>
    <w:rsid w:val="00C92CC1"/>
    <w:rsid w:val="00C931CF"/>
    <w:rsid w:val="00C938CF"/>
    <w:rsid w:val="00C9441D"/>
    <w:rsid w:val="00C9521B"/>
    <w:rsid w:val="00C960BA"/>
    <w:rsid w:val="00C9624D"/>
    <w:rsid w:val="00C9647D"/>
    <w:rsid w:val="00C96783"/>
    <w:rsid w:val="00C969DA"/>
    <w:rsid w:val="00C96BF0"/>
    <w:rsid w:val="00C97161"/>
    <w:rsid w:val="00C97583"/>
    <w:rsid w:val="00CA1928"/>
    <w:rsid w:val="00CA2C77"/>
    <w:rsid w:val="00CA37AF"/>
    <w:rsid w:val="00CA38FE"/>
    <w:rsid w:val="00CA3AB2"/>
    <w:rsid w:val="00CA444F"/>
    <w:rsid w:val="00CA5245"/>
    <w:rsid w:val="00CA7119"/>
    <w:rsid w:val="00CA71F4"/>
    <w:rsid w:val="00CA7B09"/>
    <w:rsid w:val="00CA7F5A"/>
    <w:rsid w:val="00CB2F2A"/>
    <w:rsid w:val="00CB5B1A"/>
    <w:rsid w:val="00CB681E"/>
    <w:rsid w:val="00CB69B6"/>
    <w:rsid w:val="00CB6B22"/>
    <w:rsid w:val="00CB700B"/>
    <w:rsid w:val="00CB7536"/>
    <w:rsid w:val="00CB7F5F"/>
    <w:rsid w:val="00CC1564"/>
    <w:rsid w:val="00CC1B39"/>
    <w:rsid w:val="00CC672B"/>
    <w:rsid w:val="00CC6E9C"/>
    <w:rsid w:val="00CC771C"/>
    <w:rsid w:val="00CC7790"/>
    <w:rsid w:val="00CD2129"/>
    <w:rsid w:val="00CD49A1"/>
    <w:rsid w:val="00CD6ADC"/>
    <w:rsid w:val="00CD6E81"/>
    <w:rsid w:val="00CD788A"/>
    <w:rsid w:val="00CE3099"/>
    <w:rsid w:val="00CE4161"/>
    <w:rsid w:val="00CE4434"/>
    <w:rsid w:val="00CE6274"/>
    <w:rsid w:val="00CE70B6"/>
    <w:rsid w:val="00CE738A"/>
    <w:rsid w:val="00CF04C2"/>
    <w:rsid w:val="00CF2014"/>
    <w:rsid w:val="00CF20CC"/>
    <w:rsid w:val="00CF2B8D"/>
    <w:rsid w:val="00CF335C"/>
    <w:rsid w:val="00CF456B"/>
    <w:rsid w:val="00CF4832"/>
    <w:rsid w:val="00CF5A22"/>
    <w:rsid w:val="00CF7EC7"/>
    <w:rsid w:val="00D00416"/>
    <w:rsid w:val="00D01605"/>
    <w:rsid w:val="00D017DB"/>
    <w:rsid w:val="00D0185F"/>
    <w:rsid w:val="00D0262E"/>
    <w:rsid w:val="00D02AED"/>
    <w:rsid w:val="00D03AE0"/>
    <w:rsid w:val="00D07583"/>
    <w:rsid w:val="00D075EF"/>
    <w:rsid w:val="00D1033D"/>
    <w:rsid w:val="00D106F2"/>
    <w:rsid w:val="00D10DEA"/>
    <w:rsid w:val="00D110BD"/>
    <w:rsid w:val="00D1134A"/>
    <w:rsid w:val="00D11886"/>
    <w:rsid w:val="00D13675"/>
    <w:rsid w:val="00D141E1"/>
    <w:rsid w:val="00D16181"/>
    <w:rsid w:val="00D17D6C"/>
    <w:rsid w:val="00D230BB"/>
    <w:rsid w:val="00D251E7"/>
    <w:rsid w:val="00D262B5"/>
    <w:rsid w:val="00D2754D"/>
    <w:rsid w:val="00D27B27"/>
    <w:rsid w:val="00D3259D"/>
    <w:rsid w:val="00D3275E"/>
    <w:rsid w:val="00D33BE9"/>
    <w:rsid w:val="00D33DE9"/>
    <w:rsid w:val="00D34440"/>
    <w:rsid w:val="00D34D19"/>
    <w:rsid w:val="00D357FF"/>
    <w:rsid w:val="00D35DED"/>
    <w:rsid w:val="00D36277"/>
    <w:rsid w:val="00D36CE3"/>
    <w:rsid w:val="00D37776"/>
    <w:rsid w:val="00D4216F"/>
    <w:rsid w:val="00D424C7"/>
    <w:rsid w:val="00D4273D"/>
    <w:rsid w:val="00D43B2A"/>
    <w:rsid w:val="00D45E09"/>
    <w:rsid w:val="00D46099"/>
    <w:rsid w:val="00D462AD"/>
    <w:rsid w:val="00D47575"/>
    <w:rsid w:val="00D507BB"/>
    <w:rsid w:val="00D53BBD"/>
    <w:rsid w:val="00D55D55"/>
    <w:rsid w:val="00D55E41"/>
    <w:rsid w:val="00D57AA0"/>
    <w:rsid w:val="00D57C22"/>
    <w:rsid w:val="00D57FF7"/>
    <w:rsid w:val="00D61CF7"/>
    <w:rsid w:val="00D629D9"/>
    <w:rsid w:val="00D634B5"/>
    <w:rsid w:val="00D64036"/>
    <w:rsid w:val="00D64501"/>
    <w:rsid w:val="00D6696F"/>
    <w:rsid w:val="00D70F16"/>
    <w:rsid w:val="00D714FA"/>
    <w:rsid w:val="00D71F8B"/>
    <w:rsid w:val="00D72660"/>
    <w:rsid w:val="00D73ACC"/>
    <w:rsid w:val="00D73C66"/>
    <w:rsid w:val="00D745B8"/>
    <w:rsid w:val="00D76310"/>
    <w:rsid w:val="00D76959"/>
    <w:rsid w:val="00D76A44"/>
    <w:rsid w:val="00D773E3"/>
    <w:rsid w:val="00D77437"/>
    <w:rsid w:val="00D815EF"/>
    <w:rsid w:val="00D829A0"/>
    <w:rsid w:val="00D82BA1"/>
    <w:rsid w:val="00D8337F"/>
    <w:rsid w:val="00D856D4"/>
    <w:rsid w:val="00D86E58"/>
    <w:rsid w:val="00D8712F"/>
    <w:rsid w:val="00D875A9"/>
    <w:rsid w:val="00D91923"/>
    <w:rsid w:val="00D923D0"/>
    <w:rsid w:val="00D93753"/>
    <w:rsid w:val="00D93A7D"/>
    <w:rsid w:val="00D93ACB"/>
    <w:rsid w:val="00DA11A2"/>
    <w:rsid w:val="00DA1DB8"/>
    <w:rsid w:val="00DA3167"/>
    <w:rsid w:val="00DA409B"/>
    <w:rsid w:val="00DA42BA"/>
    <w:rsid w:val="00DA496F"/>
    <w:rsid w:val="00DA4DC3"/>
    <w:rsid w:val="00DA593B"/>
    <w:rsid w:val="00DA62B1"/>
    <w:rsid w:val="00DA6664"/>
    <w:rsid w:val="00DA6D48"/>
    <w:rsid w:val="00DA77A5"/>
    <w:rsid w:val="00DA7A0D"/>
    <w:rsid w:val="00DB0D40"/>
    <w:rsid w:val="00DB1DBF"/>
    <w:rsid w:val="00DB2329"/>
    <w:rsid w:val="00DB2FBC"/>
    <w:rsid w:val="00DB3043"/>
    <w:rsid w:val="00DB3E96"/>
    <w:rsid w:val="00DB47ED"/>
    <w:rsid w:val="00DB484F"/>
    <w:rsid w:val="00DB581C"/>
    <w:rsid w:val="00DC0147"/>
    <w:rsid w:val="00DC04F6"/>
    <w:rsid w:val="00DC076D"/>
    <w:rsid w:val="00DC37C7"/>
    <w:rsid w:val="00DC3A6D"/>
    <w:rsid w:val="00DC3C57"/>
    <w:rsid w:val="00DC5501"/>
    <w:rsid w:val="00DD2526"/>
    <w:rsid w:val="00DD25D2"/>
    <w:rsid w:val="00DD273C"/>
    <w:rsid w:val="00DD2B0F"/>
    <w:rsid w:val="00DD3BFD"/>
    <w:rsid w:val="00DD3F28"/>
    <w:rsid w:val="00DD4537"/>
    <w:rsid w:val="00DD4E15"/>
    <w:rsid w:val="00DD537C"/>
    <w:rsid w:val="00DE02FE"/>
    <w:rsid w:val="00DE1156"/>
    <w:rsid w:val="00DE3138"/>
    <w:rsid w:val="00DE37F8"/>
    <w:rsid w:val="00DE3D0E"/>
    <w:rsid w:val="00DE44A5"/>
    <w:rsid w:val="00DE4FCB"/>
    <w:rsid w:val="00DE5D4E"/>
    <w:rsid w:val="00DE7832"/>
    <w:rsid w:val="00DF18FC"/>
    <w:rsid w:val="00DF37F9"/>
    <w:rsid w:val="00DF5D2B"/>
    <w:rsid w:val="00DF645A"/>
    <w:rsid w:val="00DF66E4"/>
    <w:rsid w:val="00DF760F"/>
    <w:rsid w:val="00E00E8E"/>
    <w:rsid w:val="00E01398"/>
    <w:rsid w:val="00E01B4F"/>
    <w:rsid w:val="00E0406A"/>
    <w:rsid w:val="00E05630"/>
    <w:rsid w:val="00E05C3C"/>
    <w:rsid w:val="00E05D9F"/>
    <w:rsid w:val="00E063A5"/>
    <w:rsid w:val="00E06DAB"/>
    <w:rsid w:val="00E06DBB"/>
    <w:rsid w:val="00E06F70"/>
    <w:rsid w:val="00E07610"/>
    <w:rsid w:val="00E10149"/>
    <w:rsid w:val="00E15CFF"/>
    <w:rsid w:val="00E16325"/>
    <w:rsid w:val="00E16372"/>
    <w:rsid w:val="00E16E68"/>
    <w:rsid w:val="00E17589"/>
    <w:rsid w:val="00E178EE"/>
    <w:rsid w:val="00E17D81"/>
    <w:rsid w:val="00E20E4D"/>
    <w:rsid w:val="00E20ED6"/>
    <w:rsid w:val="00E21358"/>
    <w:rsid w:val="00E2178D"/>
    <w:rsid w:val="00E217A6"/>
    <w:rsid w:val="00E21D49"/>
    <w:rsid w:val="00E2249B"/>
    <w:rsid w:val="00E22A0D"/>
    <w:rsid w:val="00E23942"/>
    <w:rsid w:val="00E244F1"/>
    <w:rsid w:val="00E2771E"/>
    <w:rsid w:val="00E27D4A"/>
    <w:rsid w:val="00E30557"/>
    <w:rsid w:val="00E30791"/>
    <w:rsid w:val="00E3407B"/>
    <w:rsid w:val="00E3475D"/>
    <w:rsid w:val="00E34948"/>
    <w:rsid w:val="00E34DB5"/>
    <w:rsid w:val="00E35FEB"/>
    <w:rsid w:val="00E36176"/>
    <w:rsid w:val="00E36BB4"/>
    <w:rsid w:val="00E37547"/>
    <w:rsid w:val="00E37569"/>
    <w:rsid w:val="00E41E30"/>
    <w:rsid w:val="00E42670"/>
    <w:rsid w:val="00E43412"/>
    <w:rsid w:val="00E43BA4"/>
    <w:rsid w:val="00E43D70"/>
    <w:rsid w:val="00E44114"/>
    <w:rsid w:val="00E443E9"/>
    <w:rsid w:val="00E466F3"/>
    <w:rsid w:val="00E47120"/>
    <w:rsid w:val="00E47B2C"/>
    <w:rsid w:val="00E47ECB"/>
    <w:rsid w:val="00E5051C"/>
    <w:rsid w:val="00E51560"/>
    <w:rsid w:val="00E54347"/>
    <w:rsid w:val="00E5480C"/>
    <w:rsid w:val="00E55263"/>
    <w:rsid w:val="00E5540C"/>
    <w:rsid w:val="00E55424"/>
    <w:rsid w:val="00E55BB5"/>
    <w:rsid w:val="00E56CE5"/>
    <w:rsid w:val="00E612A6"/>
    <w:rsid w:val="00E6155A"/>
    <w:rsid w:val="00E621CD"/>
    <w:rsid w:val="00E63F0E"/>
    <w:rsid w:val="00E64368"/>
    <w:rsid w:val="00E65E79"/>
    <w:rsid w:val="00E66345"/>
    <w:rsid w:val="00E6661D"/>
    <w:rsid w:val="00E66BA2"/>
    <w:rsid w:val="00E66F09"/>
    <w:rsid w:val="00E67416"/>
    <w:rsid w:val="00E67A6A"/>
    <w:rsid w:val="00E70323"/>
    <w:rsid w:val="00E70C21"/>
    <w:rsid w:val="00E713F8"/>
    <w:rsid w:val="00E718B6"/>
    <w:rsid w:val="00E7218B"/>
    <w:rsid w:val="00E723BA"/>
    <w:rsid w:val="00E72503"/>
    <w:rsid w:val="00E73581"/>
    <w:rsid w:val="00E73EA7"/>
    <w:rsid w:val="00E77F6E"/>
    <w:rsid w:val="00E800DE"/>
    <w:rsid w:val="00E8138E"/>
    <w:rsid w:val="00E833F7"/>
    <w:rsid w:val="00E83BDF"/>
    <w:rsid w:val="00E84F3E"/>
    <w:rsid w:val="00E8556D"/>
    <w:rsid w:val="00E861BC"/>
    <w:rsid w:val="00E86B32"/>
    <w:rsid w:val="00E87A1D"/>
    <w:rsid w:val="00E90389"/>
    <w:rsid w:val="00E9106A"/>
    <w:rsid w:val="00E91FED"/>
    <w:rsid w:val="00E926A5"/>
    <w:rsid w:val="00E94E77"/>
    <w:rsid w:val="00EA0858"/>
    <w:rsid w:val="00EA1611"/>
    <w:rsid w:val="00EA17C3"/>
    <w:rsid w:val="00EA1FDB"/>
    <w:rsid w:val="00EA29E5"/>
    <w:rsid w:val="00EA2CAA"/>
    <w:rsid w:val="00EA3864"/>
    <w:rsid w:val="00EA5C0E"/>
    <w:rsid w:val="00EB15B6"/>
    <w:rsid w:val="00EB1D62"/>
    <w:rsid w:val="00EB24FB"/>
    <w:rsid w:val="00EB271B"/>
    <w:rsid w:val="00EB46AA"/>
    <w:rsid w:val="00EB4916"/>
    <w:rsid w:val="00EB5D9E"/>
    <w:rsid w:val="00EB6EBA"/>
    <w:rsid w:val="00EB73A5"/>
    <w:rsid w:val="00EB7E56"/>
    <w:rsid w:val="00EB7FEE"/>
    <w:rsid w:val="00EC00C9"/>
    <w:rsid w:val="00EC0423"/>
    <w:rsid w:val="00EC2649"/>
    <w:rsid w:val="00EC4593"/>
    <w:rsid w:val="00EC5704"/>
    <w:rsid w:val="00EC786B"/>
    <w:rsid w:val="00ED1B7E"/>
    <w:rsid w:val="00ED222B"/>
    <w:rsid w:val="00ED43C4"/>
    <w:rsid w:val="00ED57EA"/>
    <w:rsid w:val="00EE07D3"/>
    <w:rsid w:val="00EE07F9"/>
    <w:rsid w:val="00EE0883"/>
    <w:rsid w:val="00EE0C6F"/>
    <w:rsid w:val="00EE22AF"/>
    <w:rsid w:val="00EE3295"/>
    <w:rsid w:val="00EE39CA"/>
    <w:rsid w:val="00EE3C23"/>
    <w:rsid w:val="00EE49AD"/>
    <w:rsid w:val="00EE5633"/>
    <w:rsid w:val="00EE6C75"/>
    <w:rsid w:val="00EE7F3A"/>
    <w:rsid w:val="00EE7F5E"/>
    <w:rsid w:val="00EF0171"/>
    <w:rsid w:val="00EF0295"/>
    <w:rsid w:val="00EF1B25"/>
    <w:rsid w:val="00EF4747"/>
    <w:rsid w:val="00EF4BF8"/>
    <w:rsid w:val="00EF6311"/>
    <w:rsid w:val="00EF7CEA"/>
    <w:rsid w:val="00F005A9"/>
    <w:rsid w:val="00F011A3"/>
    <w:rsid w:val="00F02253"/>
    <w:rsid w:val="00F03C2E"/>
    <w:rsid w:val="00F04A66"/>
    <w:rsid w:val="00F0516C"/>
    <w:rsid w:val="00F059E8"/>
    <w:rsid w:val="00F067A2"/>
    <w:rsid w:val="00F06D3D"/>
    <w:rsid w:val="00F06FF2"/>
    <w:rsid w:val="00F072D4"/>
    <w:rsid w:val="00F07650"/>
    <w:rsid w:val="00F0776A"/>
    <w:rsid w:val="00F1079D"/>
    <w:rsid w:val="00F11400"/>
    <w:rsid w:val="00F120E8"/>
    <w:rsid w:val="00F1263A"/>
    <w:rsid w:val="00F14FFF"/>
    <w:rsid w:val="00F20108"/>
    <w:rsid w:val="00F21E1F"/>
    <w:rsid w:val="00F23BED"/>
    <w:rsid w:val="00F242F7"/>
    <w:rsid w:val="00F24837"/>
    <w:rsid w:val="00F24F84"/>
    <w:rsid w:val="00F2575F"/>
    <w:rsid w:val="00F25ABA"/>
    <w:rsid w:val="00F25BB5"/>
    <w:rsid w:val="00F2719F"/>
    <w:rsid w:val="00F27565"/>
    <w:rsid w:val="00F310D4"/>
    <w:rsid w:val="00F31D5A"/>
    <w:rsid w:val="00F31EB3"/>
    <w:rsid w:val="00F33902"/>
    <w:rsid w:val="00F33DE9"/>
    <w:rsid w:val="00F3522D"/>
    <w:rsid w:val="00F3538F"/>
    <w:rsid w:val="00F3619A"/>
    <w:rsid w:val="00F40AAA"/>
    <w:rsid w:val="00F40BA7"/>
    <w:rsid w:val="00F4271D"/>
    <w:rsid w:val="00F4310F"/>
    <w:rsid w:val="00F44336"/>
    <w:rsid w:val="00F44339"/>
    <w:rsid w:val="00F4509F"/>
    <w:rsid w:val="00F46082"/>
    <w:rsid w:val="00F4640D"/>
    <w:rsid w:val="00F46CB6"/>
    <w:rsid w:val="00F47A7F"/>
    <w:rsid w:val="00F47DE8"/>
    <w:rsid w:val="00F50D78"/>
    <w:rsid w:val="00F52052"/>
    <w:rsid w:val="00F5291B"/>
    <w:rsid w:val="00F542C1"/>
    <w:rsid w:val="00F556FB"/>
    <w:rsid w:val="00F55E73"/>
    <w:rsid w:val="00F55EDA"/>
    <w:rsid w:val="00F57CB2"/>
    <w:rsid w:val="00F60092"/>
    <w:rsid w:val="00F60FD6"/>
    <w:rsid w:val="00F61E72"/>
    <w:rsid w:val="00F625B0"/>
    <w:rsid w:val="00F65F4B"/>
    <w:rsid w:val="00F66D20"/>
    <w:rsid w:val="00F66DF4"/>
    <w:rsid w:val="00F677D8"/>
    <w:rsid w:val="00F70C9D"/>
    <w:rsid w:val="00F71FBE"/>
    <w:rsid w:val="00F71FE7"/>
    <w:rsid w:val="00F7253E"/>
    <w:rsid w:val="00F73D29"/>
    <w:rsid w:val="00F73F2D"/>
    <w:rsid w:val="00F74CD9"/>
    <w:rsid w:val="00F76F12"/>
    <w:rsid w:val="00F76F70"/>
    <w:rsid w:val="00F80A7B"/>
    <w:rsid w:val="00F80E5D"/>
    <w:rsid w:val="00F81455"/>
    <w:rsid w:val="00F815DE"/>
    <w:rsid w:val="00F81E0E"/>
    <w:rsid w:val="00F8512F"/>
    <w:rsid w:val="00F851CE"/>
    <w:rsid w:val="00F85EEE"/>
    <w:rsid w:val="00F8648C"/>
    <w:rsid w:val="00F874C0"/>
    <w:rsid w:val="00F90EA0"/>
    <w:rsid w:val="00F9108C"/>
    <w:rsid w:val="00F91219"/>
    <w:rsid w:val="00F93150"/>
    <w:rsid w:val="00F951A4"/>
    <w:rsid w:val="00F97A78"/>
    <w:rsid w:val="00FA0B20"/>
    <w:rsid w:val="00FA1FD4"/>
    <w:rsid w:val="00FA24E7"/>
    <w:rsid w:val="00FA36DC"/>
    <w:rsid w:val="00FA3C08"/>
    <w:rsid w:val="00FA40CF"/>
    <w:rsid w:val="00FA432D"/>
    <w:rsid w:val="00FA4ACF"/>
    <w:rsid w:val="00FA5163"/>
    <w:rsid w:val="00FA55D2"/>
    <w:rsid w:val="00FA7D59"/>
    <w:rsid w:val="00FB2FCB"/>
    <w:rsid w:val="00FB3863"/>
    <w:rsid w:val="00FB4E05"/>
    <w:rsid w:val="00FB7258"/>
    <w:rsid w:val="00FB7B22"/>
    <w:rsid w:val="00FC1074"/>
    <w:rsid w:val="00FC1884"/>
    <w:rsid w:val="00FC1C90"/>
    <w:rsid w:val="00FC255D"/>
    <w:rsid w:val="00FC2B0E"/>
    <w:rsid w:val="00FC371D"/>
    <w:rsid w:val="00FC538E"/>
    <w:rsid w:val="00FC5421"/>
    <w:rsid w:val="00FC5F0B"/>
    <w:rsid w:val="00FC6724"/>
    <w:rsid w:val="00FC74F3"/>
    <w:rsid w:val="00FC7968"/>
    <w:rsid w:val="00FD0478"/>
    <w:rsid w:val="00FD17AB"/>
    <w:rsid w:val="00FD2100"/>
    <w:rsid w:val="00FD29E8"/>
    <w:rsid w:val="00FD3CDB"/>
    <w:rsid w:val="00FD436C"/>
    <w:rsid w:val="00FD446D"/>
    <w:rsid w:val="00FD5894"/>
    <w:rsid w:val="00FD6394"/>
    <w:rsid w:val="00FD6DF5"/>
    <w:rsid w:val="00FE0C8E"/>
    <w:rsid w:val="00FE0E6C"/>
    <w:rsid w:val="00FE0ED9"/>
    <w:rsid w:val="00FE220A"/>
    <w:rsid w:val="00FE243C"/>
    <w:rsid w:val="00FE4415"/>
    <w:rsid w:val="00FE4533"/>
    <w:rsid w:val="00FE5373"/>
    <w:rsid w:val="00FE591C"/>
    <w:rsid w:val="00FE70C3"/>
    <w:rsid w:val="00FF1799"/>
    <w:rsid w:val="00FF23A3"/>
    <w:rsid w:val="00FF3DCF"/>
    <w:rsid w:val="00FF48B0"/>
    <w:rsid w:val="00FF492C"/>
    <w:rsid w:val="00FF4A21"/>
    <w:rsid w:val="00FF4B6D"/>
    <w:rsid w:val="00FF5AA3"/>
    <w:rsid w:val="00FF5AD8"/>
    <w:rsid w:val="00FF5F9C"/>
    <w:rsid w:val="00FF73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8B7"/>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890F38"/>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90F38"/>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4"/>
    <w:qFormat/>
    <w:rsid w:val="00E2771E"/>
    <w:rPr>
      <w:rFonts w:ascii="Arial Narrow" w:hAnsi="Arial Narrow"/>
      <w:sz w:val="18"/>
    </w:rPr>
  </w:style>
  <w:style w:type="character" w:customStyle="1" w:styleId="TableFooterChar">
    <w:name w:val="Table Footer Char"/>
    <w:link w:val="TableFooter"/>
    <w:uiPriority w:val="4"/>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nhideWhenUsed/>
    <w:qFormat/>
    <w:rsid w:val="00DB581C"/>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sid w:val="00DB581C"/>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s Points,Styl moj,Akapit z listą1,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s Points Char,Styl moj Char,Akapit z listą1 Char,Akapit z listą1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90F38"/>
    <w:pPr>
      <w:numPr>
        <w:numId w:val="3"/>
      </w:numPr>
      <w:spacing w:before="12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semiHidden/>
    <w:unhideWhenUsed/>
    <w:rsid w:val="00AB424F"/>
    <w:rPr>
      <w:sz w:val="20"/>
      <w:szCs w:val="20"/>
    </w:rPr>
  </w:style>
  <w:style w:type="character" w:customStyle="1" w:styleId="FootnoteTextChar">
    <w:name w:val="Footnote Text Char"/>
    <w:basedOn w:val="DefaultParagraphFont"/>
    <w:link w:val="FootnoteText"/>
    <w:uiPriority w:val="99"/>
    <w:semiHidden/>
    <w:rsid w:val="00AB424F"/>
    <w:rPr>
      <w:rFonts w:ascii="Calibri" w:hAnsi="Calibri" w:cs="Arial"/>
      <w:snapToGrid w:val="0"/>
      <w:lang w:eastAsia="en-US"/>
    </w:rPr>
  </w:style>
  <w:style w:type="character" w:styleId="FootnoteReference">
    <w:name w:val="footnote reference"/>
    <w:basedOn w:val="DefaultParagraphFont"/>
    <w:uiPriority w:val="99"/>
    <w:semiHidden/>
    <w:unhideWhenUsed/>
    <w:rsid w:val="00AB424F"/>
    <w:rPr>
      <w:vertAlign w:val="superscript"/>
    </w:rPr>
  </w:style>
  <w:style w:type="table" w:customStyle="1" w:styleId="ExecSummTable">
    <w:name w:val="Exec Summ Table"/>
    <w:basedOn w:val="TableNormal"/>
    <w:uiPriority w:val="99"/>
    <w:rsid w:val="003E06AA"/>
    <w:pPr>
      <w:ind w:left="57" w:right="57"/>
    </w:pPr>
    <w:rPr>
      <w:rFonts w:ascii="Arial" w:eastAsiaTheme="minorHAnsi" w:hAnsi="Arial" w:cstheme="minorBidi"/>
      <w:sz w:val="18"/>
      <w:lang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
    <w:name w:val="MSD Australia"/>
    <w:basedOn w:val="TableGrid"/>
    <w:uiPriority w:val="99"/>
    <w:rsid w:val="00541EFC"/>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styleId="ListNumber">
    <w:name w:val="List Number"/>
    <w:basedOn w:val="Normal"/>
    <w:uiPriority w:val="16"/>
    <w:qFormat/>
    <w:rsid w:val="00FF5F9C"/>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basedOn w:val="Normal"/>
    <w:uiPriority w:val="16"/>
    <w:qFormat/>
    <w:rsid w:val="00FF5F9C"/>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FF5F9C"/>
    <w:pPr>
      <w:numPr>
        <w:numId w:val="6"/>
      </w:numPr>
    </w:pPr>
  </w:style>
  <w:style w:type="paragraph" w:styleId="ListNumber3">
    <w:name w:val="List Number 3"/>
    <w:basedOn w:val="Normal"/>
    <w:uiPriority w:val="16"/>
    <w:qFormat/>
    <w:rsid w:val="00FF5F9C"/>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FF5F9C"/>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paragraph" w:styleId="DocumentMap">
    <w:name w:val="Document Map"/>
    <w:basedOn w:val="Normal"/>
    <w:link w:val="DocumentMapChar"/>
    <w:semiHidden/>
    <w:unhideWhenUsed/>
    <w:rsid w:val="00C766A9"/>
    <w:rPr>
      <w:rFonts w:ascii="Tahoma" w:hAnsi="Tahoma" w:cs="Tahoma"/>
      <w:sz w:val="16"/>
      <w:szCs w:val="16"/>
    </w:rPr>
  </w:style>
  <w:style w:type="character" w:customStyle="1" w:styleId="DocumentMapChar">
    <w:name w:val="Document Map Char"/>
    <w:basedOn w:val="DefaultParagraphFont"/>
    <w:link w:val="DocumentMap"/>
    <w:semiHidden/>
    <w:rsid w:val="00C766A9"/>
    <w:rPr>
      <w:rFonts w:ascii="Tahoma" w:hAnsi="Tahoma" w:cs="Tahoma"/>
      <w:snapToGrid w:val="0"/>
      <w:sz w:val="16"/>
      <w:szCs w:val="16"/>
      <w:lang w:eastAsia="en-US"/>
    </w:rPr>
  </w:style>
  <w:style w:type="paragraph" w:customStyle="1" w:styleId="Default">
    <w:name w:val="Default"/>
    <w:rsid w:val="00E8138E"/>
    <w:pPr>
      <w:autoSpaceDE w:val="0"/>
      <w:autoSpaceDN w:val="0"/>
      <w:adjustRightInd w:val="0"/>
    </w:pPr>
    <w:rPr>
      <w:rFonts w:ascii="Calibri" w:eastAsiaTheme="minorHAnsi" w:hAnsi="Calibri" w:cs="Calibri"/>
      <w:color w:val="000000"/>
      <w:sz w:val="24"/>
      <w:szCs w:val="24"/>
      <w:lang w:eastAsia="en-US"/>
    </w:rPr>
  </w:style>
  <w:style w:type="paragraph" w:customStyle="1" w:styleId="TableText0">
    <w:name w:val="Table Text"/>
    <w:basedOn w:val="Normal"/>
    <w:link w:val="TableTextChar0"/>
    <w:qFormat/>
    <w:rsid w:val="000C2ABB"/>
    <w:pPr>
      <w:keepNext/>
      <w:widowControl/>
    </w:pPr>
    <w:rPr>
      <w:rFonts w:ascii="Arial Narrow" w:hAnsi="Arial Narrow" w:cs="Times New Roman"/>
      <w:snapToGrid/>
      <w:sz w:val="20"/>
      <w:szCs w:val="20"/>
    </w:rPr>
  </w:style>
  <w:style w:type="character" w:customStyle="1" w:styleId="TableTextChar0">
    <w:name w:val="Table Text Char"/>
    <w:link w:val="TableText0"/>
    <w:rsid w:val="000C2ABB"/>
    <w:rPr>
      <w:rFonts w:ascii="Arial Narrow" w:hAnsi="Arial Narrow"/>
      <w:lang w:eastAsia="en-US"/>
    </w:rPr>
  </w:style>
  <w:style w:type="paragraph" w:customStyle="1" w:styleId="TableHeading0">
    <w:name w:val="Table Heading"/>
    <w:basedOn w:val="TableText0"/>
    <w:link w:val="TableHeadingChar"/>
    <w:qFormat/>
    <w:rsid w:val="000C2ABB"/>
    <w:rPr>
      <w:rFonts w:eastAsia="SimSun" w:cs="Arial"/>
      <w:b/>
      <w:lang w:eastAsia="en-AU" w:bidi="en-US"/>
    </w:rPr>
  </w:style>
  <w:style w:type="character" w:customStyle="1" w:styleId="TableHeadingChar">
    <w:name w:val="Table Heading Char"/>
    <w:link w:val="TableHeading0"/>
    <w:locked/>
    <w:rsid w:val="000C2ABB"/>
    <w:rPr>
      <w:rFonts w:ascii="Arial Narrow" w:eastAsia="SimSun" w:hAnsi="Arial Narrow" w:cs="Arial"/>
      <w:b/>
      <w:lang w:bidi="en-US"/>
    </w:rPr>
  </w:style>
  <w:style w:type="character" w:styleId="PlaceholderText">
    <w:name w:val="Placeholder Text"/>
    <w:basedOn w:val="DefaultParagraphFont"/>
    <w:uiPriority w:val="99"/>
    <w:semiHidden/>
    <w:rsid w:val="00B80DBA"/>
    <w:rPr>
      <w:color w:val="808080"/>
    </w:rPr>
  </w:style>
  <w:style w:type="paragraph" w:customStyle="1" w:styleId="TableBullet">
    <w:name w:val="Table Bullet"/>
    <w:basedOn w:val="Normal"/>
    <w:qFormat/>
    <w:rsid w:val="000576DF"/>
    <w:pPr>
      <w:widowControl/>
      <w:numPr>
        <w:numId w:val="34"/>
      </w:numPr>
      <w:spacing w:before="40" w:after="40" w:line="300" w:lineRule="auto"/>
      <w:ind w:hanging="720"/>
      <w:jc w:val="left"/>
    </w:pPr>
    <w:rPr>
      <w:rFonts w:ascii="Arial Narrow" w:eastAsiaTheme="minorEastAsia" w:hAnsi="Arial Narrow" w:cstheme="minorBidi"/>
      <w:snapToGri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7097">
      <w:bodyDiv w:val="1"/>
      <w:marLeft w:val="0"/>
      <w:marRight w:val="0"/>
      <w:marTop w:val="0"/>
      <w:marBottom w:val="0"/>
      <w:divBdr>
        <w:top w:val="none" w:sz="0" w:space="0" w:color="auto"/>
        <w:left w:val="none" w:sz="0" w:space="0" w:color="auto"/>
        <w:bottom w:val="none" w:sz="0" w:space="0" w:color="auto"/>
        <w:right w:val="none" w:sz="0" w:space="0" w:color="auto"/>
      </w:divBdr>
    </w:div>
    <w:div w:id="438305740">
      <w:bodyDiv w:val="1"/>
      <w:marLeft w:val="0"/>
      <w:marRight w:val="0"/>
      <w:marTop w:val="0"/>
      <w:marBottom w:val="0"/>
      <w:divBdr>
        <w:top w:val="none" w:sz="0" w:space="0" w:color="auto"/>
        <w:left w:val="none" w:sz="0" w:space="0" w:color="auto"/>
        <w:bottom w:val="none" w:sz="0" w:space="0" w:color="auto"/>
        <w:right w:val="none" w:sz="0" w:space="0" w:color="auto"/>
      </w:divBdr>
    </w:div>
    <w:div w:id="727071368">
      <w:bodyDiv w:val="1"/>
      <w:marLeft w:val="0"/>
      <w:marRight w:val="0"/>
      <w:marTop w:val="0"/>
      <w:marBottom w:val="0"/>
      <w:divBdr>
        <w:top w:val="none" w:sz="0" w:space="0" w:color="auto"/>
        <w:left w:val="none" w:sz="0" w:space="0" w:color="auto"/>
        <w:bottom w:val="none" w:sz="0" w:space="0" w:color="auto"/>
        <w:right w:val="none" w:sz="0" w:space="0" w:color="auto"/>
      </w:divBdr>
      <w:divsChild>
        <w:div w:id="1735354332">
          <w:marLeft w:val="0"/>
          <w:marRight w:val="0"/>
          <w:marTop w:val="0"/>
          <w:marBottom w:val="0"/>
          <w:divBdr>
            <w:top w:val="none" w:sz="0" w:space="0" w:color="auto"/>
            <w:left w:val="none" w:sz="0" w:space="0" w:color="auto"/>
            <w:bottom w:val="none" w:sz="0" w:space="0" w:color="auto"/>
            <w:right w:val="none" w:sz="0" w:space="0" w:color="auto"/>
          </w:divBdr>
        </w:div>
      </w:divsChild>
    </w:div>
    <w:div w:id="1077558024">
      <w:bodyDiv w:val="1"/>
      <w:marLeft w:val="0"/>
      <w:marRight w:val="0"/>
      <w:marTop w:val="0"/>
      <w:marBottom w:val="0"/>
      <w:divBdr>
        <w:top w:val="none" w:sz="0" w:space="0" w:color="auto"/>
        <w:left w:val="none" w:sz="0" w:space="0" w:color="auto"/>
        <w:bottom w:val="none" w:sz="0" w:space="0" w:color="auto"/>
        <w:right w:val="none" w:sz="0" w:space="0" w:color="auto"/>
      </w:divBdr>
    </w:div>
    <w:div w:id="18741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viq.org.au/medical-oncology/respiratory/non-small-cell-lung-cancer/88-nsclc-metastatic-cisplatin-and-pemetrex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486A-70C3-4A01-8171-4E97CC2E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10195</Words>
  <Characters>62322</Characters>
  <Application>Microsoft Office Word</Application>
  <DocSecurity>0</DocSecurity>
  <Lines>519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2019-02-21T09:01:00Z</dcterms:created>
  <dcterms:modified xsi:type="dcterms:W3CDTF">2019-02-26T00:57:00Z</dcterms:modified>
</cp:coreProperties>
</file>