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20F" w:rsidRDefault="0030701B" w:rsidP="004A15FD">
      <w:pPr>
        <w:ind w:left="709" w:hanging="709"/>
        <w:outlineLvl w:val="0"/>
        <w:rPr>
          <w:rFonts w:asciiTheme="minorHAnsi" w:hAnsiTheme="minorHAnsi"/>
          <w:b/>
          <w:bCs/>
          <w:sz w:val="36"/>
          <w:szCs w:val="36"/>
        </w:rPr>
      </w:pPr>
      <w:r w:rsidRPr="00E7320F">
        <w:rPr>
          <w:rFonts w:asciiTheme="minorHAnsi" w:hAnsiTheme="minorHAnsi"/>
          <w:b/>
          <w:sz w:val="36"/>
          <w:szCs w:val="36"/>
        </w:rPr>
        <w:t>6</w:t>
      </w:r>
      <w:r w:rsidR="006D6493" w:rsidRPr="00E7320F">
        <w:rPr>
          <w:rFonts w:asciiTheme="minorHAnsi" w:hAnsiTheme="minorHAnsi"/>
          <w:b/>
          <w:sz w:val="36"/>
          <w:szCs w:val="36"/>
        </w:rPr>
        <w:t>.</w:t>
      </w:r>
      <w:r w:rsidR="00E7320F">
        <w:rPr>
          <w:rFonts w:asciiTheme="minorHAnsi" w:hAnsiTheme="minorHAnsi"/>
          <w:b/>
          <w:sz w:val="36"/>
          <w:szCs w:val="36"/>
        </w:rPr>
        <w:t>16</w:t>
      </w:r>
      <w:r w:rsidR="006D6493" w:rsidRPr="002B5596">
        <w:rPr>
          <w:rFonts w:asciiTheme="minorHAnsi" w:hAnsiTheme="minorHAnsi"/>
          <w:sz w:val="36"/>
          <w:szCs w:val="36"/>
        </w:rPr>
        <w:tab/>
      </w:r>
      <w:r w:rsidR="00E7320F">
        <w:rPr>
          <w:rFonts w:ascii="Calibri" w:hAnsi="Calibri" w:cs="Arial"/>
          <w:b/>
          <w:sz w:val="36"/>
          <w:szCs w:val="36"/>
          <w:lang w:eastAsia="en-US"/>
        </w:rPr>
        <w:t>PONA</w:t>
      </w:r>
      <w:r>
        <w:rPr>
          <w:rFonts w:ascii="Calibri" w:hAnsi="Calibri" w:cs="Arial"/>
          <w:b/>
          <w:sz w:val="36"/>
          <w:szCs w:val="36"/>
          <w:lang w:eastAsia="en-US"/>
        </w:rPr>
        <w:t>TINIB</w:t>
      </w:r>
      <w:r w:rsidR="00607226" w:rsidRPr="00607226">
        <w:rPr>
          <w:rFonts w:ascii="Calibri" w:hAnsi="Calibri" w:cs="Arial"/>
          <w:b/>
          <w:sz w:val="36"/>
          <w:szCs w:val="36"/>
          <w:lang w:eastAsia="en-US"/>
        </w:rPr>
        <w:t xml:space="preserve"> </w:t>
      </w:r>
      <w:r w:rsidR="004A15FD">
        <w:rPr>
          <w:rFonts w:ascii="Calibri" w:hAnsi="Calibri" w:cs="Arial"/>
          <w:b/>
          <w:sz w:val="36"/>
          <w:szCs w:val="36"/>
          <w:lang w:eastAsia="en-US"/>
        </w:rPr>
        <w:br/>
      </w:r>
      <w:r w:rsidR="00607226" w:rsidRPr="00607226">
        <w:rPr>
          <w:rFonts w:ascii="Calibri" w:hAnsi="Calibri" w:cs="Arial"/>
          <w:b/>
          <w:sz w:val="36"/>
          <w:szCs w:val="36"/>
          <w:lang w:eastAsia="en-US"/>
        </w:rPr>
        <w:t xml:space="preserve">Tablet </w:t>
      </w:r>
      <w:r w:rsidR="00E7320F">
        <w:rPr>
          <w:rFonts w:ascii="Calibri" w:hAnsi="Calibri" w:cs="Arial"/>
          <w:b/>
          <w:sz w:val="36"/>
          <w:szCs w:val="36"/>
          <w:lang w:eastAsia="en-US"/>
        </w:rPr>
        <w:t>15</w:t>
      </w:r>
      <w:r w:rsidR="00607226" w:rsidRPr="00607226">
        <w:rPr>
          <w:rFonts w:ascii="Calibri" w:hAnsi="Calibri" w:cs="Arial"/>
          <w:b/>
          <w:sz w:val="36"/>
          <w:szCs w:val="36"/>
          <w:lang w:eastAsia="en-US"/>
        </w:rPr>
        <w:t xml:space="preserve"> mg</w:t>
      </w:r>
      <w:r w:rsidR="00E7320F">
        <w:rPr>
          <w:rFonts w:ascii="Calibri" w:hAnsi="Calibri" w:cs="Arial"/>
          <w:b/>
          <w:sz w:val="36"/>
          <w:szCs w:val="36"/>
          <w:lang w:eastAsia="en-US"/>
        </w:rPr>
        <w:t xml:space="preserve"> (as hydrochloride)</w:t>
      </w:r>
      <w:r w:rsidR="003F3252">
        <w:rPr>
          <w:rFonts w:ascii="Calibri" w:hAnsi="Calibri" w:cs="Arial"/>
          <w:b/>
          <w:sz w:val="36"/>
          <w:szCs w:val="36"/>
          <w:lang w:eastAsia="en-US"/>
        </w:rPr>
        <w:t>,</w:t>
      </w:r>
      <w:r w:rsidR="004A15FD">
        <w:rPr>
          <w:rFonts w:ascii="Calibri" w:hAnsi="Calibri" w:cs="Arial"/>
          <w:b/>
          <w:sz w:val="36"/>
          <w:szCs w:val="36"/>
          <w:lang w:eastAsia="en-US"/>
        </w:rPr>
        <w:br/>
      </w:r>
      <w:r w:rsidR="003F3252">
        <w:rPr>
          <w:rFonts w:ascii="Calibri" w:hAnsi="Calibri" w:cs="Arial"/>
          <w:b/>
          <w:sz w:val="36"/>
          <w:szCs w:val="36"/>
          <w:lang w:eastAsia="en-US"/>
        </w:rPr>
        <w:t xml:space="preserve">Tablet </w:t>
      </w:r>
      <w:r>
        <w:rPr>
          <w:rFonts w:ascii="Calibri" w:hAnsi="Calibri" w:cs="Arial"/>
          <w:b/>
          <w:sz w:val="36"/>
          <w:szCs w:val="36"/>
          <w:lang w:eastAsia="en-US"/>
        </w:rPr>
        <w:t>4</w:t>
      </w:r>
      <w:r w:rsidR="00E7320F">
        <w:rPr>
          <w:rFonts w:ascii="Calibri" w:hAnsi="Calibri" w:cs="Arial"/>
          <w:b/>
          <w:sz w:val="36"/>
          <w:szCs w:val="36"/>
          <w:lang w:eastAsia="en-US"/>
        </w:rPr>
        <w:t>5</w:t>
      </w:r>
      <w:r>
        <w:rPr>
          <w:rFonts w:ascii="Calibri" w:hAnsi="Calibri" w:cs="Arial"/>
          <w:b/>
          <w:sz w:val="36"/>
          <w:szCs w:val="36"/>
          <w:lang w:eastAsia="en-US"/>
        </w:rPr>
        <w:t xml:space="preserve"> mg</w:t>
      </w:r>
      <w:r w:rsidR="00E7320F">
        <w:rPr>
          <w:rFonts w:ascii="Calibri" w:hAnsi="Calibri" w:cs="Arial"/>
          <w:b/>
          <w:sz w:val="36"/>
          <w:szCs w:val="36"/>
          <w:lang w:eastAsia="en-US"/>
        </w:rPr>
        <w:t xml:space="preserve"> (as hydrochloride)</w:t>
      </w:r>
      <w:r w:rsidR="003F3252">
        <w:rPr>
          <w:rFonts w:ascii="Calibri" w:hAnsi="Calibri" w:cs="Arial"/>
          <w:b/>
          <w:sz w:val="36"/>
          <w:szCs w:val="36"/>
          <w:lang w:eastAsia="en-US"/>
        </w:rPr>
        <w:t>,</w:t>
      </w:r>
      <w:r>
        <w:rPr>
          <w:rFonts w:ascii="Calibri" w:hAnsi="Calibri" w:cs="Arial"/>
          <w:b/>
          <w:sz w:val="36"/>
          <w:szCs w:val="36"/>
          <w:lang w:eastAsia="en-US"/>
        </w:rPr>
        <w:t xml:space="preserve"> </w:t>
      </w:r>
      <w:r w:rsidR="004A15FD">
        <w:rPr>
          <w:rFonts w:ascii="Calibri" w:hAnsi="Calibri" w:cs="Arial"/>
          <w:b/>
          <w:sz w:val="36"/>
          <w:szCs w:val="36"/>
          <w:lang w:eastAsia="en-US"/>
        </w:rPr>
        <w:br/>
      </w:r>
      <w:r w:rsidR="00E7320F" w:rsidRPr="00E7320F">
        <w:rPr>
          <w:rFonts w:asciiTheme="minorHAnsi" w:hAnsiTheme="minorHAnsi"/>
          <w:b/>
          <w:sz w:val="36"/>
          <w:szCs w:val="36"/>
        </w:rPr>
        <w:t xml:space="preserve">Iclusig®, Specialised Therapeutics </w:t>
      </w:r>
      <w:r w:rsidR="00E7320F" w:rsidRPr="00E7320F">
        <w:rPr>
          <w:rFonts w:asciiTheme="minorHAnsi" w:hAnsiTheme="minorHAnsi"/>
          <w:b/>
          <w:bCs/>
          <w:sz w:val="36"/>
          <w:szCs w:val="36"/>
        </w:rPr>
        <w:t>Australia Pty Ltd.</w:t>
      </w:r>
    </w:p>
    <w:p w:rsidR="008A50F1" w:rsidRPr="00F75790" w:rsidRDefault="00CE10C4" w:rsidP="000956E9">
      <w:pPr>
        <w:pStyle w:val="Heading1"/>
      </w:pPr>
      <w:r w:rsidRPr="00F75790">
        <w:t xml:space="preserve">Purpose of </w:t>
      </w:r>
      <w:r w:rsidR="0004240E" w:rsidRPr="00F75790">
        <w:t>Application</w:t>
      </w:r>
    </w:p>
    <w:p w:rsidR="00607226" w:rsidRPr="00FE43F5" w:rsidRDefault="00FE43F5" w:rsidP="00CB29EA">
      <w:pPr>
        <w:pStyle w:val="ListParagraph"/>
        <w:widowControl/>
        <w:numPr>
          <w:ilvl w:val="1"/>
          <w:numId w:val="5"/>
        </w:numPr>
        <w:spacing w:after="120"/>
        <w:contextualSpacing w:val="0"/>
        <w:rPr>
          <w:rFonts w:asciiTheme="minorHAnsi" w:hAnsiTheme="minorHAnsi"/>
          <w:sz w:val="24"/>
          <w:szCs w:val="24"/>
        </w:rPr>
      </w:pPr>
      <w:r w:rsidRPr="001B2BBC">
        <w:rPr>
          <w:rFonts w:asciiTheme="minorHAnsi" w:eastAsiaTheme="minorHAnsi" w:hAnsiTheme="minorHAnsi" w:cstheme="minorBidi"/>
          <w:snapToGrid/>
          <w:sz w:val="24"/>
          <w:szCs w:val="22"/>
        </w:rPr>
        <w:t>The minor submission requested</w:t>
      </w:r>
      <w:r>
        <w:rPr>
          <w:rFonts w:asciiTheme="minorHAnsi" w:eastAsiaTheme="minorHAnsi" w:hAnsiTheme="minorHAnsi" w:cstheme="minorBidi"/>
          <w:snapToGrid/>
          <w:sz w:val="24"/>
          <w:szCs w:val="22"/>
        </w:rPr>
        <w:t xml:space="preserve"> changes to the </w:t>
      </w:r>
      <w:r w:rsidR="00B3658B">
        <w:rPr>
          <w:rFonts w:asciiTheme="minorHAnsi" w:eastAsiaTheme="minorHAnsi" w:hAnsiTheme="minorHAnsi" w:cstheme="minorBidi"/>
          <w:snapToGrid/>
          <w:sz w:val="24"/>
          <w:szCs w:val="22"/>
        </w:rPr>
        <w:t xml:space="preserve">existing </w:t>
      </w:r>
      <w:r>
        <w:rPr>
          <w:rFonts w:asciiTheme="minorHAnsi" w:eastAsiaTheme="minorHAnsi" w:hAnsiTheme="minorHAnsi" w:cstheme="minorBidi"/>
          <w:snapToGrid/>
          <w:sz w:val="24"/>
          <w:szCs w:val="22"/>
        </w:rPr>
        <w:t xml:space="preserve">PBS restrictions for ponatinib </w:t>
      </w:r>
      <w:r w:rsidR="00B3658B">
        <w:rPr>
          <w:rFonts w:asciiTheme="minorHAnsi" w:eastAsiaTheme="minorHAnsi" w:hAnsiTheme="minorHAnsi" w:cstheme="minorBidi"/>
          <w:snapToGrid/>
          <w:sz w:val="24"/>
          <w:szCs w:val="22"/>
        </w:rPr>
        <w:t xml:space="preserve">for the treatment of </w:t>
      </w:r>
      <w:r w:rsidR="00B3658B">
        <w:rPr>
          <w:rFonts w:asciiTheme="minorHAnsi" w:hAnsiTheme="minorHAnsi"/>
          <w:sz w:val="24"/>
          <w:szCs w:val="24"/>
        </w:rPr>
        <w:t>chronic myeloid leukaemia (CML)</w:t>
      </w:r>
      <w:r>
        <w:rPr>
          <w:rFonts w:asciiTheme="minorHAnsi" w:eastAsiaTheme="minorHAnsi" w:hAnsiTheme="minorHAnsi" w:cstheme="minorBidi"/>
          <w:snapToGrid/>
          <w:sz w:val="24"/>
          <w:szCs w:val="22"/>
        </w:rPr>
        <w:t>:</w:t>
      </w:r>
    </w:p>
    <w:p w:rsidR="004D3009" w:rsidRDefault="004D3009" w:rsidP="00FE43F5">
      <w:pPr>
        <w:pStyle w:val="ListParagraph"/>
        <w:widowControl/>
        <w:numPr>
          <w:ilvl w:val="0"/>
          <w:numId w:val="26"/>
        </w:numPr>
        <w:spacing w:after="120"/>
        <w:contextualSpacing w:val="0"/>
        <w:rPr>
          <w:rFonts w:asciiTheme="minorHAnsi" w:hAnsiTheme="minorHAnsi"/>
          <w:sz w:val="24"/>
          <w:szCs w:val="24"/>
        </w:rPr>
      </w:pPr>
      <w:r>
        <w:rPr>
          <w:rFonts w:asciiTheme="minorHAnsi" w:hAnsiTheme="minorHAnsi"/>
          <w:sz w:val="24"/>
          <w:szCs w:val="24"/>
        </w:rPr>
        <w:t xml:space="preserve">Removal of the </w:t>
      </w:r>
      <w:r w:rsidR="008B7960">
        <w:rPr>
          <w:rFonts w:asciiTheme="minorHAnsi" w:hAnsiTheme="minorHAnsi"/>
          <w:sz w:val="24"/>
          <w:szCs w:val="24"/>
        </w:rPr>
        <w:t>time limitation</w:t>
      </w:r>
      <w:r>
        <w:rPr>
          <w:rFonts w:asciiTheme="minorHAnsi" w:hAnsiTheme="minorHAnsi"/>
          <w:sz w:val="24"/>
          <w:szCs w:val="24"/>
        </w:rPr>
        <w:t xml:space="preserve"> for </w:t>
      </w:r>
      <w:r w:rsidR="00874C30">
        <w:rPr>
          <w:rFonts w:asciiTheme="minorHAnsi" w:hAnsiTheme="minorHAnsi"/>
          <w:sz w:val="24"/>
          <w:szCs w:val="24"/>
        </w:rPr>
        <w:t xml:space="preserve">bone marrow biopsy </w:t>
      </w:r>
      <w:r>
        <w:rPr>
          <w:rFonts w:asciiTheme="minorHAnsi" w:hAnsiTheme="minorHAnsi"/>
          <w:sz w:val="24"/>
          <w:szCs w:val="24"/>
        </w:rPr>
        <w:t>pathology report</w:t>
      </w:r>
      <w:r w:rsidR="00DA5DE3">
        <w:rPr>
          <w:rFonts w:asciiTheme="minorHAnsi" w:hAnsiTheme="minorHAnsi"/>
          <w:sz w:val="24"/>
          <w:szCs w:val="24"/>
        </w:rPr>
        <w:t>(</w:t>
      </w:r>
      <w:r>
        <w:rPr>
          <w:rFonts w:asciiTheme="minorHAnsi" w:hAnsiTheme="minorHAnsi"/>
          <w:sz w:val="24"/>
          <w:szCs w:val="24"/>
        </w:rPr>
        <w:t>s</w:t>
      </w:r>
      <w:r w:rsidR="00DA5DE3">
        <w:rPr>
          <w:rFonts w:asciiTheme="minorHAnsi" w:hAnsiTheme="minorHAnsi"/>
          <w:sz w:val="24"/>
          <w:szCs w:val="24"/>
        </w:rPr>
        <w:t>)</w:t>
      </w:r>
      <w:r>
        <w:rPr>
          <w:rFonts w:asciiTheme="minorHAnsi" w:hAnsiTheme="minorHAnsi"/>
          <w:sz w:val="24"/>
          <w:szCs w:val="24"/>
        </w:rPr>
        <w:t xml:space="preserve"> to have been obtained within the six months</w:t>
      </w:r>
      <w:r w:rsidR="00DA5DE3">
        <w:rPr>
          <w:rFonts w:asciiTheme="minorHAnsi" w:hAnsiTheme="minorHAnsi"/>
          <w:sz w:val="24"/>
          <w:szCs w:val="24"/>
        </w:rPr>
        <w:t xml:space="preserve"> prior to initiating treatment with ponatinib</w:t>
      </w:r>
      <w:r>
        <w:rPr>
          <w:rFonts w:asciiTheme="minorHAnsi" w:hAnsiTheme="minorHAnsi"/>
          <w:sz w:val="24"/>
          <w:szCs w:val="24"/>
        </w:rPr>
        <w:t>.</w:t>
      </w:r>
    </w:p>
    <w:p w:rsidR="005F1D6D" w:rsidRDefault="009F3D36" w:rsidP="005F1D6D">
      <w:pPr>
        <w:pStyle w:val="ListParagraph"/>
        <w:widowControl/>
        <w:numPr>
          <w:ilvl w:val="0"/>
          <w:numId w:val="26"/>
        </w:numPr>
        <w:spacing w:after="120"/>
        <w:contextualSpacing w:val="0"/>
        <w:rPr>
          <w:rFonts w:asciiTheme="minorHAnsi" w:hAnsiTheme="minorHAnsi"/>
          <w:sz w:val="24"/>
          <w:szCs w:val="24"/>
        </w:rPr>
      </w:pPr>
      <w:r>
        <w:rPr>
          <w:rFonts w:asciiTheme="minorHAnsi" w:hAnsiTheme="minorHAnsi"/>
          <w:sz w:val="24"/>
          <w:szCs w:val="24"/>
        </w:rPr>
        <w:t xml:space="preserve">The continuing restriction </w:t>
      </w:r>
      <w:r w:rsidR="00CB624D">
        <w:rPr>
          <w:rFonts w:asciiTheme="minorHAnsi" w:hAnsiTheme="minorHAnsi"/>
          <w:sz w:val="24"/>
          <w:szCs w:val="24"/>
        </w:rPr>
        <w:t>that follows the initial treatment with ponatinib after failure or intolerance to prior dasatinib and nilotinib, as well as the initial treatment with ponatinib after failure of prior therapy of imatinib or dasatinib or nilotinib in patients with T315I mutation into first continuing (A</w:t>
      </w:r>
      <w:r w:rsidR="0085650E">
        <w:rPr>
          <w:rFonts w:asciiTheme="minorHAnsi" w:hAnsiTheme="minorHAnsi"/>
          <w:sz w:val="24"/>
          <w:szCs w:val="24"/>
        </w:rPr>
        <w:t xml:space="preserve">uthority </w:t>
      </w:r>
      <w:r w:rsidR="00CB624D">
        <w:rPr>
          <w:rFonts w:asciiTheme="minorHAnsi" w:hAnsiTheme="minorHAnsi"/>
          <w:sz w:val="24"/>
          <w:szCs w:val="24"/>
        </w:rPr>
        <w:t>R</w:t>
      </w:r>
      <w:r w:rsidR="0085650E">
        <w:rPr>
          <w:rFonts w:asciiTheme="minorHAnsi" w:hAnsiTheme="minorHAnsi"/>
          <w:sz w:val="24"/>
          <w:szCs w:val="24"/>
        </w:rPr>
        <w:t xml:space="preserve">equired </w:t>
      </w:r>
      <w:r w:rsidR="00CB624D">
        <w:rPr>
          <w:rFonts w:asciiTheme="minorHAnsi" w:hAnsiTheme="minorHAnsi"/>
          <w:sz w:val="24"/>
          <w:szCs w:val="24"/>
        </w:rPr>
        <w:t>-</w:t>
      </w:r>
      <w:r w:rsidR="0085650E">
        <w:rPr>
          <w:rFonts w:asciiTheme="minorHAnsi" w:hAnsiTheme="minorHAnsi"/>
          <w:sz w:val="24"/>
          <w:szCs w:val="24"/>
        </w:rPr>
        <w:t xml:space="preserve"> </w:t>
      </w:r>
      <w:r w:rsidR="00CB624D">
        <w:rPr>
          <w:rFonts w:asciiTheme="minorHAnsi" w:hAnsiTheme="minorHAnsi"/>
          <w:sz w:val="24"/>
          <w:szCs w:val="24"/>
        </w:rPr>
        <w:t>written) and subsequent continuing (A</w:t>
      </w:r>
      <w:r w:rsidR="0085650E">
        <w:rPr>
          <w:rFonts w:asciiTheme="minorHAnsi" w:hAnsiTheme="minorHAnsi"/>
          <w:sz w:val="24"/>
          <w:szCs w:val="24"/>
        </w:rPr>
        <w:t xml:space="preserve">uthority Required </w:t>
      </w:r>
      <w:r w:rsidR="00CB624D">
        <w:rPr>
          <w:rFonts w:asciiTheme="minorHAnsi" w:hAnsiTheme="minorHAnsi"/>
          <w:sz w:val="24"/>
          <w:szCs w:val="24"/>
        </w:rPr>
        <w:t>-</w:t>
      </w:r>
      <w:r w:rsidR="0085650E">
        <w:rPr>
          <w:rFonts w:asciiTheme="minorHAnsi" w:hAnsiTheme="minorHAnsi"/>
          <w:sz w:val="24"/>
          <w:szCs w:val="24"/>
        </w:rPr>
        <w:t xml:space="preserve"> </w:t>
      </w:r>
      <w:r w:rsidR="00CB624D">
        <w:rPr>
          <w:rFonts w:asciiTheme="minorHAnsi" w:hAnsiTheme="minorHAnsi"/>
          <w:sz w:val="24"/>
          <w:szCs w:val="24"/>
        </w:rPr>
        <w:t xml:space="preserve">telephone). </w:t>
      </w:r>
    </w:p>
    <w:p w:rsidR="00ED36DC" w:rsidRPr="00FC5E2B" w:rsidRDefault="00E34EB9" w:rsidP="00C26DFB">
      <w:pPr>
        <w:pStyle w:val="ListParagraph"/>
        <w:widowControl/>
        <w:numPr>
          <w:ilvl w:val="1"/>
          <w:numId w:val="5"/>
        </w:numPr>
        <w:spacing w:after="120"/>
        <w:contextualSpacing w:val="0"/>
        <w:rPr>
          <w:rFonts w:asciiTheme="minorHAnsi" w:hAnsiTheme="minorHAnsi"/>
          <w:sz w:val="24"/>
          <w:szCs w:val="24"/>
        </w:rPr>
      </w:pPr>
      <w:r w:rsidRPr="00FC5E2B">
        <w:rPr>
          <w:rFonts w:asciiTheme="minorHAnsi" w:hAnsiTheme="minorHAnsi"/>
          <w:sz w:val="24"/>
          <w:szCs w:val="24"/>
        </w:rPr>
        <w:t xml:space="preserve">The minor submission detailed the </w:t>
      </w:r>
      <w:r w:rsidR="00851E23" w:rsidRPr="00FC5E2B">
        <w:rPr>
          <w:rFonts w:asciiTheme="minorHAnsi" w:hAnsiTheme="minorHAnsi"/>
          <w:sz w:val="24"/>
          <w:szCs w:val="24"/>
        </w:rPr>
        <w:t xml:space="preserve">flow on </w:t>
      </w:r>
      <w:r w:rsidR="00FF35EE" w:rsidRPr="00FC5E2B">
        <w:rPr>
          <w:rFonts w:asciiTheme="minorHAnsi" w:hAnsiTheme="minorHAnsi"/>
          <w:sz w:val="24"/>
          <w:szCs w:val="24"/>
        </w:rPr>
        <w:t>amendments</w:t>
      </w:r>
      <w:r w:rsidR="00851E23" w:rsidRPr="00FC5E2B">
        <w:rPr>
          <w:rFonts w:asciiTheme="minorHAnsi" w:hAnsiTheme="minorHAnsi"/>
          <w:sz w:val="24"/>
          <w:szCs w:val="24"/>
        </w:rPr>
        <w:t xml:space="preserve"> to DHS PBS authority application forms </w:t>
      </w:r>
      <w:r w:rsidRPr="00FC5E2B">
        <w:rPr>
          <w:rFonts w:asciiTheme="minorHAnsi" w:hAnsiTheme="minorHAnsi"/>
          <w:sz w:val="24"/>
          <w:szCs w:val="24"/>
        </w:rPr>
        <w:t xml:space="preserve">that would be required </w:t>
      </w:r>
      <w:r w:rsidR="00FF35EE" w:rsidRPr="00FC5E2B">
        <w:rPr>
          <w:rFonts w:asciiTheme="minorHAnsi" w:hAnsiTheme="minorHAnsi"/>
          <w:sz w:val="24"/>
          <w:szCs w:val="24"/>
        </w:rPr>
        <w:t xml:space="preserve">if the changes </w:t>
      </w:r>
      <w:r w:rsidR="006470C4" w:rsidRPr="00FC5E2B">
        <w:rPr>
          <w:rFonts w:asciiTheme="minorHAnsi" w:hAnsiTheme="minorHAnsi"/>
          <w:sz w:val="24"/>
          <w:szCs w:val="24"/>
        </w:rPr>
        <w:t xml:space="preserve">to </w:t>
      </w:r>
      <w:r w:rsidR="00FF35EE" w:rsidRPr="00FC5E2B">
        <w:rPr>
          <w:rFonts w:asciiTheme="minorHAnsi" w:hAnsiTheme="minorHAnsi"/>
          <w:sz w:val="24"/>
          <w:szCs w:val="24"/>
        </w:rPr>
        <w:t>the existing PBS restrictions outlined above were approved</w:t>
      </w:r>
      <w:r w:rsidRPr="00FC5E2B">
        <w:rPr>
          <w:rFonts w:asciiTheme="minorHAnsi" w:hAnsiTheme="minorHAnsi"/>
          <w:sz w:val="24"/>
          <w:szCs w:val="24"/>
        </w:rPr>
        <w:t>. In addition</w:t>
      </w:r>
      <w:r w:rsidR="00851E23" w:rsidRPr="00FC5E2B">
        <w:rPr>
          <w:rFonts w:asciiTheme="minorHAnsi" w:hAnsiTheme="minorHAnsi"/>
          <w:sz w:val="24"/>
          <w:szCs w:val="24"/>
        </w:rPr>
        <w:t>, t</w:t>
      </w:r>
      <w:r w:rsidR="004D113D" w:rsidRPr="00FC5E2B">
        <w:rPr>
          <w:rFonts w:asciiTheme="minorHAnsi" w:hAnsiTheme="minorHAnsi"/>
          <w:sz w:val="24"/>
          <w:szCs w:val="24"/>
        </w:rPr>
        <w:t xml:space="preserve">he </w:t>
      </w:r>
      <w:r w:rsidRPr="00FC5E2B">
        <w:rPr>
          <w:rFonts w:asciiTheme="minorHAnsi" w:hAnsiTheme="minorHAnsi"/>
          <w:sz w:val="24"/>
          <w:szCs w:val="24"/>
        </w:rPr>
        <w:t xml:space="preserve">minor </w:t>
      </w:r>
      <w:r w:rsidR="004D113D" w:rsidRPr="00FC5E2B">
        <w:rPr>
          <w:rFonts w:asciiTheme="minorHAnsi" w:hAnsiTheme="minorHAnsi"/>
          <w:sz w:val="24"/>
          <w:szCs w:val="24"/>
        </w:rPr>
        <w:t>submission</w:t>
      </w:r>
      <w:r w:rsidR="005F1D6D" w:rsidRPr="00FC5E2B">
        <w:rPr>
          <w:rFonts w:asciiTheme="minorHAnsi" w:hAnsiTheme="minorHAnsi"/>
          <w:sz w:val="24"/>
          <w:szCs w:val="24"/>
        </w:rPr>
        <w:t xml:space="preserve"> also included request</w:t>
      </w:r>
      <w:r w:rsidR="00851E23" w:rsidRPr="00FC5E2B">
        <w:rPr>
          <w:rFonts w:asciiTheme="minorHAnsi" w:hAnsiTheme="minorHAnsi"/>
          <w:sz w:val="24"/>
          <w:szCs w:val="24"/>
        </w:rPr>
        <w:t>s</w:t>
      </w:r>
      <w:r w:rsidR="005F1D6D" w:rsidRPr="00FC5E2B">
        <w:rPr>
          <w:rFonts w:asciiTheme="minorHAnsi" w:hAnsiTheme="minorHAnsi"/>
          <w:sz w:val="24"/>
          <w:szCs w:val="24"/>
        </w:rPr>
        <w:t xml:space="preserve"> for</w:t>
      </w:r>
      <w:r w:rsidR="004D113D" w:rsidRPr="00FC5E2B">
        <w:rPr>
          <w:rFonts w:asciiTheme="minorHAnsi" w:hAnsiTheme="minorHAnsi"/>
          <w:sz w:val="24"/>
          <w:szCs w:val="24"/>
        </w:rPr>
        <w:t xml:space="preserve"> </w:t>
      </w:r>
      <w:r w:rsidR="005F1D6D" w:rsidRPr="00FC5E2B">
        <w:rPr>
          <w:rFonts w:asciiTheme="minorHAnsi" w:hAnsiTheme="minorHAnsi"/>
          <w:sz w:val="24"/>
          <w:szCs w:val="24"/>
        </w:rPr>
        <w:t>amendment</w:t>
      </w:r>
      <w:r w:rsidR="00851E23" w:rsidRPr="00FC5E2B">
        <w:rPr>
          <w:rFonts w:asciiTheme="minorHAnsi" w:hAnsiTheme="minorHAnsi"/>
          <w:sz w:val="24"/>
          <w:szCs w:val="24"/>
        </w:rPr>
        <w:t>s</w:t>
      </w:r>
      <w:r w:rsidR="004D113D" w:rsidRPr="00FC5E2B">
        <w:rPr>
          <w:rFonts w:asciiTheme="minorHAnsi" w:hAnsiTheme="minorHAnsi"/>
          <w:sz w:val="24"/>
          <w:szCs w:val="24"/>
        </w:rPr>
        <w:t xml:space="preserve"> to </w:t>
      </w:r>
      <w:r w:rsidR="00851E23" w:rsidRPr="00FC5E2B">
        <w:rPr>
          <w:rFonts w:asciiTheme="minorHAnsi" w:hAnsiTheme="minorHAnsi"/>
          <w:sz w:val="24"/>
          <w:szCs w:val="24"/>
        </w:rPr>
        <w:t>two</w:t>
      </w:r>
      <w:r w:rsidR="004D113D" w:rsidRPr="00FC5E2B">
        <w:rPr>
          <w:rFonts w:asciiTheme="minorHAnsi" w:hAnsiTheme="minorHAnsi"/>
          <w:sz w:val="24"/>
          <w:szCs w:val="24"/>
        </w:rPr>
        <w:t xml:space="preserve"> </w:t>
      </w:r>
      <w:r w:rsidR="00851E23" w:rsidRPr="00FC5E2B">
        <w:rPr>
          <w:rFonts w:asciiTheme="minorHAnsi" w:hAnsiTheme="minorHAnsi"/>
          <w:sz w:val="24"/>
          <w:szCs w:val="24"/>
        </w:rPr>
        <w:t xml:space="preserve">additional </w:t>
      </w:r>
      <w:r w:rsidR="004D113D" w:rsidRPr="00FC5E2B">
        <w:rPr>
          <w:rFonts w:asciiTheme="minorHAnsi" w:hAnsiTheme="minorHAnsi"/>
          <w:sz w:val="24"/>
          <w:szCs w:val="24"/>
        </w:rPr>
        <w:t>DHS initial P</w:t>
      </w:r>
      <w:r w:rsidR="005F1D6D" w:rsidRPr="00FC5E2B">
        <w:rPr>
          <w:rFonts w:asciiTheme="minorHAnsi" w:hAnsiTheme="minorHAnsi"/>
          <w:sz w:val="24"/>
          <w:szCs w:val="24"/>
        </w:rPr>
        <w:t>BS authority application forms</w:t>
      </w:r>
      <w:r w:rsidR="006470C4">
        <w:rPr>
          <w:rFonts w:asciiTheme="minorHAnsi" w:hAnsiTheme="minorHAnsi"/>
          <w:sz w:val="24"/>
          <w:szCs w:val="24"/>
        </w:rPr>
        <w:t xml:space="preserve"> for ponatinib</w:t>
      </w:r>
      <w:r w:rsidR="00851E23" w:rsidRPr="00FC5E2B">
        <w:rPr>
          <w:rFonts w:asciiTheme="minorHAnsi" w:hAnsiTheme="minorHAnsi"/>
          <w:sz w:val="24"/>
          <w:szCs w:val="24"/>
        </w:rPr>
        <w:t xml:space="preserve">. </w:t>
      </w:r>
      <w:r w:rsidR="005F1D6D" w:rsidRPr="00FC5E2B">
        <w:rPr>
          <w:rFonts w:asciiTheme="minorHAnsi" w:hAnsiTheme="minorHAnsi"/>
          <w:sz w:val="24"/>
          <w:szCs w:val="24"/>
        </w:rPr>
        <w:t xml:space="preserve">PBAC consideration was not required for these proposed </w:t>
      </w:r>
      <w:r w:rsidR="006470C4">
        <w:rPr>
          <w:rFonts w:asciiTheme="minorHAnsi" w:hAnsiTheme="minorHAnsi"/>
          <w:sz w:val="24"/>
          <w:szCs w:val="24"/>
        </w:rPr>
        <w:t>amendments</w:t>
      </w:r>
      <w:r w:rsidR="00851E23" w:rsidRPr="00FC5E2B">
        <w:rPr>
          <w:rFonts w:asciiTheme="minorHAnsi" w:hAnsiTheme="minorHAnsi"/>
          <w:sz w:val="24"/>
          <w:szCs w:val="24"/>
        </w:rPr>
        <w:t>.</w:t>
      </w:r>
    </w:p>
    <w:p w:rsidR="00D65EE4" w:rsidRPr="00FD6D8E" w:rsidRDefault="00D65EE4" w:rsidP="00990FA9">
      <w:pPr>
        <w:pStyle w:val="Heading1"/>
      </w:pPr>
      <w:r w:rsidRPr="002B5596">
        <w:t>Background</w:t>
      </w:r>
    </w:p>
    <w:p w:rsidR="002C32BA" w:rsidRPr="00B15EA7" w:rsidRDefault="002C32BA" w:rsidP="002C32BA">
      <w:pPr>
        <w:pStyle w:val="ListParagraph"/>
        <w:widowControl/>
        <w:numPr>
          <w:ilvl w:val="1"/>
          <w:numId w:val="14"/>
        </w:numPr>
        <w:contextualSpacing w:val="0"/>
        <w:rPr>
          <w:rFonts w:asciiTheme="minorHAnsi" w:eastAsiaTheme="minorHAnsi" w:hAnsiTheme="minorHAnsi" w:cstheme="minorBidi"/>
          <w:snapToGrid/>
          <w:sz w:val="24"/>
          <w:szCs w:val="22"/>
        </w:rPr>
      </w:pPr>
      <w:r w:rsidRPr="00B15EA7">
        <w:rPr>
          <w:rFonts w:asciiTheme="minorHAnsi" w:eastAsiaTheme="minorHAnsi" w:hAnsiTheme="minorHAnsi" w:cstheme="minorBidi"/>
          <w:snapToGrid/>
          <w:sz w:val="24"/>
          <w:szCs w:val="22"/>
        </w:rPr>
        <w:t>Ponatinib was recommended for listing at the July 2015 PBAC meeting for</w:t>
      </w:r>
      <w:r w:rsidR="00383147">
        <w:rPr>
          <w:rFonts w:asciiTheme="minorHAnsi" w:eastAsiaTheme="minorHAnsi" w:hAnsiTheme="minorHAnsi" w:cstheme="minorBidi"/>
          <w:snapToGrid/>
          <w:sz w:val="24"/>
          <w:szCs w:val="22"/>
        </w:rPr>
        <w:t xml:space="preserve"> the treatment of:</w:t>
      </w:r>
    </w:p>
    <w:p w:rsidR="00383147" w:rsidRDefault="002C32BA" w:rsidP="00FC5E2B">
      <w:pPr>
        <w:pStyle w:val="ListParagraph"/>
        <w:numPr>
          <w:ilvl w:val="0"/>
          <w:numId w:val="28"/>
        </w:numPr>
        <w:rPr>
          <w:rFonts w:asciiTheme="minorHAnsi" w:eastAsiaTheme="minorHAnsi" w:hAnsiTheme="minorHAnsi" w:cstheme="minorBidi"/>
          <w:snapToGrid/>
          <w:sz w:val="24"/>
          <w:szCs w:val="22"/>
        </w:rPr>
      </w:pPr>
      <w:r w:rsidRPr="00B15EA7">
        <w:rPr>
          <w:rFonts w:asciiTheme="minorHAnsi" w:eastAsiaTheme="minorHAnsi" w:hAnsiTheme="minorHAnsi" w:cstheme="minorBidi"/>
          <w:snapToGrid/>
          <w:sz w:val="24"/>
          <w:szCs w:val="22"/>
        </w:rPr>
        <w:t xml:space="preserve">CML in (i) Patients who have failed first line therapy with imatinib or dasatinib or nilotinib and whose CML has the T315I mutation; (ii) Patients with CML where both nilotinib and dasatinib have failed or where one of nilotinib or dasatinib has failed and the patient is intolerant of the other drug; and </w:t>
      </w:r>
    </w:p>
    <w:p w:rsidR="00B07BA8" w:rsidRDefault="002C32BA" w:rsidP="00560FC8">
      <w:pPr>
        <w:pStyle w:val="ListParagraph"/>
        <w:numPr>
          <w:ilvl w:val="0"/>
          <w:numId w:val="28"/>
        </w:numPr>
        <w:spacing w:after="120"/>
        <w:ind w:left="1077" w:hanging="357"/>
        <w:rPr>
          <w:rFonts w:asciiTheme="minorHAnsi" w:eastAsiaTheme="minorHAnsi" w:hAnsiTheme="minorHAnsi" w:cstheme="minorBidi"/>
          <w:snapToGrid/>
          <w:sz w:val="24"/>
          <w:szCs w:val="22"/>
        </w:rPr>
      </w:pPr>
      <w:r w:rsidRPr="00560FC8">
        <w:rPr>
          <w:rFonts w:asciiTheme="minorHAnsi" w:eastAsiaTheme="minorHAnsi" w:hAnsiTheme="minorHAnsi" w:cstheme="minorBidi"/>
          <w:snapToGrid/>
          <w:sz w:val="24"/>
          <w:szCs w:val="22"/>
        </w:rPr>
        <w:t xml:space="preserve">relapsed or refractory Philadelphia chromosome positive acute lymphoblastic leukaemia (Ph+ ALL) in patients whose ALL has the T315I mutation (paragraph 2.1, ponatinib Public Summary Document (PSD), November 2017). </w:t>
      </w:r>
    </w:p>
    <w:p w:rsidR="00B07BA8" w:rsidRPr="00560FC8" w:rsidRDefault="00B07BA8" w:rsidP="00560FC8">
      <w:pPr>
        <w:pStyle w:val="ListParagraph"/>
        <w:spacing w:after="120"/>
        <w:ind w:left="1077"/>
        <w:rPr>
          <w:rFonts w:asciiTheme="minorHAnsi" w:eastAsiaTheme="minorHAnsi" w:hAnsiTheme="minorHAnsi" w:cstheme="minorBidi"/>
          <w:snapToGrid/>
          <w:sz w:val="16"/>
          <w:szCs w:val="16"/>
        </w:rPr>
      </w:pPr>
    </w:p>
    <w:p w:rsidR="002C32BA" w:rsidRDefault="002C32BA" w:rsidP="00560FC8">
      <w:pPr>
        <w:pStyle w:val="ListParagraph"/>
        <w:widowControl/>
        <w:numPr>
          <w:ilvl w:val="1"/>
          <w:numId w:val="14"/>
        </w:numPr>
        <w:spacing w:before="120"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In November 2017, </w:t>
      </w:r>
      <w:r w:rsidRPr="00560FC8">
        <w:rPr>
          <w:rFonts w:asciiTheme="minorHAnsi" w:eastAsiaTheme="minorHAnsi" w:hAnsiTheme="minorHAnsi" w:cstheme="minorBidi"/>
          <w:snapToGrid/>
          <w:sz w:val="24"/>
          <w:szCs w:val="22"/>
        </w:rPr>
        <w:t xml:space="preserve">the PBAC recommended amending the current ponatinib restriction for relapsed or refractory </w:t>
      </w:r>
      <w:r w:rsidR="007B7179">
        <w:rPr>
          <w:rFonts w:asciiTheme="minorHAnsi" w:eastAsiaTheme="minorHAnsi" w:hAnsiTheme="minorHAnsi" w:cstheme="minorBidi"/>
          <w:snapToGrid/>
          <w:sz w:val="24"/>
          <w:szCs w:val="22"/>
        </w:rPr>
        <w:t>Ph+ ALL</w:t>
      </w:r>
      <w:r w:rsidRPr="00560FC8">
        <w:rPr>
          <w:rFonts w:asciiTheme="minorHAnsi" w:eastAsiaTheme="minorHAnsi" w:hAnsiTheme="minorHAnsi" w:cstheme="minorBidi"/>
          <w:snapToGrid/>
          <w:sz w:val="24"/>
          <w:szCs w:val="22"/>
        </w:rPr>
        <w:t xml:space="preserve"> to include patients without the T315I mutation who have failed or are intolerant to dasatinib (paragraph 5.1, ponatinib PSD, November 2017). The PBAC reiterated its view that there is a clinical need for </w:t>
      </w:r>
      <w:r w:rsidRPr="00560FC8">
        <w:rPr>
          <w:rFonts w:asciiTheme="minorHAnsi" w:eastAsiaTheme="minorHAnsi" w:hAnsiTheme="minorHAnsi" w:cstheme="minorBidi"/>
          <w:snapToGrid/>
          <w:sz w:val="24"/>
          <w:szCs w:val="22"/>
        </w:rPr>
        <w:lastRenderedPageBreak/>
        <w:t>treatments of Ph+ALL patients without the T315</w:t>
      </w:r>
      <w:r w:rsidR="00251824">
        <w:rPr>
          <w:rFonts w:asciiTheme="minorHAnsi" w:eastAsiaTheme="minorHAnsi" w:hAnsiTheme="minorHAnsi" w:cstheme="minorBidi"/>
          <w:snapToGrid/>
          <w:sz w:val="24"/>
          <w:szCs w:val="22"/>
        </w:rPr>
        <w:t>I</w:t>
      </w:r>
      <w:r w:rsidRPr="00560FC8">
        <w:rPr>
          <w:rFonts w:asciiTheme="minorHAnsi" w:eastAsiaTheme="minorHAnsi" w:hAnsiTheme="minorHAnsi" w:cstheme="minorBidi"/>
          <w:snapToGrid/>
          <w:sz w:val="24"/>
          <w:szCs w:val="22"/>
        </w:rPr>
        <w:t xml:space="preserve"> mutation at its April 2018 meeting (paragraph 8.1, ponatinib PSD, November 2017).</w:t>
      </w:r>
    </w:p>
    <w:p w:rsidR="00D65EE4" w:rsidRPr="00B36E1D" w:rsidRDefault="00D65EE4" w:rsidP="00D65EE4">
      <w:pPr>
        <w:pStyle w:val="ListParagraph"/>
        <w:widowControl/>
        <w:numPr>
          <w:ilvl w:val="1"/>
          <w:numId w:val="14"/>
        </w:numPr>
        <w:spacing w:after="120"/>
        <w:contextualSpacing w:val="0"/>
      </w:pPr>
      <w:r w:rsidRPr="00D65EE4">
        <w:rPr>
          <w:rFonts w:asciiTheme="minorHAnsi" w:eastAsiaTheme="minorHAnsi" w:hAnsiTheme="minorHAnsi" w:cstheme="minorBidi"/>
          <w:snapToGrid/>
          <w:sz w:val="24"/>
          <w:szCs w:val="22"/>
        </w:rPr>
        <w:t xml:space="preserve">The </w:t>
      </w:r>
      <w:r w:rsidR="00236B1A">
        <w:rPr>
          <w:rFonts w:asciiTheme="minorHAnsi" w:eastAsiaTheme="minorHAnsi" w:hAnsiTheme="minorHAnsi" w:cstheme="minorBidi"/>
          <w:snapToGrid/>
          <w:sz w:val="24"/>
          <w:szCs w:val="22"/>
        </w:rPr>
        <w:t xml:space="preserve">minor </w:t>
      </w:r>
      <w:r w:rsidRPr="00D65EE4">
        <w:rPr>
          <w:rFonts w:asciiTheme="minorHAnsi" w:eastAsiaTheme="minorHAnsi" w:hAnsiTheme="minorHAnsi" w:cstheme="minorBidi"/>
          <w:snapToGrid/>
          <w:sz w:val="24"/>
          <w:szCs w:val="22"/>
        </w:rPr>
        <w:t xml:space="preserve">submission claimed that the requirement for pathology reports to have been obtained within the 6 months prior to application for initiation of treatment was not present in the recommended listing from the July 2015 recommendation of ponatinib for CML. </w:t>
      </w:r>
    </w:p>
    <w:p w:rsidR="00D65EE4" w:rsidRDefault="00A4226A" w:rsidP="00D65EE4">
      <w:pPr>
        <w:pStyle w:val="ListParagraph"/>
        <w:widowControl/>
        <w:numPr>
          <w:ilvl w:val="1"/>
          <w:numId w:val="14"/>
        </w:numPr>
        <w:spacing w:after="120"/>
        <w:contextualSpacing w:val="0"/>
        <w:rPr>
          <w:rFonts w:asciiTheme="minorHAnsi" w:hAnsiTheme="minorHAnsi" w:cstheme="minorHAnsi"/>
          <w:sz w:val="24"/>
          <w:szCs w:val="24"/>
        </w:rPr>
      </w:pPr>
      <w:r w:rsidRPr="00A4226A">
        <w:rPr>
          <w:rFonts w:asciiTheme="minorHAnsi" w:hAnsiTheme="minorHAnsi" w:cstheme="minorHAnsi"/>
          <w:sz w:val="24"/>
          <w:szCs w:val="24"/>
        </w:rPr>
        <w:t xml:space="preserve">The </w:t>
      </w:r>
      <w:r w:rsidR="00236B1A">
        <w:rPr>
          <w:rFonts w:asciiTheme="minorHAnsi" w:hAnsiTheme="minorHAnsi" w:cstheme="minorHAnsi"/>
          <w:sz w:val="24"/>
          <w:szCs w:val="24"/>
        </w:rPr>
        <w:t xml:space="preserve">minor </w:t>
      </w:r>
      <w:r w:rsidRPr="00A4226A">
        <w:rPr>
          <w:rFonts w:asciiTheme="minorHAnsi" w:hAnsiTheme="minorHAnsi" w:cstheme="minorHAnsi"/>
          <w:sz w:val="24"/>
          <w:szCs w:val="24"/>
        </w:rPr>
        <w:t xml:space="preserve">submission claimed that </w:t>
      </w:r>
      <w:r>
        <w:rPr>
          <w:rFonts w:asciiTheme="minorHAnsi" w:hAnsiTheme="minorHAnsi" w:cstheme="minorHAnsi"/>
          <w:sz w:val="24"/>
          <w:szCs w:val="24"/>
        </w:rPr>
        <w:t xml:space="preserve">the requirement for </w:t>
      </w:r>
      <w:r w:rsidRPr="00A4226A">
        <w:rPr>
          <w:rFonts w:asciiTheme="minorHAnsi" w:hAnsiTheme="minorHAnsi" w:cstheme="minorHAnsi"/>
          <w:sz w:val="24"/>
          <w:szCs w:val="24"/>
        </w:rPr>
        <w:t xml:space="preserve">written authority </w:t>
      </w:r>
      <w:r>
        <w:rPr>
          <w:rFonts w:asciiTheme="minorHAnsi" w:hAnsiTheme="minorHAnsi" w:cstheme="minorHAnsi"/>
          <w:sz w:val="24"/>
          <w:szCs w:val="24"/>
        </w:rPr>
        <w:t xml:space="preserve">for </w:t>
      </w:r>
      <w:r w:rsidRPr="00A4226A">
        <w:rPr>
          <w:rFonts w:asciiTheme="minorHAnsi" w:hAnsiTheme="minorHAnsi" w:cstheme="minorHAnsi"/>
          <w:sz w:val="24"/>
          <w:szCs w:val="24"/>
        </w:rPr>
        <w:t xml:space="preserve">applications </w:t>
      </w:r>
      <w:r>
        <w:rPr>
          <w:rFonts w:asciiTheme="minorHAnsi" w:hAnsiTheme="minorHAnsi" w:cstheme="minorHAnsi"/>
          <w:sz w:val="24"/>
          <w:szCs w:val="24"/>
        </w:rPr>
        <w:t xml:space="preserve">for ongoing treatment </w:t>
      </w:r>
      <w:r w:rsidRPr="00A4226A">
        <w:rPr>
          <w:rFonts w:asciiTheme="minorHAnsi" w:hAnsiTheme="minorHAnsi" w:cstheme="minorHAnsi"/>
          <w:sz w:val="24"/>
          <w:szCs w:val="24"/>
        </w:rPr>
        <w:t>may result in delay</w:t>
      </w:r>
      <w:r w:rsidR="007B7179">
        <w:rPr>
          <w:rFonts w:asciiTheme="minorHAnsi" w:hAnsiTheme="minorHAnsi" w:cstheme="minorHAnsi"/>
          <w:sz w:val="24"/>
          <w:szCs w:val="24"/>
        </w:rPr>
        <w:t>s</w:t>
      </w:r>
      <w:r w:rsidRPr="00A4226A">
        <w:rPr>
          <w:rFonts w:asciiTheme="minorHAnsi" w:hAnsiTheme="minorHAnsi" w:cstheme="minorHAnsi"/>
          <w:sz w:val="24"/>
          <w:szCs w:val="24"/>
        </w:rPr>
        <w:t xml:space="preserve"> </w:t>
      </w:r>
      <w:r w:rsidR="00304052">
        <w:rPr>
          <w:rFonts w:asciiTheme="minorHAnsi" w:hAnsiTheme="minorHAnsi" w:cstheme="minorHAnsi"/>
          <w:sz w:val="24"/>
          <w:szCs w:val="24"/>
        </w:rPr>
        <w:t>for</w:t>
      </w:r>
      <w:r w:rsidRPr="00A4226A">
        <w:rPr>
          <w:rFonts w:asciiTheme="minorHAnsi" w:hAnsiTheme="minorHAnsi" w:cstheme="minorHAnsi"/>
          <w:sz w:val="24"/>
          <w:szCs w:val="24"/>
        </w:rPr>
        <w:t xml:space="preserve"> patient access</w:t>
      </w:r>
      <w:r w:rsidR="002C32BA">
        <w:rPr>
          <w:rFonts w:asciiTheme="minorHAnsi" w:hAnsiTheme="minorHAnsi" w:cstheme="minorHAnsi"/>
          <w:sz w:val="24"/>
          <w:szCs w:val="24"/>
        </w:rPr>
        <w:t xml:space="preserve"> and </w:t>
      </w:r>
      <w:r w:rsidR="00E92E77">
        <w:rPr>
          <w:rFonts w:asciiTheme="minorHAnsi" w:hAnsiTheme="minorHAnsi" w:cstheme="minorHAnsi"/>
          <w:sz w:val="24"/>
          <w:szCs w:val="24"/>
        </w:rPr>
        <w:t>stated</w:t>
      </w:r>
      <w:r w:rsidR="00AF7145">
        <w:rPr>
          <w:rFonts w:asciiTheme="minorHAnsi" w:hAnsiTheme="minorHAnsi" w:cstheme="minorHAnsi"/>
          <w:sz w:val="24"/>
          <w:szCs w:val="24"/>
        </w:rPr>
        <w:t xml:space="preserve"> that this issue was previously considered</w:t>
      </w:r>
      <w:r w:rsidR="00383147">
        <w:rPr>
          <w:rFonts w:asciiTheme="minorHAnsi" w:hAnsiTheme="minorHAnsi" w:cstheme="minorHAnsi"/>
          <w:sz w:val="24"/>
          <w:szCs w:val="24"/>
        </w:rPr>
        <w:t xml:space="preserve"> </w:t>
      </w:r>
      <w:r w:rsidR="00AF7145">
        <w:rPr>
          <w:rFonts w:asciiTheme="minorHAnsi" w:hAnsiTheme="minorHAnsi" w:cstheme="minorHAnsi"/>
          <w:sz w:val="24"/>
          <w:szCs w:val="24"/>
        </w:rPr>
        <w:t xml:space="preserve">by the PBAC in its July 2016 </w:t>
      </w:r>
      <w:r w:rsidR="00E92E77">
        <w:rPr>
          <w:rFonts w:asciiTheme="minorHAnsi" w:hAnsiTheme="minorHAnsi" w:cstheme="minorHAnsi"/>
          <w:sz w:val="24"/>
          <w:szCs w:val="24"/>
        </w:rPr>
        <w:t>consideration of dasatinib.</w:t>
      </w:r>
      <w:r w:rsidR="00C26DFB">
        <w:rPr>
          <w:rFonts w:asciiTheme="minorHAnsi" w:hAnsiTheme="minorHAnsi" w:cstheme="minorHAnsi"/>
          <w:sz w:val="24"/>
          <w:szCs w:val="24"/>
        </w:rPr>
        <w:t xml:space="preserve"> </w:t>
      </w:r>
      <w:r w:rsidR="00E92E77">
        <w:rPr>
          <w:rFonts w:asciiTheme="minorHAnsi" w:hAnsiTheme="minorHAnsi" w:cstheme="minorHAnsi"/>
          <w:sz w:val="24"/>
          <w:szCs w:val="24"/>
        </w:rPr>
        <w:t>At</w:t>
      </w:r>
      <w:r w:rsidR="00596034">
        <w:rPr>
          <w:rFonts w:asciiTheme="minorHAnsi" w:hAnsiTheme="minorHAnsi" w:cstheme="minorHAnsi"/>
          <w:sz w:val="24"/>
          <w:szCs w:val="24"/>
        </w:rPr>
        <w:t xml:space="preserve"> the July 2016 meeting</w:t>
      </w:r>
      <w:r w:rsidR="00C26DFB">
        <w:rPr>
          <w:rFonts w:asciiTheme="minorHAnsi" w:hAnsiTheme="minorHAnsi" w:cstheme="minorHAnsi"/>
          <w:sz w:val="24"/>
          <w:szCs w:val="24"/>
        </w:rPr>
        <w:t xml:space="preserve"> </w:t>
      </w:r>
      <w:r w:rsidR="00E92E77">
        <w:rPr>
          <w:rFonts w:asciiTheme="minorHAnsi" w:hAnsiTheme="minorHAnsi" w:cstheme="minorHAnsi"/>
          <w:sz w:val="24"/>
          <w:szCs w:val="24"/>
        </w:rPr>
        <w:t>the PBAC</w:t>
      </w:r>
      <w:r w:rsidR="00596034">
        <w:rPr>
          <w:rFonts w:asciiTheme="minorHAnsi" w:hAnsiTheme="minorHAnsi" w:cstheme="minorHAnsi"/>
          <w:sz w:val="24"/>
          <w:szCs w:val="24"/>
        </w:rPr>
        <w:t xml:space="preserve"> recommended the authority require</w:t>
      </w:r>
      <w:r w:rsidR="00411E4A">
        <w:rPr>
          <w:rFonts w:asciiTheme="minorHAnsi" w:hAnsiTheme="minorHAnsi" w:cstheme="minorHAnsi"/>
          <w:sz w:val="24"/>
          <w:szCs w:val="24"/>
        </w:rPr>
        <w:t>ment</w:t>
      </w:r>
      <w:r w:rsidR="00596034">
        <w:rPr>
          <w:rFonts w:asciiTheme="minorHAnsi" w:hAnsiTheme="minorHAnsi" w:cstheme="minorHAnsi"/>
          <w:sz w:val="24"/>
          <w:szCs w:val="24"/>
        </w:rPr>
        <w:t xml:space="preserve"> </w:t>
      </w:r>
      <w:r w:rsidR="00EC45B5">
        <w:rPr>
          <w:rFonts w:asciiTheme="minorHAnsi" w:hAnsiTheme="minorHAnsi" w:cstheme="minorHAnsi"/>
          <w:sz w:val="24"/>
          <w:szCs w:val="24"/>
        </w:rPr>
        <w:t>type</w:t>
      </w:r>
      <w:r w:rsidR="00596034">
        <w:rPr>
          <w:rFonts w:asciiTheme="minorHAnsi" w:hAnsiTheme="minorHAnsi" w:cstheme="minorHAnsi"/>
          <w:sz w:val="24"/>
          <w:szCs w:val="24"/>
        </w:rPr>
        <w:t xml:space="preserve"> for dasatinib be changed from Authority Required (written) to Authority Required (telephone) for subsequent continuing treatment applications for first-line treatment of CML (</w:t>
      </w:r>
      <w:r w:rsidR="00E92E77">
        <w:rPr>
          <w:rFonts w:asciiTheme="minorHAnsi" w:hAnsiTheme="minorHAnsi" w:cstheme="minorHAnsi"/>
          <w:sz w:val="24"/>
          <w:szCs w:val="24"/>
        </w:rPr>
        <w:t>paragraph 6.1, d</w:t>
      </w:r>
      <w:r w:rsidR="00596034">
        <w:rPr>
          <w:rFonts w:asciiTheme="minorHAnsi" w:hAnsiTheme="minorHAnsi" w:cstheme="minorHAnsi"/>
          <w:sz w:val="24"/>
          <w:szCs w:val="24"/>
        </w:rPr>
        <w:t>asatinib P</w:t>
      </w:r>
      <w:r w:rsidR="00E92E77">
        <w:rPr>
          <w:rFonts w:asciiTheme="minorHAnsi" w:hAnsiTheme="minorHAnsi" w:cstheme="minorHAnsi"/>
          <w:sz w:val="24"/>
          <w:szCs w:val="24"/>
        </w:rPr>
        <w:t>ublic Summary Document</w:t>
      </w:r>
      <w:r w:rsidR="00596034">
        <w:rPr>
          <w:rFonts w:asciiTheme="minorHAnsi" w:hAnsiTheme="minorHAnsi" w:cstheme="minorHAnsi"/>
          <w:sz w:val="24"/>
          <w:szCs w:val="24"/>
        </w:rPr>
        <w:t>, July 2016)</w:t>
      </w:r>
      <w:r w:rsidR="00C26DFB">
        <w:rPr>
          <w:rFonts w:asciiTheme="minorHAnsi" w:hAnsiTheme="minorHAnsi" w:cstheme="minorHAnsi"/>
          <w:sz w:val="24"/>
          <w:szCs w:val="24"/>
        </w:rPr>
        <w:t>.</w:t>
      </w:r>
    </w:p>
    <w:p w:rsidR="006A12A5" w:rsidRPr="00577C4D" w:rsidRDefault="006A12A5" w:rsidP="00990FA9">
      <w:pPr>
        <w:pStyle w:val="Heading1"/>
      </w:pPr>
      <w:bookmarkStart w:id="0" w:name="_GoBack"/>
      <w:bookmarkEnd w:id="0"/>
      <w:r w:rsidRPr="002B5596">
        <w:t>Requested listing</w:t>
      </w:r>
    </w:p>
    <w:p w:rsidR="00663070" w:rsidRDefault="00C46B22" w:rsidP="00FA4A4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w:t>
      </w:r>
      <w:r w:rsidR="00FA4A4C">
        <w:rPr>
          <w:rFonts w:asciiTheme="minorHAnsi" w:eastAsiaTheme="minorHAnsi" w:hAnsiTheme="minorHAnsi" w:cstheme="minorBidi"/>
          <w:snapToGrid/>
          <w:sz w:val="24"/>
          <w:szCs w:val="22"/>
        </w:rPr>
        <w:t xml:space="preserve"> minor</w:t>
      </w:r>
      <w:r w:rsidR="00663070">
        <w:rPr>
          <w:rFonts w:asciiTheme="minorHAnsi" w:eastAsiaTheme="minorHAnsi" w:hAnsiTheme="minorHAnsi" w:cstheme="minorBidi"/>
          <w:snapToGrid/>
          <w:sz w:val="24"/>
          <w:szCs w:val="22"/>
        </w:rPr>
        <w:t xml:space="preserve"> submission requested a change to the prescriber instruction pertaining to pathology report timeframes</w:t>
      </w:r>
      <w:r w:rsidR="00FA4A4C">
        <w:rPr>
          <w:rFonts w:asciiTheme="minorHAnsi" w:eastAsiaTheme="minorHAnsi" w:hAnsiTheme="minorHAnsi" w:cstheme="minorBidi"/>
          <w:snapToGrid/>
          <w:sz w:val="24"/>
          <w:szCs w:val="22"/>
        </w:rPr>
        <w:t xml:space="preserve"> </w:t>
      </w:r>
      <w:r w:rsidR="00663070">
        <w:rPr>
          <w:rFonts w:asciiTheme="minorHAnsi" w:eastAsiaTheme="minorHAnsi" w:hAnsiTheme="minorHAnsi" w:cstheme="minorBidi"/>
          <w:snapToGrid/>
          <w:sz w:val="24"/>
          <w:szCs w:val="22"/>
        </w:rPr>
        <w:t>for</w:t>
      </w:r>
      <w:r w:rsidR="00FA4A4C">
        <w:rPr>
          <w:rFonts w:asciiTheme="minorHAnsi" w:eastAsiaTheme="minorHAnsi" w:hAnsiTheme="minorHAnsi" w:cstheme="minorBidi"/>
          <w:snapToGrid/>
          <w:sz w:val="24"/>
          <w:szCs w:val="22"/>
        </w:rPr>
        <w:t xml:space="preserve"> the</w:t>
      </w:r>
      <w:r w:rsidR="00663070">
        <w:rPr>
          <w:rFonts w:asciiTheme="minorHAnsi" w:eastAsiaTheme="minorHAnsi" w:hAnsiTheme="minorHAnsi" w:cstheme="minorBidi"/>
          <w:snapToGrid/>
          <w:sz w:val="24"/>
          <w:szCs w:val="22"/>
        </w:rPr>
        <w:t xml:space="preserve"> two</w:t>
      </w:r>
      <w:r w:rsidR="00FA4A4C">
        <w:rPr>
          <w:rFonts w:asciiTheme="minorHAnsi" w:eastAsiaTheme="minorHAnsi" w:hAnsiTheme="minorHAnsi" w:cstheme="minorBidi"/>
          <w:snapToGrid/>
          <w:sz w:val="24"/>
          <w:szCs w:val="22"/>
        </w:rPr>
        <w:t xml:space="preserve"> </w:t>
      </w:r>
      <w:r w:rsidR="00663070">
        <w:rPr>
          <w:rFonts w:asciiTheme="minorHAnsi" w:eastAsiaTheme="minorHAnsi" w:hAnsiTheme="minorHAnsi" w:cstheme="minorBidi"/>
          <w:snapToGrid/>
          <w:sz w:val="24"/>
          <w:szCs w:val="22"/>
        </w:rPr>
        <w:t xml:space="preserve">initial treatment </w:t>
      </w:r>
      <w:r w:rsidR="00FA4A4C">
        <w:rPr>
          <w:rFonts w:asciiTheme="minorHAnsi" w:eastAsiaTheme="minorHAnsi" w:hAnsiTheme="minorHAnsi" w:cstheme="minorBidi"/>
          <w:snapToGrid/>
          <w:sz w:val="24"/>
          <w:szCs w:val="22"/>
        </w:rPr>
        <w:t>listings for CML</w:t>
      </w:r>
      <w:r w:rsidR="00236B1A">
        <w:rPr>
          <w:rFonts w:asciiTheme="minorHAnsi" w:eastAsiaTheme="minorHAnsi" w:hAnsiTheme="minorHAnsi" w:cstheme="minorBidi"/>
          <w:snapToGrid/>
          <w:sz w:val="24"/>
          <w:szCs w:val="22"/>
        </w:rPr>
        <w:t>.</w:t>
      </w:r>
    </w:p>
    <w:p w:rsidR="00663070" w:rsidRDefault="00663070" w:rsidP="00FA4A4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minor submission also requested </w:t>
      </w:r>
      <w:r w:rsidR="00B85A7E">
        <w:rPr>
          <w:rFonts w:asciiTheme="minorHAnsi" w:hAnsiTheme="minorHAnsi"/>
          <w:sz w:val="24"/>
          <w:szCs w:val="24"/>
        </w:rPr>
        <w:t xml:space="preserve">the continuing restriction be split into first continuing and subsequent continuing, with the first continuing an Authority Required (written) listing and the subsequent continuing restriction an Authority Required (telephone) listing. </w:t>
      </w:r>
    </w:p>
    <w:p w:rsidR="003F3252" w:rsidRDefault="007708CE" w:rsidP="00FA4A4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An abridged version of the requested listings </w:t>
      </w:r>
      <w:r w:rsidR="00707BE0">
        <w:rPr>
          <w:rFonts w:asciiTheme="minorHAnsi" w:eastAsiaTheme="minorHAnsi" w:hAnsiTheme="minorHAnsi" w:cstheme="minorBidi"/>
          <w:snapToGrid/>
          <w:sz w:val="24"/>
          <w:szCs w:val="22"/>
        </w:rPr>
        <w:t>i</w:t>
      </w:r>
      <w:r>
        <w:rPr>
          <w:rFonts w:asciiTheme="minorHAnsi" w:eastAsiaTheme="minorHAnsi" w:hAnsiTheme="minorHAnsi" w:cstheme="minorBidi"/>
          <w:snapToGrid/>
          <w:sz w:val="24"/>
          <w:szCs w:val="22"/>
        </w:rPr>
        <w:t>s presented</w:t>
      </w:r>
      <w:r w:rsidR="00233EC3">
        <w:rPr>
          <w:rFonts w:asciiTheme="minorHAnsi" w:eastAsiaTheme="minorHAnsi" w:hAnsiTheme="minorHAnsi" w:cstheme="minorBidi"/>
          <w:snapToGrid/>
          <w:sz w:val="24"/>
          <w:szCs w:val="22"/>
        </w:rPr>
        <w:t xml:space="preserve">. </w:t>
      </w:r>
      <w:r w:rsidR="00663070">
        <w:rPr>
          <w:rFonts w:asciiTheme="minorHAnsi" w:eastAsiaTheme="minorHAnsi" w:hAnsiTheme="minorHAnsi" w:cstheme="minorBidi"/>
          <w:snapToGrid/>
          <w:sz w:val="24"/>
          <w:szCs w:val="22"/>
        </w:rPr>
        <w:t xml:space="preserve">The requested changes to the current listings (PBS items 10520Q and 10530F) are </w:t>
      </w:r>
      <w:r w:rsidR="00494A81">
        <w:rPr>
          <w:rFonts w:asciiTheme="minorHAnsi" w:eastAsiaTheme="minorHAnsi" w:hAnsiTheme="minorHAnsi" w:cstheme="minorBidi"/>
          <w:snapToGrid/>
          <w:sz w:val="24"/>
          <w:szCs w:val="22"/>
        </w:rPr>
        <w:t xml:space="preserve">in </w:t>
      </w:r>
      <w:r w:rsidR="00494A81" w:rsidRPr="00233EC3">
        <w:rPr>
          <w:rFonts w:asciiTheme="minorHAnsi" w:eastAsiaTheme="minorHAnsi" w:hAnsiTheme="minorHAnsi" w:cstheme="minorBidi"/>
          <w:snapToGrid/>
          <w:sz w:val="24"/>
          <w:szCs w:val="22"/>
        </w:rPr>
        <w:t>bold</w:t>
      </w:r>
      <w:r w:rsidR="008D4228">
        <w:rPr>
          <w:rFonts w:asciiTheme="minorHAnsi" w:eastAsiaTheme="minorHAnsi" w:hAnsiTheme="minorHAnsi" w:cstheme="minorBidi"/>
          <w:snapToGrid/>
          <w:sz w:val="24"/>
          <w:szCs w:val="22"/>
        </w:rPr>
        <w:t>.</w:t>
      </w:r>
      <w:r w:rsidR="000D1E98">
        <w:rPr>
          <w:rFonts w:asciiTheme="minorHAnsi" w:eastAsiaTheme="minorHAnsi" w:hAnsiTheme="minorHAnsi" w:cstheme="minorBidi"/>
          <w:snapToGrid/>
          <w:sz w:val="24"/>
          <w:szCs w:val="22"/>
        </w:rPr>
        <w:t xml:space="preserve"> Secretariat suggested additions are in italics and deletions are in strikethrough. </w:t>
      </w:r>
    </w:p>
    <w:tbl>
      <w:tblPr>
        <w:tblW w:w="5000" w:type="pct"/>
        <w:tblLook w:val="0000" w:firstRow="0" w:lastRow="0" w:firstColumn="0" w:lastColumn="0" w:noHBand="0" w:noVBand="0"/>
      </w:tblPr>
      <w:tblGrid>
        <w:gridCol w:w="3335"/>
        <w:gridCol w:w="756"/>
        <w:gridCol w:w="908"/>
        <w:gridCol w:w="1634"/>
        <w:gridCol w:w="702"/>
        <w:gridCol w:w="1691"/>
      </w:tblGrid>
      <w:tr w:rsidR="008D4228" w:rsidRPr="0039782C" w:rsidTr="008D4228">
        <w:trPr>
          <w:cantSplit/>
          <w:trHeight w:val="465"/>
        </w:trPr>
        <w:tc>
          <w:tcPr>
            <w:tcW w:w="1847" w:type="pct"/>
            <w:tcBorders>
              <w:bottom w:val="single" w:sz="4" w:space="0" w:color="auto"/>
            </w:tcBorders>
          </w:tcPr>
          <w:p w:rsidR="008D4228" w:rsidRPr="0039782C" w:rsidRDefault="008D4228" w:rsidP="008D4228">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8D4228" w:rsidRPr="0039782C" w:rsidRDefault="008D4228" w:rsidP="008D4228">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19" w:type="pct"/>
            <w:tcBorders>
              <w:bottom w:val="single" w:sz="4" w:space="0" w:color="auto"/>
            </w:tcBorders>
          </w:tcPr>
          <w:p w:rsidR="008D4228" w:rsidRPr="0039782C" w:rsidRDefault="008D4228" w:rsidP="008D4228">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D4228" w:rsidRPr="0039782C" w:rsidRDefault="008D4228" w:rsidP="008D4228">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503" w:type="pct"/>
            <w:tcBorders>
              <w:bottom w:val="single" w:sz="4" w:space="0" w:color="auto"/>
            </w:tcBorders>
          </w:tcPr>
          <w:p w:rsidR="008D4228" w:rsidRPr="0039782C" w:rsidRDefault="008D4228" w:rsidP="008D4228">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D4228" w:rsidRPr="0039782C" w:rsidRDefault="008D4228" w:rsidP="008D4228">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905" w:type="pct"/>
            <w:tcBorders>
              <w:bottom w:val="single" w:sz="4" w:space="0" w:color="auto"/>
            </w:tcBorders>
          </w:tcPr>
          <w:p w:rsidR="008D4228" w:rsidRPr="0039782C" w:rsidRDefault="008D4228" w:rsidP="008D4228">
            <w:pPr>
              <w:keepNext/>
              <w:spacing w:before="40" w:after="40"/>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1326" w:type="pct"/>
            <w:gridSpan w:val="2"/>
            <w:tcBorders>
              <w:bottom w:val="single" w:sz="4" w:space="0" w:color="auto"/>
            </w:tcBorders>
          </w:tcPr>
          <w:p w:rsidR="008D4228" w:rsidRPr="0039782C" w:rsidRDefault="008D4228" w:rsidP="008D4228">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D4228" w:rsidRPr="00260CE3" w:rsidTr="008D4228">
        <w:trPr>
          <w:cantSplit/>
          <w:trHeight w:val="567"/>
        </w:trPr>
        <w:tc>
          <w:tcPr>
            <w:tcW w:w="1847" w:type="pct"/>
          </w:tcPr>
          <w:p w:rsidR="008D4228" w:rsidRPr="00B57F29" w:rsidRDefault="008D4228" w:rsidP="008D4228">
            <w:pPr>
              <w:spacing w:before="40" w:after="40"/>
              <w:rPr>
                <w:rFonts w:ascii="Arial Narrow" w:hAnsi="Arial Narrow"/>
                <w:smallCaps/>
                <w:sz w:val="20"/>
                <w:lang w:val="fr-FR"/>
              </w:rPr>
            </w:pPr>
            <w:r w:rsidRPr="00B57F29">
              <w:rPr>
                <w:rFonts w:ascii="Arial Narrow" w:hAnsi="Arial Narrow"/>
                <w:smallCaps/>
                <w:sz w:val="20"/>
                <w:lang w:val="fr-FR"/>
              </w:rPr>
              <w:t>Ponatinib</w:t>
            </w:r>
          </w:p>
          <w:p w:rsidR="008D4228" w:rsidRPr="00B57F29" w:rsidRDefault="008D4228" w:rsidP="008D4228">
            <w:pPr>
              <w:spacing w:before="40" w:after="40"/>
              <w:rPr>
                <w:rFonts w:ascii="Arial Narrow" w:hAnsi="Arial Narrow"/>
                <w:sz w:val="20"/>
                <w:lang w:val="fr-FR"/>
              </w:rPr>
            </w:pPr>
            <w:r w:rsidRPr="00B57F29">
              <w:rPr>
                <w:rFonts w:ascii="Arial Narrow" w:hAnsi="Arial Narrow"/>
                <w:sz w:val="20"/>
                <w:lang w:val="fr-FR"/>
              </w:rPr>
              <w:t>15 mg tablet, 60</w:t>
            </w:r>
          </w:p>
          <w:p w:rsidR="008D4228" w:rsidRPr="00260CE3" w:rsidRDefault="008D4228" w:rsidP="008D4228">
            <w:pPr>
              <w:spacing w:before="40" w:after="40"/>
              <w:rPr>
                <w:rFonts w:ascii="Arial Narrow" w:hAnsi="Arial Narrow" w:cs="Arial"/>
                <w:sz w:val="20"/>
                <w:szCs w:val="20"/>
              </w:rPr>
            </w:pPr>
            <w:r w:rsidRPr="00B57F29">
              <w:rPr>
                <w:rFonts w:ascii="Arial Narrow" w:hAnsi="Arial Narrow"/>
                <w:sz w:val="20"/>
                <w:lang w:val="fr-FR"/>
              </w:rPr>
              <w:t>45 mg tablet, 30</w:t>
            </w:r>
          </w:p>
        </w:tc>
        <w:tc>
          <w:tcPr>
            <w:tcW w:w="419" w:type="pct"/>
          </w:tcPr>
          <w:p w:rsidR="008D4228" w:rsidRPr="00260CE3" w:rsidRDefault="008D4228" w:rsidP="008D4228">
            <w:pPr>
              <w:spacing w:before="40" w:after="40"/>
              <w:rPr>
                <w:rFonts w:ascii="Arial Narrow" w:hAnsi="Arial Narrow" w:cs="Arial"/>
                <w:sz w:val="20"/>
                <w:szCs w:val="20"/>
              </w:rPr>
            </w:pPr>
          </w:p>
          <w:p w:rsidR="008D4228" w:rsidRDefault="00E54753" w:rsidP="008D4228">
            <w:pPr>
              <w:spacing w:before="40" w:after="40"/>
              <w:rPr>
                <w:rFonts w:ascii="Arial Narrow" w:hAnsi="Arial Narrow" w:cs="Arial"/>
                <w:sz w:val="20"/>
                <w:szCs w:val="20"/>
              </w:rPr>
            </w:pPr>
            <w:r>
              <w:rPr>
                <w:rFonts w:ascii="Arial Narrow" w:hAnsi="Arial Narrow" w:cs="Arial"/>
                <w:sz w:val="20"/>
                <w:szCs w:val="20"/>
              </w:rPr>
              <w:t>1</w:t>
            </w:r>
          </w:p>
          <w:p w:rsidR="008D4228" w:rsidRPr="00260CE3" w:rsidRDefault="00E54753" w:rsidP="008D4228">
            <w:pPr>
              <w:spacing w:before="40" w:after="40"/>
              <w:rPr>
                <w:rFonts w:ascii="Arial Narrow" w:hAnsi="Arial Narrow" w:cs="Arial"/>
                <w:sz w:val="20"/>
                <w:szCs w:val="20"/>
              </w:rPr>
            </w:pPr>
            <w:r>
              <w:rPr>
                <w:rFonts w:ascii="Arial Narrow" w:hAnsi="Arial Narrow" w:cs="Arial"/>
                <w:sz w:val="20"/>
                <w:szCs w:val="20"/>
              </w:rPr>
              <w:t>1</w:t>
            </w:r>
          </w:p>
        </w:tc>
        <w:tc>
          <w:tcPr>
            <w:tcW w:w="503" w:type="pct"/>
          </w:tcPr>
          <w:p w:rsidR="008D4228" w:rsidRPr="00260CE3" w:rsidRDefault="008D4228" w:rsidP="008D4228">
            <w:pPr>
              <w:spacing w:before="40" w:after="40"/>
              <w:rPr>
                <w:rFonts w:ascii="Arial Narrow" w:hAnsi="Arial Narrow" w:cs="Arial"/>
                <w:sz w:val="20"/>
                <w:szCs w:val="20"/>
              </w:rPr>
            </w:pPr>
          </w:p>
          <w:p w:rsidR="008D4228" w:rsidRDefault="008D4228" w:rsidP="008D4228">
            <w:pPr>
              <w:spacing w:before="40" w:after="40"/>
              <w:rPr>
                <w:rFonts w:ascii="Arial Narrow" w:hAnsi="Arial Narrow" w:cs="Arial"/>
                <w:sz w:val="20"/>
                <w:szCs w:val="20"/>
              </w:rPr>
            </w:pPr>
            <w:r>
              <w:rPr>
                <w:rFonts w:ascii="Arial Narrow" w:hAnsi="Arial Narrow" w:cs="Arial"/>
                <w:sz w:val="20"/>
                <w:szCs w:val="20"/>
              </w:rPr>
              <w:t>5</w:t>
            </w:r>
          </w:p>
          <w:p w:rsidR="008D4228" w:rsidRPr="00260CE3" w:rsidRDefault="008D4228" w:rsidP="008D4228">
            <w:pPr>
              <w:spacing w:before="40" w:after="40"/>
              <w:rPr>
                <w:rFonts w:ascii="Arial Narrow" w:hAnsi="Arial Narrow" w:cs="Arial"/>
                <w:sz w:val="20"/>
                <w:szCs w:val="20"/>
              </w:rPr>
            </w:pPr>
            <w:r>
              <w:rPr>
                <w:rFonts w:ascii="Arial Narrow" w:hAnsi="Arial Narrow" w:cs="Arial"/>
                <w:sz w:val="20"/>
                <w:szCs w:val="20"/>
              </w:rPr>
              <w:t>5</w:t>
            </w:r>
          </w:p>
        </w:tc>
        <w:tc>
          <w:tcPr>
            <w:tcW w:w="905" w:type="pct"/>
          </w:tcPr>
          <w:p w:rsidR="008D4228" w:rsidRPr="00260CE3" w:rsidRDefault="008D4228" w:rsidP="008D4228">
            <w:pPr>
              <w:spacing w:before="40" w:after="40"/>
              <w:rPr>
                <w:rFonts w:ascii="Arial Narrow" w:hAnsi="Arial Narrow" w:cs="Arial"/>
                <w:sz w:val="20"/>
                <w:szCs w:val="20"/>
              </w:rPr>
            </w:pPr>
          </w:p>
          <w:p w:rsidR="008D4228" w:rsidRDefault="008D4228" w:rsidP="008D4228">
            <w:pPr>
              <w:spacing w:before="40" w:after="40"/>
              <w:rPr>
                <w:rFonts w:ascii="Arial Narrow" w:hAnsi="Arial Narrow" w:cs="Arial"/>
                <w:sz w:val="20"/>
                <w:szCs w:val="20"/>
              </w:rPr>
            </w:pPr>
            <w:r w:rsidRPr="001443F7">
              <w:rPr>
                <w:rFonts w:ascii="Arial Narrow" w:hAnsi="Arial Narrow" w:cs="Arial"/>
                <w:sz w:val="20"/>
                <w:szCs w:val="20"/>
              </w:rPr>
              <w:t>$575</w:t>
            </w:r>
            <w:r>
              <w:rPr>
                <w:rFonts w:ascii="Arial Narrow" w:hAnsi="Arial Narrow" w:cs="Arial"/>
                <w:sz w:val="20"/>
                <w:szCs w:val="20"/>
              </w:rPr>
              <w:t>9</w:t>
            </w:r>
            <w:r w:rsidRPr="001443F7">
              <w:rPr>
                <w:rFonts w:ascii="Arial Narrow" w:hAnsi="Arial Narrow" w:cs="Arial"/>
                <w:sz w:val="20"/>
                <w:szCs w:val="20"/>
              </w:rPr>
              <w:t>.</w:t>
            </w:r>
            <w:r>
              <w:rPr>
                <w:rFonts w:ascii="Arial Narrow" w:hAnsi="Arial Narrow" w:cs="Arial"/>
                <w:sz w:val="20"/>
                <w:szCs w:val="20"/>
              </w:rPr>
              <w:t>65</w:t>
            </w:r>
          </w:p>
          <w:p w:rsidR="008D4228" w:rsidRPr="00260CE3" w:rsidRDefault="008D4228" w:rsidP="008D4228">
            <w:pPr>
              <w:spacing w:before="40" w:after="40"/>
              <w:rPr>
                <w:rFonts w:ascii="Arial Narrow" w:hAnsi="Arial Narrow" w:cs="Arial"/>
                <w:sz w:val="20"/>
                <w:szCs w:val="20"/>
              </w:rPr>
            </w:pPr>
            <w:r w:rsidRPr="001443F7">
              <w:rPr>
                <w:rFonts w:ascii="Arial Narrow" w:hAnsi="Arial Narrow" w:cs="Arial"/>
                <w:sz w:val="20"/>
                <w:szCs w:val="20"/>
              </w:rPr>
              <w:t>$647</w:t>
            </w:r>
            <w:r>
              <w:rPr>
                <w:rFonts w:ascii="Arial Narrow" w:hAnsi="Arial Narrow" w:cs="Arial"/>
                <w:sz w:val="20"/>
                <w:szCs w:val="20"/>
              </w:rPr>
              <w:t>9</w:t>
            </w:r>
            <w:r w:rsidRPr="001443F7">
              <w:rPr>
                <w:rFonts w:ascii="Arial Narrow" w:hAnsi="Arial Narrow" w:cs="Arial"/>
                <w:sz w:val="20"/>
                <w:szCs w:val="20"/>
              </w:rPr>
              <w:t>.</w:t>
            </w:r>
            <w:r>
              <w:rPr>
                <w:rFonts w:ascii="Arial Narrow" w:hAnsi="Arial Narrow" w:cs="Arial"/>
                <w:sz w:val="20"/>
                <w:szCs w:val="20"/>
              </w:rPr>
              <w:t>09</w:t>
            </w:r>
          </w:p>
        </w:tc>
        <w:tc>
          <w:tcPr>
            <w:tcW w:w="389" w:type="pct"/>
            <w:vAlign w:val="center"/>
          </w:tcPr>
          <w:p w:rsidR="008D4228" w:rsidRPr="00260CE3" w:rsidRDefault="008D4228" w:rsidP="008D4228">
            <w:pPr>
              <w:spacing w:before="40" w:after="40"/>
              <w:rPr>
                <w:rFonts w:ascii="Arial Narrow" w:hAnsi="Arial Narrow" w:cs="Arial"/>
                <w:sz w:val="20"/>
                <w:szCs w:val="20"/>
              </w:rPr>
            </w:pPr>
            <w:r>
              <w:rPr>
                <w:rFonts w:ascii="Arial Narrow" w:hAnsi="Arial Narrow" w:cs="Arial"/>
                <w:sz w:val="20"/>
                <w:szCs w:val="20"/>
              </w:rPr>
              <w:t>Iclusig</w:t>
            </w:r>
          </w:p>
        </w:tc>
        <w:tc>
          <w:tcPr>
            <w:tcW w:w="937" w:type="pct"/>
            <w:vAlign w:val="center"/>
          </w:tcPr>
          <w:p w:rsidR="008D4228" w:rsidRPr="00260CE3" w:rsidRDefault="008D4228" w:rsidP="008D4228">
            <w:pPr>
              <w:spacing w:before="40" w:after="40"/>
              <w:rPr>
                <w:rFonts w:ascii="Arial Narrow" w:hAnsi="Arial Narrow" w:cs="Arial"/>
                <w:sz w:val="20"/>
                <w:szCs w:val="20"/>
              </w:rPr>
            </w:pPr>
            <w:r w:rsidRPr="001443F7">
              <w:rPr>
                <w:rFonts w:ascii="Arial Narrow" w:hAnsi="Arial Narrow" w:cs="Arial"/>
                <w:sz w:val="20"/>
                <w:szCs w:val="20"/>
              </w:rPr>
              <w:t>Specialised Therapeutics Australia Pty Ltd</w:t>
            </w:r>
          </w:p>
        </w:tc>
      </w:tr>
    </w:tbl>
    <w:p w:rsidR="00990FA9" w:rsidRDefault="00990FA9" w:rsidP="00990FA9">
      <w:pPr>
        <w:pStyle w:val="tablenotes"/>
        <w:rPr>
          <w:rFonts w:eastAsiaTheme="minorHAnsi"/>
        </w:rPr>
      </w:pPr>
    </w:p>
    <w:p w:rsidR="008D4228" w:rsidRPr="00990FA9" w:rsidRDefault="008D4228" w:rsidP="00A70136">
      <w:pPr>
        <w:pStyle w:val="PBACHeading1"/>
        <w:rPr>
          <w:rFonts w:eastAsiaTheme="minorHAnsi"/>
          <w:b w:val="0"/>
          <w:snapToGrid/>
          <w:sz w:val="24"/>
          <w:szCs w:val="24"/>
          <w:u w:val="single"/>
        </w:rPr>
      </w:pPr>
      <w:r w:rsidRPr="00990FA9">
        <w:rPr>
          <w:rFonts w:eastAsiaTheme="minorHAnsi"/>
          <w:b w:val="0"/>
          <w:sz w:val="24"/>
          <w:szCs w:val="24"/>
          <w:u w:val="single"/>
        </w:rPr>
        <w:t>Removal of time limitation on pathology reports</w:t>
      </w:r>
    </w:p>
    <w:tbl>
      <w:tblPr>
        <w:tblW w:w="4942" w:type="pct"/>
        <w:tblInd w:w="108" w:type="dxa"/>
        <w:tblLook w:val="0000" w:firstRow="0" w:lastRow="0" w:firstColumn="0" w:lastColumn="0" w:noHBand="0" w:noVBand="0"/>
      </w:tblPr>
      <w:tblGrid>
        <w:gridCol w:w="2260"/>
        <w:gridCol w:w="971"/>
        <w:gridCol w:w="838"/>
        <w:gridCol w:w="695"/>
        <w:gridCol w:w="4147"/>
      </w:tblGrid>
      <w:tr w:rsidR="004F5AAE" w:rsidRPr="00CB29EA" w:rsidTr="008D4228">
        <w:trPr>
          <w:cantSplit/>
          <w:trHeight w:val="199"/>
        </w:trPr>
        <w:tc>
          <w:tcPr>
            <w:tcW w:w="1268" w:type="pct"/>
            <w:tcBorders>
              <w:top w:val="single" w:sz="4" w:space="0" w:color="auto"/>
              <w:left w:val="single" w:sz="4" w:space="0" w:color="auto"/>
              <w:bottom w:val="single" w:sz="4" w:space="0" w:color="auto"/>
              <w:right w:val="single" w:sz="4" w:space="0" w:color="auto"/>
            </w:tcBorders>
          </w:tcPr>
          <w:p w:rsidR="004F5AAE" w:rsidRPr="00CB29EA" w:rsidRDefault="004F5AAE" w:rsidP="008D4228">
            <w:pPr>
              <w:pStyle w:val="TableLeft"/>
              <w:keepNext/>
              <w:widowControl w:val="0"/>
              <w:rPr>
                <w:rStyle w:val="SmallBold"/>
                <w:rFonts w:ascii="Arial Narrow" w:hAnsi="Arial Narrow"/>
                <w:szCs w:val="20"/>
              </w:rPr>
            </w:pPr>
            <w:r w:rsidRPr="00CB29EA">
              <w:rPr>
                <w:rStyle w:val="SmallBold"/>
                <w:rFonts w:ascii="Arial Narrow" w:hAnsi="Arial Narrow"/>
                <w:szCs w:val="20"/>
              </w:rPr>
              <w:t>Category / program</w:t>
            </w:r>
          </w:p>
        </w:tc>
        <w:tc>
          <w:tcPr>
            <w:tcW w:w="3732" w:type="pct"/>
            <w:gridSpan w:val="4"/>
            <w:tcBorders>
              <w:top w:val="single" w:sz="4" w:space="0" w:color="auto"/>
              <w:left w:val="single" w:sz="4" w:space="0" w:color="auto"/>
              <w:bottom w:val="single" w:sz="4" w:space="0" w:color="auto"/>
              <w:right w:val="single" w:sz="4" w:space="0" w:color="auto"/>
            </w:tcBorders>
          </w:tcPr>
          <w:p w:rsidR="004F5AAE" w:rsidRPr="00CB29EA" w:rsidRDefault="004F5AAE" w:rsidP="008D4228">
            <w:pPr>
              <w:pStyle w:val="TableLeft"/>
              <w:keepNext/>
              <w:widowControl w:val="0"/>
              <w:rPr>
                <w:rFonts w:ascii="Arial Narrow" w:hAnsi="Arial Narrow"/>
                <w:szCs w:val="20"/>
              </w:rPr>
            </w:pPr>
            <w:r w:rsidRPr="00CB29EA">
              <w:rPr>
                <w:rFonts w:ascii="Arial Narrow" w:hAnsi="Arial Narrow"/>
                <w:szCs w:val="20"/>
              </w:rPr>
              <w:t>General Schedule</w:t>
            </w:r>
          </w:p>
        </w:tc>
      </w:tr>
      <w:tr w:rsidR="004F5AAE" w:rsidRPr="00CB29EA" w:rsidTr="008D4228">
        <w:trPr>
          <w:cantSplit/>
          <w:trHeight w:val="487"/>
        </w:trPr>
        <w:tc>
          <w:tcPr>
            <w:tcW w:w="1268" w:type="pct"/>
            <w:tcBorders>
              <w:top w:val="single" w:sz="4" w:space="0" w:color="auto"/>
              <w:left w:val="single" w:sz="4" w:space="0" w:color="auto"/>
              <w:bottom w:val="single" w:sz="4" w:space="0" w:color="auto"/>
              <w:right w:val="single" w:sz="4" w:space="0" w:color="auto"/>
            </w:tcBorders>
          </w:tcPr>
          <w:p w:rsidR="004F5AAE" w:rsidRPr="00CB29EA" w:rsidRDefault="004F5AAE" w:rsidP="008D4228">
            <w:pPr>
              <w:pStyle w:val="TableLeft"/>
              <w:rPr>
                <w:rStyle w:val="SmallBold"/>
                <w:rFonts w:ascii="Arial Narrow" w:hAnsi="Arial Narrow"/>
                <w:szCs w:val="20"/>
              </w:rPr>
            </w:pPr>
            <w:r w:rsidRPr="00CB29EA">
              <w:rPr>
                <w:rStyle w:val="SmallBold"/>
                <w:rFonts w:ascii="Arial Narrow" w:hAnsi="Arial Narrow"/>
                <w:szCs w:val="20"/>
              </w:rPr>
              <w:t>Prescriber type</w:t>
            </w:r>
          </w:p>
        </w:tc>
        <w:tc>
          <w:tcPr>
            <w:tcW w:w="3732" w:type="pct"/>
            <w:gridSpan w:val="4"/>
            <w:tcBorders>
              <w:top w:val="single" w:sz="4" w:space="0" w:color="auto"/>
              <w:left w:val="single" w:sz="4" w:space="0" w:color="auto"/>
              <w:bottom w:val="single" w:sz="4" w:space="0" w:color="auto"/>
              <w:right w:val="single" w:sz="4" w:space="0" w:color="auto"/>
            </w:tcBorders>
            <w:shd w:val="clear" w:color="auto" w:fill="auto"/>
          </w:tcPr>
          <w:p w:rsidR="004F5AAE" w:rsidRPr="00CB29EA" w:rsidRDefault="004F5AAE" w:rsidP="008D4228">
            <w:pPr>
              <w:pStyle w:val="TableLeft"/>
              <w:rPr>
                <w:rFonts w:ascii="Arial Narrow" w:hAnsi="Arial Narrow"/>
                <w:szCs w:val="20"/>
              </w:rPr>
            </w:pP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Dental  </w:t>
            </w:r>
            <w:r w:rsidRPr="00CB29EA">
              <w:rPr>
                <w:rFonts w:ascii="Arial Narrow" w:hAnsi="Arial Narrow"/>
                <w:szCs w:val="20"/>
              </w:rPr>
              <w:fldChar w:fldCharType="begin">
                <w:ffData>
                  <w:name w:val=""/>
                  <w:enabled/>
                  <w:calcOnExit w:val="0"/>
                  <w:checkBox>
                    <w:sizeAuto/>
                    <w:default w:val="1"/>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Medical Practitioners  </w:t>
            </w: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Nurse Practitioners</w:t>
            </w:r>
          </w:p>
          <w:p w:rsidR="004F5AAE" w:rsidRPr="00CB29EA" w:rsidRDefault="004F5AAE" w:rsidP="008D4228">
            <w:pPr>
              <w:pStyle w:val="TableLeft"/>
              <w:rPr>
                <w:rFonts w:ascii="Arial Narrow" w:hAnsi="Arial Narrow"/>
                <w:szCs w:val="20"/>
              </w:rPr>
            </w:pP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Optometrists  </w:t>
            </w: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Midwives</w:t>
            </w:r>
          </w:p>
        </w:tc>
      </w:tr>
      <w:tr w:rsidR="004F5AAE" w:rsidRPr="00CB29EA" w:rsidTr="008D4228">
        <w:trPr>
          <w:cantSplit/>
          <w:trHeight w:val="190"/>
        </w:trPr>
        <w:tc>
          <w:tcPr>
            <w:tcW w:w="1268" w:type="pct"/>
            <w:tcBorders>
              <w:top w:val="single" w:sz="4" w:space="0" w:color="auto"/>
              <w:left w:val="single" w:sz="4" w:space="0" w:color="auto"/>
              <w:bottom w:val="single" w:sz="4" w:space="0" w:color="auto"/>
              <w:right w:val="single" w:sz="4" w:space="0" w:color="auto"/>
            </w:tcBorders>
          </w:tcPr>
          <w:p w:rsidR="004F5AAE" w:rsidRPr="00CB29EA" w:rsidRDefault="004F5AAE" w:rsidP="008D4228">
            <w:pPr>
              <w:pStyle w:val="TableLeft"/>
              <w:rPr>
                <w:rStyle w:val="SmallBold"/>
                <w:rFonts w:ascii="Arial Narrow" w:hAnsi="Arial Narrow"/>
                <w:szCs w:val="20"/>
              </w:rPr>
            </w:pPr>
            <w:r w:rsidRPr="00CB29EA">
              <w:rPr>
                <w:rStyle w:val="SmallBold"/>
                <w:rFonts w:ascii="Arial Narrow" w:hAnsi="Arial Narrow"/>
                <w:szCs w:val="20"/>
              </w:rPr>
              <w:t>Episodicity:</w:t>
            </w:r>
          </w:p>
        </w:tc>
        <w:tc>
          <w:tcPr>
            <w:tcW w:w="3732" w:type="pct"/>
            <w:gridSpan w:val="4"/>
            <w:tcBorders>
              <w:top w:val="single" w:sz="4" w:space="0" w:color="auto"/>
              <w:left w:val="single" w:sz="4" w:space="0" w:color="auto"/>
              <w:bottom w:val="single" w:sz="4" w:space="0" w:color="auto"/>
              <w:right w:val="single" w:sz="4" w:space="0" w:color="auto"/>
            </w:tcBorders>
          </w:tcPr>
          <w:p w:rsidR="004F5AAE" w:rsidRPr="00CB29EA" w:rsidRDefault="00FA4A4C" w:rsidP="008D4228">
            <w:pPr>
              <w:pStyle w:val="TableLeft"/>
              <w:rPr>
                <w:rFonts w:ascii="Arial Narrow" w:hAnsi="Arial Narrow"/>
                <w:szCs w:val="20"/>
              </w:rPr>
            </w:pPr>
            <w:r>
              <w:rPr>
                <w:rFonts w:ascii="Arial Narrow" w:hAnsi="Arial Narrow"/>
                <w:szCs w:val="20"/>
              </w:rPr>
              <w:t>Chronic</w:t>
            </w:r>
          </w:p>
        </w:tc>
      </w:tr>
      <w:tr w:rsidR="004F5AAE" w:rsidRPr="00CB29EA" w:rsidTr="008D4228">
        <w:trPr>
          <w:cantSplit/>
          <w:trHeight w:val="163"/>
        </w:trPr>
        <w:tc>
          <w:tcPr>
            <w:tcW w:w="1268" w:type="pct"/>
            <w:tcBorders>
              <w:top w:val="single" w:sz="4" w:space="0" w:color="auto"/>
              <w:left w:val="single" w:sz="4" w:space="0" w:color="auto"/>
              <w:bottom w:val="single" w:sz="4" w:space="0" w:color="auto"/>
              <w:right w:val="single" w:sz="4" w:space="0" w:color="auto"/>
            </w:tcBorders>
          </w:tcPr>
          <w:p w:rsidR="004F5AAE" w:rsidRPr="00CB29EA" w:rsidRDefault="004F5AAE" w:rsidP="008D4228">
            <w:pPr>
              <w:pStyle w:val="TableLeft"/>
              <w:rPr>
                <w:rStyle w:val="SmallBold"/>
                <w:rFonts w:ascii="Arial Narrow" w:hAnsi="Arial Narrow"/>
                <w:szCs w:val="20"/>
              </w:rPr>
            </w:pPr>
            <w:r w:rsidRPr="00CB29EA">
              <w:rPr>
                <w:rStyle w:val="SmallBold"/>
                <w:rFonts w:ascii="Arial Narrow" w:hAnsi="Arial Narrow"/>
                <w:szCs w:val="20"/>
              </w:rPr>
              <w:t>Condition:</w:t>
            </w:r>
          </w:p>
        </w:tc>
        <w:tc>
          <w:tcPr>
            <w:tcW w:w="3732" w:type="pct"/>
            <w:gridSpan w:val="4"/>
            <w:tcBorders>
              <w:top w:val="single" w:sz="4" w:space="0" w:color="auto"/>
              <w:left w:val="single" w:sz="4" w:space="0" w:color="auto"/>
              <w:bottom w:val="single" w:sz="4" w:space="0" w:color="auto"/>
              <w:right w:val="single" w:sz="4" w:space="0" w:color="auto"/>
            </w:tcBorders>
          </w:tcPr>
          <w:p w:rsidR="004F5AAE" w:rsidRPr="00CB29EA" w:rsidRDefault="00FA4A4C" w:rsidP="008D4228">
            <w:pPr>
              <w:pStyle w:val="TableLeft"/>
              <w:rPr>
                <w:rFonts w:ascii="Arial Narrow" w:hAnsi="Arial Narrow"/>
                <w:szCs w:val="20"/>
              </w:rPr>
            </w:pPr>
            <w:r>
              <w:rPr>
                <w:rFonts w:ascii="Arial Narrow" w:hAnsi="Arial Narrow"/>
                <w:szCs w:val="20"/>
              </w:rPr>
              <w:t>Myeloid leukaemia</w:t>
            </w:r>
          </w:p>
        </w:tc>
      </w:tr>
      <w:tr w:rsidR="004F5AAE" w:rsidRPr="00CB29EA" w:rsidTr="008D4228">
        <w:trPr>
          <w:cantSplit/>
          <w:trHeight w:val="208"/>
        </w:trPr>
        <w:tc>
          <w:tcPr>
            <w:tcW w:w="1268" w:type="pct"/>
            <w:tcBorders>
              <w:top w:val="single" w:sz="4" w:space="0" w:color="auto"/>
              <w:left w:val="single" w:sz="4" w:space="0" w:color="auto"/>
              <w:bottom w:val="single" w:sz="4" w:space="0" w:color="auto"/>
              <w:right w:val="single" w:sz="4" w:space="0" w:color="auto"/>
            </w:tcBorders>
          </w:tcPr>
          <w:p w:rsidR="004F5AAE" w:rsidRPr="00CB29EA" w:rsidRDefault="004F5AAE" w:rsidP="008D4228">
            <w:pPr>
              <w:pStyle w:val="TableLeft"/>
              <w:rPr>
                <w:rStyle w:val="SmallBold"/>
                <w:rFonts w:ascii="Arial Narrow" w:hAnsi="Arial Narrow"/>
                <w:szCs w:val="20"/>
              </w:rPr>
            </w:pPr>
            <w:r w:rsidRPr="00CB29EA">
              <w:rPr>
                <w:rStyle w:val="SmallBold"/>
                <w:rFonts w:ascii="Arial Narrow" w:hAnsi="Arial Narrow"/>
                <w:szCs w:val="20"/>
              </w:rPr>
              <w:t>PBS Indication:</w:t>
            </w:r>
          </w:p>
        </w:tc>
        <w:tc>
          <w:tcPr>
            <w:tcW w:w="3732" w:type="pct"/>
            <w:gridSpan w:val="4"/>
            <w:tcBorders>
              <w:top w:val="single" w:sz="4" w:space="0" w:color="auto"/>
              <w:left w:val="single" w:sz="4" w:space="0" w:color="auto"/>
              <w:bottom w:val="single" w:sz="4" w:space="0" w:color="auto"/>
              <w:right w:val="single" w:sz="4" w:space="0" w:color="auto"/>
            </w:tcBorders>
          </w:tcPr>
          <w:p w:rsidR="004F5AAE" w:rsidRPr="00CB29EA" w:rsidRDefault="00FA4A4C" w:rsidP="008D4228">
            <w:pPr>
              <w:pStyle w:val="TableLeft"/>
              <w:rPr>
                <w:rFonts w:ascii="Arial Narrow" w:hAnsi="Arial Narrow"/>
                <w:szCs w:val="20"/>
              </w:rPr>
            </w:pPr>
            <w:r>
              <w:rPr>
                <w:rFonts w:ascii="Arial Narrow" w:hAnsi="Arial Narrow"/>
                <w:szCs w:val="20"/>
              </w:rPr>
              <w:t>Chronic myeloid leukaemia (CML)</w:t>
            </w:r>
          </w:p>
        </w:tc>
      </w:tr>
      <w:tr w:rsidR="004F5AAE" w:rsidRPr="00CB29EA" w:rsidTr="008D4228">
        <w:trPr>
          <w:cantSplit/>
          <w:trHeight w:val="253"/>
        </w:trPr>
        <w:tc>
          <w:tcPr>
            <w:tcW w:w="1268" w:type="pct"/>
            <w:tcBorders>
              <w:top w:val="single" w:sz="4" w:space="0" w:color="auto"/>
              <w:left w:val="single" w:sz="4" w:space="0" w:color="auto"/>
              <w:bottom w:val="single" w:sz="4" w:space="0" w:color="auto"/>
              <w:right w:val="single" w:sz="4" w:space="0" w:color="auto"/>
            </w:tcBorders>
          </w:tcPr>
          <w:p w:rsidR="004F5AAE" w:rsidRPr="00CB29EA" w:rsidRDefault="004F5AAE" w:rsidP="008D4228">
            <w:pPr>
              <w:pStyle w:val="TableLeft"/>
              <w:rPr>
                <w:rStyle w:val="SmallBold"/>
                <w:rFonts w:ascii="Arial Narrow" w:hAnsi="Arial Narrow"/>
                <w:szCs w:val="20"/>
              </w:rPr>
            </w:pPr>
            <w:r w:rsidRPr="00CB29EA">
              <w:rPr>
                <w:rStyle w:val="SmallBold"/>
                <w:rFonts w:ascii="Arial Narrow" w:hAnsi="Arial Narrow"/>
                <w:szCs w:val="20"/>
              </w:rPr>
              <w:t>Treatment phase:</w:t>
            </w:r>
          </w:p>
        </w:tc>
        <w:tc>
          <w:tcPr>
            <w:tcW w:w="3732" w:type="pct"/>
            <w:gridSpan w:val="4"/>
            <w:tcBorders>
              <w:top w:val="single" w:sz="4" w:space="0" w:color="auto"/>
              <w:left w:val="single" w:sz="4" w:space="0" w:color="auto"/>
              <w:bottom w:val="single" w:sz="4" w:space="0" w:color="auto"/>
              <w:right w:val="single" w:sz="4" w:space="0" w:color="auto"/>
            </w:tcBorders>
          </w:tcPr>
          <w:p w:rsidR="004F5AAE" w:rsidRPr="00CB29EA" w:rsidRDefault="004F5AAE" w:rsidP="008D4228">
            <w:pPr>
              <w:pStyle w:val="TableLeft"/>
              <w:rPr>
                <w:rFonts w:ascii="Arial Narrow" w:hAnsi="Arial Narrow"/>
                <w:szCs w:val="20"/>
              </w:rPr>
            </w:pPr>
            <w:r w:rsidRPr="00CB29EA">
              <w:rPr>
                <w:rFonts w:ascii="Arial Narrow" w:hAnsi="Arial Narrow"/>
                <w:szCs w:val="20"/>
              </w:rPr>
              <w:t>Initial treatment</w:t>
            </w:r>
          </w:p>
        </w:tc>
      </w:tr>
      <w:tr w:rsidR="004F5AAE" w:rsidRPr="00CB29EA" w:rsidTr="008D4228">
        <w:trPr>
          <w:cantSplit/>
          <w:trHeight w:val="1378"/>
        </w:trPr>
        <w:tc>
          <w:tcPr>
            <w:tcW w:w="1268" w:type="pct"/>
            <w:tcBorders>
              <w:top w:val="single" w:sz="4" w:space="0" w:color="auto"/>
              <w:left w:val="single" w:sz="4" w:space="0" w:color="auto"/>
              <w:bottom w:val="single" w:sz="4" w:space="0" w:color="auto"/>
              <w:right w:val="single" w:sz="4" w:space="0" w:color="auto"/>
            </w:tcBorders>
          </w:tcPr>
          <w:p w:rsidR="004F5AAE" w:rsidRPr="00CB29EA" w:rsidRDefault="004F5AAE" w:rsidP="008D4228">
            <w:pPr>
              <w:pStyle w:val="TableLeft"/>
              <w:rPr>
                <w:rStyle w:val="SmallBold"/>
                <w:rFonts w:ascii="Arial Narrow" w:hAnsi="Arial Narrow"/>
                <w:szCs w:val="20"/>
              </w:rPr>
            </w:pPr>
            <w:r w:rsidRPr="00CB29EA">
              <w:rPr>
                <w:rStyle w:val="SmallBold"/>
                <w:rFonts w:ascii="Arial Narrow" w:hAnsi="Arial Narrow"/>
                <w:szCs w:val="20"/>
              </w:rPr>
              <w:t>Restriction</w:t>
            </w:r>
            <w:r w:rsidR="00FA4A4C">
              <w:rPr>
                <w:rStyle w:val="SmallBold"/>
                <w:rFonts w:ascii="Arial Narrow" w:hAnsi="Arial Narrow"/>
                <w:szCs w:val="20"/>
              </w:rPr>
              <w:t xml:space="preserve"> Level</w:t>
            </w:r>
            <w:r w:rsidR="00834057">
              <w:rPr>
                <w:rStyle w:val="SmallBold"/>
                <w:rFonts w:ascii="Arial Narrow" w:hAnsi="Arial Narrow"/>
                <w:szCs w:val="20"/>
              </w:rPr>
              <w:t xml:space="preserve"> </w:t>
            </w:r>
            <w:r w:rsidR="00FA4A4C">
              <w:rPr>
                <w:rStyle w:val="SmallBold"/>
                <w:rFonts w:ascii="Arial Narrow" w:hAnsi="Arial Narrow"/>
                <w:szCs w:val="20"/>
              </w:rPr>
              <w:t>/</w:t>
            </w:r>
            <w:r w:rsidR="00834057">
              <w:rPr>
                <w:rStyle w:val="SmallBold"/>
                <w:rFonts w:ascii="Arial Narrow" w:hAnsi="Arial Narrow"/>
                <w:szCs w:val="20"/>
              </w:rPr>
              <w:t xml:space="preserve"> </w:t>
            </w:r>
            <w:r w:rsidR="00FA4A4C">
              <w:rPr>
                <w:rStyle w:val="SmallBold"/>
                <w:rFonts w:ascii="Arial Narrow" w:hAnsi="Arial Narrow"/>
                <w:szCs w:val="20"/>
              </w:rPr>
              <w:t>Method</w:t>
            </w:r>
            <w:r w:rsidRPr="00CB29EA">
              <w:rPr>
                <w:rStyle w:val="SmallBold"/>
                <w:rFonts w:ascii="Arial Narrow" w:hAnsi="Arial Narrow"/>
                <w:szCs w:val="20"/>
              </w:rPr>
              <w:t>:</w:t>
            </w:r>
          </w:p>
          <w:p w:rsidR="004F5AAE" w:rsidRPr="00CB29EA" w:rsidRDefault="004F5AAE" w:rsidP="008D4228">
            <w:pPr>
              <w:pStyle w:val="TableLeft"/>
              <w:rPr>
                <w:rStyle w:val="SmallBold"/>
                <w:rFonts w:ascii="Arial Narrow" w:hAnsi="Arial Narrow"/>
                <w:szCs w:val="20"/>
              </w:rPr>
            </w:pPr>
          </w:p>
        </w:tc>
        <w:tc>
          <w:tcPr>
            <w:tcW w:w="373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F5AAE" w:rsidRPr="00CB29EA" w:rsidRDefault="004F5AAE" w:rsidP="008D4228">
            <w:pPr>
              <w:pStyle w:val="TableLeft"/>
              <w:rPr>
                <w:rFonts w:ascii="Arial Narrow" w:hAnsi="Arial Narrow"/>
                <w:szCs w:val="20"/>
              </w:rPr>
            </w:pP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Restricted benefit</w:t>
            </w:r>
          </w:p>
          <w:p w:rsidR="004F5AAE" w:rsidRPr="00CB29EA" w:rsidRDefault="00FA4A4C" w:rsidP="008D4228">
            <w:pPr>
              <w:pStyle w:val="TableLeft"/>
              <w:rPr>
                <w:rFonts w:ascii="Arial Narrow" w:hAnsi="Arial Narrow"/>
                <w:szCs w:val="20"/>
              </w:rPr>
            </w:pPr>
            <w:r>
              <w:rPr>
                <w:rFonts w:ascii="Arial Narrow" w:hAnsi="Arial Narrow"/>
                <w:szCs w:val="20"/>
              </w:rPr>
              <w:fldChar w:fldCharType="begin">
                <w:ffData>
                  <w:name w:val=""/>
                  <w:enabled/>
                  <w:calcOnExit w:val="0"/>
                  <w:checkBox>
                    <w:sizeAuto/>
                    <w:default w:val="1"/>
                  </w:checkBox>
                </w:ffData>
              </w:fldChar>
            </w:r>
            <w:r>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Pr>
                <w:rFonts w:ascii="Arial Narrow" w:hAnsi="Arial Narrow"/>
                <w:szCs w:val="20"/>
              </w:rPr>
              <w:fldChar w:fldCharType="end"/>
            </w:r>
            <w:r w:rsidR="004F5AAE" w:rsidRPr="00CB29EA">
              <w:rPr>
                <w:rFonts w:ascii="Arial Narrow" w:hAnsi="Arial Narrow"/>
                <w:szCs w:val="20"/>
              </w:rPr>
              <w:t>Authority Required - In Writing</w:t>
            </w:r>
          </w:p>
          <w:p w:rsidR="004F5AAE" w:rsidRPr="00CB29EA" w:rsidRDefault="004F5AAE" w:rsidP="008D4228">
            <w:pPr>
              <w:pStyle w:val="TableLeft"/>
              <w:rPr>
                <w:rFonts w:ascii="Arial Narrow" w:hAnsi="Arial Narrow"/>
                <w:szCs w:val="20"/>
              </w:rPr>
            </w:pPr>
            <w:r w:rsidRPr="00CB29EA">
              <w:rPr>
                <w:rFonts w:ascii="Arial Narrow" w:hAnsi="Arial Narrow"/>
                <w:szCs w:val="20"/>
              </w:rPr>
              <w:fldChar w:fldCharType="begin">
                <w:ffData>
                  <w:name w:val="Check3"/>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Authority Required - Telephone</w:t>
            </w:r>
          </w:p>
          <w:p w:rsidR="004F5AAE" w:rsidRPr="00CB29EA" w:rsidRDefault="004F5AAE" w:rsidP="008D4228">
            <w:pPr>
              <w:pStyle w:val="TableLeft"/>
              <w:rPr>
                <w:rFonts w:ascii="Arial Narrow" w:hAnsi="Arial Narrow"/>
                <w:szCs w:val="20"/>
              </w:rPr>
            </w:pPr>
            <w:r w:rsidRPr="00CB29EA">
              <w:rPr>
                <w:rFonts w:ascii="Arial Narrow" w:hAnsi="Arial Narrow"/>
                <w:szCs w:val="20"/>
              </w:rPr>
              <w:fldChar w:fldCharType="begin">
                <w:ffData>
                  <w:name w:val=""/>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Authority Required - Emergency</w:t>
            </w:r>
          </w:p>
          <w:p w:rsidR="004F5AAE" w:rsidRPr="00CB29EA" w:rsidRDefault="004F5AAE" w:rsidP="008D4228">
            <w:pPr>
              <w:pStyle w:val="TableLeft"/>
              <w:rPr>
                <w:rFonts w:ascii="Arial Narrow" w:hAnsi="Arial Narrow"/>
                <w:szCs w:val="20"/>
              </w:rPr>
            </w:pPr>
            <w:r w:rsidRPr="00CB29EA">
              <w:rPr>
                <w:rFonts w:ascii="Arial Narrow" w:hAnsi="Arial Narrow"/>
                <w:szCs w:val="20"/>
              </w:rPr>
              <w:fldChar w:fldCharType="begin">
                <w:ffData>
                  <w:name w:val=""/>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Authority Required - Electronic</w:t>
            </w:r>
          </w:p>
          <w:p w:rsidR="004F5AAE" w:rsidRPr="00CB29EA" w:rsidRDefault="00FA4A4C" w:rsidP="008D4228">
            <w:pPr>
              <w:pStyle w:val="TableLeft"/>
              <w:rPr>
                <w:rFonts w:ascii="Arial Narrow" w:hAnsi="Arial Narrow"/>
                <w:szCs w:val="20"/>
              </w:rPr>
            </w:pPr>
            <w:r>
              <w:rPr>
                <w:rFonts w:ascii="Arial Narrow" w:hAnsi="Arial Narrow"/>
                <w:szCs w:val="20"/>
              </w:rPr>
              <w:fldChar w:fldCharType="begin">
                <w:ffData>
                  <w:name w:val=""/>
                  <w:enabled/>
                  <w:calcOnExit w:val="0"/>
                  <w:checkBox>
                    <w:sizeAuto/>
                    <w:default w:val="0"/>
                  </w:checkBox>
                </w:ffData>
              </w:fldChar>
            </w:r>
            <w:r>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Pr>
                <w:rFonts w:ascii="Arial Narrow" w:hAnsi="Arial Narrow"/>
                <w:szCs w:val="20"/>
              </w:rPr>
              <w:fldChar w:fldCharType="end"/>
            </w:r>
            <w:r w:rsidR="004F5AAE" w:rsidRPr="00CB29EA">
              <w:rPr>
                <w:rFonts w:ascii="Arial Narrow" w:hAnsi="Arial Narrow"/>
                <w:szCs w:val="20"/>
              </w:rPr>
              <w:t>Streamlined</w:t>
            </w:r>
          </w:p>
        </w:tc>
      </w:tr>
      <w:tr w:rsidR="004F5AAE" w:rsidRPr="00CB29EA" w:rsidTr="008D4228">
        <w:trPr>
          <w:cantSplit/>
          <w:trHeight w:val="360"/>
        </w:trPr>
        <w:tc>
          <w:tcPr>
            <w:tcW w:w="1268" w:type="pct"/>
            <w:tcBorders>
              <w:top w:val="single" w:sz="4" w:space="0" w:color="auto"/>
              <w:left w:val="single" w:sz="4" w:space="0" w:color="auto"/>
              <w:bottom w:val="single" w:sz="4" w:space="0" w:color="auto"/>
              <w:right w:val="single" w:sz="4" w:space="0" w:color="auto"/>
            </w:tcBorders>
          </w:tcPr>
          <w:p w:rsidR="004F5AAE" w:rsidRPr="00CB29EA" w:rsidRDefault="004F5AAE" w:rsidP="009C639C">
            <w:pPr>
              <w:pStyle w:val="TableLeft"/>
              <w:keepNext/>
              <w:rPr>
                <w:rStyle w:val="SmallBold"/>
                <w:rFonts w:ascii="Arial Narrow" w:hAnsi="Arial Narrow"/>
                <w:szCs w:val="20"/>
              </w:rPr>
            </w:pPr>
            <w:r w:rsidRPr="00CB29EA">
              <w:rPr>
                <w:rStyle w:val="SmallBold"/>
                <w:rFonts w:ascii="Arial Narrow" w:hAnsi="Arial Narrow"/>
                <w:szCs w:val="20"/>
              </w:rPr>
              <w:t>Clinical criteria:</w:t>
            </w:r>
          </w:p>
          <w:p w:rsidR="004F5AAE" w:rsidRPr="00CB29EA" w:rsidRDefault="004F5AAE" w:rsidP="009C639C">
            <w:pPr>
              <w:pStyle w:val="TableLeft"/>
              <w:keepNext/>
              <w:rPr>
                <w:rStyle w:val="SmallBold"/>
                <w:rFonts w:ascii="Arial Narrow" w:hAnsi="Arial Narrow"/>
                <w:szCs w:val="20"/>
              </w:rPr>
            </w:pPr>
          </w:p>
        </w:tc>
        <w:tc>
          <w:tcPr>
            <w:tcW w:w="3732" w:type="pct"/>
            <w:gridSpan w:val="4"/>
            <w:tcBorders>
              <w:top w:val="single" w:sz="4" w:space="0" w:color="auto"/>
              <w:left w:val="single" w:sz="4" w:space="0" w:color="auto"/>
              <w:bottom w:val="single" w:sz="4" w:space="0" w:color="auto"/>
              <w:right w:val="single" w:sz="4" w:space="0" w:color="auto"/>
            </w:tcBorders>
          </w:tcPr>
          <w:p w:rsidR="00834057" w:rsidRPr="00834057" w:rsidRDefault="00834057" w:rsidP="009C639C">
            <w:pPr>
              <w:pStyle w:val="TableLeft"/>
              <w:keepNext/>
              <w:rPr>
                <w:rFonts w:ascii="Arial Narrow" w:hAnsi="Arial Narrow"/>
                <w:szCs w:val="20"/>
              </w:rPr>
            </w:pPr>
            <w:r w:rsidRPr="00834057">
              <w:rPr>
                <w:rFonts w:ascii="Arial Narrow" w:hAnsi="Arial Narrow"/>
                <w:szCs w:val="20"/>
              </w:rPr>
              <w:t>The treatment must be the sole PBS-subsidised therapy for this condition,</w:t>
            </w:r>
          </w:p>
          <w:p w:rsidR="00834057" w:rsidRPr="00834057" w:rsidRDefault="00834057" w:rsidP="009C639C">
            <w:pPr>
              <w:pStyle w:val="TableLeft"/>
              <w:keepNext/>
              <w:rPr>
                <w:rFonts w:ascii="Arial Narrow" w:hAnsi="Arial Narrow"/>
                <w:szCs w:val="20"/>
              </w:rPr>
            </w:pPr>
            <w:r w:rsidRPr="00834057">
              <w:rPr>
                <w:rFonts w:ascii="Arial Narrow" w:hAnsi="Arial Narrow"/>
                <w:szCs w:val="20"/>
              </w:rPr>
              <w:t>AND</w:t>
            </w:r>
          </w:p>
          <w:p w:rsidR="00834057" w:rsidRPr="00834057" w:rsidRDefault="00834057" w:rsidP="009C639C">
            <w:pPr>
              <w:pStyle w:val="TableLeft"/>
              <w:keepNext/>
              <w:rPr>
                <w:rFonts w:ascii="Arial Narrow" w:hAnsi="Arial Narrow"/>
                <w:szCs w:val="20"/>
              </w:rPr>
            </w:pPr>
            <w:r w:rsidRPr="00834057">
              <w:rPr>
                <w:rFonts w:ascii="Arial Narrow" w:hAnsi="Arial Narrow"/>
                <w:szCs w:val="20"/>
              </w:rPr>
              <w:t>Patient must be expressing the T315I mutation,</w:t>
            </w:r>
          </w:p>
          <w:p w:rsidR="00834057" w:rsidRPr="00834057" w:rsidRDefault="00834057" w:rsidP="009C639C">
            <w:pPr>
              <w:pStyle w:val="TableLeft"/>
              <w:keepNext/>
              <w:rPr>
                <w:rFonts w:ascii="Arial Narrow" w:hAnsi="Arial Narrow"/>
                <w:szCs w:val="20"/>
              </w:rPr>
            </w:pPr>
            <w:r w:rsidRPr="00834057">
              <w:rPr>
                <w:rFonts w:ascii="Arial Narrow" w:hAnsi="Arial Narrow"/>
                <w:szCs w:val="20"/>
              </w:rPr>
              <w:t>AND</w:t>
            </w:r>
          </w:p>
          <w:p w:rsidR="00834057" w:rsidRPr="00834057" w:rsidRDefault="00834057" w:rsidP="009C639C">
            <w:pPr>
              <w:pStyle w:val="TableLeft"/>
              <w:keepNext/>
              <w:rPr>
                <w:rFonts w:ascii="Arial Narrow" w:hAnsi="Arial Narrow"/>
                <w:szCs w:val="20"/>
              </w:rPr>
            </w:pPr>
            <w:r w:rsidRPr="00834057">
              <w:rPr>
                <w:rFonts w:ascii="Arial Narrow" w:hAnsi="Arial Narrow"/>
                <w:szCs w:val="20"/>
              </w:rPr>
              <w:t>Patient must have failed an adequate trial of imatinib; OR</w:t>
            </w:r>
          </w:p>
          <w:p w:rsidR="00834057" w:rsidRPr="00834057" w:rsidRDefault="00834057" w:rsidP="009C639C">
            <w:pPr>
              <w:pStyle w:val="TableLeft"/>
              <w:keepNext/>
              <w:rPr>
                <w:rFonts w:ascii="Arial Narrow" w:hAnsi="Arial Narrow"/>
                <w:szCs w:val="20"/>
              </w:rPr>
            </w:pPr>
            <w:r w:rsidRPr="00834057">
              <w:rPr>
                <w:rFonts w:ascii="Arial Narrow" w:hAnsi="Arial Narrow"/>
                <w:szCs w:val="20"/>
              </w:rPr>
              <w:t>Patient must have failed an adequate trial of dasatinib; OR</w:t>
            </w:r>
          </w:p>
          <w:p w:rsidR="004F5AAE" w:rsidRPr="00CB29EA" w:rsidRDefault="00834057" w:rsidP="009C639C">
            <w:pPr>
              <w:pStyle w:val="TableLeft"/>
              <w:keepNext/>
              <w:rPr>
                <w:rFonts w:ascii="Arial Narrow" w:hAnsi="Arial Narrow"/>
                <w:szCs w:val="20"/>
              </w:rPr>
            </w:pPr>
            <w:r w:rsidRPr="00834057">
              <w:rPr>
                <w:rFonts w:ascii="Arial Narrow" w:hAnsi="Arial Narrow"/>
                <w:szCs w:val="20"/>
              </w:rPr>
              <w:t>Patient must have failed an adequate trial of nilotinib.</w:t>
            </w:r>
          </w:p>
        </w:tc>
      </w:tr>
      <w:tr w:rsidR="004F5AAE" w:rsidRPr="00CB29EA" w:rsidTr="008D4228">
        <w:trPr>
          <w:trHeight w:val="235"/>
        </w:trPr>
        <w:tc>
          <w:tcPr>
            <w:tcW w:w="1268" w:type="pct"/>
            <w:tcBorders>
              <w:top w:val="single" w:sz="4" w:space="0" w:color="auto"/>
              <w:left w:val="single" w:sz="4" w:space="0" w:color="auto"/>
              <w:bottom w:val="single" w:sz="4" w:space="0" w:color="auto"/>
              <w:right w:val="single" w:sz="4" w:space="0" w:color="auto"/>
            </w:tcBorders>
          </w:tcPr>
          <w:p w:rsidR="004F5AAE" w:rsidRPr="00CB29EA" w:rsidRDefault="004F5AAE" w:rsidP="009C639C">
            <w:pPr>
              <w:pStyle w:val="TableLeft"/>
              <w:widowControl w:val="0"/>
              <w:rPr>
                <w:rStyle w:val="SmallBold"/>
                <w:rFonts w:ascii="Arial Narrow" w:hAnsi="Arial Narrow"/>
                <w:szCs w:val="20"/>
              </w:rPr>
            </w:pPr>
            <w:r w:rsidRPr="00CB29EA">
              <w:rPr>
                <w:rStyle w:val="SmallBold"/>
                <w:rFonts w:ascii="Arial Narrow" w:hAnsi="Arial Narrow"/>
                <w:szCs w:val="20"/>
              </w:rPr>
              <w:t>Prescriber Instructions</w:t>
            </w:r>
          </w:p>
        </w:tc>
        <w:tc>
          <w:tcPr>
            <w:tcW w:w="3732" w:type="pct"/>
            <w:gridSpan w:val="4"/>
            <w:tcBorders>
              <w:top w:val="single" w:sz="4" w:space="0" w:color="auto"/>
              <w:left w:val="single" w:sz="4" w:space="0" w:color="auto"/>
              <w:bottom w:val="single" w:sz="4" w:space="0" w:color="auto"/>
              <w:right w:val="single" w:sz="4" w:space="0" w:color="auto"/>
            </w:tcBorders>
          </w:tcPr>
          <w:p w:rsidR="009C639C" w:rsidRPr="009C639C" w:rsidRDefault="009C639C" w:rsidP="009C639C">
            <w:pPr>
              <w:pStyle w:val="TableLeft"/>
              <w:widowControl w:val="0"/>
              <w:rPr>
                <w:rFonts w:ascii="Arial Narrow" w:hAnsi="Arial Narrow"/>
                <w:szCs w:val="20"/>
              </w:rPr>
            </w:pPr>
            <w:r w:rsidRPr="009C639C">
              <w:rPr>
                <w:rFonts w:ascii="Arial Narrow" w:hAnsi="Arial Narrow"/>
                <w:szCs w:val="20"/>
              </w:rPr>
              <w:t>Failure of an adequate trial of imatinib or dasatinib or nilotinib is defined as:</w:t>
            </w:r>
          </w:p>
          <w:p w:rsidR="009C639C" w:rsidRPr="009C639C" w:rsidRDefault="009C639C" w:rsidP="009C639C">
            <w:pPr>
              <w:pStyle w:val="TableLeft"/>
              <w:widowControl w:val="0"/>
              <w:rPr>
                <w:rFonts w:ascii="Arial Narrow" w:hAnsi="Arial Narrow"/>
                <w:szCs w:val="20"/>
              </w:rPr>
            </w:pPr>
            <w:r w:rsidRPr="009C639C">
              <w:rPr>
                <w:rFonts w:ascii="Arial Narrow" w:hAnsi="Arial Narrow"/>
                <w:szCs w:val="20"/>
              </w:rPr>
              <w:t>1. Lack of response to imatinib or dasatinib or nilotinib therapy, defined as either: (i) failure to achieve a haematological response after a minimum of 3 months therapy with imatinib or dasatinib or nilotinib; or (ii) failure to achieve any cytogenetic response after a minimum of 6 months therapy with imatinib or dasatinib or nilotinib as demonstrated on bone marrow biopsy by presence of greater than 95% Philadelphia chromosome positive cells; or (iii) failure to achieve a major cytogenetic response or a peripheral blood BCR-ABL level of less than 1% after a minimum of 12 months therapy with imatinib or dasatinib or nilotinib; OR</w:t>
            </w:r>
          </w:p>
          <w:p w:rsidR="009C639C" w:rsidRPr="009C639C" w:rsidRDefault="009C639C" w:rsidP="009C639C">
            <w:pPr>
              <w:pStyle w:val="TableLeft"/>
              <w:widowControl w:val="0"/>
              <w:rPr>
                <w:rFonts w:ascii="Arial Narrow" w:hAnsi="Arial Narrow"/>
                <w:szCs w:val="20"/>
              </w:rPr>
            </w:pPr>
            <w:r w:rsidRPr="009C639C">
              <w:rPr>
                <w:rFonts w:ascii="Arial Narrow" w:hAnsi="Arial Narrow"/>
                <w:szCs w:val="20"/>
              </w:rPr>
              <w:t>2. Loss of a previously documented major cytogenetic response (demonstrated by the presence of greater than 35% Ph positive cells on bone marrow biopsy), during ongoing imatinib or dasatinib or nilotinib therapy; OR</w:t>
            </w:r>
          </w:p>
          <w:p w:rsidR="009C639C" w:rsidRPr="009C639C" w:rsidRDefault="009C639C" w:rsidP="009C639C">
            <w:pPr>
              <w:pStyle w:val="TableLeft"/>
              <w:widowControl w:val="0"/>
              <w:rPr>
                <w:rFonts w:ascii="Arial Narrow" w:hAnsi="Arial Narrow"/>
                <w:szCs w:val="20"/>
              </w:rPr>
            </w:pPr>
            <w:r w:rsidRPr="009C639C">
              <w:rPr>
                <w:rFonts w:ascii="Arial Narrow" w:hAnsi="Arial Narrow"/>
                <w:szCs w:val="20"/>
              </w:rPr>
              <w:t>3. Loss of a previously demonstrated molecular response (demonstrated by peripheral blood BCR-ABL levels increasing consecutively in value by at least 5 fold to a level of greater than 0.1% confirmed on a subsequent test), during ongoing imatinib or dasatinib or nilotinib therapy; OR</w:t>
            </w:r>
          </w:p>
          <w:p w:rsidR="009C639C" w:rsidRPr="009C639C" w:rsidRDefault="009C639C" w:rsidP="009C639C">
            <w:pPr>
              <w:pStyle w:val="TableLeft"/>
              <w:widowControl w:val="0"/>
              <w:rPr>
                <w:rFonts w:ascii="Arial Narrow" w:hAnsi="Arial Narrow"/>
                <w:szCs w:val="20"/>
              </w:rPr>
            </w:pPr>
            <w:r w:rsidRPr="009C639C">
              <w:rPr>
                <w:rFonts w:ascii="Arial Narrow" w:hAnsi="Arial Narrow"/>
                <w:szCs w:val="20"/>
              </w:rPr>
              <w:t>4. Development of accelerated phase or blast crisis in a patient previously prescribed imatinib or dasatinib or nilotinib for any phase of chronic myeloid leukaemia; OR</w:t>
            </w:r>
          </w:p>
          <w:p w:rsidR="009C639C" w:rsidRPr="009C639C" w:rsidRDefault="009C639C" w:rsidP="009C639C">
            <w:pPr>
              <w:pStyle w:val="TableLeft"/>
              <w:widowControl w:val="0"/>
              <w:rPr>
                <w:rFonts w:ascii="Arial Narrow" w:hAnsi="Arial Narrow"/>
                <w:szCs w:val="20"/>
              </w:rPr>
            </w:pPr>
            <w:r w:rsidRPr="009C639C">
              <w:rPr>
                <w:rFonts w:ascii="Arial Narrow" w:hAnsi="Arial Narrow"/>
                <w:szCs w:val="20"/>
              </w:rPr>
              <w:t>5. Disease progression (defined as a greater than or equal to 50% increase in peripheral white blood cell count, blast count, basophils or platelets) during imatinib or dasatinib or nilotinib therapy in patients with accelerated phase or blast crisis chronic myeloid leukaemia.</w:t>
            </w:r>
          </w:p>
          <w:p w:rsidR="009C639C" w:rsidRDefault="009C639C" w:rsidP="009C639C">
            <w:pPr>
              <w:pStyle w:val="TableLeft"/>
              <w:widowControl w:val="0"/>
              <w:rPr>
                <w:rFonts w:ascii="Arial Narrow" w:hAnsi="Arial Narrow"/>
                <w:szCs w:val="20"/>
              </w:rPr>
            </w:pPr>
          </w:p>
          <w:p w:rsidR="009C639C" w:rsidRPr="009C639C" w:rsidRDefault="009C639C" w:rsidP="009C639C">
            <w:pPr>
              <w:pStyle w:val="TableLeft"/>
              <w:widowControl w:val="0"/>
              <w:rPr>
                <w:rFonts w:ascii="Arial Narrow" w:hAnsi="Arial Narrow"/>
                <w:szCs w:val="20"/>
              </w:rPr>
            </w:pPr>
            <w:r w:rsidRPr="009C639C">
              <w:rPr>
                <w:rFonts w:ascii="Arial Narrow" w:hAnsi="Arial Narrow"/>
                <w:szCs w:val="20"/>
              </w:rPr>
              <w:t>Accelerated phase is defined by the presence of 1 or more of the following:</w:t>
            </w:r>
          </w:p>
          <w:p w:rsidR="009C639C" w:rsidRPr="009C639C" w:rsidRDefault="009C639C" w:rsidP="009C639C">
            <w:pPr>
              <w:pStyle w:val="TableLeft"/>
              <w:widowControl w:val="0"/>
              <w:rPr>
                <w:rFonts w:ascii="Arial Narrow" w:hAnsi="Arial Narrow"/>
                <w:szCs w:val="20"/>
              </w:rPr>
            </w:pPr>
            <w:r w:rsidRPr="009C639C">
              <w:rPr>
                <w:rFonts w:ascii="Arial Narrow" w:hAnsi="Arial Narrow"/>
                <w:szCs w:val="20"/>
              </w:rPr>
              <w:t>1. Percentage of blasts in the peripheral blood or bone marrow greater than or equal to 15% but less than 30%; or</w:t>
            </w:r>
          </w:p>
          <w:p w:rsidR="009C639C" w:rsidRPr="009C639C" w:rsidRDefault="009C639C" w:rsidP="009C639C">
            <w:pPr>
              <w:pStyle w:val="TableLeft"/>
              <w:widowControl w:val="0"/>
              <w:rPr>
                <w:rFonts w:ascii="Arial Narrow" w:hAnsi="Arial Narrow"/>
                <w:szCs w:val="20"/>
              </w:rPr>
            </w:pPr>
            <w:r w:rsidRPr="009C639C">
              <w:rPr>
                <w:rFonts w:ascii="Arial Narrow" w:hAnsi="Arial Narrow"/>
                <w:szCs w:val="20"/>
              </w:rPr>
              <w:t>2. Percentage of blasts plus promyelocytes in the peripheral blood or bone marrow greater than or equal to 30%, provided that blast count is less than 30%; or</w:t>
            </w:r>
          </w:p>
          <w:p w:rsidR="009C639C" w:rsidRPr="009C639C" w:rsidRDefault="009C639C" w:rsidP="009C639C">
            <w:pPr>
              <w:pStyle w:val="TableLeft"/>
              <w:widowControl w:val="0"/>
              <w:rPr>
                <w:rFonts w:ascii="Arial Narrow" w:hAnsi="Arial Narrow"/>
                <w:szCs w:val="20"/>
              </w:rPr>
            </w:pPr>
            <w:r w:rsidRPr="009C639C">
              <w:rPr>
                <w:rFonts w:ascii="Arial Narrow" w:hAnsi="Arial Narrow"/>
                <w:szCs w:val="20"/>
              </w:rPr>
              <w:t>3. Peripheral basophils greater than or equal to 20%; or</w:t>
            </w:r>
          </w:p>
          <w:p w:rsidR="009C639C" w:rsidRPr="009C639C" w:rsidRDefault="009C639C" w:rsidP="009C639C">
            <w:pPr>
              <w:pStyle w:val="TableLeft"/>
              <w:widowControl w:val="0"/>
              <w:rPr>
                <w:rFonts w:ascii="Arial Narrow" w:hAnsi="Arial Narrow"/>
                <w:szCs w:val="20"/>
              </w:rPr>
            </w:pPr>
            <w:r w:rsidRPr="009C639C">
              <w:rPr>
                <w:rFonts w:ascii="Arial Narrow" w:hAnsi="Arial Narrow"/>
                <w:szCs w:val="20"/>
              </w:rPr>
              <w:t>4. Progressive splenomegaly to a size greater than or equal to 10 cm below the left costal margin to be confirmed on 2 occasions at least 4 weeks apart, or a greater than or equal to 50% increase in size below the left costal margin over 4 weeks; or</w:t>
            </w:r>
          </w:p>
          <w:p w:rsidR="009C639C" w:rsidRPr="009C639C" w:rsidRDefault="009C639C" w:rsidP="009C639C">
            <w:pPr>
              <w:pStyle w:val="TableLeft"/>
              <w:widowControl w:val="0"/>
              <w:rPr>
                <w:rFonts w:ascii="Arial Narrow" w:hAnsi="Arial Narrow"/>
                <w:szCs w:val="20"/>
              </w:rPr>
            </w:pPr>
            <w:r w:rsidRPr="009C639C">
              <w:rPr>
                <w:rFonts w:ascii="Arial Narrow" w:hAnsi="Arial Narrow"/>
                <w:szCs w:val="20"/>
              </w:rPr>
              <w:t>5. Karyotypic evolution (chromosomal abnormalities in addition to a single Philadelphia chromosome).</w:t>
            </w:r>
          </w:p>
          <w:p w:rsidR="00A767D7" w:rsidRDefault="00A767D7" w:rsidP="009C639C">
            <w:pPr>
              <w:pStyle w:val="TableLeft"/>
              <w:widowControl w:val="0"/>
              <w:rPr>
                <w:rFonts w:ascii="Arial Narrow" w:hAnsi="Arial Narrow"/>
                <w:szCs w:val="20"/>
              </w:rPr>
            </w:pPr>
          </w:p>
          <w:p w:rsidR="009C639C" w:rsidRPr="009C639C" w:rsidRDefault="009C639C" w:rsidP="009C639C">
            <w:pPr>
              <w:pStyle w:val="TableLeft"/>
              <w:widowControl w:val="0"/>
              <w:rPr>
                <w:rFonts w:ascii="Arial Narrow" w:hAnsi="Arial Narrow"/>
                <w:szCs w:val="20"/>
              </w:rPr>
            </w:pPr>
            <w:r w:rsidRPr="009C639C">
              <w:rPr>
                <w:rFonts w:ascii="Arial Narrow" w:hAnsi="Arial Narrow"/>
                <w:szCs w:val="20"/>
              </w:rPr>
              <w:t>Blast crisis is defined as either:</w:t>
            </w:r>
          </w:p>
          <w:p w:rsidR="009C639C" w:rsidRPr="009C639C" w:rsidRDefault="009C639C" w:rsidP="009C639C">
            <w:pPr>
              <w:pStyle w:val="TableLeft"/>
              <w:widowControl w:val="0"/>
              <w:rPr>
                <w:rFonts w:ascii="Arial Narrow" w:hAnsi="Arial Narrow"/>
                <w:szCs w:val="20"/>
              </w:rPr>
            </w:pPr>
            <w:r w:rsidRPr="009C639C">
              <w:rPr>
                <w:rFonts w:ascii="Arial Narrow" w:hAnsi="Arial Narrow"/>
                <w:szCs w:val="20"/>
              </w:rPr>
              <w:t>1. Percentage of blasts in the peripheral blood or bone marrow greater than or equal to 30%; or</w:t>
            </w:r>
          </w:p>
          <w:p w:rsidR="009C639C" w:rsidRDefault="009C639C" w:rsidP="009C639C">
            <w:pPr>
              <w:pStyle w:val="TableLeft"/>
              <w:widowControl w:val="0"/>
              <w:rPr>
                <w:rFonts w:ascii="Arial Narrow" w:hAnsi="Arial Narrow"/>
                <w:szCs w:val="20"/>
              </w:rPr>
            </w:pPr>
            <w:r w:rsidRPr="009C639C">
              <w:rPr>
                <w:rFonts w:ascii="Arial Narrow" w:hAnsi="Arial Narrow"/>
                <w:szCs w:val="20"/>
              </w:rPr>
              <w:t>2. Extramedullary involvement other than spleen and liver.</w:t>
            </w:r>
          </w:p>
          <w:p w:rsidR="00C846C2" w:rsidRDefault="00C846C2" w:rsidP="009C639C">
            <w:pPr>
              <w:pStyle w:val="TableLeft"/>
              <w:widowControl w:val="0"/>
              <w:rPr>
                <w:rFonts w:ascii="Arial Narrow" w:hAnsi="Arial Narrow"/>
                <w:szCs w:val="20"/>
              </w:rPr>
            </w:pPr>
          </w:p>
          <w:p w:rsidR="00C846C2" w:rsidRPr="00560FC8" w:rsidRDefault="00C846C2" w:rsidP="00C846C2">
            <w:pPr>
              <w:pStyle w:val="TableLeft"/>
              <w:widowControl w:val="0"/>
              <w:rPr>
                <w:rFonts w:ascii="Arial Narrow" w:hAnsi="Arial Narrow"/>
                <w:szCs w:val="20"/>
              </w:rPr>
            </w:pPr>
            <w:r w:rsidRPr="00560FC8">
              <w:rPr>
                <w:rFonts w:ascii="Arial Narrow" w:hAnsi="Arial Narrow"/>
                <w:szCs w:val="20"/>
              </w:rPr>
              <w:t>The authority application must be made in writing and must include:</w:t>
            </w:r>
          </w:p>
          <w:p w:rsidR="00C846C2" w:rsidRPr="00195F54" w:rsidRDefault="00C846C2" w:rsidP="00C846C2">
            <w:pPr>
              <w:pStyle w:val="TableLeft"/>
              <w:widowControl w:val="0"/>
              <w:rPr>
                <w:rFonts w:ascii="Arial Narrow" w:hAnsi="Arial Narrow"/>
                <w:szCs w:val="20"/>
              </w:rPr>
            </w:pPr>
            <w:r w:rsidRPr="00195F54">
              <w:rPr>
                <w:rFonts w:ascii="Arial Narrow" w:hAnsi="Arial Narrow"/>
                <w:szCs w:val="20"/>
              </w:rPr>
              <w:t>1. a completed authority prescription form; and</w:t>
            </w:r>
          </w:p>
          <w:p w:rsidR="00C846C2" w:rsidRPr="00195F54" w:rsidRDefault="00C846C2" w:rsidP="00C846C2">
            <w:pPr>
              <w:pStyle w:val="TableLeft"/>
              <w:widowControl w:val="0"/>
              <w:rPr>
                <w:rFonts w:ascii="Arial Narrow" w:hAnsi="Arial Narrow"/>
                <w:szCs w:val="20"/>
              </w:rPr>
            </w:pPr>
            <w:r w:rsidRPr="00195F54">
              <w:rPr>
                <w:rFonts w:ascii="Arial Narrow" w:hAnsi="Arial Narrow"/>
                <w:szCs w:val="20"/>
              </w:rPr>
              <w:t>2. a completed Chronic Myeloid Leukaemia - ponatinib Initial PBS authority application form; and</w:t>
            </w:r>
          </w:p>
          <w:p w:rsidR="00C846C2" w:rsidRPr="00195F54" w:rsidRDefault="00C846C2" w:rsidP="00C846C2">
            <w:pPr>
              <w:pStyle w:val="TableLeft"/>
              <w:widowControl w:val="0"/>
              <w:rPr>
                <w:rFonts w:ascii="Arial Narrow" w:hAnsi="Arial Narrow"/>
                <w:szCs w:val="20"/>
              </w:rPr>
            </w:pPr>
            <w:r w:rsidRPr="00195F54">
              <w:rPr>
                <w:rFonts w:ascii="Arial Narrow" w:hAnsi="Arial Narrow"/>
                <w:szCs w:val="20"/>
              </w:rPr>
              <w:t>3. a signed patient acknowledgement; and</w:t>
            </w:r>
          </w:p>
          <w:p w:rsidR="00C846C2" w:rsidRPr="00560FC8" w:rsidRDefault="00C846C2" w:rsidP="00C846C2">
            <w:pPr>
              <w:pStyle w:val="TableLeft"/>
              <w:widowControl w:val="0"/>
              <w:rPr>
                <w:rFonts w:ascii="Arial Narrow" w:hAnsi="Arial Narrow"/>
                <w:szCs w:val="20"/>
              </w:rPr>
            </w:pPr>
            <w:r w:rsidRPr="00195F54">
              <w:rPr>
                <w:rFonts w:ascii="Arial Narrow" w:hAnsi="Arial Narrow"/>
                <w:szCs w:val="20"/>
              </w:rPr>
              <w:t>4. a bone marrow biopsy pathology report demonstrating the patient has active chronic myeloid leukaemia, either manifest as cytogenetic evidence of the Philadelphia chromosome, or RT-PCR level of BCR-ABL transcript greater than 0.1% on the international scale and evidence of the T315I mutation. (The date of the relevant pathology report(s</w:t>
            </w:r>
            <w:r w:rsidRPr="00494A81">
              <w:rPr>
                <w:rFonts w:ascii="Arial Narrow" w:hAnsi="Arial Narrow"/>
                <w:szCs w:val="20"/>
              </w:rPr>
              <w:t xml:space="preserve">), </w:t>
            </w:r>
            <w:r w:rsidRPr="00494A81">
              <w:rPr>
                <w:rFonts w:ascii="Arial Narrow" w:hAnsi="Arial Narrow"/>
                <w:b/>
                <w:strike/>
                <w:szCs w:val="20"/>
              </w:rPr>
              <w:t>which should be within the previous 6 months</w:t>
            </w:r>
            <w:r w:rsidRPr="00494A81">
              <w:rPr>
                <w:rFonts w:ascii="Arial Narrow" w:hAnsi="Arial Narrow"/>
                <w:szCs w:val="20"/>
              </w:rPr>
              <w:t>,</w:t>
            </w:r>
            <w:r w:rsidRPr="00560FC8">
              <w:rPr>
                <w:rFonts w:ascii="Arial Narrow" w:hAnsi="Arial Narrow"/>
                <w:szCs w:val="20"/>
              </w:rPr>
              <w:t xml:space="preserve"> need(s) to be provided); and</w:t>
            </w:r>
          </w:p>
          <w:p w:rsidR="008C23B4" w:rsidRPr="00EC45B5" w:rsidRDefault="00C846C2" w:rsidP="00C846C2">
            <w:pPr>
              <w:pStyle w:val="TableLeft"/>
              <w:widowControl w:val="0"/>
              <w:rPr>
                <w:rFonts w:ascii="Arial Narrow" w:hAnsi="Arial Narrow"/>
                <w:szCs w:val="20"/>
              </w:rPr>
            </w:pPr>
            <w:r w:rsidRPr="00560FC8">
              <w:rPr>
                <w:rFonts w:ascii="Arial Narrow" w:hAnsi="Arial Narrow"/>
                <w:szCs w:val="20"/>
              </w:rPr>
              <w:t>5. where there has been a loss of response to imatinib or dasatinib or nilotinib, a copy of the current confirming pathology report(s) from an Approved Pathology Authority or details of the dates of assessment in the case of progressive splenomegaly or extramedullary involvement.</w:t>
            </w:r>
          </w:p>
        </w:tc>
      </w:tr>
      <w:tr w:rsidR="004F5AAE" w:rsidRPr="00CB29EA" w:rsidTr="00990FA9">
        <w:trPr>
          <w:cantSplit/>
          <w:trHeight w:val="471"/>
        </w:trPr>
        <w:tc>
          <w:tcPr>
            <w:tcW w:w="1813" w:type="pct"/>
            <w:gridSpan w:val="2"/>
            <w:tcBorders>
              <w:top w:val="single" w:sz="4" w:space="0" w:color="auto"/>
              <w:bottom w:val="single" w:sz="4" w:space="0" w:color="auto"/>
            </w:tcBorders>
          </w:tcPr>
          <w:p w:rsidR="004F5AAE" w:rsidRDefault="004F5AAE" w:rsidP="008D4228">
            <w:pPr>
              <w:pStyle w:val="TableLeft"/>
              <w:rPr>
                <w:rStyle w:val="SmallBold"/>
                <w:rFonts w:ascii="Arial Narrow" w:hAnsi="Arial Narrow"/>
                <w:szCs w:val="20"/>
              </w:rPr>
            </w:pPr>
          </w:p>
          <w:p w:rsidR="00D65EE4" w:rsidRPr="00CB29EA" w:rsidRDefault="00D65EE4" w:rsidP="008D4228">
            <w:pPr>
              <w:pStyle w:val="TableLeft"/>
              <w:rPr>
                <w:rStyle w:val="SmallBold"/>
                <w:rFonts w:ascii="Arial Narrow" w:hAnsi="Arial Narrow"/>
                <w:szCs w:val="20"/>
              </w:rPr>
            </w:pPr>
          </w:p>
        </w:tc>
        <w:tc>
          <w:tcPr>
            <w:tcW w:w="470" w:type="pct"/>
            <w:tcBorders>
              <w:top w:val="single" w:sz="4" w:space="0" w:color="auto"/>
              <w:bottom w:val="single" w:sz="4" w:space="0" w:color="auto"/>
            </w:tcBorders>
          </w:tcPr>
          <w:p w:rsidR="004F5AAE" w:rsidRPr="00CB29EA" w:rsidRDefault="004F5AAE" w:rsidP="008D4228">
            <w:pPr>
              <w:pStyle w:val="TableLeft"/>
              <w:rPr>
                <w:rStyle w:val="SmallBold"/>
                <w:rFonts w:ascii="Arial Narrow" w:hAnsi="Arial Narrow"/>
                <w:szCs w:val="20"/>
              </w:rPr>
            </w:pPr>
          </w:p>
        </w:tc>
        <w:tc>
          <w:tcPr>
            <w:tcW w:w="390" w:type="pct"/>
            <w:tcBorders>
              <w:top w:val="single" w:sz="4" w:space="0" w:color="auto"/>
              <w:bottom w:val="single" w:sz="4" w:space="0" w:color="auto"/>
            </w:tcBorders>
          </w:tcPr>
          <w:p w:rsidR="004F5AAE" w:rsidRPr="00CB29EA" w:rsidRDefault="004F5AAE" w:rsidP="008D4228">
            <w:pPr>
              <w:pStyle w:val="TableLeft"/>
              <w:rPr>
                <w:rStyle w:val="SmallBold"/>
                <w:rFonts w:ascii="Arial Narrow" w:hAnsi="Arial Narrow"/>
                <w:szCs w:val="20"/>
              </w:rPr>
            </w:pPr>
          </w:p>
        </w:tc>
        <w:tc>
          <w:tcPr>
            <w:tcW w:w="2327" w:type="pct"/>
            <w:tcBorders>
              <w:top w:val="single" w:sz="4" w:space="0" w:color="auto"/>
              <w:bottom w:val="single" w:sz="4" w:space="0" w:color="auto"/>
            </w:tcBorders>
          </w:tcPr>
          <w:p w:rsidR="004F5AAE" w:rsidRPr="00CB29EA" w:rsidRDefault="004F5AAE" w:rsidP="008D4228">
            <w:pPr>
              <w:pStyle w:val="TableLeft"/>
              <w:rPr>
                <w:rStyle w:val="SmallBold"/>
                <w:rFonts w:ascii="Arial Narrow" w:hAnsi="Arial Narrow"/>
                <w:szCs w:val="20"/>
              </w:rPr>
            </w:pPr>
          </w:p>
        </w:tc>
      </w:tr>
      <w:tr w:rsidR="00D65EE4" w:rsidRPr="00CB29EA" w:rsidTr="008D4228">
        <w:trPr>
          <w:cantSplit/>
          <w:trHeight w:val="199"/>
        </w:trPr>
        <w:tc>
          <w:tcPr>
            <w:tcW w:w="1268" w:type="pct"/>
            <w:tcBorders>
              <w:top w:val="single" w:sz="4" w:space="0" w:color="auto"/>
              <w:left w:val="single" w:sz="4" w:space="0" w:color="auto"/>
              <w:bottom w:val="single" w:sz="4" w:space="0" w:color="auto"/>
              <w:right w:val="single" w:sz="4" w:space="0" w:color="auto"/>
            </w:tcBorders>
          </w:tcPr>
          <w:p w:rsidR="00D65EE4" w:rsidRPr="00CB29EA" w:rsidRDefault="00D65EE4" w:rsidP="008D4228">
            <w:pPr>
              <w:pStyle w:val="TableLeft"/>
              <w:rPr>
                <w:rStyle w:val="SmallBold"/>
                <w:rFonts w:ascii="Arial Narrow" w:hAnsi="Arial Narrow"/>
                <w:szCs w:val="20"/>
              </w:rPr>
            </w:pPr>
            <w:r w:rsidRPr="00CB29EA">
              <w:rPr>
                <w:rStyle w:val="SmallBold"/>
                <w:rFonts w:ascii="Arial Narrow" w:hAnsi="Arial Narrow"/>
                <w:szCs w:val="20"/>
              </w:rPr>
              <w:t>Category / program</w:t>
            </w:r>
          </w:p>
        </w:tc>
        <w:tc>
          <w:tcPr>
            <w:tcW w:w="3732" w:type="pct"/>
            <w:gridSpan w:val="4"/>
            <w:tcBorders>
              <w:top w:val="single" w:sz="4" w:space="0" w:color="auto"/>
              <w:left w:val="single" w:sz="4" w:space="0" w:color="auto"/>
              <w:bottom w:val="single" w:sz="4" w:space="0" w:color="auto"/>
              <w:right w:val="single" w:sz="4" w:space="0" w:color="auto"/>
            </w:tcBorders>
          </w:tcPr>
          <w:p w:rsidR="00D65EE4" w:rsidRPr="00CB29EA" w:rsidRDefault="00D65EE4" w:rsidP="008D4228">
            <w:pPr>
              <w:pStyle w:val="TableLeft"/>
              <w:rPr>
                <w:rFonts w:ascii="Arial Narrow" w:hAnsi="Arial Narrow"/>
                <w:szCs w:val="20"/>
              </w:rPr>
            </w:pPr>
            <w:r w:rsidRPr="00CB29EA">
              <w:rPr>
                <w:rFonts w:ascii="Arial Narrow" w:hAnsi="Arial Narrow"/>
                <w:szCs w:val="20"/>
              </w:rPr>
              <w:t>General Schedule</w:t>
            </w:r>
          </w:p>
        </w:tc>
      </w:tr>
      <w:tr w:rsidR="00D65EE4" w:rsidRPr="00CB29EA" w:rsidTr="008D4228">
        <w:trPr>
          <w:cantSplit/>
          <w:trHeight w:val="487"/>
        </w:trPr>
        <w:tc>
          <w:tcPr>
            <w:tcW w:w="1268" w:type="pct"/>
            <w:tcBorders>
              <w:top w:val="single" w:sz="4" w:space="0" w:color="auto"/>
              <w:left w:val="single" w:sz="4" w:space="0" w:color="auto"/>
              <w:bottom w:val="single" w:sz="4" w:space="0" w:color="auto"/>
              <w:right w:val="single" w:sz="4" w:space="0" w:color="auto"/>
            </w:tcBorders>
          </w:tcPr>
          <w:p w:rsidR="00D65EE4" w:rsidRPr="00CB29EA" w:rsidRDefault="00D65EE4" w:rsidP="008D4228">
            <w:pPr>
              <w:pStyle w:val="TableLeft"/>
              <w:rPr>
                <w:rStyle w:val="SmallBold"/>
                <w:rFonts w:ascii="Arial Narrow" w:hAnsi="Arial Narrow"/>
                <w:szCs w:val="20"/>
              </w:rPr>
            </w:pPr>
            <w:r w:rsidRPr="00CB29EA">
              <w:rPr>
                <w:rStyle w:val="SmallBold"/>
                <w:rFonts w:ascii="Arial Narrow" w:hAnsi="Arial Narrow"/>
                <w:szCs w:val="20"/>
              </w:rPr>
              <w:t>Prescriber type</w:t>
            </w:r>
          </w:p>
        </w:tc>
        <w:tc>
          <w:tcPr>
            <w:tcW w:w="3732" w:type="pct"/>
            <w:gridSpan w:val="4"/>
            <w:tcBorders>
              <w:top w:val="single" w:sz="4" w:space="0" w:color="auto"/>
              <w:left w:val="single" w:sz="4" w:space="0" w:color="auto"/>
              <w:bottom w:val="single" w:sz="4" w:space="0" w:color="auto"/>
              <w:right w:val="single" w:sz="4" w:space="0" w:color="auto"/>
            </w:tcBorders>
            <w:shd w:val="clear" w:color="auto" w:fill="auto"/>
          </w:tcPr>
          <w:p w:rsidR="00D65EE4" w:rsidRPr="00CB29EA" w:rsidRDefault="00D65EE4" w:rsidP="008D4228">
            <w:pPr>
              <w:pStyle w:val="TableLeft"/>
              <w:rPr>
                <w:rFonts w:ascii="Arial Narrow" w:hAnsi="Arial Narrow"/>
                <w:szCs w:val="20"/>
              </w:rPr>
            </w:pP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Dental  </w:t>
            </w:r>
            <w:r w:rsidRPr="00CB29EA">
              <w:rPr>
                <w:rFonts w:ascii="Arial Narrow" w:hAnsi="Arial Narrow"/>
                <w:szCs w:val="20"/>
              </w:rPr>
              <w:fldChar w:fldCharType="begin">
                <w:ffData>
                  <w:name w:val=""/>
                  <w:enabled/>
                  <w:calcOnExit w:val="0"/>
                  <w:checkBox>
                    <w:sizeAuto/>
                    <w:default w:val="1"/>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Medical Practitioners  </w:t>
            </w: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Nurse Practitioners</w:t>
            </w:r>
          </w:p>
          <w:p w:rsidR="00D65EE4" w:rsidRPr="00CB29EA" w:rsidRDefault="00D65EE4" w:rsidP="008D4228">
            <w:pPr>
              <w:pStyle w:val="TableLeft"/>
              <w:rPr>
                <w:rFonts w:ascii="Arial Narrow" w:hAnsi="Arial Narrow"/>
                <w:szCs w:val="20"/>
              </w:rPr>
            </w:pP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Optometrists  </w:t>
            </w: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Midwives</w:t>
            </w:r>
          </w:p>
        </w:tc>
      </w:tr>
      <w:tr w:rsidR="00D65EE4" w:rsidRPr="00CB29EA" w:rsidTr="008D4228">
        <w:trPr>
          <w:cantSplit/>
          <w:trHeight w:val="190"/>
        </w:trPr>
        <w:tc>
          <w:tcPr>
            <w:tcW w:w="1268" w:type="pct"/>
            <w:tcBorders>
              <w:top w:val="single" w:sz="4" w:space="0" w:color="auto"/>
              <w:left w:val="single" w:sz="4" w:space="0" w:color="auto"/>
              <w:bottom w:val="single" w:sz="4" w:space="0" w:color="auto"/>
              <w:right w:val="single" w:sz="4" w:space="0" w:color="auto"/>
            </w:tcBorders>
          </w:tcPr>
          <w:p w:rsidR="00D65EE4" w:rsidRPr="00CB29EA" w:rsidRDefault="00D65EE4" w:rsidP="008D4228">
            <w:pPr>
              <w:pStyle w:val="TableLeft"/>
              <w:rPr>
                <w:rStyle w:val="SmallBold"/>
                <w:rFonts w:ascii="Arial Narrow" w:hAnsi="Arial Narrow"/>
                <w:szCs w:val="20"/>
              </w:rPr>
            </w:pPr>
            <w:r w:rsidRPr="00CB29EA">
              <w:rPr>
                <w:rStyle w:val="SmallBold"/>
                <w:rFonts w:ascii="Arial Narrow" w:hAnsi="Arial Narrow"/>
                <w:szCs w:val="20"/>
              </w:rPr>
              <w:t>Episodicity:</w:t>
            </w:r>
          </w:p>
        </w:tc>
        <w:tc>
          <w:tcPr>
            <w:tcW w:w="3732" w:type="pct"/>
            <w:gridSpan w:val="4"/>
            <w:tcBorders>
              <w:top w:val="single" w:sz="4" w:space="0" w:color="auto"/>
              <w:left w:val="single" w:sz="4" w:space="0" w:color="auto"/>
              <w:bottom w:val="single" w:sz="4" w:space="0" w:color="auto"/>
              <w:right w:val="single" w:sz="4" w:space="0" w:color="auto"/>
            </w:tcBorders>
          </w:tcPr>
          <w:p w:rsidR="00D65EE4" w:rsidRPr="00CB29EA" w:rsidRDefault="00D65EE4" w:rsidP="008D4228">
            <w:pPr>
              <w:pStyle w:val="TableLeft"/>
              <w:rPr>
                <w:rFonts w:ascii="Arial Narrow" w:hAnsi="Arial Narrow"/>
                <w:szCs w:val="20"/>
              </w:rPr>
            </w:pPr>
            <w:r>
              <w:rPr>
                <w:rFonts w:ascii="Arial Narrow" w:hAnsi="Arial Narrow"/>
                <w:szCs w:val="20"/>
              </w:rPr>
              <w:t>Chronic</w:t>
            </w:r>
          </w:p>
        </w:tc>
      </w:tr>
      <w:tr w:rsidR="00D65EE4" w:rsidRPr="00CB29EA" w:rsidTr="008D4228">
        <w:trPr>
          <w:cantSplit/>
          <w:trHeight w:val="163"/>
        </w:trPr>
        <w:tc>
          <w:tcPr>
            <w:tcW w:w="1268" w:type="pct"/>
            <w:tcBorders>
              <w:top w:val="single" w:sz="4" w:space="0" w:color="auto"/>
              <w:left w:val="single" w:sz="4" w:space="0" w:color="auto"/>
              <w:bottom w:val="single" w:sz="4" w:space="0" w:color="auto"/>
              <w:right w:val="single" w:sz="4" w:space="0" w:color="auto"/>
            </w:tcBorders>
          </w:tcPr>
          <w:p w:rsidR="00D65EE4" w:rsidRPr="00CB29EA" w:rsidRDefault="00D65EE4" w:rsidP="008D4228">
            <w:pPr>
              <w:pStyle w:val="TableLeft"/>
              <w:rPr>
                <w:rStyle w:val="SmallBold"/>
                <w:rFonts w:ascii="Arial Narrow" w:hAnsi="Arial Narrow"/>
                <w:szCs w:val="20"/>
              </w:rPr>
            </w:pPr>
            <w:r w:rsidRPr="00CB29EA">
              <w:rPr>
                <w:rStyle w:val="SmallBold"/>
                <w:rFonts w:ascii="Arial Narrow" w:hAnsi="Arial Narrow"/>
                <w:szCs w:val="20"/>
              </w:rPr>
              <w:t>Condition:</w:t>
            </w:r>
          </w:p>
        </w:tc>
        <w:tc>
          <w:tcPr>
            <w:tcW w:w="3732" w:type="pct"/>
            <w:gridSpan w:val="4"/>
            <w:tcBorders>
              <w:top w:val="single" w:sz="4" w:space="0" w:color="auto"/>
              <w:left w:val="single" w:sz="4" w:space="0" w:color="auto"/>
              <w:bottom w:val="single" w:sz="4" w:space="0" w:color="auto"/>
              <w:right w:val="single" w:sz="4" w:space="0" w:color="auto"/>
            </w:tcBorders>
          </w:tcPr>
          <w:p w:rsidR="00D65EE4" w:rsidRPr="00CB29EA" w:rsidRDefault="00D65EE4" w:rsidP="008D4228">
            <w:pPr>
              <w:pStyle w:val="TableLeft"/>
              <w:rPr>
                <w:rFonts w:ascii="Arial Narrow" w:hAnsi="Arial Narrow"/>
                <w:szCs w:val="20"/>
              </w:rPr>
            </w:pPr>
            <w:r>
              <w:rPr>
                <w:rFonts w:ascii="Arial Narrow" w:hAnsi="Arial Narrow"/>
                <w:szCs w:val="20"/>
              </w:rPr>
              <w:t>Myeloid leukaemia</w:t>
            </w:r>
          </w:p>
        </w:tc>
      </w:tr>
      <w:tr w:rsidR="00D65EE4" w:rsidRPr="00CB29EA" w:rsidTr="008D4228">
        <w:trPr>
          <w:cantSplit/>
          <w:trHeight w:val="208"/>
        </w:trPr>
        <w:tc>
          <w:tcPr>
            <w:tcW w:w="1268" w:type="pct"/>
            <w:tcBorders>
              <w:top w:val="single" w:sz="4" w:space="0" w:color="auto"/>
              <w:left w:val="single" w:sz="4" w:space="0" w:color="auto"/>
              <w:bottom w:val="single" w:sz="4" w:space="0" w:color="auto"/>
              <w:right w:val="single" w:sz="4" w:space="0" w:color="auto"/>
            </w:tcBorders>
          </w:tcPr>
          <w:p w:rsidR="00D65EE4" w:rsidRPr="00CB29EA" w:rsidRDefault="00D65EE4" w:rsidP="008D4228">
            <w:pPr>
              <w:pStyle w:val="TableLeft"/>
              <w:rPr>
                <w:rStyle w:val="SmallBold"/>
                <w:rFonts w:ascii="Arial Narrow" w:hAnsi="Arial Narrow"/>
                <w:szCs w:val="20"/>
              </w:rPr>
            </w:pPr>
            <w:r w:rsidRPr="00CB29EA">
              <w:rPr>
                <w:rStyle w:val="SmallBold"/>
                <w:rFonts w:ascii="Arial Narrow" w:hAnsi="Arial Narrow"/>
                <w:szCs w:val="20"/>
              </w:rPr>
              <w:t>PBS Indication:</w:t>
            </w:r>
          </w:p>
        </w:tc>
        <w:tc>
          <w:tcPr>
            <w:tcW w:w="3732" w:type="pct"/>
            <w:gridSpan w:val="4"/>
            <w:tcBorders>
              <w:top w:val="single" w:sz="4" w:space="0" w:color="auto"/>
              <w:left w:val="single" w:sz="4" w:space="0" w:color="auto"/>
              <w:bottom w:val="single" w:sz="4" w:space="0" w:color="auto"/>
              <w:right w:val="single" w:sz="4" w:space="0" w:color="auto"/>
            </w:tcBorders>
          </w:tcPr>
          <w:p w:rsidR="00D65EE4" w:rsidRPr="00CB29EA" w:rsidRDefault="00D65EE4" w:rsidP="008D4228">
            <w:pPr>
              <w:pStyle w:val="TableLeft"/>
              <w:rPr>
                <w:rFonts w:ascii="Arial Narrow" w:hAnsi="Arial Narrow"/>
                <w:szCs w:val="20"/>
              </w:rPr>
            </w:pPr>
            <w:r>
              <w:rPr>
                <w:rFonts w:ascii="Arial Narrow" w:hAnsi="Arial Narrow"/>
                <w:szCs w:val="20"/>
              </w:rPr>
              <w:t>Chronic myeloid leukaemia (CML)</w:t>
            </w:r>
          </w:p>
        </w:tc>
      </w:tr>
      <w:tr w:rsidR="00D65EE4" w:rsidRPr="00CB29EA" w:rsidTr="008D4228">
        <w:trPr>
          <w:cantSplit/>
          <w:trHeight w:val="253"/>
        </w:trPr>
        <w:tc>
          <w:tcPr>
            <w:tcW w:w="1268" w:type="pct"/>
            <w:tcBorders>
              <w:top w:val="single" w:sz="4" w:space="0" w:color="auto"/>
              <w:left w:val="single" w:sz="4" w:space="0" w:color="auto"/>
              <w:bottom w:val="single" w:sz="4" w:space="0" w:color="auto"/>
              <w:right w:val="single" w:sz="4" w:space="0" w:color="auto"/>
            </w:tcBorders>
          </w:tcPr>
          <w:p w:rsidR="00D65EE4" w:rsidRPr="00CB29EA" w:rsidRDefault="00D65EE4" w:rsidP="008D4228">
            <w:pPr>
              <w:pStyle w:val="TableLeft"/>
              <w:rPr>
                <w:rStyle w:val="SmallBold"/>
                <w:rFonts w:ascii="Arial Narrow" w:hAnsi="Arial Narrow"/>
                <w:szCs w:val="20"/>
              </w:rPr>
            </w:pPr>
            <w:r w:rsidRPr="00CB29EA">
              <w:rPr>
                <w:rStyle w:val="SmallBold"/>
                <w:rFonts w:ascii="Arial Narrow" w:hAnsi="Arial Narrow"/>
                <w:szCs w:val="20"/>
              </w:rPr>
              <w:t>Treatment phase:</w:t>
            </w:r>
          </w:p>
        </w:tc>
        <w:tc>
          <w:tcPr>
            <w:tcW w:w="3732" w:type="pct"/>
            <w:gridSpan w:val="4"/>
            <w:tcBorders>
              <w:top w:val="single" w:sz="4" w:space="0" w:color="auto"/>
              <w:left w:val="single" w:sz="4" w:space="0" w:color="auto"/>
              <w:bottom w:val="single" w:sz="4" w:space="0" w:color="auto"/>
              <w:right w:val="single" w:sz="4" w:space="0" w:color="auto"/>
            </w:tcBorders>
          </w:tcPr>
          <w:p w:rsidR="00D65EE4" w:rsidRPr="00CB29EA" w:rsidRDefault="00D65EE4" w:rsidP="008D4228">
            <w:pPr>
              <w:pStyle w:val="TableLeft"/>
              <w:rPr>
                <w:rFonts w:ascii="Arial Narrow" w:hAnsi="Arial Narrow"/>
                <w:szCs w:val="20"/>
              </w:rPr>
            </w:pPr>
            <w:r w:rsidRPr="00CB29EA">
              <w:rPr>
                <w:rFonts w:ascii="Arial Narrow" w:hAnsi="Arial Narrow"/>
                <w:szCs w:val="20"/>
              </w:rPr>
              <w:t>Initial treatment</w:t>
            </w:r>
          </w:p>
        </w:tc>
      </w:tr>
      <w:tr w:rsidR="00D65EE4" w:rsidRPr="00CB29EA" w:rsidTr="008D4228">
        <w:trPr>
          <w:cantSplit/>
          <w:trHeight w:val="1378"/>
        </w:trPr>
        <w:tc>
          <w:tcPr>
            <w:tcW w:w="1268" w:type="pct"/>
            <w:tcBorders>
              <w:top w:val="single" w:sz="4" w:space="0" w:color="auto"/>
              <w:left w:val="single" w:sz="4" w:space="0" w:color="auto"/>
              <w:bottom w:val="single" w:sz="4" w:space="0" w:color="auto"/>
              <w:right w:val="single" w:sz="4" w:space="0" w:color="auto"/>
            </w:tcBorders>
          </w:tcPr>
          <w:p w:rsidR="00D65EE4" w:rsidRPr="00CB29EA" w:rsidRDefault="00D65EE4" w:rsidP="008D4228">
            <w:pPr>
              <w:pStyle w:val="TableLeft"/>
              <w:rPr>
                <w:rStyle w:val="SmallBold"/>
                <w:rFonts w:ascii="Arial Narrow" w:hAnsi="Arial Narrow"/>
                <w:szCs w:val="20"/>
              </w:rPr>
            </w:pPr>
            <w:r w:rsidRPr="00CB29EA">
              <w:rPr>
                <w:rStyle w:val="SmallBold"/>
                <w:rFonts w:ascii="Arial Narrow" w:hAnsi="Arial Narrow"/>
                <w:szCs w:val="20"/>
              </w:rPr>
              <w:t>Restriction</w:t>
            </w:r>
            <w:r>
              <w:rPr>
                <w:rStyle w:val="SmallBold"/>
                <w:rFonts w:ascii="Arial Narrow" w:hAnsi="Arial Narrow"/>
                <w:szCs w:val="20"/>
              </w:rPr>
              <w:t xml:space="preserve"> Level / Method</w:t>
            </w:r>
            <w:r w:rsidRPr="00CB29EA">
              <w:rPr>
                <w:rStyle w:val="SmallBold"/>
                <w:rFonts w:ascii="Arial Narrow" w:hAnsi="Arial Narrow"/>
                <w:szCs w:val="20"/>
              </w:rPr>
              <w:t>:</w:t>
            </w:r>
          </w:p>
          <w:p w:rsidR="00D65EE4" w:rsidRPr="00CB29EA" w:rsidRDefault="00D65EE4" w:rsidP="008D4228">
            <w:pPr>
              <w:pStyle w:val="TableLeft"/>
              <w:rPr>
                <w:rStyle w:val="SmallBold"/>
                <w:rFonts w:ascii="Arial Narrow" w:hAnsi="Arial Narrow"/>
                <w:szCs w:val="20"/>
              </w:rPr>
            </w:pPr>
          </w:p>
        </w:tc>
        <w:tc>
          <w:tcPr>
            <w:tcW w:w="373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D65EE4" w:rsidRPr="00CB29EA" w:rsidRDefault="00D65EE4" w:rsidP="008D4228">
            <w:pPr>
              <w:pStyle w:val="TableLeft"/>
              <w:rPr>
                <w:rFonts w:ascii="Arial Narrow" w:hAnsi="Arial Narrow"/>
                <w:szCs w:val="20"/>
              </w:rPr>
            </w:pP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Restricted benefit</w:t>
            </w:r>
          </w:p>
          <w:p w:rsidR="00D65EE4" w:rsidRPr="00CB29EA" w:rsidRDefault="00D65EE4" w:rsidP="008D4228">
            <w:pPr>
              <w:pStyle w:val="TableLeft"/>
              <w:rPr>
                <w:rFonts w:ascii="Arial Narrow" w:hAnsi="Arial Narrow"/>
                <w:szCs w:val="20"/>
              </w:rPr>
            </w:pPr>
            <w:r>
              <w:rPr>
                <w:rFonts w:ascii="Arial Narrow" w:hAnsi="Arial Narrow"/>
                <w:szCs w:val="20"/>
              </w:rPr>
              <w:fldChar w:fldCharType="begin">
                <w:ffData>
                  <w:name w:val=""/>
                  <w:enabled/>
                  <w:calcOnExit w:val="0"/>
                  <w:checkBox>
                    <w:sizeAuto/>
                    <w:default w:val="1"/>
                  </w:checkBox>
                </w:ffData>
              </w:fldChar>
            </w:r>
            <w:r>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Pr>
                <w:rFonts w:ascii="Arial Narrow" w:hAnsi="Arial Narrow"/>
                <w:szCs w:val="20"/>
              </w:rPr>
              <w:fldChar w:fldCharType="end"/>
            </w:r>
            <w:r w:rsidRPr="00CB29EA">
              <w:rPr>
                <w:rFonts w:ascii="Arial Narrow" w:hAnsi="Arial Narrow"/>
                <w:szCs w:val="20"/>
              </w:rPr>
              <w:t>Authority Required - In Writing</w:t>
            </w:r>
          </w:p>
          <w:p w:rsidR="00D65EE4" w:rsidRPr="00CB29EA" w:rsidRDefault="00D65EE4" w:rsidP="008D4228">
            <w:pPr>
              <w:pStyle w:val="TableLeft"/>
              <w:rPr>
                <w:rFonts w:ascii="Arial Narrow" w:hAnsi="Arial Narrow"/>
                <w:szCs w:val="20"/>
              </w:rPr>
            </w:pPr>
            <w:r w:rsidRPr="00CB29EA">
              <w:rPr>
                <w:rFonts w:ascii="Arial Narrow" w:hAnsi="Arial Narrow"/>
                <w:szCs w:val="20"/>
              </w:rPr>
              <w:fldChar w:fldCharType="begin">
                <w:ffData>
                  <w:name w:val="Check3"/>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Authority Required - Telephone</w:t>
            </w:r>
          </w:p>
          <w:p w:rsidR="00D65EE4" w:rsidRPr="00CB29EA" w:rsidRDefault="00D65EE4" w:rsidP="008D4228">
            <w:pPr>
              <w:pStyle w:val="TableLeft"/>
              <w:rPr>
                <w:rFonts w:ascii="Arial Narrow" w:hAnsi="Arial Narrow"/>
                <w:szCs w:val="20"/>
              </w:rPr>
            </w:pPr>
            <w:r w:rsidRPr="00CB29EA">
              <w:rPr>
                <w:rFonts w:ascii="Arial Narrow" w:hAnsi="Arial Narrow"/>
                <w:szCs w:val="20"/>
              </w:rPr>
              <w:fldChar w:fldCharType="begin">
                <w:ffData>
                  <w:name w:val=""/>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Authority Required - Emergency</w:t>
            </w:r>
          </w:p>
          <w:p w:rsidR="00D65EE4" w:rsidRPr="00CB29EA" w:rsidRDefault="00D65EE4" w:rsidP="008D4228">
            <w:pPr>
              <w:pStyle w:val="TableLeft"/>
              <w:rPr>
                <w:rFonts w:ascii="Arial Narrow" w:hAnsi="Arial Narrow"/>
                <w:szCs w:val="20"/>
              </w:rPr>
            </w:pPr>
            <w:r w:rsidRPr="00CB29EA">
              <w:rPr>
                <w:rFonts w:ascii="Arial Narrow" w:hAnsi="Arial Narrow"/>
                <w:szCs w:val="20"/>
              </w:rPr>
              <w:fldChar w:fldCharType="begin">
                <w:ffData>
                  <w:name w:val=""/>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Authority Required - Electronic</w:t>
            </w:r>
          </w:p>
          <w:p w:rsidR="00D65EE4" w:rsidRPr="00CB29EA" w:rsidRDefault="00D65EE4" w:rsidP="008D4228">
            <w:pPr>
              <w:pStyle w:val="TableLeft"/>
              <w:rPr>
                <w:rFonts w:ascii="Arial Narrow" w:hAnsi="Arial Narrow"/>
                <w:szCs w:val="20"/>
              </w:rPr>
            </w:pPr>
            <w:r>
              <w:rPr>
                <w:rFonts w:ascii="Arial Narrow" w:hAnsi="Arial Narrow"/>
                <w:szCs w:val="20"/>
              </w:rPr>
              <w:fldChar w:fldCharType="begin">
                <w:ffData>
                  <w:name w:val=""/>
                  <w:enabled/>
                  <w:calcOnExit w:val="0"/>
                  <w:checkBox>
                    <w:sizeAuto/>
                    <w:default w:val="0"/>
                  </w:checkBox>
                </w:ffData>
              </w:fldChar>
            </w:r>
            <w:r>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Pr>
                <w:rFonts w:ascii="Arial Narrow" w:hAnsi="Arial Narrow"/>
                <w:szCs w:val="20"/>
              </w:rPr>
              <w:fldChar w:fldCharType="end"/>
            </w:r>
            <w:r w:rsidRPr="00CB29EA">
              <w:rPr>
                <w:rFonts w:ascii="Arial Narrow" w:hAnsi="Arial Narrow"/>
                <w:szCs w:val="20"/>
              </w:rPr>
              <w:t>Streamlined</w:t>
            </w:r>
          </w:p>
        </w:tc>
      </w:tr>
      <w:tr w:rsidR="00D65EE4" w:rsidRPr="00CB29EA" w:rsidTr="008D4228">
        <w:trPr>
          <w:cantSplit/>
          <w:trHeight w:val="360"/>
        </w:trPr>
        <w:tc>
          <w:tcPr>
            <w:tcW w:w="1268" w:type="pct"/>
            <w:tcBorders>
              <w:top w:val="single" w:sz="4" w:space="0" w:color="auto"/>
              <w:left w:val="single" w:sz="4" w:space="0" w:color="auto"/>
              <w:bottom w:val="single" w:sz="4" w:space="0" w:color="auto"/>
              <w:right w:val="single" w:sz="4" w:space="0" w:color="auto"/>
            </w:tcBorders>
          </w:tcPr>
          <w:p w:rsidR="00D65EE4" w:rsidRPr="00CB29EA" w:rsidRDefault="00D65EE4" w:rsidP="008D4228">
            <w:pPr>
              <w:pStyle w:val="TableLeft"/>
              <w:keepNext/>
              <w:rPr>
                <w:rStyle w:val="SmallBold"/>
                <w:rFonts w:ascii="Arial Narrow" w:hAnsi="Arial Narrow"/>
                <w:szCs w:val="20"/>
              </w:rPr>
            </w:pPr>
            <w:r w:rsidRPr="00CB29EA">
              <w:rPr>
                <w:rStyle w:val="SmallBold"/>
                <w:rFonts w:ascii="Arial Narrow" w:hAnsi="Arial Narrow"/>
                <w:szCs w:val="20"/>
              </w:rPr>
              <w:t>Clinical criteria:</w:t>
            </w:r>
          </w:p>
          <w:p w:rsidR="00D65EE4" w:rsidRPr="00CB29EA" w:rsidRDefault="00D65EE4" w:rsidP="008D4228">
            <w:pPr>
              <w:pStyle w:val="TableLeft"/>
              <w:keepNext/>
              <w:rPr>
                <w:rStyle w:val="SmallBold"/>
                <w:rFonts w:ascii="Arial Narrow" w:hAnsi="Arial Narrow"/>
                <w:szCs w:val="20"/>
              </w:rPr>
            </w:pPr>
          </w:p>
        </w:tc>
        <w:tc>
          <w:tcPr>
            <w:tcW w:w="3732" w:type="pct"/>
            <w:gridSpan w:val="4"/>
            <w:tcBorders>
              <w:top w:val="single" w:sz="4" w:space="0" w:color="auto"/>
              <w:left w:val="single" w:sz="4" w:space="0" w:color="auto"/>
              <w:bottom w:val="single" w:sz="4" w:space="0" w:color="auto"/>
              <w:right w:val="single" w:sz="4" w:space="0" w:color="auto"/>
            </w:tcBorders>
          </w:tcPr>
          <w:p w:rsidR="00A767D7" w:rsidRPr="00A767D7" w:rsidRDefault="00A767D7" w:rsidP="00A767D7">
            <w:pPr>
              <w:pStyle w:val="Default"/>
              <w:rPr>
                <w:rFonts w:ascii="Arial Narrow" w:hAnsi="Arial Narrow"/>
                <w:sz w:val="20"/>
                <w:szCs w:val="20"/>
              </w:rPr>
            </w:pPr>
            <w:r w:rsidRPr="00A767D7">
              <w:rPr>
                <w:rFonts w:ascii="Arial Narrow" w:hAnsi="Arial Narrow"/>
                <w:sz w:val="20"/>
                <w:szCs w:val="20"/>
              </w:rPr>
              <w:t xml:space="preserve">The treatment must be the sole PBS-subsidised therapy for this condition, </w:t>
            </w:r>
          </w:p>
          <w:p w:rsidR="00A767D7" w:rsidRPr="00A767D7" w:rsidRDefault="00A767D7" w:rsidP="00A767D7">
            <w:pPr>
              <w:pStyle w:val="Default"/>
              <w:rPr>
                <w:rFonts w:ascii="Arial Narrow" w:hAnsi="Arial Narrow"/>
                <w:sz w:val="20"/>
                <w:szCs w:val="20"/>
              </w:rPr>
            </w:pPr>
            <w:r w:rsidRPr="00A767D7">
              <w:rPr>
                <w:rFonts w:ascii="Arial Narrow" w:hAnsi="Arial Narrow"/>
                <w:sz w:val="20"/>
                <w:szCs w:val="20"/>
              </w:rPr>
              <w:t xml:space="preserve">AND </w:t>
            </w:r>
          </w:p>
          <w:p w:rsidR="00A767D7" w:rsidRPr="00A767D7" w:rsidRDefault="00A767D7" w:rsidP="00A767D7">
            <w:pPr>
              <w:pStyle w:val="Default"/>
              <w:rPr>
                <w:rFonts w:ascii="Arial Narrow" w:hAnsi="Arial Narrow"/>
                <w:sz w:val="20"/>
                <w:szCs w:val="20"/>
              </w:rPr>
            </w:pPr>
            <w:r w:rsidRPr="00A767D7">
              <w:rPr>
                <w:rFonts w:ascii="Arial Narrow" w:hAnsi="Arial Narrow"/>
                <w:sz w:val="20"/>
                <w:szCs w:val="20"/>
              </w:rPr>
              <w:t xml:space="preserve">Patient must have failed an adequate trial of dasatinib; OR </w:t>
            </w:r>
          </w:p>
          <w:p w:rsidR="00A767D7" w:rsidRPr="00A767D7" w:rsidRDefault="00A767D7" w:rsidP="00A767D7">
            <w:pPr>
              <w:pStyle w:val="Default"/>
              <w:rPr>
                <w:rFonts w:ascii="Arial Narrow" w:hAnsi="Arial Narrow"/>
                <w:sz w:val="20"/>
                <w:szCs w:val="20"/>
              </w:rPr>
            </w:pPr>
            <w:r w:rsidRPr="00A767D7">
              <w:rPr>
                <w:rFonts w:ascii="Arial Narrow" w:hAnsi="Arial Narrow"/>
                <w:sz w:val="20"/>
                <w:szCs w:val="20"/>
              </w:rPr>
              <w:t xml:space="preserve">Patient must have developed intolerance to dasatinib of a severity necessitating permanent treatment withdrawal, </w:t>
            </w:r>
          </w:p>
          <w:p w:rsidR="00A767D7" w:rsidRPr="00A767D7" w:rsidRDefault="00A767D7" w:rsidP="00A767D7">
            <w:pPr>
              <w:pStyle w:val="Default"/>
              <w:rPr>
                <w:rFonts w:ascii="Arial Narrow" w:hAnsi="Arial Narrow"/>
                <w:sz w:val="20"/>
                <w:szCs w:val="20"/>
              </w:rPr>
            </w:pPr>
            <w:r w:rsidRPr="00A767D7">
              <w:rPr>
                <w:rFonts w:ascii="Arial Narrow" w:hAnsi="Arial Narrow"/>
                <w:sz w:val="20"/>
                <w:szCs w:val="20"/>
              </w:rPr>
              <w:t xml:space="preserve">AND </w:t>
            </w:r>
          </w:p>
          <w:p w:rsidR="00A767D7" w:rsidRPr="00A767D7" w:rsidRDefault="00A767D7" w:rsidP="00A767D7">
            <w:pPr>
              <w:pStyle w:val="Default"/>
              <w:rPr>
                <w:rFonts w:ascii="Arial Narrow" w:hAnsi="Arial Narrow"/>
                <w:sz w:val="20"/>
                <w:szCs w:val="20"/>
              </w:rPr>
            </w:pPr>
            <w:r w:rsidRPr="00A767D7">
              <w:rPr>
                <w:rFonts w:ascii="Arial Narrow" w:hAnsi="Arial Narrow"/>
                <w:sz w:val="20"/>
                <w:szCs w:val="20"/>
              </w:rPr>
              <w:t xml:space="preserve">Patient must have failed an adequate trial of nilotinib; OR </w:t>
            </w:r>
          </w:p>
          <w:p w:rsidR="00A767D7" w:rsidRPr="00A767D7" w:rsidRDefault="00A767D7" w:rsidP="00A767D7">
            <w:pPr>
              <w:pStyle w:val="Default"/>
              <w:rPr>
                <w:rFonts w:ascii="Arial Narrow" w:hAnsi="Arial Narrow"/>
                <w:sz w:val="20"/>
                <w:szCs w:val="20"/>
              </w:rPr>
            </w:pPr>
            <w:r w:rsidRPr="00A767D7">
              <w:rPr>
                <w:rFonts w:ascii="Arial Narrow" w:hAnsi="Arial Narrow"/>
                <w:sz w:val="20"/>
                <w:szCs w:val="20"/>
              </w:rPr>
              <w:t xml:space="preserve">Patient must have developed intolerance to nilotinib of a severity necessitating permanent treatment withdrawal; OR </w:t>
            </w:r>
          </w:p>
          <w:p w:rsidR="00D65EE4" w:rsidRPr="00A767D7" w:rsidRDefault="00A767D7" w:rsidP="00A767D7">
            <w:pPr>
              <w:pStyle w:val="TableLeft"/>
              <w:keepNext/>
              <w:rPr>
                <w:rFonts w:ascii="Arial Narrow" w:hAnsi="Arial Narrow"/>
                <w:szCs w:val="20"/>
              </w:rPr>
            </w:pPr>
            <w:r w:rsidRPr="00A767D7">
              <w:rPr>
                <w:rFonts w:ascii="Arial Narrow" w:hAnsi="Arial Narrow"/>
                <w:szCs w:val="20"/>
              </w:rPr>
              <w:t xml:space="preserve">Patient must not be eligible for PBS-subsidised treatment with nilotinib because the patient has a blast crisis. </w:t>
            </w:r>
          </w:p>
        </w:tc>
      </w:tr>
      <w:tr w:rsidR="00D65EE4" w:rsidRPr="003F3252" w:rsidTr="008D4228">
        <w:trPr>
          <w:trHeight w:val="235"/>
        </w:trPr>
        <w:tc>
          <w:tcPr>
            <w:tcW w:w="1268" w:type="pct"/>
            <w:tcBorders>
              <w:top w:val="single" w:sz="4" w:space="0" w:color="auto"/>
              <w:left w:val="single" w:sz="4" w:space="0" w:color="auto"/>
              <w:bottom w:val="single" w:sz="4" w:space="0" w:color="auto"/>
              <w:right w:val="single" w:sz="4" w:space="0" w:color="auto"/>
            </w:tcBorders>
          </w:tcPr>
          <w:p w:rsidR="00D65EE4" w:rsidRPr="00CB29EA" w:rsidRDefault="00D65EE4" w:rsidP="008D4228">
            <w:pPr>
              <w:pStyle w:val="TableLeft"/>
              <w:widowControl w:val="0"/>
              <w:rPr>
                <w:rStyle w:val="SmallBold"/>
                <w:rFonts w:ascii="Arial Narrow" w:hAnsi="Arial Narrow"/>
                <w:szCs w:val="20"/>
              </w:rPr>
            </w:pPr>
            <w:r w:rsidRPr="00CB29EA">
              <w:rPr>
                <w:rStyle w:val="SmallBold"/>
                <w:rFonts w:ascii="Arial Narrow" w:hAnsi="Arial Narrow"/>
                <w:szCs w:val="20"/>
              </w:rPr>
              <w:t>Prescriber Instructions</w:t>
            </w:r>
          </w:p>
        </w:tc>
        <w:tc>
          <w:tcPr>
            <w:tcW w:w="3732" w:type="pct"/>
            <w:gridSpan w:val="4"/>
            <w:tcBorders>
              <w:top w:val="single" w:sz="4" w:space="0" w:color="auto"/>
              <w:left w:val="single" w:sz="4" w:space="0" w:color="auto"/>
              <w:bottom w:val="single" w:sz="4" w:space="0" w:color="auto"/>
              <w:right w:val="single" w:sz="4" w:space="0" w:color="auto"/>
            </w:tcBorders>
          </w:tcPr>
          <w:p w:rsidR="00A767D7" w:rsidRPr="00A767D7" w:rsidRDefault="00A767D7" w:rsidP="00A767D7">
            <w:pPr>
              <w:pStyle w:val="Default"/>
              <w:rPr>
                <w:rFonts w:ascii="Arial Narrow" w:hAnsi="Arial Narrow"/>
                <w:sz w:val="20"/>
                <w:szCs w:val="20"/>
              </w:rPr>
            </w:pPr>
            <w:r w:rsidRPr="00A767D7">
              <w:rPr>
                <w:rFonts w:ascii="Arial Narrow" w:hAnsi="Arial Narrow"/>
                <w:sz w:val="20"/>
                <w:szCs w:val="20"/>
              </w:rPr>
              <w:t xml:space="preserve">Failure of an adequate trial of dasatinib or nilotinib is defined as: </w:t>
            </w:r>
          </w:p>
          <w:p w:rsidR="00A767D7" w:rsidRPr="00A767D7" w:rsidRDefault="00A767D7" w:rsidP="00A767D7">
            <w:pPr>
              <w:pStyle w:val="Default"/>
              <w:rPr>
                <w:rFonts w:ascii="Arial Narrow" w:hAnsi="Arial Narrow"/>
                <w:sz w:val="20"/>
                <w:szCs w:val="20"/>
              </w:rPr>
            </w:pPr>
            <w:r w:rsidRPr="00A767D7">
              <w:rPr>
                <w:rFonts w:ascii="Arial Narrow" w:hAnsi="Arial Narrow"/>
                <w:sz w:val="20"/>
                <w:szCs w:val="20"/>
              </w:rPr>
              <w:t>1. Lack of response to dasatinib or nilotinib therapy, defined as either: (i) failure to achieve a haematological response after a minimum of 3 months</w:t>
            </w:r>
            <w:r>
              <w:rPr>
                <w:sz w:val="20"/>
                <w:szCs w:val="20"/>
              </w:rPr>
              <w:t xml:space="preserve"> </w:t>
            </w:r>
            <w:r w:rsidRPr="00A767D7">
              <w:rPr>
                <w:rFonts w:ascii="Arial Narrow" w:hAnsi="Arial Narrow"/>
                <w:sz w:val="20"/>
                <w:szCs w:val="20"/>
              </w:rPr>
              <w:t xml:space="preserve">therapy with dasatinib or nilotinib; or (ii) failure to achieve any cytogenetic response after a minimum of 6 months therapy with dasatinib or nilotinib as demonstrated on bone marrow biopsy by presence of greater than 95% Philadelphia chromosome positive cells; or (iii) failure to achieve a major cytogenetic response or a peripheral blood BCR-ABL level of less than 1% after a minimum of 12 months therapy with dasatinib or nilotinib; OR </w:t>
            </w:r>
          </w:p>
          <w:p w:rsidR="00A767D7" w:rsidRPr="00A767D7" w:rsidRDefault="00A767D7" w:rsidP="00A767D7">
            <w:pPr>
              <w:pStyle w:val="Default"/>
              <w:rPr>
                <w:rFonts w:ascii="Arial Narrow" w:hAnsi="Arial Narrow"/>
                <w:sz w:val="20"/>
                <w:szCs w:val="20"/>
              </w:rPr>
            </w:pPr>
            <w:r w:rsidRPr="00A767D7">
              <w:rPr>
                <w:rFonts w:ascii="Arial Narrow" w:hAnsi="Arial Narrow"/>
                <w:sz w:val="20"/>
                <w:szCs w:val="20"/>
              </w:rPr>
              <w:t xml:space="preserve">2. Loss of a previously documented major cytogenetic response (demonstrated by the presence of greater than 35% Ph positive cells on bone marrow biopsy), during ongoing dasatinib or nilotinib therapy; OR </w:t>
            </w:r>
          </w:p>
          <w:p w:rsidR="00A767D7" w:rsidRPr="00A767D7" w:rsidRDefault="00A767D7" w:rsidP="00A767D7">
            <w:pPr>
              <w:pStyle w:val="Default"/>
              <w:rPr>
                <w:rFonts w:ascii="Arial Narrow" w:hAnsi="Arial Narrow"/>
                <w:sz w:val="20"/>
                <w:szCs w:val="20"/>
              </w:rPr>
            </w:pPr>
            <w:r w:rsidRPr="00A767D7">
              <w:rPr>
                <w:rFonts w:ascii="Arial Narrow" w:hAnsi="Arial Narrow"/>
                <w:sz w:val="20"/>
                <w:szCs w:val="20"/>
              </w:rPr>
              <w:t xml:space="preserve">3. Loss of a previously demonstrated molecular response (demonstrated by peripheral blood BCR-ABL levels increasing consecutively in value by at least 5 fold to a level of greater than 0.1% confirmed on a subsequent test), during ongoing dasatinib or nilotinib therapy; OR </w:t>
            </w:r>
          </w:p>
          <w:p w:rsidR="00A767D7" w:rsidRPr="00A767D7" w:rsidRDefault="00A767D7" w:rsidP="00A767D7">
            <w:pPr>
              <w:pStyle w:val="Default"/>
              <w:rPr>
                <w:rFonts w:ascii="Arial Narrow" w:hAnsi="Arial Narrow"/>
                <w:sz w:val="20"/>
                <w:szCs w:val="20"/>
              </w:rPr>
            </w:pPr>
            <w:r w:rsidRPr="00A767D7">
              <w:rPr>
                <w:rFonts w:ascii="Arial Narrow" w:hAnsi="Arial Narrow"/>
                <w:sz w:val="20"/>
                <w:szCs w:val="20"/>
              </w:rPr>
              <w:t xml:space="preserve">4. Development of accelerated phase or blast crisis in a patient previously prescribed dasatinib or nilotinib for any phase of chronic myeloid leukaemia; OR </w:t>
            </w:r>
          </w:p>
          <w:p w:rsidR="00D65EE4" w:rsidRPr="00A767D7" w:rsidRDefault="00A767D7" w:rsidP="00A767D7">
            <w:pPr>
              <w:pStyle w:val="TableLeft"/>
              <w:widowControl w:val="0"/>
              <w:rPr>
                <w:rFonts w:ascii="Arial Narrow" w:hAnsi="Arial Narrow"/>
                <w:szCs w:val="20"/>
              </w:rPr>
            </w:pPr>
            <w:r w:rsidRPr="00A767D7">
              <w:rPr>
                <w:rFonts w:ascii="Arial Narrow" w:hAnsi="Arial Narrow"/>
                <w:szCs w:val="20"/>
              </w:rPr>
              <w:t xml:space="preserve">5. Disease progression (defined as a greater than or equal to 50% increase in peripheral white blood cell count, blast count, basophils or platelets) during dasatinib or nilotinib therapy in patients with accelerated phase or blast crisis chronic myeloid leukaemia. </w:t>
            </w:r>
          </w:p>
          <w:p w:rsidR="00D65EE4" w:rsidRDefault="00D65EE4" w:rsidP="008D4228">
            <w:pPr>
              <w:pStyle w:val="TableLeft"/>
              <w:widowControl w:val="0"/>
              <w:rPr>
                <w:rFonts w:ascii="Arial Narrow" w:hAnsi="Arial Narrow"/>
                <w:szCs w:val="20"/>
              </w:rPr>
            </w:pPr>
          </w:p>
          <w:p w:rsidR="00A767D7" w:rsidRPr="00A767D7" w:rsidRDefault="00A767D7" w:rsidP="00A767D7">
            <w:pPr>
              <w:pStyle w:val="Default"/>
              <w:rPr>
                <w:rFonts w:ascii="Arial Narrow" w:hAnsi="Arial Narrow"/>
                <w:sz w:val="20"/>
                <w:szCs w:val="20"/>
              </w:rPr>
            </w:pPr>
            <w:r w:rsidRPr="00A767D7">
              <w:rPr>
                <w:rFonts w:ascii="Arial Narrow" w:hAnsi="Arial Narrow"/>
                <w:sz w:val="20"/>
                <w:szCs w:val="20"/>
              </w:rPr>
              <w:t xml:space="preserve">Accelerated phase is defined by the presence of 1 or more of the following: </w:t>
            </w:r>
          </w:p>
          <w:p w:rsidR="00A767D7" w:rsidRPr="00A767D7" w:rsidRDefault="00A767D7" w:rsidP="00A767D7">
            <w:pPr>
              <w:pStyle w:val="Default"/>
              <w:rPr>
                <w:rFonts w:ascii="Arial Narrow" w:hAnsi="Arial Narrow"/>
                <w:sz w:val="20"/>
                <w:szCs w:val="20"/>
              </w:rPr>
            </w:pPr>
            <w:r w:rsidRPr="00A767D7">
              <w:rPr>
                <w:rFonts w:ascii="Arial Narrow" w:hAnsi="Arial Narrow"/>
                <w:sz w:val="20"/>
                <w:szCs w:val="20"/>
              </w:rPr>
              <w:t xml:space="preserve">1. Percentage of blasts in the peripheral blood or bone marrow greater than or equal to 15% but less than 30%; or </w:t>
            </w:r>
          </w:p>
          <w:p w:rsidR="00A767D7" w:rsidRPr="00A767D7" w:rsidRDefault="00A767D7" w:rsidP="00A767D7">
            <w:pPr>
              <w:pStyle w:val="Default"/>
              <w:rPr>
                <w:rFonts w:ascii="Arial Narrow" w:hAnsi="Arial Narrow"/>
                <w:sz w:val="20"/>
                <w:szCs w:val="20"/>
              </w:rPr>
            </w:pPr>
            <w:r w:rsidRPr="00A767D7">
              <w:rPr>
                <w:rFonts w:ascii="Arial Narrow" w:hAnsi="Arial Narrow"/>
                <w:sz w:val="20"/>
                <w:szCs w:val="20"/>
              </w:rPr>
              <w:t xml:space="preserve">2. Percentage of blasts plus promyelocytes in the peripheral blood or bone marrow greater than or equal to 30%, provided that blast count is less than 30%; or </w:t>
            </w:r>
          </w:p>
          <w:p w:rsidR="00A767D7" w:rsidRPr="00A767D7" w:rsidRDefault="00A767D7" w:rsidP="00A767D7">
            <w:pPr>
              <w:pStyle w:val="Default"/>
              <w:rPr>
                <w:rFonts w:ascii="Arial Narrow" w:hAnsi="Arial Narrow"/>
                <w:sz w:val="20"/>
                <w:szCs w:val="20"/>
              </w:rPr>
            </w:pPr>
            <w:r w:rsidRPr="00A767D7">
              <w:rPr>
                <w:rFonts w:ascii="Arial Narrow" w:hAnsi="Arial Narrow"/>
                <w:sz w:val="20"/>
                <w:szCs w:val="20"/>
              </w:rPr>
              <w:t xml:space="preserve">3. Peripheral basophils greater than or equal to 20%; or </w:t>
            </w:r>
          </w:p>
          <w:p w:rsidR="00A767D7" w:rsidRPr="00A767D7" w:rsidRDefault="00A767D7" w:rsidP="00A767D7">
            <w:pPr>
              <w:pStyle w:val="Default"/>
              <w:rPr>
                <w:rFonts w:ascii="Arial Narrow" w:hAnsi="Arial Narrow"/>
                <w:sz w:val="20"/>
                <w:szCs w:val="20"/>
              </w:rPr>
            </w:pPr>
            <w:r w:rsidRPr="00A767D7">
              <w:rPr>
                <w:rFonts w:ascii="Arial Narrow" w:hAnsi="Arial Narrow"/>
                <w:sz w:val="20"/>
                <w:szCs w:val="20"/>
              </w:rPr>
              <w:t xml:space="preserve">4. Progressive splenomegaly to a size greater than or equal to 10 cm below the left costal margin to be confirmed on 2 occasions at least 4 weeks apart, or a greater than or equal to 50% increase in size below the left costal margin over 4 weeks; or </w:t>
            </w:r>
          </w:p>
          <w:p w:rsidR="00A767D7" w:rsidRPr="00A767D7" w:rsidRDefault="00A767D7" w:rsidP="00A767D7">
            <w:pPr>
              <w:pStyle w:val="TableLeft"/>
              <w:widowControl w:val="0"/>
              <w:rPr>
                <w:rFonts w:ascii="Arial Narrow" w:hAnsi="Arial Narrow"/>
                <w:szCs w:val="20"/>
              </w:rPr>
            </w:pPr>
            <w:r w:rsidRPr="00A767D7">
              <w:rPr>
                <w:rFonts w:ascii="Arial Narrow" w:hAnsi="Arial Narrow"/>
                <w:szCs w:val="20"/>
              </w:rPr>
              <w:t xml:space="preserve">5. Karyotypic evolution (chromosomal abnormalities in addition to a single Philadelphia chromosome). </w:t>
            </w:r>
          </w:p>
          <w:p w:rsidR="00A767D7" w:rsidRDefault="00A767D7" w:rsidP="00A767D7">
            <w:pPr>
              <w:pStyle w:val="TableLeft"/>
              <w:widowControl w:val="0"/>
              <w:rPr>
                <w:szCs w:val="20"/>
              </w:rPr>
            </w:pPr>
          </w:p>
          <w:p w:rsidR="00A767D7" w:rsidRPr="00A767D7" w:rsidRDefault="00A767D7" w:rsidP="00A767D7">
            <w:pPr>
              <w:pStyle w:val="Default"/>
              <w:rPr>
                <w:rFonts w:ascii="Arial Narrow" w:hAnsi="Arial Narrow"/>
                <w:sz w:val="20"/>
                <w:szCs w:val="20"/>
              </w:rPr>
            </w:pPr>
            <w:r w:rsidRPr="00A767D7">
              <w:rPr>
                <w:rFonts w:ascii="Arial Narrow" w:hAnsi="Arial Narrow"/>
                <w:sz w:val="20"/>
                <w:szCs w:val="20"/>
              </w:rPr>
              <w:t xml:space="preserve">Blast crisis is defined as either: </w:t>
            </w:r>
          </w:p>
          <w:p w:rsidR="00A767D7" w:rsidRPr="00A767D7" w:rsidRDefault="00A767D7" w:rsidP="00A767D7">
            <w:pPr>
              <w:pStyle w:val="Default"/>
              <w:rPr>
                <w:rFonts w:ascii="Arial Narrow" w:hAnsi="Arial Narrow"/>
                <w:sz w:val="20"/>
                <w:szCs w:val="20"/>
              </w:rPr>
            </w:pPr>
            <w:r w:rsidRPr="00A767D7">
              <w:rPr>
                <w:rFonts w:ascii="Arial Narrow" w:hAnsi="Arial Narrow"/>
                <w:sz w:val="20"/>
                <w:szCs w:val="20"/>
              </w:rPr>
              <w:t xml:space="preserve">1. Percentage of blasts in the peripheral blood or bone marrow greater than or equal to 30%; or </w:t>
            </w:r>
          </w:p>
          <w:p w:rsidR="00D65EE4" w:rsidRDefault="00A767D7" w:rsidP="00A767D7">
            <w:pPr>
              <w:pStyle w:val="TableLeft"/>
              <w:widowControl w:val="0"/>
              <w:rPr>
                <w:rFonts w:ascii="Arial Narrow" w:hAnsi="Arial Narrow"/>
                <w:szCs w:val="20"/>
              </w:rPr>
            </w:pPr>
            <w:r w:rsidRPr="00A767D7">
              <w:rPr>
                <w:rFonts w:ascii="Arial Narrow" w:hAnsi="Arial Narrow"/>
                <w:szCs w:val="20"/>
              </w:rPr>
              <w:t xml:space="preserve">2. Extramedullary involvement other than spleen and liver. </w:t>
            </w:r>
          </w:p>
          <w:p w:rsidR="008C23B4" w:rsidRDefault="008C23B4" w:rsidP="00A767D7">
            <w:pPr>
              <w:pStyle w:val="TableLeft"/>
              <w:widowControl w:val="0"/>
              <w:rPr>
                <w:rFonts w:ascii="Arial Narrow" w:hAnsi="Arial Narrow"/>
                <w:szCs w:val="20"/>
              </w:rPr>
            </w:pPr>
          </w:p>
          <w:p w:rsidR="00C846C2" w:rsidRPr="00560FC8" w:rsidRDefault="00C846C2" w:rsidP="00C846C2">
            <w:pPr>
              <w:pStyle w:val="TableLeft"/>
              <w:widowControl w:val="0"/>
              <w:rPr>
                <w:rFonts w:ascii="Arial Narrow" w:hAnsi="Arial Narrow"/>
                <w:szCs w:val="20"/>
              </w:rPr>
            </w:pPr>
            <w:r w:rsidRPr="00560FC8">
              <w:rPr>
                <w:rFonts w:ascii="Arial Narrow" w:hAnsi="Arial Narrow"/>
                <w:szCs w:val="20"/>
              </w:rPr>
              <w:t>The authority application must be made in writing and must include:</w:t>
            </w:r>
          </w:p>
          <w:p w:rsidR="00C846C2" w:rsidRPr="00560FC8" w:rsidRDefault="00C846C2" w:rsidP="00C846C2">
            <w:pPr>
              <w:pStyle w:val="TableLeft"/>
              <w:widowControl w:val="0"/>
              <w:rPr>
                <w:rFonts w:ascii="Arial Narrow" w:hAnsi="Arial Narrow"/>
                <w:szCs w:val="20"/>
              </w:rPr>
            </w:pPr>
            <w:r w:rsidRPr="00560FC8">
              <w:rPr>
                <w:rFonts w:ascii="Arial Narrow" w:hAnsi="Arial Narrow"/>
                <w:szCs w:val="20"/>
              </w:rPr>
              <w:t xml:space="preserve">1. a completed authority prescription form; </w:t>
            </w:r>
          </w:p>
          <w:p w:rsidR="00C846C2" w:rsidRPr="00560FC8" w:rsidRDefault="00C846C2" w:rsidP="00C846C2">
            <w:pPr>
              <w:pStyle w:val="TableLeft"/>
              <w:widowControl w:val="0"/>
              <w:rPr>
                <w:rFonts w:ascii="Arial Narrow" w:hAnsi="Arial Narrow"/>
                <w:szCs w:val="20"/>
              </w:rPr>
            </w:pPr>
            <w:r w:rsidRPr="00560FC8">
              <w:rPr>
                <w:rFonts w:ascii="Arial Narrow" w:hAnsi="Arial Narrow"/>
                <w:szCs w:val="20"/>
              </w:rPr>
              <w:t xml:space="preserve">2. a completed Chronic Myeloid Leukaemia - ponatinib Initial PBS authority application form; </w:t>
            </w:r>
          </w:p>
          <w:p w:rsidR="00C846C2" w:rsidRPr="00560FC8" w:rsidRDefault="00C846C2" w:rsidP="00C846C2">
            <w:pPr>
              <w:pStyle w:val="TableLeft"/>
              <w:widowControl w:val="0"/>
              <w:rPr>
                <w:rFonts w:ascii="Arial Narrow" w:hAnsi="Arial Narrow"/>
                <w:szCs w:val="20"/>
              </w:rPr>
            </w:pPr>
            <w:r w:rsidRPr="00560FC8">
              <w:rPr>
                <w:rFonts w:ascii="Arial Narrow" w:hAnsi="Arial Narrow"/>
                <w:szCs w:val="20"/>
              </w:rPr>
              <w:t xml:space="preserve">3. a signed patient acknowledgement; </w:t>
            </w:r>
          </w:p>
          <w:p w:rsidR="00C846C2" w:rsidRPr="00560FC8" w:rsidRDefault="00C846C2" w:rsidP="00C846C2">
            <w:pPr>
              <w:pStyle w:val="TableLeft"/>
              <w:widowControl w:val="0"/>
              <w:rPr>
                <w:rFonts w:ascii="Arial Narrow" w:hAnsi="Arial Narrow"/>
                <w:szCs w:val="20"/>
              </w:rPr>
            </w:pPr>
            <w:r w:rsidRPr="00560FC8">
              <w:rPr>
                <w:rFonts w:ascii="Arial Narrow" w:hAnsi="Arial Narrow"/>
                <w:szCs w:val="20"/>
              </w:rPr>
              <w:t xml:space="preserve">4. a bone marrow biopsy pathology report demonstrating the patient has active chronic myeloid leukaemia, either manifest as cytogenetic evidence of the Philadelphia chromosome, or RT-PCR level of BCR-ABL transcript greater than 0.1% on the international scale. (The date of the relevant pathology report, </w:t>
            </w:r>
            <w:r w:rsidRPr="00494A81">
              <w:rPr>
                <w:rFonts w:ascii="Arial Narrow" w:hAnsi="Arial Narrow"/>
                <w:b/>
                <w:strike/>
                <w:szCs w:val="20"/>
              </w:rPr>
              <w:t>which should be within the previous 6 month</w:t>
            </w:r>
            <w:r w:rsidRPr="0099637E">
              <w:rPr>
                <w:rFonts w:ascii="Arial Narrow" w:hAnsi="Arial Narrow"/>
                <w:b/>
                <w:strike/>
                <w:szCs w:val="20"/>
              </w:rPr>
              <w:t>s</w:t>
            </w:r>
            <w:r w:rsidRPr="0099637E">
              <w:rPr>
                <w:rFonts w:ascii="Arial Narrow" w:hAnsi="Arial Narrow"/>
                <w:szCs w:val="20"/>
              </w:rPr>
              <w:t>,</w:t>
            </w:r>
            <w:r w:rsidRPr="00560FC8">
              <w:rPr>
                <w:rFonts w:ascii="Arial Narrow" w:hAnsi="Arial Narrow"/>
                <w:szCs w:val="20"/>
              </w:rPr>
              <w:t xml:space="preserve"> needs to be provided); and</w:t>
            </w:r>
          </w:p>
          <w:p w:rsidR="00C846C2" w:rsidRPr="00EC45B5" w:rsidRDefault="00C846C2" w:rsidP="00C846C2">
            <w:pPr>
              <w:pStyle w:val="TableLeft"/>
              <w:widowControl w:val="0"/>
              <w:rPr>
                <w:rFonts w:ascii="Arial Narrow" w:hAnsi="Arial Narrow"/>
                <w:szCs w:val="20"/>
              </w:rPr>
            </w:pPr>
            <w:r w:rsidRPr="00560FC8">
              <w:rPr>
                <w:rFonts w:ascii="Arial Narrow" w:hAnsi="Arial Narrow"/>
                <w:szCs w:val="20"/>
              </w:rPr>
              <w:t>5. where there has been a loss of response to dasatinib or nilotinib, a copy of the current confirming pathology report(s) from an Approved Pathology Authority or details of the dates of assessment in the case of progressive splenomegaly or extramedullary involvement.</w:t>
            </w:r>
          </w:p>
        </w:tc>
      </w:tr>
    </w:tbl>
    <w:p w:rsidR="00A767D7" w:rsidRDefault="00A767D7" w:rsidP="00A767D7">
      <w:pPr>
        <w:spacing w:after="120"/>
        <w:rPr>
          <w:rFonts w:asciiTheme="minorHAnsi" w:eastAsiaTheme="minorHAnsi" w:hAnsiTheme="minorHAnsi" w:cstheme="minorBidi"/>
          <w:szCs w:val="22"/>
          <w:u w:val="single"/>
        </w:rPr>
      </w:pPr>
    </w:p>
    <w:p w:rsidR="00A767D7" w:rsidRDefault="00B85A7E" w:rsidP="00A767D7">
      <w:pPr>
        <w:spacing w:after="120"/>
        <w:rPr>
          <w:rFonts w:asciiTheme="minorHAnsi" w:eastAsiaTheme="minorHAnsi" w:hAnsiTheme="minorHAnsi" w:cstheme="minorBidi"/>
          <w:szCs w:val="22"/>
          <w:u w:val="single"/>
        </w:rPr>
      </w:pPr>
      <w:r>
        <w:rPr>
          <w:rFonts w:asciiTheme="minorHAnsi" w:eastAsiaTheme="minorHAnsi" w:hAnsiTheme="minorHAnsi" w:cstheme="minorBidi"/>
          <w:szCs w:val="22"/>
          <w:u w:val="single"/>
        </w:rPr>
        <w:t xml:space="preserve">Continuing restriction split into first and </w:t>
      </w:r>
      <w:r w:rsidR="00F35902">
        <w:rPr>
          <w:rFonts w:asciiTheme="minorHAnsi" w:eastAsiaTheme="minorHAnsi" w:hAnsiTheme="minorHAnsi" w:cstheme="minorBidi"/>
          <w:szCs w:val="22"/>
          <w:u w:val="single"/>
        </w:rPr>
        <w:t>subsequent continuing treatment</w:t>
      </w:r>
    </w:p>
    <w:p w:rsidR="00E84C66" w:rsidRDefault="00E84C66" w:rsidP="0047082B">
      <w:pPr>
        <w:spacing w:after="120"/>
        <w:rPr>
          <w:rFonts w:eastAsiaTheme="majorEastAsia"/>
          <w:lang w:eastAsia="en-US"/>
        </w:rPr>
      </w:pPr>
      <w:r w:rsidRPr="00E84C66">
        <w:rPr>
          <w:rFonts w:asciiTheme="minorHAnsi" w:eastAsiaTheme="minorHAnsi" w:hAnsiTheme="minorHAnsi" w:cstheme="minorBidi"/>
          <w:szCs w:val="22"/>
        </w:rPr>
        <w:t>Existing benefit</w:t>
      </w:r>
      <w:r w:rsidR="008D4228">
        <w:rPr>
          <w:rFonts w:asciiTheme="minorHAnsi" w:eastAsiaTheme="minorHAnsi" w:hAnsiTheme="minorHAnsi" w:cstheme="minorBidi"/>
          <w:szCs w:val="22"/>
        </w:rPr>
        <w:t>:</w:t>
      </w:r>
      <w:r w:rsidR="0047082B" w:rsidRPr="00E84C66">
        <w:rPr>
          <w:rFonts w:eastAsiaTheme="majorEastAsia"/>
          <w:lang w:eastAsia="en-US"/>
        </w:rPr>
        <w:t xml:space="preserve"> </w:t>
      </w:r>
    </w:p>
    <w:tbl>
      <w:tblPr>
        <w:tblW w:w="4966" w:type="pct"/>
        <w:tblLook w:val="0000" w:firstRow="0" w:lastRow="0" w:firstColumn="0" w:lastColumn="0" w:noHBand="0" w:noVBand="0"/>
      </w:tblPr>
      <w:tblGrid>
        <w:gridCol w:w="2271"/>
        <w:gridCol w:w="6684"/>
      </w:tblGrid>
      <w:tr w:rsidR="0047082B" w:rsidRPr="00CB29EA" w:rsidTr="0047082B">
        <w:trPr>
          <w:cantSplit/>
          <w:trHeight w:val="199"/>
        </w:trPr>
        <w:tc>
          <w:tcPr>
            <w:tcW w:w="1268"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rPr>
                <w:rStyle w:val="SmallBold"/>
                <w:rFonts w:ascii="Arial Narrow" w:hAnsi="Arial Narrow"/>
                <w:szCs w:val="20"/>
              </w:rPr>
            </w:pPr>
            <w:r w:rsidRPr="00CB29EA">
              <w:rPr>
                <w:rStyle w:val="SmallBold"/>
                <w:rFonts w:ascii="Arial Narrow" w:hAnsi="Arial Narrow"/>
                <w:szCs w:val="20"/>
              </w:rPr>
              <w:t>Category / program</w:t>
            </w:r>
          </w:p>
        </w:tc>
        <w:tc>
          <w:tcPr>
            <w:tcW w:w="3732"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rPr>
                <w:rFonts w:ascii="Arial Narrow" w:hAnsi="Arial Narrow"/>
                <w:szCs w:val="20"/>
              </w:rPr>
            </w:pPr>
            <w:r w:rsidRPr="00CB29EA">
              <w:rPr>
                <w:rFonts w:ascii="Arial Narrow" w:hAnsi="Arial Narrow"/>
                <w:szCs w:val="20"/>
              </w:rPr>
              <w:t>General Schedule</w:t>
            </w:r>
          </w:p>
        </w:tc>
      </w:tr>
      <w:tr w:rsidR="0047082B" w:rsidRPr="00CB29EA" w:rsidTr="0047082B">
        <w:trPr>
          <w:cantSplit/>
          <w:trHeight w:val="487"/>
        </w:trPr>
        <w:tc>
          <w:tcPr>
            <w:tcW w:w="1268"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rPr>
                <w:rStyle w:val="SmallBold"/>
                <w:rFonts w:ascii="Arial Narrow" w:hAnsi="Arial Narrow"/>
                <w:szCs w:val="20"/>
              </w:rPr>
            </w:pPr>
            <w:r w:rsidRPr="00CB29EA">
              <w:rPr>
                <w:rStyle w:val="SmallBold"/>
                <w:rFonts w:ascii="Arial Narrow" w:hAnsi="Arial Narrow"/>
                <w:szCs w:val="20"/>
              </w:rPr>
              <w:t>Prescriber type</w:t>
            </w:r>
          </w:p>
        </w:tc>
        <w:tc>
          <w:tcPr>
            <w:tcW w:w="3732" w:type="pct"/>
            <w:tcBorders>
              <w:top w:val="single" w:sz="4" w:space="0" w:color="auto"/>
              <w:left w:val="single" w:sz="4" w:space="0" w:color="auto"/>
              <w:bottom w:val="single" w:sz="4" w:space="0" w:color="auto"/>
              <w:right w:val="single" w:sz="4" w:space="0" w:color="auto"/>
            </w:tcBorders>
            <w:shd w:val="clear" w:color="auto" w:fill="auto"/>
          </w:tcPr>
          <w:p w:rsidR="0047082B" w:rsidRPr="00CB29EA" w:rsidRDefault="0047082B" w:rsidP="0047082B">
            <w:pPr>
              <w:pStyle w:val="TableLeft"/>
              <w:rPr>
                <w:rFonts w:ascii="Arial Narrow" w:hAnsi="Arial Narrow"/>
                <w:szCs w:val="20"/>
              </w:rPr>
            </w:pP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Dental  </w:t>
            </w:r>
            <w:r w:rsidRPr="00CB29EA">
              <w:rPr>
                <w:rFonts w:ascii="Arial Narrow" w:hAnsi="Arial Narrow"/>
                <w:szCs w:val="20"/>
              </w:rPr>
              <w:fldChar w:fldCharType="begin">
                <w:ffData>
                  <w:name w:val=""/>
                  <w:enabled/>
                  <w:calcOnExit w:val="0"/>
                  <w:checkBox>
                    <w:sizeAuto/>
                    <w:default w:val="1"/>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Medical Practitioners  </w:t>
            </w: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Nurse Practitioners</w:t>
            </w:r>
          </w:p>
          <w:p w:rsidR="0047082B" w:rsidRPr="00CB29EA" w:rsidRDefault="0047082B" w:rsidP="0047082B">
            <w:pPr>
              <w:pStyle w:val="TableLeft"/>
              <w:rPr>
                <w:rFonts w:ascii="Arial Narrow" w:hAnsi="Arial Narrow"/>
                <w:szCs w:val="20"/>
              </w:rPr>
            </w:pP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Optometrists  </w:t>
            </w: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Midwives</w:t>
            </w:r>
          </w:p>
        </w:tc>
      </w:tr>
      <w:tr w:rsidR="0047082B" w:rsidRPr="00CB29EA" w:rsidTr="0047082B">
        <w:trPr>
          <w:cantSplit/>
          <w:trHeight w:val="190"/>
        </w:trPr>
        <w:tc>
          <w:tcPr>
            <w:tcW w:w="1268"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rPr>
                <w:rStyle w:val="SmallBold"/>
                <w:rFonts w:ascii="Arial Narrow" w:hAnsi="Arial Narrow"/>
                <w:szCs w:val="20"/>
              </w:rPr>
            </w:pPr>
            <w:r w:rsidRPr="00CB29EA">
              <w:rPr>
                <w:rStyle w:val="SmallBold"/>
                <w:rFonts w:ascii="Arial Narrow" w:hAnsi="Arial Narrow"/>
                <w:szCs w:val="20"/>
              </w:rPr>
              <w:t>Episodicity:</w:t>
            </w:r>
          </w:p>
        </w:tc>
        <w:tc>
          <w:tcPr>
            <w:tcW w:w="3732"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rPr>
                <w:rFonts w:ascii="Arial Narrow" w:hAnsi="Arial Narrow"/>
                <w:szCs w:val="20"/>
              </w:rPr>
            </w:pPr>
            <w:r>
              <w:rPr>
                <w:rFonts w:ascii="Arial Narrow" w:hAnsi="Arial Narrow"/>
                <w:szCs w:val="20"/>
              </w:rPr>
              <w:t>Chronic</w:t>
            </w:r>
          </w:p>
        </w:tc>
      </w:tr>
      <w:tr w:rsidR="0047082B" w:rsidRPr="00CB29EA" w:rsidTr="0047082B">
        <w:trPr>
          <w:cantSplit/>
          <w:trHeight w:val="163"/>
        </w:trPr>
        <w:tc>
          <w:tcPr>
            <w:tcW w:w="1268"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rPr>
                <w:rStyle w:val="SmallBold"/>
                <w:rFonts w:ascii="Arial Narrow" w:hAnsi="Arial Narrow"/>
                <w:szCs w:val="20"/>
              </w:rPr>
            </w:pPr>
            <w:r w:rsidRPr="00CB29EA">
              <w:rPr>
                <w:rStyle w:val="SmallBold"/>
                <w:rFonts w:ascii="Arial Narrow" w:hAnsi="Arial Narrow"/>
                <w:szCs w:val="20"/>
              </w:rPr>
              <w:t>Condition:</w:t>
            </w:r>
          </w:p>
        </w:tc>
        <w:tc>
          <w:tcPr>
            <w:tcW w:w="3732"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rPr>
                <w:rFonts w:ascii="Arial Narrow" w:hAnsi="Arial Narrow"/>
                <w:szCs w:val="20"/>
              </w:rPr>
            </w:pPr>
            <w:r>
              <w:rPr>
                <w:rFonts w:ascii="Arial Narrow" w:hAnsi="Arial Narrow"/>
                <w:szCs w:val="20"/>
              </w:rPr>
              <w:t>Myeloid leukaemia</w:t>
            </w:r>
          </w:p>
        </w:tc>
      </w:tr>
      <w:tr w:rsidR="0047082B" w:rsidRPr="00CB29EA" w:rsidTr="0047082B">
        <w:trPr>
          <w:cantSplit/>
          <w:trHeight w:val="208"/>
        </w:trPr>
        <w:tc>
          <w:tcPr>
            <w:tcW w:w="1268"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rPr>
                <w:rStyle w:val="SmallBold"/>
                <w:rFonts w:ascii="Arial Narrow" w:hAnsi="Arial Narrow"/>
                <w:szCs w:val="20"/>
              </w:rPr>
            </w:pPr>
            <w:r w:rsidRPr="00CB29EA">
              <w:rPr>
                <w:rStyle w:val="SmallBold"/>
                <w:rFonts w:ascii="Arial Narrow" w:hAnsi="Arial Narrow"/>
                <w:szCs w:val="20"/>
              </w:rPr>
              <w:t>PBS Indication:</w:t>
            </w:r>
          </w:p>
        </w:tc>
        <w:tc>
          <w:tcPr>
            <w:tcW w:w="3732"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rPr>
                <w:rFonts w:ascii="Arial Narrow" w:hAnsi="Arial Narrow"/>
                <w:szCs w:val="20"/>
              </w:rPr>
            </w:pPr>
            <w:r>
              <w:rPr>
                <w:rFonts w:ascii="Arial Narrow" w:hAnsi="Arial Narrow"/>
                <w:szCs w:val="20"/>
              </w:rPr>
              <w:t>Chronic myeloid leukaemia (CML)</w:t>
            </w:r>
          </w:p>
        </w:tc>
      </w:tr>
      <w:tr w:rsidR="0047082B" w:rsidRPr="00CB29EA" w:rsidTr="0047082B">
        <w:trPr>
          <w:cantSplit/>
          <w:trHeight w:val="253"/>
        </w:trPr>
        <w:tc>
          <w:tcPr>
            <w:tcW w:w="1268"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rPr>
                <w:rStyle w:val="SmallBold"/>
                <w:rFonts w:ascii="Arial Narrow" w:hAnsi="Arial Narrow"/>
                <w:szCs w:val="20"/>
              </w:rPr>
            </w:pPr>
            <w:r w:rsidRPr="00CB29EA">
              <w:rPr>
                <w:rStyle w:val="SmallBold"/>
                <w:rFonts w:ascii="Arial Narrow" w:hAnsi="Arial Narrow"/>
                <w:szCs w:val="20"/>
              </w:rPr>
              <w:t>Treatment phase:</w:t>
            </w:r>
          </w:p>
        </w:tc>
        <w:tc>
          <w:tcPr>
            <w:tcW w:w="3732" w:type="pct"/>
            <w:tcBorders>
              <w:top w:val="single" w:sz="4" w:space="0" w:color="auto"/>
              <w:left w:val="single" w:sz="4" w:space="0" w:color="auto"/>
              <w:bottom w:val="single" w:sz="4" w:space="0" w:color="auto"/>
              <w:right w:val="single" w:sz="4" w:space="0" w:color="auto"/>
            </w:tcBorders>
          </w:tcPr>
          <w:p w:rsidR="0047082B" w:rsidRPr="00494A81" w:rsidRDefault="0047082B" w:rsidP="0047082B">
            <w:pPr>
              <w:pStyle w:val="TableLeft"/>
              <w:rPr>
                <w:rFonts w:ascii="Arial Narrow" w:hAnsi="Arial Narrow"/>
                <w:b/>
                <w:szCs w:val="20"/>
              </w:rPr>
            </w:pPr>
            <w:r w:rsidRPr="00494A81">
              <w:rPr>
                <w:rFonts w:ascii="Arial Narrow" w:hAnsi="Arial Narrow"/>
                <w:b/>
                <w:szCs w:val="20"/>
              </w:rPr>
              <w:t>First continuing treatment</w:t>
            </w:r>
          </w:p>
        </w:tc>
      </w:tr>
      <w:tr w:rsidR="0047082B" w:rsidRPr="00CB29EA" w:rsidTr="0047082B">
        <w:trPr>
          <w:cantSplit/>
          <w:trHeight w:val="1378"/>
        </w:trPr>
        <w:tc>
          <w:tcPr>
            <w:tcW w:w="1268"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rPr>
                <w:rStyle w:val="SmallBold"/>
                <w:rFonts w:ascii="Arial Narrow" w:hAnsi="Arial Narrow"/>
                <w:szCs w:val="20"/>
              </w:rPr>
            </w:pPr>
            <w:r w:rsidRPr="00CB29EA">
              <w:rPr>
                <w:rStyle w:val="SmallBold"/>
                <w:rFonts w:ascii="Arial Narrow" w:hAnsi="Arial Narrow"/>
                <w:szCs w:val="20"/>
              </w:rPr>
              <w:t>Restriction</w:t>
            </w:r>
            <w:r>
              <w:rPr>
                <w:rStyle w:val="SmallBold"/>
                <w:rFonts w:ascii="Arial Narrow" w:hAnsi="Arial Narrow"/>
                <w:szCs w:val="20"/>
              </w:rPr>
              <w:t xml:space="preserve"> Level / Method</w:t>
            </w:r>
            <w:r w:rsidRPr="00CB29EA">
              <w:rPr>
                <w:rStyle w:val="SmallBold"/>
                <w:rFonts w:ascii="Arial Narrow" w:hAnsi="Arial Narrow"/>
                <w:szCs w:val="20"/>
              </w:rPr>
              <w:t>:</w:t>
            </w:r>
          </w:p>
          <w:p w:rsidR="0047082B" w:rsidRPr="00CB29EA" w:rsidRDefault="0047082B" w:rsidP="0047082B">
            <w:pPr>
              <w:pStyle w:val="TableLeft"/>
              <w:rPr>
                <w:rStyle w:val="SmallBold"/>
                <w:rFonts w:ascii="Arial Narrow" w:hAnsi="Arial Narrow"/>
                <w:szCs w:val="20"/>
              </w:rPr>
            </w:pPr>
          </w:p>
        </w:tc>
        <w:tc>
          <w:tcPr>
            <w:tcW w:w="3732" w:type="pct"/>
            <w:tcBorders>
              <w:top w:val="single" w:sz="4" w:space="0" w:color="auto"/>
              <w:left w:val="single" w:sz="4" w:space="0" w:color="auto"/>
              <w:bottom w:val="single" w:sz="4" w:space="0" w:color="auto"/>
              <w:right w:val="single" w:sz="4" w:space="0" w:color="auto"/>
            </w:tcBorders>
            <w:shd w:val="clear" w:color="auto" w:fill="FFFFFF" w:themeFill="background1"/>
          </w:tcPr>
          <w:p w:rsidR="0047082B" w:rsidRPr="00CB29EA" w:rsidRDefault="0047082B" w:rsidP="0047082B">
            <w:pPr>
              <w:pStyle w:val="TableLeft"/>
              <w:rPr>
                <w:rFonts w:ascii="Arial Narrow" w:hAnsi="Arial Narrow"/>
                <w:szCs w:val="20"/>
              </w:rPr>
            </w:pP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Restricted benefit</w:t>
            </w:r>
          </w:p>
          <w:p w:rsidR="0047082B" w:rsidRPr="00CB29EA" w:rsidRDefault="0047082B" w:rsidP="0047082B">
            <w:pPr>
              <w:pStyle w:val="TableLeft"/>
              <w:rPr>
                <w:rFonts w:ascii="Arial Narrow" w:hAnsi="Arial Narrow"/>
                <w:szCs w:val="20"/>
              </w:rPr>
            </w:pPr>
            <w:r>
              <w:rPr>
                <w:rFonts w:ascii="Arial Narrow" w:hAnsi="Arial Narrow"/>
                <w:szCs w:val="20"/>
              </w:rPr>
              <w:fldChar w:fldCharType="begin">
                <w:ffData>
                  <w:name w:val=""/>
                  <w:enabled/>
                  <w:calcOnExit w:val="0"/>
                  <w:checkBox>
                    <w:sizeAuto/>
                    <w:default w:val="1"/>
                  </w:checkBox>
                </w:ffData>
              </w:fldChar>
            </w:r>
            <w:r>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Pr>
                <w:rFonts w:ascii="Arial Narrow" w:hAnsi="Arial Narrow"/>
                <w:szCs w:val="20"/>
              </w:rPr>
              <w:fldChar w:fldCharType="end"/>
            </w:r>
            <w:r w:rsidRPr="00CB29EA">
              <w:rPr>
                <w:rFonts w:ascii="Arial Narrow" w:hAnsi="Arial Narrow"/>
                <w:szCs w:val="20"/>
              </w:rPr>
              <w:t>Authority Required - In Writing</w:t>
            </w:r>
          </w:p>
          <w:p w:rsidR="0047082B" w:rsidRPr="00CB29EA" w:rsidRDefault="0047082B" w:rsidP="0047082B">
            <w:pPr>
              <w:pStyle w:val="TableLeft"/>
              <w:rPr>
                <w:rFonts w:ascii="Arial Narrow" w:hAnsi="Arial Narrow"/>
                <w:szCs w:val="20"/>
              </w:rPr>
            </w:pPr>
            <w:r w:rsidRPr="00CB29EA">
              <w:rPr>
                <w:rFonts w:ascii="Arial Narrow" w:hAnsi="Arial Narrow"/>
                <w:szCs w:val="20"/>
              </w:rPr>
              <w:fldChar w:fldCharType="begin">
                <w:ffData>
                  <w:name w:val="Check3"/>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Authority Required - Telephone</w:t>
            </w:r>
          </w:p>
          <w:p w:rsidR="0047082B" w:rsidRPr="00CB29EA" w:rsidRDefault="0047082B" w:rsidP="0047082B">
            <w:pPr>
              <w:pStyle w:val="TableLeft"/>
              <w:rPr>
                <w:rFonts w:ascii="Arial Narrow" w:hAnsi="Arial Narrow"/>
                <w:szCs w:val="20"/>
              </w:rPr>
            </w:pPr>
            <w:r w:rsidRPr="00CB29EA">
              <w:rPr>
                <w:rFonts w:ascii="Arial Narrow" w:hAnsi="Arial Narrow"/>
                <w:szCs w:val="20"/>
              </w:rPr>
              <w:fldChar w:fldCharType="begin">
                <w:ffData>
                  <w:name w:val=""/>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Authority Required - Emergency</w:t>
            </w:r>
          </w:p>
          <w:p w:rsidR="0047082B" w:rsidRPr="00CB29EA" w:rsidRDefault="0047082B" w:rsidP="0047082B">
            <w:pPr>
              <w:pStyle w:val="TableLeft"/>
              <w:rPr>
                <w:rFonts w:ascii="Arial Narrow" w:hAnsi="Arial Narrow"/>
                <w:szCs w:val="20"/>
              </w:rPr>
            </w:pPr>
            <w:r w:rsidRPr="00CB29EA">
              <w:rPr>
                <w:rFonts w:ascii="Arial Narrow" w:hAnsi="Arial Narrow"/>
                <w:szCs w:val="20"/>
              </w:rPr>
              <w:fldChar w:fldCharType="begin">
                <w:ffData>
                  <w:name w:val=""/>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Authority Required - Electronic</w:t>
            </w:r>
          </w:p>
          <w:p w:rsidR="0047082B" w:rsidRPr="00CB29EA" w:rsidRDefault="0047082B" w:rsidP="0047082B">
            <w:pPr>
              <w:pStyle w:val="TableLeft"/>
              <w:rPr>
                <w:rFonts w:ascii="Arial Narrow" w:hAnsi="Arial Narrow"/>
                <w:szCs w:val="20"/>
              </w:rPr>
            </w:pPr>
            <w:r>
              <w:rPr>
                <w:rFonts w:ascii="Arial Narrow" w:hAnsi="Arial Narrow"/>
                <w:szCs w:val="20"/>
              </w:rPr>
              <w:fldChar w:fldCharType="begin">
                <w:ffData>
                  <w:name w:val=""/>
                  <w:enabled/>
                  <w:calcOnExit w:val="0"/>
                  <w:checkBox>
                    <w:sizeAuto/>
                    <w:default w:val="0"/>
                  </w:checkBox>
                </w:ffData>
              </w:fldChar>
            </w:r>
            <w:r>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Pr>
                <w:rFonts w:ascii="Arial Narrow" w:hAnsi="Arial Narrow"/>
                <w:szCs w:val="20"/>
              </w:rPr>
              <w:fldChar w:fldCharType="end"/>
            </w:r>
            <w:r w:rsidRPr="00CB29EA">
              <w:rPr>
                <w:rFonts w:ascii="Arial Narrow" w:hAnsi="Arial Narrow"/>
                <w:szCs w:val="20"/>
              </w:rPr>
              <w:t>Streamlined</w:t>
            </w:r>
          </w:p>
        </w:tc>
      </w:tr>
      <w:tr w:rsidR="0047082B" w:rsidRPr="00CB29EA" w:rsidTr="0047082B">
        <w:trPr>
          <w:cantSplit/>
          <w:trHeight w:val="360"/>
        </w:trPr>
        <w:tc>
          <w:tcPr>
            <w:tcW w:w="1268"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keepNext/>
              <w:rPr>
                <w:rStyle w:val="SmallBold"/>
                <w:rFonts w:ascii="Arial Narrow" w:hAnsi="Arial Narrow"/>
                <w:szCs w:val="20"/>
              </w:rPr>
            </w:pPr>
            <w:r w:rsidRPr="00CB29EA">
              <w:rPr>
                <w:rStyle w:val="SmallBold"/>
                <w:rFonts w:ascii="Arial Narrow" w:hAnsi="Arial Narrow"/>
                <w:szCs w:val="20"/>
              </w:rPr>
              <w:t>Clinical criteria:</w:t>
            </w:r>
          </w:p>
          <w:p w:rsidR="0047082B" w:rsidRPr="00CB29EA" w:rsidRDefault="0047082B" w:rsidP="0047082B">
            <w:pPr>
              <w:pStyle w:val="TableLeft"/>
              <w:keepNext/>
              <w:rPr>
                <w:rStyle w:val="SmallBold"/>
                <w:rFonts w:ascii="Arial Narrow" w:hAnsi="Arial Narrow"/>
                <w:szCs w:val="20"/>
              </w:rPr>
            </w:pPr>
          </w:p>
        </w:tc>
        <w:tc>
          <w:tcPr>
            <w:tcW w:w="3732" w:type="pct"/>
            <w:tcBorders>
              <w:top w:val="single" w:sz="4" w:space="0" w:color="auto"/>
              <w:left w:val="single" w:sz="4" w:space="0" w:color="auto"/>
              <w:bottom w:val="single" w:sz="4" w:space="0" w:color="auto"/>
              <w:right w:val="single" w:sz="4" w:space="0" w:color="auto"/>
            </w:tcBorders>
          </w:tcPr>
          <w:p w:rsidR="0047082B" w:rsidRPr="00FC5E2B" w:rsidRDefault="0047082B" w:rsidP="0047082B">
            <w:pPr>
              <w:pStyle w:val="Default"/>
              <w:rPr>
                <w:rFonts w:ascii="Arial Narrow" w:hAnsi="Arial Narrow"/>
                <w:i/>
                <w:sz w:val="20"/>
                <w:szCs w:val="20"/>
              </w:rPr>
            </w:pPr>
            <w:r w:rsidRPr="00FC5E2B">
              <w:rPr>
                <w:rFonts w:ascii="Arial Narrow" w:hAnsi="Arial Narrow"/>
                <w:i/>
                <w:sz w:val="20"/>
                <w:szCs w:val="20"/>
              </w:rPr>
              <w:t xml:space="preserve">The condition must be in the chronic phase, </w:t>
            </w:r>
          </w:p>
          <w:p w:rsidR="0047082B" w:rsidRPr="00FC5E2B" w:rsidRDefault="0047082B" w:rsidP="0047082B">
            <w:pPr>
              <w:pStyle w:val="Default"/>
              <w:rPr>
                <w:rFonts w:ascii="Arial Narrow" w:hAnsi="Arial Narrow"/>
                <w:i/>
                <w:sz w:val="20"/>
                <w:szCs w:val="20"/>
              </w:rPr>
            </w:pPr>
            <w:r w:rsidRPr="00FC5E2B">
              <w:rPr>
                <w:rFonts w:ascii="Arial Narrow" w:hAnsi="Arial Narrow"/>
                <w:i/>
                <w:sz w:val="20"/>
                <w:szCs w:val="20"/>
              </w:rPr>
              <w:t>AND</w:t>
            </w:r>
          </w:p>
          <w:p w:rsidR="0047082B" w:rsidRPr="00E84C66" w:rsidRDefault="0047082B" w:rsidP="0047082B">
            <w:pPr>
              <w:pStyle w:val="Default"/>
              <w:rPr>
                <w:rFonts w:ascii="Arial Narrow" w:hAnsi="Arial Narrow"/>
                <w:sz w:val="20"/>
                <w:szCs w:val="20"/>
              </w:rPr>
            </w:pPr>
            <w:r w:rsidRPr="00E84C66">
              <w:rPr>
                <w:rFonts w:ascii="Arial Narrow" w:hAnsi="Arial Narrow"/>
                <w:sz w:val="20"/>
                <w:szCs w:val="20"/>
              </w:rPr>
              <w:t xml:space="preserve">Patient must have previously been issued with an authority prescription for this drug for this condition, </w:t>
            </w:r>
          </w:p>
          <w:p w:rsidR="0047082B" w:rsidRPr="00E84C66" w:rsidRDefault="0047082B" w:rsidP="0047082B">
            <w:pPr>
              <w:pStyle w:val="Default"/>
              <w:rPr>
                <w:rFonts w:ascii="Arial Narrow" w:hAnsi="Arial Narrow"/>
                <w:sz w:val="20"/>
                <w:szCs w:val="20"/>
              </w:rPr>
            </w:pPr>
            <w:r w:rsidRPr="00E84C66">
              <w:rPr>
                <w:rFonts w:ascii="Arial Narrow" w:hAnsi="Arial Narrow"/>
                <w:sz w:val="20"/>
                <w:szCs w:val="20"/>
              </w:rPr>
              <w:t xml:space="preserve">AND </w:t>
            </w:r>
          </w:p>
          <w:p w:rsidR="0047082B" w:rsidRPr="00E84C66" w:rsidRDefault="0047082B" w:rsidP="0047082B">
            <w:pPr>
              <w:pStyle w:val="Default"/>
              <w:rPr>
                <w:rFonts w:ascii="Arial Narrow" w:hAnsi="Arial Narrow"/>
                <w:sz w:val="20"/>
                <w:szCs w:val="20"/>
              </w:rPr>
            </w:pPr>
            <w:r w:rsidRPr="00E84C66">
              <w:rPr>
                <w:rFonts w:ascii="Arial Narrow" w:hAnsi="Arial Narrow"/>
                <w:sz w:val="20"/>
                <w:szCs w:val="20"/>
              </w:rPr>
              <w:t xml:space="preserve">The treatment must be the sole PBS-subsidised therapy for this condition, </w:t>
            </w:r>
          </w:p>
          <w:p w:rsidR="0047082B" w:rsidRPr="00E84C66" w:rsidRDefault="0047082B" w:rsidP="0047082B">
            <w:pPr>
              <w:pStyle w:val="Default"/>
              <w:rPr>
                <w:rFonts w:ascii="Arial Narrow" w:hAnsi="Arial Narrow"/>
                <w:sz w:val="20"/>
                <w:szCs w:val="20"/>
              </w:rPr>
            </w:pPr>
            <w:r w:rsidRPr="00E84C66">
              <w:rPr>
                <w:rFonts w:ascii="Arial Narrow" w:hAnsi="Arial Narrow"/>
                <w:sz w:val="20"/>
                <w:szCs w:val="20"/>
              </w:rPr>
              <w:t xml:space="preserve">AND </w:t>
            </w:r>
          </w:p>
          <w:p w:rsidR="0047082B" w:rsidRPr="00E84C66" w:rsidRDefault="0047082B" w:rsidP="0047082B">
            <w:pPr>
              <w:pStyle w:val="TableLeft"/>
              <w:keepNext/>
              <w:rPr>
                <w:rFonts w:ascii="Arial Narrow" w:hAnsi="Arial Narrow"/>
                <w:szCs w:val="20"/>
              </w:rPr>
            </w:pPr>
            <w:r w:rsidRPr="00E84C66">
              <w:rPr>
                <w:rFonts w:ascii="Arial Narrow" w:hAnsi="Arial Narrow"/>
                <w:szCs w:val="20"/>
              </w:rPr>
              <w:t xml:space="preserve">Patient must have demonstrated either a major cytogenetic response, or less than 1% BCR-ABL level in the blood, to ponatinib within 18 months of commencement and at no greater than 12 month intervals thereafter. </w:t>
            </w:r>
          </w:p>
        </w:tc>
      </w:tr>
      <w:tr w:rsidR="0047082B" w:rsidRPr="003F3252" w:rsidTr="0047082B">
        <w:trPr>
          <w:trHeight w:val="235"/>
        </w:trPr>
        <w:tc>
          <w:tcPr>
            <w:tcW w:w="1268" w:type="pct"/>
            <w:tcBorders>
              <w:top w:val="single" w:sz="4" w:space="0" w:color="auto"/>
              <w:left w:val="single" w:sz="4" w:space="0" w:color="auto"/>
              <w:bottom w:val="single" w:sz="4" w:space="0" w:color="auto"/>
              <w:right w:val="single" w:sz="4" w:space="0" w:color="auto"/>
            </w:tcBorders>
          </w:tcPr>
          <w:p w:rsidR="0047082B" w:rsidRPr="00FC5E2B" w:rsidRDefault="0047082B" w:rsidP="0047082B">
            <w:pPr>
              <w:pStyle w:val="TableLeft"/>
              <w:widowControl w:val="0"/>
              <w:rPr>
                <w:rStyle w:val="SmallBold"/>
                <w:rFonts w:ascii="Arial Narrow" w:hAnsi="Arial Narrow"/>
                <w:szCs w:val="20"/>
              </w:rPr>
            </w:pPr>
            <w:r w:rsidRPr="00560FC8">
              <w:rPr>
                <w:rStyle w:val="SmallBold"/>
                <w:rFonts w:ascii="Arial Narrow" w:hAnsi="Arial Narrow"/>
                <w:szCs w:val="20"/>
              </w:rPr>
              <w:t>Prescriber Instructions</w:t>
            </w:r>
          </w:p>
          <w:p w:rsidR="0047082B" w:rsidRPr="00560FC8" w:rsidRDefault="0047082B" w:rsidP="0047082B">
            <w:pPr>
              <w:pStyle w:val="TableLeft"/>
              <w:widowControl w:val="0"/>
              <w:rPr>
                <w:rStyle w:val="SmallBold"/>
                <w:rFonts w:ascii="Arial Narrow" w:hAnsi="Arial Narrow"/>
                <w:szCs w:val="20"/>
              </w:rPr>
            </w:pPr>
          </w:p>
        </w:tc>
        <w:tc>
          <w:tcPr>
            <w:tcW w:w="3732" w:type="pct"/>
            <w:tcBorders>
              <w:top w:val="single" w:sz="4" w:space="0" w:color="auto"/>
              <w:left w:val="single" w:sz="4" w:space="0" w:color="auto"/>
              <w:bottom w:val="single" w:sz="4" w:space="0" w:color="auto"/>
              <w:right w:val="single" w:sz="4" w:space="0" w:color="auto"/>
            </w:tcBorders>
          </w:tcPr>
          <w:p w:rsidR="0047082B" w:rsidRPr="00E84C66" w:rsidRDefault="0047082B" w:rsidP="0047082B">
            <w:pPr>
              <w:pStyle w:val="Default"/>
              <w:rPr>
                <w:rFonts w:ascii="Arial Narrow" w:hAnsi="Arial Narrow"/>
                <w:sz w:val="20"/>
                <w:szCs w:val="20"/>
              </w:rPr>
            </w:pPr>
            <w:r w:rsidRPr="000D1E98">
              <w:rPr>
                <w:rFonts w:ascii="Arial Narrow" w:hAnsi="Arial Narrow"/>
                <w:i/>
                <w:sz w:val="20"/>
                <w:szCs w:val="20"/>
              </w:rPr>
              <w:t>First continuing</w:t>
            </w:r>
            <w:r>
              <w:rPr>
                <w:rFonts w:ascii="Arial Narrow" w:hAnsi="Arial Narrow"/>
                <w:i/>
                <w:sz w:val="20"/>
                <w:szCs w:val="20"/>
              </w:rPr>
              <w:t xml:space="preserve"> </w:t>
            </w:r>
            <w:r w:rsidRPr="000D1E98">
              <w:rPr>
                <w:rFonts w:ascii="Arial Narrow" w:hAnsi="Arial Narrow"/>
                <w:strike/>
                <w:sz w:val="20"/>
                <w:szCs w:val="20"/>
              </w:rPr>
              <w:t>A</w:t>
            </w:r>
            <w:r>
              <w:rPr>
                <w:rFonts w:ascii="Arial Narrow" w:hAnsi="Arial Narrow"/>
                <w:sz w:val="20"/>
                <w:szCs w:val="20"/>
              </w:rPr>
              <w:t>a</w:t>
            </w:r>
            <w:r w:rsidRPr="00E84C66">
              <w:rPr>
                <w:rFonts w:ascii="Arial Narrow" w:hAnsi="Arial Narrow"/>
                <w:sz w:val="20"/>
                <w:szCs w:val="20"/>
              </w:rPr>
              <w:t xml:space="preserve">pplications for authorisation must be in writing and must include: </w:t>
            </w:r>
          </w:p>
          <w:p w:rsidR="0047082B" w:rsidRPr="00E84C66" w:rsidRDefault="0047082B" w:rsidP="0047082B">
            <w:pPr>
              <w:pStyle w:val="Default"/>
              <w:rPr>
                <w:rFonts w:ascii="Arial Narrow" w:hAnsi="Arial Narrow"/>
                <w:sz w:val="20"/>
                <w:szCs w:val="20"/>
              </w:rPr>
            </w:pPr>
            <w:r w:rsidRPr="00E84C66">
              <w:rPr>
                <w:rFonts w:ascii="Arial Narrow" w:hAnsi="Arial Narrow"/>
                <w:sz w:val="20"/>
                <w:szCs w:val="20"/>
              </w:rPr>
              <w:t xml:space="preserve">1. a completed authority prescription form; and </w:t>
            </w:r>
          </w:p>
          <w:p w:rsidR="0047082B" w:rsidRPr="00E84C66" w:rsidRDefault="0047082B" w:rsidP="0047082B">
            <w:pPr>
              <w:pStyle w:val="Default"/>
              <w:rPr>
                <w:rFonts w:ascii="Arial Narrow" w:hAnsi="Arial Narrow"/>
                <w:sz w:val="20"/>
                <w:szCs w:val="20"/>
              </w:rPr>
            </w:pPr>
            <w:r w:rsidRPr="00E84C66">
              <w:rPr>
                <w:rFonts w:ascii="Arial Narrow" w:hAnsi="Arial Narrow"/>
                <w:sz w:val="20"/>
                <w:szCs w:val="20"/>
              </w:rPr>
              <w:t xml:space="preserve">2. a completed Chronic Myeloid Leukaemia Continuing PBS authority application Supporting information form; and </w:t>
            </w:r>
          </w:p>
          <w:p w:rsidR="0047082B" w:rsidRPr="00E84C66" w:rsidRDefault="0047082B" w:rsidP="0047082B">
            <w:pPr>
              <w:pStyle w:val="Default"/>
              <w:rPr>
                <w:rFonts w:ascii="Arial Narrow" w:hAnsi="Arial Narrow"/>
                <w:sz w:val="20"/>
                <w:szCs w:val="20"/>
              </w:rPr>
            </w:pPr>
            <w:r w:rsidRPr="00E84C66">
              <w:rPr>
                <w:rFonts w:ascii="Arial Narrow" w:hAnsi="Arial Narrow"/>
                <w:sz w:val="20"/>
                <w:szCs w:val="20"/>
              </w:rPr>
              <w:t xml:space="preserve">3. demonstration of continued response to treatment as evidenced by either: </w:t>
            </w:r>
          </w:p>
          <w:p w:rsidR="0047082B" w:rsidRPr="00E84C66" w:rsidRDefault="0047082B" w:rsidP="0047082B">
            <w:pPr>
              <w:pStyle w:val="Default"/>
              <w:rPr>
                <w:rFonts w:ascii="Arial Narrow" w:hAnsi="Arial Narrow"/>
                <w:sz w:val="20"/>
                <w:szCs w:val="20"/>
              </w:rPr>
            </w:pPr>
            <w:r w:rsidRPr="00E84C66">
              <w:rPr>
                <w:rFonts w:ascii="Arial Narrow" w:hAnsi="Arial Narrow"/>
                <w:sz w:val="20"/>
                <w:szCs w:val="20"/>
              </w:rPr>
              <w:t xml:space="preserve">(a) major cytogenetic response [see Note explaining definitions of response]. Where this has been supplied within the previous 12 months (or 18 months for the initial supply), only the date of the relevant pathology report needs to be provided; or </w:t>
            </w:r>
          </w:p>
          <w:p w:rsidR="0047082B" w:rsidRPr="00660EC2" w:rsidRDefault="0047082B" w:rsidP="0047082B">
            <w:pPr>
              <w:pStyle w:val="TableLeft"/>
              <w:widowControl w:val="0"/>
            </w:pPr>
            <w:r w:rsidRPr="00E84C66">
              <w:rPr>
                <w:rFonts w:ascii="Arial Narrow" w:hAnsi="Arial Narrow"/>
                <w:szCs w:val="20"/>
              </w:rPr>
              <w:t>(b) a peripheral blood level of BCR-ABL of less than 1% on the international scale [see Note explaining definitions of response]. Where this has been supplied within the previous 12 months (or 18 months for the initial supply), only the date of the relevant pathology report needs to be provided.</w:t>
            </w:r>
          </w:p>
        </w:tc>
      </w:tr>
    </w:tbl>
    <w:p w:rsidR="0047082B" w:rsidRDefault="0047082B" w:rsidP="0047082B">
      <w:pPr>
        <w:pStyle w:val="NoSpacing"/>
        <w:rPr>
          <w:rFonts w:eastAsiaTheme="majorEastAsia"/>
          <w:lang w:eastAsia="en-US"/>
        </w:rPr>
      </w:pPr>
    </w:p>
    <w:p w:rsidR="0047082B" w:rsidRDefault="0047082B" w:rsidP="0047082B">
      <w:pPr>
        <w:pStyle w:val="NoSpacing"/>
        <w:rPr>
          <w:rFonts w:eastAsiaTheme="majorEastAsia"/>
          <w:lang w:eastAsia="en-US"/>
        </w:rPr>
      </w:pPr>
    </w:p>
    <w:p w:rsidR="0047082B" w:rsidRPr="000D5EBA" w:rsidRDefault="0047082B" w:rsidP="0047082B">
      <w:pPr>
        <w:pStyle w:val="NoSpacing"/>
        <w:spacing w:after="120"/>
        <w:rPr>
          <w:rFonts w:asciiTheme="minorHAnsi" w:eastAsiaTheme="majorEastAsia" w:hAnsiTheme="minorHAnsi" w:cstheme="minorHAnsi"/>
          <w:sz w:val="24"/>
          <w:szCs w:val="24"/>
          <w:lang w:eastAsia="en-US"/>
        </w:rPr>
      </w:pPr>
      <w:r w:rsidRPr="000D5EBA">
        <w:rPr>
          <w:rFonts w:asciiTheme="minorHAnsi" w:eastAsiaTheme="majorEastAsia" w:hAnsiTheme="minorHAnsi" w:cstheme="minorHAnsi"/>
          <w:sz w:val="24"/>
          <w:szCs w:val="24"/>
          <w:lang w:eastAsia="en-US"/>
        </w:rPr>
        <w:t>New benefit:</w:t>
      </w:r>
    </w:p>
    <w:tbl>
      <w:tblPr>
        <w:tblW w:w="4966" w:type="pct"/>
        <w:tblLook w:val="0000" w:firstRow="0" w:lastRow="0" w:firstColumn="0" w:lastColumn="0" w:noHBand="0" w:noVBand="0"/>
      </w:tblPr>
      <w:tblGrid>
        <w:gridCol w:w="2271"/>
        <w:gridCol w:w="6684"/>
      </w:tblGrid>
      <w:tr w:rsidR="0047082B" w:rsidRPr="00CB29EA" w:rsidTr="0047082B">
        <w:trPr>
          <w:cantSplit/>
          <w:trHeight w:val="199"/>
        </w:trPr>
        <w:tc>
          <w:tcPr>
            <w:tcW w:w="1268"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rPr>
                <w:rStyle w:val="SmallBold"/>
                <w:rFonts w:ascii="Arial Narrow" w:hAnsi="Arial Narrow"/>
                <w:szCs w:val="20"/>
              </w:rPr>
            </w:pPr>
            <w:r w:rsidRPr="00CB29EA">
              <w:rPr>
                <w:rStyle w:val="SmallBold"/>
                <w:rFonts w:ascii="Arial Narrow" w:hAnsi="Arial Narrow"/>
                <w:szCs w:val="20"/>
              </w:rPr>
              <w:t>Category / program</w:t>
            </w:r>
          </w:p>
        </w:tc>
        <w:tc>
          <w:tcPr>
            <w:tcW w:w="3732"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rPr>
                <w:rFonts w:ascii="Arial Narrow" w:hAnsi="Arial Narrow"/>
                <w:szCs w:val="20"/>
              </w:rPr>
            </w:pPr>
            <w:r w:rsidRPr="00CB29EA">
              <w:rPr>
                <w:rFonts w:ascii="Arial Narrow" w:hAnsi="Arial Narrow"/>
                <w:szCs w:val="20"/>
              </w:rPr>
              <w:t>General Schedule</w:t>
            </w:r>
          </w:p>
        </w:tc>
      </w:tr>
      <w:tr w:rsidR="0047082B" w:rsidRPr="00CB29EA" w:rsidTr="0047082B">
        <w:trPr>
          <w:cantSplit/>
          <w:trHeight w:val="487"/>
        </w:trPr>
        <w:tc>
          <w:tcPr>
            <w:tcW w:w="1268"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rPr>
                <w:rStyle w:val="SmallBold"/>
                <w:rFonts w:ascii="Arial Narrow" w:hAnsi="Arial Narrow"/>
                <w:szCs w:val="20"/>
              </w:rPr>
            </w:pPr>
            <w:r w:rsidRPr="00CB29EA">
              <w:rPr>
                <w:rStyle w:val="SmallBold"/>
                <w:rFonts w:ascii="Arial Narrow" w:hAnsi="Arial Narrow"/>
                <w:szCs w:val="20"/>
              </w:rPr>
              <w:t>Prescriber type</w:t>
            </w:r>
          </w:p>
        </w:tc>
        <w:tc>
          <w:tcPr>
            <w:tcW w:w="3732" w:type="pct"/>
            <w:tcBorders>
              <w:top w:val="single" w:sz="4" w:space="0" w:color="auto"/>
              <w:left w:val="single" w:sz="4" w:space="0" w:color="auto"/>
              <w:bottom w:val="single" w:sz="4" w:space="0" w:color="auto"/>
              <w:right w:val="single" w:sz="4" w:space="0" w:color="auto"/>
            </w:tcBorders>
            <w:shd w:val="clear" w:color="auto" w:fill="auto"/>
          </w:tcPr>
          <w:p w:rsidR="0047082B" w:rsidRPr="00CB29EA" w:rsidRDefault="0047082B" w:rsidP="0047082B">
            <w:pPr>
              <w:pStyle w:val="TableLeft"/>
              <w:rPr>
                <w:rFonts w:ascii="Arial Narrow" w:hAnsi="Arial Narrow"/>
                <w:szCs w:val="20"/>
              </w:rPr>
            </w:pP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Dental  </w:t>
            </w:r>
            <w:r w:rsidRPr="00CB29EA">
              <w:rPr>
                <w:rFonts w:ascii="Arial Narrow" w:hAnsi="Arial Narrow"/>
                <w:szCs w:val="20"/>
              </w:rPr>
              <w:fldChar w:fldCharType="begin">
                <w:ffData>
                  <w:name w:val=""/>
                  <w:enabled/>
                  <w:calcOnExit w:val="0"/>
                  <w:checkBox>
                    <w:sizeAuto/>
                    <w:default w:val="1"/>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Medical Practitioners  </w:t>
            </w: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Nurse Practitioners</w:t>
            </w:r>
          </w:p>
          <w:p w:rsidR="0047082B" w:rsidRPr="00CB29EA" w:rsidRDefault="0047082B" w:rsidP="0047082B">
            <w:pPr>
              <w:pStyle w:val="TableLeft"/>
              <w:rPr>
                <w:rFonts w:ascii="Arial Narrow" w:hAnsi="Arial Narrow"/>
                <w:szCs w:val="20"/>
              </w:rPr>
            </w:pP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Optometrists  </w:t>
            </w: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Midwives</w:t>
            </w:r>
          </w:p>
        </w:tc>
      </w:tr>
      <w:tr w:rsidR="0047082B" w:rsidRPr="00CB29EA" w:rsidTr="0047082B">
        <w:trPr>
          <w:cantSplit/>
          <w:trHeight w:val="190"/>
        </w:trPr>
        <w:tc>
          <w:tcPr>
            <w:tcW w:w="1268"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rPr>
                <w:rStyle w:val="SmallBold"/>
                <w:rFonts w:ascii="Arial Narrow" w:hAnsi="Arial Narrow"/>
                <w:szCs w:val="20"/>
              </w:rPr>
            </w:pPr>
            <w:r w:rsidRPr="00CB29EA">
              <w:rPr>
                <w:rStyle w:val="SmallBold"/>
                <w:rFonts w:ascii="Arial Narrow" w:hAnsi="Arial Narrow"/>
                <w:szCs w:val="20"/>
              </w:rPr>
              <w:t>Episodicity:</w:t>
            </w:r>
          </w:p>
        </w:tc>
        <w:tc>
          <w:tcPr>
            <w:tcW w:w="3732"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rPr>
                <w:rFonts w:ascii="Arial Narrow" w:hAnsi="Arial Narrow"/>
                <w:szCs w:val="20"/>
              </w:rPr>
            </w:pPr>
            <w:r>
              <w:rPr>
                <w:rFonts w:ascii="Arial Narrow" w:hAnsi="Arial Narrow"/>
                <w:szCs w:val="20"/>
              </w:rPr>
              <w:t>Chronic</w:t>
            </w:r>
          </w:p>
        </w:tc>
      </w:tr>
      <w:tr w:rsidR="0047082B" w:rsidRPr="00CB29EA" w:rsidTr="0047082B">
        <w:trPr>
          <w:cantSplit/>
          <w:trHeight w:val="163"/>
        </w:trPr>
        <w:tc>
          <w:tcPr>
            <w:tcW w:w="1268"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rPr>
                <w:rStyle w:val="SmallBold"/>
                <w:rFonts w:ascii="Arial Narrow" w:hAnsi="Arial Narrow"/>
                <w:szCs w:val="20"/>
              </w:rPr>
            </w:pPr>
            <w:r w:rsidRPr="00CB29EA">
              <w:rPr>
                <w:rStyle w:val="SmallBold"/>
                <w:rFonts w:ascii="Arial Narrow" w:hAnsi="Arial Narrow"/>
                <w:szCs w:val="20"/>
              </w:rPr>
              <w:t>Condition:</w:t>
            </w:r>
          </w:p>
        </w:tc>
        <w:tc>
          <w:tcPr>
            <w:tcW w:w="3732"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rPr>
                <w:rFonts w:ascii="Arial Narrow" w:hAnsi="Arial Narrow"/>
                <w:szCs w:val="20"/>
              </w:rPr>
            </w:pPr>
            <w:r>
              <w:rPr>
                <w:rFonts w:ascii="Arial Narrow" w:hAnsi="Arial Narrow"/>
                <w:szCs w:val="20"/>
              </w:rPr>
              <w:t>Myeloid leukaemia</w:t>
            </w:r>
          </w:p>
        </w:tc>
      </w:tr>
      <w:tr w:rsidR="0047082B" w:rsidRPr="00CB29EA" w:rsidTr="0047082B">
        <w:trPr>
          <w:cantSplit/>
          <w:trHeight w:val="208"/>
        </w:trPr>
        <w:tc>
          <w:tcPr>
            <w:tcW w:w="1268"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rPr>
                <w:rStyle w:val="SmallBold"/>
                <w:rFonts w:ascii="Arial Narrow" w:hAnsi="Arial Narrow"/>
                <w:szCs w:val="20"/>
              </w:rPr>
            </w:pPr>
            <w:r w:rsidRPr="00CB29EA">
              <w:rPr>
                <w:rStyle w:val="SmallBold"/>
                <w:rFonts w:ascii="Arial Narrow" w:hAnsi="Arial Narrow"/>
                <w:szCs w:val="20"/>
              </w:rPr>
              <w:t>PBS Indication:</w:t>
            </w:r>
          </w:p>
        </w:tc>
        <w:tc>
          <w:tcPr>
            <w:tcW w:w="3732"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rPr>
                <w:rFonts w:ascii="Arial Narrow" w:hAnsi="Arial Narrow"/>
                <w:szCs w:val="20"/>
              </w:rPr>
            </w:pPr>
            <w:r>
              <w:rPr>
                <w:rFonts w:ascii="Arial Narrow" w:hAnsi="Arial Narrow"/>
                <w:szCs w:val="20"/>
              </w:rPr>
              <w:t>Chronic myeloid leukaemia (CML)</w:t>
            </w:r>
          </w:p>
        </w:tc>
      </w:tr>
      <w:tr w:rsidR="0047082B" w:rsidRPr="00CB29EA" w:rsidTr="0047082B">
        <w:trPr>
          <w:cantSplit/>
          <w:trHeight w:val="253"/>
        </w:trPr>
        <w:tc>
          <w:tcPr>
            <w:tcW w:w="1268"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rPr>
                <w:rStyle w:val="SmallBold"/>
                <w:rFonts w:ascii="Arial Narrow" w:hAnsi="Arial Narrow"/>
                <w:szCs w:val="20"/>
              </w:rPr>
            </w:pPr>
            <w:r w:rsidRPr="00CB29EA">
              <w:rPr>
                <w:rStyle w:val="SmallBold"/>
                <w:rFonts w:ascii="Arial Narrow" w:hAnsi="Arial Narrow"/>
                <w:szCs w:val="20"/>
              </w:rPr>
              <w:t>Treatment phase:</w:t>
            </w:r>
          </w:p>
        </w:tc>
        <w:tc>
          <w:tcPr>
            <w:tcW w:w="3732" w:type="pct"/>
            <w:tcBorders>
              <w:top w:val="single" w:sz="4" w:space="0" w:color="auto"/>
              <w:left w:val="single" w:sz="4" w:space="0" w:color="auto"/>
              <w:bottom w:val="single" w:sz="4" w:space="0" w:color="auto"/>
              <w:right w:val="single" w:sz="4" w:space="0" w:color="auto"/>
            </w:tcBorders>
          </w:tcPr>
          <w:p w:rsidR="0047082B" w:rsidRPr="001C384B" w:rsidRDefault="0047082B" w:rsidP="0047082B">
            <w:pPr>
              <w:pStyle w:val="TableLeft"/>
              <w:rPr>
                <w:rFonts w:ascii="Arial Narrow" w:hAnsi="Arial Narrow"/>
                <w:szCs w:val="20"/>
              </w:rPr>
            </w:pPr>
            <w:r w:rsidRPr="001C384B">
              <w:rPr>
                <w:rFonts w:ascii="Arial Narrow" w:hAnsi="Arial Narrow"/>
                <w:szCs w:val="20"/>
              </w:rPr>
              <w:t>Subsequent continuing treatment</w:t>
            </w:r>
          </w:p>
        </w:tc>
      </w:tr>
      <w:tr w:rsidR="0047082B" w:rsidRPr="00CB29EA" w:rsidTr="0047082B">
        <w:trPr>
          <w:cantSplit/>
          <w:trHeight w:val="1378"/>
        </w:trPr>
        <w:tc>
          <w:tcPr>
            <w:tcW w:w="1268"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rPr>
                <w:rStyle w:val="SmallBold"/>
                <w:rFonts w:ascii="Arial Narrow" w:hAnsi="Arial Narrow"/>
                <w:szCs w:val="20"/>
              </w:rPr>
            </w:pPr>
            <w:r w:rsidRPr="00CB29EA">
              <w:rPr>
                <w:rStyle w:val="SmallBold"/>
                <w:rFonts w:ascii="Arial Narrow" w:hAnsi="Arial Narrow"/>
                <w:szCs w:val="20"/>
              </w:rPr>
              <w:t>Restriction</w:t>
            </w:r>
            <w:r>
              <w:rPr>
                <w:rStyle w:val="SmallBold"/>
                <w:rFonts w:ascii="Arial Narrow" w:hAnsi="Arial Narrow"/>
                <w:szCs w:val="20"/>
              </w:rPr>
              <w:t xml:space="preserve"> Level / Method</w:t>
            </w:r>
            <w:r w:rsidRPr="00CB29EA">
              <w:rPr>
                <w:rStyle w:val="SmallBold"/>
                <w:rFonts w:ascii="Arial Narrow" w:hAnsi="Arial Narrow"/>
                <w:szCs w:val="20"/>
              </w:rPr>
              <w:t>:</w:t>
            </w:r>
          </w:p>
          <w:p w:rsidR="0047082B" w:rsidRPr="00CB29EA" w:rsidRDefault="0047082B" w:rsidP="0047082B">
            <w:pPr>
              <w:pStyle w:val="TableLeft"/>
              <w:rPr>
                <w:rStyle w:val="SmallBold"/>
                <w:rFonts w:ascii="Arial Narrow" w:hAnsi="Arial Narrow"/>
                <w:szCs w:val="20"/>
              </w:rPr>
            </w:pPr>
          </w:p>
        </w:tc>
        <w:tc>
          <w:tcPr>
            <w:tcW w:w="3732" w:type="pct"/>
            <w:tcBorders>
              <w:top w:val="single" w:sz="4" w:space="0" w:color="auto"/>
              <w:left w:val="single" w:sz="4" w:space="0" w:color="auto"/>
              <w:bottom w:val="single" w:sz="4" w:space="0" w:color="auto"/>
              <w:right w:val="single" w:sz="4" w:space="0" w:color="auto"/>
            </w:tcBorders>
            <w:shd w:val="clear" w:color="auto" w:fill="FFFFFF" w:themeFill="background1"/>
          </w:tcPr>
          <w:p w:rsidR="0047082B" w:rsidRPr="001C384B" w:rsidRDefault="0047082B" w:rsidP="0047082B">
            <w:pPr>
              <w:pStyle w:val="TableLeft"/>
              <w:rPr>
                <w:rFonts w:ascii="Arial Narrow" w:hAnsi="Arial Narrow"/>
                <w:szCs w:val="20"/>
              </w:rPr>
            </w:pPr>
            <w:r w:rsidRPr="001C384B">
              <w:rPr>
                <w:rFonts w:ascii="Arial Narrow" w:hAnsi="Arial Narrow"/>
                <w:szCs w:val="20"/>
              </w:rPr>
              <w:fldChar w:fldCharType="begin">
                <w:ffData>
                  <w:name w:val="Check1"/>
                  <w:enabled/>
                  <w:calcOnExit w:val="0"/>
                  <w:checkBox>
                    <w:sizeAuto/>
                    <w:default w:val="0"/>
                  </w:checkBox>
                </w:ffData>
              </w:fldChar>
            </w:r>
            <w:r w:rsidRPr="001C384B">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1C384B">
              <w:rPr>
                <w:rFonts w:ascii="Arial Narrow" w:hAnsi="Arial Narrow"/>
                <w:szCs w:val="20"/>
              </w:rPr>
              <w:fldChar w:fldCharType="end"/>
            </w:r>
            <w:r w:rsidRPr="001C384B">
              <w:rPr>
                <w:rFonts w:ascii="Arial Narrow" w:hAnsi="Arial Narrow"/>
                <w:szCs w:val="20"/>
              </w:rPr>
              <w:t>Restricted benefit</w:t>
            </w:r>
          </w:p>
          <w:p w:rsidR="0047082B" w:rsidRPr="001C384B" w:rsidRDefault="0047082B" w:rsidP="0047082B">
            <w:pPr>
              <w:pStyle w:val="TableLeft"/>
              <w:rPr>
                <w:rFonts w:ascii="Arial Narrow" w:hAnsi="Arial Narrow"/>
                <w:szCs w:val="20"/>
              </w:rPr>
            </w:pPr>
            <w:r w:rsidRPr="001C384B">
              <w:rPr>
                <w:rFonts w:ascii="Arial Narrow" w:hAnsi="Arial Narrow"/>
                <w:szCs w:val="20"/>
              </w:rPr>
              <w:fldChar w:fldCharType="begin">
                <w:ffData>
                  <w:name w:val=""/>
                  <w:enabled/>
                  <w:calcOnExit w:val="0"/>
                  <w:checkBox>
                    <w:sizeAuto/>
                    <w:default w:val="0"/>
                  </w:checkBox>
                </w:ffData>
              </w:fldChar>
            </w:r>
            <w:r w:rsidRPr="001C384B">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1C384B">
              <w:rPr>
                <w:rFonts w:ascii="Arial Narrow" w:hAnsi="Arial Narrow"/>
                <w:szCs w:val="20"/>
              </w:rPr>
              <w:fldChar w:fldCharType="end"/>
            </w:r>
            <w:r w:rsidRPr="001C384B">
              <w:rPr>
                <w:rFonts w:ascii="Arial Narrow" w:hAnsi="Arial Narrow"/>
                <w:szCs w:val="20"/>
              </w:rPr>
              <w:t>Authority Required - In Writing</w:t>
            </w:r>
          </w:p>
          <w:p w:rsidR="0047082B" w:rsidRPr="001C384B" w:rsidRDefault="0047082B" w:rsidP="0047082B">
            <w:pPr>
              <w:pStyle w:val="TableLeft"/>
              <w:rPr>
                <w:rFonts w:ascii="Arial Narrow" w:hAnsi="Arial Narrow"/>
                <w:szCs w:val="20"/>
              </w:rPr>
            </w:pPr>
            <w:r w:rsidRPr="001C384B">
              <w:rPr>
                <w:rFonts w:ascii="Arial Narrow" w:hAnsi="Arial Narrow"/>
                <w:szCs w:val="20"/>
              </w:rPr>
              <w:fldChar w:fldCharType="begin">
                <w:ffData>
                  <w:name w:val="Check3"/>
                  <w:enabled/>
                  <w:calcOnExit w:val="0"/>
                  <w:checkBox>
                    <w:sizeAuto/>
                    <w:default w:val="1"/>
                  </w:checkBox>
                </w:ffData>
              </w:fldChar>
            </w:r>
            <w:r w:rsidRPr="001C384B">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1C384B">
              <w:rPr>
                <w:rFonts w:ascii="Arial Narrow" w:hAnsi="Arial Narrow"/>
                <w:szCs w:val="20"/>
              </w:rPr>
              <w:fldChar w:fldCharType="end"/>
            </w:r>
            <w:r w:rsidRPr="001C384B">
              <w:rPr>
                <w:rFonts w:ascii="Arial Narrow" w:hAnsi="Arial Narrow"/>
                <w:szCs w:val="20"/>
              </w:rPr>
              <w:t>Authority Required - Telephone</w:t>
            </w:r>
          </w:p>
          <w:p w:rsidR="0047082B" w:rsidRPr="001C384B" w:rsidRDefault="0047082B" w:rsidP="0047082B">
            <w:pPr>
              <w:pStyle w:val="TableLeft"/>
              <w:rPr>
                <w:rFonts w:ascii="Arial Narrow" w:hAnsi="Arial Narrow"/>
                <w:szCs w:val="20"/>
              </w:rPr>
            </w:pPr>
            <w:r w:rsidRPr="001C384B">
              <w:rPr>
                <w:rFonts w:ascii="Arial Narrow" w:hAnsi="Arial Narrow"/>
                <w:szCs w:val="20"/>
              </w:rPr>
              <w:fldChar w:fldCharType="begin">
                <w:ffData>
                  <w:name w:val=""/>
                  <w:enabled/>
                  <w:calcOnExit w:val="0"/>
                  <w:checkBox>
                    <w:sizeAuto/>
                    <w:default w:val="0"/>
                  </w:checkBox>
                </w:ffData>
              </w:fldChar>
            </w:r>
            <w:r w:rsidRPr="001C384B">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1C384B">
              <w:rPr>
                <w:rFonts w:ascii="Arial Narrow" w:hAnsi="Arial Narrow"/>
                <w:szCs w:val="20"/>
              </w:rPr>
              <w:fldChar w:fldCharType="end"/>
            </w:r>
            <w:r w:rsidRPr="001C384B">
              <w:rPr>
                <w:rFonts w:ascii="Arial Narrow" w:hAnsi="Arial Narrow"/>
                <w:szCs w:val="20"/>
              </w:rPr>
              <w:t>Authority Required - Emergency</w:t>
            </w:r>
          </w:p>
          <w:p w:rsidR="0047082B" w:rsidRPr="001C384B" w:rsidRDefault="0047082B" w:rsidP="0047082B">
            <w:pPr>
              <w:pStyle w:val="TableLeft"/>
              <w:rPr>
                <w:rFonts w:ascii="Arial Narrow" w:hAnsi="Arial Narrow"/>
                <w:szCs w:val="20"/>
              </w:rPr>
            </w:pPr>
            <w:r w:rsidRPr="001C384B">
              <w:rPr>
                <w:rFonts w:ascii="Arial Narrow" w:hAnsi="Arial Narrow"/>
                <w:szCs w:val="20"/>
              </w:rPr>
              <w:fldChar w:fldCharType="begin">
                <w:ffData>
                  <w:name w:val=""/>
                  <w:enabled/>
                  <w:calcOnExit w:val="0"/>
                  <w:checkBox>
                    <w:sizeAuto/>
                    <w:default w:val="0"/>
                  </w:checkBox>
                </w:ffData>
              </w:fldChar>
            </w:r>
            <w:r w:rsidRPr="001C384B">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1C384B">
              <w:rPr>
                <w:rFonts w:ascii="Arial Narrow" w:hAnsi="Arial Narrow"/>
                <w:szCs w:val="20"/>
              </w:rPr>
              <w:fldChar w:fldCharType="end"/>
            </w:r>
            <w:r w:rsidRPr="001C384B">
              <w:rPr>
                <w:rFonts w:ascii="Arial Narrow" w:hAnsi="Arial Narrow"/>
                <w:szCs w:val="20"/>
              </w:rPr>
              <w:t>Authority Required - Electronic</w:t>
            </w:r>
          </w:p>
          <w:p w:rsidR="0047082B" w:rsidRPr="001C384B" w:rsidRDefault="0047082B" w:rsidP="0047082B">
            <w:pPr>
              <w:pStyle w:val="TableLeft"/>
              <w:rPr>
                <w:rFonts w:ascii="Arial Narrow" w:hAnsi="Arial Narrow"/>
                <w:szCs w:val="20"/>
              </w:rPr>
            </w:pPr>
            <w:r w:rsidRPr="001C384B">
              <w:rPr>
                <w:rFonts w:ascii="Arial Narrow" w:hAnsi="Arial Narrow"/>
                <w:szCs w:val="20"/>
              </w:rPr>
              <w:fldChar w:fldCharType="begin">
                <w:ffData>
                  <w:name w:val=""/>
                  <w:enabled/>
                  <w:calcOnExit w:val="0"/>
                  <w:checkBox>
                    <w:sizeAuto/>
                    <w:default w:val="0"/>
                  </w:checkBox>
                </w:ffData>
              </w:fldChar>
            </w:r>
            <w:r w:rsidRPr="001C384B">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1C384B">
              <w:rPr>
                <w:rFonts w:ascii="Arial Narrow" w:hAnsi="Arial Narrow"/>
                <w:szCs w:val="20"/>
              </w:rPr>
              <w:fldChar w:fldCharType="end"/>
            </w:r>
            <w:r w:rsidRPr="001C384B">
              <w:rPr>
                <w:rFonts w:ascii="Arial Narrow" w:hAnsi="Arial Narrow"/>
                <w:szCs w:val="20"/>
              </w:rPr>
              <w:t>Streamlined</w:t>
            </w:r>
          </w:p>
        </w:tc>
      </w:tr>
      <w:tr w:rsidR="0047082B" w:rsidRPr="00CB29EA" w:rsidTr="0047082B">
        <w:trPr>
          <w:cantSplit/>
          <w:trHeight w:val="360"/>
        </w:trPr>
        <w:tc>
          <w:tcPr>
            <w:tcW w:w="1268" w:type="pct"/>
            <w:tcBorders>
              <w:top w:val="single" w:sz="4" w:space="0" w:color="auto"/>
              <w:left w:val="single" w:sz="4" w:space="0" w:color="auto"/>
              <w:bottom w:val="single" w:sz="4" w:space="0" w:color="auto"/>
              <w:right w:val="single" w:sz="4" w:space="0" w:color="auto"/>
            </w:tcBorders>
          </w:tcPr>
          <w:p w:rsidR="0047082B" w:rsidRPr="00CB29EA" w:rsidRDefault="0047082B" w:rsidP="0047082B">
            <w:pPr>
              <w:pStyle w:val="TableLeft"/>
              <w:keepNext/>
              <w:rPr>
                <w:rStyle w:val="SmallBold"/>
                <w:rFonts w:ascii="Arial Narrow" w:hAnsi="Arial Narrow"/>
                <w:szCs w:val="20"/>
              </w:rPr>
            </w:pPr>
            <w:r w:rsidRPr="00CB29EA">
              <w:rPr>
                <w:rStyle w:val="SmallBold"/>
                <w:rFonts w:ascii="Arial Narrow" w:hAnsi="Arial Narrow"/>
                <w:szCs w:val="20"/>
              </w:rPr>
              <w:t>Clinical criteria:</w:t>
            </w:r>
          </w:p>
          <w:p w:rsidR="0047082B" w:rsidRPr="00CB29EA" w:rsidRDefault="0047082B" w:rsidP="0047082B">
            <w:pPr>
              <w:pStyle w:val="TableLeft"/>
              <w:keepNext/>
              <w:rPr>
                <w:rStyle w:val="SmallBold"/>
                <w:rFonts w:ascii="Arial Narrow" w:hAnsi="Arial Narrow"/>
                <w:szCs w:val="20"/>
              </w:rPr>
            </w:pPr>
          </w:p>
        </w:tc>
        <w:tc>
          <w:tcPr>
            <w:tcW w:w="3732" w:type="pct"/>
            <w:tcBorders>
              <w:top w:val="single" w:sz="4" w:space="0" w:color="auto"/>
              <w:left w:val="single" w:sz="4" w:space="0" w:color="auto"/>
              <w:bottom w:val="single" w:sz="4" w:space="0" w:color="auto"/>
              <w:right w:val="single" w:sz="4" w:space="0" w:color="auto"/>
            </w:tcBorders>
          </w:tcPr>
          <w:p w:rsidR="0047082B" w:rsidRPr="001C384B" w:rsidRDefault="0047082B" w:rsidP="0047082B">
            <w:pPr>
              <w:pStyle w:val="Default"/>
              <w:rPr>
                <w:rFonts w:ascii="Arial Narrow" w:hAnsi="Arial Narrow"/>
                <w:sz w:val="20"/>
                <w:szCs w:val="20"/>
              </w:rPr>
            </w:pPr>
            <w:r w:rsidRPr="00FC5E2B">
              <w:rPr>
                <w:rFonts w:ascii="Arial Narrow" w:hAnsi="Arial Narrow"/>
                <w:sz w:val="20"/>
                <w:szCs w:val="20"/>
              </w:rPr>
              <w:t>The condition must be in the chronic phase</w:t>
            </w:r>
            <w:r w:rsidRPr="001C384B">
              <w:rPr>
                <w:rFonts w:ascii="Arial Narrow" w:hAnsi="Arial Narrow"/>
                <w:sz w:val="20"/>
                <w:szCs w:val="20"/>
              </w:rPr>
              <w:t xml:space="preserve">, </w:t>
            </w:r>
          </w:p>
          <w:p w:rsidR="0047082B" w:rsidRPr="001C384B" w:rsidRDefault="0047082B" w:rsidP="0047082B">
            <w:pPr>
              <w:pStyle w:val="Default"/>
              <w:rPr>
                <w:rFonts w:ascii="Arial Narrow" w:hAnsi="Arial Narrow"/>
                <w:sz w:val="20"/>
                <w:szCs w:val="20"/>
              </w:rPr>
            </w:pPr>
            <w:r w:rsidRPr="001C384B">
              <w:rPr>
                <w:rFonts w:ascii="Arial Narrow" w:hAnsi="Arial Narrow"/>
                <w:sz w:val="20"/>
                <w:szCs w:val="20"/>
              </w:rPr>
              <w:t xml:space="preserve">AND </w:t>
            </w:r>
          </w:p>
          <w:p w:rsidR="0047082B" w:rsidRPr="001C384B" w:rsidRDefault="0047082B" w:rsidP="0047082B">
            <w:pPr>
              <w:pStyle w:val="Default"/>
              <w:rPr>
                <w:rFonts w:ascii="Arial Narrow" w:hAnsi="Arial Narrow"/>
                <w:sz w:val="20"/>
                <w:szCs w:val="20"/>
              </w:rPr>
            </w:pPr>
            <w:r w:rsidRPr="001C384B">
              <w:rPr>
                <w:rFonts w:ascii="Arial Narrow" w:hAnsi="Arial Narrow"/>
                <w:sz w:val="20"/>
                <w:szCs w:val="20"/>
              </w:rPr>
              <w:t>Patient must have received the First continuing PBS-subsidised treatment with this drug</w:t>
            </w:r>
            <w:r>
              <w:rPr>
                <w:rFonts w:ascii="Arial Narrow" w:hAnsi="Arial Narrow"/>
                <w:sz w:val="20"/>
                <w:szCs w:val="20"/>
              </w:rPr>
              <w:t xml:space="preserve"> </w:t>
            </w:r>
            <w:r>
              <w:rPr>
                <w:rFonts w:ascii="Arial Narrow" w:hAnsi="Arial Narrow"/>
                <w:i/>
                <w:sz w:val="20"/>
                <w:szCs w:val="20"/>
              </w:rPr>
              <w:t>for this condition</w:t>
            </w:r>
            <w:r w:rsidRPr="001C384B">
              <w:rPr>
                <w:rFonts w:ascii="Arial Narrow" w:hAnsi="Arial Narrow"/>
                <w:sz w:val="20"/>
                <w:szCs w:val="20"/>
              </w:rPr>
              <w:t xml:space="preserve">, </w:t>
            </w:r>
          </w:p>
          <w:p w:rsidR="0047082B" w:rsidRPr="001C384B" w:rsidRDefault="0047082B" w:rsidP="0047082B">
            <w:pPr>
              <w:pStyle w:val="Default"/>
              <w:rPr>
                <w:rFonts w:ascii="Arial Narrow" w:hAnsi="Arial Narrow"/>
                <w:sz w:val="20"/>
                <w:szCs w:val="20"/>
              </w:rPr>
            </w:pPr>
            <w:r w:rsidRPr="001C384B">
              <w:rPr>
                <w:rFonts w:ascii="Arial Narrow" w:hAnsi="Arial Narrow"/>
                <w:sz w:val="20"/>
                <w:szCs w:val="20"/>
              </w:rPr>
              <w:t xml:space="preserve">AND </w:t>
            </w:r>
          </w:p>
          <w:p w:rsidR="0047082B" w:rsidRPr="001C384B" w:rsidRDefault="0047082B" w:rsidP="0047082B">
            <w:pPr>
              <w:pStyle w:val="TableLeft"/>
              <w:keepNext/>
              <w:rPr>
                <w:rFonts w:ascii="Arial Narrow" w:hAnsi="Arial Narrow"/>
                <w:szCs w:val="20"/>
              </w:rPr>
            </w:pPr>
            <w:r w:rsidRPr="001C384B">
              <w:rPr>
                <w:rFonts w:ascii="Arial Narrow" w:hAnsi="Arial Narrow"/>
                <w:szCs w:val="20"/>
              </w:rPr>
              <w:t>Patient must have maintained a major cytogenetic response, OR</w:t>
            </w:r>
          </w:p>
          <w:p w:rsidR="0047082B" w:rsidRPr="001C384B" w:rsidRDefault="0047082B" w:rsidP="0047082B">
            <w:pPr>
              <w:pStyle w:val="TableLeft"/>
              <w:keepNext/>
              <w:rPr>
                <w:rFonts w:ascii="Arial Narrow" w:hAnsi="Arial Narrow"/>
                <w:szCs w:val="20"/>
              </w:rPr>
            </w:pPr>
            <w:r w:rsidRPr="001C384B">
              <w:rPr>
                <w:rFonts w:ascii="Arial Narrow" w:hAnsi="Arial Narrow"/>
                <w:szCs w:val="20"/>
              </w:rPr>
              <w:t>Patient must have maintained a peripheral blood level of BCR-ABL of less than 1%,</w:t>
            </w:r>
          </w:p>
          <w:p w:rsidR="0047082B" w:rsidRPr="001C384B" w:rsidRDefault="0047082B" w:rsidP="0047082B">
            <w:pPr>
              <w:pStyle w:val="Default"/>
              <w:rPr>
                <w:rFonts w:ascii="Arial Narrow" w:hAnsi="Arial Narrow"/>
                <w:sz w:val="20"/>
                <w:szCs w:val="20"/>
              </w:rPr>
            </w:pPr>
            <w:r w:rsidRPr="001C384B">
              <w:rPr>
                <w:rFonts w:ascii="Arial Narrow" w:hAnsi="Arial Narrow"/>
                <w:sz w:val="20"/>
                <w:szCs w:val="20"/>
              </w:rPr>
              <w:t xml:space="preserve">AND </w:t>
            </w:r>
          </w:p>
          <w:p w:rsidR="0047082B" w:rsidRPr="001C384B" w:rsidRDefault="0047082B" w:rsidP="0047082B">
            <w:pPr>
              <w:pStyle w:val="TableLeft"/>
              <w:keepNext/>
              <w:rPr>
                <w:rFonts w:ascii="Arial Narrow" w:hAnsi="Arial Narrow"/>
                <w:szCs w:val="20"/>
              </w:rPr>
            </w:pPr>
            <w:r w:rsidRPr="001C384B">
              <w:rPr>
                <w:rFonts w:ascii="Arial Narrow" w:hAnsi="Arial Narrow"/>
                <w:szCs w:val="20"/>
              </w:rPr>
              <w:t>The treatment must be the sole PBS-subsidised therapy for this condition.</w:t>
            </w:r>
          </w:p>
        </w:tc>
      </w:tr>
    </w:tbl>
    <w:p w:rsidR="0028367C" w:rsidRDefault="0028367C" w:rsidP="0028367C">
      <w:pPr>
        <w:rPr>
          <w:rFonts w:eastAsiaTheme="minorHAnsi"/>
        </w:rPr>
      </w:pPr>
    </w:p>
    <w:p w:rsidR="008B1EA4" w:rsidRPr="008B1EA4" w:rsidRDefault="008B1EA4" w:rsidP="008B1EA4">
      <w:pPr>
        <w:widowControl w:val="0"/>
        <w:numPr>
          <w:ilvl w:val="1"/>
          <w:numId w:val="5"/>
        </w:numPr>
        <w:spacing w:after="120"/>
        <w:jc w:val="both"/>
        <w:rPr>
          <w:rFonts w:asciiTheme="minorHAnsi" w:hAnsiTheme="minorHAnsi"/>
        </w:rPr>
      </w:pPr>
      <w:r>
        <w:rPr>
          <w:rFonts w:asciiTheme="minorHAnsi" w:hAnsiTheme="minorHAnsi"/>
        </w:rPr>
        <w:t xml:space="preserve">The pre-PBAC response noted the </w:t>
      </w:r>
      <w:r w:rsidRPr="008B1EA4">
        <w:rPr>
          <w:rFonts w:asciiTheme="minorHAnsi" w:hAnsiTheme="minorHAnsi"/>
        </w:rPr>
        <w:t>existing CML continuing treatment restrictions for dasatinib, imatinib and nilotinib that include a criterion regarding the need for the condition to be in the chronic phase, only apply to continuing treatment in the first-line setting. The nilotinib and dasatinib restrictions for continuing treatment in subsequent lines of therapy do not include a criterion for the condition to be in chronic phase.</w:t>
      </w:r>
      <w:r>
        <w:rPr>
          <w:rFonts w:asciiTheme="minorHAnsi" w:hAnsiTheme="minorHAnsi"/>
        </w:rPr>
        <w:t xml:space="preserve"> The pre-PBAC response argued that p</w:t>
      </w:r>
      <w:r w:rsidRPr="008B1EA4">
        <w:rPr>
          <w:rFonts w:asciiTheme="minorHAnsi" w:hAnsiTheme="minorHAnsi"/>
        </w:rPr>
        <w:t>onatinib is generally used as the last-line treatment option for CML patients</w:t>
      </w:r>
      <w:r>
        <w:rPr>
          <w:rFonts w:asciiTheme="minorHAnsi" w:hAnsiTheme="minorHAnsi"/>
        </w:rPr>
        <w:t xml:space="preserve"> and </w:t>
      </w:r>
      <w:r w:rsidRPr="008B1EA4">
        <w:rPr>
          <w:rFonts w:asciiTheme="minorHAnsi" w:hAnsiTheme="minorHAnsi"/>
        </w:rPr>
        <w:t>should be available to patients in all phases.</w:t>
      </w:r>
      <w:r>
        <w:rPr>
          <w:rFonts w:asciiTheme="minorHAnsi" w:hAnsiTheme="minorHAnsi"/>
        </w:rPr>
        <w:t xml:space="preserve"> </w:t>
      </w:r>
      <w:r w:rsidR="001D65BA">
        <w:rPr>
          <w:rFonts w:asciiTheme="minorHAnsi" w:hAnsiTheme="minorHAnsi"/>
        </w:rPr>
        <w:t xml:space="preserve">The PBAC noted that the existing continuing restriction for ponatinib does not include a clinical criterion for the condition to be in the chronic phase and considered that that it followed that this was not required for the proposed subsequent continuing restriction. </w:t>
      </w:r>
    </w:p>
    <w:p w:rsidR="0028367C" w:rsidRPr="003E15A4" w:rsidRDefault="003C2DFD" w:rsidP="003E15A4">
      <w:pPr>
        <w:ind w:left="720"/>
        <w:rPr>
          <w:rFonts w:asciiTheme="minorHAnsi" w:eastAsiaTheme="minorHAnsi" w:hAnsiTheme="minorHAnsi" w:cstheme="minorHAnsi"/>
          <w:i/>
        </w:rPr>
      </w:pPr>
      <w:r w:rsidRPr="000D5EBA">
        <w:rPr>
          <w:rFonts w:asciiTheme="minorHAnsi" w:eastAsiaTheme="minorHAnsi" w:hAnsiTheme="minorHAnsi" w:cstheme="minorHAnsi"/>
          <w:i/>
        </w:rPr>
        <w:t>For more detail on PBAC’s view, see section 6 PBAC outcome.</w:t>
      </w:r>
      <w:r>
        <w:rPr>
          <w:rFonts w:asciiTheme="minorHAnsi" w:eastAsiaTheme="minorHAnsi" w:hAnsiTheme="minorHAnsi" w:cstheme="minorHAnsi"/>
          <w:i/>
        </w:rPr>
        <w:t xml:space="preserve"> </w:t>
      </w:r>
    </w:p>
    <w:p w:rsidR="005A77D0" w:rsidRDefault="005A77D0" w:rsidP="00990FA9">
      <w:pPr>
        <w:pStyle w:val="Heading1"/>
      </w:pPr>
      <w:r>
        <w:t xml:space="preserve">Current situation </w:t>
      </w:r>
    </w:p>
    <w:p w:rsidR="00982FB8" w:rsidRPr="006F026A" w:rsidRDefault="005153BB" w:rsidP="004A15F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minor submission </w:t>
      </w:r>
      <w:r w:rsidR="00736373">
        <w:rPr>
          <w:rFonts w:asciiTheme="minorHAnsi" w:eastAsiaTheme="minorHAnsi" w:hAnsiTheme="minorHAnsi" w:cstheme="minorBidi"/>
          <w:snapToGrid/>
          <w:sz w:val="24"/>
          <w:szCs w:val="22"/>
        </w:rPr>
        <w:t xml:space="preserve">presented PBS usage data for </w:t>
      </w:r>
      <w:r w:rsidR="006969B9">
        <w:rPr>
          <w:rFonts w:asciiTheme="minorHAnsi" w:eastAsiaTheme="minorHAnsi" w:hAnsiTheme="minorHAnsi" w:cstheme="minorBidi"/>
          <w:snapToGrid/>
          <w:sz w:val="24"/>
          <w:szCs w:val="22"/>
        </w:rPr>
        <w:t>ponatinib</w:t>
      </w:r>
      <w:r w:rsidR="00736373">
        <w:rPr>
          <w:rFonts w:asciiTheme="minorHAnsi" w:eastAsiaTheme="minorHAnsi" w:hAnsiTheme="minorHAnsi" w:cstheme="minorBidi"/>
          <w:snapToGrid/>
          <w:sz w:val="24"/>
          <w:szCs w:val="22"/>
        </w:rPr>
        <w:t xml:space="preserve"> indicating that uptake was lower than</w:t>
      </w:r>
      <w:r w:rsidR="006969B9">
        <w:rPr>
          <w:rFonts w:asciiTheme="minorHAnsi" w:eastAsiaTheme="minorHAnsi" w:hAnsiTheme="minorHAnsi" w:cstheme="minorBidi"/>
          <w:snapToGrid/>
          <w:sz w:val="24"/>
          <w:szCs w:val="22"/>
        </w:rPr>
        <w:t xml:space="preserve"> estimated in </w:t>
      </w:r>
      <w:r w:rsidR="00982FB8">
        <w:rPr>
          <w:rFonts w:asciiTheme="minorHAnsi" w:eastAsiaTheme="minorHAnsi" w:hAnsiTheme="minorHAnsi" w:cstheme="minorBidi"/>
          <w:snapToGrid/>
          <w:sz w:val="24"/>
          <w:szCs w:val="22"/>
        </w:rPr>
        <w:t xml:space="preserve">the </w:t>
      </w:r>
      <w:r w:rsidR="00736373">
        <w:rPr>
          <w:rFonts w:asciiTheme="minorHAnsi" w:eastAsiaTheme="minorHAnsi" w:hAnsiTheme="minorHAnsi" w:cstheme="minorBidi"/>
          <w:snapToGrid/>
          <w:sz w:val="24"/>
          <w:szCs w:val="22"/>
        </w:rPr>
        <w:t>2015</w:t>
      </w:r>
      <w:r w:rsidR="00982FB8">
        <w:rPr>
          <w:rFonts w:asciiTheme="minorHAnsi" w:eastAsiaTheme="minorHAnsi" w:hAnsiTheme="minorHAnsi" w:cstheme="minorBidi"/>
          <w:snapToGrid/>
          <w:sz w:val="24"/>
          <w:szCs w:val="22"/>
        </w:rPr>
        <w:t xml:space="preserve"> submission</w:t>
      </w:r>
      <w:r w:rsidR="00DC26C9">
        <w:rPr>
          <w:rFonts w:asciiTheme="minorHAnsi" w:eastAsiaTheme="minorHAnsi" w:hAnsiTheme="minorHAnsi" w:cstheme="minorBidi"/>
          <w:snapToGrid/>
          <w:sz w:val="24"/>
          <w:szCs w:val="22"/>
        </w:rPr>
        <w:t xml:space="preserve"> (Table 1)</w:t>
      </w:r>
      <w:r w:rsidR="00276A2A">
        <w:rPr>
          <w:rFonts w:asciiTheme="minorHAnsi" w:eastAsiaTheme="minorHAnsi" w:hAnsiTheme="minorHAnsi" w:cstheme="minorBidi"/>
          <w:snapToGrid/>
          <w:sz w:val="24"/>
          <w:szCs w:val="22"/>
        </w:rPr>
        <w:t>.</w:t>
      </w:r>
      <w:r w:rsidR="00736373">
        <w:rPr>
          <w:rFonts w:asciiTheme="minorHAnsi" w:eastAsiaTheme="minorHAnsi" w:hAnsiTheme="minorHAnsi" w:cstheme="minorBidi"/>
          <w:snapToGrid/>
          <w:sz w:val="24"/>
          <w:szCs w:val="22"/>
        </w:rPr>
        <w:t xml:space="preserve"> </w:t>
      </w:r>
    </w:p>
    <w:p w:rsidR="006F026A" w:rsidRPr="006F026A" w:rsidRDefault="006F026A" w:rsidP="006F026A">
      <w:pPr>
        <w:pStyle w:val="TableLeft"/>
        <w:rPr>
          <w:rFonts w:ascii="Arial Narrow" w:hAnsi="Arial Narrow"/>
          <w:b/>
        </w:rPr>
      </w:pPr>
      <w:r w:rsidRPr="006F026A">
        <w:rPr>
          <w:rFonts w:ascii="Arial Narrow" w:hAnsi="Arial Narrow"/>
          <w:b/>
        </w:rPr>
        <w:t>Table 1: Ponatinib PBS services per year</w:t>
      </w:r>
    </w:p>
    <w:tbl>
      <w:tblPr>
        <w:tblStyle w:val="TableGrid"/>
        <w:tblW w:w="0" w:type="auto"/>
        <w:tblLook w:val="04A0" w:firstRow="1" w:lastRow="0" w:firstColumn="1" w:lastColumn="0" w:noHBand="0" w:noVBand="1"/>
      </w:tblPr>
      <w:tblGrid>
        <w:gridCol w:w="2684"/>
        <w:gridCol w:w="1056"/>
        <w:gridCol w:w="1055"/>
        <w:gridCol w:w="1055"/>
        <w:gridCol w:w="1055"/>
        <w:gridCol w:w="1055"/>
        <w:gridCol w:w="1056"/>
      </w:tblGrid>
      <w:tr w:rsidR="00195F54" w:rsidRPr="00FC5E2B" w:rsidTr="00195F54">
        <w:tc>
          <w:tcPr>
            <w:tcW w:w="2761" w:type="dxa"/>
          </w:tcPr>
          <w:p w:rsidR="00982FB8" w:rsidRPr="00FC5E2B" w:rsidRDefault="00982FB8" w:rsidP="00195F54">
            <w:pPr>
              <w:rPr>
                <w:rFonts w:ascii="Arial Narrow" w:hAnsi="Arial Narrow"/>
                <w:sz w:val="20"/>
                <w:szCs w:val="20"/>
              </w:rPr>
            </w:pPr>
          </w:p>
        </w:tc>
        <w:tc>
          <w:tcPr>
            <w:tcW w:w="1080" w:type="dxa"/>
          </w:tcPr>
          <w:p w:rsidR="00982FB8" w:rsidRPr="00FC5E2B" w:rsidRDefault="00982FB8" w:rsidP="00195F54">
            <w:pPr>
              <w:rPr>
                <w:rFonts w:ascii="Arial Narrow" w:hAnsi="Arial Narrow"/>
                <w:b/>
                <w:sz w:val="20"/>
                <w:szCs w:val="20"/>
              </w:rPr>
            </w:pPr>
            <w:r w:rsidRPr="00FC5E2B">
              <w:rPr>
                <w:rFonts w:ascii="Arial Narrow" w:hAnsi="Arial Narrow"/>
                <w:b/>
                <w:sz w:val="20"/>
                <w:szCs w:val="20"/>
              </w:rPr>
              <w:t>Year 0</w:t>
            </w:r>
          </w:p>
          <w:p w:rsidR="00982FB8" w:rsidRPr="00FC5E2B" w:rsidRDefault="00982FB8" w:rsidP="00195F54">
            <w:pPr>
              <w:rPr>
                <w:rFonts w:ascii="Arial Narrow" w:hAnsi="Arial Narrow"/>
                <w:b/>
                <w:sz w:val="20"/>
                <w:szCs w:val="20"/>
              </w:rPr>
            </w:pPr>
            <w:r w:rsidRPr="00FC5E2B">
              <w:rPr>
                <w:rFonts w:ascii="Arial Narrow" w:hAnsi="Arial Narrow"/>
                <w:b/>
                <w:sz w:val="20"/>
                <w:szCs w:val="20"/>
              </w:rPr>
              <w:t>(2015)</w:t>
            </w:r>
          </w:p>
        </w:tc>
        <w:tc>
          <w:tcPr>
            <w:tcW w:w="1080" w:type="dxa"/>
          </w:tcPr>
          <w:p w:rsidR="00982FB8" w:rsidRPr="00FC5E2B" w:rsidRDefault="00982FB8" w:rsidP="00195F54">
            <w:pPr>
              <w:rPr>
                <w:rFonts w:ascii="Arial Narrow" w:hAnsi="Arial Narrow"/>
                <w:b/>
                <w:sz w:val="20"/>
                <w:szCs w:val="20"/>
              </w:rPr>
            </w:pPr>
            <w:r w:rsidRPr="00FC5E2B">
              <w:rPr>
                <w:rFonts w:ascii="Arial Narrow" w:hAnsi="Arial Narrow"/>
                <w:b/>
                <w:sz w:val="20"/>
                <w:szCs w:val="20"/>
              </w:rPr>
              <w:t>Year 1</w:t>
            </w:r>
          </w:p>
          <w:p w:rsidR="00982FB8" w:rsidRPr="00FC5E2B" w:rsidRDefault="00982FB8" w:rsidP="00195F54">
            <w:pPr>
              <w:rPr>
                <w:rFonts w:ascii="Arial Narrow" w:hAnsi="Arial Narrow"/>
                <w:b/>
                <w:sz w:val="20"/>
                <w:szCs w:val="20"/>
              </w:rPr>
            </w:pPr>
            <w:r w:rsidRPr="00FC5E2B">
              <w:rPr>
                <w:rFonts w:ascii="Arial Narrow" w:hAnsi="Arial Narrow"/>
                <w:b/>
                <w:sz w:val="20"/>
                <w:szCs w:val="20"/>
              </w:rPr>
              <w:t>(2016)</w:t>
            </w:r>
          </w:p>
        </w:tc>
        <w:tc>
          <w:tcPr>
            <w:tcW w:w="1080" w:type="dxa"/>
          </w:tcPr>
          <w:p w:rsidR="00982FB8" w:rsidRPr="00FC5E2B" w:rsidRDefault="00982FB8" w:rsidP="00195F54">
            <w:pPr>
              <w:rPr>
                <w:rFonts w:ascii="Arial Narrow" w:hAnsi="Arial Narrow"/>
                <w:b/>
                <w:sz w:val="20"/>
                <w:szCs w:val="20"/>
              </w:rPr>
            </w:pPr>
            <w:r w:rsidRPr="00FC5E2B">
              <w:rPr>
                <w:rFonts w:ascii="Arial Narrow" w:hAnsi="Arial Narrow"/>
                <w:b/>
                <w:sz w:val="20"/>
                <w:szCs w:val="20"/>
              </w:rPr>
              <w:t xml:space="preserve">Year 2 </w:t>
            </w:r>
          </w:p>
          <w:p w:rsidR="00982FB8" w:rsidRPr="00FC5E2B" w:rsidRDefault="00982FB8" w:rsidP="00195F54">
            <w:pPr>
              <w:rPr>
                <w:rFonts w:ascii="Arial Narrow" w:hAnsi="Arial Narrow"/>
                <w:b/>
                <w:sz w:val="20"/>
                <w:szCs w:val="20"/>
              </w:rPr>
            </w:pPr>
            <w:r w:rsidRPr="00FC5E2B">
              <w:rPr>
                <w:rFonts w:ascii="Arial Narrow" w:hAnsi="Arial Narrow"/>
                <w:b/>
                <w:sz w:val="20"/>
                <w:szCs w:val="20"/>
              </w:rPr>
              <w:t>(2017)</w:t>
            </w:r>
          </w:p>
        </w:tc>
        <w:tc>
          <w:tcPr>
            <w:tcW w:w="1080" w:type="dxa"/>
          </w:tcPr>
          <w:p w:rsidR="00982FB8" w:rsidRPr="00FC5E2B" w:rsidRDefault="00982FB8" w:rsidP="00195F54">
            <w:pPr>
              <w:rPr>
                <w:rFonts w:ascii="Arial Narrow" w:hAnsi="Arial Narrow"/>
                <w:b/>
                <w:sz w:val="20"/>
                <w:szCs w:val="20"/>
              </w:rPr>
            </w:pPr>
            <w:r w:rsidRPr="00FC5E2B">
              <w:rPr>
                <w:rFonts w:ascii="Arial Narrow" w:hAnsi="Arial Narrow"/>
                <w:b/>
                <w:sz w:val="20"/>
                <w:szCs w:val="20"/>
              </w:rPr>
              <w:t>Year 3</w:t>
            </w:r>
          </w:p>
          <w:p w:rsidR="00982FB8" w:rsidRPr="00FC5E2B" w:rsidRDefault="00982FB8" w:rsidP="00195F54">
            <w:pPr>
              <w:rPr>
                <w:rFonts w:ascii="Arial Narrow" w:hAnsi="Arial Narrow"/>
                <w:b/>
                <w:sz w:val="20"/>
                <w:szCs w:val="20"/>
              </w:rPr>
            </w:pPr>
            <w:r w:rsidRPr="00FC5E2B">
              <w:rPr>
                <w:rFonts w:ascii="Arial Narrow" w:hAnsi="Arial Narrow"/>
                <w:b/>
                <w:sz w:val="20"/>
                <w:szCs w:val="20"/>
              </w:rPr>
              <w:t>(2018)</w:t>
            </w:r>
          </w:p>
        </w:tc>
        <w:tc>
          <w:tcPr>
            <w:tcW w:w="1080" w:type="dxa"/>
          </w:tcPr>
          <w:p w:rsidR="00982FB8" w:rsidRPr="00FC5E2B" w:rsidRDefault="00982FB8" w:rsidP="00195F54">
            <w:pPr>
              <w:rPr>
                <w:rFonts w:ascii="Arial Narrow" w:hAnsi="Arial Narrow"/>
                <w:b/>
                <w:sz w:val="20"/>
                <w:szCs w:val="20"/>
              </w:rPr>
            </w:pPr>
            <w:r w:rsidRPr="00FC5E2B">
              <w:rPr>
                <w:rFonts w:ascii="Arial Narrow" w:hAnsi="Arial Narrow"/>
                <w:b/>
                <w:sz w:val="20"/>
                <w:szCs w:val="20"/>
              </w:rPr>
              <w:t>Year 4</w:t>
            </w:r>
          </w:p>
          <w:p w:rsidR="00982FB8" w:rsidRPr="00FC5E2B" w:rsidRDefault="00982FB8" w:rsidP="00195F54">
            <w:pPr>
              <w:rPr>
                <w:rFonts w:ascii="Arial Narrow" w:hAnsi="Arial Narrow"/>
                <w:b/>
                <w:sz w:val="20"/>
                <w:szCs w:val="20"/>
              </w:rPr>
            </w:pPr>
            <w:r w:rsidRPr="00FC5E2B">
              <w:rPr>
                <w:rFonts w:ascii="Arial Narrow" w:hAnsi="Arial Narrow"/>
                <w:b/>
                <w:sz w:val="20"/>
                <w:szCs w:val="20"/>
              </w:rPr>
              <w:t>(2019)</w:t>
            </w:r>
          </w:p>
        </w:tc>
        <w:tc>
          <w:tcPr>
            <w:tcW w:w="1081" w:type="dxa"/>
          </w:tcPr>
          <w:p w:rsidR="00982FB8" w:rsidRPr="00FC5E2B" w:rsidRDefault="00982FB8" w:rsidP="00195F54">
            <w:pPr>
              <w:rPr>
                <w:rFonts w:ascii="Arial Narrow" w:hAnsi="Arial Narrow"/>
                <w:b/>
                <w:sz w:val="20"/>
                <w:szCs w:val="20"/>
              </w:rPr>
            </w:pPr>
            <w:r w:rsidRPr="00FC5E2B">
              <w:rPr>
                <w:rFonts w:ascii="Arial Narrow" w:hAnsi="Arial Narrow"/>
                <w:b/>
                <w:sz w:val="20"/>
                <w:szCs w:val="20"/>
              </w:rPr>
              <w:t>Year 5</w:t>
            </w:r>
          </w:p>
          <w:p w:rsidR="00982FB8" w:rsidRPr="00FC5E2B" w:rsidRDefault="00982FB8" w:rsidP="00195F54">
            <w:pPr>
              <w:rPr>
                <w:rFonts w:ascii="Arial Narrow" w:hAnsi="Arial Narrow"/>
                <w:b/>
                <w:sz w:val="20"/>
                <w:szCs w:val="20"/>
              </w:rPr>
            </w:pPr>
            <w:r w:rsidRPr="00FC5E2B">
              <w:rPr>
                <w:rFonts w:ascii="Arial Narrow" w:hAnsi="Arial Narrow"/>
                <w:b/>
                <w:sz w:val="20"/>
                <w:szCs w:val="20"/>
              </w:rPr>
              <w:t>(2020)</w:t>
            </w:r>
          </w:p>
        </w:tc>
      </w:tr>
      <w:tr w:rsidR="00982FB8" w:rsidRPr="00FC5E2B" w:rsidTr="007B7179">
        <w:tc>
          <w:tcPr>
            <w:tcW w:w="9242" w:type="dxa"/>
            <w:gridSpan w:val="7"/>
          </w:tcPr>
          <w:p w:rsidR="00982FB8" w:rsidRPr="00FC5E2B" w:rsidRDefault="00982FB8" w:rsidP="00195F54">
            <w:pPr>
              <w:rPr>
                <w:rFonts w:ascii="Arial Narrow" w:hAnsi="Arial Narrow"/>
                <w:b/>
                <w:sz w:val="20"/>
                <w:szCs w:val="20"/>
                <w:vertAlign w:val="superscript"/>
              </w:rPr>
            </w:pPr>
            <w:r w:rsidRPr="00FC5E2B">
              <w:rPr>
                <w:rFonts w:ascii="Arial Narrow" w:hAnsi="Arial Narrow"/>
                <w:b/>
                <w:sz w:val="20"/>
                <w:szCs w:val="20"/>
              </w:rPr>
              <w:t>Estimated PBS services for ponatinib</w:t>
            </w:r>
            <w:r w:rsidRPr="00FC5E2B">
              <w:rPr>
                <w:rFonts w:ascii="Arial Narrow" w:hAnsi="Arial Narrow"/>
                <w:b/>
                <w:sz w:val="20"/>
                <w:szCs w:val="20"/>
                <w:vertAlign w:val="superscript"/>
              </w:rPr>
              <w:t>a</w:t>
            </w:r>
          </w:p>
        </w:tc>
      </w:tr>
      <w:tr w:rsidR="00195F54" w:rsidRPr="00FC5E2B" w:rsidTr="00195F54">
        <w:tc>
          <w:tcPr>
            <w:tcW w:w="2761" w:type="dxa"/>
          </w:tcPr>
          <w:p w:rsidR="00982FB8" w:rsidRPr="00FC5E2B" w:rsidRDefault="00982FB8" w:rsidP="00195F54">
            <w:pPr>
              <w:rPr>
                <w:rFonts w:ascii="Arial Narrow" w:hAnsi="Arial Narrow"/>
                <w:sz w:val="20"/>
                <w:szCs w:val="20"/>
              </w:rPr>
            </w:pPr>
            <w:r w:rsidRPr="00FC5E2B">
              <w:rPr>
                <w:rFonts w:ascii="Arial Narrow" w:hAnsi="Arial Narrow"/>
                <w:sz w:val="20"/>
                <w:szCs w:val="20"/>
              </w:rPr>
              <w:t>Packs of ponatinib 15 mg</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1"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r>
      <w:tr w:rsidR="00195F54" w:rsidRPr="00FC5E2B" w:rsidTr="00195F54">
        <w:tc>
          <w:tcPr>
            <w:tcW w:w="2761" w:type="dxa"/>
          </w:tcPr>
          <w:p w:rsidR="00982FB8" w:rsidRPr="00FC5E2B" w:rsidRDefault="00982FB8" w:rsidP="00195F54">
            <w:pPr>
              <w:rPr>
                <w:rFonts w:ascii="Arial Narrow" w:hAnsi="Arial Narrow"/>
                <w:sz w:val="20"/>
                <w:szCs w:val="20"/>
              </w:rPr>
            </w:pPr>
            <w:r w:rsidRPr="00FC5E2B">
              <w:rPr>
                <w:rFonts w:ascii="Arial Narrow" w:hAnsi="Arial Narrow"/>
                <w:sz w:val="20"/>
                <w:szCs w:val="20"/>
              </w:rPr>
              <w:t>Packs of ponatinib 45 mg</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1"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r>
      <w:tr w:rsidR="00982FB8" w:rsidRPr="00FC5E2B" w:rsidTr="007B7179">
        <w:tc>
          <w:tcPr>
            <w:tcW w:w="9242" w:type="dxa"/>
            <w:gridSpan w:val="7"/>
          </w:tcPr>
          <w:p w:rsidR="00982FB8" w:rsidRPr="00FC5E2B" w:rsidRDefault="00982FB8" w:rsidP="00195F54">
            <w:pPr>
              <w:rPr>
                <w:rFonts w:ascii="Arial Narrow" w:hAnsi="Arial Narrow"/>
                <w:b/>
                <w:sz w:val="20"/>
                <w:szCs w:val="20"/>
                <w:vertAlign w:val="superscript"/>
              </w:rPr>
            </w:pPr>
            <w:r w:rsidRPr="00FC5E2B">
              <w:rPr>
                <w:rFonts w:ascii="Arial Narrow" w:hAnsi="Arial Narrow"/>
                <w:b/>
                <w:sz w:val="20"/>
                <w:szCs w:val="20"/>
              </w:rPr>
              <w:t>Annual PBS services for ponatinib</w:t>
            </w:r>
            <w:r w:rsidRPr="00FC5E2B">
              <w:rPr>
                <w:rFonts w:ascii="Arial Narrow" w:hAnsi="Arial Narrow"/>
                <w:b/>
                <w:sz w:val="20"/>
                <w:szCs w:val="20"/>
                <w:vertAlign w:val="superscript"/>
              </w:rPr>
              <w:t>b</w:t>
            </w:r>
          </w:p>
        </w:tc>
      </w:tr>
      <w:tr w:rsidR="00195F54" w:rsidRPr="00FC5E2B" w:rsidTr="00195F54">
        <w:tc>
          <w:tcPr>
            <w:tcW w:w="2761" w:type="dxa"/>
          </w:tcPr>
          <w:p w:rsidR="00982FB8" w:rsidRPr="00FC5E2B" w:rsidRDefault="00982FB8" w:rsidP="00195F54">
            <w:pPr>
              <w:rPr>
                <w:rFonts w:ascii="Arial Narrow" w:hAnsi="Arial Narrow"/>
                <w:b/>
                <w:sz w:val="20"/>
                <w:szCs w:val="20"/>
              </w:rPr>
            </w:pPr>
            <w:r w:rsidRPr="00FC5E2B">
              <w:rPr>
                <w:rFonts w:ascii="Arial Narrow" w:hAnsi="Arial Narrow"/>
                <w:b/>
                <w:sz w:val="20"/>
                <w:szCs w:val="20"/>
              </w:rPr>
              <w:t>Packs of ponatinib 15 mg</w:t>
            </w:r>
          </w:p>
        </w:tc>
        <w:tc>
          <w:tcPr>
            <w:tcW w:w="1080" w:type="dxa"/>
          </w:tcPr>
          <w:p w:rsidR="00982FB8" w:rsidRPr="00702ADD" w:rsidRDefault="00702ADD" w:rsidP="00195F54">
            <w:pPr>
              <w:rPr>
                <w:rFonts w:ascii="Arial Narrow" w:hAnsi="Arial Narrow"/>
                <w:b/>
                <w:sz w:val="20"/>
                <w:szCs w:val="20"/>
                <w:highlight w:val="black"/>
              </w:rPr>
            </w:pPr>
            <w:r>
              <w:rPr>
                <w:rFonts w:ascii="Arial Narrow" w:hAnsi="Arial Narrow"/>
                <w:b/>
                <w:noProof/>
                <w:color w:val="000000"/>
                <w:sz w:val="20"/>
                <w:szCs w:val="20"/>
                <w:highlight w:val="black"/>
              </w:rPr>
              <w:t>''''''</w:t>
            </w:r>
          </w:p>
        </w:tc>
        <w:tc>
          <w:tcPr>
            <w:tcW w:w="1080" w:type="dxa"/>
          </w:tcPr>
          <w:p w:rsidR="00982FB8" w:rsidRPr="00702ADD" w:rsidRDefault="00702ADD" w:rsidP="00195F54">
            <w:pPr>
              <w:rPr>
                <w:rFonts w:ascii="Arial Narrow" w:hAnsi="Arial Narrow"/>
                <w:b/>
                <w:sz w:val="20"/>
                <w:szCs w:val="20"/>
                <w:highlight w:val="black"/>
              </w:rPr>
            </w:pPr>
            <w:r>
              <w:rPr>
                <w:rFonts w:ascii="Arial Narrow" w:hAnsi="Arial Narrow"/>
                <w:b/>
                <w:noProof/>
                <w:color w:val="000000"/>
                <w:sz w:val="20"/>
                <w:szCs w:val="20"/>
                <w:highlight w:val="black"/>
              </w:rPr>
              <w:t>'''''''</w:t>
            </w:r>
          </w:p>
        </w:tc>
        <w:tc>
          <w:tcPr>
            <w:tcW w:w="1080" w:type="dxa"/>
          </w:tcPr>
          <w:p w:rsidR="00982FB8" w:rsidRPr="00702ADD" w:rsidRDefault="00702ADD" w:rsidP="00195F54">
            <w:pPr>
              <w:rPr>
                <w:rFonts w:ascii="Arial Narrow" w:hAnsi="Arial Narrow"/>
                <w:b/>
                <w:sz w:val="20"/>
                <w:szCs w:val="20"/>
                <w:highlight w:val="black"/>
              </w:rPr>
            </w:pPr>
            <w:r>
              <w:rPr>
                <w:rFonts w:ascii="Arial Narrow" w:hAnsi="Arial Narrow"/>
                <w:b/>
                <w:noProof/>
                <w:color w:val="000000"/>
                <w:sz w:val="20"/>
                <w:szCs w:val="20"/>
                <w:highlight w:val="black"/>
              </w:rPr>
              <w:t>''''''''</w:t>
            </w:r>
          </w:p>
        </w:tc>
        <w:tc>
          <w:tcPr>
            <w:tcW w:w="1080" w:type="dxa"/>
          </w:tcPr>
          <w:p w:rsidR="00982FB8" w:rsidRPr="00702ADD" w:rsidRDefault="00702ADD" w:rsidP="00195F54">
            <w:pPr>
              <w:rPr>
                <w:rFonts w:ascii="Arial Narrow" w:hAnsi="Arial Narrow"/>
                <w:b/>
                <w:sz w:val="20"/>
                <w:szCs w:val="20"/>
                <w:highlight w:val="black"/>
                <w:vertAlign w:val="superscript"/>
              </w:rPr>
            </w:pPr>
            <w:r>
              <w:rPr>
                <w:rFonts w:ascii="Arial Narrow" w:hAnsi="Arial Narrow"/>
                <w:b/>
                <w:noProof/>
                <w:color w:val="000000"/>
                <w:sz w:val="20"/>
                <w:szCs w:val="20"/>
                <w:highlight w:val="black"/>
              </w:rPr>
              <w:t>''''''''''</w:t>
            </w:r>
          </w:p>
        </w:tc>
        <w:tc>
          <w:tcPr>
            <w:tcW w:w="1080" w:type="dxa"/>
          </w:tcPr>
          <w:p w:rsidR="00982FB8" w:rsidRPr="00FC5E2B" w:rsidRDefault="00982FB8" w:rsidP="00195F54">
            <w:pPr>
              <w:rPr>
                <w:rFonts w:ascii="Arial Narrow" w:hAnsi="Arial Narrow"/>
                <w:b/>
                <w:sz w:val="20"/>
                <w:szCs w:val="20"/>
              </w:rPr>
            </w:pPr>
          </w:p>
        </w:tc>
        <w:tc>
          <w:tcPr>
            <w:tcW w:w="1081" w:type="dxa"/>
          </w:tcPr>
          <w:p w:rsidR="00982FB8" w:rsidRPr="00FC5E2B" w:rsidRDefault="00982FB8" w:rsidP="00195F54">
            <w:pPr>
              <w:rPr>
                <w:rFonts w:ascii="Arial Narrow" w:hAnsi="Arial Narrow"/>
                <w:b/>
                <w:sz w:val="20"/>
                <w:szCs w:val="20"/>
              </w:rPr>
            </w:pPr>
          </w:p>
        </w:tc>
      </w:tr>
      <w:tr w:rsidR="00195F54" w:rsidRPr="00FC5E2B" w:rsidTr="00195F54">
        <w:tc>
          <w:tcPr>
            <w:tcW w:w="2761" w:type="dxa"/>
          </w:tcPr>
          <w:p w:rsidR="00982FB8" w:rsidRPr="00FC5E2B" w:rsidRDefault="00982FB8" w:rsidP="00FC5E2B">
            <w:pPr>
              <w:pStyle w:val="ListParagraph"/>
              <w:numPr>
                <w:ilvl w:val="0"/>
                <w:numId w:val="29"/>
              </w:numPr>
              <w:rPr>
                <w:rFonts w:ascii="Arial Narrow" w:hAnsi="Arial Narrow"/>
                <w:sz w:val="20"/>
              </w:rPr>
            </w:pPr>
            <w:r w:rsidRPr="00FC5E2B">
              <w:rPr>
                <w:rFonts w:ascii="Arial Narrow" w:hAnsi="Arial Narrow"/>
                <w:sz w:val="20"/>
              </w:rPr>
              <w:t>Patients with CML</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FC5E2B" w:rsidRDefault="00982FB8" w:rsidP="00195F54">
            <w:pPr>
              <w:rPr>
                <w:rFonts w:ascii="Arial Narrow" w:hAnsi="Arial Narrow"/>
                <w:sz w:val="20"/>
                <w:szCs w:val="20"/>
              </w:rPr>
            </w:pPr>
          </w:p>
        </w:tc>
        <w:tc>
          <w:tcPr>
            <w:tcW w:w="1081" w:type="dxa"/>
          </w:tcPr>
          <w:p w:rsidR="00982FB8" w:rsidRPr="00FC5E2B" w:rsidRDefault="00982FB8" w:rsidP="00195F54">
            <w:pPr>
              <w:rPr>
                <w:rFonts w:ascii="Arial Narrow" w:hAnsi="Arial Narrow"/>
                <w:sz w:val="20"/>
                <w:szCs w:val="20"/>
              </w:rPr>
            </w:pPr>
          </w:p>
        </w:tc>
      </w:tr>
      <w:tr w:rsidR="00195F54" w:rsidRPr="00FC5E2B" w:rsidTr="00195F54">
        <w:tc>
          <w:tcPr>
            <w:tcW w:w="2761" w:type="dxa"/>
          </w:tcPr>
          <w:p w:rsidR="00982FB8" w:rsidRPr="00FC5E2B" w:rsidRDefault="00982FB8" w:rsidP="00FC5E2B">
            <w:pPr>
              <w:pStyle w:val="ListParagraph"/>
              <w:numPr>
                <w:ilvl w:val="0"/>
                <w:numId w:val="29"/>
              </w:numPr>
              <w:rPr>
                <w:rFonts w:ascii="Arial Narrow" w:hAnsi="Arial Narrow"/>
                <w:sz w:val="20"/>
              </w:rPr>
            </w:pPr>
            <w:r w:rsidRPr="00FC5E2B">
              <w:rPr>
                <w:rFonts w:ascii="Arial Narrow" w:hAnsi="Arial Narrow"/>
                <w:sz w:val="20"/>
              </w:rPr>
              <w:t>Patients with AML</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FC5E2B" w:rsidRDefault="00982FB8" w:rsidP="00195F54">
            <w:pPr>
              <w:rPr>
                <w:rFonts w:ascii="Arial Narrow" w:hAnsi="Arial Narrow"/>
                <w:sz w:val="20"/>
                <w:szCs w:val="20"/>
              </w:rPr>
            </w:pPr>
          </w:p>
        </w:tc>
        <w:tc>
          <w:tcPr>
            <w:tcW w:w="1081" w:type="dxa"/>
          </w:tcPr>
          <w:p w:rsidR="00982FB8" w:rsidRPr="00FC5E2B" w:rsidRDefault="00982FB8" w:rsidP="00195F54">
            <w:pPr>
              <w:rPr>
                <w:rFonts w:ascii="Arial Narrow" w:hAnsi="Arial Narrow"/>
                <w:sz w:val="20"/>
                <w:szCs w:val="20"/>
              </w:rPr>
            </w:pPr>
          </w:p>
        </w:tc>
      </w:tr>
      <w:tr w:rsidR="00982FB8" w:rsidRPr="00FC5E2B" w:rsidTr="00FC5E2B">
        <w:tc>
          <w:tcPr>
            <w:tcW w:w="2761" w:type="dxa"/>
          </w:tcPr>
          <w:p w:rsidR="00982FB8" w:rsidRPr="00FC5E2B" w:rsidRDefault="00195F54" w:rsidP="00195F54">
            <w:pPr>
              <w:rPr>
                <w:rFonts w:ascii="Arial Narrow" w:hAnsi="Arial Narrow"/>
                <w:b/>
                <w:sz w:val="20"/>
                <w:szCs w:val="20"/>
              </w:rPr>
            </w:pPr>
            <w:r w:rsidRPr="00FC5E2B">
              <w:rPr>
                <w:rFonts w:ascii="Arial Narrow" w:hAnsi="Arial Narrow"/>
                <w:b/>
                <w:sz w:val="20"/>
                <w:szCs w:val="20"/>
              </w:rPr>
              <w:t>Packs of ponatinib 4</w:t>
            </w:r>
            <w:r w:rsidR="00982FB8" w:rsidRPr="00FC5E2B">
              <w:rPr>
                <w:rFonts w:ascii="Arial Narrow" w:hAnsi="Arial Narrow"/>
                <w:b/>
                <w:sz w:val="20"/>
                <w:szCs w:val="20"/>
              </w:rPr>
              <w:t>5 mg</w:t>
            </w:r>
          </w:p>
        </w:tc>
        <w:tc>
          <w:tcPr>
            <w:tcW w:w="1080" w:type="dxa"/>
          </w:tcPr>
          <w:p w:rsidR="00982FB8" w:rsidRPr="00702ADD" w:rsidRDefault="00702ADD" w:rsidP="00195F54">
            <w:pPr>
              <w:rPr>
                <w:rFonts w:ascii="Arial Narrow" w:hAnsi="Arial Narrow"/>
                <w:b/>
                <w:sz w:val="20"/>
                <w:szCs w:val="20"/>
                <w:highlight w:val="black"/>
              </w:rPr>
            </w:pPr>
            <w:r>
              <w:rPr>
                <w:rFonts w:ascii="Arial Narrow" w:hAnsi="Arial Narrow"/>
                <w:b/>
                <w:noProof/>
                <w:color w:val="000000"/>
                <w:sz w:val="20"/>
                <w:szCs w:val="20"/>
                <w:highlight w:val="black"/>
              </w:rPr>
              <w:t>'''</w:t>
            </w:r>
          </w:p>
        </w:tc>
        <w:tc>
          <w:tcPr>
            <w:tcW w:w="1080" w:type="dxa"/>
          </w:tcPr>
          <w:p w:rsidR="00982FB8" w:rsidRPr="00702ADD" w:rsidRDefault="00702ADD" w:rsidP="00195F54">
            <w:pPr>
              <w:rPr>
                <w:rFonts w:ascii="Arial Narrow" w:hAnsi="Arial Narrow"/>
                <w:b/>
                <w:sz w:val="20"/>
                <w:szCs w:val="20"/>
                <w:highlight w:val="black"/>
              </w:rPr>
            </w:pPr>
            <w:r>
              <w:rPr>
                <w:rFonts w:ascii="Arial Narrow" w:hAnsi="Arial Narrow"/>
                <w:b/>
                <w:noProof/>
                <w:color w:val="000000"/>
                <w:sz w:val="20"/>
                <w:szCs w:val="20"/>
                <w:highlight w:val="black"/>
              </w:rPr>
              <w:t>'''''</w:t>
            </w:r>
          </w:p>
        </w:tc>
        <w:tc>
          <w:tcPr>
            <w:tcW w:w="1080" w:type="dxa"/>
          </w:tcPr>
          <w:p w:rsidR="00982FB8" w:rsidRPr="00702ADD" w:rsidRDefault="00702ADD" w:rsidP="00195F54">
            <w:pPr>
              <w:rPr>
                <w:rFonts w:ascii="Arial Narrow" w:hAnsi="Arial Narrow"/>
                <w:b/>
                <w:sz w:val="20"/>
                <w:szCs w:val="20"/>
                <w:highlight w:val="black"/>
              </w:rPr>
            </w:pPr>
            <w:r>
              <w:rPr>
                <w:rFonts w:ascii="Arial Narrow" w:hAnsi="Arial Narrow"/>
                <w:b/>
                <w:noProof/>
                <w:color w:val="000000"/>
                <w:sz w:val="20"/>
                <w:szCs w:val="20"/>
                <w:highlight w:val="black"/>
              </w:rPr>
              <w:t>''''''''</w:t>
            </w:r>
          </w:p>
        </w:tc>
        <w:tc>
          <w:tcPr>
            <w:tcW w:w="1080" w:type="dxa"/>
          </w:tcPr>
          <w:p w:rsidR="00982FB8" w:rsidRPr="00702ADD" w:rsidRDefault="00702ADD" w:rsidP="00195F54">
            <w:pPr>
              <w:rPr>
                <w:rFonts w:ascii="Arial Narrow" w:hAnsi="Arial Narrow"/>
                <w:b/>
                <w:sz w:val="20"/>
                <w:szCs w:val="20"/>
                <w:highlight w:val="black"/>
                <w:vertAlign w:val="superscript"/>
              </w:rPr>
            </w:pPr>
            <w:r>
              <w:rPr>
                <w:rFonts w:ascii="Arial Narrow" w:hAnsi="Arial Narrow"/>
                <w:b/>
                <w:noProof/>
                <w:color w:val="000000"/>
                <w:sz w:val="20"/>
                <w:szCs w:val="20"/>
                <w:highlight w:val="black"/>
              </w:rPr>
              <w:t>'''''''</w:t>
            </w:r>
          </w:p>
        </w:tc>
        <w:tc>
          <w:tcPr>
            <w:tcW w:w="1080" w:type="dxa"/>
          </w:tcPr>
          <w:p w:rsidR="00982FB8" w:rsidRPr="00FC5E2B" w:rsidRDefault="00982FB8" w:rsidP="00195F54">
            <w:pPr>
              <w:rPr>
                <w:rFonts w:ascii="Arial Narrow" w:hAnsi="Arial Narrow"/>
                <w:b/>
                <w:sz w:val="20"/>
                <w:szCs w:val="20"/>
              </w:rPr>
            </w:pPr>
          </w:p>
        </w:tc>
        <w:tc>
          <w:tcPr>
            <w:tcW w:w="1081" w:type="dxa"/>
          </w:tcPr>
          <w:p w:rsidR="00982FB8" w:rsidRPr="00FC5E2B" w:rsidRDefault="00982FB8" w:rsidP="00195F54">
            <w:pPr>
              <w:rPr>
                <w:rFonts w:ascii="Arial Narrow" w:hAnsi="Arial Narrow"/>
                <w:b/>
                <w:sz w:val="20"/>
                <w:szCs w:val="20"/>
              </w:rPr>
            </w:pPr>
          </w:p>
        </w:tc>
      </w:tr>
      <w:tr w:rsidR="00982FB8" w:rsidRPr="00FC5E2B" w:rsidTr="00FC5E2B">
        <w:tc>
          <w:tcPr>
            <w:tcW w:w="2761" w:type="dxa"/>
          </w:tcPr>
          <w:p w:rsidR="00982FB8" w:rsidRPr="00FC5E2B" w:rsidRDefault="00982FB8" w:rsidP="00FC5E2B">
            <w:pPr>
              <w:pStyle w:val="ListParagraph"/>
              <w:numPr>
                <w:ilvl w:val="0"/>
                <w:numId w:val="30"/>
              </w:numPr>
              <w:rPr>
                <w:rFonts w:ascii="Arial Narrow" w:hAnsi="Arial Narrow"/>
                <w:sz w:val="20"/>
              </w:rPr>
            </w:pPr>
            <w:r w:rsidRPr="00FC5E2B">
              <w:rPr>
                <w:rFonts w:ascii="Arial Narrow" w:hAnsi="Arial Narrow"/>
                <w:sz w:val="20"/>
              </w:rPr>
              <w:t>Patients with CML</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FC5E2B" w:rsidRDefault="00982FB8" w:rsidP="00195F54">
            <w:pPr>
              <w:rPr>
                <w:rFonts w:ascii="Arial Narrow" w:hAnsi="Arial Narrow"/>
                <w:sz w:val="20"/>
                <w:szCs w:val="20"/>
              </w:rPr>
            </w:pPr>
          </w:p>
        </w:tc>
        <w:tc>
          <w:tcPr>
            <w:tcW w:w="1081" w:type="dxa"/>
          </w:tcPr>
          <w:p w:rsidR="00982FB8" w:rsidRPr="00FC5E2B" w:rsidRDefault="00982FB8" w:rsidP="00195F54">
            <w:pPr>
              <w:rPr>
                <w:rFonts w:ascii="Arial Narrow" w:hAnsi="Arial Narrow"/>
                <w:sz w:val="20"/>
                <w:szCs w:val="20"/>
              </w:rPr>
            </w:pPr>
          </w:p>
        </w:tc>
      </w:tr>
      <w:tr w:rsidR="00982FB8" w:rsidRPr="00FC5E2B" w:rsidTr="00FC5E2B">
        <w:tc>
          <w:tcPr>
            <w:tcW w:w="2761" w:type="dxa"/>
          </w:tcPr>
          <w:p w:rsidR="00982FB8" w:rsidRPr="00FC5E2B" w:rsidRDefault="00982FB8" w:rsidP="00FC5E2B">
            <w:pPr>
              <w:pStyle w:val="ListParagraph"/>
              <w:numPr>
                <w:ilvl w:val="0"/>
                <w:numId w:val="30"/>
              </w:numPr>
              <w:rPr>
                <w:rFonts w:ascii="Arial Narrow" w:hAnsi="Arial Narrow"/>
                <w:sz w:val="20"/>
              </w:rPr>
            </w:pPr>
            <w:r w:rsidRPr="00FC5E2B">
              <w:rPr>
                <w:rFonts w:ascii="Arial Narrow" w:hAnsi="Arial Narrow"/>
                <w:sz w:val="20"/>
              </w:rPr>
              <w:t>Patients with AML</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702ADD" w:rsidRDefault="00702ADD" w:rsidP="00195F54">
            <w:pPr>
              <w:rPr>
                <w:rFonts w:ascii="Arial Narrow" w:hAnsi="Arial Narrow"/>
                <w:sz w:val="20"/>
                <w:szCs w:val="20"/>
                <w:highlight w:val="black"/>
              </w:rPr>
            </w:pPr>
            <w:r>
              <w:rPr>
                <w:rFonts w:ascii="Arial Narrow" w:hAnsi="Arial Narrow"/>
                <w:noProof/>
                <w:color w:val="000000"/>
                <w:sz w:val="20"/>
                <w:szCs w:val="20"/>
                <w:highlight w:val="black"/>
              </w:rPr>
              <w:t>'''''''</w:t>
            </w:r>
          </w:p>
        </w:tc>
        <w:tc>
          <w:tcPr>
            <w:tcW w:w="1080" w:type="dxa"/>
          </w:tcPr>
          <w:p w:rsidR="00982FB8" w:rsidRPr="00FC5E2B" w:rsidRDefault="00982FB8" w:rsidP="00195F54">
            <w:pPr>
              <w:rPr>
                <w:rFonts w:ascii="Arial Narrow" w:hAnsi="Arial Narrow"/>
                <w:sz w:val="20"/>
                <w:szCs w:val="20"/>
              </w:rPr>
            </w:pPr>
          </w:p>
        </w:tc>
        <w:tc>
          <w:tcPr>
            <w:tcW w:w="1081" w:type="dxa"/>
          </w:tcPr>
          <w:p w:rsidR="00982FB8" w:rsidRPr="00FC5E2B" w:rsidRDefault="00982FB8" w:rsidP="00195F54">
            <w:pPr>
              <w:rPr>
                <w:rFonts w:ascii="Arial Narrow" w:hAnsi="Arial Narrow"/>
                <w:sz w:val="20"/>
                <w:szCs w:val="20"/>
              </w:rPr>
            </w:pPr>
          </w:p>
        </w:tc>
      </w:tr>
    </w:tbl>
    <w:p w:rsidR="00982FB8" w:rsidRDefault="00195F54" w:rsidP="00FC5E2B">
      <w:pPr>
        <w:rPr>
          <w:rFonts w:ascii="Arial Narrow" w:hAnsi="Arial Narrow"/>
          <w:sz w:val="20"/>
          <w:szCs w:val="20"/>
        </w:rPr>
      </w:pPr>
      <w:r w:rsidRPr="00FC5E2B">
        <w:rPr>
          <w:rFonts w:ascii="Arial Narrow" w:hAnsi="Arial Narrow"/>
          <w:sz w:val="20"/>
          <w:szCs w:val="20"/>
          <w:vertAlign w:val="superscript"/>
        </w:rPr>
        <w:t>a</w:t>
      </w:r>
      <w:r>
        <w:rPr>
          <w:rFonts w:ascii="Arial Narrow" w:hAnsi="Arial Narrow"/>
          <w:sz w:val="20"/>
          <w:szCs w:val="20"/>
        </w:rPr>
        <w:t>Utilisation and cost model spreadsheet agreed with Finance 14/08/2015</w:t>
      </w:r>
    </w:p>
    <w:p w:rsidR="00195F54" w:rsidRDefault="00195F54" w:rsidP="00FC5E2B">
      <w:pPr>
        <w:rPr>
          <w:rFonts w:ascii="Arial Narrow" w:hAnsi="Arial Narrow"/>
          <w:sz w:val="20"/>
          <w:szCs w:val="20"/>
        </w:rPr>
      </w:pPr>
      <w:r>
        <w:rPr>
          <w:rFonts w:ascii="Arial Narrow" w:hAnsi="Arial Narrow"/>
          <w:sz w:val="20"/>
          <w:szCs w:val="20"/>
          <w:vertAlign w:val="superscript"/>
        </w:rPr>
        <w:t>b</w:t>
      </w:r>
      <w:r>
        <w:rPr>
          <w:rFonts w:ascii="Arial Narrow" w:hAnsi="Arial Narrow"/>
          <w:sz w:val="20"/>
          <w:szCs w:val="20"/>
        </w:rPr>
        <w:t>PBS usage data accessed 10/08/2018</w:t>
      </w:r>
    </w:p>
    <w:p w:rsidR="00195F54" w:rsidRPr="00FC5E2B" w:rsidRDefault="00195F54" w:rsidP="00FC5E2B">
      <w:pPr>
        <w:rPr>
          <w:rFonts w:ascii="Arial Narrow" w:hAnsi="Arial Narrow"/>
          <w:sz w:val="20"/>
          <w:szCs w:val="20"/>
        </w:rPr>
      </w:pPr>
      <w:r>
        <w:rPr>
          <w:rFonts w:ascii="Arial Narrow" w:hAnsi="Arial Narrow"/>
          <w:sz w:val="20"/>
          <w:szCs w:val="20"/>
          <w:vertAlign w:val="superscript"/>
        </w:rPr>
        <w:t>c</w:t>
      </w:r>
      <w:r>
        <w:rPr>
          <w:rFonts w:ascii="Arial Narrow" w:hAnsi="Arial Narrow"/>
          <w:sz w:val="20"/>
          <w:szCs w:val="20"/>
        </w:rPr>
        <w:t>Annualised</w:t>
      </w:r>
    </w:p>
    <w:p w:rsidR="00195F54" w:rsidRPr="00FC5E2B" w:rsidRDefault="00195F54" w:rsidP="00FC5E2B">
      <w:pPr>
        <w:rPr>
          <w:rFonts w:ascii="Arial Narrow" w:hAnsi="Arial Narrow" w:cstheme="minorHAnsi"/>
          <w:i/>
          <w:sz w:val="20"/>
          <w:szCs w:val="20"/>
        </w:rPr>
      </w:pPr>
      <w:r w:rsidRPr="00FC5E2B">
        <w:rPr>
          <w:rFonts w:ascii="Arial Narrow" w:hAnsi="Arial Narrow" w:cstheme="minorHAnsi"/>
          <w:sz w:val="20"/>
          <w:szCs w:val="20"/>
        </w:rPr>
        <w:t>Source:</w:t>
      </w:r>
      <w:r>
        <w:rPr>
          <w:rFonts w:ascii="Arial Narrow" w:hAnsi="Arial Narrow" w:cstheme="minorHAnsi"/>
          <w:sz w:val="20"/>
          <w:szCs w:val="20"/>
        </w:rPr>
        <w:t xml:space="preserve"> Table 4 minor submission</w:t>
      </w:r>
      <w:r w:rsidRPr="00FC5E2B">
        <w:rPr>
          <w:rFonts w:ascii="Arial Narrow" w:hAnsi="Arial Narrow" w:cstheme="minorHAnsi"/>
          <w:sz w:val="20"/>
          <w:szCs w:val="20"/>
        </w:rPr>
        <w:t xml:space="preserve"> </w:t>
      </w:r>
    </w:p>
    <w:p w:rsidR="00736373" w:rsidRDefault="00736373" w:rsidP="00736373"/>
    <w:p w:rsidR="00982FB8" w:rsidRPr="003C2DFD" w:rsidRDefault="00982FB8" w:rsidP="00FC5E2B">
      <w:pPr>
        <w:pStyle w:val="ListParagraph"/>
        <w:widowControl/>
        <w:numPr>
          <w:ilvl w:val="1"/>
          <w:numId w:val="14"/>
        </w:numPr>
        <w:spacing w:after="120"/>
        <w:contextualSpacing w:val="0"/>
        <w:rPr>
          <w:rFonts w:asciiTheme="minorHAnsi" w:eastAsiaTheme="minorHAnsi" w:hAnsiTheme="minorHAnsi" w:cstheme="minorBidi"/>
          <w:szCs w:val="22"/>
        </w:rPr>
      </w:pPr>
      <w:r w:rsidRPr="00FC5E2B">
        <w:rPr>
          <w:rFonts w:asciiTheme="minorHAnsi" w:eastAsiaTheme="minorHAnsi" w:hAnsiTheme="minorHAnsi" w:cstheme="minorBidi"/>
          <w:snapToGrid/>
          <w:sz w:val="24"/>
          <w:szCs w:val="22"/>
        </w:rPr>
        <w:t>The minor submission claimed there would be no foreseeable financial implications to the PBS as a consequence of changing the authority requirement method for subsequent continuing treatment of CML from written to telephone.</w:t>
      </w:r>
    </w:p>
    <w:p w:rsidR="00F64CC1" w:rsidRPr="003C2DFD" w:rsidRDefault="003C2DFD" w:rsidP="003C2DFD">
      <w:pPr>
        <w:pStyle w:val="ListParagraph"/>
        <w:widowControl/>
        <w:spacing w:after="120"/>
        <w:contextualSpacing w:val="0"/>
        <w:rPr>
          <w:rFonts w:asciiTheme="minorHAnsi" w:eastAsiaTheme="minorHAnsi" w:hAnsiTheme="minorHAnsi" w:cstheme="minorBidi"/>
          <w:i/>
          <w:snapToGrid/>
          <w:sz w:val="24"/>
          <w:szCs w:val="22"/>
        </w:rPr>
      </w:pPr>
      <w:r w:rsidRPr="0047082B">
        <w:rPr>
          <w:rFonts w:asciiTheme="minorHAnsi" w:eastAsiaTheme="minorHAnsi" w:hAnsiTheme="minorHAnsi" w:cstheme="minorBidi"/>
          <w:i/>
          <w:snapToGrid/>
          <w:sz w:val="24"/>
          <w:szCs w:val="22"/>
        </w:rPr>
        <w:t>For more detail on PBAC’s view, see section 6 PBAC outcome.</w:t>
      </w:r>
      <w:r>
        <w:rPr>
          <w:rFonts w:asciiTheme="minorHAnsi" w:eastAsiaTheme="minorHAnsi" w:hAnsiTheme="minorHAnsi" w:cstheme="minorBidi"/>
          <w:i/>
          <w:snapToGrid/>
          <w:sz w:val="24"/>
          <w:szCs w:val="22"/>
        </w:rPr>
        <w:t xml:space="preserve"> </w:t>
      </w:r>
    </w:p>
    <w:p w:rsidR="003C2DFD" w:rsidRPr="000956E9" w:rsidRDefault="003C2DFD" w:rsidP="000956E9">
      <w:pPr>
        <w:pStyle w:val="Heading1"/>
      </w:pPr>
      <w:r w:rsidRPr="000956E9">
        <w:t>Consideration of the evidence</w:t>
      </w:r>
    </w:p>
    <w:p w:rsidR="003C2DFD" w:rsidRDefault="003C2DFD" w:rsidP="003C2DFD">
      <w:pPr>
        <w:pStyle w:val="Heading2"/>
        <w:keepLines/>
        <w:spacing w:before="240" w:after="120"/>
        <w:rPr>
          <w:rFonts w:asciiTheme="minorHAnsi" w:eastAsiaTheme="majorEastAsia" w:hAnsiTheme="minorHAnsi" w:cstheme="majorBidi"/>
          <w:sz w:val="28"/>
          <w:szCs w:val="28"/>
          <w:lang w:eastAsia="en-US"/>
        </w:rPr>
      </w:pPr>
      <w:r>
        <w:rPr>
          <w:rFonts w:asciiTheme="minorHAnsi" w:eastAsiaTheme="majorEastAsia" w:hAnsiTheme="minorHAnsi" w:cstheme="majorBidi"/>
          <w:sz w:val="28"/>
          <w:szCs w:val="28"/>
          <w:lang w:eastAsia="en-US"/>
        </w:rPr>
        <w:t>Sponsor hearing</w:t>
      </w:r>
    </w:p>
    <w:p w:rsidR="003C2DFD" w:rsidRDefault="003C2DFD" w:rsidP="003C2DFD">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A01AB6">
        <w:rPr>
          <w:rFonts w:asciiTheme="minorHAnsi" w:eastAsiaTheme="minorHAnsi" w:hAnsiTheme="minorHAnsi" w:cstheme="minorBidi"/>
          <w:snapToGrid/>
          <w:sz w:val="24"/>
          <w:szCs w:val="22"/>
        </w:rPr>
        <w:t>There was no hearing for this item as it was a minor submission.</w:t>
      </w:r>
    </w:p>
    <w:p w:rsidR="003C2DFD" w:rsidRDefault="003C2DFD" w:rsidP="003C2DFD">
      <w:pPr>
        <w:pStyle w:val="Heading2"/>
        <w:keepLines/>
        <w:spacing w:before="240" w:after="120"/>
        <w:rPr>
          <w:rFonts w:asciiTheme="minorHAnsi" w:eastAsiaTheme="majorEastAsia" w:hAnsiTheme="minorHAnsi" w:cstheme="majorBidi"/>
          <w:sz w:val="28"/>
          <w:szCs w:val="28"/>
          <w:lang w:eastAsia="en-US"/>
        </w:rPr>
      </w:pPr>
      <w:r w:rsidRPr="00A01AB6">
        <w:rPr>
          <w:rFonts w:asciiTheme="minorHAnsi" w:eastAsiaTheme="majorEastAsia" w:hAnsiTheme="minorHAnsi" w:cstheme="majorBidi"/>
          <w:sz w:val="28"/>
          <w:szCs w:val="28"/>
          <w:lang w:eastAsia="en-US"/>
        </w:rPr>
        <w:t>Consumer comments</w:t>
      </w:r>
    </w:p>
    <w:p w:rsidR="003C2DFD" w:rsidRPr="007664E3" w:rsidRDefault="003C2DFD" w:rsidP="003C2DFD">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7664E3">
        <w:rPr>
          <w:rFonts w:asciiTheme="minorHAnsi" w:eastAsiaTheme="minorHAnsi" w:hAnsiTheme="minorHAnsi" w:cstheme="minorBidi"/>
          <w:snapToGrid/>
          <w:sz w:val="24"/>
          <w:szCs w:val="22"/>
        </w:rPr>
        <w:t>The PBAC noted that no consumer comments were received for this item.</w:t>
      </w:r>
    </w:p>
    <w:p w:rsidR="003C2DFD" w:rsidRPr="00937958" w:rsidRDefault="003C2DFD" w:rsidP="003C2DFD">
      <w:pPr>
        <w:pStyle w:val="Heading2"/>
        <w:keepLines/>
        <w:spacing w:before="240" w:after="120"/>
        <w:rPr>
          <w:rFonts w:asciiTheme="minorHAnsi" w:eastAsiaTheme="majorEastAsia" w:hAnsiTheme="minorHAnsi" w:cstheme="majorBidi"/>
          <w:sz w:val="28"/>
          <w:szCs w:val="28"/>
          <w:lang w:eastAsia="en-US"/>
        </w:rPr>
      </w:pPr>
      <w:r w:rsidRPr="003C2FB5">
        <w:rPr>
          <w:rFonts w:asciiTheme="minorHAnsi" w:eastAsiaTheme="majorEastAsia" w:hAnsiTheme="minorHAnsi" w:cstheme="majorBidi"/>
          <w:sz w:val="28"/>
          <w:szCs w:val="28"/>
          <w:lang w:eastAsia="en-US"/>
        </w:rPr>
        <w:t>Clinical trials</w:t>
      </w:r>
    </w:p>
    <w:p w:rsidR="003C2DFD" w:rsidRPr="00963F16" w:rsidRDefault="003C2DFD" w:rsidP="003C2DFD">
      <w:pPr>
        <w:pStyle w:val="ListParagraph"/>
        <w:widowControl/>
        <w:numPr>
          <w:ilvl w:val="1"/>
          <w:numId w:val="5"/>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As a minor submission, no </w:t>
      </w:r>
      <w:r w:rsidRPr="001B2BBC">
        <w:rPr>
          <w:rFonts w:asciiTheme="minorHAnsi" w:eastAsiaTheme="minorHAnsi" w:hAnsiTheme="minorHAnsi" w:cstheme="minorBidi"/>
          <w:snapToGrid/>
          <w:sz w:val="24"/>
          <w:szCs w:val="22"/>
        </w:rPr>
        <w:t>clinical trials were</w:t>
      </w:r>
      <w:r>
        <w:rPr>
          <w:rFonts w:asciiTheme="minorHAnsi" w:eastAsiaTheme="minorHAnsi" w:hAnsiTheme="minorHAnsi" w:cstheme="minorBidi"/>
          <w:snapToGrid/>
          <w:sz w:val="24"/>
          <w:szCs w:val="22"/>
        </w:rPr>
        <w:t xml:space="preserve"> presented in the </w:t>
      </w:r>
      <w:r w:rsidRPr="001B2BBC">
        <w:rPr>
          <w:rFonts w:asciiTheme="minorHAnsi" w:eastAsiaTheme="minorHAnsi" w:hAnsiTheme="minorHAnsi" w:cstheme="minorBidi"/>
          <w:snapToGrid/>
          <w:sz w:val="24"/>
          <w:szCs w:val="22"/>
        </w:rPr>
        <w:t>submission.</w:t>
      </w:r>
    </w:p>
    <w:p w:rsidR="003C2DFD" w:rsidRPr="00A70136" w:rsidRDefault="003C2DFD" w:rsidP="000956E9">
      <w:pPr>
        <w:pStyle w:val="Heading1"/>
      </w:pPr>
      <w:r w:rsidRPr="00A70136">
        <w:t>PBAC Outcome</w:t>
      </w:r>
    </w:p>
    <w:p w:rsidR="008F6778" w:rsidRPr="008F6778" w:rsidRDefault="008F6778" w:rsidP="008F6778">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recommended an amendment to the existing PBS initial treatment restrictions for ponatinib for chronic myeloid leukaemia (CML), to remove reference to the six month timeframe between the bone marrow biopsy pathology report(s) and the application for initiation of treatment. The PBAC noted this amendment aligns with the current requirements for other tyrosine kinase inhibitors used in second- and third-line treatment of CML. </w:t>
      </w:r>
    </w:p>
    <w:p w:rsidR="00373B9D" w:rsidRPr="009011E6" w:rsidRDefault="00830843" w:rsidP="003C2DFD">
      <w:pPr>
        <w:widowControl w:val="0"/>
        <w:numPr>
          <w:ilvl w:val="1"/>
          <w:numId w:val="5"/>
        </w:numPr>
        <w:spacing w:after="120"/>
        <w:jc w:val="both"/>
        <w:rPr>
          <w:rFonts w:asciiTheme="minorHAnsi" w:hAnsiTheme="minorHAnsi" w:cs="Arial"/>
          <w:bCs/>
          <w:snapToGrid w:val="0"/>
          <w:lang w:val="en-GB"/>
        </w:rPr>
      </w:pPr>
      <w:r w:rsidRPr="00C87F7B">
        <w:rPr>
          <w:rFonts w:asciiTheme="minorHAnsi" w:hAnsiTheme="minorHAnsi" w:cs="Arial"/>
          <w:bCs/>
          <w:snapToGrid w:val="0"/>
          <w:lang w:val="en-GB"/>
        </w:rPr>
        <w:t xml:space="preserve">The PBAC </w:t>
      </w:r>
      <w:r w:rsidR="008F6778">
        <w:rPr>
          <w:rFonts w:asciiTheme="minorHAnsi" w:hAnsiTheme="minorHAnsi" w:cs="Arial"/>
          <w:bCs/>
          <w:snapToGrid w:val="0"/>
          <w:lang w:val="en-GB"/>
        </w:rPr>
        <w:t xml:space="preserve">also </w:t>
      </w:r>
      <w:r w:rsidRPr="00C87F7B">
        <w:rPr>
          <w:rFonts w:asciiTheme="minorHAnsi" w:hAnsiTheme="minorHAnsi" w:cs="Arial"/>
          <w:bCs/>
          <w:snapToGrid w:val="0"/>
          <w:lang w:val="en-GB"/>
        </w:rPr>
        <w:t xml:space="preserve">recommended </w:t>
      </w:r>
      <w:r w:rsidR="002E3444">
        <w:rPr>
          <w:rFonts w:asciiTheme="minorHAnsi" w:hAnsiTheme="minorHAnsi" w:cs="Arial"/>
          <w:bCs/>
          <w:snapToGrid w:val="0"/>
          <w:lang w:val="en-GB"/>
        </w:rPr>
        <w:t xml:space="preserve">an </w:t>
      </w:r>
      <w:r>
        <w:rPr>
          <w:rFonts w:asciiTheme="minorHAnsi" w:hAnsiTheme="minorHAnsi" w:cs="Arial"/>
          <w:bCs/>
          <w:snapToGrid w:val="0"/>
          <w:lang w:val="en-GB"/>
        </w:rPr>
        <w:t>amend</w:t>
      </w:r>
      <w:r w:rsidR="002E3444">
        <w:rPr>
          <w:rFonts w:asciiTheme="minorHAnsi" w:hAnsiTheme="minorHAnsi" w:cs="Arial"/>
          <w:bCs/>
          <w:snapToGrid w:val="0"/>
          <w:lang w:val="en-GB"/>
        </w:rPr>
        <w:t>ment to</w:t>
      </w:r>
      <w:r>
        <w:rPr>
          <w:rFonts w:asciiTheme="minorHAnsi" w:hAnsiTheme="minorHAnsi" w:cs="Arial"/>
          <w:bCs/>
          <w:snapToGrid w:val="0"/>
          <w:lang w:val="en-GB"/>
        </w:rPr>
        <w:t xml:space="preserve"> the </w:t>
      </w:r>
      <w:r w:rsidR="002E3444">
        <w:rPr>
          <w:rFonts w:asciiTheme="minorHAnsi" w:hAnsiTheme="minorHAnsi" w:cs="Arial"/>
          <w:bCs/>
          <w:snapToGrid w:val="0"/>
          <w:lang w:val="en-GB"/>
        </w:rPr>
        <w:t>existing</w:t>
      </w:r>
      <w:r>
        <w:rPr>
          <w:rFonts w:asciiTheme="minorHAnsi" w:hAnsiTheme="minorHAnsi" w:cs="Arial"/>
          <w:bCs/>
          <w:snapToGrid w:val="0"/>
          <w:lang w:val="en-GB"/>
        </w:rPr>
        <w:t xml:space="preserve"> </w:t>
      </w:r>
      <w:r w:rsidR="002E3444">
        <w:rPr>
          <w:rFonts w:asciiTheme="minorHAnsi" w:hAnsiTheme="minorHAnsi" w:cs="Arial"/>
          <w:bCs/>
          <w:snapToGrid w:val="0"/>
          <w:lang w:val="en-GB"/>
        </w:rPr>
        <w:t xml:space="preserve">PBS </w:t>
      </w:r>
      <w:r w:rsidR="00C54D9E">
        <w:rPr>
          <w:rFonts w:asciiTheme="minorHAnsi" w:hAnsiTheme="minorHAnsi" w:cs="Arial"/>
          <w:bCs/>
          <w:snapToGrid w:val="0"/>
          <w:lang w:val="en-GB"/>
        </w:rPr>
        <w:t xml:space="preserve">continuing treatment </w:t>
      </w:r>
      <w:r>
        <w:rPr>
          <w:rFonts w:asciiTheme="minorHAnsi" w:hAnsiTheme="minorHAnsi" w:cs="Arial"/>
          <w:bCs/>
          <w:snapToGrid w:val="0"/>
          <w:lang w:val="en-GB"/>
        </w:rPr>
        <w:t>restriction</w:t>
      </w:r>
      <w:r w:rsidR="002E3444">
        <w:rPr>
          <w:rFonts w:asciiTheme="minorHAnsi" w:hAnsiTheme="minorHAnsi" w:cs="Arial"/>
          <w:bCs/>
          <w:snapToGrid w:val="0"/>
          <w:lang w:val="en-GB"/>
        </w:rPr>
        <w:t xml:space="preserve"> for ponatinib</w:t>
      </w:r>
      <w:r>
        <w:rPr>
          <w:rFonts w:asciiTheme="minorHAnsi" w:hAnsiTheme="minorHAnsi" w:cs="Arial"/>
          <w:bCs/>
          <w:snapToGrid w:val="0"/>
          <w:lang w:val="en-GB"/>
        </w:rPr>
        <w:t xml:space="preserve"> f</w:t>
      </w:r>
      <w:r w:rsidR="008F6778">
        <w:rPr>
          <w:rFonts w:asciiTheme="minorHAnsi" w:hAnsiTheme="minorHAnsi" w:cs="Arial"/>
          <w:bCs/>
          <w:snapToGrid w:val="0"/>
          <w:lang w:val="en-GB"/>
        </w:rPr>
        <w:t>or CML</w:t>
      </w:r>
      <w:r>
        <w:rPr>
          <w:rFonts w:asciiTheme="minorHAnsi" w:hAnsiTheme="minorHAnsi" w:cs="Arial"/>
          <w:bCs/>
          <w:snapToGrid w:val="0"/>
          <w:lang w:val="en-GB"/>
        </w:rPr>
        <w:t xml:space="preserve">, to </w:t>
      </w:r>
      <w:r w:rsidR="00373B9D">
        <w:rPr>
          <w:rFonts w:asciiTheme="minorHAnsi" w:hAnsiTheme="minorHAnsi" w:cs="Arial"/>
          <w:bCs/>
          <w:snapToGrid w:val="0"/>
          <w:lang w:val="en-GB"/>
        </w:rPr>
        <w:t>enable</w:t>
      </w:r>
      <w:r>
        <w:rPr>
          <w:rFonts w:asciiTheme="minorHAnsi" w:hAnsiTheme="minorHAnsi" w:cs="Arial"/>
          <w:bCs/>
          <w:snapToGrid w:val="0"/>
          <w:lang w:val="en-GB"/>
        </w:rPr>
        <w:t xml:space="preserve"> </w:t>
      </w:r>
      <w:r w:rsidR="00373B9D">
        <w:rPr>
          <w:rFonts w:asciiTheme="minorHAnsi" w:hAnsiTheme="minorHAnsi" w:cs="Arial"/>
          <w:bCs/>
          <w:snapToGrid w:val="0"/>
          <w:lang w:val="en-GB"/>
        </w:rPr>
        <w:t>tele</w:t>
      </w:r>
      <w:r>
        <w:rPr>
          <w:rFonts w:asciiTheme="minorHAnsi" w:hAnsiTheme="minorHAnsi" w:cs="Arial"/>
          <w:bCs/>
          <w:snapToGrid w:val="0"/>
          <w:lang w:val="en-GB"/>
        </w:rPr>
        <w:t>phone authority for subsequent continuing treatment</w:t>
      </w:r>
      <w:r w:rsidR="003C2DFD" w:rsidRPr="00C87F7B">
        <w:rPr>
          <w:rFonts w:asciiTheme="minorHAnsi" w:hAnsiTheme="minorHAnsi" w:cs="Arial"/>
          <w:bCs/>
          <w:snapToGrid w:val="0"/>
          <w:lang w:val="en-GB"/>
        </w:rPr>
        <w:t>.</w:t>
      </w:r>
      <w:r w:rsidR="00373B9D">
        <w:rPr>
          <w:rFonts w:asciiTheme="minorHAnsi" w:hAnsiTheme="minorHAnsi" w:cs="Arial"/>
          <w:bCs/>
          <w:snapToGrid w:val="0"/>
          <w:lang w:val="en-GB"/>
        </w:rPr>
        <w:t xml:space="preserve"> </w:t>
      </w:r>
      <w:r w:rsidR="009011E6">
        <w:rPr>
          <w:rFonts w:asciiTheme="minorHAnsi" w:hAnsiTheme="minorHAnsi" w:cs="Arial"/>
          <w:bCs/>
          <w:snapToGrid w:val="0"/>
          <w:lang w:val="en-GB"/>
        </w:rPr>
        <w:t xml:space="preserve">The PBAC noted that </w:t>
      </w:r>
      <w:r w:rsidR="009011E6" w:rsidRPr="009011E6">
        <w:rPr>
          <w:rFonts w:asciiTheme="minorHAnsi" w:eastAsiaTheme="minorHAnsi" w:hAnsiTheme="minorHAnsi" w:cstheme="minorBidi"/>
          <w:szCs w:val="22"/>
        </w:rPr>
        <w:t xml:space="preserve">a </w:t>
      </w:r>
      <w:r w:rsidR="009011E6" w:rsidRPr="009011E6">
        <w:rPr>
          <w:rFonts w:asciiTheme="minorHAnsi" w:hAnsiTheme="minorHAnsi"/>
        </w:rPr>
        <w:t xml:space="preserve">new </w:t>
      </w:r>
      <w:r w:rsidR="0085650E">
        <w:rPr>
          <w:rFonts w:asciiTheme="minorHAnsi" w:hAnsiTheme="minorHAnsi"/>
        </w:rPr>
        <w:t>restriction</w:t>
      </w:r>
      <w:r w:rsidR="009011E6" w:rsidRPr="009011E6">
        <w:rPr>
          <w:rFonts w:asciiTheme="minorHAnsi" w:hAnsiTheme="minorHAnsi"/>
        </w:rPr>
        <w:t xml:space="preserve"> for </w:t>
      </w:r>
      <w:r w:rsidR="0085650E">
        <w:rPr>
          <w:rFonts w:asciiTheme="minorHAnsi" w:hAnsiTheme="minorHAnsi"/>
        </w:rPr>
        <w:t xml:space="preserve">the </w:t>
      </w:r>
      <w:r w:rsidR="009011E6" w:rsidRPr="009011E6">
        <w:rPr>
          <w:rFonts w:asciiTheme="minorHAnsi" w:hAnsiTheme="minorHAnsi"/>
        </w:rPr>
        <w:t xml:space="preserve">subsequent continuing treatment </w:t>
      </w:r>
      <w:r w:rsidR="0085650E">
        <w:rPr>
          <w:rFonts w:asciiTheme="minorHAnsi" w:hAnsiTheme="minorHAnsi"/>
        </w:rPr>
        <w:t xml:space="preserve">phase </w:t>
      </w:r>
      <w:r w:rsidR="009011E6" w:rsidRPr="009011E6">
        <w:rPr>
          <w:rFonts w:asciiTheme="minorHAnsi" w:hAnsiTheme="minorHAnsi"/>
        </w:rPr>
        <w:t>would need to be added to the existing prescribing rule to implement this change</w:t>
      </w:r>
      <w:r w:rsidR="009011E6">
        <w:rPr>
          <w:rFonts w:asciiTheme="minorHAnsi" w:hAnsiTheme="minorHAnsi"/>
        </w:rPr>
        <w:t>.</w:t>
      </w:r>
    </w:p>
    <w:p w:rsidR="00772BB6" w:rsidRPr="00B96344" w:rsidRDefault="00B1527D" w:rsidP="00B96344">
      <w:pPr>
        <w:pStyle w:val="ListParagraph"/>
        <w:widowControl/>
        <w:numPr>
          <w:ilvl w:val="1"/>
          <w:numId w:val="5"/>
        </w:numPr>
        <w:spacing w:after="120"/>
        <w:contextualSpacing w:val="0"/>
        <w:rPr>
          <w:rFonts w:asciiTheme="minorHAnsi" w:hAnsiTheme="minorHAnsi"/>
          <w:bCs/>
          <w:sz w:val="24"/>
          <w:szCs w:val="24"/>
          <w:lang w:val="en-GB" w:eastAsia="en-AU"/>
        </w:rPr>
      </w:pPr>
      <w:r>
        <w:rPr>
          <w:rFonts w:asciiTheme="minorHAnsi" w:hAnsiTheme="minorHAnsi"/>
          <w:bCs/>
          <w:sz w:val="24"/>
          <w:szCs w:val="24"/>
          <w:lang w:val="en-GB" w:eastAsia="en-AU"/>
        </w:rPr>
        <w:t xml:space="preserve">The PBAC noted that </w:t>
      </w:r>
      <w:r w:rsidR="00B96344">
        <w:rPr>
          <w:rFonts w:asciiTheme="minorHAnsi" w:hAnsiTheme="minorHAnsi"/>
          <w:bCs/>
          <w:sz w:val="24"/>
          <w:szCs w:val="24"/>
          <w:lang w:val="en-GB" w:eastAsia="en-AU"/>
        </w:rPr>
        <w:t>the addition of a new subsequent continuing treatment</w:t>
      </w:r>
      <w:r w:rsidR="0085650E">
        <w:rPr>
          <w:rFonts w:asciiTheme="minorHAnsi" w:hAnsiTheme="minorHAnsi"/>
          <w:bCs/>
          <w:sz w:val="24"/>
          <w:szCs w:val="24"/>
          <w:lang w:val="en-GB" w:eastAsia="en-AU"/>
        </w:rPr>
        <w:t xml:space="preserve"> restriction</w:t>
      </w:r>
      <w:r w:rsidR="00B96344">
        <w:rPr>
          <w:rFonts w:asciiTheme="minorHAnsi" w:hAnsiTheme="minorHAnsi"/>
          <w:bCs/>
          <w:sz w:val="24"/>
          <w:szCs w:val="24"/>
          <w:lang w:val="en-GB" w:eastAsia="en-AU"/>
        </w:rPr>
        <w:t xml:space="preserve"> required changes to the wording of the existing continuing restriction and the administrative advice applicable to the listing of ponatinib in CML. However, the PBAC considered that the </w:t>
      </w:r>
      <w:r w:rsidR="0085650E">
        <w:rPr>
          <w:rFonts w:asciiTheme="minorHAnsi" w:hAnsiTheme="minorHAnsi"/>
          <w:bCs/>
          <w:sz w:val="24"/>
          <w:szCs w:val="24"/>
          <w:lang w:val="en-GB" w:eastAsia="en-AU"/>
        </w:rPr>
        <w:t>recommendations</w:t>
      </w:r>
      <w:r w:rsidR="00772BB6" w:rsidRPr="00B96344">
        <w:rPr>
          <w:rFonts w:asciiTheme="minorHAnsi" w:hAnsiTheme="minorHAnsi"/>
          <w:bCs/>
          <w:sz w:val="24"/>
          <w:szCs w:val="24"/>
          <w:lang w:val="en-GB" w:eastAsia="en-AU"/>
        </w:rPr>
        <w:t xml:space="preserve"> are consistent with the </w:t>
      </w:r>
      <w:r w:rsidR="00B35E98">
        <w:rPr>
          <w:rFonts w:asciiTheme="minorHAnsi" w:hAnsiTheme="minorHAnsi"/>
          <w:bCs/>
          <w:sz w:val="24"/>
          <w:szCs w:val="24"/>
          <w:lang w:val="en-GB" w:eastAsia="en-AU"/>
        </w:rPr>
        <w:t xml:space="preserve">intent of the </w:t>
      </w:r>
      <w:r w:rsidR="00D90DCC" w:rsidRPr="00B96344">
        <w:rPr>
          <w:rFonts w:asciiTheme="minorHAnsi" w:hAnsiTheme="minorHAnsi"/>
          <w:bCs/>
          <w:sz w:val="24"/>
          <w:szCs w:val="24"/>
          <w:lang w:val="en-GB" w:eastAsia="en-AU"/>
        </w:rPr>
        <w:t>existing</w:t>
      </w:r>
      <w:r w:rsidR="00772BB6" w:rsidRPr="00B96344">
        <w:rPr>
          <w:rFonts w:asciiTheme="minorHAnsi" w:hAnsiTheme="minorHAnsi"/>
          <w:bCs/>
          <w:sz w:val="24"/>
          <w:szCs w:val="24"/>
          <w:lang w:val="en-GB" w:eastAsia="en-AU"/>
        </w:rPr>
        <w:t xml:space="preserve"> listings for ponatinib for CML. </w:t>
      </w:r>
    </w:p>
    <w:p w:rsidR="003C2DFD" w:rsidRPr="00772BB6" w:rsidRDefault="00D90DCC" w:rsidP="003C2DFD">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agreed with the minor submission that the requested amendments to the existing restrictions for ponatinib for </w:t>
      </w:r>
      <w:r w:rsidR="00EC0920">
        <w:rPr>
          <w:rFonts w:asciiTheme="minorHAnsi" w:hAnsiTheme="minorHAnsi" w:cs="Arial"/>
          <w:bCs/>
          <w:snapToGrid w:val="0"/>
          <w:lang w:val="en-GB"/>
        </w:rPr>
        <w:t xml:space="preserve">treatment of </w:t>
      </w:r>
      <w:r>
        <w:rPr>
          <w:rFonts w:asciiTheme="minorHAnsi" w:hAnsiTheme="minorHAnsi" w:cs="Arial"/>
          <w:bCs/>
          <w:snapToGrid w:val="0"/>
          <w:lang w:val="en-GB"/>
        </w:rPr>
        <w:t>CML should not have any financial implication to the PBS.</w:t>
      </w:r>
    </w:p>
    <w:p w:rsidR="00C54D9E" w:rsidRDefault="00C54D9E" w:rsidP="001D65BA">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w:t>
      </w:r>
      <w:r w:rsidR="001D65BA">
        <w:rPr>
          <w:rFonts w:asciiTheme="minorHAnsi" w:hAnsiTheme="minorHAnsi" w:cs="Arial"/>
          <w:bCs/>
          <w:snapToGrid w:val="0"/>
          <w:lang w:val="en-GB"/>
        </w:rPr>
        <w:t xml:space="preserve">noted the </w:t>
      </w:r>
      <w:r>
        <w:rPr>
          <w:rFonts w:asciiTheme="minorHAnsi" w:hAnsiTheme="minorHAnsi" w:cs="Arial"/>
          <w:bCs/>
          <w:snapToGrid w:val="0"/>
          <w:lang w:val="en-GB"/>
        </w:rPr>
        <w:t xml:space="preserve">submission’s proposed amendments to the DHS application forms </w:t>
      </w:r>
      <w:r w:rsidR="001D65BA">
        <w:rPr>
          <w:rFonts w:asciiTheme="minorHAnsi" w:hAnsiTheme="minorHAnsi" w:cs="Arial"/>
          <w:bCs/>
          <w:snapToGrid w:val="0"/>
          <w:lang w:val="en-GB"/>
        </w:rPr>
        <w:t xml:space="preserve">would be referred to the DHS for consideration. </w:t>
      </w:r>
    </w:p>
    <w:p w:rsidR="00C87F7B" w:rsidRPr="00B15EA7" w:rsidRDefault="00C87F7B" w:rsidP="00C87F7B">
      <w:pPr>
        <w:widowControl w:val="0"/>
        <w:numPr>
          <w:ilvl w:val="1"/>
          <w:numId w:val="5"/>
        </w:numPr>
        <w:spacing w:after="120"/>
        <w:jc w:val="both"/>
        <w:rPr>
          <w:rFonts w:asciiTheme="minorHAnsi" w:hAnsiTheme="minorHAnsi" w:cs="Arial"/>
          <w:bCs/>
          <w:snapToGrid w:val="0"/>
          <w:lang w:eastAsia="en-US"/>
        </w:rPr>
      </w:pPr>
      <w:r w:rsidRPr="00B15EA7">
        <w:rPr>
          <w:rFonts w:asciiTheme="minorHAnsi" w:hAnsiTheme="minorHAnsi" w:cs="Arial"/>
          <w:bCs/>
          <w:snapToGrid w:val="0"/>
          <w:lang w:eastAsia="en-US"/>
        </w:rPr>
        <w:t xml:space="preserve">The PBAC noted that this submission is not eligible for an Independent Review as it received a positive recommendation. </w:t>
      </w:r>
    </w:p>
    <w:p w:rsidR="003C2DFD" w:rsidRPr="00C87F7B" w:rsidRDefault="003C2DFD" w:rsidP="002B566A">
      <w:pPr>
        <w:keepNext/>
        <w:spacing w:before="240"/>
        <w:jc w:val="both"/>
        <w:rPr>
          <w:rFonts w:asciiTheme="minorHAnsi" w:hAnsiTheme="minorHAnsi" w:cs="Arial"/>
          <w:b/>
          <w:bCs/>
          <w:snapToGrid w:val="0"/>
          <w:lang w:val="en-GB"/>
        </w:rPr>
      </w:pPr>
      <w:r w:rsidRPr="00C87F7B">
        <w:rPr>
          <w:rFonts w:asciiTheme="minorHAnsi" w:hAnsiTheme="minorHAnsi" w:cs="Arial"/>
          <w:b/>
          <w:bCs/>
          <w:snapToGrid w:val="0"/>
          <w:lang w:val="en-GB"/>
        </w:rPr>
        <w:t>Outcome:</w:t>
      </w:r>
    </w:p>
    <w:p w:rsidR="003C2DFD" w:rsidRDefault="003C2DFD" w:rsidP="002B566A">
      <w:pPr>
        <w:keepNext/>
        <w:jc w:val="both"/>
        <w:rPr>
          <w:rFonts w:asciiTheme="minorHAnsi" w:hAnsiTheme="minorHAnsi" w:cs="Arial"/>
          <w:bCs/>
          <w:snapToGrid w:val="0"/>
          <w:lang w:val="en-GB"/>
        </w:rPr>
      </w:pPr>
      <w:r w:rsidRPr="00C87F7B">
        <w:rPr>
          <w:rFonts w:asciiTheme="minorHAnsi" w:hAnsiTheme="minorHAnsi" w:cs="Arial"/>
          <w:bCs/>
          <w:snapToGrid w:val="0"/>
          <w:lang w:val="en-GB"/>
        </w:rPr>
        <w:t xml:space="preserve">Recommended </w:t>
      </w:r>
    </w:p>
    <w:p w:rsidR="003C2DFD" w:rsidRPr="0053356B" w:rsidRDefault="003C2DFD" w:rsidP="00504DA9">
      <w:pPr>
        <w:pStyle w:val="Heading1"/>
        <w:spacing w:before="360"/>
        <w:rPr>
          <w:i/>
          <w:snapToGrid w:val="0"/>
          <w:lang w:val="en-GB"/>
        </w:rPr>
      </w:pPr>
      <w:r w:rsidRPr="0053356B">
        <w:rPr>
          <w:snapToGrid w:val="0"/>
          <w:lang w:val="en-GB"/>
        </w:rPr>
        <w:t>Recommended listing</w:t>
      </w:r>
    </w:p>
    <w:p w:rsidR="003C2DFD" w:rsidRPr="00B1527D" w:rsidRDefault="003C2DFD" w:rsidP="00F00F99">
      <w:pPr>
        <w:pStyle w:val="ListParagraph"/>
        <w:numPr>
          <w:ilvl w:val="1"/>
          <w:numId w:val="5"/>
        </w:numPr>
        <w:rPr>
          <w:rFonts w:asciiTheme="minorHAnsi" w:hAnsiTheme="minorHAnsi"/>
          <w:bCs/>
          <w:sz w:val="24"/>
          <w:szCs w:val="24"/>
        </w:rPr>
      </w:pPr>
      <w:r w:rsidRPr="00B1527D">
        <w:rPr>
          <w:rFonts w:asciiTheme="minorHAnsi" w:hAnsiTheme="minorHAnsi"/>
          <w:bCs/>
          <w:sz w:val="24"/>
          <w:szCs w:val="24"/>
        </w:rPr>
        <w:t xml:space="preserve">Amend </w:t>
      </w:r>
      <w:r w:rsidR="00816D1B" w:rsidRPr="00B1527D">
        <w:rPr>
          <w:rFonts w:asciiTheme="minorHAnsi" w:hAnsiTheme="minorHAnsi"/>
          <w:bCs/>
          <w:sz w:val="24"/>
          <w:szCs w:val="24"/>
        </w:rPr>
        <w:t>the Prescribing Instructions and Administrative Advice  under the Initial r</w:t>
      </w:r>
      <w:r w:rsidR="008F6778">
        <w:rPr>
          <w:rFonts w:asciiTheme="minorHAnsi" w:hAnsiTheme="minorHAnsi"/>
          <w:bCs/>
          <w:sz w:val="24"/>
          <w:szCs w:val="24"/>
        </w:rPr>
        <w:t>estrictions for PBS items 10520Q</w:t>
      </w:r>
      <w:r w:rsidR="00816D1B" w:rsidRPr="00B1527D">
        <w:rPr>
          <w:rFonts w:asciiTheme="minorHAnsi" w:hAnsiTheme="minorHAnsi"/>
          <w:bCs/>
          <w:sz w:val="24"/>
          <w:szCs w:val="24"/>
        </w:rPr>
        <w:t xml:space="preserve"> (15 mg) and 10530F (45 mg)</w:t>
      </w:r>
      <w:r w:rsidRPr="00B1527D">
        <w:rPr>
          <w:rFonts w:asciiTheme="minorHAnsi" w:hAnsiTheme="minorHAnsi"/>
          <w:bCs/>
          <w:sz w:val="24"/>
          <w:szCs w:val="24"/>
        </w:rPr>
        <w:t xml:space="preserve"> as follows:</w:t>
      </w:r>
    </w:p>
    <w:p w:rsidR="00A75EA5" w:rsidRDefault="00A75EA5"/>
    <w:tbl>
      <w:tblPr>
        <w:tblW w:w="5000" w:type="pct"/>
        <w:tblLook w:val="0000" w:firstRow="0" w:lastRow="0" w:firstColumn="0" w:lastColumn="0" w:noHBand="0" w:noVBand="0"/>
      </w:tblPr>
      <w:tblGrid>
        <w:gridCol w:w="3335"/>
        <w:gridCol w:w="756"/>
        <w:gridCol w:w="908"/>
        <w:gridCol w:w="4027"/>
      </w:tblGrid>
      <w:tr w:rsidR="0047082B" w:rsidRPr="0039782C" w:rsidTr="0047082B">
        <w:trPr>
          <w:cantSplit/>
          <w:trHeight w:val="465"/>
        </w:trPr>
        <w:tc>
          <w:tcPr>
            <w:tcW w:w="1847" w:type="pct"/>
            <w:tcBorders>
              <w:bottom w:val="single" w:sz="4" w:space="0" w:color="auto"/>
            </w:tcBorders>
          </w:tcPr>
          <w:p w:rsidR="0047082B" w:rsidRPr="0039782C" w:rsidRDefault="0047082B" w:rsidP="00233EC3">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47082B" w:rsidRPr="0039782C" w:rsidRDefault="0047082B" w:rsidP="00233EC3">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19" w:type="pct"/>
            <w:tcBorders>
              <w:bottom w:val="single" w:sz="4" w:space="0" w:color="auto"/>
            </w:tcBorders>
          </w:tcPr>
          <w:p w:rsidR="0047082B" w:rsidRPr="0039782C" w:rsidRDefault="0047082B" w:rsidP="00233EC3">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47082B" w:rsidRPr="0039782C" w:rsidRDefault="0047082B" w:rsidP="00233EC3">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503" w:type="pct"/>
            <w:tcBorders>
              <w:bottom w:val="single" w:sz="4" w:space="0" w:color="auto"/>
            </w:tcBorders>
          </w:tcPr>
          <w:p w:rsidR="0047082B" w:rsidRPr="0039782C" w:rsidRDefault="0047082B" w:rsidP="00233EC3">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47082B" w:rsidRPr="0039782C" w:rsidRDefault="0047082B" w:rsidP="00233EC3">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2231" w:type="pct"/>
            <w:tcBorders>
              <w:bottom w:val="single" w:sz="4" w:space="0" w:color="auto"/>
            </w:tcBorders>
          </w:tcPr>
          <w:p w:rsidR="0047082B" w:rsidRPr="0039782C" w:rsidRDefault="0047082B" w:rsidP="00233EC3">
            <w:pPr>
              <w:keepNext/>
              <w:spacing w:before="40" w:after="40"/>
              <w:jc w:val="both"/>
              <w:rPr>
                <w:rFonts w:ascii="Arial Narrow" w:hAnsi="Arial Narrow" w:cs="Arial"/>
                <w:b/>
                <w:sz w:val="20"/>
                <w:szCs w:val="20"/>
              </w:rPr>
            </w:pPr>
          </w:p>
          <w:p w:rsidR="0047082B" w:rsidRPr="0039782C" w:rsidRDefault="0047082B" w:rsidP="00233EC3">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47082B" w:rsidRPr="00260CE3" w:rsidTr="0047082B">
        <w:trPr>
          <w:cantSplit/>
          <w:trHeight w:val="567"/>
        </w:trPr>
        <w:tc>
          <w:tcPr>
            <w:tcW w:w="1847" w:type="pct"/>
          </w:tcPr>
          <w:p w:rsidR="0047082B" w:rsidRPr="00B57F29" w:rsidRDefault="0047082B" w:rsidP="00233EC3">
            <w:pPr>
              <w:spacing w:before="40" w:after="40"/>
              <w:rPr>
                <w:rFonts w:ascii="Arial Narrow" w:hAnsi="Arial Narrow"/>
                <w:smallCaps/>
                <w:sz w:val="20"/>
                <w:lang w:val="fr-FR"/>
              </w:rPr>
            </w:pPr>
            <w:r w:rsidRPr="00B57F29">
              <w:rPr>
                <w:rFonts w:ascii="Arial Narrow" w:hAnsi="Arial Narrow"/>
                <w:smallCaps/>
                <w:sz w:val="20"/>
                <w:lang w:val="fr-FR"/>
              </w:rPr>
              <w:t>Ponatinib</w:t>
            </w:r>
          </w:p>
          <w:p w:rsidR="0047082B" w:rsidRPr="00B57F29" w:rsidRDefault="0047082B" w:rsidP="00233EC3">
            <w:pPr>
              <w:spacing w:before="40" w:after="40"/>
              <w:rPr>
                <w:rFonts w:ascii="Arial Narrow" w:hAnsi="Arial Narrow"/>
                <w:sz w:val="20"/>
                <w:lang w:val="fr-FR"/>
              </w:rPr>
            </w:pPr>
            <w:r w:rsidRPr="00B57F29">
              <w:rPr>
                <w:rFonts w:ascii="Arial Narrow" w:hAnsi="Arial Narrow"/>
                <w:sz w:val="20"/>
                <w:lang w:val="fr-FR"/>
              </w:rPr>
              <w:t>15 mg tablet, 60</w:t>
            </w:r>
          </w:p>
          <w:p w:rsidR="0047082B" w:rsidRPr="00260CE3" w:rsidRDefault="0047082B" w:rsidP="00233EC3">
            <w:pPr>
              <w:spacing w:before="40" w:after="40"/>
              <w:rPr>
                <w:rFonts w:ascii="Arial Narrow" w:hAnsi="Arial Narrow" w:cs="Arial"/>
                <w:sz w:val="20"/>
                <w:szCs w:val="20"/>
              </w:rPr>
            </w:pPr>
            <w:r w:rsidRPr="00B57F29">
              <w:rPr>
                <w:rFonts w:ascii="Arial Narrow" w:hAnsi="Arial Narrow"/>
                <w:sz w:val="20"/>
                <w:lang w:val="fr-FR"/>
              </w:rPr>
              <w:t>45 mg tablet, 30</w:t>
            </w:r>
          </w:p>
        </w:tc>
        <w:tc>
          <w:tcPr>
            <w:tcW w:w="419" w:type="pct"/>
          </w:tcPr>
          <w:p w:rsidR="0047082B" w:rsidRPr="00260CE3" w:rsidRDefault="0047082B" w:rsidP="00233EC3">
            <w:pPr>
              <w:spacing w:before="40" w:after="40"/>
              <w:rPr>
                <w:rFonts w:ascii="Arial Narrow" w:hAnsi="Arial Narrow" w:cs="Arial"/>
                <w:sz w:val="20"/>
                <w:szCs w:val="20"/>
              </w:rPr>
            </w:pPr>
          </w:p>
          <w:p w:rsidR="0047082B" w:rsidRDefault="0047082B" w:rsidP="00233EC3">
            <w:pPr>
              <w:spacing w:before="40" w:after="40"/>
              <w:rPr>
                <w:rFonts w:ascii="Arial Narrow" w:hAnsi="Arial Narrow" w:cs="Arial"/>
                <w:sz w:val="20"/>
                <w:szCs w:val="20"/>
              </w:rPr>
            </w:pPr>
            <w:r>
              <w:rPr>
                <w:rFonts w:ascii="Arial Narrow" w:hAnsi="Arial Narrow" w:cs="Arial"/>
                <w:sz w:val="20"/>
                <w:szCs w:val="20"/>
              </w:rPr>
              <w:t>1</w:t>
            </w:r>
          </w:p>
          <w:p w:rsidR="0047082B" w:rsidRPr="00260CE3" w:rsidRDefault="0047082B" w:rsidP="00233EC3">
            <w:pPr>
              <w:spacing w:before="40" w:after="40"/>
              <w:rPr>
                <w:rFonts w:ascii="Arial Narrow" w:hAnsi="Arial Narrow" w:cs="Arial"/>
                <w:sz w:val="20"/>
                <w:szCs w:val="20"/>
              </w:rPr>
            </w:pPr>
            <w:r>
              <w:rPr>
                <w:rFonts w:ascii="Arial Narrow" w:hAnsi="Arial Narrow" w:cs="Arial"/>
                <w:sz w:val="20"/>
                <w:szCs w:val="20"/>
              </w:rPr>
              <w:t>1</w:t>
            </w:r>
          </w:p>
        </w:tc>
        <w:tc>
          <w:tcPr>
            <w:tcW w:w="503" w:type="pct"/>
          </w:tcPr>
          <w:p w:rsidR="0047082B" w:rsidRPr="00260CE3" w:rsidRDefault="0047082B" w:rsidP="00233EC3">
            <w:pPr>
              <w:spacing w:before="40" w:after="40"/>
              <w:rPr>
                <w:rFonts w:ascii="Arial Narrow" w:hAnsi="Arial Narrow" w:cs="Arial"/>
                <w:sz w:val="20"/>
                <w:szCs w:val="20"/>
              </w:rPr>
            </w:pPr>
          </w:p>
          <w:p w:rsidR="0047082B" w:rsidRDefault="0047082B" w:rsidP="00233EC3">
            <w:pPr>
              <w:spacing w:before="40" w:after="40"/>
              <w:rPr>
                <w:rFonts w:ascii="Arial Narrow" w:hAnsi="Arial Narrow" w:cs="Arial"/>
                <w:sz w:val="20"/>
                <w:szCs w:val="20"/>
              </w:rPr>
            </w:pPr>
            <w:r>
              <w:rPr>
                <w:rFonts w:ascii="Arial Narrow" w:hAnsi="Arial Narrow" w:cs="Arial"/>
                <w:sz w:val="20"/>
                <w:szCs w:val="20"/>
              </w:rPr>
              <w:t>5</w:t>
            </w:r>
          </w:p>
          <w:p w:rsidR="0047082B" w:rsidRPr="00260CE3" w:rsidRDefault="0047082B" w:rsidP="00233EC3">
            <w:pPr>
              <w:spacing w:before="40" w:after="40"/>
              <w:rPr>
                <w:rFonts w:ascii="Arial Narrow" w:hAnsi="Arial Narrow" w:cs="Arial"/>
                <w:sz w:val="20"/>
                <w:szCs w:val="20"/>
              </w:rPr>
            </w:pPr>
            <w:r>
              <w:rPr>
                <w:rFonts w:ascii="Arial Narrow" w:hAnsi="Arial Narrow" w:cs="Arial"/>
                <w:sz w:val="20"/>
                <w:szCs w:val="20"/>
              </w:rPr>
              <w:t>5</w:t>
            </w:r>
          </w:p>
        </w:tc>
        <w:tc>
          <w:tcPr>
            <w:tcW w:w="2231" w:type="pct"/>
          </w:tcPr>
          <w:p w:rsidR="0047082B" w:rsidRPr="00260CE3" w:rsidRDefault="0047082B" w:rsidP="00233EC3">
            <w:pPr>
              <w:spacing w:before="40" w:after="40"/>
              <w:rPr>
                <w:rFonts w:ascii="Arial Narrow" w:hAnsi="Arial Narrow" w:cs="Arial"/>
                <w:sz w:val="20"/>
                <w:szCs w:val="20"/>
              </w:rPr>
            </w:pPr>
          </w:p>
          <w:p w:rsidR="0047082B" w:rsidRPr="00260CE3" w:rsidRDefault="0047082B" w:rsidP="00233EC3">
            <w:pPr>
              <w:spacing w:before="40" w:after="40"/>
              <w:rPr>
                <w:rFonts w:ascii="Arial Narrow" w:hAnsi="Arial Narrow" w:cs="Arial"/>
                <w:sz w:val="20"/>
                <w:szCs w:val="20"/>
              </w:rPr>
            </w:pPr>
            <w:r>
              <w:rPr>
                <w:rFonts w:ascii="Arial Narrow" w:hAnsi="Arial Narrow" w:cs="Arial"/>
                <w:sz w:val="20"/>
                <w:szCs w:val="20"/>
              </w:rPr>
              <w:t xml:space="preserve">Iclusig </w:t>
            </w:r>
            <w:r w:rsidRPr="001443F7">
              <w:rPr>
                <w:rFonts w:ascii="Arial Narrow" w:hAnsi="Arial Narrow" w:cs="Arial"/>
                <w:sz w:val="20"/>
                <w:szCs w:val="20"/>
              </w:rPr>
              <w:t>Specialised Therapeutics Australia Pty Ltd</w:t>
            </w:r>
          </w:p>
        </w:tc>
      </w:tr>
    </w:tbl>
    <w:p w:rsidR="00A95F33" w:rsidRDefault="00A95F33" w:rsidP="003C2DFD">
      <w:pPr>
        <w:pStyle w:val="NoSpacing"/>
        <w:rPr>
          <w:highlight w:val="yellow"/>
          <w:lang w:val="en-GB"/>
        </w:rPr>
      </w:pPr>
    </w:p>
    <w:p w:rsidR="00A95F33" w:rsidRPr="005931F7" w:rsidRDefault="00A95F33" w:rsidP="003C2DFD">
      <w:pPr>
        <w:pStyle w:val="NoSpacing"/>
        <w:rPr>
          <w:rFonts w:asciiTheme="minorHAnsi" w:hAnsiTheme="minorHAnsi" w:cstheme="minorHAnsi"/>
          <w:sz w:val="24"/>
          <w:szCs w:val="24"/>
          <w:lang w:val="en-GB"/>
        </w:rPr>
      </w:pPr>
      <w:r w:rsidRPr="0047082B">
        <w:rPr>
          <w:rFonts w:asciiTheme="minorHAnsi" w:hAnsiTheme="minorHAnsi" w:cstheme="minorHAnsi"/>
          <w:sz w:val="24"/>
          <w:szCs w:val="24"/>
          <w:lang w:val="en-GB"/>
        </w:rPr>
        <w:t xml:space="preserve">Initial treatment </w:t>
      </w:r>
      <w:r w:rsidR="005931F7" w:rsidRPr="0047082B">
        <w:rPr>
          <w:rFonts w:asciiTheme="minorHAnsi" w:hAnsiTheme="minorHAnsi" w:cstheme="minorHAnsi"/>
          <w:sz w:val="24"/>
          <w:szCs w:val="24"/>
          <w:lang w:val="en-GB"/>
        </w:rPr>
        <w:t>benefits:</w:t>
      </w:r>
    </w:p>
    <w:tbl>
      <w:tblPr>
        <w:tblW w:w="4942" w:type="pct"/>
        <w:tblInd w:w="108" w:type="dxa"/>
        <w:tblLook w:val="0000" w:firstRow="0" w:lastRow="0" w:firstColumn="0" w:lastColumn="0" w:noHBand="0" w:noVBand="0"/>
      </w:tblPr>
      <w:tblGrid>
        <w:gridCol w:w="2260"/>
        <w:gridCol w:w="6651"/>
      </w:tblGrid>
      <w:tr w:rsidR="00A95F33" w:rsidRPr="00CB29EA" w:rsidTr="00233EC3">
        <w:trPr>
          <w:cantSplit/>
          <w:trHeight w:val="199"/>
        </w:trPr>
        <w:tc>
          <w:tcPr>
            <w:tcW w:w="1268"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keepNext/>
              <w:widowControl w:val="0"/>
              <w:rPr>
                <w:rStyle w:val="SmallBold"/>
                <w:rFonts w:ascii="Arial Narrow" w:hAnsi="Arial Narrow"/>
                <w:szCs w:val="20"/>
              </w:rPr>
            </w:pPr>
            <w:r w:rsidRPr="00CB29EA">
              <w:rPr>
                <w:rStyle w:val="SmallBold"/>
                <w:rFonts w:ascii="Arial Narrow" w:hAnsi="Arial Narrow"/>
                <w:szCs w:val="20"/>
              </w:rPr>
              <w:t>Category / program</w:t>
            </w:r>
          </w:p>
        </w:tc>
        <w:tc>
          <w:tcPr>
            <w:tcW w:w="3732"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keepNext/>
              <w:widowControl w:val="0"/>
              <w:rPr>
                <w:rFonts w:ascii="Arial Narrow" w:hAnsi="Arial Narrow"/>
                <w:szCs w:val="20"/>
              </w:rPr>
            </w:pPr>
            <w:r w:rsidRPr="00CB29EA">
              <w:rPr>
                <w:rFonts w:ascii="Arial Narrow" w:hAnsi="Arial Narrow"/>
                <w:szCs w:val="20"/>
              </w:rPr>
              <w:t>General Schedule</w:t>
            </w:r>
          </w:p>
        </w:tc>
      </w:tr>
      <w:tr w:rsidR="00A95F33" w:rsidRPr="00CB29EA" w:rsidTr="00233EC3">
        <w:trPr>
          <w:cantSplit/>
          <w:trHeight w:val="487"/>
        </w:trPr>
        <w:tc>
          <w:tcPr>
            <w:tcW w:w="1268"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rPr>
                <w:rStyle w:val="SmallBold"/>
                <w:rFonts w:ascii="Arial Narrow" w:hAnsi="Arial Narrow"/>
                <w:szCs w:val="20"/>
              </w:rPr>
            </w:pPr>
            <w:r w:rsidRPr="00CB29EA">
              <w:rPr>
                <w:rStyle w:val="SmallBold"/>
                <w:rFonts w:ascii="Arial Narrow" w:hAnsi="Arial Narrow"/>
                <w:szCs w:val="20"/>
              </w:rPr>
              <w:t>Prescriber type</w:t>
            </w:r>
          </w:p>
        </w:tc>
        <w:tc>
          <w:tcPr>
            <w:tcW w:w="3732" w:type="pct"/>
            <w:tcBorders>
              <w:top w:val="single" w:sz="4" w:space="0" w:color="auto"/>
              <w:left w:val="single" w:sz="4" w:space="0" w:color="auto"/>
              <w:bottom w:val="single" w:sz="4" w:space="0" w:color="auto"/>
              <w:right w:val="single" w:sz="4" w:space="0" w:color="auto"/>
            </w:tcBorders>
            <w:shd w:val="clear" w:color="auto" w:fill="auto"/>
          </w:tcPr>
          <w:p w:rsidR="00A95F33" w:rsidRPr="00CB29EA" w:rsidRDefault="00A95F33" w:rsidP="00233EC3">
            <w:pPr>
              <w:pStyle w:val="TableLeft"/>
              <w:rPr>
                <w:rFonts w:ascii="Arial Narrow" w:hAnsi="Arial Narrow"/>
                <w:szCs w:val="20"/>
              </w:rPr>
            </w:pP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Dental  </w:t>
            </w:r>
            <w:r w:rsidRPr="00CB29EA">
              <w:rPr>
                <w:rFonts w:ascii="Arial Narrow" w:hAnsi="Arial Narrow"/>
                <w:szCs w:val="20"/>
              </w:rPr>
              <w:fldChar w:fldCharType="begin">
                <w:ffData>
                  <w:name w:val=""/>
                  <w:enabled/>
                  <w:calcOnExit w:val="0"/>
                  <w:checkBox>
                    <w:sizeAuto/>
                    <w:default w:val="1"/>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Medical Practitioners  </w:t>
            </w: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Nurse Practitioners</w:t>
            </w:r>
          </w:p>
          <w:p w:rsidR="00A95F33" w:rsidRPr="00CB29EA" w:rsidRDefault="00A95F33" w:rsidP="00233EC3">
            <w:pPr>
              <w:pStyle w:val="TableLeft"/>
              <w:rPr>
                <w:rFonts w:ascii="Arial Narrow" w:hAnsi="Arial Narrow"/>
                <w:szCs w:val="20"/>
              </w:rPr>
            </w:pP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Optometrists  </w:t>
            </w: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Midwives</w:t>
            </w:r>
          </w:p>
        </w:tc>
      </w:tr>
      <w:tr w:rsidR="00A95F33" w:rsidRPr="00CB29EA" w:rsidTr="00233EC3">
        <w:trPr>
          <w:cantSplit/>
          <w:trHeight w:val="190"/>
        </w:trPr>
        <w:tc>
          <w:tcPr>
            <w:tcW w:w="1268"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rPr>
                <w:rStyle w:val="SmallBold"/>
                <w:rFonts w:ascii="Arial Narrow" w:hAnsi="Arial Narrow"/>
                <w:szCs w:val="20"/>
              </w:rPr>
            </w:pPr>
            <w:r w:rsidRPr="00CB29EA">
              <w:rPr>
                <w:rStyle w:val="SmallBold"/>
                <w:rFonts w:ascii="Arial Narrow" w:hAnsi="Arial Narrow"/>
                <w:szCs w:val="20"/>
              </w:rPr>
              <w:t>Episodicity:</w:t>
            </w:r>
          </w:p>
        </w:tc>
        <w:tc>
          <w:tcPr>
            <w:tcW w:w="3732"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rPr>
                <w:rFonts w:ascii="Arial Narrow" w:hAnsi="Arial Narrow"/>
                <w:szCs w:val="20"/>
              </w:rPr>
            </w:pPr>
            <w:r>
              <w:rPr>
                <w:rFonts w:ascii="Arial Narrow" w:hAnsi="Arial Narrow"/>
                <w:szCs w:val="20"/>
              </w:rPr>
              <w:t>Chronic</w:t>
            </w:r>
          </w:p>
        </w:tc>
      </w:tr>
      <w:tr w:rsidR="00A95F33" w:rsidRPr="00CB29EA" w:rsidTr="00233EC3">
        <w:trPr>
          <w:cantSplit/>
          <w:trHeight w:val="163"/>
        </w:trPr>
        <w:tc>
          <w:tcPr>
            <w:tcW w:w="1268"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rPr>
                <w:rStyle w:val="SmallBold"/>
                <w:rFonts w:ascii="Arial Narrow" w:hAnsi="Arial Narrow"/>
                <w:szCs w:val="20"/>
              </w:rPr>
            </w:pPr>
            <w:r w:rsidRPr="00CB29EA">
              <w:rPr>
                <w:rStyle w:val="SmallBold"/>
                <w:rFonts w:ascii="Arial Narrow" w:hAnsi="Arial Narrow"/>
                <w:szCs w:val="20"/>
              </w:rPr>
              <w:t>Condition:</w:t>
            </w:r>
          </w:p>
        </w:tc>
        <w:tc>
          <w:tcPr>
            <w:tcW w:w="3732"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rPr>
                <w:rFonts w:ascii="Arial Narrow" w:hAnsi="Arial Narrow"/>
                <w:szCs w:val="20"/>
              </w:rPr>
            </w:pPr>
            <w:r>
              <w:rPr>
                <w:rFonts w:ascii="Arial Narrow" w:hAnsi="Arial Narrow"/>
                <w:szCs w:val="20"/>
              </w:rPr>
              <w:t>Myeloid leukaemia</w:t>
            </w:r>
          </w:p>
        </w:tc>
      </w:tr>
      <w:tr w:rsidR="00A95F33" w:rsidRPr="00CB29EA" w:rsidTr="00233EC3">
        <w:trPr>
          <w:cantSplit/>
          <w:trHeight w:val="208"/>
        </w:trPr>
        <w:tc>
          <w:tcPr>
            <w:tcW w:w="1268"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rPr>
                <w:rStyle w:val="SmallBold"/>
                <w:rFonts w:ascii="Arial Narrow" w:hAnsi="Arial Narrow"/>
                <w:szCs w:val="20"/>
              </w:rPr>
            </w:pPr>
            <w:r w:rsidRPr="00CB29EA">
              <w:rPr>
                <w:rStyle w:val="SmallBold"/>
                <w:rFonts w:ascii="Arial Narrow" w:hAnsi="Arial Narrow"/>
                <w:szCs w:val="20"/>
              </w:rPr>
              <w:t>PBS Indication:</w:t>
            </w:r>
          </w:p>
        </w:tc>
        <w:tc>
          <w:tcPr>
            <w:tcW w:w="3732"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rPr>
                <w:rFonts w:ascii="Arial Narrow" w:hAnsi="Arial Narrow"/>
                <w:szCs w:val="20"/>
              </w:rPr>
            </w:pPr>
            <w:r>
              <w:rPr>
                <w:rFonts w:ascii="Arial Narrow" w:hAnsi="Arial Narrow"/>
                <w:szCs w:val="20"/>
              </w:rPr>
              <w:t>Chronic myeloid leukaemia (CML)</w:t>
            </w:r>
          </w:p>
        </w:tc>
      </w:tr>
      <w:tr w:rsidR="00A95F33" w:rsidRPr="00CB29EA" w:rsidTr="00233EC3">
        <w:trPr>
          <w:cantSplit/>
          <w:trHeight w:val="253"/>
        </w:trPr>
        <w:tc>
          <w:tcPr>
            <w:tcW w:w="1268"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rPr>
                <w:rStyle w:val="SmallBold"/>
                <w:rFonts w:ascii="Arial Narrow" w:hAnsi="Arial Narrow"/>
                <w:szCs w:val="20"/>
              </w:rPr>
            </w:pPr>
            <w:r w:rsidRPr="00CB29EA">
              <w:rPr>
                <w:rStyle w:val="SmallBold"/>
                <w:rFonts w:ascii="Arial Narrow" w:hAnsi="Arial Narrow"/>
                <w:szCs w:val="20"/>
              </w:rPr>
              <w:t>Treatment phase:</w:t>
            </w:r>
          </w:p>
        </w:tc>
        <w:tc>
          <w:tcPr>
            <w:tcW w:w="3732"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rPr>
                <w:rFonts w:ascii="Arial Narrow" w:hAnsi="Arial Narrow"/>
                <w:szCs w:val="20"/>
              </w:rPr>
            </w:pPr>
            <w:r w:rsidRPr="00CB29EA">
              <w:rPr>
                <w:rFonts w:ascii="Arial Narrow" w:hAnsi="Arial Narrow"/>
                <w:szCs w:val="20"/>
              </w:rPr>
              <w:t>Initial treatment</w:t>
            </w:r>
          </w:p>
        </w:tc>
      </w:tr>
      <w:tr w:rsidR="00A95F33" w:rsidRPr="00CB29EA" w:rsidTr="00233EC3">
        <w:trPr>
          <w:cantSplit/>
          <w:trHeight w:val="1378"/>
        </w:trPr>
        <w:tc>
          <w:tcPr>
            <w:tcW w:w="1268"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rPr>
                <w:rStyle w:val="SmallBold"/>
                <w:rFonts w:ascii="Arial Narrow" w:hAnsi="Arial Narrow"/>
                <w:szCs w:val="20"/>
              </w:rPr>
            </w:pPr>
            <w:r w:rsidRPr="00CB29EA">
              <w:rPr>
                <w:rStyle w:val="SmallBold"/>
                <w:rFonts w:ascii="Arial Narrow" w:hAnsi="Arial Narrow"/>
                <w:szCs w:val="20"/>
              </w:rPr>
              <w:t>Restriction</w:t>
            </w:r>
            <w:r>
              <w:rPr>
                <w:rStyle w:val="SmallBold"/>
                <w:rFonts w:ascii="Arial Narrow" w:hAnsi="Arial Narrow"/>
                <w:szCs w:val="20"/>
              </w:rPr>
              <w:t xml:space="preserve"> Level / Method</w:t>
            </w:r>
            <w:r w:rsidRPr="00CB29EA">
              <w:rPr>
                <w:rStyle w:val="SmallBold"/>
                <w:rFonts w:ascii="Arial Narrow" w:hAnsi="Arial Narrow"/>
                <w:szCs w:val="20"/>
              </w:rPr>
              <w:t>:</w:t>
            </w:r>
          </w:p>
          <w:p w:rsidR="00A95F33" w:rsidRPr="00CB29EA" w:rsidRDefault="00A95F33" w:rsidP="00233EC3">
            <w:pPr>
              <w:pStyle w:val="TableLeft"/>
              <w:rPr>
                <w:rStyle w:val="SmallBold"/>
                <w:rFonts w:ascii="Arial Narrow" w:hAnsi="Arial Narrow"/>
                <w:szCs w:val="20"/>
              </w:rPr>
            </w:pPr>
          </w:p>
        </w:tc>
        <w:tc>
          <w:tcPr>
            <w:tcW w:w="3732" w:type="pct"/>
            <w:tcBorders>
              <w:top w:val="single" w:sz="4" w:space="0" w:color="auto"/>
              <w:left w:val="single" w:sz="4" w:space="0" w:color="auto"/>
              <w:bottom w:val="single" w:sz="4" w:space="0" w:color="auto"/>
              <w:right w:val="single" w:sz="4" w:space="0" w:color="auto"/>
            </w:tcBorders>
            <w:shd w:val="clear" w:color="auto" w:fill="FFFFFF" w:themeFill="background1"/>
          </w:tcPr>
          <w:p w:rsidR="00A95F33" w:rsidRPr="00CB29EA" w:rsidRDefault="00A95F33" w:rsidP="00233EC3">
            <w:pPr>
              <w:pStyle w:val="TableLeft"/>
              <w:rPr>
                <w:rFonts w:ascii="Arial Narrow" w:hAnsi="Arial Narrow"/>
                <w:szCs w:val="20"/>
              </w:rPr>
            </w:pP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Restricted benefit</w:t>
            </w:r>
          </w:p>
          <w:p w:rsidR="00A95F33" w:rsidRPr="00CB29EA" w:rsidRDefault="00A95F33" w:rsidP="00233EC3">
            <w:pPr>
              <w:pStyle w:val="TableLeft"/>
              <w:rPr>
                <w:rFonts w:ascii="Arial Narrow" w:hAnsi="Arial Narrow"/>
                <w:szCs w:val="20"/>
              </w:rPr>
            </w:pPr>
            <w:r>
              <w:rPr>
                <w:rFonts w:ascii="Arial Narrow" w:hAnsi="Arial Narrow"/>
                <w:szCs w:val="20"/>
              </w:rPr>
              <w:fldChar w:fldCharType="begin">
                <w:ffData>
                  <w:name w:val=""/>
                  <w:enabled/>
                  <w:calcOnExit w:val="0"/>
                  <w:checkBox>
                    <w:sizeAuto/>
                    <w:default w:val="1"/>
                  </w:checkBox>
                </w:ffData>
              </w:fldChar>
            </w:r>
            <w:r>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Pr>
                <w:rFonts w:ascii="Arial Narrow" w:hAnsi="Arial Narrow"/>
                <w:szCs w:val="20"/>
              </w:rPr>
              <w:fldChar w:fldCharType="end"/>
            </w:r>
            <w:r w:rsidRPr="00CB29EA">
              <w:rPr>
                <w:rFonts w:ascii="Arial Narrow" w:hAnsi="Arial Narrow"/>
                <w:szCs w:val="20"/>
              </w:rPr>
              <w:t>Authority Required - In Writing</w:t>
            </w:r>
          </w:p>
          <w:p w:rsidR="00A95F33" w:rsidRPr="00CB29EA" w:rsidRDefault="00A95F33" w:rsidP="00233EC3">
            <w:pPr>
              <w:pStyle w:val="TableLeft"/>
              <w:rPr>
                <w:rFonts w:ascii="Arial Narrow" w:hAnsi="Arial Narrow"/>
                <w:szCs w:val="20"/>
              </w:rPr>
            </w:pPr>
            <w:r w:rsidRPr="00CB29EA">
              <w:rPr>
                <w:rFonts w:ascii="Arial Narrow" w:hAnsi="Arial Narrow"/>
                <w:szCs w:val="20"/>
              </w:rPr>
              <w:fldChar w:fldCharType="begin">
                <w:ffData>
                  <w:name w:val="Check3"/>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Authority Required - Telephone</w:t>
            </w:r>
          </w:p>
          <w:p w:rsidR="00A95F33" w:rsidRPr="00CB29EA" w:rsidRDefault="00A95F33" w:rsidP="00233EC3">
            <w:pPr>
              <w:pStyle w:val="TableLeft"/>
              <w:rPr>
                <w:rFonts w:ascii="Arial Narrow" w:hAnsi="Arial Narrow"/>
                <w:szCs w:val="20"/>
              </w:rPr>
            </w:pPr>
            <w:r w:rsidRPr="00CB29EA">
              <w:rPr>
                <w:rFonts w:ascii="Arial Narrow" w:hAnsi="Arial Narrow"/>
                <w:szCs w:val="20"/>
              </w:rPr>
              <w:fldChar w:fldCharType="begin">
                <w:ffData>
                  <w:name w:val=""/>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Authority Required - Emergency</w:t>
            </w:r>
          </w:p>
          <w:p w:rsidR="00A95F33" w:rsidRPr="00CB29EA" w:rsidRDefault="00A95F33" w:rsidP="00233EC3">
            <w:pPr>
              <w:pStyle w:val="TableLeft"/>
              <w:rPr>
                <w:rFonts w:ascii="Arial Narrow" w:hAnsi="Arial Narrow"/>
                <w:szCs w:val="20"/>
              </w:rPr>
            </w:pPr>
            <w:r w:rsidRPr="00CB29EA">
              <w:rPr>
                <w:rFonts w:ascii="Arial Narrow" w:hAnsi="Arial Narrow"/>
                <w:szCs w:val="20"/>
              </w:rPr>
              <w:fldChar w:fldCharType="begin">
                <w:ffData>
                  <w:name w:val=""/>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Authority Required - Electronic</w:t>
            </w:r>
          </w:p>
          <w:p w:rsidR="00A95F33" w:rsidRPr="00CB29EA" w:rsidRDefault="00A95F33" w:rsidP="00233EC3">
            <w:pPr>
              <w:pStyle w:val="TableLeft"/>
              <w:rPr>
                <w:rFonts w:ascii="Arial Narrow" w:hAnsi="Arial Narrow"/>
                <w:szCs w:val="20"/>
              </w:rPr>
            </w:pPr>
            <w:r>
              <w:rPr>
                <w:rFonts w:ascii="Arial Narrow" w:hAnsi="Arial Narrow"/>
                <w:szCs w:val="20"/>
              </w:rPr>
              <w:fldChar w:fldCharType="begin">
                <w:ffData>
                  <w:name w:val=""/>
                  <w:enabled/>
                  <w:calcOnExit w:val="0"/>
                  <w:checkBox>
                    <w:sizeAuto/>
                    <w:default w:val="0"/>
                  </w:checkBox>
                </w:ffData>
              </w:fldChar>
            </w:r>
            <w:r>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Pr>
                <w:rFonts w:ascii="Arial Narrow" w:hAnsi="Arial Narrow"/>
                <w:szCs w:val="20"/>
              </w:rPr>
              <w:fldChar w:fldCharType="end"/>
            </w:r>
            <w:r w:rsidRPr="00CB29EA">
              <w:rPr>
                <w:rFonts w:ascii="Arial Narrow" w:hAnsi="Arial Narrow"/>
                <w:szCs w:val="20"/>
              </w:rPr>
              <w:t>Streamlined</w:t>
            </w:r>
          </w:p>
        </w:tc>
      </w:tr>
      <w:tr w:rsidR="00A95F33" w:rsidRPr="00CB29EA" w:rsidTr="00233EC3">
        <w:trPr>
          <w:cantSplit/>
          <w:trHeight w:val="360"/>
        </w:trPr>
        <w:tc>
          <w:tcPr>
            <w:tcW w:w="1268"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keepNext/>
              <w:rPr>
                <w:rStyle w:val="SmallBold"/>
                <w:rFonts w:ascii="Arial Narrow" w:hAnsi="Arial Narrow"/>
                <w:szCs w:val="20"/>
              </w:rPr>
            </w:pPr>
            <w:r w:rsidRPr="00CB29EA">
              <w:rPr>
                <w:rStyle w:val="SmallBold"/>
                <w:rFonts w:ascii="Arial Narrow" w:hAnsi="Arial Narrow"/>
                <w:szCs w:val="20"/>
              </w:rPr>
              <w:t>Clinical criteria:</w:t>
            </w:r>
          </w:p>
          <w:p w:rsidR="00A95F33" w:rsidRPr="00CB29EA" w:rsidRDefault="00A95F33" w:rsidP="00233EC3">
            <w:pPr>
              <w:pStyle w:val="TableLeft"/>
              <w:keepNext/>
              <w:rPr>
                <w:rStyle w:val="SmallBold"/>
                <w:rFonts w:ascii="Arial Narrow" w:hAnsi="Arial Narrow"/>
                <w:szCs w:val="20"/>
              </w:rPr>
            </w:pPr>
          </w:p>
        </w:tc>
        <w:tc>
          <w:tcPr>
            <w:tcW w:w="3732" w:type="pct"/>
            <w:tcBorders>
              <w:top w:val="single" w:sz="4" w:space="0" w:color="auto"/>
              <w:left w:val="single" w:sz="4" w:space="0" w:color="auto"/>
              <w:bottom w:val="single" w:sz="4" w:space="0" w:color="auto"/>
              <w:right w:val="single" w:sz="4" w:space="0" w:color="auto"/>
            </w:tcBorders>
          </w:tcPr>
          <w:p w:rsidR="00A95F33" w:rsidRPr="00834057" w:rsidRDefault="00A95F33" w:rsidP="00233EC3">
            <w:pPr>
              <w:pStyle w:val="TableLeft"/>
              <w:keepNext/>
              <w:rPr>
                <w:rFonts w:ascii="Arial Narrow" w:hAnsi="Arial Narrow"/>
                <w:szCs w:val="20"/>
              </w:rPr>
            </w:pPr>
            <w:r w:rsidRPr="00834057">
              <w:rPr>
                <w:rFonts w:ascii="Arial Narrow" w:hAnsi="Arial Narrow"/>
                <w:szCs w:val="20"/>
              </w:rPr>
              <w:t>The treatment must be the sole PBS-subsidised therapy for this condition,</w:t>
            </w:r>
          </w:p>
          <w:p w:rsidR="00A95F33" w:rsidRPr="00834057" w:rsidRDefault="00A95F33" w:rsidP="00233EC3">
            <w:pPr>
              <w:pStyle w:val="TableLeft"/>
              <w:keepNext/>
              <w:rPr>
                <w:rFonts w:ascii="Arial Narrow" w:hAnsi="Arial Narrow"/>
                <w:szCs w:val="20"/>
              </w:rPr>
            </w:pPr>
            <w:r w:rsidRPr="00834057">
              <w:rPr>
                <w:rFonts w:ascii="Arial Narrow" w:hAnsi="Arial Narrow"/>
                <w:szCs w:val="20"/>
              </w:rPr>
              <w:t>AND</w:t>
            </w:r>
          </w:p>
          <w:p w:rsidR="00A95F33" w:rsidRPr="00834057" w:rsidRDefault="00A95F33" w:rsidP="00233EC3">
            <w:pPr>
              <w:pStyle w:val="TableLeft"/>
              <w:keepNext/>
              <w:rPr>
                <w:rFonts w:ascii="Arial Narrow" w:hAnsi="Arial Narrow"/>
                <w:szCs w:val="20"/>
              </w:rPr>
            </w:pPr>
            <w:r w:rsidRPr="00834057">
              <w:rPr>
                <w:rFonts w:ascii="Arial Narrow" w:hAnsi="Arial Narrow"/>
                <w:szCs w:val="20"/>
              </w:rPr>
              <w:t>Patient must be expressing the T315I mutation,</w:t>
            </w:r>
          </w:p>
          <w:p w:rsidR="00A95F33" w:rsidRPr="00834057" w:rsidRDefault="00A95F33" w:rsidP="00233EC3">
            <w:pPr>
              <w:pStyle w:val="TableLeft"/>
              <w:keepNext/>
              <w:rPr>
                <w:rFonts w:ascii="Arial Narrow" w:hAnsi="Arial Narrow"/>
                <w:szCs w:val="20"/>
              </w:rPr>
            </w:pPr>
            <w:r w:rsidRPr="00834057">
              <w:rPr>
                <w:rFonts w:ascii="Arial Narrow" w:hAnsi="Arial Narrow"/>
                <w:szCs w:val="20"/>
              </w:rPr>
              <w:t>AND</w:t>
            </w:r>
          </w:p>
          <w:p w:rsidR="00A95F33" w:rsidRPr="00834057" w:rsidRDefault="00A95F33" w:rsidP="00233EC3">
            <w:pPr>
              <w:pStyle w:val="TableLeft"/>
              <w:keepNext/>
              <w:rPr>
                <w:rFonts w:ascii="Arial Narrow" w:hAnsi="Arial Narrow"/>
                <w:szCs w:val="20"/>
              </w:rPr>
            </w:pPr>
            <w:r w:rsidRPr="00834057">
              <w:rPr>
                <w:rFonts w:ascii="Arial Narrow" w:hAnsi="Arial Narrow"/>
                <w:szCs w:val="20"/>
              </w:rPr>
              <w:t>Patient must have failed an adequate trial of imatinib; OR</w:t>
            </w:r>
          </w:p>
          <w:p w:rsidR="00A95F33" w:rsidRPr="00834057" w:rsidRDefault="00A95F33" w:rsidP="00233EC3">
            <w:pPr>
              <w:pStyle w:val="TableLeft"/>
              <w:keepNext/>
              <w:rPr>
                <w:rFonts w:ascii="Arial Narrow" w:hAnsi="Arial Narrow"/>
                <w:szCs w:val="20"/>
              </w:rPr>
            </w:pPr>
            <w:r w:rsidRPr="00834057">
              <w:rPr>
                <w:rFonts w:ascii="Arial Narrow" w:hAnsi="Arial Narrow"/>
                <w:szCs w:val="20"/>
              </w:rPr>
              <w:t>Patient must have failed an adequate trial of dasatinib; OR</w:t>
            </w:r>
          </w:p>
          <w:p w:rsidR="00A95F33" w:rsidRPr="00CB29EA" w:rsidRDefault="00A95F33" w:rsidP="00233EC3">
            <w:pPr>
              <w:pStyle w:val="TableLeft"/>
              <w:keepNext/>
              <w:rPr>
                <w:rFonts w:ascii="Arial Narrow" w:hAnsi="Arial Narrow"/>
                <w:szCs w:val="20"/>
              </w:rPr>
            </w:pPr>
            <w:r w:rsidRPr="00834057">
              <w:rPr>
                <w:rFonts w:ascii="Arial Narrow" w:hAnsi="Arial Narrow"/>
                <w:szCs w:val="20"/>
              </w:rPr>
              <w:t>Patient must have failed an adequate trial of nilotinib.</w:t>
            </w:r>
          </w:p>
        </w:tc>
      </w:tr>
      <w:tr w:rsidR="00A95F33" w:rsidRPr="00CB29EA" w:rsidTr="00233EC3">
        <w:trPr>
          <w:trHeight w:val="235"/>
        </w:trPr>
        <w:tc>
          <w:tcPr>
            <w:tcW w:w="1268"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widowControl w:val="0"/>
              <w:rPr>
                <w:rStyle w:val="SmallBold"/>
                <w:rFonts w:ascii="Arial Narrow" w:hAnsi="Arial Narrow"/>
                <w:szCs w:val="20"/>
              </w:rPr>
            </w:pPr>
            <w:r w:rsidRPr="00CB29EA">
              <w:rPr>
                <w:rStyle w:val="SmallBold"/>
                <w:rFonts w:ascii="Arial Narrow" w:hAnsi="Arial Narrow"/>
                <w:szCs w:val="20"/>
              </w:rPr>
              <w:t>Prescriber Instructions</w:t>
            </w:r>
          </w:p>
        </w:tc>
        <w:tc>
          <w:tcPr>
            <w:tcW w:w="3732" w:type="pct"/>
            <w:tcBorders>
              <w:top w:val="single" w:sz="4" w:space="0" w:color="auto"/>
              <w:left w:val="single" w:sz="4" w:space="0" w:color="auto"/>
              <w:bottom w:val="single" w:sz="4" w:space="0" w:color="auto"/>
              <w:right w:val="single" w:sz="4" w:space="0" w:color="auto"/>
            </w:tcBorders>
          </w:tcPr>
          <w:p w:rsidR="00A95F33" w:rsidRPr="009C639C" w:rsidRDefault="00A95F33" w:rsidP="00233EC3">
            <w:pPr>
              <w:pStyle w:val="TableLeft"/>
              <w:widowControl w:val="0"/>
              <w:rPr>
                <w:rFonts w:ascii="Arial Narrow" w:hAnsi="Arial Narrow"/>
                <w:szCs w:val="20"/>
              </w:rPr>
            </w:pPr>
            <w:r w:rsidRPr="009C639C">
              <w:rPr>
                <w:rFonts w:ascii="Arial Narrow" w:hAnsi="Arial Narrow"/>
                <w:szCs w:val="20"/>
              </w:rPr>
              <w:t>Failure of an adequate trial of imatinib or dasatinib or nilotinib is defined as:</w:t>
            </w:r>
          </w:p>
          <w:p w:rsidR="00A95F33" w:rsidRPr="009C639C" w:rsidRDefault="00A95F33" w:rsidP="00233EC3">
            <w:pPr>
              <w:pStyle w:val="TableLeft"/>
              <w:widowControl w:val="0"/>
              <w:rPr>
                <w:rFonts w:ascii="Arial Narrow" w:hAnsi="Arial Narrow"/>
                <w:szCs w:val="20"/>
              </w:rPr>
            </w:pPr>
            <w:r w:rsidRPr="009C639C">
              <w:rPr>
                <w:rFonts w:ascii="Arial Narrow" w:hAnsi="Arial Narrow"/>
                <w:szCs w:val="20"/>
              </w:rPr>
              <w:t>1. Lack of response to imatinib or dasatinib or nilotinib therapy, defined as either: (i) failure to achieve a haematological response after a minimum of 3 months therapy with imatinib or dasatinib or nilotinib; or (ii) failure to achieve any cytogenetic response after a minimum of 6 months therapy with imatinib or dasatinib or nilotinib as demonstrated on bone marrow biopsy by presence of greater than 95% Philadelphia chromosome positive cells; or (iii) failure to achieve a major cytogenetic response or a peripheral blood BCR-ABL level of less than 1% after a minimum of 12 months therapy with imatinib or dasatinib or nilotinib; OR</w:t>
            </w:r>
          </w:p>
          <w:p w:rsidR="00A95F33" w:rsidRPr="009C639C" w:rsidRDefault="00A95F33" w:rsidP="00233EC3">
            <w:pPr>
              <w:pStyle w:val="TableLeft"/>
              <w:widowControl w:val="0"/>
              <w:rPr>
                <w:rFonts w:ascii="Arial Narrow" w:hAnsi="Arial Narrow"/>
                <w:szCs w:val="20"/>
              </w:rPr>
            </w:pPr>
            <w:r w:rsidRPr="009C639C">
              <w:rPr>
                <w:rFonts w:ascii="Arial Narrow" w:hAnsi="Arial Narrow"/>
                <w:szCs w:val="20"/>
              </w:rPr>
              <w:t>2. Loss of a previously documented major cytogenetic response (demonstrated by the presence of greater than 35% Ph positive cells on bone marrow biopsy), during ongoing imatinib or dasatinib or nilotinib therapy; OR</w:t>
            </w:r>
          </w:p>
          <w:p w:rsidR="00A95F33" w:rsidRPr="009C639C" w:rsidRDefault="00A95F33" w:rsidP="00233EC3">
            <w:pPr>
              <w:pStyle w:val="TableLeft"/>
              <w:widowControl w:val="0"/>
              <w:rPr>
                <w:rFonts w:ascii="Arial Narrow" w:hAnsi="Arial Narrow"/>
                <w:szCs w:val="20"/>
              </w:rPr>
            </w:pPr>
            <w:r w:rsidRPr="009C639C">
              <w:rPr>
                <w:rFonts w:ascii="Arial Narrow" w:hAnsi="Arial Narrow"/>
                <w:szCs w:val="20"/>
              </w:rPr>
              <w:t>3. Loss of a previously demonstrated molecular response (demonstrated by peripheral blood BCR-ABL levels increasing consecutively in value by at least 5 fold to a level of greater than 0.1% confirmed on a subsequent test), during ongoing imatinib or dasatinib or nilotinib therapy; OR</w:t>
            </w:r>
          </w:p>
          <w:p w:rsidR="00A95F33" w:rsidRPr="009C639C" w:rsidRDefault="00A95F33" w:rsidP="00233EC3">
            <w:pPr>
              <w:pStyle w:val="TableLeft"/>
              <w:widowControl w:val="0"/>
              <w:rPr>
                <w:rFonts w:ascii="Arial Narrow" w:hAnsi="Arial Narrow"/>
                <w:szCs w:val="20"/>
              </w:rPr>
            </w:pPr>
            <w:r w:rsidRPr="009C639C">
              <w:rPr>
                <w:rFonts w:ascii="Arial Narrow" w:hAnsi="Arial Narrow"/>
                <w:szCs w:val="20"/>
              </w:rPr>
              <w:t>4. Development of accelerated phase or blast crisis in a patient previously prescribed imatinib or dasatinib or nilotinib for any phase of chronic myeloid leukaemia; OR</w:t>
            </w:r>
          </w:p>
          <w:p w:rsidR="00A95F33" w:rsidRPr="009C639C" w:rsidRDefault="00A95F33" w:rsidP="00233EC3">
            <w:pPr>
              <w:pStyle w:val="TableLeft"/>
              <w:widowControl w:val="0"/>
              <w:rPr>
                <w:rFonts w:ascii="Arial Narrow" w:hAnsi="Arial Narrow"/>
                <w:szCs w:val="20"/>
              </w:rPr>
            </w:pPr>
            <w:r w:rsidRPr="009C639C">
              <w:rPr>
                <w:rFonts w:ascii="Arial Narrow" w:hAnsi="Arial Narrow"/>
                <w:szCs w:val="20"/>
              </w:rPr>
              <w:t>5. Disease progression (defined as a greater than or equal to 50% increase in peripheral white blood cell count, blast count, basophils or platelets) during imatinib or dasatinib or nilotinib therapy in patients with accelerated phase or blast crisis chronic myeloid leukaemia.</w:t>
            </w:r>
          </w:p>
          <w:p w:rsidR="00A95F33" w:rsidRDefault="00A95F33" w:rsidP="00233EC3">
            <w:pPr>
              <w:pStyle w:val="TableLeft"/>
              <w:widowControl w:val="0"/>
              <w:rPr>
                <w:rFonts w:ascii="Arial Narrow" w:hAnsi="Arial Narrow"/>
                <w:szCs w:val="20"/>
              </w:rPr>
            </w:pPr>
          </w:p>
          <w:p w:rsidR="00A95F33" w:rsidRPr="009C639C" w:rsidRDefault="00A95F33" w:rsidP="00233EC3">
            <w:pPr>
              <w:pStyle w:val="TableLeft"/>
              <w:widowControl w:val="0"/>
              <w:rPr>
                <w:rFonts w:ascii="Arial Narrow" w:hAnsi="Arial Narrow"/>
                <w:szCs w:val="20"/>
              </w:rPr>
            </w:pPr>
            <w:r w:rsidRPr="009C639C">
              <w:rPr>
                <w:rFonts w:ascii="Arial Narrow" w:hAnsi="Arial Narrow"/>
                <w:szCs w:val="20"/>
              </w:rPr>
              <w:t>Accelerated phase is defined by the presence of 1 or more of the following:</w:t>
            </w:r>
          </w:p>
          <w:p w:rsidR="00A95F33" w:rsidRPr="009C639C" w:rsidRDefault="00A95F33" w:rsidP="00233EC3">
            <w:pPr>
              <w:pStyle w:val="TableLeft"/>
              <w:widowControl w:val="0"/>
              <w:rPr>
                <w:rFonts w:ascii="Arial Narrow" w:hAnsi="Arial Narrow"/>
                <w:szCs w:val="20"/>
              </w:rPr>
            </w:pPr>
            <w:r w:rsidRPr="009C639C">
              <w:rPr>
                <w:rFonts w:ascii="Arial Narrow" w:hAnsi="Arial Narrow"/>
                <w:szCs w:val="20"/>
              </w:rPr>
              <w:t>1. Percentage of blasts in the peripheral blood or bone marrow greater than or equal to 15% but less than 30%; or</w:t>
            </w:r>
          </w:p>
          <w:p w:rsidR="00A95F33" w:rsidRPr="009C639C" w:rsidRDefault="00A95F33" w:rsidP="00233EC3">
            <w:pPr>
              <w:pStyle w:val="TableLeft"/>
              <w:widowControl w:val="0"/>
              <w:rPr>
                <w:rFonts w:ascii="Arial Narrow" w:hAnsi="Arial Narrow"/>
                <w:szCs w:val="20"/>
              </w:rPr>
            </w:pPr>
            <w:r w:rsidRPr="009C639C">
              <w:rPr>
                <w:rFonts w:ascii="Arial Narrow" w:hAnsi="Arial Narrow"/>
                <w:szCs w:val="20"/>
              </w:rPr>
              <w:t>2. Percentage of blasts plus promyelocytes in the peripheral blood or bone marrow greater than or equal to 30%, provided that blast count is less than 30%; or</w:t>
            </w:r>
          </w:p>
          <w:p w:rsidR="00A95F33" w:rsidRPr="009C639C" w:rsidRDefault="00A95F33" w:rsidP="00233EC3">
            <w:pPr>
              <w:pStyle w:val="TableLeft"/>
              <w:widowControl w:val="0"/>
              <w:rPr>
                <w:rFonts w:ascii="Arial Narrow" w:hAnsi="Arial Narrow"/>
                <w:szCs w:val="20"/>
              </w:rPr>
            </w:pPr>
            <w:r w:rsidRPr="009C639C">
              <w:rPr>
                <w:rFonts w:ascii="Arial Narrow" w:hAnsi="Arial Narrow"/>
                <w:szCs w:val="20"/>
              </w:rPr>
              <w:t>3. Peripheral basophils greater than or equal to 20%; or</w:t>
            </w:r>
          </w:p>
          <w:p w:rsidR="00A95F33" w:rsidRPr="009C639C" w:rsidRDefault="00A95F33" w:rsidP="00233EC3">
            <w:pPr>
              <w:pStyle w:val="TableLeft"/>
              <w:widowControl w:val="0"/>
              <w:rPr>
                <w:rFonts w:ascii="Arial Narrow" w:hAnsi="Arial Narrow"/>
                <w:szCs w:val="20"/>
              </w:rPr>
            </w:pPr>
            <w:r w:rsidRPr="009C639C">
              <w:rPr>
                <w:rFonts w:ascii="Arial Narrow" w:hAnsi="Arial Narrow"/>
                <w:szCs w:val="20"/>
              </w:rPr>
              <w:t>4. Progressive splenomegaly to a size greater than or equal to 10 cm below the left costal margin to be confirmed on 2 occasions at least 4 weeks apart, or a greater than or equal to 50% increase in size below the left costal margin over 4 weeks; or</w:t>
            </w:r>
          </w:p>
          <w:p w:rsidR="00A95F33" w:rsidRPr="009C639C" w:rsidRDefault="00A95F33" w:rsidP="00233EC3">
            <w:pPr>
              <w:pStyle w:val="TableLeft"/>
              <w:widowControl w:val="0"/>
              <w:rPr>
                <w:rFonts w:ascii="Arial Narrow" w:hAnsi="Arial Narrow"/>
                <w:szCs w:val="20"/>
              </w:rPr>
            </w:pPr>
            <w:r w:rsidRPr="009C639C">
              <w:rPr>
                <w:rFonts w:ascii="Arial Narrow" w:hAnsi="Arial Narrow"/>
                <w:szCs w:val="20"/>
              </w:rPr>
              <w:t>5. Karyotypic evolution (chromosomal abnormalities in addition to a single Philadelphia chromosome).</w:t>
            </w:r>
          </w:p>
          <w:p w:rsidR="00A95F33" w:rsidRDefault="00A95F33" w:rsidP="00233EC3">
            <w:pPr>
              <w:pStyle w:val="TableLeft"/>
              <w:widowControl w:val="0"/>
              <w:rPr>
                <w:rFonts w:ascii="Arial Narrow" w:hAnsi="Arial Narrow"/>
                <w:szCs w:val="20"/>
              </w:rPr>
            </w:pPr>
          </w:p>
          <w:p w:rsidR="00A95F33" w:rsidRPr="009C639C" w:rsidRDefault="00A95F33" w:rsidP="00233EC3">
            <w:pPr>
              <w:pStyle w:val="TableLeft"/>
              <w:widowControl w:val="0"/>
              <w:rPr>
                <w:rFonts w:ascii="Arial Narrow" w:hAnsi="Arial Narrow"/>
                <w:szCs w:val="20"/>
              </w:rPr>
            </w:pPr>
            <w:r w:rsidRPr="009C639C">
              <w:rPr>
                <w:rFonts w:ascii="Arial Narrow" w:hAnsi="Arial Narrow"/>
                <w:szCs w:val="20"/>
              </w:rPr>
              <w:t>Blast crisis is defined as either:</w:t>
            </w:r>
          </w:p>
          <w:p w:rsidR="00A95F33" w:rsidRPr="009C639C" w:rsidRDefault="00A95F33" w:rsidP="00233EC3">
            <w:pPr>
              <w:pStyle w:val="TableLeft"/>
              <w:widowControl w:val="0"/>
              <w:rPr>
                <w:rFonts w:ascii="Arial Narrow" w:hAnsi="Arial Narrow"/>
                <w:szCs w:val="20"/>
              </w:rPr>
            </w:pPr>
            <w:r w:rsidRPr="009C639C">
              <w:rPr>
                <w:rFonts w:ascii="Arial Narrow" w:hAnsi="Arial Narrow"/>
                <w:szCs w:val="20"/>
              </w:rPr>
              <w:t>1. Percentage of blasts in the peripheral blood or bone marrow greater than or equal to 30%; or</w:t>
            </w:r>
          </w:p>
          <w:p w:rsidR="00A95F33" w:rsidRDefault="00A95F33" w:rsidP="00233EC3">
            <w:pPr>
              <w:pStyle w:val="TableLeft"/>
              <w:widowControl w:val="0"/>
              <w:rPr>
                <w:rFonts w:ascii="Arial Narrow" w:hAnsi="Arial Narrow"/>
                <w:szCs w:val="20"/>
              </w:rPr>
            </w:pPr>
            <w:r w:rsidRPr="009C639C">
              <w:rPr>
                <w:rFonts w:ascii="Arial Narrow" w:hAnsi="Arial Narrow"/>
                <w:szCs w:val="20"/>
              </w:rPr>
              <w:t>2. Extramedullary involvement other than spleen and liver.</w:t>
            </w:r>
          </w:p>
          <w:p w:rsidR="00A95F33" w:rsidRDefault="00A95F33" w:rsidP="00233EC3">
            <w:pPr>
              <w:pStyle w:val="TableLeft"/>
              <w:widowControl w:val="0"/>
              <w:rPr>
                <w:rFonts w:ascii="Arial Narrow" w:hAnsi="Arial Narrow"/>
                <w:szCs w:val="20"/>
              </w:rPr>
            </w:pPr>
          </w:p>
          <w:p w:rsidR="00A95F33" w:rsidRPr="00560FC8" w:rsidRDefault="00A95F33" w:rsidP="00233EC3">
            <w:pPr>
              <w:pStyle w:val="TableLeft"/>
              <w:widowControl w:val="0"/>
              <w:rPr>
                <w:rFonts w:ascii="Arial Narrow" w:hAnsi="Arial Narrow"/>
                <w:szCs w:val="20"/>
              </w:rPr>
            </w:pPr>
            <w:r w:rsidRPr="00560FC8">
              <w:rPr>
                <w:rFonts w:ascii="Arial Narrow" w:hAnsi="Arial Narrow"/>
                <w:szCs w:val="20"/>
              </w:rPr>
              <w:t>The authority application must be made in writing and must include:</w:t>
            </w:r>
          </w:p>
          <w:p w:rsidR="00A95F33" w:rsidRPr="00195F54" w:rsidRDefault="00A95F33" w:rsidP="00233EC3">
            <w:pPr>
              <w:pStyle w:val="TableLeft"/>
              <w:widowControl w:val="0"/>
              <w:rPr>
                <w:rFonts w:ascii="Arial Narrow" w:hAnsi="Arial Narrow"/>
                <w:szCs w:val="20"/>
              </w:rPr>
            </w:pPr>
            <w:r w:rsidRPr="00195F54">
              <w:rPr>
                <w:rFonts w:ascii="Arial Narrow" w:hAnsi="Arial Narrow"/>
                <w:szCs w:val="20"/>
              </w:rPr>
              <w:t>1. a completed authority prescription form; and</w:t>
            </w:r>
          </w:p>
          <w:p w:rsidR="00A95F33" w:rsidRPr="00195F54" w:rsidRDefault="00A95F33" w:rsidP="00233EC3">
            <w:pPr>
              <w:pStyle w:val="TableLeft"/>
              <w:widowControl w:val="0"/>
              <w:rPr>
                <w:rFonts w:ascii="Arial Narrow" w:hAnsi="Arial Narrow"/>
                <w:szCs w:val="20"/>
              </w:rPr>
            </w:pPr>
            <w:r w:rsidRPr="00195F54">
              <w:rPr>
                <w:rFonts w:ascii="Arial Narrow" w:hAnsi="Arial Narrow"/>
                <w:szCs w:val="20"/>
              </w:rPr>
              <w:t>2. a completed Chronic Myeloid Leukaemia - ponatinib Initial PBS authority application form; and</w:t>
            </w:r>
          </w:p>
          <w:p w:rsidR="00A95F33" w:rsidRPr="00195F54" w:rsidRDefault="00A95F33" w:rsidP="00233EC3">
            <w:pPr>
              <w:pStyle w:val="TableLeft"/>
              <w:widowControl w:val="0"/>
              <w:rPr>
                <w:rFonts w:ascii="Arial Narrow" w:hAnsi="Arial Narrow"/>
                <w:szCs w:val="20"/>
              </w:rPr>
            </w:pPr>
            <w:r w:rsidRPr="00195F54">
              <w:rPr>
                <w:rFonts w:ascii="Arial Narrow" w:hAnsi="Arial Narrow"/>
                <w:szCs w:val="20"/>
              </w:rPr>
              <w:t>3. a signed patient acknowledgement; and</w:t>
            </w:r>
          </w:p>
          <w:p w:rsidR="00A95F33" w:rsidRPr="00560FC8" w:rsidRDefault="00A95F33" w:rsidP="00233EC3">
            <w:pPr>
              <w:pStyle w:val="TableLeft"/>
              <w:widowControl w:val="0"/>
              <w:rPr>
                <w:rFonts w:ascii="Arial Narrow" w:hAnsi="Arial Narrow"/>
                <w:szCs w:val="20"/>
              </w:rPr>
            </w:pPr>
            <w:r w:rsidRPr="00195F54">
              <w:rPr>
                <w:rFonts w:ascii="Arial Narrow" w:hAnsi="Arial Narrow"/>
                <w:szCs w:val="20"/>
              </w:rPr>
              <w:t>4. a bone marrow biopsy pathology report demonstrating the patient has active chronic myeloid leukaemia, either manifest as cytogenetic evidence of the Philadelphia chromosome, or RT-PCR level of BCR-ABL transcript greater than 0.1% on the international scale and evidence of the T315I mutation. (The date of the relevant pathology report(s</w:t>
            </w:r>
            <w:r w:rsidRPr="00494A81">
              <w:rPr>
                <w:rFonts w:ascii="Arial Narrow" w:hAnsi="Arial Narrow"/>
                <w:szCs w:val="20"/>
              </w:rPr>
              <w:t xml:space="preserve">), </w:t>
            </w:r>
            <w:r w:rsidRPr="00494A81">
              <w:rPr>
                <w:rFonts w:ascii="Arial Narrow" w:hAnsi="Arial Narrow"/>
                <w:b/>
                <w:strike/>
                <w:szCs w:val="20"/>
              </w:rPr>
              <w:t xml:space="preserve">which should be within the previous 6 </w:t>
            </w:r>
            <w:r w:rsidRPr="00816D1B">
              <w:rPr>
                <w:rFonts w:ascii="Arial Narrow" w:hAnsi="Arial Narrow"/>
                <w:b/>
                <w:strike/>
                <w:szCs w:val="20"/>
              </w:rPr>
              <w:t>months</w:t>
            </w:r>
            <w:r w:rsidRPr="00816D1B">
              <w:rPr>
                <w:rFonts w:ascii="Arial Narrow" w:hAnsi="Arial Narrow"/>
                <w:strike/>
                <w:szCs w:val="20"/>
              </w:rPr>
              <w:t>,</w:t>
            </w:r>
            <w:r w:rsidRPr="00560FC8">
              <w:rPr>
                <w:rFonts w:ascii="Arial Narrow" w:hAnsi="Arial Narrow"/>
                <w:szCs w:val="20"/>
              </w:rPr>
              <w:t xml:space="preserve"> need(s) to be provided); and</w:t>
            </w:r>
          </w:p>
          <w:p w:rsidR="00A95F33" w:rsidRPr="00EC45B5" w:rsidRDefault="00A95F33" w:rsidP="00233EC3">
            <w:pPr>
              <w:pStyle w:val="TableLeft"/>
              <w:widowControl w:val="0"/>
              <w:rPr>
                <w:rFonts w:ascii="Arial Narrow" w:hAnsi="Arial Narrow"/>
                <w:szCs w:val="20"/>
              </w:rPr>
            </w:pPr>
            <w:r w:rsidRPr="00560FC8">
              <w:rPr>
                <w:rFonts w:ascii="Arial Narrow" w:hAnsi="Arial Narrow"/>
                <w:szCs w:val="20"/>
              </w:rPr>
              <w:t>5. where there has been a loss of response to imatinib or dasatinib or nilotinib, a copy of the current confirming pathology report(s) from an Approved Pathology Authority or details of the dates of assessment in the case of progressive splenomegaly or extramedullary involvement.</w:t>
            </w:r>
          </w:p>
        </w:tc>
      </w:tr>
      <w:tr w:rsidR="0047082B" w:rsidRPr="00CB29EA" w:rsidTr="0047082B">
        <w:trPr>
          <w:trHeight w:val="235"/>
        </w:trPr>
        <w:tc>
          <w:tcPr>
            <w:tcW w:w="1268" w:type="pct"/>
            <w:tcBorders>
              <w:top w:val="single" w:sz="4" w:space="0" w:color="auto"/>
              <w:left w:val="single" w:sz="4" w:space="0" w:color="auto"/>
              <w:bottom w:val="single" w:sz="4" w:space="0" w:color="auto"/>
              <w:right w:val="single" w:sz="4" w:space="0" w:color="auto"/>
            </w:tcBorders>
          </w:tcPr>
          <w:p w:rsidR="0047082B" w:rsidRPr="00C846C2" w:rsidRDefault="0047082B" w:rsidP="0047082B">
            <w:pPr>
              <w:pStyle w:val="TableLeft"/>
              <w:widowControl w:val="0"/>
              <w:rPr>
                <w:rStyle w:val="SmallBold"/>
                <w:rFonts w:ascii="Arial Narrow" w:hAnsi="Arial Narrow"/>
                <w:szCs w:val="20"/>
              </w:rPr>
            </w:pPr>
            <w:r w:rsidRPr="00C846C2">
              <w:rPr>
                <w:rStyle w:val="SmallBold"/>
                <w:rFonts w:ascii="Arial Narrow" w:hAnsi="Arial Narrow"/>
                <w:szCs w:val="20"/>
              </w:rPr>
              <w:t>Administrative Advice</w:t>
            </w:r>
          </w:p>
        </w:tc>
        <w:tc>
          <w:tcPr>
            <w:tcW w:w="3732" w:type="pct"/>
            <w:tcBorders>
              <w:top w:val="single" w:sz="4" w:space="0" w:color="auto"/>
              <w:left w:val="single" w:sz="4" w:space="0" w:color="auto"/>
              <w:bottom w:val="single" w:sz="4" w:space="0" w:color="auto"/>
              <w:right w:val="single" w:sz="4" w:space="0" w:color="auto"/>
            </w:tcBorders>
          </w:tcPr>
          <w:p w:rsidR="0047082B" w:rsidRPr="00C846C2" w:rsidRDefault="0047082B" w:rsidP="0047082B">
            <w:pPr>
              <w:pStyle w:val="Default"/>
              <w:rPr>
                <w:rFonts w:ascii="Arial Narrow" w:hAnsi="Arial Narrow"/>
                <w:sz w:val="20"/>
                <w:szCs w:val="20"/>
              </w:rPr>
            </w:pPr>
            <w:r w:rsidRPr="00C846C2">
              <w:rPr>
                <w:rFonts w:ascii="Arial Narrow" w:hAnsi="Arial Narrow"/>
                <w:sz w:val="20"/>
                <w:szCs w:val="20"/>
              </w:rPr>
              <w:t xml:space="preserve">Any queries concerning the arrangements to prescribe may be directed to the Department of Human Services on 1800 700 270 (hours of operation 8 a.m. to 5 p.m. EST Monday to Friday). </w:t>
            </w:r>
          </w:p>
          <w:p w:rsidR="0047082B" w:rsidRPr="00C846C2" w:rsidRDefault="0047082B" w:rsidP="0047082B">
            <w:pPr>
              <w:pStyle w:val="Default"/>
              <w:rPr>
                <w:rFonts w:ascii="Arial Narrow" w:hAnsi="Arial Narrow"/>
                <w:sz w:val="20"/>
                <w:szCs w:val="20"/>
              </w:rPr>
            </w:pPr>
            <w:r w:rsidRPr="00C846C2">
              <w:rPr>
                <w:rFonts w:ascii="Arial Narrow" w:hAnsi="Arial Narrow"/>
                <w:sz w:val="20"/>
                <w:szCs w:val="20"/>
              </w:rPr>
              <w:t xml:space="preserve">Prescribing information (including Authority Application forms and other relevant documentation as applicable) is available on the Department of Human Services website at www.humanservices.gov.au </w:t>
            </w:r>
          </w:p>
          <w:p w:rsidR="0047082B" w:rsidRPr="00C846C2" w:rsidRDefault="0047082B" w:rsidP="0047082B">
            <w:pPr>
              <w:pStyle w:val="Default"/>
              <w:rPr>
                <w:rFonts w:ascii="Arial Narrow" w:hAnsi="Arial Narrow"/>
                <w:sz w:val="20"/>
                <w:szCs w:val="20"/>
              </w:rPr>
            </w:pPr>
            <w:r w:rsidRPr="00C846C2">
              <w:rPr>
                <w:rFonts w:ascii="Arial Narrow" w:hAnsi="Arial Narrow"/>
                <w:sz w:val="20"/>
                <w:szCs w:val="20"/>
              </w:rPr>
              <w:t xml:space="preserve">Applications for authority to prescribe should be forwarded to: </w:t>
            </w:r>
          </w:p>
          <w:p w:rsidR="0047082B" w:rsidRPr="00C846C2" w:rsidRDefault="0047082B" w:rsidP="0047082B">
            <w:pPr>
              <w:pStyle w:val="Default"/>
              <w:rPr>
                <w:rFonts w:ascii="Arial Narrow" w:hAnsi="Arial Narrow"/>
                <w:sz w:val="20"/>
                <w:szCs w:val="20"/>
              </w:rPr>
            </w:pPr>
            <w:r w:rsidRPr="00C846C2">
              <w:rPr>
                <w:rFonts w:ascii="Arial Narrow" w:hAnsi="Arial Narrow"/>
                <w:sz w:val="20"/>
                <w:szCs w:val="20"/>
              </w:rPr>
              <w:t xml:space="preserve">Department of Human Services </w:t>
            </w:r>
          </w:p>
          <w:p w:rsidR="0047082B" w:rsidRPr="00C846C2" w:rsidRDefault="0047082B" w:rsidP="0047082B">
            <w:pPr>
              <w:pStyle w:val="Default"/>
              <w:rPr>
                <w:rFonts w:ascii="Arial Narrow" w:hAnsi="Arial Narrow"/>
                <w:sz w:val="20"/>
                <w:szCs w:val="20"/>
              </w:rPr>
            </w:pPr>
            <w:r w:rsidRPr="00C846C2">
              <w:rPr>
                <w:rFonts w:ascii="Arial Narrow" w:hAnsi="Arial Narrow"/>
                <w:sz w:val="20"/>
                <w:szCs w:val="20"/>
              </w:rPr>
              <w:t xml:space="preserve">Prior Written Approval of Complex Drugs </w:t>
            </w:r>
          </w:p>
          <w:p w:rsidR="0047082B" w:rsidRPr="00C846C2" w:rsidRDefault="0047082B" w:rsidP="0047082B">
            <w:pPr>
              <w:pStyle w:val="Default"/>
              <w:rPr>
                <w:rFonts w:ascii="Arial Narrow" w:hAnsi="Arial Narrow"/>
                <w:sz w:val="20"/>
                <w:szCs w:val="20"/>
              </w:rPr>
            </w:pPr>
            <w:r w:rsidRPr="00C846C2">
              <w:rPr>
                <w:rFonts w:ascii="Arial Narrow" w:hAnsi="Arial Narrow"/>
                <w:sz w:val="20"/>
                <w:szCs w:val="20"/>
              </w:rPr>
              <w:t xml:space="preserve">Reply Paid 9826 </w:t>
            </w:r>
          </w:p>
          <w:p w:rsidR="0047082B" w:rsidRPr="00C846C2" w:rsidRDefault="0047082B" w:rsidP="0047082B">
            <w:pPr>
              <w:pStyle w:val="Default"/>
              <w:rPr>
                <w:rFonts w:ascii="Arial Narrow" w:hAnsi="Arial Narrow"/>
                <w:sz w:val="20"/>
                <w:szCs w:val="20"/>
              </w:rPr>
            </w:pPr>
            <w:r w:rsidRPr="00C846C2">
              <w:rPr>
                <w:rFonts w:ascii="Arial Narrow" w:hAnsi="Arial Narrow"/>
                <w:sz w:val="20"/>
                <w:szCs w:val="20"/>
              </w:rPr>
              <w:t xml:space="preserve">GPO Box 9826 </w:t>
            </w:r>
          </w:p>
          <w:p w:rsidR="0047082B" w:rsidRDefault="0047082B" w:rsidP="0047082B">
            <w:pPr>
              <w:pStyle w:val="TableLeft"/>
              <w:widowControl w:val="0"/>
              <w:rPr>
                <w:szCs w:val="20"/>
              </w:rPr>
            </w:pPr>
            <w:r w:rsidRPr="00C846C2">
              <w:rPr>
                <w:rFonts w:ascii="Arial Narrow" w:hAnsi="Arial Narrow"/>
                <w:szCs w:val="20"/>
              </w:rPr>
              <w:t>HOBART TAS 7001</w:t>
            </w:r>
            <w:r>
              <w:rPr>
                <w:szCs w:val="20"/>
              </w:rPr>
              <w:t xml:space="preserve"> </w:t>
            </w:r>
          </w:p>
          <w:p w:rsidR="001019A9" w:rsidRDefault="001019A9" w:rsidP="0047082B">
            <w:pPr>
              <w:pStyle w:val="TableLeft"/>
              <w:widowControl w:val="0"/>
              <w:rPr>
                <w:szCs w:val="20"/>
              </w:rPr>
            </w:pPr>
          </w:p>
          <w:p w:rsidR="0047082B" w:rsidRPr="0047082B" w:rsidRDefault="0047082B" w:rsidP="0047082B">
            <w:pPr>
              <w:rPr>
                <w:rFonts w:ascii="Arial Narrow" w:hAnsi="Arial Narrow"/>
                <w:sz w:val="20"/>
              </w:rPr>
            </w:pPr>
            <w:r w:rsidRPr="0047082B">
              <w:rPr>
                <w:rFonts w:ascii="Arial Narrow" w:hAnsi="Arial Narrow"/>
                <w:sz w:val="20"/>
              </w:rPr>
              <w:t xml:space="preserve">Patients are eligible for PBS-subsidised treatment with only one of </w:t>
            </w:r>
            <w:r w:rsidR="008F6778">
              <w:rPr>
                <w:rFonts w:ascii="Arial Narrow" w:hAnsi="Arial Narrow"/>
                <w:sz w:val="20"/>
              </w:rPr>
              <w:t xml:space="preserve">imatinib, </w:t>
            </w:r>
            <w:r w:rsidRPr="0047082B">
              <w:rPr>
                <w:rFonts w:ascii="Arial Narrow" w:hAnsi="Arial Narrow"/>
                <w:sz w:val="20"/>
              </w:rPr>
              <w:t xml:space="preserve">dasatinib, nilotinib or ponatinib at any one time and must not be receiving concomitant interferon alfa therapy. </w:t>
            </w:r>
          </w:p>
          <w:p w:rsidR="0047082B" w:rsidRPr="0047082B" w:rsidRDefault="0047082B" w:rsidP="0047082B">
            <w:pPr>
              <w:rPr>
                <w:rFonts w:ascii="Arial Narrow" w:hAnsi="Arial Narrow"/>
                <w:sz w:val="20"/>
              </w:rPr>
            </w:pPr>
          </w:p>
          <w:p w:rsidR="0047082B" w:rsidRPr="0047082B" w:rsidRDefault="0047082B" w:rsidP="0047082B">
            <w:pPr>
              <w:rPr>
                <w:rFonts w:ascii="Arial Narrow" w:hAnsi="Arial Narrow"/>
                <w:sz w:val="20"/>
              </w:rPr>
            </w:pPr>
            <w:r w:rsidRPr="0047082B">
              <w:rPr>
                <w:rFonts w:ascii="Arial Narrow" w:hAnsi="Arial Narrow"/>
                <w:sz w:val="20"/>
              </w:rPr>
              <w:t>1. Continuing treatment</w:t>
            </w:r>
          </w:p>
          <w:p w:rsidR="001019A9" w:rsidRPr="00A31255" w:rsidRDefault="001019A9" w:rsidP="001019A9">
            <w:pPr>
              <w:rPr>
                <w:rFonts w:ascii="Arial Narrow" w:hAnsi="Arial Narrow"/>
                <w:b/>
                <w:sz w:val="20"/>
              </w:rPr>
            </w:pPr>
            <w:r w:rsidRPr="00A31255">
              <w:rPr>
                <w:rFonts w:ascii="Arial Narrow" w:hAnsi="Arial Narrow"/>
                <w:b/>
                <w:sz w:val="20"/>
              </w:rPr>
              <w:t xml:space="preserve">First continuing applications are to be written, at which time patients in whom a major cytogenetic response or peripheral blood BCR-ABL level of less than 1% has been demonstrated may receive authorisation for a further 12 months of treatment. </w:t>
            </w:r>
          </w:p>
          <w:p w:rsidR="001019A9" w:rsidRPr="00A31255" w:rsidRDefault="001019A9" w:rsidP="001019A9">
            <w:pPr>
              <w:rPr>
                <w:rFonts w:ascii="Arial Narrow" w:hAnsi="Arial Narrow"/>
                <w:b/>
                <w:sz w:val="20"/>
              </w:rPr>
            </w:pPr>
            <w:r w:rsidRPr="00A31255">
              <w:rPr>
                <w:rFonts w:ascii="Arial Narrow" w:hAnsi="Arial Narrow"/>
                <w:b/>
                <w:sz w:val="20"/>
              </w:rPr>
              <w:t xml:space="preserve">Subsequent authority applications for continuing therapy may be made by telephoning the Department of Human Services on 1800 700 270 (hours of operation 8 a.m. to 5 p.m. EST Monday to Friday). </w:t>
            </w:r>
          </w:p>
          <w:p w:rsidR="0047082B" w:rsidRPr="0047082B" w:rsidRDefault="0047082B" w:rsidP="0047082B">
            <w:pPr>
              <w:rPr>
                <w:rFonts w:ascii="Arial Narrow" w:hAnsi="Arial Narrow"/>
                <w:sz w:val="20"/>
              </w:rPr>
            </w:pPr>
          </w:p>
          <w:p w:rsidR="001019A9" w:rsidRPr="001019A9" w:rsidRDefault="001019A9" w:rsidP="001019A9">
            <w:pPr>
              <w:rPr>
                <w:rFonts w:ascii="Arial Narrow" w:hAnsi="Arial Narrow"/>
                <w:sz w:val="20"/>
              </w:rPr>
            </w:pPr>
            <w:r w:rsidRPr="001019A9">
              <w:rPr>
                <w:rFonts w:ascii="Arial Narrow" w:hAnsi="Arial Narrow"/>
                <w:sz w:val="20"/>
              </w:rPr>
              <w:t>2. Authority approval requirements.</w:t>
            </w:r>
          </w:p>
          <w:p w:rsidR="001019A9" w:rsidRPr="001019A9" w:rsidRDefault="001019A9" w:rsidP="001019A9">
            <w:pPr>
              <w:rPr>
                <w:rFonts w:ascii="Arial Narrow" w:hAnsi="Arial Narrow"/>
                <w:sz w:val="20"/>
              </w:rPr>
            </w:pPr>
            <w:r w:rsidRPr="001019A9">
              <w:rPr>
                <w:rFonts w:ascii="Arial Narrow" w:hAnsi="Arial Narrow"/>
                <w:sz w:val="20"/>
              </w:rPr>
              <w:t xml:space="preserve">Response criteria to </w:t>
            </w:r>
            <w:r w:rsidR="008F6778" w:rsidRPr="008F6778">
              <w:rPr>
                <w:rFonts w:ascii="Arial Narrow" w:hAnsi="Arial Narrow"/>
                <w:b/>
                <w:strike/>
                <w:sz w:val="20"/>
              </w:rPr>
              <w:t>in</w:t>
            </w:r>
            <w:r w:rsidR="008F6778">
              <w:rPr>
                <w:rFonts w:ascii="Arial Narrow" w:hAnsi="Arial Narrow"/>
                <w:b/>
                <w:strike/>
                <w:sz w:val="20"/>
              </w:rPr>
              <w:t>i</w:t>
            </w:r>
            <w:r w:rsidR="008F6778" w:rsidRPr="008F6778">
              <w:rPr>
                <w:rFonts w:ascii="Arial Narrow" w:hAnsi="Arial Narrow"/>
                <w:b/>
                <w:strike/>
                <w:sz w:val="20"/>
              </w:rPr>
              <w:t>tial</w:t>
            </w:r>
            <w:r w:rsidR="008F6778">
              <w:rPr>
                <w:rFonts w:ascii="Arial Narrow" w:hAnsi="Arial Narrow"/>
                <w:sz w:val="20"/>
              </w:rPr>
              <w:t xml:space="preserve"> </w:t>
            </w:r>
            <w:r w:rsidRPr="001019A9">
              <w:rPr>
                <w:rFonts w:ascii="Arial Narrow" w:hAnsi="Arial Narrow"/>
                <w:sz w:val="20"/>
              </w:rPr>
              <w:t>treatment with ponatinib:</w:t>
            </w:r>
          </w:p>
          <w:p w:rsidR="001019A9" w:rsidRPr="001019A9" w:rsidRDefault="001019A9" w:rsidP="001019A9">
            <w:pPr>
              <w:rPr>
                <w:rFonts w:ascii="Arial Narrow" w:hAnsi="Arial Narrow"/>
                <w:sz w:val="20"/>
              </w:rPr>
            </w:pPr>
            <w:r w:rsidRPr="001019A9">
              <w:rPr>
                <w:rFonts w:ascii="Arial Narrow" w:hAnsi="Arial Narrow"/>
                <w:sz w:val="20"/>
              </w:rPr>
              <w:t>For the purposes of assessing response to PBS-subsidised treatment with ponatinib, either cytogenetic analysis indicating the number of Philadelphia positive [t (9;22)] cells in the bone marrow measured by standard karyotyping, or quantitative PCR indicating the relative level of BCR-ABL transcript in the peripheral blood using the international scale, must be submitted. For bone marrow analyses, where the standard karyotyping is not informative for technical reasons, a cytogenetic analysis performed on the bone marrow by the use of fluorescence in situ hybridisation (FISH) with BCR-ABL specific probe must be submitted. The cytogenetic or peripheral blood quantitative PCR analyses must be submitted within 18 months of the commencement of treatment with</w:t>
            </w:r>
            <w:r w:rsidR="00A31255">
              <w:rPr>
                <w:rFonts w:ascii="Arial Narrow" w:hAnsi="Arial Narrow"/>
                <w:sz w:val="20"/>
              </w:rPr>
              <w:t xml:space="preserve"> </w:t>
            </w:r>
            <w:r w:rsidR="00A31255" w:rsidRPr="00A31255">
              <w:rPr>
                <w:rFonts w:ascii="Arial Narrow" w:hAnsi="Arial Narrow"/>
                <w:b/>
                <w:strike/>
                <w:sz w:val="20"/>
              </w:rPr>
              <w:t>dasatinib, nilotinib or</w:t>
            </w:r>
            <w:r w:rsidRPr="001019A9">
              <w:rPr>
                <w:rFonts w:ascii="Arial Narrow" w:hAnsi="Arial Narrow"/>
                <w:sz w:val="20"/>
              </w:rPr>
              <w:t xml:space="preserve"> ponatinib (patients in whom a major cytogenetic response or peripheral blood BCR-ABL level of less than 1% is demonstrable by 18 months are eligible to receive </w:t>
            </w:r>
            <w:r w:rsidRPr="008F6778">
              <w:rPr>
                <w:rFonts w:ascii="Arial Narrow" w:hAnsi="Arial Narrow"/>
                <w:b/>
                <w:sz w:val="20"/>
              </w:rPr>
              <w:t xml:space="preserve">first </w:t>
            </w:r>
            <w:r w:rsidR="00E456A4">
              <w:rPr>
                <w:rFonts w:ascii="Arial Narrow" w:hAnsi="Arial Narrow"/>
                <w:sz w:val="20"/>
              </w:rPr>
              <w:t>continuing treatment with</w:t>
            </w:r>
            <w:r w:rsidR="00E456A4" w:rsidRPr="001019A9">
              <w:rPr>
                <w:rFonts w:ascii="Arial Narrow" w:hAnsi="Arial Narrow"/>
                <w:sz w:val="20"/>
              </w:rPr>
              <w:t xml:space="preserve"> </w:t>
            </w:r>
            <w:r w:rsidR="00E456A4" w:rsidRPr="008F6778">
              <w:rPr>
                <w:rFonts w:ascii="Arial Narrow" w:hAnsi="Arial Narrow"/>
                <w:b/>
                <w:strike/>
                <w:sz w:val="20"/>
              </w:rPr>
              <w:t>that agent</w:t>
            </w:r>
            <w:r w:rsidR="00E456A4" w:rsidRPr="008F6778">
              <w:rPr>
                <w:rFonts w:ascii="Arial Narrow" w:hAnsi="Arial Narrow"/>
                <w:b/>
                <w:sz w:val="20"/>
              </w:rPr>
              <w:t xml:space="preserve"> </w:t>
            </w:r>
            <w:r w:rsidRPr="008F6778">
              <w:rPr>
                <w:rFonts w:ascii="Arial Narrow" w:hAnsi="Arial Narrow"/>
                <w:b/>
                <w:sz w:val="20"/>
              </w:rPr>
              <w:t>this drug</w:t>
            </w:r>
            <w:r w:rsidRPr="001019A9">
              <w:rPr>
                <w:rFonts w:ascii="Arial Narrow" w:hAnsi="Arial Narrow"/>
                <w:sz w:val="20"/>
              </w:rPr>
              <w:t xml:space="preserve">). </w:t>
            </w:r>
          </w:p>
          <w:p w:rsidR="001019A9" w:rsidRPr="00A31255" w:rsidRDefault="001019A9" w:rsidP="001019A9">
            <w:pPr>
              <w:rPr>
                <w:rFonts w:ascii="Arial Narrow" w:hAnsi="Arial Narrow"/>
                <w:b/>
                <w:sz w:val="20"/>
              </w:rPr>
            </w:pPr>
            <w:r w:rsidRPr="00A31255">
              <w:rPr>
                <w:rFonts w:ascii="Arial Narrow" w:hAnsi="Arial Narrow"/>
                <w:b/>
                <w:sz w:val="20"/>
              </w:rPr>
              <w:t>Thereafter, at no greater than 12 month intervals a major cytogenetic response or a peripheral blood BCR-ABL level of less than 1% must be sustained to receive subsequent continuing treatments with this drug.</w:t>
            </w:r>
          </w:p>
          <w:p w:rsidR="001019A9" w:rsidRPr="001019A9" w:rsidRDefault="001019A9" w:rsidP="001019A9">
            <w:pPr>
              <w:rPr>
                <w:rFonts w:ascii="Arial Narrow" w:hAnsi="Arial Narrow"/>
                <w:sz w:val="20"/>
              </w:rPr>
            </w:pPr>
          </w:p>
          <w:p w:rsidR="001019A9" w:rsidRPr="001019A9" w:rsidRDefault="001019A9" w:rsidP="001019A9">
            <w:pPr>
              <w:rPr>
                <w:rFonts w:ascii="Arial Narrow" w:hAnsi="Arial Narrow"/>
                <w:sz w:val="20"/>
              </w:rPr>
            </w:pPr>
            <w:r w:rsidRPr="001019A9">
              <w:rPr>
                <w:rFonts w:ascii="Arial Narrow" w:hAnsi="Arial Narrow"/>
                <w:sz w:val="20"/>
              </w:rPr>
              <w:t>3. Definitions of response.</w:t>
            </w:r>
          </w:p>
          <w:p w:rsidR="001019A9" w:rsidRPr="001019A9" w:rsidRDefault="001019A9" w:rsidP="001019A9">
            <w:pPr>
              <w:rPr>
                <w:rFonts w:ascii="Arial Narrow" w:hAnsi="Arial Narrow"/>
                <w:sz w:val="20"/>
              </w:rPr>
            </w:pPr>
            <w:r w:rsidRPr="001019A9">
              <w:rPr>
                <w:rFonts w:ascii="Arial Narrow" w:hAnsi="Arial Narrow"/>
                <w:sz w:val="20"/>
              </w:rPr>
              <w:t xml:space="preserve">A major cytogenetic response is defined as less than 35% Philadelphia positive bone marrow cells. </w:t>
            </w:r>
          </w:p>
          <w:p w:rsidR="001019A9" w:rsidRDefault="001019A9" w:rsidP="001019A9">
            <w:pPr>
              <w:rPr>
                <w:rFonts w:ascii="Arial Narrow" w:hAnsi="Arial Narrow"/>
                <w:sz w:val="20"/>
              </w:rPr>
            </w:pPr>
            <w:r w:rsidRPr="001019A9">
              <w:rPr>
                <w:rFonts w:ascii="Arial Narrow" w:hAnsi="Arial Narrow"/>
                <w:sz w:val="20"/>
              </w:rPr>
              <w:t xml:space="preserve">A peripheral blood BCR-ABL level of less than 1% on the international scale (Blood 108: 28-37, 2006) also indicates a response, at least the biological equivalent of a major cytogenetic response. </w:t>
            </w:r>
          </w:p>
          <w:p w:rsidR="001019A9" w:rsidRPr="001019A9" w:rsidRDefault="001019A9" w:rsidP="001019A9">
            <w:pPr>
              <w:rPr>
                <w:rFonts w:ascii="Arial Narrow" w:hAnsi="Arial Narrow"/>
                <w:sz w:val="20"/>
              </w:rPr>
            </w:pPr>
          </w:p>
          <w:p w:rsidR="001019A9" w:rsidRPr="001019A9" w:rsidRDefault="001019A9" w:rsidP="001019A9">
            <w:pPr>
              <w:rPr>
                <w:rFonts w:ascii="Arial Narrow" w:hAnsi="Arial Narrow"/>
                <w:sz w:val="20"/>
              </w:rPr>
            </w:pPr>
            <w:r w:rsidRPr="001019A9">
              <w:rPr>
                <w:rFonts w:ascii="Arial Narrow" w:hAnsi="Arial Narrow"/>
                <w:sz w:val="20"/>
              </w:rPr>
              <w:t>4. Definitions of loss of response.</w:t>
            </w:r>
          </w:p>
          <w:p w:rsidR="001019A9" w:rsidRPr="001019A9" w:rsidRDefault="001019A9" w:rsidP="001019A9">
            <w:pPr>
              <w:rPr>
                <w:rFonts w:ascii="Arial Narrow" w:hAnsi="Arial Narrow"/>
                <w:sz w:val="20"/>
              </w:rPr>
            </w:pPr>
            <w:r w:rsidRPr="001019A9">
              <w:rPr>
                <w:rFonts w:ascii="Arial Narrow" w:hAnsi="Arial Narrow"/>
                <w:sz w:val="20"/>
              </w:rPr>
              <w:t xml:space="preserve">Loss of a previously documented major cytogenetic response (demonstrated by the presence of greater than 35% Ph positive cells on bone marrow biopsy), during ongoing tyrosine kinase inhibitor therapy. </w:t>
            </w:r>
          </w:p>
          <w:p w:rsidR="0047082B" w:rsidRPr="0047082B" w:rsidRDefault="001019A9" w:rsidP="0047082B">
            <w:pPr>
              <w:rPr>
                <w:rFonts w:ascii="Arial Narrow" w:hAnsi="Arial Narrow"/>
                <w:sz w:val="20"/>
              </w:rPr>
            </w:pPr>
            <w:r w:rsidRPr="001019A9">
              <w:rPr>
                <w:rFonts w:ascii="Arial Narrow" w:hAnsi="Arial Narrow"/>
                <w:sz w:val="20"/>
              </w:rPr>
              <w:t xml:space="preserve">Loss of a previously demonstrated molecular response (demonstrated by peripheral blood BCR-ABL levels increasing consecutively in value by at least 5 fold to a level of greater than 0.1% confirmed on a subsequent test), during ongoing tyrosine kinase inhibitor therapy. </w:t>
            </w:r>
          </w:p>
        </w:tc>
      </w:tr>
    </w:tbl>
    <w:p w:rsidR="0047082B" w:rsidRDefault="0047082B"/>
    <w:tbl>
      <w:tblPr>
        <w:tblW w:w="4942" w:type="pct"/>
        <w:tblInd w:w="108" w:type="dxa"/>
        <w:tblLook w:val="0000" w:firstRow="0" w:lastRow="0" w:firstColumn="0" w:lastColumn="0" w:noHBand="0" w:noVBand="0"/>
      </w:tblPr>
      <w:tblGrid>
        <w:gridCol w:w="2260"/>
        <w:gridCol w:w="6651"/>
      </w:tblGrid>
      <w:tr w:rsidR="00A95F33" w:rsidRPr="00CB29EA" w:rsidTr="00233EC3">
        <w:trPr>
          <w:cantSplit/>
          <w:trHeight w:val="199"/>
        </w:trPr>
        <w:tc>
          <w:tcPr>
            <w:tcW w:w="1268"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rPr>
                <w:rStyle w:val="SmallBold"/>
                <w:rFonts w:ascii="Arial Narrow" w:hAnsi="Arial Narrow"/>
                <w:szCs w:val="20"/>
              </w:rPr>
            </w:pPr>
            <w:r w:rsidRPr="00CB29EA">
              <w:rPr>
                <w:rStyle w:val="SmallBold"/>
                <w:rFonts w:ascii="Arial Narrow" w:hAnsi="Arial Narrow"/>
                <w:szCs w:val="20"/>
              </w:rPr>
              <w:t>Category / program</w:t>
            </w:r>
          </w:p>
        </w:tc>
        <w:tc>
          <w:tcPr>
            <w:tcW w:w="3732"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rPr>
                <w:rFonts w:ascii="Arial Narrow" w:hAnsi="Arial Narrow"/>
                <w:szCs w:val="20"/>
              </w:rPr>
            </w:pPr>
            <w:r w:rsidRPr="00CB29EA">
              <w:rPr>
                <w:rFonts w:ascii="Arial Narrow" w:hAnsi="Arial Narrow"/>
                <w:szCs w:val="20"/>
              </w:rPr>
              <w:t>General Schedule</w:t>
            </w:r>
          </w:p>
        </w:tc>
      </w:tr>
      <w:tr w:rsidR="00A95F33" w:rsidRPr="00CB29EA" w:rsidTr="00233EC3">
        <w:trPr>
          <w:cantSplit/>
          <w:trHeight w:val="487"/>
        </w:trPr>
        <w:tc>
          <w:tcPr>
            <w:tcW w:w="1268"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rPr>
                <w:rStyle w:val="SmallBold"/>
                <w:rFonts w:ascii="Arial Narrow" w:hAnsi="Arial Narrow"/>
                <w:szCs w:val="20"/>
              </w:rPr>
            </w:pPr>
            <w:r w:rsidRPr="00CB29EA">
              <w:rPr>
                <w:rStyle w:val="SmallBold"/>
                <w:rFonts w:ascii="Arial Narrow" w:hAnsi="Arial Narrow"/>
                <w:szCs w:val="20"/>
              </w:rPr>
              <w:t>Prescriber type</w:t>
            </w:r>
          </w:p>
        </w:tc>
        <w:tc>
          <w:tcPr>
            <w:tcW w:w="3732" w:type="pct"/>
            <w:tcBorders>
              <w:top w:val="single" w:sz="4" w:space="0" w:color="auto"/>
              <w:left w:val="single" w:sz="4" w:space="0" w:color="auto"/>
              <w:bottom w:val="single" w:sz="4" w:space="0" w:color="auto"/>
              <w:right w:val="single" w:sz="4" w:space="0" w:color="auto"/>
            </w:tcBorders>
            <w:shd w:val="clear" w:color="auto" w:fill="auto"/>
          </w:tcPr>
          <w:p w:rsidR="00A95F33" w:rsidRPr="00CB29EA" w:rsidRDefault="00A95F33" w:rsidP="00233EC3">
            <w:pPr>
              <w:pStyle w:val="TableLeft"/>
              <w:rPr>
                <w:rFonts w:ascii="Arial Narrow" w:hAnsi="Arial Narrow"/>
                <w:szCs w:val="20"/>
              </w:rPr>
            </w:pP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Dental  </w:t>
            </w:r>
            <w:r w:rsidRPr="00CB29EA">
              <w:rPr>
                <w:rFonts w:ascii="Arial Narrow" w:hAnsi="Arial Narrow"/>
                <w:szCs w:val="20"/>
              </w:rPr>
              <w:fldChar w:fldCharType="begin">
                <w:ffData>
                  <w:name w:val=""/>
                  <w:enabled/>
                  <w:calcOnExit w:val="0"/>
                  <w:checkBox>
                    <w:sizeAuto/>
                    <w:default w:val="1"/>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Medical Practitioners  </w:t>
            </w: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Nurse Practitioners</w:t>
            </w:r>
          </w:p>
          <w:p w:rsidR="00A95F33" w:rsidRPr="00CB29EA" w:rsidRDefault="00A95F33" w:rsidP="00233EC3">
            <w:pPr>
              <w:pStyle w:val="TableLeft"/>
              <w:rPr>
                <w:rFonts w:ascii="Arial Narrow" w:hAnsi="Arial Narrow"/>
                <w:szCs w:val="20"/>
              </w:rPr>
            </w:pP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Optometrists  </w:t>
            </w: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Midwives</w:t>
            </w:r>
          </w:p>
        </w:tc>
      </w:tr>
      <w:tr w:rsidR="00A95F33" w:rsidRPr="00CB29EA" w:rsidTr="00233EC3">
        <w:trPr>
          <w:cantSplit/>
          <w:trHeight w:val="190"/>
        </w:trPr>
        <w:tc>
          <w:tcPr>
            <w:tcW w:w="1268"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rPr>
                <w:rStyle w:val="SmallBold"/>
                <w:rFonts w:ascii="Arial Narrow" w:hAnsi="Arial Narrow"/>
                <w:szCs w:val="20"/>
              </w:rPr>
            </w:pPr>
            <w:r w:rsidRPr="00CB29EA">
              <w:rPr>
                <w:rStyle w:val="SmallBold"/>
                <w:rFonts w:ascii="Arial Narrow" w:hAnsi="Arial Narrow"/>
                <w:szCs w:val="20"/>
              </w:rPr>
              <w:t>Episodicity:</w:t>
            </w:r>
          </w:p>
        </w:tc>
        <w:tc>
          <w:tcPr>
            <w:tcW w:w="3732"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rPr>
                <w:rFonts w:ascii="Arial Narrow" w:hAnsi="Arial Narrow"/>
                <w:szCs w:val="20"/>
              </w:rPr>
            </w:pPr>
            <w:r>
              <w:rPr>
                <w:rFonts w:ascii="Arial Narrow" w:hAnsi="Arial Narrow"/>
                <w:szCs w:val="20"/>
              </w:rPr>
              <w:t>Chronic</w:t>
            </w:r>
          </w:p>
        </w:tc>
      </w:tr>
      <w:tr w:rsidR="00A95F33" w:rsidRPr="00CB29EA" w:rsidTr="00233EC3">
        <w:trPr>
          <w:cantSplit/>
          <w:trHeight w:val="163"/>
        </w:trPr>
        <w:tc>
          <w:tcPr>
            <w:tcW w:w="1268"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rPr>
                <w:rStyle w:val="SmallBold"/>
                <w:rFonts w:ascii="Arial Narrow" w:hAnsi="Arial Narrow"/>
                <w:szCs w:val="20"/>
              </w:rPr>
            </w:pPr>
            <w:r w:rsidRPr="00CB29EA">
              <w:rPr>
                <w:rStyle w:val="SmallBold"/>
                <w:rFonts w:ascii="Arial Narrow" w:hAnsi="Arial Narrow"/>
                <w:szCs w:val="20"/>
              </w:rPr>
              <w:t>Condition:</w:t>
            </w:r>
          </w:p>
        </w:tc>
        <w:tc>
          <w:tcPr>
            <w:tcW w:w="3732"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rPr>
                <w:rFonts w:ascii="Arial Narrow" w:hAnsi="Arial Narrow"/>
                <w:szCs w:val="20"/>
              </w:rPr>
            </w:pPr>
            <w:r>
              <w:rPr>
                <w:rFonts w:ascii="Arial Narrow" w:hAnsi="Arial Narrow"/>
                <w:szCs w:val="20"/>
              </w:rPr>
              <w:t>Myeloid leukaemia</w:t>
            </w:r>
          </w:p>
        </w:tc>
      </w:tr>
      <w:tr w:rsidR="00A95F33" w:rsidRPr="00CB29EA" w:rsidTr="00233EC3">
        <w:trPr>
          <w:cantSplit/>
          <w:trHeight w:val="208"/>
        </w:trPr>
        <w:tc>
          <w:tcPr>
            <w:tcW w:w="1268"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rPr>
                <w:rStyle w:val="SmallBold"/>
                <w:rFonts w:ascii="Arial Narrow" w:hAnsi="Arial Narrow"/>
                <w:szCs w:val="20"/>
              </w:rPr>
            </w:pPr>
            <w:r w:rsidRPr="00CB29EA">
              <w:rPr>
                <w:rStyle w:val="SmallBold"/>
                <w:rFonts w:ascii="Arial Narrow" w:hAnsi="Arial Narrow"/>
                <w:szCs w:val="20"/>
              </w:rPr>
              <w:t>PBS Indication:</w:t>
            </w:r>
          </w:p>
        </w:tc>
        <w:tc>
          <w:tcPr>
            <w:tcW w:w="3732"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rPr>
                <w:rFonts w:ascii="Arial Narrow" w:hAnsi="Arial Narrow"/>
                <w:szCs w:val="20"/>
              </w:rPr>
            </w:pPr>
            <w:r>
              <w:rPr>
                <w:rFonts w:ascii="Arial Narrow" w:hAnsi="Arial Narrow"/>
                <w:szCs w:val="20"/>
              </w:rPr>
              <w:t>Chronic myeloid leukaemia (CML)</w:t>
            </w:r>
          </w:p>
        </w:tc>
      </w:tr>
      <w:tr w:rsidR="00A95F33" w:rsidRPr="00CB29EA" w:rsidTr="00233EC3">
        <w:trPr>
          <w:cantSplit/>
          <w:trHeight w:val="253"/>
        </w:trPr>
        <w:tc>
          <w:tcPr>
            <w:tcW w:w="1268"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rPr>
                <w:rStyle w:val="SmallBold"/>
                <w:rFonts w:ascii="Arial Narrow" w:hAnsi="Arial Narrow"/>
                <w:szCs w:val="20"/>
              </w:rPr>
            </w:pPr>
            <w:r w:rsidRPr="00CB29EA">
              <w:rPr>
                <w:rStyle w:val="SmallBold"/>
                <w:rFonts w:ascii="Arial Narrow" w:hAnsi="Arial Narrow"/>
                <w:szCs w:val="20"/>
              </w:rPr>
              <w:t>Treatment phase:</w:t>
            </w:r>
          </w:p>
        </w:tc>
        <w:tc>
          <w:tcPr>
            <w:tcW w:w="3732"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rPr>
                <w:rFonts w:ascii="Arial Narrow" w:hAnsi="Arial Narrow"/>
                <w:szCs w:val="20"/>
              </w:rPr>
            </w:pPr>
            <w:r w:rsidRPr="00CB29EA">
              <w:rPr>
                <w:rFonts w:ascii="Arial Narrow" w:hAnsi="Arial Narrow"/>
                <w:szCs w:val="20"/>
              </w:rPr>
              <w:t>Initial treatment</w:t>
            </w:r>
          </w:p>
        </w:tc>
      </w:tr>
      <w:tr w:rsidR="00A95F33" w:rsidRPr="00CB29EA" w:rsidTr="00233EC3">
        <w:trPr>
          <w:cantSplit/>
          <w:trHeight w:val="1378"/>
        </w:trPr>
        <w:tc>
          <w:tcPr>
            <w:tcW w:w="1268"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rPr>
                <w:rStyle w:val="SmallBold"/>
                <w:rFonts w:ascii="Arial Narrow" w:hAnsi="Arial Narrow"/>
                <w:szCs w:val="20"/>
              </w:rPr>
            </w:pPr>
            <w:r w:rsidRPr="00CB29EA">
              <w:rPr>
                <w:rStyle w:val="SmallBold"/>
                <w:rFonts w:ascii="Arial Narrow" w:hAnsi="Arial Narrow"/>
                <w:szCs w:val="20"/>
              </w:rPr>
              <w:t>Restriction</w:t>
            </w:r>
            <w:r>
              <w:rPr>
                <w:rStyle w:val="SmallBold"/>
                <w:rFonts w:ascii="Arial Narrow" w:hAnsi="Arial Narrow"/>
                <w:szCs w:val="20"/>
              </w:rPr>
              <w:t xml:space="preserve"> Level / Method</w:t>
            </w:r>
            <w:r w:rsidRPr="00CB29EA">
              <w:rPr>
                <w:rStyle w:val="SmallBold"/>
                <w:rFonts w:ascii="Arial Narrow" w:hAnsi="Arial Narrow"/>
                <w:szCs w:val="20"/>
              </w:rPr>
              <w:t>:</w:t>
            </w:r>
          </w:p>
          <w:p w:rsidR="00A95F33" w:rsidRPr="00CB29EA" w:rsidRDefault="00A95F33" w:rsidP="00233EC3">
            <w:pPr>
              <w:pStyle w:val="TableLeft"/>
              <w:rPr>
                <w:rStyle w:val="SmallBold"/>
                <w:rFonts w:ascii="Arial Narrow" w:hAnsi="Arial Narrow"/>
                <w:szCs w:val="20"/>
              </w:rPr>
            </w:pPr>
          </w:p>
        </w:tc>
        <w:tc>
          <w:tcPr>
            <w:tcW w:w="3732" w:type="pct"/>
            <w:tcBorders>
              <w:top w:val="single" w:sz="4" w:space="0" w:color="auto"/>
              <w:left w:val="single" w:sz="4" w:space="0" w:color="auto"/>
              <w:bottom w:val="single" w:sz="4" w:space="0" w:color="auto"/>
              <w:right w:val="single" w:sz="4" w:space="0" w:color="auto"/>
            </w:tcBorders>
            <w:shd w:val="clear" w:color="auto" w:fill="FFFFFF" w:themeFill="background1"/>
          </w:tcPr>
          <w:p w:rsidR="00A95F33" w:rsidRPr="00CB29EA" w:rsidRDefault="00A95F33" w:rsidP="00233EC3">
            <w:pPr>
              <w:pStyle w:val="TableLeft"/>
              <w:rPr>
                <w:rFonts w:ascii="Arial Narrow" w:hAnsi="Arial Narrow"/>
                <w:szCs w:val="20"/>
              </w:rPr>
            </w:pP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Restricted benefit</w:t>
            </w:r>
          </w:p>
          <w:p w:rsidR="00A95F33" w:rsidRPr="00CB29EA" w:rsidRDefault="00A95F33" w:rsidP="00233EC3">
            <w:pPr>
              <w:pStyle w:val="TableLeft"/>
              <w:rPr>
                <w:rFonts w:ascii="Arial Narrow" w:hAnsi="Arial Narrow"/>
                <w:szCs w:val="20"/>
              </w:rPr>
            </w:pPr>
            <w:r>
              <w:rPr>
                <w:rFonts w:ascii="Arial Narrow" w:hAnsi="Arial Narrow"/>
                <w:szCs w:val="20"/>
              </w:rPr>
              <w:fldChar w:fldCharType="begin">
                <w:ffData>
                  <w:name w:val=""/>
                  <w:enabled/>
                  <w:calcOnExit w:val="0"/>
                  <w:checkBox>
                    <w:sizeAuto/>
                    <w:default w:val="1"/>
                  </w:checkBox>
                </w:ffData>
              </w:fldChar>
            </w:r>
            <w:r>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Pr>
                <w:rFonts w:ascii="Arial Narrow" w:hAnsi="Arial Narrow"/>
                <w:szCs w:val="20"/>
              </w:rPr>
              <w:fldChar w:fldCharType="end"/>
            </w:r>
            <w:r w:rsidRPr="00CB29EA">
              <w:rPr>
                <w:rFonts w:ascii="Arial Narrow" w:hAnsi="Arial Narrow"/>
                <w:szCs w:val="20"/>
              </w:rPr>
              <w:t>Authority Required - In Writing</w:t>
            </w:r>
          </w:p>
          <w:p w:rsidR="00A95F33" w:rsidRPr="00CB29EA" w:rsidRDefault="00A95F33" w:rsidP="00233EC3">
            <w:pPr>
              <w:pStyle w:val="TableLeft"/>
              <w:rPr>
                <w:rFonts w:ascii="Arial Narrow" w:hAnsi="Arial Narrow"/>
                <w:szCs w:val="20"/>
              </w:rPr>
            </w:pPr>
            <w:r w:rsidRPr="00CB29EA">
              <w:rPr>
                <w:rFonts w:ascii="Arial Narrow" w:hAnsi="Arial Narrow"/>
                <w:szCs w:val="20"/>
              </w:rPr>
              <w:fldChar w:fldCharType="begin">
                <w:ffData>
                  <w:name w:val="Check3"/>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Authority Required - Telephone</w:t>
            </w:r>
          </w:p>
          <w:p w:rsidR="00A95F33" w:rsidRPr="00CB29EA" w:rsidRDefault="00A95F33" w:rsidP="00233EC3">
            <w:pPr>
              <w:pStyle w:val="TableLeft"/>
              <w:rPr>
                <w:rFonts w:ascii="Arial Narrow" w:hAnsi="Arial Narrow"/>
                <w:szCs w:val="20"/>
              </w:rPr>
            </w:pPr>
            <w:r w:rsidRPr="00CB29EA">
              <w:rPr>
                <w:rFonts w:ascii="Arial Narrow" w:hAnsi="Arial Narrow"/>
                <w:szCs w:val="20"/>
              </w:rPr>
              <w:fldChar w:fldCharType="begin">
                <w:ffData>
                  <w:name w:val=""/>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Authority Required - Emergency</w:t>
            </w:r>
          </w:p>
          <w:p w:rsidR="00A95F33" w:rsidRPr="00CB29EA" w:rsidRDefault="00A95F33" w:rsidP="00233EC3">
            <w:pPr>
              <w:pStyle w:val="TableLeft"/>
              <w:rPr>
                <w:rFonts w:ascii="Arial Narrow" w:hAnsi="Arial Narrow"/>
                <w:szCs w:val="20"/>
              </w:rPr>
            </w:pPr>
            <w:r w:rsidRPr="00CB29EA">
              <w:rPr>
                <w:rFonts w:ascii="Arial Narrow" w:hAnsi="Arial Narrow"/>
                <w:szCs w:val="20"/>
              </w:rPr>
              <w:fldChar w:fldCharType="begin">
                <w:ffData>
                  <w:name w:val=""/>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Authority Required - Electronic</w:t>
            </w:r>
          </w:p>
          <w:p w:rsidR="00A95F33" w:rsidRPr="00CB29EA" w:rsidRDefault="00A95F33" w:rsidP="00233EC3">
            <w:pPr>
              <w:pStyle w:val="TableLeft"/>
              <w:rPr>
                <w:rFonts w:ascii="Arial Narrow" w:hAnsi="Arial Narrow"/>
                <w:szCs w:val="20"/>
              </w:rPr>
            </w:pPr>
            <w:r>
              <w:rPr>
                <w:rFonts w:ascii="Arial Narrow" w:hAnsi="Arial Narrow"/>
                <w:szCs w:val="20"/>
              </w:rPr>
              <w:fldChar w:fldCharType="begin">
                <w:ffData>
                  <w:name w:val=""/>
                  <w:enabled/>
                  <w:calcOnExit w:val="0"/>
                  <w:checkBox>
                    <w:sizeAuto/>
                    <w:default w:val="0"/>
                  </w:checkBox>
                </w:ffData>
              </w:fldChar>
            </w:r>
            <w:r>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Pr>
                <w:rFonts w:ascii="Arial Narrow" w:hAnsi="Arial Narrow"/>
                <w:szCs w:val="20"/>
              </w:rPr>
              <w:fldChar w:fldCharType="end"/>
            </w:r>
            <w:r w:rsidRPr="00CB29EA">
              <w:rPr>
                <w:rFonts w:ascii="Arial Narrow" w:hAnsi="Arial Narrow"/>
                <w:szCs w:val="20"/>
              </w:rPr>
              <w:t>Streamlined</w:t>
            </w:r>
          </w:p>
        </w:tc>
      </w:tr>
      <w:tr w:rsidR="00A95F33" w:rsidRPr="00CB29EA" w:rsidTr="00233EC3">
        <w:trPr>
          <w:cantSplit/>
          <w:trHeight w:val="360"/>
        </w:trPr>
        <w:tc>
          <w:tcPr>
            <w:tcW w:w="1268"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keepNext/>
              <w:rPr>
                <w:rStyle w:val="SmallBold"/>
                <w:rFonts w:ascii="Arial Narrow" w:hAnsi="Arial Narrow"/>
                <w:szCs w:val="20"/>
              </w:rPr>
            </w:pPr>
            <w:r w:rsidRPr="00CB29EA">
              <w:rPr>
                <w:rStyle w:val="SmallBold"/>
                <w:rFonts w:ascii="Arial Narrow" w:hAnsi="Arial Narrow"/>
                <w:szCs w:val="20"/>
              </w:rPr>
              <w:t>Clinical criteria:</w:t>
            </w:r>
          </w:p>
          <w:p w:rsidR="00A95F33" w:rsidRPr="00CB29EA" w:rsidRDefault="00A95F33" w:rsidP="00233EC3">
            <w:pPr>
              <w:pStyle w:val="TableLeft"/>
              <w:keepNext/>
              <w:rPr>
                <w:rStyle w:val="SmallBold"/>
                <w:rFonts w:ascii="Arial Narrow" w:hAnsi="Arial Narrow"/>
                <w:szCs w:val="20"/>
              </w:rPr>
            </w:pPr>
          </w:p>
        </w:tc>
        <w:tc>
          <w:tcPr>
            <w:tcW w:w="3732" w:type="pct"/>
            <w:tcBorders>
              <w:top w:val="single" w:sz="4" w:space="0" w:color="auto"/>
              <w:left w:val="single" w:sz="4" w:space="0" w:color="auto"/>
              <w:bottom w:val="single" w:sz="4" w:space="0" w:color="auto"/>
              <w:right w:val="single" w:sz="4" w:space="0" w:color="auto"/>
            </w:tcBorders>
          </w:tcPr>
          <w:p w:rsidR="00A95F33" w:rsidRPr="00A767D7" w:rsidRDefault="00A95F33" w:rsidP="00233EC3">
            <w:pPr>
              <w:pStyle w:val="Default"/>
              <w:rPr>
                <w:rFonts w:ascii="Arial Narrow" w:hAnsi="Arial Narrow"/>
                <w:sz w:val="20"/>
                <w:szCs w:val="20"/>
              </w:rPr>
            </w:pPr>
            <w:r w:rsidRPr="00A767D7">
              <w:rPr>
                <w:rFonts w:ascii="Arial Narrow" w:hAnsi="Arial Narrow"/>
                <w:sz w:val="20"/>
                <w:szCs w:val="20"/>
              </w:rPr>
              <w:t xml:space="preserve">The treatment must be the sole PBS-subsidised therapy for this condition, </w:t>
            </w:r>
          </w:p>
          <w:p w:rsidR="00A95F33" w:rsidRPr="00A767D7" w:rsidRDefault="00A95F33" w:rsidP="00233EC3">
            <w:pPr>
              <w:pStyle w:val="Default"/>
              <w:rPr>
                <w:rFonts w:ascii="Arial Narrow" w:hAnsi="Arial Narrow"/>
                <w:sz w:val="20"/>
                <w:szCs w:val="20"/>
              </w:rPr>
            </w:pPr>
            <w:r w:rsidRPr="00A767D7">
              <w:rPr>
                <w:rFonts w:ascii="Arial Narrow" w:hAnsi="Arial Narrow"/>
                <w:sz w:val="20"/>
                <w:szCs w:val="20"/>
              </w:rPr>
              <w:t xml:space="preserve">AND </w:t>
            </w:r>
          </w:p>
          <w:p w:rsidR="00A95F33" w:rsidRPr="00A767D7" w:rsidRDefault="00A95F33" w:rsidP="00233EC3">
            <w:pPr>
              <w:pStyle w:val="Default"/>
              <w:rPr>
                <w:rFonts w:ascii="Arial Narrow" w:hAnsi="Arial Narrow"/>
                <w:sz w:val="20"/>
                <w:szCs w:val="20"/>
              </w:rPr>
            </w:pPr>
            <w:r w:rsidRPr="00A767D7">
              <w:rPr>
                <w:rFonts w:ascii="Arial Narrow" w:hAnsi="Arial Narrow"/>
                <w:sz w:val="20"/>
                <w:szCs w:val="20"/>
              </w:rPr>
              <w:t xml:space="preserve">Patient must have failed an adequate trial of dasatinib; OR </w:t>
            </w:r>
          </w:p>
          <w:p w:rsidR="00A95F33" w:rsidRPr="00A767D7" w:rsidRDefault="00A95F33" w:rsidP="00233EC3">
            <w:pPr>
              <w:pStyle w:val="Default"/>
              <w:rPr>
                <w:rFonts w:ascii="Arial Narrow" w:hAnsi="Arial Narrow"/>
                <w:sz w:val="20"/>
                <w:szCs w:val="20"/>
              </w:rPr>
            </w:pPr>
            <w:r w:rsidRPr="00A767D7">
              <w:rPr>
                <w:rFonts w:ascii="Arial Narrow" w:hAnsi="Arial Narrow"/>
                <w:sz w:val="20"/>
                <w:szCs w:val="20"/>
              </w:rPr>
              <w:t xml:space="preserve">Patient must have developed intolerance to dasatinib of a severity necessitating permanent treatment withdrawal, </w:t>
            </w:r>
          </w:p>
          <w:p w:rsidR="00A95F33" w:rsidRPr="00A767D7" w:rsidRDefault="00A95F33" w:rsidP="00233EC3">
            <w:pPr>
              <w:pStyle w:val="Default"/>
              <w:rPr>
                <w:rFonts w:ascii="Arial Narrow" w:hAnsi="Arial Narrow"/>
                <w:sz w:val="20"/>
                <w:szCs w:val="20"/>
              </w:rPr>
            </w:pPr>
            <w:r w:rsidRPr="00A767D7">
              <w:rPr>
                <w:rFonts w:ascii="Arial Narrow" w:hAnsi="Arial Narrow"/>
                <w:sz w:val="20"/>
                <w:szCs w:val="20"/>
              </w:rPr>
              <w:t xml:space="preserve">AND </w:t>
            </w:r>
          </w:p>
          <w:p w:rsidR="00A95F33" w:rsidRPr="00A767D7" w:rsidRDefault="00A95F33" w:rsidP="00233EC3">
            <w:pPr>
              <w:pStyle w:val="Default"/>
              <w:rPr>
                <w:rFonts w:ascii="Arial Narrow" w:hAnsi="Arial Narrow"/>
                <w:sz w:val="20"/>
                <w:szCs w:val="20"/>
              </w:rPr>
            </w:pPr>
            <w:r w:rsidRPr="00A767D7">
              <w:rPr>
                <w:rFonts w:ascii="Arial Narrow" w:hAnsi="Arial Narrow"/>
                <w:sz w:val="20"/>
                <w:szCs w:val="20"/>
              </w:rPr>
              <w:t xml:space="preserve">Patient must have failed an adequate trial of nilotinib; OR </w:t>
            </w:r>
          </w:p>
          <w:p w:rsidR="00A95F33" w:rsidRPr="00A767D7" w:rsidRDefault="00A95F33" w:rsidP="00233EC3">
            <w:pPr>
              <w:pStyle w:val="Default"/>
              <w:rPr>
                <w:rFonts w:ascii="Arial Narrow" w:hAnsi="Arial Narrow"/>
                <w:sz w:val="20"/>
                <w:szCs w:val="20"/>
              </w:rPr>
            </w:pPr>
            <w:r w:rsidRPr="00A767D7">
              <w:rPr>
                <w:rFonts w:ascii="Arial Narrow" w:hAnsi="Arial Narrow"/>
                <w:sz w:val="20"/>
                <w:szCs w:val="20"/>
              </w:rPr>
              <w:t xml:space="preserve">Patient must have developed intolerance to nilotinib of a severity necessitating permanent treatment withdrawal; OR </w:t>
            </w:r>
          </w:p>
          <w:p w:rsidR="00A95F33" w:rsidRPr="00A767D7" w:rsidRDefault="00A95F33" w:rsidP="00233EC3">
            <w:pPr>
              <w:pStyle w:val="TableLeft"/>
              <w:keepNext/>
              <w:rPr>
                <w:rFonts w:ascii="Arial Narrow" w:hAnsi="Arial Narrow"/>
                <w:szCs w:val="20"/>
              </w:rPr>
            </w:pPr>
            <w:r w:rsidRPr="00A767D7">
              <w:rPr>
                <w:rFonts w:ascii="Arial Narrow" w:hAnsi="Arial Narrow"/>
                <w:szCs w:val="20"/>
              </w:rPr>
              <w:t xml:space="preserve">Patient must not be eligible for PBS-subsidised treatment with nilotinib because the patient has a blast crisis. </w:t>
            </w:r>
          </w:p>
        </w:tc>
      </w:tr>
      <w:tr w:rsidR="00A95F33" w:rsidRPr="003F3252" w:rsidTr="00233EC3">
        <w:trPr>
          <w:trHeight w:val="235"/>
        </w:trPr>
        <w:tc>
          <w:tcPr>
            <w:tcW w:w="1268" w:type="pct"/>
            <w:tcBorders>
              <w:top w:val="single" w:sz="4" w:space="0" w:color="auto"/>
              <w:left w:val="single" w:sz="4" w:space="0" w:color="auto"/>
              <w:bottom w:val="single" w:sz="4" w:space="0" w:color="auto"/>
              <w:right w:val="single" w:sz="4" w:space="0" w:color="auto"/>
            </w:tcBorders>
          </w:tcPr>
          <w:p w:rsidR="00A95F33" w:rsidRPr="00CB29EA" w:rsidRDefault="00A95F33" w:rsidP="00233EC3">
            <w:pPr>
              <w:pStyle w:val="TableLeft"/>
              <w:widowControl w:val="0"/>
              <w:rPr>
                <w:rStyle w:val="SmallBold"/>
                <w:rFonts w:ascii="Arial Narrow" w:hAnsi="Arial Narrow"/>
                <w:szCs w:val="20"/>
              </w:rPr>
            </w:pPr>
            <w:r w:rsidRPr="00CB29EA">
              <w:rPr>
                <w:rStyle w:val="SmallBold"/>
                <w:rFonts w:ascii="Arial Narrow" w:hAnsi="Arial Narrow"/>
                <w:szCs w:val="20"/>
              </w:rPr>
              <w:t>Prescriber Instructions</w:t>
            </w:r>
          </w:p>
        </w:tc>
        <w:tc>
          <w:tcPr>
            <w:tcW w:w="3732" w:type="pct"/>
            <w:tcBorders>
              <w:top w:val="single" w:sz="4" w:space="0" w:color="auto"/>
              <w:left w:val="single" w:sz="4" w:space="0" w:color="auto"/>
              <w:bottom w:val="single" w:sz="4" w:space="0" w:color="auto"/>
              <w:right w:val="single" w:sz="4" w:space="0" w:color="auto"/>
            </w:tcBorders>
          </w:tcPr>
          <w:p w:rsidR="00A95F33" w:rsidRPr="00A767D7" w:rsidRDefault="00A95F33" w:rsidP="00233EC3">
            <w:pPr>
              <w:pStyle w:val="Default"/>
              <w:rPr>
                <w:rFonts w:ascii="Arial Narrow" w:hAnsi="Arial Narrow"/>
                <w:sz w:val="20"/>
                <w:szCs w:val="20"/>
              </w:rPr>
            </w:pPr>
            <w:r w:rsidRPr="00A767D7">
              <w:rPr>
                <w:rFonts w:ascii="Arial Narrow" w:hAnsi="Arial Narrow"/>
                <w:sz w:val="20"/>
                <w:szCs w:val="20"/>
              </w:rPr>
              <w:t xml:space="preserve">Failure of an adequate trial of dasatinib or nilotinib is defined as: </w:t>
            </w:r>
          </w:p>
          <w:p w:rsidR="00A95F33" w:rsidRPr="00A767D7" w:rsidRDefault="00A95F33" w:rsidP="00233EC3">
            <w:pPr>
              <w:pStyle w:val="Default"/>
              <w:rPr>
                <w:rFonts w:ascii="Arial Narrow" w:hAnsi="Arial Narrow"/>
                <w:sz w:val="20"/>
                <w:szCs w:val="20"/>
              </w:rPr>
            </w:pPr>
            <w:r w:rsidRPr="00A767D7">
              <w:rPr>
                <w:rFonts w:ascii="Arial Narrow" w:hAnsi="Arial Narrow"/>
                <w:sz w:val="20"/>
                <w:szCs w:val="20"/>
              </w:rPr>
              <w:t>1. Lack of response to dasatinib or nilotinib therapy, defined as either: (i) failure to achieve a haematological response after a minimum of 3 months</w:t>
            </w:r>
            <w:r>
              <w:rPr>
                <w:sz w:val="20"/>
                <w:szCs w:val="20"/>
              </w:rPr>
              <w:t xml:space="preserve"> </w:t>
            </w:r>
            <w:r w:rsidRPr="00A767D7">
              <w:rPr>
                <w:rFonts w:ascii="Arial Narrow" w:hAnsi="Arial Narrow"/>
                <w:sz w:val="20"/>
                <w:szCs w:val="20"/>
              </w:rPr>
              <w:t xml:space="preserve">therapy with dasatinib or nilotinib; or (ii) failure to achieve any cytogenetic response after a minimum of 6 months therapy with dasatinib or nilotinib as demonstrated on bone marrow biopsy by presence of greater than 95% Philadelphia chromosome positive cells; or (iii) failure to achieve a major cytogenetic response or a peripheral blood BCR-ABL level of less than 1% after a minimum of 12 months therapy with dasatinib or nilotinib; OR </w:t>
            </w:r>
          </w:p>
          <w:p w:rsidR="00A95F33" w:rsidRPr="00A767D7" w:rsidRDefault="00A95F33" w:rsidP="00233EC3">
            <w:pPr>
              <w:pStyle w:val="Default"/>
              <w:rPr>
                <w:rFonts w:ascii="Arial Narrow" w:hAnsi="Arial Narrow"/>
                <w:sz w:val="20"/>
                <w:szCs w:val="20"/>
              </w:rPr>
            </w:pPr>
            <w:r w:rsidRPr="00A767D7">
              <w:rPr>
                <w:rFonts w:ascii="Arial Narrow" w:hAnsi="Arial Narrow"/>
                <w:sz w:val="20"/>
                <w:szCs w:val="20"/>
              </w:rPr>
              <w:t xml:space="preserve">2. Loss of a previously documented major cytogenetic response (demonstrated by the presence of greater than 35% Ph positive cells on bone marrow biopsy), during ongoing dasatinib or nilotinib therapy; OR </w:t>
            </w:r>
          </w:p>
          <w:p w:rsidR="00A95F33" w:rsidRPr="00A767D7" w:rsidRDefault="00A95F33" w:rsidP="00233EC3">
            <w:pPr>
              <w:pStyle w:val="Default"/>
              <w:rPr>
                <w:rFonts w:ascii="Arial Narrow" w:hAnsi="Arial Narrow"/>
                <w:sz w:val="20"/>
                <w:szCs w:val="20"/>
              </w:rPr>
            </w:pPr>
            <w:r w:rsidRPr="00A767D7">
              <w:rPr>
                <w:rFonts w:ascii="Arial Narrow" w:hAnsi="Arial Narrow"/>
                <w:sz w:val="20"/>
                <w:szCs w:val="20"/>
              </w:rPr>
              <w:t xml:space="preserve">3. Loss of a previously demonstrated molecular response (demonstrated by peripheral blood BCR-ABL levels increasing consecutively in value by at least 5 fold to a level of greater than 0.1% confirmed on a subsequent test), during ongoing dasatinib or nilotinib therapy; OR </w:t>
            </w:r>
          </w:p>
          <w:p w:rsidR="00A95F33" w:rsidRPr="00A767D7" w:rsidRDefault="00A95F33" w:rsidP="00233EC3">
            <w:pPr>
              <w:pStyle w:val="Default"/>
              <w:rPr>
                <w:rFonts w:ascii="Arial Narrow" w:hAnsi="Arial Narrow"/>
                <w:sz w:val="20"/>
                <w:szCs w:val="20"/>
              </w:rPr>
            </w:pPr>
            <w:r w:rsidRPr="00A767D7">
              <w:rPr>
                <w:rFonts w:ascii="Arial Narrow" w:hAnsi="Arial Narrow"/>
                <w:sz w:val="20"/>
                <w:szCs w:val="20"/>
              </w:rPr>
              <w:t xml:space="preserve">4. Development of accelerated phase or blast crisis in a patient previously prescribed dasatinib or nilotinib for any phase of chronic myeloid leukaemia; OR </w:t>
            </w:r>
          </w:p>
          <w:p w:rsidR="00A95F33" w:rsidRPr="00A767D7" w:rsidRDefault="00A95F33" w:rsidP="00233EC3">
            <w:pPr>
              <w:pStyle w:val="TableLeft"/>
              <w:widowControl w:val="0"/>
              <w:rPr>
                <w:rFonts w:ascii="Arial Narrow" w:hAnsi="Arial Narrow"/>
                <w:szCs w:val="20"/>
              </w:rPr>
            </w:pPr>
            <w:r w:rsidRPr="00A767D7">
              <w:rPr>
                <w:rFonts w:ascii="Arial Narrow" w:hAnsi="Arial Narrow"/>
                <w:szCs w:val="20"/>
              </w:rPr>
              <w:t xml:space="preserve">5. Disease progression (defined as a greater than or equal to 50% increase in peripheral white blood cell count, blast count, basophils or platelets) during dasatinib or nilotinib therapy in patients with accelerated phase or blast crisis chronic myeloid leukaemia. </w:t>
            </w:r>
          </w:p>
          <w:p w:rsidR="00A95F33" w:rsidRDefault="00A95F33" w:rsidP="00233EC3">
            <w:pPr>
              <w:pStyle w:val="TableLeft"/>
              <w:widowControl w:val="0"/>
              <w:rPr>
                <w:rFonts w:ascii="Arial Narrow" w:hAnsi="Arial Narrow"/>
                <w:szCs w:val="20"/>
              </w:rPr>
            </w:pPr>
          </w:p>
          <w:p w:rsidR="00A95F33" w:rsidRPr="00A767D7" w:rsidRDefault="00A95F33" w:rsidP="00233EC3">
            <w:pPr>
              <w:pStyle w:val="Default"/>
              <w:rPr>
                <w:rFonts w:ascii="Arial Narrow" w:hAnsi="Arial Narrow"/>
                <w:sz w:val="20"/>
                <w:szCs w:val="20"/>
              </w:rPr>
            </w:pPr>
            <w:r w:rsidRPr="00A767D7">
              <w:rPr>
                <w:rFonts w:ascii="Arial Narrow" w:hAnsi="Arial Narrow"/>
                <w:sz w:val="20"/>
                <w:szCs w:val="20"/>
              </w:rPr>
              <w:t xml:space="preserve">Accelerated phase is defined by the presence of 1 or more of the following: </w:t>
            </w:r>
          </w:p>
          <w:p w:rsidR="00A95F33" w:rsidRPr="00A767D7" w:rsidRDefault="00A95F33" w:rsidP="00233EC3">
            <w:pPr>
              <w:pStyle w:val="Default"/>
              <w:rPr>
                <w:rFonts w:ascii="Arial Narrow" w:hAnsi="Arial Narrow"/>
                <w:sz w:val="20"/>
                <w:szCs w:val="20"/>
              </w:rPr>
            </w:pPr>
            <w:r w:rsidRPr="00A767D7">
              <w:rPr>
                <w:rFonts w:ascii="Arial Narrow" w:hAnsi="Arial Narrow"/>
                <w:sz w:val="20"/>
                <w:szCs w:val="20"/>
              </w:rPr>
              <w:t xml:space="preserve">1. Percentage of blasts in the peripheral blood or bone marrow greater than or equal to 15% but less than 30%; or </w:t>
            </w:r>
          </w:p>
          <w:p w:rsidR="00A95F33" w:rsidRPr="00A767D7" w:rsidRDefault="00A95F33" w:rsidP="00233EC3">
            <w:pPr>
              <w:pStyle w:val="Default"/>
              <w:rPr>
                <w:rFonts w:ascii="Arial Narrow" w:hAnsi="Arial Narrow"/>
                <w:sz w:val="20"/>
                <w:szCs w:val="20"/>
              </w:rPr>
            </w:pPr>
            <w:r w:rsidRPr="00A767D7">
              <w:rPr>
                <w:rFonts w:ascii="Arial Narrow" w:hAnsi="Arial Narrow"/>
                <w:sz w:val="20"/>
                <w:szCs w:val="20"/>
              </w:rPr>
              <w:t xml:space="preserve">2. Percentage of blasts plus promyelocytes in the peripheral blood or bone marrow greater than or equal to 30%, provided that blast count is less than 30%; or </w:t>
            </w:r>
          </w:p>
          <w:p w:rsidR="00A95F33" w:rsidRPr="00A767D7" w:rsidRDefault="00A95F33" w:rsidP="00233EC3">
            <w:pPr>
              <w:pStyle w:val="Default"/>
              <w:rPr>
                <w:rFonts w:ascii="Arial Narrow" w:hAnsi="Arial Narrow"/>
                <w:sz w:val="20"/>
                <w:szCs w:val="20"/>
              </w:rPr>
            </w:pPr>
            <w:r w:rsidRPr="00A767D7">
              <w:rPr>
                <w:rFonts w:ascii="Arial Narrow" w:hAnsi="Arial Narrow"/>
                <w:sz w:val="20"/>
                <w:szCs w:val="20"/>
              </w:rPr>
              <w:t xml:space="preserve">3. Peripheral basophils greater than or equal to 20%; or </w:t>
            </w:r>
          </w:p>
          <w:p w:rsidR="00A95F33" w:rsidRPr="00A767D7" w:rsidRDefault="00A95F33" w:rsidP="00233EC3">
            <w:pPr>
              <w:pStyle w:val="Default"/>
              <w:rPr>
                <w:rFonts w:ascii="Arial Narrow" w:hAnsi="Arial Narrow"/>
                <w:sz w:val="20"/>
                <w:szCs w:val="20"/>
              </w:rPr>
            </w:pPr>
            <w:r w:rsidRPr="00A767D7">
              <w:rPr>
                <w:rFonts w:ascii="Arial Narrow" w:hAnsi="Arial Narrow"/>
                <w:sz w:val="20"/>
                <w:szCs w:val="20"/>
              </w:rPr>
              <w:t xml:space="preserve">4. Progressive splenomegaly to a size greater than or equal to 10 cm below the left costal margin to be confirmed on 2 occasions at least 4 weeks apart, or a greater than or equal to 50% increase in size below the left costal margin over 4 weeks; or </w:t>
            </w:r>
          </w:p>
          <w:p w:rsidR="00A95F33" w:rsidRPr="00A767D7" w:rsidRDefault="00A95F33" w:rsidP="00233EC3">
            <w:pPr>
              <w:pStyle w:val="TableLeft"/>
              <w:widowControl w:val="0"/>
              <w:rPr>
                <w:rFonts w:ascii="Arial Narrow" w:hAnsi="Arial Narrow"/>
                <w:szCs w:val="20"/>
              </w:rPr>
            </w:pPr>
            <w:r w:rsidRPr="00A767D7">
              <w:rPr>
                <w:rFonts w:ascii="Arial Narrow" w:hAnsi="Arial Narrow"/>
                <w:szCs w:val="20"/>
              </w:rPr>
              <w:t xml:space="preserve">5. Karyotypic evolution (chromosomal abnormalities in addition to a single Philadelphia chromosome). </w:t>
            </w:r>
          </w:p>
          <w:p w:rsidR="00A95F33" w:rsidRDefault="00A95F33" w:rsidP="00233EC3">
            <w:pPr>
              <w:pStyle w:val="TableLeft"/>
              <w:widowControl w:val="0"/>
              <w:rPr>
                <w:szCs w:val="20"/>
              </w:rPr>
            </w:pPr>
          </w:p>
          <w:p w:rsidR="00A95F33" w:rsidRPr="00A767D7" w:rsidRDefault="00A95F33" w:rsidP="00233EC3">
            <w:pPr>
              <w:pStyle w:val="Default"/>
              <w:rPr>
                <w:rFonts w:ascii="Arial Narrow" w:hAnsi="Arial Narrow"/>
                <w:sz w:val="20"/>
                <w:szCs w:val="20"/>
              </w:rPr>
            </w:pPr>
            <w:r w:rsidRPr="00A767D7">
              <w:rPr>
                <w:rFonts w:ascii="Arial Narrow" w:hAnsi="Arial Narrow"/>
                <w:sz w:val="20"/>
                <w:szCs w:val="20"/>
              </w:rPr>
              <w:t xml:space="preserve">Blast crisis is defined as either: </w:t>
            </w:r>
          </w:p>
          <w:p w:rsidR="00A95F33" w:rsidRPr="00A767D7" w:rsidRDefault="00A95F33" w:rsidP="00233EC3">
            <w:pPr>
              <w:pStyle w:val="Default"/>
              <w:rPr>
                <w:rFonts w:ascii="Arial Narrow" w:hAnsi="Arial Narrow"/>
                <w:sz w:val="20"/>
                <w:szCs w:val="20"/>
              </w:rPr>
            </w:pPr>
            <w:r w:rsidRPr="00A767D7">
              <w:rPr>
                <w:rFonts w:ascii="Arial Narrow" w:hAnsi="Arial Narrow"/>
                <w:sz w:val="20"/>
                <w:szCs w:val="20"/>
              </w:rPr>
              <w:t xml:space="preserve">1. Percentage of blasts in the peripheral blood or bone marrow greater than or equal to 30%; or </w:t>
            </w:r>
          </w:p>
          <w:p w:rsidR="00A95F33" w:rsidRDefault="00A95F33" w:rsidP="00233EC3">
            <w:pPr>
              <w:pStyle w:val="TableLeft"/>
              <w:widowControl w:val="0"/>
              <w:rPr>
                <w:rFonts w:ascii="Arial Narrow" w:hAnsi="Arial Narrow"/>
                <w:szCs w:val="20"/>
              </w:rPr>
            </w:pPr>
            <w:r w:rsidRPr="00A767D7">
              <w:rPr>
                <w:rFonts w:ascii="Arial Narrow" w:hAnsi="Arial Narrow"/>
                <w:szCs w:val="20"/>
              </w:rPr>
              <w:t xml:space="preserve">2. Extramedullary involvement other than spleen and liver. </w:t>
            </w:r>
          </w:p>
          <w:p w:rsidR="00A95F33" w:rsidRDefault="00A95F33" w:rsidP="00233EC3">
            <w:pPr>
              <w:pStyle w:val="TableLeft"/>
              <w:widowControl w:val="0"/>
              <w:rPr>
                <w:rFonts w:ascii="Arial Narrow" w:hAnsi="Arial Narrow"/>
                <w:szCs w:val="20"/>
              </w:rPr>
            </w:pPr>
          </w:p>
          <w:p w:rsidR="00A95F33" w:rsidRPr="00560FC8" w:rsidRDefault="00A95F33" w:rsidP="00233EC3">
            <w:pPr>
              <w:pStyle w:val="TableLeft"/>
              <w:widowControl w:val="0"/>
              <w:rPr>
                <w:rFonts w:ascii="Arial Narrow" w:hAnsi="Arial Narrow"/>
                <w:szCs w:val="20"/>
              </w:rPr>
            </w:pPr>
            <w:r w:rsidRPr="00560FC8">
              <w:rPr>
                <w:rFonts w:ascii="Arial Narrow" w:hAnsi="Arial Narrow"/>
                <w:szCs w:val="20"/>
              </w:rPr>
              <w:t>The authority application must be made in writing and must include:</w:t>
            </w:r>
          </w:p>
          <w:p w:rsidR="00A95F33" w:rsidRPr="00560FC8" w:rsidRDefault="00A95F33" w:rsidP="00233EC3">
            <w:pPr>
              <w:pStyle w:val="TableLeft"/>
              <w:widowControl w:val="0"/>
              <w:rPr>
                <w:rFonts w:ascii="Arial Narrow" w:hAnsi="Arial Narrow"/>
                <w:szCs w:val="20"/>
              </w:rPr>
            </w:pPr>
            <w:r w:rsidRPr="00560FC8">
              <w:rPr>
                <w:rFonts w:ascii="Arial Narrow" w:hAnsi="Arial Narrow"/>
                <w:szCs w:val="20"/>
              </w:rPr>
              <w:t xml:space="preserve">1. a completed authority prescription form; </w:t>
            </w:r>
          </w:p>
          <w:p w:rsidR="00A95F33" w:rsidRPr="00560FC8" w:rsidRDefault="00A95F33" w:rsidP="00233EC3">
            <w:pPr>
              <w:pStyle w:val="TableLeft"/>
              <w:widowControl w:val="0"/>
              <w:rPr>
                <w:rFonts w:ascii="Arial Narrow" w:hAnsi="Arial Narrow"/>
                <w:szCs w:val="20"/>
              </w:rPr>
            </w:pPr>
            <w:r w:rsidRPr="00560FC8">
              <w:rPr>
                <w:rFonts w:ascii="Arial Narrow" w:hAnsi="Arial Narrow"/>
                <w:szCs w:val="20"/>
              </w:rPr>
              <w:t xml:space="preserve">2. a completed Chronic Myeloid Leukaemia - ponatinib Initial PBS authority application form; </w:t>
            </w:r>
          </w:p>
          <w:p w:rsidR="00A95F33" w:rsidRPr="00560FC8" w:rsidRDefault="00A95F33" w:rsidP="00233EC3">
            <w:pPr>
              <w:pStyle w:val="TableLeft"/>
              <w:widowControl w:val="0"/>
              <w:rPr>
                <w:rFonts w:ascii="Arial Narrow" w:hAnsi="Arial Narrow"/>
                <w:szCs w:val="20"/>
              </w:rPr>
            </w:pPr>
            <w:r w:rsidRPr="00560FC8">
              <w:rPr>
                <w:rFonts w:ascii="Arial Narrow" w:hAnsi="Arial Narrow"/>
                <w:szCs w:val="20"/>
              </w:rPr>
              <w:t xml:space="preserve">3. a signed patient acknowledgement; </w:t>
            </w:r>
          </w:p>
          <w:p w:rsidR="00A95F33" w:rsidRPr="00560FC8" w:rsidRDefault="00A95F33" w:rsidP="00233EC3">
            <w:pPr>
              <w:pStyle w:val="TableLeft"/>
              <w:widowControl w:val="0"/>
              <w:rPr>
                <w:rFonts w:ascii="Arial Narrow" w:hAnsi="Arial Narrow"/>
                <w:szCs w:val="20"/>
              </w:rPr>
            </w:pPr>
            <w:r w:rsidRPr="00560FC8">
              <w:rPr>
                <w:rFonts w:ascii="Arial Narrow" w:hAnsi="Arial Narrow"/>
                <w:szCs w:val="20"/>
              </w:rPr>
              <w:t xml:space="preserve">4. a bone marrow biopsy pathology report demonstrating the patient has active chronic myeloid leukaemia, either manifest as cytogenetic evidence of the Philadelphia chromosome, or RT-PCR level of BCR-ABL transcript greater than 0.1% on the international scale. (The date of the relevant pathology report, </w:t>
            </w:r>
            <w:r w:rsidRPr="00494A81">
              <w:rPr>
                <w:rFonts w:ascii="Arial Narrow" w:hAnsi="Arial Narrow"/>
                <w:b/>
                <w:strike/>
                <w:szCs w:val="20"/>
              </w:rPr>
              <w:t>which should be within the previous 6 month</w:t>
            </w:r>
            <w:r w:rsidRPr="0099637E">
              <w:rPr>
                <w:rFonts w:ascii="Arial Narrow" w:hAnsi="Arial Narrow"/>
                <w:b/>
                <w:strike/>
                <w:szCs w:val="20"/>
              </w:rPr>
              <w:t>s</w:t>
            </w:r>
            <w:r w:rsidRPr="0099637E">
              <w:rPr>
                <w:rFonts w:ascii="Arial Narrow" w:hAnsi="Arial Narrow"/>
                <w:szCs w:val="20"/>
              </w:rPr>
              <w:t>,</w:t>
            </w:r>
            <w:r w:rsidRPr="00560FC8">
              <w:rPr>
                <w:rFonts w:ascii="Arial Narrow" w:hAnsi="Arial Narrow"/>
                <w:szCs w:val="20"/>
              </w:rPr>
              <w:t xml:space="preserve"> needs to be provided); and</w:t>
            </w:r>
          </w:p>
          <w:p w:rsidR="00A95F33" w:rsidRPr="00EC45B5" w:rsidRDefault="00A95F33" w:rsidP="00233EC3">
            <w:pPr>
              <w:pStyle w:val="TableLeft"/>
              <w:widowControl w:val="0"/>
              <w:rPr>
                <w:rFonts w:ascii="Arial Narrow" w:hAnsi="Arial Narrow"/>
                <w:szCs w:val="20"/>
              </w:rPr>
            </w:pPr>
            <w:r w:rsidRPr="00560FC8">
              <w:rPr>
                <w:rFonts w:ascii="Arial Narrow" w:hAnsi="Arial Narrow"/>
                <w:szCs w:val="20"/>
              </w:rPr>
              <w:t>5. where there has been a loss of response to dasatinib or nilotinib, a copy of the current confirming pathology report(s) from an Approved Pathology Authority or details of the dates of assessment in the case of progressive splenomegaly or extramedullary involvement.</w:t>
            </w:r>
          </w:p>
        </w:tc>
      </w:tr>
      <w:tr w:rsidR="001019A9" w:rsidRPr="00CB29EA" w:rsidTr="001019A9">
        <w:trPr>
          <w:trHeight w:val="235"/>
        </w:trPr>
        <w:tc>
          <w:tcPr>
            <w:tcW w:w="1268" w:type="pct"/>
            <w:tcBorders>
              <w:top w:val="single" w:sz="4" w:space="0" w:color="auto"/>
              <w:left w:val="single" w:sz="4" w:space="0" w:color="auto"/>
              <w:bottom w:val="single" w:sz="4" w:space="0" w:color="auto"/>
              <w:right w:val="single" w:sz="4" w:space="0" w:color="auto"/>
            </w:tcBorders>
          </w:tcPr>
          <w:p w:rsidR="001019A9" w:rsidRPr="00C846C2" w:rsidRDefault="001019A9" w:rsidP="008B1EA4">
            <w:pPr>
              <w:pStyle w:val="TableLeft"/>
              <w:widowControl w:val="0"/>
              <w:rPr>
                <w:rStyle w:val="SmallBold"/>
                <w:rFonts w:ascii="Arial Narrow" w:hAnsi="Arial Narrow"/>
                <w:szCs w:val="20"/>
              </w:rPr>
            </w:pPr>
            <w:r w:rsidRPr="00C846C2">
              <w:rPr>
                <w:rStyle w:val="SmallBold"/>
                <w:rFonts w:ascii="Arial Narrow" w:hAnsi="Arial Narrow"/>
                <w:szCs w:val="20"/>
              </w:rPr>
              <w:t>Administrative Advice</w:t>
            </w:r>
          </w:p>
        </w:tc>
        <w:tc>
          <w:tcPr>
            <w:tcW w:w="3732" w:type="pct"/>
            <w:tcBorders>
              <w:top w:val="single" w:sz="4" w:space="0" w:color="auto"/>
              <w:left w:val="single" w:sz="4" w:space="0" w:color="auto"/>
              <w:bottom w:val="single" w:sz="4" w:space="0" w:color="auto"/>
              <w:right w:val="single" w:sz="4" w:space="0" w:color="auto"/>
            </w:tcBorders>
          </w:tcPr>
          <w:p w:rsidR="001019A9" w:rsidRPr="00C846C2" w:rsidRDefault="001019A9" w:rsidP="008B1EA4">
            <w:pPr>
              <w:pStyle w:val="Default"/>
              <w:rPr>
                <w:rFonts w:ascii="Arial Narrow" w:hAnsi="Arial Narrow"/>
                <w:sz w:val="20"/>
                <w:szCs w:val="20"/>
              </w:rPr>
            </w:pPr>
            <w:r w:rsidRPr="00C846C2">
              <w:rPr>
                <w:rFonts w:ascii="Arial Narrow" w:hAnsi="Arial Narrow"/>
                <w:sz w:val="20"/>
                <w:szCs w:val="20"/>
              </w:rPr>
              <w:t xml:space="preserve">Any queries concerning the arrangements to prescribe may be directed to the Department of Human Services on 1800 700 270 (hours of operation 8 a.m. to 5 p.m. EST Monday to Friday). </w:t>
            </w:r>
          </w:p>
          <w:p w:rsidR="001019A9" w:rsidRPr="00C846C2" w:rsidRDefault="001019A9" w:rsidP="008B1EA4">
            <w:pPr>
              <w:pStyle w:val="Default"/>
              <w:rPr>
                <w:rFonts w:ascii="Arial Narrow" w:hAnsi="Arial Narrow"/>
                <w:sz w:val="20"/>
                <w:szCs w:val="20"/>
              </w:rPr>
            </w:pPr>
            <w:r w:rsidRPr="00C846C2">
              <w:rPr>
                <w:rFonts w:ascii="Arial Narrow" w:hAnsi="Arial Narrow"/>
                <w:sz w:val="20"/>
                <w:szCs w:val="20"/>
              </w:rPr>
              <w:t xml:space="preserve">Prescribing information (including Authority Application forms and other relevant documentation as applicable) is available on the Department of Human Services website at www.humanservices.gov.au </w:t>
            </w:r>
          </w:p>
          <w:p w:rsidR="001019A9" w:rsidRDefault="001019A9" w:rsidP="008B1EA4">
            <w:pPr>
              <w:pStyle w:val="Default"/>
              <w:rPr>
                <w:rFonts w:ascii="Arial Narrow" w:hAnsi="Arial Narrow"/>
                <w:sz w:val="20"/>
                <w:szCs w:val="20"/>
              </w:rPr>
            </w:pPr>
            <w:r w:rsidRPr="00C846C2">
              <w:rPr>
                <w:rFonts w:ascii="Arial Narrow" w:hAnsi="Arial Narrow"/>
                <w:sz w:val="20"/>
                <w:szCs w:val="20"/>
              </w:rPr>
              <w:t xml:space="preserve">Applications for authority to prescribe should be forwarded to: </w:t>
            </w:r>
          </w:p>
          <w:p w:rsidR="00A75EA5" w:rsidRDefault="00A75EA5" w:rsidP="008B1EA4">
            <w:pPr>
              <w:pStyle w:val="Default"/>
              <w:rPr>
                <w:rFonts w:ascii="Arial Narrow" w:hAnsi="Arial Narrow"/>
                <w:sz w:val="20"/>
                <w:szCs w:val="20"/>
              </w:rPr>
            </w:pPr>
          </w:p>
          <w:p w:rsidR="00A75EA5" w:rsidRPr="00C846C2" w:rsidRDefault="00A75EA5" w:rsidP="008B1EA4">
            <w:pPr>
              <w:pStyle w:val="Default"/>
              <w:rPr>
                <w:rFonts w:ascii="Arial Narrow" w:hAnsi="Arial Narrow"/>
                <w:sz w:val="20"/>
                <w:szCs w:val="20"/>
              </w:rPr>
            </w:pPr>
          </w:p>
          <w:p w:rsidR="001019A9" w:rsidRPr="00C846C2" w:rsidRDefault="001019A9" w:rsidP="008B1EA4">
            <w:pPr>
              <w:pStyle w:val="Default"/>
              <w:rPr>
                <w:rFonts w:ascii="Arial Narrow" w:hAnsi="Arial Narrow"/>
                <w:sz w:val="20"/>
                <w:szCs w:val="20"/>
              </w:rPr>
            </w:pPr>
            <w:r w:rsidRPr="00C846C2">
              <w:rPr>
                <w:rFonts w:ascii="Arial Narrow" w:hAnsi="Arial Narrow"/>
                <w:sz w:val="20"/>
                <w:szCs w:val="20"/>
              </w:rPr>
              <w:t xml:space="preserve">Department of Human Services </w:t>
            </w:r>
          </w:p>
          <w:p w:rsidR="001019A9" w:rsidRPr="00C846C2" w:rsidRDefault="001019A9" w:rsidP="008B1EA4">
            <w:pPr>
              <w:pStyle w:val="Default"/>
              <w:rPr>
                <w:rFonts w:ascii="Arial Narrow" w:hAnsi="Arial Narrow"/>
                <w:sz w:val="20"/>
                <w:szCs w:val="20"/>
              </w:rPr>
            </w:pPr>
            <w:r w:rsidRPr="00C846C2">
              <w:rPr>
                <w:rFonts w:ascii="Arial Narrow" w:hAnsi="Arial Narrow"/>
                <w:sz w:val="20"/>
                <w:szCs w:val="20"/>
              </w:rPr>
              <w:t xml:space="preserve">Prior Written Approval of Complex Drugs </w:t>
            </w:r>
          </w:p>
          <w:p w:rsidR="001019A9" w:rsidRPr="00C846C2" w:rsidRDefault="001019A9" w:rsidP="008B1EA4">
            <w:pPr>
              <w:pStyle w:val="Default"/>
              <w:rPr>
                <w:rFonts w:ascii="Arial Narrow" w:hAnsi="Arial Narrow"/>
                <w:sz w:val="20"/>
                <w:szCs w:val="20"/>
              </w:rPr>
            </w:pPr>
            <w:r w:rsidRPr="00C846C2">
              <w:rPr>
                <w:rFonts w:ascii="Arial Narrow" w:hAnsi="Arial Narrow"/>
                <w:sz w:val="20"/>
                <w:szCs w:val="20"/>
              </w:rPr>
              <w:t xml:space="preserve">Reply Paid 9826 </w:t>
            </w:r>
          </w:p>
          <w:p w:rsidR="001019A9" w:rsidRPr="00C846C2" w:rsidRDefault="001019A9" w:rsidP="008B1EA4">
            <w:pPr>
              <w:pStyle w:val="Default"/>
              <w:rPr>
                <w:rFonts w:ascii="Arial Narrow" w:hAnsi="Arial Narrow"/>
                <w:sz w:val="20"/>
                <w:szCs w:val="20"/>
              </w:rPr>
            </w:pPr>
            <w:r w:rsidRPr="00C846C2">
              <w:rPr>
                <w:rFonts w:ascii="Arial Narrow" w:hAnsi="Arial Narrow"/>
                <w:sz w:val="20"/>
                <w:szCs w:val="20"/>
              </w:rPr>
              <w:t xml:space="preserve">GPO Box 9826 </w:t>
            </w:r>
          </w:p>
          <w:p w:rsidR="001019A9" w:rsidRPr="001019A9" w:rsidRDefault="001019A9" w:rsidP="001019A9">
            <w:pPr>
              <w:pStyle w:val="Default"/>
              <w:rPr>
                <w:rFonts w:ascii="Arial Narrow" w:hAnsi="Arial Narrow"/>
                <w:sz w:val="20"/>
                <w:szCs w:val="20"/>
              </w:rPr>
            </w:pPr>
            <w:r w:rsidRPr="001019A9">
              <w:rPr>
                <w:rFonts w:ascii="Arial Narrow" w:hAnsi="Arial Narrow"/>
                <w:sz w:val="20"/>
                <w:szCs w:val="20"/>
              </w:rPr>
              <w:t xml:space="preserve">HOBART TAS 7001 </w:t>
            </w:r>
          </w:p>
          <w:p w:rsidR="001019A9" w:rsidRPr="001019A9" w:rsidRDefault="001019A9" w:rsidP="001019A9">
            <w:pPr>
              <w:pStyle w:val="Default"/>
              <w:rPr>
                <w:rFonts w:ascii="Arial Narrow" w:hAnsi="Arial Narrow"/>
                <w:sz w:val="20"/>
                <w:szCs w:val="20"/>
              </w:rPr>
            </w:pPr>
          </w:p>
          <w:p w:rsidR="00A31255" w:rsidRPr="0047082B" w:rsidRDefault="00A31255" w:rsidP="00A31255">
            <w:pPr>
              <w:rPr>
                <w:rFonts w:ascii="Arial Narrow" w:hAnsi="Arial Narrow"/>
                <w:sz w:val="20"/>
              </w:rPr>
            </w:pPr>
            <w:r w:rsidRPr="0047082B">
              <w:rPr>
                <w:rFonts w:ascii="Arial Narrow" w:hAnsi="Arial Narrow"/>
                <w:sz w:val="20"/>
              </w:rPr>
              <w:t xml:space="preserve">Patients are eligible for PBS-subsidised treatment with only one of </w:t>
            </w:r>
            <w:r w:rsidR="008F6778">
              <w:rPr>
                <w:rFonts w:ascii="Arial Narrow" w:hAnsi="Arial Narrow"/>
                <w:sz w:val="20"/>
              </w:rPr>
              <w:t xml:space="preserve">imatinib, </w:t>
            </w:r>
            <w:r w:rsidRPr="0047082B">
              <w:rPr>
                <w:rFonts w:ascii="Arial Narrow" w:hAnsi="Arial Narrow"/>
                <w:sz w:val="20"/>
              </w:rPr>
              <w:t xml:space="preserve">dasatinib, nilotinib or ponatinib at any one time and must not be receiving concomitant interferon alfa therapy. </w:t>
            </w:r>
          </w:p>
          <w:p w:rsidR="00A31255" w:rsidRPr="0047082B" w:rsidRDefault="00A31255" w:rsidP="00A31255">
            <w:pPr>
              <w:rPr>
                <w:rFonts w:ascii="Arial Narrow" w:hAnsi="Arial Narrow"/>
                <w:sz w:val="20"/>
              </w:rPr>
            </w:pPr>
          </w:p>
          <w:p w:rsidR="00A31255" w:rsidRPr="0047082B" w:rsidRDefault="00A31255" w:rsidP="00A31255">
            <w:pPr>
              <w:rPr>
                <w:rFonts w:ascii="Arial Narrow" w:hAnsi="Arial Narrow"/>
                <w:sz w:val="20"/>
              </w:rPr>
            </w:pPr>
            <w:r w:rsidRPr="0047082B">
              <w:rPr>
                <w:rFonts w:ascii="Arial Narrow" w:hAnsi="Arial Narrow"/>
                <w:sz w:val="20"/>
              </w:rPr>
              <w:t>1. Continuing treatment</w:t>
            </w:r>
          </w:p>
          <w:p w:rsidR="00A31255" w:rsidRPr="00A31255" w:rsidRDefault="00A31255" w:rsidP="00A31255">
            <w:pPr>
              <w:rPr>
                <w:rFonts w:ascii="Arial Narrow" w:hAnsi="Arial Narrow"/>
                <w:b/>
                <w:sz w:val="20"/>
              </w:rPr>
            </w:pPr>
            <w:r w:rsidRPr="00A31255">
              <w:rPr>
                <w:rFonts w:ascii="Arial Narrow" w:hAnsi="Arial Narrow"/>
                <w:b/>
                <w:sz w:val="20"/>
              </w:rPr>
              <w:t xml:space="preserve">First continuing applications are to be written, at which time patients in whom a major cytogenetic response or peripheral blood BCR-ABL level of less than 1% has been demonstrated may receive authorisation for a further 12 months of treatment. </w:t>
            </w:r>
          </w:p>
          <w:p w:rsidR="00A31255" w:rsidRPr="00A31255" w:rsidRDefault="00A31255" w:rsidP="00A31255">
            <w:pPr>
              <w:rPr>
                <w:rFonts w:ascii="Arial Narrow" w:hAnsi="Arial Narrow"/>
                <w:b/>
                <w:sz w:val="20"/>
              </w:rPr>
            </w:pPr>
            <w:r w:rsidRPr="00A31255">
              <w:rPr>
                <w:rFonts w:ascii="Arial Narrow" w:hAnsi="Arial Narrow"/>
                <w:b/>
                <w:sz w:val="20"/>
              </w:rPr>
              <w:t xml:space="preserve">Subsequent authority applications for continuing therapy may be made by telephoning the Department of Human Services on 1800 700 270 (hours of operation 8 a.m. to 5 p.m. EST Monday to Friday). </w:t>
            </w:r>
          </w:p>
          <w:p w:rsidR="00A31255" w:rsidRPr="0047082B" w:rsidRDefault="00A31255" w:rsidP="00A31255">
            <w:pPr>
              <w:rPr>
                <w:rFonts w:ascii="Arial Narrow" w:hAnsi="Arial Narrow"/>
                <w:sz w:val="20"/>
              </w:rPr>
            </w:pPr>
          </w:p>
          <w:p w:rsidR="00A31255" w:rsidRPr="001019A9" w:rsidRDefault="00A31255" w:rsidP="00A31255">
            <w:pPr>
              <w:rPr>
                <w:rFonts w:ascii="Arial Narrow" w:hAnsi="Arial Narrow"/>
                <w:sz w:val="20"/>
              </w:rPr>
            </w:pPr>
            <w:r w:rsidRPr="001019A9">
              <w:rPr>
                <w:rFonts w:ascii="Arial Narrow" w:hAnsi="Arial Narrow"/>
                <w:sz w:val="20"/>
              </w:rPr>
              <w:t>2. Authority approval requirements.</w:t>
            </w:r>
          </w:p>
          <w:p w:rsidR="00A31255" w:rsidRPr="001019A9" w:rsidRDefault="00A31255" w:rsidP="00A31255">
            <w:pPr>
              <w:rPr>
                <w:rFonts w:ascii="Arial Narrow" w:hAnsi="Arial Narrow"/>
                <w:sz w:val="20"/>
              </w:rPr>
            </w:pPr>
            <w:r w:rsidRPr="001019A9">
              <w:rPr>
                <w:rFonts w:ascii="Arial Narrow" w:hAnsi="Arial Narrow"/>
                <w:sz w:val="20"/>
              </w:rPr>
              <w:t xml:space="preserve">Response criteria to </w:t>
            </w:r>
            <w:r w:rsidR="008F6778" w:rsidRPr="008F6778">
              <w:rPr>
                <w:rFonts w:ascii="Arial Narrow" w:hAnsi="Arial Narrow"/>
                <w:b/>
                <w:strike/>
                <w:sz w:val="20"/>
              </w:rPr>
              <w:t>initial</w:t>
            </w:r>
            <w:r w:rsidR="008F6778">
              <w:rPr>
                <w:rFonts w:ascii="Arial Narrow" w:hAnsi="Arial Narrow"/>
                <w:sz w:val="20"/>
              </w:rPr>
              <w:t xml:space="preserve"> </w:t>
            </w:r>
            <w:r w:rsidRPr="001019A9">
              <w:rPr>
                <w:rFonts w:ascii="Arial Narrow" w:hAnsi="Arial Narrow"/>
                <w:sz w:val="20"/>
              </w:rPr>
              <w:t>treatment with ponatinib:</w:t>
            </w:r>
          </w:p>
          <w:p w:rsidR="00A31255" w:rsidRPr="001019A9" w:rsidRDefault="00A31255" w:rsidP="00A31255">
            <w:pPr>
              <w:rPr>
                <w:rFonts w:ascii="Arial Narrow" w:hAnsi="Arial Narrow"/>
                <w:sz w:val="20"/>
              </w:rPr>
            </w:pPr>
            <w:r w:rsidRPr="001019A9">
              <w:rPr>
                <w:rFonts w:ascii="Arial Narrow" w:hAnsi="Arial Narrow"/>
                <w:sz w:val="20"/>
              </w:rPr>
              <w:t>For the purposes of assessing response to PBS-subsidised treatment with ponatinib, either cytogenetic analysis indicating the number of Philadelphia positive [t (9;22)] cells in the bone marrow measured by standard karyotyping, or quantitative PCR indicating the relative level of BCR-ABL transcript in the peripheral blood using the international scale, must be submitted. For bone marrow analyses, where the standard karyotyping is not informative for technical reasons, a cytogenetic analysis performed on the bone marrow by the use of fluorescence in situ hybridisation (FISH) with BCR-ABL specific probe must be submitted. The cytogenetic or peripheral blood quantitative PCR analyses must be submitted within 18 months of the commencement of treatment with</w:t>
            </w:r>
            <w:r>
              <w:rPr>
                <w:rFonts w:ascii="Arial Narrow" w:hAnsi="Arial Narrow"/>
                <w:sz w:val="20"/>
              </w:rPr>
              <w:t xml:space="preserve"> </w:t>
            </w:r>
            <w:r w:rsidRPr="00A31255">
              <w:rPr>
                <w:rFonts w:ascii="Arial Narrow" w:hAnsi="Arial Narrow"/>
                <w:b/>
                <w:strike/>
                <w:sz w:val="20"/>
              </w:rPr>
              <w:t>dasatinib, nilotinib or</w:t>
            </w:r>
            <w:r w:rsidRPr="001019A9">
              <w:rPr>
                <w:rFonts w:ascii="Arial Narrow" w:hAnsi="Arial Narrow"/>
                <w:sz w:val="20"/>
              </w:rPr>
              <w:t xml:space="preserve"> ponatinib (patients in whom a major cytogenetic response or peripheral blood BCR-ABL level of less than 1% is demonstrable by 18 months are eligible to receive </w:t>
            </w:r>
            <w:r w:rsidRPr="008F6778">
              <w:rPr>
                <w:rFonts w:ascii="Arial Narrow" w:hAnsi="Arial Narrow"/>
                <w:b/>
                <w:sz w:val="20"/>
              </w:rPr>
              <w:t>first</w:t>
            </w:r>
            <w:r w:rsidR="008F6778">
              <w:rPr>
                <w:rFonts w:ascii="Arial Narrow" w:hAnsi="Arial Narrow"/>
                <w:sz w:val="20"/>
              </w:rPr>
              <w:t xml:space="preserve"> continuing treatment with</w:t>
            </w:r>
            <w:r w:rsidR="008F6778" w:rsidRPr="001019A9">
              <w:rPr>
                <w:rFonts w:ascii="Arial Narrow" w:hAnsi="Arial Narrow"/>
                <w:sz w:val="20"/>
              </w:rPr>
              <w:t xml:space="preserve"> </w:t>
            </w:r>
            <w:r w:rsidR="008F6778" w:rsidRPr="008F6778">
              <w:rPr>
                <w:rFonts w:ascii="Arial Narrow" w:hAnsi="Arial Narrow"/>
                <w:b/>
                <w:strike/>
                <w:sz w:val="20"/>
              </w:rPr>
              <w:t>that agent</w:t>
            </w:r>
            <w:r w:rsidR="008F6778" w:rsidRPr="008F6778">
              <w:rPr>
                <w:rFonts w:ascii="Arial Narrow" w:hAnsi="Arial Narrow"/>
                <w:b/>
                <w:sz w:val="20"/>
              </w:rPr>
              <w:t xml:space="preserve"> </w:t>
            </w:r>
            <w:r w:rsidRPr="008F6778">
              <w:rPr>
                <w:rFonts w:ascii="Arial Narrow" w:hAnsi="Arial Narrow"/>
                <w:b/>
                <w:sz w:val="20"/>
              </w:rPr>
              <w:t>this drug</w:t>
            </w:r>
            <w:r w:rsidRPr="001019A9">
              <w:rPr>
                <w:rFonts w:ascii="Arial Narrow" w:hAnsi="Arial Narrow"/>
                <w:sz w:val="20"/>
              </w:rPr>
              <w:t xml:space="preserve">). </w:t>
            </w:r>
          </w:p>
          <w:p w:rsidR="00A31255" w:rsidRPr="00A31255" w:rsidRDefault="00A31255" w:rsidP="00A31255">
            <w:pPr>
              <w:rPr>
                <w:rFonts w:ascii="Arial Narrow" w:hAnsi="Arial Narrow"/>
                <w:b/>
                <w:sz w:val="20"/>
              </w:rPr>
            </w:pPr>
            <w:r w:rsidRPr="00A31255">
              <w:rPr>
                <w:rFonts w:ascii="Arial Narrow" w:hAnsi="Arial Narrow"/>
                <w:b/>
                <w:sz w:val="20"/>
              </w:rPr>
              <w:t>Thereafter, at no greater than 12 month intervals a major cytogenetic response or a peripheral blood BCR-ABL level of less than 1% must be sustained to receive subsequent continuing treatments with this drug.</w:t>
            </w:r>
          </w:p>
          <w:p w:rsidR="00A31255" w:rsidRPr="001019A9" w:rsidRDefault="00A31255" w:rsidP="00A31255">
            <w:pPr>
              <w:rPr>
                <w:rFonts w:ascii="Arial Narrow" w:hAnsi="Arial Narrow"/>
                <w:sz w:val="20"/>
              </w:rPr>
            </w:pPr>
          </w:p>
          <w:p w:rsidR="00A31255" w:rsidRPr="001019A9" w:rsidRDefault="00A31255" w:rsidP="00A31255">
            <w:pPr>
              <w:rPr>
                <w:rFonts w:ascii="Arial Narrow" w:hAnsi="Arial Narrow"/>
                <w:sz w:val="20"/>
              </w:rPr>
            </w:pPr>
            <w:r w:rsidRPr="001019A9">
              <w:rPr>
                <w:rFonts w:ascii="Arial Narrow" w:hAnsi="Arial Narrow"/>
                <w:sz w:val="20"/>
              </w:rPr>
              <w:t>3. Definitions of response.</w:t>
            </w:r>
          </w:p>
          <w:p w:rsidR="00A31255" w:rsidRPr="001019A9" w:rsidRDefault="00A31255" w:rsidP="00A31255">
            <w:pPr>
              <w:rPr>
                <w:rFonts w:ascii="Arial Narrow" w:hAnsi="Arial Narrow"/>
                <w:sz w:val="20"/>
              </w:rPr>
            </w:pPr>
            <w:r w:rsidRPr="001019A9">
              <w:rPr>
                <w:rFonts w:ascii="Arial Narrow" w:hAnsi="Arial Narrow"/>
                <w:sz w:val="20"/>
              </w:rPr>
              <w:t xml:space="preserve">A major cytogenetic response is defined as less than 35% Philadelphia positive bone marrow cells. </w:t>
            </w:r>
          </w:p>
          <w:p w:rsidR="00A31255" w:rsidRDefault="00A31255" w:rsidP="00A31255">
            <w:pPr>
              <w:rPr>
                <w:rFonts w:ascii="Arial Narrow" w:hAnsi="Arial Narrow"/>
                <w:sz w:val="20"/>
              </w:rPr>
            </w:pPr>
            <w:r w:rsidRPr="001019A9">
              <w:rPr>
                <w:rFonts w:ascii="Arial Narrow" w:hAnsi="Arial Narrow"/>
                <w:sz w:val="20"/>
              </w:rPr>
              <w:t xml:space="preserve">A peripheral blood BCR-ABL level of less than 1% on the international scale (Blood 108: 28-37, 2006) also indicates a response, at least the biological equivalent of a major cytogenetic response. </w:t>
            </w:r>
          </w:p>
          <w:p w:rsidR="00A31255" w:rsidRPr="001019A9" w:rsidRDefault="00A31255" w:rsidP="00A31255">
            <w:pPr>
              <w:rPr>
                <w:rFonts w:ascii="Arial Narrow" w:hAnsi="Arial Narrow"/>
                <w:sz w:val="20"/>
              </w:rPr>
            </w:pPr>
          </w:p>
          <w:p w:rsidR="00A31255" w:rsidRPr="001019A9" w:rsidRDefault="00A31255" w:rsidP="00A31255">
            <w:pPr>
              <w:rPr>
                <w:rFonts w:ascii="Arial Narrow" w:hAnsi="Arial Narrow"/>
                <w:sz w:val="20"/>
              </w:rPr>
            </w:pPr>
            <w:r w:rsidRPr="001019A9">
              <w:rPr>
                <w:rFonts w:ascii="Arial Narrow" w:hAnsi="Arial Narrow"/>
                <w:sz w:val="20"/>
              </w:rPr>
              <w:t>4. Definitions of loss of response.</w:t>
            </w:r>
          </w:p>
          <w:p w:rsidR="00A31255" w:rsidRPr="001019A9" w:rsidRDefault="00A31255" w:rsidP="00A31255">
            <w:pPr>
              <w:rPr>
                <w:rFonts w:ascii="Arial Narrow" w:hAnsi="Arial Narrow"/>
                <w:sz w:val="20"/>
              </w:rPr>
            </w:pPr>
            <w:r w:rsidRPr="001019A9">
              <w:rPr>
                <w:rFonts w:ascii="Arial Narrow" w:hAnsi="Arial Narrow"/>
                <w:sz w:val="20"/>
              </w:rPr>
              <w:t xml:space="preserve">Loss of a previously documented major cytogenetic response (demonstrated by the presence of greater than 35% Ph positive cells on bone marrow biopsy), during ongoing tyrosine kinase inhibitor therapy. </w:t>
            </w:r>
          </w:p>
          <w:p w:rsidR="001019A9" w:rsidRPr="001019A9" w:rsidRDefault="00A31255" w:rsidP="00A31255">
            <w:pPr>
              <w:pStyle w:val="Default"/>
              <w:rPr>
                <w:rFonts w:ascii="Arial Narrow" w:hAnsi="Arial Narrow"/>
                <w:sz w:val="20"/>
                <w:szCs w:val="20"/>
              </w:rPr>
            </w:pPr>
            <w:r w:rsidRPr="001019A9">
              <w:rPr>
                <w:rFonts w:ascii="Arial Narrow" w:hAnsi="Arial Narrow" w:cs="Times New Roman"/>
                <w:color w:val="auto"/>
                <w:sz w:val="20"/>
              </w:rPr>
              <w:t>Loss of a previously demonstrated molecular response (demonstrated by peripheral blood BCR-ABL levels increasing consecutively in value by at least 5 fold to a level of greater than 0.1% confirmed on a subsequent test), during ongoing tyrosine kinase inhibitor therapy.</w:t>
            </w:r>
          </w:p>
        </w:tc>
      </w:tr>
    </w:tbl>
    <w:p w:rsidR="00A95F33" w:rsidRDefault="00A95F33" w:rsidP="003C2DFD">
      <w:pPr>
        <w:pStyle w:val="NoSpacing"/>
        <w:rPr>
          <w:highlight w:val="yellow"/>
          <w:lang w:val="en-GB"/>
        </w:rPr>
      </w:pPr>
    </w:p>
    <w:p w:rsidR="00417B58" w:rsidRPr="00B1527D" w:rsidRDefault="00417B58" w:rsidP="00417B58">
      <w:pPr>
        <w:pStyle w:val="ListParagraph"/>
        <w:numPr>
          <w:ilvl w:val="1"/>
          <w:numId w:val="5"/>
        </w:numPr>
        <w:rPr>
          <w:rFonts w:asciiTheme="minorHAnsi" w:hAnsiTheme="minorHAnsi"/>
          <w:bCs/>
          <w:sz w:val="24"/>
          <w:szCs w:val="24"/>
        </w:rPr>
      </w:pPr>
      <w:r w:rsidRPr="00B1527D">
        <w:rPr>
          <w:rFonts w:asciiTheme="minorHAnsi" w:hAnsiTheme="minorHAnsi"/>
          <w:bCs/>
          <w:sz w:val="24"/>
          <w:szCs w:val="24"/>
        </w:rPr>
        <w:t>Amend the Clinical Criteria, Prescribing Instructions and Administrative Advice  under the Continuing r</w:t>
      </w:r>
      <w:r w:rsidR="008F6778">
        <w:rPr>
          <w:rFonts w:asciiTheme="minorHAnsi" w:hAnsiTheme="minorHAnsi"/>
          <w:bCs/>
          <w:sz w:val="24"/>
          <w:szCs w:val="24"/>
        </w:rPr>
        <w:t>estrictions for PBS items 10520Q</w:t>
      </w:r>
      <w:r w:rsidRPr="00B1527D">
        <w:rPr>
          <w:rFonts w:asciiTheme="minorHAnsi" w:hAnsiTheme="minorHAnsi"/>
          <w:bCs/>
          <w:sz w:val="24"/>
          <w:szCs w:val="24"/>
        </w:rPr>
        <w:t xml:space="preserve"> (15 mg) and 10530F (45 mg) as follows:</w:t>
      </w:r>
    </w:p>
    <w:tbl>
      <w:tblPr>
        <w:tblW w:w="4966" w:type="pct"/>
        <w:tblLook w:val="0000" w:firstRow="0" w:lastRow="0" w:firstColumn="0" w:lastColumn="0" w:noHBand="0" w:noVBand="0"/>
      </w:tblPr>
      <w:tblGrid>
        <w:gridCol w:w="2271"/>
        <w:gridCol w:w="6684"/>
      </w:tblGrid>
      <w:tr w:rsidR="00165A21" w:rsidRPr="00CB29EA" w:rsidTr="00816D1B">
        <w:trPr>
          <w:cantSplit/>
          <w:trHeight w:val="199"/>
        </w:trPr>
        <w:tc>
          <w:tcPr>
            <w:tcW w:w="1268"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rPr>
                <w:rStyle w:val="SmallBold"/>
                <w:rFonts w:ascii="Arial Narrow" w:hAnsi="Arial Narrow"/>
                <w:szCs w:val="20"/>
              </w:rPr>
            </w:pPr>
            <w:r w:rsidRPr="00CB29EA">
              <w:rPr>
                <w:rStyle w:val="SmallBold"/>
                <w:rFonts w:ascii="Arial Narrow" w:hAnsi="Arial Narrow"/>
                <w:szCs w:val="20"/>
              </w:rPr>
              <w:t>Category / program</w:t>
            </w:r>
          </w:p>
        </w:tc>
        <w:tc>
          <w:tcPr>
            <w:tcW w:w="3732"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rPr>
                <w:rFonts w:ascii="Arial Narrow" w:hAnsi="Arial Narrow"/>
                <w:szCs w:val="20"/>
              </w:rPr>
            </w:pPr>
            <w:r w:rsidRPr="00CB29EA">
              <w:rPr>
                <w:rFonts w:ascii="Arial Narrow" w:hAnsi="Arial Narrow"/>
                <w:szCs w:val="20"/>
              </w:rPr>
              <w:t>General Schedule</w:t>
            </w:r>
          </w:p>
        </w:tc>
      </w:tr>
      <w:tr w:rsidR="00165A21" w:rsidRPr="00CB29EA" w:rsidTr="00816D1B">
        <w:trPr>
          <w:cantSplit/>
          <w:trHeight w:val="487"/>
        </w:trPr>
        <w:tc>
          <w:tcPr>
            <w:tcW w:w="1268"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rPr>
                <w:rStyle w:val="SmallBold"/>
                <w:rFonts w:ascii="Arial Narrow" w:hAnsi="Arial Narrow"/>
                <w:szCs w:val="20"/>
              </w:rPr>
            </w:pPr>
            <w:r w:rsidRPr="00CB29EA">
              <w:rPr>
                <w:rStyle w:val="SmallBold"/>
                <w:rFonts w:ascii="Arial Narrow" w:hAnsi="Arial Narrow"/>
                <w:szCs w:val="20"/>
              </w:rPr>
              <w:t>Prescriber type</w:t>
            </w:r>
          </w:p>
        </w:tc>
        <w:tc>
          <w:tcPr>
            <w:tcW w:w="3732" w:type="pct"/>
            <w:tcBorders>
              <w:top w:val="single" w:sz="4" w:space="0" w:color="auto"/>
              <w:left w:val="single" w:sz="4" w:space="0" w:color="auto"/>
              <w:bottom w:val="single" w:sz="4" w:space="0" w:color="auto"/>
              <w:right w:val="single" w:sz="4" w:space="0" w:color="auto"/>
            </w:tcBorders>
            <w:shd w:val="clear" w:color="auto" w:fill="auto"/>
          </w:tcPr>
          <w:p w:rsidR="00165A21" w:rsidRPr="00CB29EA" w:rsidRDefault="00165A21" w:rsidP="00816D1B">
            <w:pPr>
              <w:pStyle w:val="TableLeft"/>
              <w:rPr>
                <w:rFonts w:ascii="Arial Narrow" w:hAnsi="Arial Narrow"/>
                <w:szCs w:val="20"/>
              </w:rPr>
            </w:pP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Dental  </w:t>
            </w:r>
            <w:r w:rsidRPr="00CB29EA">
              <w:rPr>
                <w:rFonts w:ascii="Arial Narrow" w:hAnsi="Arial Narrow"/>
                <w:szCs w:val="20"/>
              </w:rPr>
              <w:fldChar w:fldCharType="begin">
                <w:ffData>
                  <w:name w:val=""/>
                  <w:enabled/>
                  <w:calcOnExit w:val="0"/>
                  <w:checkBox>
                    <w:sizeAuto/>
                    <w:default w:val="1"/>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Medical Practitioners  </w:t>
            </w: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Nurse Practitioners</w:t>
            </w:r>
          </w:p>
          <w:p w:rsidR="00165A21" w:rsidRPr="00CB29EA" w:rsidRDefault="00165A21" w:rsidP="00816D1B">
            <w:pPr>
              <w:pStyle w:val="TableLeft"/>
              <w:rPr>
                <w:rFonts w:ascii="Arial Narrow" w:hAnsi="Arial Narrow"/>
                <w:szCs w:val="20"/>
              </w:rPr>
            </w:pP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Optometrists  </w:t>
            </w: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Midwives</w:t>
            </w:r>
          </w:p>
        </w:tc>
      </w:tr>
      <w:tr w:rsidR="00165A21" w:rsidRPr="00CB29EA" w:rsidTr="00816D1B">
        <w:trPr>
          <w:cantSplit/>
          <w:trHeight w:val="190"/>
        </w:trPr>
        <w:tc>
          <w:tcPr>
            <w:tcW w:w="1268"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rPr>
                <w:rStyle w:val="SmallBold"/>
                <w:rFonts w:ascii="Arial Narrow" w:hAnsi="Arial Narrow"/>
                <w:szCs w:val="20"/>
              </w:rPr>
            </w:pPr>
            <w:r w:rsidRPr="00CB29EA">
              <w:rPr>
                <w:rStyle w:val="SmallBold"/>
                <w:rFonts w:ascii="Arial Narrow" w:hAnsi="Arial Narrow"/>
                <w:szCs w:val="20"/>
              </w:rPr>
              <w:t>Episodicity:</w:t>
            </w:r>
          </w:p>
        </w:tc>
        <w:tc>
          <w:tcPr>
            <w:tcW w:w="3732"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rPr>
                <w:rFonts w:ascii="Arial Narrow" w:hAnsi="Arial Narrow"/>
                <w:szCs w:val="20"/>
              </w:rPr>
            </w:pPr>
            <w:r>
              <w:rPr>
                <w:rFonts w:ascii="Arial Narrow" w:hAnsi="Arial Narrow"/>
                <w:szCs w:val="20"/>
              </w:rPr>
              <w:t>Chronic</w:t>
            </w:r>
          </w:p>
        </w:tc>
      </w:tr>
      <w:tr w:rsidR="00165A21" w:rsidRPr="00CB29EA" w:rsidTr="00816D1B">
        <w:trPr>
          <w:cantSplit/>
          <w:trHeight w:val="163"/>
        </w:trPr>
        <w:tc>
          <w:tcPr>
            <w:tcW w:w="1268"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rPr>
                <w:rStyle w:val="SmallBold"/>
                <w:rFonts w:ascii="Arial Narrow" w:hAnsi="Arial Narrow"/>
                <w:szCs w:val="20"/>
              </w:rPr>
            </w:pPr>
            <w:r w:rsidRPr="00CB29EA">
              <w:rPr>
                <w:rStyle w:val="SmallBold"/>
                <w:rFonts w:ascii="Arial Narrow" w:hAnsi="Arial Narrow"/>
                <w:szCs w:val="20"/>
              </w:rPr>
              <w:t>Condition:</w:t>
            </w:r>
          </w:p>
        </w:tc>
        <w:tc>
          <w:tcPr>
            <w:tcW w:w="3732"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rPr>
                <w:rFonts w:ascii="Arial Narrow" w:hAnsi="Arial Narrow"/>
                <w:szCs w:val="20"/>
              </w:rPr>
            </w:pPr>
            <w:r>
              <w:rPr>
                <w:rFonts w:ascii="Arial Narrow" w:hAnsi="Arial Narrow"/>
                <w:szCs w:val="20"/>
              </w:rPr>
              <w:t>Myeloid leukaemia</w:t>
            </w:r>
          </w:p>
        </w:tc>
      </w:tr>
      <w:tr w:rsidR="00165A21" w:rsidRPr="00CB29EA" w:rsidTr="00816D1B">
        <w:trPr>
          <w:cantSplit/>
          <w:trHeight w:val="208"/>
        </w:trPr>
        <w:tc>
          <w:tcPr>
            <w:tcW w:w="1268"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rPr>
                <w:rStyle w:val="SmallBold"/>
                <w:rFonts w:ascii="Arial Narrow" w:hAnsi="Arial Narrow"/>
                <w:szCs w:val="20"/>
              </w:rPr>
            </w:pPr>
            <w:r w:rsidRPr="00CB29EA">
              <w:rPr>
                <w:rStyle w:val="SmallBold"/>
                <w:rFonts w:ascii="Arial Narrow" w:hAnsi="Arial Narrow"/>
                <w:szCs w:val="20"/>
              </w:rPr>
              <w:t>PBS Indication:</w:t>
            </w:r>
          </w:p>
        </w:tc>
        <w:tc>
          <w:tcPr>
            <w:tcW w:w="3732"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rPr>
                <w:rFonts w:ascii="Arial Narrow" w:hAnsi="Arial Narrow"/>
                <w:szCs w:val="20"/>
              </w:rPr>
            </w:pPr>
            <w:r>
              <w:rPr>
                <w:rFonts w:ascii="Arial Narrow" w:hAnsi="Arial Narrow"/>
                <w:szCs w:val="20"/>
              </w:rPr>
              <w:t>Chronic myeloid leukaemia (CML)</w:t>
            </w:r>
          </w:p>
        </w:tc>
      </w:tr>
      <w:tr w:rsidR="00165A21" w:rsidRPr="00CB29EA" w:rsidTr="00816D1B">
        <w:trPr>
          <w:cantSplit/>
          <w:trHeight w:val="253"/>
        </w:trPr>
        <w:tc>
          <w:tcPr>
            <w:tcW w:w="1268"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rPr>
                <w:rStyle w:val="SmallBold"/>
                <w:rFonts w:ascii="Arial Narrow" w:hAnsi="Arial Narrow"/>
                <w:szCs w:val="20"/>
              </w:rPr>
            </w:pPr>
            <w:r w:rsidRPr="00CB29EA">
              <w:rPr>
                <w:rStyle w:val="SmallBold"/>
                <w:rFonts w:ascii="Arial Narrow" w:hAnsi="Arial Narrow"/>
                <w:szCs w:val="20"/>
              </w:rPr>
              <w:t>Treatment phase:</w:t>
            </w:r>
          </w:p>
        </w:tc>
        <w:tc>
          <w:tcPr>
            <w:tcW w:w="3732" w:type="pct"/>
            <w:tcBorders>
              <w:top w:val="single" w:sz="4" w:space="0" w:color="auto"/>
              <w:left w:val="single" w:sz="4" w:space="0" w:color="auto"/>
              <w:bottom w:val="single" w:sz="4" w:space="0" w:color="auto"/>
              <w:right w:val="single" w:sz="4" w:space="0" w:color="auto"/>
            </w:tcBorders>
          </w:tcPr>
          <w:p w:rsidR="00165A21" w:rsidRPr="00494A81" w:rsidRDefault="00165A21" w:rsidP="00816D1B">
            <w:pPr>
              <w:pStyle w:val="TableLeft"/>
              <w:rPr>
                <w:rFonts w:ascii="Arial Narrow" w:hAnsi="Arial Narrow"/>
                <w:b/>
                <w:szCs w:val="20"/>
              </w:rPr>
            </w:pPr>
            <w:r w:rsidRPr="00494A81">
              <w:rPr>
                <w:rFonts w:ascii="Arial Narrow" w:hAnsi="Arial Narrow"/>
                <w:b/>
                <w:szCs w:val="20"/>
              </w:rPr>
              <w:t>First continuing treatment</w:t>
            </w:r>
          </w:p>
        </w:tc>
      </w:tr>
      <w:tr w:rsidR="00165A21" w:rsidRPr="00CB29EA" w:rsidTr="00816D1B">
        <w:trPr>
          <w:cantSplit/>
          <w:trHeight w:val="1378"/>
        </w:trPr>
        <w:tc>
          <w:tcPr>
            <w:tcW w:w="1268"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rPr>
                <w:rStyle w:val="SmallBold"/>
                <w:rFonts w:ascii="Arial Narrow" w:hAnsi="Arial Narrow"/>
                <w:szCs w:val="20"/>
              </w:rPr>
            </w:pPr>
            <w:r w:rsidRPr="00CB29EA">
              <w:rPr>
                <w:rStyle w:val="SmallBold"/>
                <w:rFonts w:ascii="Arial Narrow" w:hAnsi="Arial Narrow"/>
                <w:szCs w:val="20"/>
              </w:rPr>
              <w:t>Restriction</w:t>
            </w:r>
            <w:r>
              <w:rPr>
                <w:rStyle w:val="SmallBold"/>
                <w:rFonts w:ascii="Arial Narrow" w:hAnsi="Arial Narrow"/>
                <w:szCs w:val="20"/>
              </w:rPr>
              <w:t xml:space="preserve"> Level / Method</w:t>
            </w:r>
            <w:r w:rsidRPr="00CB29EA">
              <w:rPr>
                <w:rStyle w:val="SmallBold"/>
                <w:rFonts w:ascii="Arial Narrow" w:hAnsi="Arial Narrow"/>
                <w:szCs w:val="20"/>
              </w:rPr>
              <w:t>:</w:t>
            </w:r>
          </w:p>
          <w:p w:rsidR="00165A21" w:rsidRPr="00CB29EA" w:rsidRDefault="00165A21" w:rsidP="00816D1B">
            <w:pPr>
              <w:pStyle w:val="TableLeft"/>
              <w:rPr>
                <w:rStyle w:val="SmallBold"/>
                <w:rFonts w:ascii="Arial Narrow" w:hAnsi="Arial Narrow"/>
                <w:szCs w:val="20"/>
              </w:rPr>
            </w:pPr>
          </w:p>
        </w:tc>
        <w:tc>
          <w:tcPr>
            <w:tcW w:w="3732" w:type="pct"/>
            <w:tcBorders>
              <w:top w:val="single" w:sz="4" w:space="0" w:color="auto"/>
              <w:left w:val="single" w:sz="4" w:space="0" w:color="auto"/>
              <w:bottom w:val="single" w:sz="4" w:space="0" w:color="auto"/>
              <w:right w:val="single" w:sz="4" w:space="0" w:color="auto"/>
            </w:tcBorders>
            <w:shd w:val="clear" w:color="auto" w:fill="FFFFFF" w:themeFill="background1"/>
          </w:tcPr>
          <w:p w:rsidR="00165A21" w:rsidRPr="00CB29EA" w:rsidRDefault="00165A21" w:rsidP="00816D1B">
            <w:pPr>
              <w:pStyle w:val="TableLeft"/>
              <w:rPr>
                <w:rFonts w:ascii="Arial Narrow" w:hAnsi="Arial Narrow"/>
                <w:szCs w:val="20"/>
              </w:rPr>
            </w:pP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Restricted benefit</w:t>
            </w:r>
          </w:p>
          <w:p w:rsidR="00165A21" w:rsidRPr="00CB29EA" w:rsidRDefault="00165A21" w:rsidP="00816D1B">
            <w:pPr>
              <w:pStyle w:val="TableLeft"/>
              <w:rPr>
                <w:rFonts w:ascii="Arial Narrow" w:hAnsi="Arial Narrow"/>
                <w:szCs w:val="20"/>
              </w:rPr>
            </w:pPr>
            <w:r>
              <w:rPr>
                <w:rFonts w:ascii="Arial Narrow" w:hAnsi="Arial Narrow"/>
                <w:szCs w:val="20"/>
              </w:rPr>
              <w:fldChar w:fldCharType="begin">
                <w:ffData>
                  <w:name w:val=""/>
                  <w:enabled/>
                  <w:calcOnExit w:val="0"/>
                  <w:checkBox>
                    <w:sizeAuto/>
                    <w:default w:val="1"/>
                  </w:checkBox>
                </w:ffData>
              </w:fldChar>
            </w:r>
            <w:r>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Pr>
                <w:rFonts w:ascii="Arial Narrow" w:hAnsi="Arial Narrow"/>
                <w:szCs w:val="20"/>
              </w:rPr>
              <w:fldChar w:fldCharType="end"/>
            </w:r>
            <w:r w:rsidRPr="00CB29EA">
              <w:rPr>
                <w:rFonts w:ascii="Arial Narrow" w:hAnsi="Arial Narrow"/>
                <w:szCs w:val="20"/>
              </w:rPr>
              <w:t>Authority Required - In Writing</w:t>
            </w:r>
          </w:p>
          <w:p w:rsidR="00165A21" w:rsidRPr="00CB29EA" w:rsidRDefault="00165A21" w:rsidP="00816D1B">
            <w:pPr>
              <w:pStyle w:val="TableLeft"/>
              <w:rPr>
                <w:rFonts w:ascii="Arial Narrow" w:hAnsi="Arial Narrow"/>
                <w:szCs w:val="20"/>
              </w:rPr>
            </w:pPr>
            <w:r w:rsidRPr="00CB29EA">
              <w:rPr>
                <w:rFonts w:ascii="Arial Narrow" w:hAnsi="Arial Narrow"/>
                <w:szCs w:val="20"/>
              </w:rPr>
              <w:fldChar w:fldCharType="begin">
                <w:ffData>
                  <w:name w:val="Check3"/>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Authority Required - Telephone</w:t>
            </w:r>
          </w:p>
          <w:p w:rsidR="00165A21" w:rsidRPr="00CB29EA" w:rsidRDefault="00165A21" w:rsidP="00816D1B">
            <w:pPr>
              <w:pStyle w:val="TableLeft"/>
              <w:rPr>
                <w:rFonts w:ascii="Arial Narrow" w:hAnsi="Arial Narrow"/>
                <w:szCs w:val="20"/>
              </w:rPr>
            </w:pPr>
            <w:r w:rsidRPr="00CB29EA">
              <w:rPr>
                <w:rFonts w:ascii="Arial Narrow" w:hAnsi="Arial Narrow"/>
                <w:szCs w:val="20"/>
              </w:rPr>
              <w:fldChar w:fldCharType="begin">
                <w:ffData>
                  <w:name w:val=""/>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Authority Required - Emergency</w:t>
            </w:r>
          </w:p>
          <w:p w:rsidR="00165A21" w:rsidRPr="00CB29EA" w:rsidRDefault="00165A21" w:rsidP="00816D1B">
            <w:pPr>
              <w:pStyle w:val="TableLeft"/>
              <w:rPr>
                <w:rFonts w:ascii="Arial Narrow" w:hAnsi="Arial Narrow"/>
                <w:szCs w:val="20"/>
              </w:rPr>
            </w:pPr>
            <w:r w:rsidRPr="00CB29EA">
              <w:rPr>
                <w:rFonts w:ascii="Arial Narrow" w:hAnsi="Arial Narrow"/>
                <w:szCs w:val="20"/>
              </w:rPr>
              <w:fldChar w:fldCharType="begin">
                <w:ffData>
                  <w:name w:val=""/>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Authority Required - Electronic</w:t>
            </w:r>
          </w:p>
          <w:p w:rsidR="00165A21" w:rsidRPr="00CB29EA" w:rsidRDefault="00165A21" w:rsidP="00816D1B">
            <w:pPr>
              <w:pStyle w:val="TableLeft"/>
              <w:rPr>
                <w:rFonts w:ascii="Arial Narrow" w:hAnsi="Arial Narrow"/>
                <w:szCs w:val="20"/>
              </w:rPr>
            </w:pPr>
            <w:r>
              <w:rPr>
                <w:rFonts w:ascii="Arial Narrow" w:hAnsi="Arial Narrow"/>
                <w:szCs w:val="20"/>
              </w:rPr>
              <w:fldChar w:fldCharType="begin">
                <w:ffData>
                  <w:name w:val=""/>
                  <w:enabled/>
                  <w:calcOnExit w:val="0"/>
                  <w:checkBox>
                    <w:sizeAuto/>
                    <w:default w:val="0"/>
                  </w:checkBox>
                </w:ffData>
              </w:fldChar>
            </w:r>
            <w:r>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Pr>
                <w:rFonts w:ascii="Arial Narrow" w:hAnsi="Arial Narrow"/>
                <w:szCs w:val="20"/>
              </w:rPr>
              <w:fldChar w:fldCharType="end"/>
            </w:r>
            <w:r w:rsidRPr="00CB29EA">
              <w:rPr>
                <w:rFonts w:ascii="Arial Narrow" w:hAnsi="Arial Narrow"/>
                <w:szCs w:val="20"/>
              </w:rPr>
              <w:t>Streamlined</w:t>
            </w:r>
          </w:p>
        </w:tc>
      </w:tr>
      <w:tr w:rsidR="00165A21" w:rsidRPr="00CB29EA" w:rsidTr="00816D1B">
        <w:trPr>
          <w:cantSplit/>
          <w:trHeight w:val="360"/>
        </w:trPr>
        <w:tc>
          <w:tcPr>
            <w:tcW w:w="1268"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keepNext/>
              <w:rPr>
                <w:rStyle w:val="SmallBold"/>
                <w:rFonts w:ascii="Arial Narrow" w:hAnsi="Arial Narrow"/>
                <w:szCs w:val="20"/>
              </w:rPr>
            </w:pPr>
            <w:r w:rsidRPr="00CB29EA">
              <w:rPr>
                <w:rStyle w:val="SmallBold"/>
                <w:rFonts w:ascii="Arial Narrow" w:hAnsi="Arial Narrow"/>
                <w:szCs w:val="20"/>
              </w:rPr>
              <w:t>Clinical criteria:</w:t>
            </w:r>
          </w:p>
          <w:p w:rsidR="00165A21" w:rsidRPr="00CB29EA" w:rsidRDefault="00165A21" w:rsidP="00816D1B">
            <w:pPr>
              <w:pStyle w:val="TableLeft"/>
              <w:keepNext/>
              <w:rPr>
                <w:rStyle w:val="SmallBold"/>
                <w:rFonts w:ascii="Arial Narrow" w:hAnsi="Arial Narrow"/>
                <w:szCs w:val="20"/>
              </w:rPr>
            </w:pPr>
          </w:p>
        </w:tc>
        <w:tc>
          <w:tcPr>
            <w:tcW w:w="3732" w:type="pct"/>
            <w:tcBorders>
              <w:top w:val="single" w:sz="4" w:space="0" w:color="auto"/>
              <w:left w:val="single" w:sz="4" w:space="0" w:color="auto"/>
              <w:bottom w:val="single" w:sz="4" w:space="0" w:color="auto"/>
              <w:right w:val="single" w:sz="4" w:space="0" w:color="auto"/>
            </w:tcBorders>
          </w:tcPr>
          <w:p w:rsidR="001019A9" w:rsidRPr="00417B58" w:rsidRDefault="001019A9" w:rsidP="00651DA4">
            <w:pPr>
              <w:pStyle w:val="Default"/>
              <w:rPr>
                <w:rFonts w:ascii="Arial Narrow" w:hAnsi="Arial Narrow"/>
                <w:b/>
                <w:sz w:val="20"/>
                <w:szCs w:val="20"/>
              </w:rPr>
            </w:pPr>
            <w:r w:rsidRPr="00417B58">
              <w:rPr>
                <w:rFonts w:ascii="Arial Narrow" w:hAnsi="Arial Narrow"/>
                <w:b/>
                <w:sz w:val="20"/>
                <w:szCs w:val="20"/>
              </w:rPr>
              <w:t xml:space="preserve">Patient must have received initial </w:t>
            </w:r>
            <w:r w:rsidR="00651DA4" w:rsidRPr="00417B58">
              <w:rPr>
                <w:rFonts w:ascii="Arial Narrow" w:hAnsi="Arial Narrow"/>
                <w:b/>
                <w:sz w:val="20"/>
                <w:szCs w:val="20"/>
              </w:rPr>
              <w:t xml:space="preserve">PBS subsidised </w:t>
            </w:r>
            <w:r w:rsidRPr="00417B58">
              <w:rPr>
                <w:rFonts w:ascii="Arial Narrow" w:hAnsi="Arial Narrow"/>
                <w:b/>
                <w:sz w:val="20"/>
                <w:szCs w:val="20"/>
              </w:rPr>
              <w:t xml:space="preserve">treatment with this drug for this condition, </w:t>
            </w:r>
          </w:p>
          <w:p w:rsidR="001019A9" w:rsidRPr="00417B58" w:rsidRDefault="001019A9" w:rsidP="00651DA4">
            <w:pPr>
              <w:pStyle w:val="Default"/>
              <w:rPr>
                <w:rFonts w:ascii="Arial Narrow" w:hAnsi="Arial Narrow"/>
                <w:b/>
                <w:sz w:val="20"/>
                <w:szCs w:val="20"/>
              </w:rPr>
            </w:pPr>
            <w:r w:rsidRPr="00417B58">
              <w:rPr>
                <w:rFonts w:ascii="Arial Narrow" w:hAnsi="Arial Narrow"/>
                <w:b/>
                <w:sz w:val="20"/>
                <w:szCs w:val="20"/>
              </w:rPr>
              <w:t>AND</w:t>
            </w:r>
          </w:p>
          <w:p w:rsidR="001019A9" w:rsidRPr="008F6778" w:rsidRDefault="001019A9" w:rsidP="00651DA4">
            <w:pPr>
              <w:pStyle w:val="Default"/>
              <w:rPr>
                <w:rFonts w:ascii="Arial Narrow" w:hAnsi="Arial Narrow"/>
                <w:sz w:val="20"/>
                <w:szCs w:val="20"/>
              </w:rPr>
            </w:pPr>
            <w:r w:rsidRPr="008F6778">
              <w:rPr>
                <w:rFonts w:ascii="Arial Narrow" w:hAnsi="Arial Narrow"/>
                <w:sz w:val="20"/>
                <w:szCs w:val="20"/>
              </w:rPr>
              <w:t>The treatment must be the sole PBS-subsidised therapy for this condition,</w:t>
            </w:r>
          </w:p>
          <w:p w:rsidR="001019A9" w:rsidRPr="00417B58" w:rsidRDefault="001019A9" w:rsidP="00651DA4">
            <w:pPr>
              <w:pStyle w:val="Default"/>
              <w:rPr>
                <w:rFonts w:ascii="Arial Narrow" w:hAnsi="Arial Narrow"/>
                <w:b/>
                <w:sz w:val="20"/>
                <w:szCs w:val="20"/>
              </w:rPr>
            </w:pPr>
            <w:r w:rsidRPr="00417B58">
              <w:rPr>
                <w:rFonts w:ascii="Arial Narrow" w:hAnsi="Arial Narrow"/>
                <w:b/>
                <w:sz w:val="20"/>
                <w:szCs w:val="20"/>
              </w:rPr>
              <w:t>AND</w:t>
            </w:r>
          </w:p>
          <w:p w:rsidR="001019A9" w:rsidRPr="00417B58" w:rsidRDefault="001019A9" w:rsidP="00651DA4">
            <w:pPr>
              <w:pStyle w:val="Default"/>
              <w:rPr>
                <w:rFonts w:ascii="Arial Narrow" w:hAnsi="Arial Narrow"/>
                <w:b/>
                <w:sz w:val="20"/>
                <w:szCs w:val="20"/>
              </w:rPr>
            </w:pPr>
            <w:r w:rsidRPr="00417B58">
              <w:rPr>
                <w:rFonts w:ascii="Arial Narrow" w:hAnsi="Arial Narrow"/>
                <w:b/>
                <w:sz w:val="20"/>
                <w:szCs w:val="20"/>
              </w:rPr>
              <w:t>Patient must have demonstrated a major cytogenetic response, OR</w:t>
            </w:r>
          </w:p>
          <w:p w:rsidR="00165A21" w:rsidRPr="00651DA4" w:rsidRDefault="001019A9" w:rsidP="00651DA4">
            <w:pPr>
              <w:pStyle w:val="Default"/>
              <w:rPr>
                <w:rFonts w:ascii="Arial Narrow" w:hAnsi="Arial Narrow"/>
                <w:sz w:val="20"/>
                <w:szCs w:val="20"/>
              </w:rPr>
            </w:pPr>
            <w:r w:rsidRPr="00417B58">
              <w:rPr>
                <w:rFonts w:ascii="Arial Narrow" w:hAnsi="Arial Narrow"/>
                <w:b/>
                <w:sz w:val="20"/>
                <w:szCs w:val="20"/>
              </w:rPr>
              <w:t>Patient must have demonstrated a peripheral blood level of BCR-ABL of less than 1%.</w:t>
            </w:r>
            <w:r w:rsidRPr="001019A9">
              <w:rPr>
                <w:rFonts w:ascii="Arial Narrow" w:hAnsi="Arial Narrow"/>
                <w:sz w:val="20"/>
                <w:szCs w:val="20"/>
              </w:rPr>
              <w:t xml:space="preserve"> </w:t>
            </w:r>
            <w:r w:rsidR="00165A21">
              <w:rPr>
                <w:rFonts w:ascii="Arial Narrow" w:hAnsi="Arial Narrow"/>
                <w:szCs w:val="20"/>
              </w:rPr>
              <w:t xml:space="preserve"> </w:t>
            </w:r>
          </w:p>
        </w:tc>
      </w:tr>
      <w:tr w:rsidR="00165A21" w:rsidRPr="003F3252" w:rsidTr="00816D1B">
        <w:trPr>
          <w:trHeight w:val="235"/>
        </w:trPr>
        <w:tc>
          <w:tcPr>
            <w:tcW w:w="1268" w:type="pct"/>
            <w:tcBorders>
              <w:top w:val="single" w:sz="4" w:space="0" w:color="auto"/>
              <w:left w:val="single" w:sz="4" w:space="0" w:color="auto"/>
              <w:bottom w:val="single" w:sz="4" w:space="0" w:color="auto"/>
              <w:right w:val="single" w:sz="4" w:space="0" w:color="auto"/>
            </w:tcBorders>
          </w:tcPr>
          <w:p w:rsidR="00165A21" w:rsidRPr="00FC5E2B" w:rsidRDefault="00165A21" w:rsidP="00816D1B">
            <w:pPr>
              <w:pStyle w:val="TableLeft"/>
              <w:widowControl w:val="0"/>
              <w:rPr>
                <w:rStyle w:val="SmallBold"/>
                <w:rFonts w:ascii="Arial Narrow" w:hAnsi="Arial Narrow"/>
                <w:szCs w:val="20"/>
              </w:rPr>
            </w:pPr>
            <w:r w:rsidRPr="00560FC8">
              <w:rPr>
                <w:rStyle w:val="SmallBold"/>
                <w:rFonts w:ascii="Arial Narrow" w:hAnsi="Arial Narrow"/>
                <w:szCs w:val="20"/>
              </w:rPr>
              <w:t>Prescriber Instructions</w:t>
            </w:r>
          </w:p>
          <w:p w:rsidR="00165A21" w:rsidRPr="00560FC8" w:rsidRDefault="00165A21" w:rsidP="00816D1B">
            <w:pPr>
              <w:pStyle w:val="TableLeft"/>
              <w:widowControl w:val="0"/>
              <w:rPr>
                <w:rStyle w:val="SmallBold"/>
                <w:rFonts w:ascii="Arial Narrow" w:hAnsi="Arial Narrow"/>
                <w:szCs w:val="20"/>
              </w:rPr>
            </w:pPr>
          </w:p>
        </w:tc>
        <w:tc>
          <w:tcPr>
            <w:tcW w:w="3732" w:type="pct"/>
            <w:tcBorders>
              <w:top w:val="single" w:sz="4" w:space="0" w:color="auto"/>
              <w:left w:val="single" w:sz="4" w:space="0" w:color="auto"/>
              <w:bottom w:val="single" w:sz="4" w:space="0" w:color="auto"/>
              <w:right w:val="single" w:sz="4" w:space="0" w:color="auto"/>
            </w:tcBorders>
          </w:tcPr>
          <w:p w:rsidR="00417B58" w:rsidRPr="00417B58" w:rsidRDefault="00417B58" w:rsidP="00417B58">
            <w:pPr>
              <w:pStyle w:val="Default"/>
              <w:rPr>
                <w:rFonts w:ascii="Arial Narrow" w:hAnsi="Arial Narrow"/>
                <w:sz w:val="20"/>
                <w:szCs w:val="20"/>
              </w:rPr>
            </w:pPr>
            <w:r w:rsidRPr="00417B58">
              <w:rPr>
                <w:rFonts w:ascii="Arial Narrow" w:hAnsi="Arial Narrow"/>
                <w:b/>
                <w:sz w:val="20"/>
                <w:szCs w:val="20"/>
              </w:rPr>
              <w:t>First continuing</w:t>
            </w:r>
            <w:r w:rsidRPr="00417B58">
              <w:rPr>
                <w:rFonts w:ascii="Arial Narrow" w:hAnsi="Arial Narrow"/>
                <w:sz w:val="20"/>
                <w:szCs w:val="20"/>
              </w:rPr>
              <w:t xml:space="preserve"> applications for authorisation must be in writing and must include:</w:t>
            </w:r>
          </w:p>
          <w:p w:rsidR="00417B58" w:rsidRPr="00417B58" w:rsidRDefault="00417B58" w:rsidP="00417B58">
            <w:pPr>
              <w:pStyle w:val="Default"/>
              <w:rPr>
                <w:rFonts w:ascii="Arial Narrow" w:hAnsi="Arial Narrow"/>
                <w:sz w:val="20"/>
                <w:szCs w:val="20"/>
              </w:rPr>
            </w:pPr>
            <w:r w:rsidRPr="00417B58">
              <w:rPr>
                <w:rFonts w:ascii="Arial Narrow" w:hAnsi="Arial Narrow"/>
                <w:sz w:val="20"/>
                <w:szCs w:val="20"/>
              </w:rPr>
              <w:t>1. a completed authority prescription form; and</w:t>
            </w:r>
          </w:p>
          <w:p w:rsidR="00417B58" w:rsidRPr="00417B58" w:rsidRDefault="00417B58" w:rsidP="00417B58">
            <w:pPr>
              <w:pStyle w:val="Default"/>
              <w:rPr>
                <w:rFonts w:ascii="Arial Narrow" w:hAnsi="Arial Narrow"/>
                <w:sz w:val="20"/>
                <w:szCs w:val="20"/>
              </w:rPr>
            </w:pPr>
            <w:r w:rsidRPr="00417B58">
              <w:rPr>
                <w:rFonts w:ascii="Arial Narrow" w:hAnsi="Arial Narrow"/>
                <w:sz w:val="20"/>
                <w:szCs w:val="20"/>
              </w:rPr>
              <w:t xml:space="preserve">2. a completed Chronic Myeloid Leukaemia Continuing PBS authority application Supporting information form; and </w:t>
            </w:r>
          </w:p>
          <w:p w:rsidR="00417B58" w:rsidRPr="00417B58" w:rsidRDefault="00417B58" w:rsidP="00417B58">
            <w:pPr>
              <w:pStyle w:val="Default"/>
              <w:rPr>
                <w:rFonts w:ascii="Arial Narrow" w:hAnsi="Arial Narrow"/>
                <w:sz w:val="20"/>
                <w:szCs w:val="20"/>
              </w:rPr>
            </w:pPr>
            <w:r w:rsidRPr="00417B58">
              <w:rPr>
                <w:rFonts w:ascii="Arial Narrow" w:hAnsi="Arial Narrow"/>
                <w:sz w:val="20"/>
                <w:szCs w:val="20"/>
              </w:rPr>
              <w:t>3. demonstration of continued response to treatment as evidenced by either:</w:t>
            </w:r>
          </w:p>
          <w:p w:rsidR="00417B58" w:rsidRPr="00417B58" w:rsidRDefault="00417B58" w:rsidP="00417B58">
            <w:pPr>
              <w:pStyle w:val="Default"/>
              <w:rPr>
                <w:rFonts w:ascii="Arial Narrow" w:hAnsi="Arial Narrow"/>
                <w:sz w:val="20"/>
                <w:szCs w:val="20"/>
              </w:rPr>
            </w:pPr>
            <w:r w:rsidRPr="00417B58">
              <w:rPr>
                <w:rFonts w:ascii="Arial Narrow" w:hAnsi="Arial Narrow"/>
                <w:sz w:val="20"/>
                <w:szCs w:val="20"/>
              </w:rPr>
              <w:t xml:space="preserve">(a) major cytogenetic response [see Note explaining definitions of response]. Where this has been supplied within the previous </w:t>
            </w:r>
            <w:r w:rsidRPr="00417B58">
              <w:rPr>
                <w:rFonts w:ascii="Arial Narrow" w:hAnsi="Arial Narrow"/>
                <w:b/>
                <w:strike/>
                <w:sz w:val="20"/>
                <w:szCs w:val="20"/>
              </w:rPr>
              <w:t>12 months (</w:t>
            </w:r>
            <w:r w:rsidRPr="00067040">
              <w:rPr>
                <w:rFonts w:ascii="Arial Narrow" w:hAnsi="Arial Narrow"/>
                <w:b/>
                <w:strike/>
                <w:sz w:val="20"/>
                <w:szCs w:val="20"/>
              </w:rPr>
              <w:t xml:space="preserve"> or</w:t>
            </w:r>
            <w:r>
              <w:rPr>
                <w:rFonts w:ascii="Arial Narrow" w:hAnsi="Arial Narrow"/>
                <w:sz w:val="20"/>
                <w:szCs w:val="20"/>
              </w:rPr>
              <w:t xml:space="preserve"> </w:t>
            </w:r>
            <w:r w:rsidRPr="00417B58">
              <w:rPr>
                <w:rFonts w:ascii="Arial Narrow" w:hAnsi="Arial Narrow"/>
                <w:sz w:val="20"/>
                <w:szCs w:val="20"/>
              </w:rPr>
              <w:t>18 months</w:t>
            </w:r>
            <w:r w:rsidRPr="00067040">
              <w:rPr>
                <w:rFonts w:ascii="Arial Narrow" w:hAnsi="Arial Narrow"/>
                <w:sz w:val="20"/>
                <w:szCs w:val="20"/>
              </w:rPr>
              <w:t xml:space="preserve"> for</w:t>
            </w:r>
            <w:r w:rsidRPr="00067040">
              <w:rPr>
                <w:rFonts w:ascii="Arial Narrow" w:hAnsi="Arial Narrow"/>
                <w:b/>
                <w:strike/>
                <w:sz w:val="20"/>
                <w:szCs w:val="20"/>
              </w:rPr>
              <w:t xml:space="preserve"> the initial supply) of</w:t>
            </w:r>
            <w:r w:rsidRPr="00417B58">
              <w:rPr>
                <w:rFonts w:ascii="Arial Narrow" w:hAnsi="Arial Narrow"/>
                <w:sz w:val="20"/>
                <w:szCs w:val="20"/>
              </w:rPr>
              <w:t xml:space="preserve"> the initial treatment, only the date of the relevant pathology report needs to be provided; or </w:t>
            </w:r>
          </w:p>
          <w:p w:rsidR="00165A21" w:rsidRPr="00417B58" w:rsidRDefault="00417B58" w:rsidP="00417B58">
            <w:pPr>
              <w:pStyle w:val="Default"/>
              <w:rPr>
                <w:color w:val="222222"/>
                <w:sz w:val="21"/>
                <w:szCs w:val="21"/>
              </w:rPr>
            </w:pPr>
            <w:r w:rsidRPr="00417B58">
              <w:rPr>
                <w:rFonts w:ascii="Arial Narrow" w:hAnsi="Arial Narrow"/>
                <w:sz w:val="20"/>
                <w:szCs w:val="20"/>
              </w:rPr>
              <w:t xml:space="preserve">(b) a peripheral blood level of BCR-ABL of less than 1% on the international scale [see Note explaining definitions of response]. Where this has been supplied within the previous </w:t>
            </w:r>
            <w:r w:rsidR="00067040" w:rsidRPr="00417B58">
              <w:rPr>
                <w:rFonts w:ascii="Arial Narrow" w:hAnsi="Arial Narrow"/>
                <w:b/>
                <w:strike/>
                <w:sz w:val="20"/>
                <w:szCs w:val="20"/>
              </w:rPr>
              <w:t>12 months (</w:t>
            </w:r>
            <w:r w:rsidR="00067040" w:rsidRPr="00067040">
              <w:rPr>
                <w:rFonts w:ascii="Arial Narrow" w:hAnsi="Arial Narrow"/>
                <w:b/>
                <w:strike/>
                <w:sz w:val="20"/>
                <w:szCs w:val="20"/>
              </w:rPr>
              <w:t xml:space="preserve"> or</w:t>
            </w:r>
            <w:r w:rsidR="00067040">
              <w:rPr>
                <w:rFonts w:ascii="Arial Narrow" w:hAnsi="Arial Narrow"/>
                <w:sz w:val="20"/>
                <w:szCs w:val="20"/>
              </w:rPr>
              <w:t xml:space="preserve"> </w:t>
            </w:r>
            <w:r w:rsidR="00067040" w:rsidRPr="00417B58">
              <w:rPr>
                <w:rFonts w:ascii="Arial Narrow" w:hAnsi="Arial Narrow"/>
                <w:sz w:val="20"/>
                <w:szCs w:val="20"/>
              </w:rPr>
              <w:t xml:space="preserve">18 months </w:t>
            </w:r>
            <w:r w:rsidR="00067040" w:rsidRPr="00067040">
              <w:rPr>
                <w:rFonts w:ascii="Arial Narrow" w:hAnsi="Arial Narrow"/>
                <w:sz w:val="20"/>
                <w:szCs w:val="20"/>
              </w:rPr>
              <w:t xml:space="preserve">for </w:t>
            </w:r>
            <w:r w:rsidR="00067040" w:rsidRPr="00067040">
              <w:rPr>
                <w:rFonts w:ascii="Arial Narrow" w:hAnsi="Arial Narrow"/>
                <w:b/>
                <w:strike/>
                <w:sz w:val="20"/>
                <w:szCs w:val="20"/>
              </w:rPr>
              <w:t xml:space="preserve">the initial supply) </w:t>
            </w:r>
            <w:r w:rsidRPr="00417B58">
              <w:rPr>
                <w:rFonts w:ascii="Arial Narrow" w:hAnsi="Arial Narrow"/>
                <w:sz w:val="20"/>
                <w:szCs w:val="20"/>
              </w:rPr>
              <w:t xml:space="preserve">the initial treatment, only the date of the relevant pathology report needs to be provided. </w:t>
            </w:r>
          </w:p>
        </w:tc>
      </w:tr>
      <w:tr w:rsidR="001019A9" w:rsidRPr="00CB29EA" w:rsidTr="001019A9">
        <w:trPr>
          <w:trHeight w:val="235"/>
        </w:trPr>
        <w:tc>
          <w:tcPr>
            <w:tcW w:w="1268" w:type="pct"/>
            <w:tcBorders>
              <w:top w:val="single" w:sz="4" w:space="0" w:color="auto"/>
              <w:left w:val="single" w:sz="4" w:space="0" w:color="auto"/>
              <w:bottom w:val="single" w:sz="4" w:space="0" w:color="auto"/>
              <w:right w:val="single" w:sz="4" w:space="0" w:color="auto"/>
            </w:tcBorders>
          </w:tcPr>
          <w:p w:rsidR="001019A9" w:rsidRPr="00C846C2" w:rsidRDefault="001019A9" w:rsidP="008B1EA4">
            <w:pPr>
              <w:pStyle w:val="TableLeft"/>
              <w:widowControl w:val="0"/>
              <w:rPr>
                <w:rStyle w:val="SmallBold"/>
                <w:rFonts w:ascii="Arial Narrow" w:hAnsi="Arial Narrow"/>
                <w:szCs w:val="20"/>
              </w:rPr>
            </w:pPr>
            <w:r w:rsidRPr="00C846C2">
              <w:rPr>
                <w:rStyle w:val="SmallBold"/>
                <w:rFonts w:ascii="Arial Narrow" w:hAnsi="Arial Narrow"/>
                <w:szCs w:val="20"/>
              </w:rPr>
              <w:t>Administrative Advice</w:t>
            </w:r>
          </w:p>
        </w:tc>
        <w:tc>
          <w:tcPr>
            <w:tcW w:w="3732" w:type="pct"/>
            <w:tcBorders>
              <w:top w:val="single" w:sz="4" w:space="0" w:color="auto"/>
              <w:left w:val="single" w:sz="4" w:space="0" w:color="auto"/>
              <w:bottom w:val="single" w:sz="4" w:space="0" w:color="auto"/>
              <w:right w:val="single" w:sz="4" w:space="0" w:color="auto"/>
            </w:tcBorders>
          </w:tcPr>
          <w:p w:rsidR="001019A9" w:rsidRPr="001019A9" w:rsidRDefault="001019A9" w:rsidP="008B1EA4">
            <w:pPr>
              <w:pStyle w:val="Default"/>
              <w:rPr>
                <w:rFonts w:ascii="Arial Narrow" w:hAnsi="Arial Narrow"/>
                <w:sz w:val="20"/>
                <w:szCs w:val="20"/>
              </w:rPr>
            </w:pPr>
            <w:r w:rsidRPr="001019A9">
              <w:rPr>
                <w:rFonts w:ascii="Arial Narrow" w:hAnsi="Arial Narrow"/>
                <w:sz w:val="20"/>
                <w:szCs w:val="20"/>
              </w:rPr>
              <w:t xml:space="preserve">Any queries concerning the arrangements to prescribe may be directed to the Department of Human Services on 1800 700 270 (hours of operation 8 a.m. to 5 p.m. EST Monday to Friday). </w:t>
            </w:r>
          </w:p>
          <w:p w:rsidR="001019A9" w:rsidRPr="001019A9" w:rsidRDefault="001019A9" w:rsidP="008B1EA4">
            <w:pPr>
              <w:pStyle w:val="Default"/>
              <w:rPr>
                <w:rFonts w:ascii="Arial Narrow" w:hAnsi="Arial Narrow"/>
                <w:sz w:val="20"/>
                <w:szCs w:val="20"/>
              </w:rPr>
            </w:pPr>
            <w:r w:rsidRPr="001019A9">
              <w:rPr>
                <w:rFonts w:ascii="Arial Narrow" w:hAnsi="Arial Narrow"/>
                <w:sz w:val="20"/>
                <w:szCs w:val="20"/>
              </w:rPr>
              <w:t xml:space="preserve">Prescribing information (including Authority Application forms and other relevant documentation as applicable) is available on the Department of Human Services website at www.humanservices.gov.au </w:t>
            </w:r>
          </w:p>
          <w:p w:rsidR="001019A9" w:rsidRPr="001019A9" w:rsidRDefault="001019A9" w:rsidP="008B1EA4">
            <w:pPr>
              <w:pStyle w:val="Default"/>
              <w:rPr>
                <w:rFonts w:ascii="Arial Narrow" w:hAnsi="Arial Narrow"/>
                <w:sz w:val="20"/>
                <w:szCs w:val="20"/>
              </w:rPr>
            </w:pPr>
            <w:r w:rsidRPr="001019A9">
              <w:rPr>
                <w:rFonts w:ascii="Arial Narrow" w:hAnsi="Arial Narrow"/>
                <w:sz w:val="20"/>
                <w:szCs w:val="20"/>
              </w:rPr>
              <w:t xml:space="preserve">Applications for authority to prescribe should be forwarded to: </w:t>
            </w:r>
          </w:p>
          <w:p w:rsidR="001019A9" w:rsidRPr="001019A9" w:rsidRDefault="001019A9" w:rsidP="008B1EA4">
            <w:pPr>
              <w:pStyle w:val="Default"/>
              <w:rPr>
                <w:rFonts w:ascii="Arial Narrow" w:hAnsi="Arial Narrow"/>
                <w:sz w:val="20"/>
                <w:szCs w:val="20"/>
              </w:rPr>
            </w:pPr>
            <w:r w:rsidRPr="001019A9">
              <w:rPr>
                <w:rFonts w:ascii="Arial Narrow" w:hAnsi="Arial Narrow"/>
                <w:sz w:val="20"/>
                <w:szCs w:val="20"/>
              </w:rPr>
              <w:t xml:space="preserve">Department of Human Services </w:t>
            </w:r>
          </w:p>
          <w:p w:rsidR="001019A9" w:rsidRPr="001019A9" w:rsidRDefault="001019A9" w:rsidP="008B1EA4">
            <w:pPr>
              <w:pStyle w:val="Default"/>
              <w:rPr>
                <w:rFonts w:ascii="Arial Narrow" w:hAnsi="Arial Narrow"/>
                <w:sz w:val="20"/>
                <w:szCs w:val="20"/>
              </w:rPr>
            </w:pPr>
            <w:r w:rsidRPr="001019A9">
              <w:rPr>
                <w:rFonts w:ascii="Arial Narrow" w:hAnsi="Arial Narrow"/>
                <w:sz w:val="20"/>
                <w:szCs w:val="20"/>
              </w:rPr>
              <w:t xml:space="preserve">Prior Written Approval of Complex Drugs </w:t>
            </w:r>
          </w:p>
          <w:p w:rsidR="001019A9" w:rsidRPr="001019A9" w:rsidRDefault="001019A9" w:rsidP="008B1EA4">
            <w:pPr>
              <w:pStyle w:val="Default"/>
              <w:rPr>
                <w:rFonts w:ascii="Arial Narrow" w:hAnsi="Arial Narrow"/>
                <w:sz w:val="20"/>
                <w:szCs w:val="20"/>
              </w:rPr>
            </w:pPr>
            <w:r w:rsidRPr="001019A9">
              <w:rPr>
                <w:rFonts w:ascii="Arial Narrow" w:hAnsi="Arial Narrow"/>
                <w:sz w:val="20"/>
                <w:szCs w:val="20"/>
              </w:rPr>
              <w:t xml:space="preserve">Reply Paid 9826 </w:t>
            </w:r>
          </w:p>
          <w:p w:rsidR="001019A9" w:rsidRPr="001019A9" w:rsidRDefault="001019A9" w:rsidP="008B1EA4">
            <w:pPr>
              <w:pStyle w:val="Default"/>
              <w:rPr>
                <w:rFonts w:ascii="Arial Narrow" w:hAnsi="Arial Narrow"/>
                <w:sz w:val="20"/>
                <w:szCs w:val="20"/>
              </w:rPr>
            </w:pPr>
            <w:r w:rsidRPr="001019A9">
              <w:rPr>
                <w:rFonts w:ascii="Arial Narrow" w:hAnsi="Arial Narrow"/>
                <w:sz w:val="20"/>
                <w:szCs w:val="20"/>
              </w:rPr>
              <w:t xml:space="preserve">GPO Box 9826 </w:t>
            </w:r>
          </w:p>
          <w:p w:rsidR="001019A9" w:rsidRPr="001019A9" w:rsidRDefault="001019A9" w:rsidP="001019A9">
            <w:pPr>
              <w:pStyle w:val="Default"/>
              <w:rPr>
                <w:rFonts w:ascii="Arial Narrow" w:hAnsi="Arial Narrow"/>
                <w:sz w:val="20"/>
                <w:szCs w:val="20"/>
              </w:rPr>
            </w:pPr>
            <w:r w:rsidRPr="001019A9">
              <w:rPr>
                <w:rFonts w:ascii="Arial Narrow" w:hAnsi="Arial Narrow"/>
                <w:sz w:val="20"/>
                <w:szCs w:val="20"/>
              </w:rPr>
              <w:t xml:space="preserve">HOBART TAS 7001 </w:t>
            </w:r>
          </w:p>
          <w:p w:rsidR="001019A9" w:rsidRPr="001019A9" w:rsidRDefault="001019A9" w:rsidP="001019A9">
            <w:pPr>
              <w:pStyle w:val="Default"/>
              <w:rPr>
                <w:rFonts w:ascii="Arial Narrow" w:hAnsi="Arial Narrow"/>
                <w:sz w:val="20"/>
                <w:szCs w:val="20"/>
              </w:rPr>
            </w:pPr>
          </w:p>
          <w:p w:rsidR="00A31255" w:rsidRPr="0047082B" w:rsidRDefault="00A31255" w:rsidP="00A31255">
            <w:pPr>
              <w:rPr>
                <w:rFonts w:ascii="Arial Narrow" w:hAnsi="Arial Narrow"/>
                <w:sz w:val="20"/>
              </w:rPr>
            </w:pPr>
            <w:r w:rsidRPr="0047082B">
              <w:rPr>
                <w:rFonts w:ascii="Arial Narrow" w:hAnsi="Arial Narrow"/>
                <w:sz w:val="20"/>
              </w:rPr>
              <w:t xml:space="preserve">Patients are eligible for PBS-subsidised treatment with only one of </w:t>
            </w:r>
            <w:r w:rsidR="008F6778">
              <w:rPr>
                <w:rFonts w:ascii="Arial Narrow" w:hAnsi="Arial Narrow"/>
                <w:sz w:val="20"/>
              </w:rPr>
              <w:t xml:space="preserve">imatinib, </w:t>
            </w:r>
            <w:r w:rsidRPr="0047082B">
              <w:rPr>
                <w:rFonts w:ascii="Arial Narrow" w:hAnsi="Arial Narrow"/>
                <w:sz w:val="20"/>
              </w:rPr>
              <w:t xml:space="preserve">dasatinib, nilotinib or ponatinib at any one time and must not be receiving concomitant interferon alfa therapy. </w:t>
            </w:r>
          </w:p>
          <w:p w:rsidR="00A31255" w:rsidRPr="0047082B" w:rsidRDefault="00A31255" w:rsidP="00A31255">
            <w:pPr>
              <w:rPr>
                <w:rFonts w:ascii="Arial Narrow" w:hAnsi="Arial Narrow"/>
                <w:sz w:val="20"/>
              </w:rPr>
            </w:pPr>
          </w:p>
          <w:p w:rsidR="00A31255" w:rsidRPr="0047082B" w:rsidRDefault="00A31255" w:rsidP="00A31255">
            <w:pPr>
              <w:rPr>
                <w:rFonts w:ascii="Arial Narrow" w:hAnsi="Arial Narrow"/>
                <w:sz w:val="20"/>
              </w:rPr>
            </w:pPr>
            <w:r w:rsidRPr="0047082B">
              <w:rPr>
                <w:rFonts w:ascii="Arial Narrow" w:hAnsi="Arial Narrow"/>
                <w:sz w:val="20"/>
              </w:rPr>
              <w:t>1. Continuing treatment</w:t>
            </w:r>
          </w:p>
          <w:p w:rsidR="00A31255" w:rsidRPr="00A31255" w:rsidRDefault="00A31255" w:rsidP="00A31255">
            <w:pPr>
              <w:rPr>
                <w:rFonts w:ascii="Arial Narrow" w:hAnsi="Arial Narrow"/>
                <w:b/>
                <w:sz w:val="20"/>
              </w:rPr>
            </w:pPr>
            <w:r w:rsidRPr="00A31255">
              <w:rPr>
                <w:rFonts w:ascii="Arial Narrow" w:hAnsi="Arial Narrow"/>
                <w:b/>
                <w:sz w:val="20"/>
              </w:rPr>
              <w:t xml:space="preserve">First continuing applications are to be written, at which time patients in whom a major cytogenetic response or peripheral blood BCR-ABL level of less than 1% has been demonstrated may receive authorisation for a further 12 months of treatment. </w:t>
            </w:r>
          </w:p>
          <w:p w:rsidR="00A31255" w:rsidRPr="00A31255" w:rsidRDefault="00A31255" w:rsidP="00A31255">
            <w:pPr>
              <w:rPr>
                <w:rFonts w:ascii="Arial Narrow" w:hAnsi="Arial Narrow"/>
                <w:b/>
                <w:sz w:val="20"/>
              </w:rPr>
            </w:pPr>
            <w:r w:rsidRPr="00A31255">
              <w:rPr>
                <w:rFonts w:ascii="Arial Narrow" w:hAnsi="Arial Narrow"/>
                <w:b/>
                <w:sz w:val="20"/>
              </w:rPr>
              <w:t xml:space="preserve">Subsequent authority applications for continuing therapy may be made by telephoning the Department of Human Services on 1800 700 270 (hours of operation 8 a.m. to 5 p.m. EST Monday to Friday). </w:t>
            </w:r>
          </w:p>
          <w:p w:rsidR="00A31255" w:rsidRPr="0047082B" w:rsidRDefault="00A31255" w:rsidP="00A31255">
            <w:pPr>
              <w:rPr>
                <w:rFonts w:ascii="Arial Narrow" w:hAnsi="Arial Narrow"/>
                <w:sz w:val="20"/>
              </w:rPr>
            </w:pPr>
          </w:p>
          <w:p w:rsidR="00A31255" w:rsidRPr="001019A9" w:rsidRDefault="00A31255" w:rsidP="00A31255">
            <w:pPr>
              <w:rPr>
                <w:rFonts w:ascii="Arial Narrow" w:hAnsi="Arial Narrow"/>
                <w:sz w:val="20"/>
              </w:rPr>
            </w:pPr>
            <w:r w:rsidRPr="001019A9">
              <w:rPr>
                <w:rFonts w:ascii="Arial Narrow" w:hAnsi="Arial Narrow"/>
                <w:sz w:val="20"/>
              </w:rPr>
              <w:t>2. Authority approval requirements.</w:t>
            </w:r>
          </w:p>
          <w:p w:rsidR="00A31255" w:rsidRPr="001019A9" w:rsidRDefault="00A31255" w:rsidP="00A31255">
            <w:pPr>
              <w:rPr>
                <w:rFonts w:ascii="Arial Narrow" w:hAnsi="Arial Narrow"/>
                <w:sz w:val="20"/>
              </w:rPr>
            </w:pPr>
            <w:r w:rsidRPr="001019A9">
              <w:rPr>
                <w:rFonts w:ascii="Arial Narrow" w:hAnsi="Arial Narrow"/>
                <w:sz w:val="20"/>
              </w:rPr>
              <w:t xml:space="preserve">Response criteria to </w:t>
            </w:r>
            <w:r w:rsidR="008F6778" w:rsidRPr="008F6778">
              <w:rPr>
                <w:rFonts w:ascii="Arial Narrow" w:hAnsi="Arial Narrow"/>
                <w:b/>
                <w:strike/>
                <w:sz w:val="20"/>
              </w:rPr>
              <w:t>initial</w:t>
            </w:r>
            <w:r w:rsidR="008F6778">
              <w:rPr>
                <w:rFonts w:ascii="Arial Narrow" w:hAnsi="Arial Narrow"/>
                <w:sz w:val="20"/>
              </w:rPr>
              <w:t xml:space="preserve"> </w:t>
            </w:r>
            <w:r w:rsidRPr="001019A9">
              <w:rPr>
                <w:rFonts w:ascii="Arial Narrow" w:hAnsi="Arial Narrow"/>
                <w:sz w:val="20"/>
              </w:rPr>
              <w:t>treatment with ponatinib:</w:t>
            </w:r>
          </w:p>
          <w:p w:rsidR="00A31255" w:rsidRPr="001019A9" w:rsidRDefault="00A31255" w:rsidP="00A31255">
            <w:pPr>
              <w:rPr>
                <w:rFonts w:ascii="Arial Narrow" w:hAnsi="Arial Narrow"/>
                <w:sz w:val="20"/>
              </w:rPr>
            </w:pPr>
            <w:r w:rsidRPr="001019A9">
              <w:rPr>
                <w:rFonts w:ascii="Arial Narrow" w:hAnsi="Arial Narrow"/>
                <w:sz w:val="20"/>
              </w:rPr>
              <w:t>For the purposes of assessing response to PBS-subsidised treatment with ponatinib, either cytogenetic analysis indicating the number of Philadelphia positive [t (9;22)] cells in the bone marrow measured by standard karyotyping, or quantitative PCR indicating the relative level of BCR-ABL transcript in the peripheral blood using the international scale, must be submitted. For bone marrow analyses, where the standard karyotyping is not informative for technical reasons, a cytogenetic analysis performed on the bone marrow by the use of fluorescence in situ hybridisation (FISH) with BCR-ABL specific probe must be submitted. The cytogenetic or peripheral blood quantitative PCR analyses must be submitted within 18 months of the commencement of treatment with</w:t>
            </w:r>
            <w:r>
              <w:rPr>
                <w:rFonts w:ascii="Arial Narrow" w:hAnsi="Arial Narrow"/>
                <w:sz w:val="20"/>
              </w:rPr>
              <w:t xml:space="preserve"> </w:t>
            </w:r>
            <w:r w:rsidRPr="00A31255">
              <w:rPr>
                <w:rFonts w:ascii="Arial Narrow" w:hAnsi="Arial Narrow"/>
                <w:b/>
                <w:strike/>
                <w:sz w:val="20"/>
              </w:rPr>
              <w:t>dasatinib, nilotinib or</w:t>
            </w:r>
            <w:r w:rsidRPr="001019A9">
              <w:rPr>
                <w:rFonts w:ascii="Arial Narrow" w:hAnsi="Arial Narrow"/>
                <w:sz w:val="20"/>
              </w:rPr>
              <w:t xml:space="preserve"> ponatinib (patients in whom a major cytogenetic response or peripheral blood BCR-ABL level of less than 1% is demonstrable by 18 months are eligible to receive </w:t>
            </w:r>
            <w:r w:rsidRPr="008F6778">
              <w:rPr>
                <w:rFonts w:ascii="Arial Narrow" w:hAnsi="Arial Narrow"/>
                <w:b/>
                <w:sz w:val="20"/>
              </w:rPr>
              <w:t>first</w:t>
            </w:r>
            <w:r w:rsidRPr="001019A9">
              <w:rPr>
                <w:rFonts w:ascii="Arial Narrow" w:hAnsi="Arial Narrow"/>
                <w:sz w:val="20"/>
              </w:rPr>
              <w:t xml:space="preserve"> continuing treatment with </w:t>
            </w:r>
            <w:r w:rsidR="008F6778" w:rsidRPr="008F6778">
              <w:rPr>
                <w:rFonts w:ascii="Arial Narrow" w:hAnsi="Arial Narrow"/>
                <w:b/>
                <w:strike/>
                <w:sz w:val="20"/>
              </w:rPr>
              <w:t>that agent</w:t>
            </w:r>
            <w:r w:rsidR="008F6778">
              <w:rPr>
                <w:rFonts w:ascii="Arial Narrow" w:hAnsi="Arial Narrow"/>
                <w:sz w:val="20"/>
              </w:rPr>
              <w:t xml:space="preserve"> </w:t>
            </w:r>
            <w:r w:rsidRPr="008F6778">
              <w:rPr>
                <w:rFonts w:ascii="Arial Narrow" w:hAnsi="Arial Narrow"/>
                <w:b/>
                <w:sz w:val="20"/>
              </w:rPr>
              <w:t>this drug</w:t>
            </w:r>
            <w:r w:rsidRPr="001019A9">
              <w:rPr>
                <w:rFonts w:ascii="Arial Narrow" w:hAnsi="Arial Narrow"/>
                <w:sz w:val="20"/>
              </w:rPr>
              <w:t xml:space="preserve">). </w:t>
            </w:r>
          </w:p>
          <w:p w:rsidR="00A31255" w:rsidRPr="00A31255" w:rsidRDefault="00A31255" w:rsidP="00A31255">
            <w:pPr>
              <w:rPr>
                <w:rFonts w:ascii="Arial Narrow" w:hAnsi="Arial Narrow"/>
                <w:b/>
                <w:sz w:val="20"/>
              </w:rPr>
            </w:pPr>
            <w:r w:rsidRPr="00A31255">
              <w:rPr>
                <w:rFonts w:ascii="Arial Narrow" w:hAnsi="Arial Narrow"/>
                <w:b/>
                <w:sz w:val="20"/>
              </w:rPr>
              <w:t>Thereafter, at no greater than 12 month intervals a major cytogenetic response or a peripheral blood BCR-ABL level of less than 1% must be sustained to receive subsequent continuing treatments with this drug.</w:t>
            </w:r>
          </w:p>
          <w:p w:rsidR="00A31255" w:rsidRPr="001019A9" w:rsidRDefault="00A31255" w:rsidP="00A31255">
            <w:pPr>
              <w:rPr>
                <w:rFonts w:ascii="Arial Narrow" w:hAnsi="Arial Narrow"/>
                <w:sz w:val="20"/>
              </w:rPr>
            </w:pPr>
          </w:p>
          <w:p w:rsidR="00A31255" w:rsidRPr="001019A9" w:rsidRDefault="00A31255" w:rsidP="00A31255">
            <w:pPr>
              <w:rPr>
                <w:rFonts w:ascii="Arial Narrow" w:hAnsi="Arial Narrow"/>
                <w:sz w:val="20"/>
              </w:rPr>
            </w:pPr>
            <w:r w:rsidRPr="001019A9">
              <w:rPr>
                <w:rFonts w:ascii="Arial Narrow" w:hAnsi="Arial Narrow"/>
                <w:sz w:val="20"/>
              </w:rPr>
              <w:t>3. Definitions of response.</w:t>
            </w:r>
          </w:p>
          <w:p w:rsidR="00A31255" w:rsidRPr="001019A9" w:rsidRDefault="00A31255" w:rsidP="00A31255">
            <w:pPr>
              <w:rPr>
                <w:rFonts w:ascii="Arial Narrow" w:hAnsi="Arial Narrow"/>
                <w:sz w:val="20"/>
              </w:rPr>
            </w:pPr>
            <w:r w:rsidRPr="001019A9">
              <w:rPr>
                <w:rFonts w:ascii="Arial Narrow" w:hAnsi="Arial Narrow"/>
                <w:sz w:val="20"/>
              </w:rPr>
              <w:t xml:space="preserve">A major cytogenetic response is defined as less than 35% Philadelphia positive bone marrow cells. </w:t>
            </w:r>
          </w:p>
          <w:p w:rsidR="00A31255" w:rsidRDefault="00A31255" w:rsidP="00A31255">
            <w:pPr>
              <w:rPr>
                <w:rFonts w:ascii="Arial Narrow" w:hAnsi="Arial Narrow"/>
                <w:sz w:val="20"/>
              </w:rPr>
            </w:pPr>
            <w:r w:rsidRPr="001019A9">
              <w:rPr>
                <w:rFonts w:ascii="Arial Narrow" w:hAnsi="Arial Narrow"/>
                <w:sz w:val="20"/>
              </w:rPr>
              <w:t xml:space="preserve">A peripheral blood BCR-ABL level of less than 1% on the international scale (Blood 108: 28-37, 2006) also indicates a response, at least the biological equivalent of a major cytogenetic response. </w:t>
            </w:r>
          </w:p>
          <w:p w:rsidR="00A31255" w:rsidRPr="001019A9" w:rsidRDefault="00A31255" w:rsidP="00A31255">
            <w:pPr>
              <w:rPr>
                <w:rFonts w:ascii="Arial Narrow" w:hAnsi="Arial Narrow"/>
                <w:sz w:val="20"/>
              </w:rPr>
            </w:pPr>
          </w:p>
          <w:p w:rsidR="00A31255" w:rsidRPr="001019A9" w:rsidRDefault="00A31255" w:rsidP="00A31255">
            <w:pPr>
              <w:rPr>
                <w:rFonts w:ascii="Arial Narrow" w:hAnsi="Arial Narrow"/>
                <w:sz w:val="20"/>
              </w:rPr>
            </w:pPr>
            <w:r w:rsidRPr="001019A9">
              <w:rPr>
                <w:rFonts w:ascii="Arial Narrow" w:hAnsi="Arial Narrow"/>
                <w:sz w:val="20"/>
              </w:rPr>
              <w:t>4. Definitions of loss of response.</w:t>
            </w:r>
          </w:p>
          <w:p w:rsidR="00A31255" w:rsidRPr="001019A9" w:rsidRDefault="00A31255" w:rsidP="00A31255">
            <w:pPr>
              <w:rPr>
                <w:rFonts w:ascii="Arial Narrow" w:hAnsi="Arial Narrow"/>
                <w:sz w:val="20"/>
              </w:rPr>
            </w:pPr>
            <w:r w:rsidRPr="001019A9">
              <w:rPr>
                <w:rFonts w:ascii="Arial Narrow" w:hAnsi="Arial Narrow"/>
                <w:sz w:val="20"/>
              </w:rPr>
              <w:t xml:space="preserve">Loss of a previously documented major cytogenetic response (demonstrated by the presence of greater than 35% Ph positive cells on bone marrow biopsy), during ongoing tyrosine kinase inhibitor therapy. </w:t>
            </w:r>
          </w:p>
          <w:p w:rsidR="001019A9" w:rsidRPr="001019A9" w:rsidRDefault="00A31255" w:rsidP="00A31255">
            <w:pPr>
              <w:pStyle w:val="Default"/>
              <w:rPr>
                <w:rFonts w:ascii="Arial Narrow" w:hAnsi="Arial Narrow"/>
                <w:i/>
                <w:sz w:val="20"/>
                <w:szCs w:val="20"/>
              </w:rPr>
            </w:pPr>
            <w:r w:rsidRPr="001019A9">
              <w:rPr>
                <w:rFonts w:ascii="Arial Narrow" w:hAnsi="Arial Narrow" w:cs="Times New Roman"/>
                <w:color w:val="auto"/>
                <w:sz w:val="20"/>
              </w:rPr>
              <w:t>Loss of a previously demonstrated molecular response (demonstrated by peripheral blood BCR-ABL levels increasing consecutively in value by at least 5 fold to a level of greater than 0.1% confirmed on a subsequent test), during ongoing tyrosine kinase inhibitor therapy.</w:t>
            </w:r>
          </w:p>
        </w:tc>
      </w:tr>
    </w:tbl>
    <w:p w:rsidR="00A75EA5" w:rsidRPr="00FD28F5" w:rsidRDefault="00A75EA5" w:rsidP="00165A21">
      <w:pPr>
        <w:pStyle w:val="NoSpacing"/>
        <w:rPr>
          <w:rFonts w:eastAsiaTheme="majorEastAsia"/>
          <w:lang w:eastAsia="en-US"/>
        </w:rPr>
      </w:pPr>
    </w:p>
    <w:p w:rsidR="00A75EA5" w:rsidRDefault="00A75EA5">
      <w:pPr>
        <w:rPr>
          <w:rFonts w:ascii="Arial" w:eastAsiaTheme="majorEastAsia" w:hAnsi="Arial"/>
          <w:sz w:val="22"/>
          <w:szCs w:val="22"/>
          <w:lang w:eastAsia="en-US"/>
        </w:rPr>
      </w:pPr>
    </w:p>
    <w:p w:rsidR="00165A21" w:rsidRPr="003B1FC4" w:rsidRDefault="00A31255" w:rsidP="003B1FC4">
      <w:pPr>
        <w:pStyle w:val="ListParagraph"/>
        <w:numPr>
          <w:ilvl w:val="1"/>
          <w:numId w:val="5"/>
        </w:numPr>
        <w:rPr>
          <w:rFonts w:asciiTheme="minorHAnsi" w:hAnsiTheme="minorHAnsi"/>
          <w:bCs/>
          <w:sz w:val="24"/>
          <w:szCs w:val="24"/>
        </w:rPr>
      </w:pPr>
      <w:r w:rsidRPr="00B1527D">
        <w:rPr>
          <w:rFonts w:asciiTheme="minorHAnsi" w:hAnsiTheme="minorHAnsi"/>
          <w:bCs/>
          <w:sz w:val="24"/>
          <w:szCs w:val="24"/>
        </w:rPr>
        <w:t xml:space="preserve">Add new </w:t>
      </w:r>
      <w:r w:rsidR="003B1FC4">
        <w:rPr>
          <w:rFonts w:asciiTheme="minorHAnsi" w:hAnsiTheme="minorHAnsi"/>
          <w:bCs/>
          <w:sz w:val="24"/>
          <w:szCs w:val="24"/>
        </w:rPr>
        <w:t>restriction</w:t>
      </w:r>
      <w:r w:rsidR="00067040" w:rsidRPr="00B1527D">
        <w:rPr>
          <w:rFonts w:asciiTheme="minorHAnsi" w:hAnsiTheme="minorHAnsi"/>
          <w:bCs/>
          <w:sz w:val="24"/>
          <w:szCs w:val="24"/>
        </w:rPr>
        <w:t>:</w:t>
      </w:r>
    </w:p>
    <w:tbl>
      <w:tblPr>
        <w:tblW w:w="4966" w:type="pct"/>
        <w:tblLook w:val="0000" w:firstRow="0" w:lastRow="0" w:firstColumn="0" w:lastColumn="0" w:noHBand="0" w:noVBand="0"/>
      </w:tblPr>
      <w:tblGrid>
        <w:gridCol w:w="2271"/>
        <w:gridCol w:w="6684"/>
      </w:tblGrid>
      <w:tr w:rsidR="00165A21" w:rsidRPr="00CB29EA" w:rsidTr="00816D1B">
        <w:trPr>
          <w:cantSplit/>
          <w:trHeight w:val="199"/>
        </w:trPr>
        <w:tc>
          <w:tcPr>
            <w:tcW w:w="1268"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rPr>
                <w:rStyle w:val="SmallBold"/>
                <w:rFonts w:ascii="Arial Narrow" w:hAnsi="Arial Narrow"/>
                <w:szCs w:val="20"/>
              </w:rPr>
            </w:pPr>
            <w:r w:rsidRPr="00CB29EA">
              <w:rPr>
                <w:rStyle w:val="SmallBold"/>
                <w:rFonts w:ascii="Arial Narrow" w:hAnsi="Arial Narrow"/>
                <w:szCs w:val="20"/>
              </w:rPr>
              <w:t>Category / program</w:t>
            </w:r>
          </w:p>
        </w:tc>
        <w:tc>
          <w:tcPr>
            <w:tcW w:w="3732"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rPr>
                <w:rFonts w:ascii="Arial Narrow" w:hAnsi="Arial Narrow"/>
                <w:szCs w:val="20"/>
              </w:rPr>
            </w:pPr>
            <w:r w:rsidRPr="00CB29EA">
              <w:rPr>
                <w:rFonts w:ascii="Arial Narrow" w:hAnsi="Arial Narrow"/>
                <w:szCs w:val="20"/>
              </w:rPr>
              <w:t>General Schedule</w:t>
            </w:r>
          </w:p>
        </w:tc>
      </w:tr>
      <w:tr w:rsidR="00165A21" w:rsidRPr="00CB29EA" w:rsidTr="00816D1B">
        <w:trPr>
          <w:cantSplit/>
          <w:trHeight w:val="487"/>
        </w:trPr>
        <w:tc>
          <w:tcPr>
            <w:tcW w:w="1268"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rPr>
                <w:rStyle w:val="SmallBold"/>
                <w:rFonts w:ascii="Arial Narrow" w:hAnsi="Arial Narrow"/>
                <w:szCs w:val="20"/>
              </w:rPr>
            </w:pPr>
            <w:r w:rsidRPr="00CB29EA">
              <w:rPr>
                <w:rStyle w:val="SmallBold"/>
                <w:rFonts w:ascii="Arial Narrow" w:hAnsi="Arial Narrow"/>
                <w:szCs w:val="20"/>
              </w:rPr>
              <w:t>Prescriber type</w:t>
            </w:r>
          </w:p>
        </w:tc>
        <w:tc>
          <w:tcPr>
            <w:tcW w:w="3732" w:type="pct"/>
            <w:tcBorders>
              <w:top w:val="single" w:sz="4" w:space="0" w:color="auto"/>
              <w:left w:val="single" w:sz="4" w:space="0" w:color="auto"/>
              <w:bottom w:val="single" w:sz="4" w:space="0" w:color="auto"/>
              <w:right w:val="single" w:sz="4" w:space="0" w:color="auto"/>
            </w:tcBorders>
            <w:shd w:val="clear" w:color="auto" w:fill="auto"/>
          </w:tcPr>
          <w:p w:rsidR="00165A21" w:rsidRPr="00CB29EA" w:rsidRDefault="00165A21" w:rsidP="00816D1B">
            <w:pPr>
              <w:pStyle w:val="TableLeft"/>
              <w:rPr>
                <w:rFonts w:ascii="Arial Narrow" w:hAnsi="Arial Narrow"/>
                <w:szCs w:val="20"/>
              </w:rPr>
            </w:pP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Dental  </w:t>
            </w:r>
            <w:r w:rsidRPr="00CB29EA">
              <w:rPr>
                <w:rFonts w:ascii="Arial Narrow" w:hAnsi="Arial Narrow"/>
                <w:szCs w:val="20"/>
              </w:rPr>
              <w:fldChar w:fldCharType="begin">
                <w:ffData>
                  <w:name w:val=""/>
                  <w:enabled/>
                  <w:calcOnExit w:val="0"/>
                  <w:checkBox>
                    <w:sizeAuto/>
                    <w:default w:val="1"/>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Medical Practitioners  </w:t>
            </w: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Nurse Practitioners</w:t>
            </w:r>
          </w:p>
          <w:p w:rsidR="00165A21" w:rsidRPr="00CB29EA" w:rsidRDefault="00165A21" w:rsidP="00816D1B">
            <w:pPr>
              <w:pStyle w:val="TableLeft"/>
              <w:rPr>
                <w:rFonts w:ascii="Arial Narrow" w:hAnsi="Arial Narrow"/>
                <w:szCs w:val="20"/>
              </w:rPr>
            </w:pP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 xml:space="preserve">Optometrists  </w:t>
            </w:r>
            <w:r w:rsidRPr="00CB29EA">
              <w:rPr>
                <w:rFonts w:ascii="Arial Narrow" w:hAnsi="Arial Narrow"/>
                <w:szCs w:val="20"/>
              </w:rPr>
              <w:fldChar w:fldCharType="begin">
                <w:ffData>
                  <w:name w:val="Check1"/>
                  <w:enabled/>
                  <w:calcOnExit w:val="0"/>
                  <w:checkBox>
                    <w:sizeAuto/>
                    <w:default w:val="0"/>
                  </w:checkBox>
                </w:ffData>
              </w:fldChar>
            </w:r>
            <w:r w:rsidRPr="00CB29EA">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CB29EA">
              <w:rPr>
                <w:rFonts w:ascii="Arial Narrow" w:hAnsi="Arial Narrow"/>
                <w:szCs w:val="20"/>
              </w:rPr>
              <w:fldChar w:fldCharType="end"/>
            </w:r>
            <w:r w:rsidRPr="00CB29EA">
              <w:rPr>
                <w:rFonts w:ascii="Arial Narrow" w:hAnsi="Arial Narrow"/>
                <w:szCs w:val="20"/>
              </w:rPr>
              <w:t>Midwives</w:t>
            </w:r>
          </w:p>
        </w:tc>
      </w:tr>
      <w:tr w:rsidR="00165A21" w:rsidRPr="00CB29EA" w:rsidTr="00816D1B">
        <w:trPr>
          <w:cantSplit/>
          <w:trHeight w:val="190"/>
        </w:trPr>
        <w:tc>
          <w:tcPr>
            <w:tcW w:w="1268"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rPr>
                <w:rStyle w:val="SmallBold"/>
                <w:rFonts w:ascii="Arial Narrow" w:hAnsi="Arial Narrow"/>
                <w:szCs w:val="20"/>
              </w:rPr>
            </w:pPr>
            <w:r w:rsidRPr="00CB29EA">
              <w:rPr>
                <w:rStyle w:val="SmallBold"/>
                <w:rFonts w:ascii="Arial Narrow" w:hAnsi="Arial Narrow"/>
                <w:szCs w:val="20"/>
              </w:rPr>
              <w:t>Episodicity:</w:t>
            </w:r>
          </w:p>
        </w:tc>
        <w:tc>
          <w:tcPr>
            <w:tcW w:w="3732"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rPr>
                <w:rFonts w:ascii="Arial Narrow" w:hAnsi="Arial Narrow"/>
                <w:szCs w:val="20"/>
              </w:rPr>
            </w:pPr>
            <w:r>
              <w:rPr>
                <w:rFonts w:ascii="Arial Narrow" w:hAnsi="Arial Narrow"/>
                <w:szCs w:val="20"/>
              </w:rPr>
              <w:t>Chronic</w:t>
            </w:r>
          </w:p>
        </w:tc>
      </w:tr>
      <w:tr w:rsidR="00165A21" w:rsidRPr="00CB29EA" w:rsidTr="00816D1B">
        <w:trPr>
          <w:cantSplit/>
          <w:trHeight w:val="163"/>
        </w:trPr>
        <w:tc>
          <w:tcPr>
            <w:tcW w:w="1268"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rPr>
                <w:rStyle w:val="SmallBold"/>
                <w:rFonts w:ascii="Arial Narrow" w:hAnsi="Arial Narrow"/>
                <w:szCs w:val="20"/>
              </w:rPr>
            </w:pPr>
            <w:r w:rsidRPr="00CB29EA">
              <w:rPr>
                <w:rStyle w:val="SmallBold"/>
                <w:rFonts w:ascii="Arial Narrow" w:hAnsi="Arial Narrow"/>
                <w:szCs w:val="20"/>
              </w:rPr>
              <w:t>Condition:</w:t>
            </w:r>
          </w:p>
        </w:tc>
        <w:tc>
          <w:tcPr>
            <w:tcW w:w="3732"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rPr>
                <w:rFonts w:ascii="Arial Narrow" w:hAnsi="Arial Narrow"/>
                <w:szCs w:val="20"/>
              </w:rPr>
            </w:pPr>
            <w:r>
              <w:rPr>
                <w:rFonts w:ascii="Arial Narrow" w:hAnsi="Arial Narrow"/>
                <w:szCs w:val="20"/>
              </w:rPr>
              <w:t>Myeloid leukaemia</w:t>
            </w:r>
          </w:p>
        </w:tc>
      </w:tr>
      <w:tr w:rsidR="00165A21" w:rsidRPr="00CB29EA" w:rsidTr="00816D1B">
        <w:trPr>
          <w:cantSplit/>
          <w:trHeight w:val="208"/>
        </w:trPr>
        <w:tc>
          <w:tcPr>
            <w:tcW w:w="1268"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rPr>
                <w:rStyle w:val="SmallBold"/>
                <w:rFonts w:ascii="Arial Narrow" w:hAnsi="Arial Narrow"/>
                <w:szCs w:val="20"/>
              </w:rPr>
            </w:pPr>
            <w:r w:rsidRPr="00CB29EA">
              <w:rPr>
                <w:rStyle w:val="SmallBold"/>
                <w:rFonts w:ascii="Arial Narrow" w:hAnsi="Arial Narrow"/>
                <w:szCs w:val="20"/>
              </w:rPr>
              <w:t>PBS Indication:</w:t>
            </w:r>
          </w:p>
        </w:tc>
        <w:tc>
          <w:tcPr>
            <w:tcW w:w="3732"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rPr>
                <w:rFonts w:ascii="Arial Narrow" w:hAnsi="Arial Narrow"/>
                <w:szCs w:val="20"/>
              </w:rPr>
            </w:pPr>
            <w:r>
              <w:rPr>
                <w:rFonts w:ascii="Arial Narrow" w:hAnsi="Arial Narrow"/>
                <w:szCs w:val="20"/>
              </w:rPr>
              <w:t>Chronic myeloid leukaemia (CML)</w:t>
            </w:r>
          </w:p>
        </w:tc>
      </w:tr>
      <w:tr w:rsidR="00165A21" w:rsidRPr="00CB29EA" w:rsidTr="00816D1B">
        <w:trPr>
          <w:cantSplit/>
          <w:trHeight w:val="253"/>
        </w:trPr>
        <w:tc>
          <w:tcPr>
            <w:tcW w:w="1268"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rPr>
                <w:rStyle w:val="SmallBold"/>
                <w:rFonts w:ascii="Arial Narrow" w:hAnsi="Arial Narrow"/>
                <w:szCs w:val="20"/>
              </w:rPr>
            </w:pPr>
            <w:r w:rsidRPr="00CB29EA">
              <w:rPr>
                <w:rStyle w:val="SmallBold"/>
                <w:rFonts w:ascii="Arial Narrow" w:hAnsi="Arial Narrow"/>
                <w:szCs w:val="20"/>
              </w:rPr>
              <w:t>Treatment phase:</w:t>
            </w:r>
          </w:p>
        </w:tc>
        <w:tc>
          <w:tcPr>
            <w:tcW w:w="3732" w:type="pct"/>
            <w:tcBorders>
              <w:top w:val="single" w:sz="4" w:space="0" w:color="auto"/>
              <w:left w:val="single" w:sz="4" w:space="0" w:color="auto"/>
              <w:bottom w:val="single" w:sz="4" w:space="0" w:color="auto"/>
              <w:right w:val="single" w:sz="4" w:space="0" w:color="auto"/>
            </w:tcBorders>
          </w:tcPr>
          <w:p w:rsidR="00165A21" w:rsidRPr="001C384B" w:rsidRDefault="00165A21" w:rsidP="00816D1B">
            <w:pPr>
              <w:pStyle w:val="TableLeft"/>
              <w:rPr>
                <w:rFonts w:ascii="Arial Narrow" w:hAnsi="Arial Narrow"/>
                <w:szCs w:val="20"/>
              </w:rPr>
            </w:pPr>
            <w:r w:rsidRPr="001C384B">
              <w:rPr>
                <w:rFonts w:ascii="Arial Narrow" w:hAnsi="Arial Narrow"/>
                <w:szCs w:val="20"/>
              </w:rPr>
              <w:t>Subsequent continuing treatment</w:t>
            </w:r>
          </w:p>
        </w:tc>
      </w:tr>
      <w:tr w:rsidR="00165A21" w:rsidRPr="00CB29EA" w:rsidTr="00816D1B">
        <w:trPr>
          <w:cantSplit/>
          <w:trHeight w:val="1378"/>
        </w:trPr>
        <w:tc>
          <w:tcPr>
            <w:tcW w:w="1268"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rPr>
                <w:rStyle w:val="SmallBold"/>
                <w:rFonts w:ascii="Arial Narrow" w:hAnsi="Arial Narrow"/>
                <w:szCs w:val="20"/>
              </w:rPr>
            </w:pPr>
            <w:r w:rsidRPr="00CB29EA">
              <w:rPr>
                <w:rStyle w:val="SmallBold"/>
                <w:rFonts w:ascii="Arial Narrow" w:hAnsi="Arial Narrow"/>
                <w:szCs w:val="20"/>
              </w:rPr>
              <w:t>Restriction</w:t>
            </w:r>
            <w:r>
              <w:rPr>
                <w:rStyle w:val="SmallBold"/>
                <w:rFonts w:ascii="Arial Narrow" w:hAnsi="Arial Narrow"/>
                <w:szCs w:val="20"/>
              </w:rPr>
              <w:t xml:space="preserve"> Level / Method</w:t>
            </w:r>
            <w:r w:rsidRPr="00CB29EA">
              <w:rPr>
                <w:rStyle w:val="SmallBold"/>
                <w:rFonts w:ascii="Arial Narrow" w:hAnsi="Arial Narrow"/>
                <w:szCs w:val="20"/>
              </w:rPr>
              <w:t>:</w:t>
            </w:r>
          </w:p>
          <w:p w:rsidR="00165A21" w:rsidRPr="00CB29EA" w:rsidRDefault="00165A21" w:rsidP="00816D1B">
            <w:pPr>
              <w:pStyle w:val="TableLeft"/>
              <w:rPr>
                <w:rStyle w:val="SmallBold"/>
                <w:rFonts w:ascii="Arial Narrow" w:hAnsi="Arial Narrow"/>
                <w:szCs w:val="20"/>
              </w:rPr>
            </w:pPr>
          </w:p>
        </w:tc>
        <w:tc>
          <w:tcPr>
            <w:tcW w:w="3732" w:type="pct"/>
            <w:tcBorders>
              <w:top w:val="single" w:sz="4" w:space="0" w:color="auto"/>
              <w:left w:val="single" w:sz="4" w:space="0" w:color="auto"/>
              <w:bottom w:val="single" w:sz="4" w:space="0" w:color="auto"/>
              <w:right w:val="single" w:sz="4" w:space="0" w:color="auto"/>
            </w:tcBorders>
            <w:shd w:val="clear" w:color="auto" w:fill="FFFFFF" w:themeFill="background1"/>
          </w:tcPr>
          <w:p w:rsidR="00165A21" w:rsidRPr="001C384B" w:rsidRDefault="00165A21" w:rsidP="00816D1B">
            <w:pPr>
              <w:pStyle w:val="TableLeft"/>
              <w:rPr>
                <w:rFonts w:ascii="Arial Narrow" w:hAnsi="Arial Narrow"/>
                <w:szCs w:val="20"/>
              </w:rPr>
            </w:pPr>
            <w:r w:rsidRPr="001C384B">
              <w:rPr>
                <w:rFonts w:ascii="Arial Narrow" w:hAnsi="Arial Narrow"/>
                <w:szCs w:val="20"/>
              </w:rPr>
              <w:fldChar w:fldCharType="begin">
                <w:ffData>
                  <w:name w:val="Check1"/>
                  <w:enabled/>
                  <w:calcOnExit w:val="0"/>
                  <w:checkBox>
                    <w:sizeAuto/>
                    <w:default w:val="0"/>
                  </w:checkBox>
                </w:ffData>
              </w:fldChar>
            </w:r>
            <w:r w:rsidRPr="001C384B">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1C384B">
              <w:rPr>
                <w:rFonts w:ascii="Arial Narrow" w:hAnsi="Arial Narrow"/>
                <w:szCs w:val="20"/>
              </w:rPr>
              <w:fldChar w:fldCharType="end"/>
            </w:r>
            <w:r w:rsidRPr="001C384B">
              <w:rPr>
                <w:rFonts w:ascii="Arial Narrow" w:hAnsi="Arial Narrow"/>
                <w:szCs w:val="20"/>
              </w:rPr>
              <w:t>Restricted benefit</w:t>
            </w:r>
          </w:p>
          <w:p w:rsidR="00165A21" w:rsidRPr="001C384B" w:rsidRDefault="00165A21" w:rsidP="00816D1B">
            <w:pPr>
              <w:pStyle w:val="TableLeft"/>
              <w:rPr>
                <w:rFonts w:ascii="Arial Narrow" w:hAnsi="Arial Narrow"/>
                <w:szCs w:val="20"/>
              </w:rPr>
            </w:pPr>
            <w:r w:rsidRPr="001C384B">
              <w:rPr>
                <w:rFonts w:ascii="Arial Narrow" w:hAnsi="Arial Narrow"/>
                <w:szCs w:val="20"/>
              </w:rPr>
              <w:fldChar w:fldCharType="begin">
                <w:ffData>
                  <w:name w:val=""/>
                  <w:enabled/>
                  <w:calcOnExit w:val="0"/>
                  <w:checkBox>
                    <w:sizeAuto/>
                    <w:default w:val="0"/>
                  </w:checkBox>
                </w:ffData>
              </w:fldChar>
            </w:r>
            <w:r w:rsidRPr="001C384B">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1C384B">
              <w:rPr>
                <w:rFonts w:ascii="Arial Narrow" w:hAnsi="Arial Narrow"/>
                <w:szCs w:val="20"/>
              </w:rPr>
              <w:fldChar w:fldCharType="end"/>
            </w:r>
            <w:r w:rsidRPr="001C384B">
              <w:rPr>
                <w:rFonts w:ascii="Arial Narrow" w:hAnsi="Arial Narrow"/>
                <w:szCs w:val="20"/>
              </w:rPr>
              <w:t>Authority Required - In Writing</w:t>
            </w:r>
          </w:p>
          <w:p w:rsidR="00165A21" w:rsidRPr="001C384B" w:rsidRDefault="00165A21" w:rsidP="00816D1B">
            <w:pPr>
              <w:pStyle w:val="TableLeft"/>
              <w:rPr>
                <w:rFonts w:ascii="Arial Narrow" w:hAnsi="Arial Narrow"/>
                <w:szCs w:val="20"/>
              </w:rPr>
            </w:pPr>
            <w:r w:rsidRPr="001C384B">
              <w:rPr>
                <w:rFonts w:ascii="Arial Narrow" w:hAnsi="Arial Narrow"/>
                <w:szCs w:val="20"/>
              </w:rPr>
              <w:fldChar w:fldCharType="begin">
                <w:ffData>
                  <w:name w:val="Check3"/>
                  <w:enabled/>
                  <w:calcOnExit w:val="0"/>
                  <w:checkBox>
                    <w:sizeAuto/>
                    <w:default w:val="1"/>
                  </w:checkBox>
                </w:ffData>
              </w:fldChar>
            </w:r>
            <w:r w:rsidRPr="001C384B">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1C384B">
              <w:rPr>
                <w:rFonts w:ascii="Arial Narrow" w:hAnsi="Arial Narrow"/>
                <w:szCs w:val="20"/>
              </w:rPr>
              <w:fldChar w:fldCharType="end"/>
            </w:r>
            <w:r w:rsidRPr="001C384B">
              <w:rPr>
                <w:rFonts w:ascii="Arial Narrow" w:hAnsi="Arial Narrow"/>
                <w:szCs w:val="20"/>
              </w:rPr>
              <w:t>Authority Required - Telephone</w:t>
            </w:r>
          </w:p>
          <w:p w:rsidR="00165A21" w:rsidRPr="001C384B" w:rsidRDefault="00165A21" w:rsidP="00816D1B">
            <w:pPr>
              <w:pStyle w:val="TableLeft"/>
              <w:rPr>
                <w:rFonts w:ascii="Arial Narrow" w:hAnsi="Arial Narrow"/>
                <w:szCs w:val="20"/>
              </w:rPr>
            </w:pPr>
            <w:r w:rsidRPr="001C384B">
              <w:rPr>
                <w:rFonts w:ascii="Arial Narrow" w:hAnsi="Arial Narrow"/>
                <w:szCs w:val="20"/>
              </w:rPr>
              <w:fldChar w:fldCharType="begin">
                <w:ffData>
                  <w:name w:val=""/>
                  <w:enabled/>
                  <w:calcOnExit w:val="0"/>
                  <w:checkBox>
                    <w:sizeAuto/>
                    <w:default w:val="0"/>
                  </w:checkBox>
                </w:ffData>
              </w:fldChar>
            </w:r>
            <w:r w:rsidRPr="001C384B">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1C384B">
              <w:rPr>
                <w:rFonts w:ascii="Arial Narrow" w:hAnsi="Arial Narrow"/>
                <w:szCs w:val="20"/>
              </w:rPr>
              <w:fldChar w:fldCharType="end"/>
            </w:r>
            <w:r w:rsidRPr="001C384B">
              <w:rPr>
                <w:rFonts w:ascii="Arial Narrow" w:hAnsi="Arial Narrow"/>
                <w:szCs w:val="20"/>
              </w:rPr>
              <w:t>Authority Required - Emergency</w:t>
            </w:r>
          </w:p>
          <w:p w:rsidR="00165A21" w:rsidRPr="001C384B" w:rsidRDefault="00165A21" w:rsidP="00816D1B">
            <w:pPr>
              <w:pStyle w:val="TableLeft"/>
              <w:rPr>
                <w:rFonts w:ascii="Arial Narrow" w:hAnsi="Arial Narrow"/>
                <w:szCs w:val="20"/>
              </w:rPr>
            </w:pPr>
            <w:r w:rsidRPr="001C384B">
              <w:rPr>
                <w:rFonts w:ascii="Arial Narrow" w:hAnsi="Arial Narrow"/>
                <w:szCs w:val="20"/>
              </w:rPr>
              <w:fldChar w:fldCharType="begin">
                <w:ffData>
                  <w:name w:val=""/>
                  <w:enabled/>
                  <w:calcOnExit w:val="0"/>
                  <w:checkBox>
                    <w:sizeAuto/>
                    <w:default w:val="0"/>
                  </w:checkBox>
                </w:ffData>
              </w:fldChar>
            </w:r>
            <w:r w:rsidRPr="001C384B">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1C384B">
              <w:rPr>
                <w:rFonts w:ascii="Arial Narrow" w:hAnsi="Arial Narrow"/>
                <w:szCs w:val="20"/>
              </w:rPr>
              <w:fldChar w:fldCharType="end"/>
            </w:r>
            <w:r w:rsidRPr="001C384B">
              <w:rPr>
                <w:rFonts w:ascii="Arial Narrow" w:hAnsi="Arial Narrow"/>
                <w:szCs w:val="20"/>
              </w:rPr>
              <w:t>Authority Required - Electronic</w:t>
            </w:r>
          </w:p>
          <w:p w:rsidR="00165A21" w:rsidRPr="001C384B" w:rsidRDefault="00165A21" w:rsidP="00816D1B">
            <w:pPr>
              <w:pStyle w:val="TableLeft"/>
              <w:rPr>
                <w:rFonts w:ascii="Arial Narrow" w:hAnsi="Arial Narrow"/>
                <w:szCs w:val="20"/>
              </w:rPr>
            </w:pPr>
            <w:r w:rsidRPr="001C384B">
              <w:rPr>
                <w:rFonts w:ascii="Arial Narrow" w:hAnsi="Arial Narrow"/>
                <w:szCs w:val="20"/>
              </w:rPr>
              <w:fldChar w:fldCharType="begin">
                <w:ffData>
                  <w:name w:val=""/>
                  <w:enabled/>
                  <w:calcOnExit w:val="0"/>
                  <w:checkBox>
                    <w:sizeAuto/>
                    <w:default w:val="0"/>
                  </w:checkBox>
                </w:ffData>
              </w:fldChar>
            </w:r>
            <w:r w:rsidRPr="001C384B">
              <w:rPr>
                <w:rFonts w:ascii="Arial Narrow" w:hAnsi="Arial Narrow"/>
                <w:szCs w:val="20"/>
              </w:rPr>
              <w:instrText xml:space="preserve"> FORMCHECKBOX </w:instrText>
            </w:r>
            <w:r w:rsidR="00250478">
              <w:rPr>
                <w:rFonts w:ascii="Arial Narrow" w:hAnsi="Arial Narrow"/>
                <w:szCs w:val="20"/>
              </w:rPr>
            </w:r>
            <w:r w:rsidR="00250478">
              <w:rPr>
                <w:rFonts w:ascii="Arial Narrow" w:hAnsi="Arial Narrow"/>
                <w:szCs w:val="20"/>
              </w:rPr>
              <w:fldChar w:fldCharType="separate"/>
            </w:r>
            <w:r w:rsidRPr="001C384B">
              <w:rPr>
                <w:rFonts w:ascii="Arial Narrow" w:hAnsi="Arial Narrow"/>
                <w:szCs w:val="20"/>
              </w:rPr>
              <w:fldChar w:fldCharType="end"/>
            </w:r>
            <w:r w:rsidRPr="001C384B">
              <w:rPr>
                <w:rFonts w:ascii="Arial Narrow" w:hAnsi="Arial Narrow"/>
                <w:szCs w:val="20"/>
              </w:rPr>
              <w:t>Streamlined</w:t>
            </w:r>
          </w:p>
        </w:tc>
      </w:tr>
      <w:tr w:rsidR="00165A21" w:rsidRPr="00CB29EA" w:rsidTr="00816D1B">
        <w:trPr>
          <w:cantSplit/>
          <w:trHeight w:val="360"/>
        </w:trPr>
        <w:tc>
          <w:tcPr>
            <w:tcW w:w="1268"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keepNext/>
              <w:rPr>
                <w:rStyle w:val="SmallBold"/>
                <w:rFonts w:ascii="Arial Narrow" w:hAnsi="Arial Narrow"/>
                <w:szCs w:val="20"/>
              </w:rPr>
            </w:pPr>
            <w:r w:rsidRPr="00CB29EA">
              <w:rPr>
                <w:rStyle w:val="SmallBold"/>
                <w:rFonts w:ascii="Arial Narrow" w:hAnsi="Arial Narrow"/>
                <w:szCs w:val="20"/>
              </w:rPr>
              <w:t>Clinical criteria:</w:t>
            </w:r>
          </w:p>
          <w:p w:rsidR="00165A21" w:rsidRPr="00CB29EA" w:rsidRDefault="00165A21" w:rsidP="00816D1B">
            <w:pPr>
              <w:pStyle w:val="TableLeft"/>
              <w:keepNext/>
              <w:rPr>
                <w:rStyle w:val="SmallBold"/>
                <w:rFonts w:ascii="Arial Narrow" w:hAnsi="Arial Narrow"/>
                <w:szCs w:val="20"/>
              </w:rPr>
            </w:pPr>
          </w:p>
        </w:tc>
        <w:tc>
          <w:tcPr>
            <w:tcW w:w="3732" w:type="pct"/>
            <w:tcBorders>
              <w:top w:val="single" w:sz="4" w:space="0" w:color="auto"/>
              <w:left w:val="single" w:sz="4" w:space="0" w:color="auto"/>
              <w:bottom w:val="single" w:sz="4" w:space="0" w:color="auto"/>
              <w:right w:val="single" w:sz="4" w:space="0" w:color="auto"/>
            </w:tcBorders>
          </w:tcPr>
          <w:p w:rsidR="00A31255" w:rsidRPr="00A31255" w:rsidRDefault="00A31255" w:rsidP="00A31255">
            <w:pPr>
              <w:pStyle w:val="Default"/>
              <w:rPr>
                <w:rFonts w:ascii="Arial Narrow" w:hAnsi="Arial Narrow"/>
                <w:sz w:val="20"/>
                <w:szCs w:val="20"/>
              </w:rPr>
            </w:pPr>
            <w:r w:rsidRPr="00A31255">
              <w:rPr>
                <w:rFonts w:ascii="Arial Narrow" w:hAnsi="Arial Narrow"/>
                <w:sz w:val="20"/>
                <w:szCs w:val="20"/>
              </w:rPr>
              <w:t xml:space="preserve">Patient must have received the First continuing PBS subsidised treatment with this drug for this condition, </w:t>
            </w:r>
          </w:p>
          <w:p w:rsidR="00A31255" w:rsidRPr="00A31255" w:rsidRDefault="00A31255" w:rsidP="00A31255">
            <w:pPr>
              <w:pStyle w:val="Default"/>
              <w:rPr>
                <w:rFonts w:ascii="Arial Narrow" w:hAnsi="Arial Narrow"/>
                <w:sz w:val="20"/>
                <w:szCs w:val="20"/>
              </w:rPr>
            </w:pPr>
            <w:r w:rsidRPr="00A31255">
              <w:rPr>
                <w:rFonts w:ascii="Arial Narrow" w:hAnsi="Arial Narrow"/>
                <w:sz w:val="20"/>
                <w:szCs w:val="20"/>
              </w:rPr>
              <w:t>AND</w:t>
            </w:r>
          </w:p>
          <w:p w:rsidR="00A31255" w:rsidRPr="00A31255" w:rsidRDefault="00A31255" w:rsidP="00A31255">
            <w:pPr>
              <w:pStyle w:val="Default"/>
              <w:rPr>
                <w:rFonts w:ascii="Arial Narrow" w:hAnsi="Arial Narrow"/>
                <w:sz w:val="20"/>
                <w:szCs w:val="20"/>
              </w:rPr>
            </w:pPr>
            <w:r w:rsidRPr="00A31255">
              <w:rPr>
                <w:rFonts w:ascii="Arial Narrow" w:hAnsi="Arial Narrow"/>
                <w:sz w:val="20"/>
                <w:szCs w:val="20"/>
              </w:rPr>
              <w:t>The treatment must be the sole PBS-subsidised therapy for this condition,</w:t>
            </w:r>
          </w:p>
          <w:p w:rsidR="00A31255" w:rsidRPr="00A31255" w:rsidRDefault="00A31255" w:rsidP="00A31255">
            <w:pPr>
              <w:pStyle w:val="Default"/>
              <w:rPr>
                <w:rFonts w:ascii="Arial Narrow" w:hAnsi="Arial Narrow"/>
                <w:sz w:val="20"/>
                <w:szCs w:val="20"/>
              </w:rPr>
            </w:pPr>
            <w:r w:rsidRPr="00A31255">
              <w:rPr>
                <w:rFonts w:ascii="Arial Narrow" w:hAnsi="Arial Narrow"/>
                <w:sz w:val="20"/>
                <w:szCs w:val="20"/>
              </w:rPr>
              <w:t>AND</w:t>
            </w:r>
          </w:p>
          <w:p w:rsidR="00A31255" w:rsidRPr="00A31255" w:rsidRDefault="00A31255" w:rsidP="00A31255">
            <w:pPr>
              <w:pStyle w:val="Default"/>
              <w:rPr>
                <w:rFonts w:ascii="Arial Narrow" w:hAnsi="Arial Narrow"/>
                <w:sz w:val="20"/>
                <w:szCs w:val="20"/>
              </w:rPr>
            </w:pPr>
            <w:r w:rsidRPr="00A31255">
              <w:rPr>
                <w:rFonts w:ascii="Arial Narrow" w:hAnsi="Arial Narrow"/>
                <w:sz w:val="20"/>
                <w:szCs w:val="20"/>
              </w:rPr>
              <w:t>Patient must have maintained a major cytogenic response; OR</w:t>
            </w:r>
          </w:p>
          <w:p w:rsidR="00165A21" w:rsidRPr="00A31255" w:rsidRDefault="00A31255" w:rsidP="00A31255">
            <w:pPr>
              <w:pStyle w:val="Default"/>
              <w:rPr>
                <w:rFonts w:ascii="Arial Narrow" w:hAnsi="Arial Narrow"/>
                <w:sz w:val="20"/>
                <w:szCs w:val="20"/>
              </w:rPr>
            </w:pPr>
            <w:r w:rsidRPr="00A31255">
              <w:rPr>
                <w:rFonts w:ascii="Arial Narrow" w:hAnsi="Arial Narrow"/>
                <w:sz w:val="20"/>
                <w:szCs w:val="20"/>
              </w:rPr>
              <w:t>Patient must have maintained a peripheral blood level of BCR-ABL of less than 1%.</w:t>
            </w:r>
          </w:p>
        </w:tc>
      </w:tr>
      <w:tr w:rsidR="00165A21" w:rsidRPr="003F3252" w:rsidTr="00816D1B">
        <w:trPr>
          <w:trHeight w:val="235"/>
        </w:trPr>
        <w:tc>
          <w:tcPr>
            <w:tcW w:w="1268" w:type="pct"/>
            <w:tcBorders>
              <w:top w:val="single" w:sz="4" w:space="0" w:color="auto"/>
              <w:left w:val="single" w:sz="4" w:space="0" w:color="auto"/>
              <w:bottom w:val="single" w:sz="4" w:space="0" w:color="auto"/>
              <w:right w:val="single" w:sz="4" w:space="0" w:color="auto"/>
            </w:tcBorders>
          </w:tcPr>
          <w:p w:rsidR="00165A21" w:rsidRPr="00CB29EA" w:rsidRDefault="00165A21" w:rsidP="00816D1B">
            <w:pPr>
              <w:pStyle w:val="TableLeft"/>
              <w:widowControl w:val="0"/>
              <w:rPr>
                <w:rStyle w:val="SmallBold"/>
                <w:rFonts w:ascii="Arial Narrow" w:hAnsi="Arial Narrow"/>
                <w:szCs w:val="20"/>
              </w:rPr>
            </w:pPr>
            <w:r>
              <w:rPr>
                <w:rStyle w:val="SmallBold"/>
                <w:rFonts w:ascii="Arial Narrow" w:hAnsi="Arial Narrow"/>
                <w:szCs w:val="20"/>
              </w:rPr>
              <w:t>Administrative Advice</w:t>
            </w:r>
          </w:p>
        </w:tc>
        <w:tc>
          <w:tcPr>
            <w:tcW w:w="3732" w:type="pct"/>
            <w:tcBorders>
              <w:top w:val="single" w:sz="4" w:space="0" w:color="auto"/>
              <w:left w:val="single" w:sz="4" w:space="0" w:color="auto"/>
              <w:bottom w:val="single" w:sz="4" w:space="0" w:color="auto"/>
              <w:right w:val="single" w:sz="4" w:space="0" w:color="auto"/>
            </w:tcBorders>
          </w:tcPr>
          <w:p w:rsidR="00E456A4" w:rsidRPr="00E456A4" w:rsidRDefault="00E456A4" w:rsidP="00E456A4">
            <w:pPr>
              <w:rPr>
                <w:rFonts w:ascii="Arial Narrow" w:hAnsi="Arial Narrow"/>
                <w:sz w:val="20"/>
              </w:rPr>
            </w:pPr>
            <w:r w:rsidRPr="00E456A4">
              <w:rPr>
                <w:rFonts w:ascii="Arial Narrow" w:hAnsi="Arial Narrow"/>
                <w:sz w:val="20"/>
              </w:rPr>
              <w:t xml:space="preserve">Subsequent authority applications for continuing therapy may be made by telephoning the Department of Human Services on 1800 700 270 (hours of operation 8 a.m. to 5 p.m. EST Monday to Friday). </w:t>
            </w:r>
          </w:p>
          <w:p w:rsidR="00E456A4" w:rsidRPr="001019A9" w:rsidRDefault="00E456A4" w:rsidP="00E456A4">
            <w:pPr>
              <w:pStyle w:val="Default"/>
              <w:rPr>
                <w:rFonts w:ascii="Arial Narrow" w:hAnsi="Arial Narrow"/>
                <w:sz w:val="20"/>
                <w:szCs w:val="20"/>
              </w:rPr>
            </w:pPr>
          </w:p>
          <w:p w:rsidR="00E456A4" w:rsidRPr="0047082B" w:rsidRDefault="00E456A4" w:rsidP="00E456A4">
            <w:pPr>
              <w:rPr>
                <w:rFonts w:ascii="Arial Narrow" w:hAnsi="Arial Narrow"/>
                <w:sz w:val="20"/>
              </w:rPr>
            </w:pPr>
            <w:r w:rsidRPr="0047082B">
              <w:rPr>
                <w:rFonts w:ascii="Arial Narrow" w:hAnsi="Arial Narrow"/>
                <w:sz w:val="20"/>
              </w:rPr>
              <w:t xml:space="preserve">Patients are eligible for PBS-subsidised treatment with only one of </w:t>
            </w:r>
            <w:r>
              <w:rPr>
                <w:rFonts w:ascii="Arial Narrow" w:hAnsi="Arial Narrow"/>
                <w:sz w:val="20"/>
              </w:rPr>
              <w:t xml:space="preserve">imatinib, </w:t>
            </w:r>
            <w:r w:rsidRPr="0047082B">
              <w:rPr>
                <w:rFonts w:ascii="Arial Narrow" w:hAnsi="Arial Narrow"/>
                <w:sz w:val="20"/>
              </w:rPr>
              <w:t xml:space="preserve">dasatinib, nilotinib or ponatinib at any one time and must not be receiving concomitant interferon alfa therapy. </w:t>
            </w:r>
          </w:p>
          <w:p w:rsidR="00E456A4" w:rsidRPr="0047082B" w:rsidRDefault="00E456A4" w:rsidP="00E456A4">
            <w:pPr>
              <w:rPr>
                <w:rFonts w:ascii="Arial Narrow" w:hAnsi="Arial Narrow"/>
                <w:sz w:val="20"/>
              </w:rPr>
            </w:pPr>
          </w:p>
          <w:p w:rsidR="00E456A4" w:rsidRPr="0047082B" w:rsidRDefault="00E456A4" w:rsidP="00E456A4">
            <w:pPr>
              <w:rPr>
                <w:rFonts w:ascii="Arial Narrow" w:hAnsi="Arial Narrow"/>
                <w:sz w:val="20"/>
              </w:rPr>
            </w:pPr>
            <w:r w:rsidRPr="0047082B">
              <w:rPr>
                <w:rFonts w:ascii="Arial Narrow" w:hAnsi="Arial Narrow"/>
                <w:sz w:val="20"/>
              </w:rPr>
              <w:t>1. Continuing treatment</w:t>
            </w:r>
          </w:p>
          <w:p w:rsidR="00E456A4" w:rsidRPr="00E456A4" w:rsidRDefault="00E456A4" w:rsidP="00E456A4">
            <w:pPr>
              <w:rPr>
                <w:rFonts w:ascii="Arial Narrow" w:hAnsi="Arial Narrow"/>
                <w:sz w:val="20"/>
              </w:rPr>
            </w:pPr>
            <w:r w:rsidRPr="00E456A4">
              <w:rPr>
                <w:rFonts w:ascii="Arial Narrow" w:hAnsi="Arial Narrow"/>
                <w:sz w:val="20"/>
              </w:rPr>
              <w:t xml:space="preserve">First continuing applications are to be written, at which time patients in whom a major cytogenetic response or peripheral blood BCR-ABL level of less than 1% has been demonstrated may receive authorisation for a further 12 months of treatment. </w:t>
            </w:r>
          </w:p>
          <w:p w:rsidR="00E456A4" w:rsidRPr="00E456A4" w:rsidRDefault="00E456A4" w:rsidP="00E456A4">
            <w:pPr>
              <w:rPr>
                <w:rFonts w:ascii="Arial Narrow" w:hAnsi="Arial Narrow"/>
                <w:sz w:val="20"/>
              </w:rPr>
            </w:pPr>
            <w:r w:rsidRPr="00E456A4">
              <w:rPr>
                <w:rFonts w:ascii="Arial Narrow" w:hAnsi="Arial Narrow"/>
                <w:sz w:val="20"/>
              </w:rPr>
              <w:t xml:space="preserve">Subsequent authority applications for continuing therapy may be made by telephoning the Department of Human Services on 1800 700 270 (hours of operation 8 a.m. to 5 p.m. EST Monday to Friday). </w:t>
            </w:r>
          </w:p>
          <w:p w:rsidR="00E456A4" w:rsidRPr="0047082B" w:rsidRDefault="00E456A4" w:rsidP="00E456A4">
            <w:pPr>
              <w:rPr>
                <w:rFonts w:ascii="Arial Narrow" w:hAnsi="Arial Narrow"/>
                <w:sz w:val="20"/>
              </w:rPr>
            </w:pPr>
          </w:p>
          <w:p w:rsidR="00E456A4" w:rsidRPr="001019A9" w:rsidRDefault="00E456A4" w:rsidP="00E456A4">
            <w:pPr>
              <w:rPr>
                <w:rFonts w:ascii="Arial Narrow" w:hAnsi="Arial Narrow"/>
                <w:sz w:val="20"/>
              </w:rPr>
            </w:pPr>
            <w:r w:rsidRPr="001019A9">
              <w:rPr>
                <w:rFonts w:ascii="Arial Narrow" w:hAnsi="Arial Narrow"/>
                <w:sz w:val="20"/>
              </w:rPr>
              <w:t>2. Authority approval requirements.</w:t>
            </w:r>
          </w:p>
          <w:p w:rsidR="00E456A4" w:rsidRPr="001019A9" w:rsidRDefault="00E456A4" w:rsidP="00E456A4">
            <w:pPr>
              <w:rPr>
                <w:rFonts w:ascii="Arial Narrow" w:hAnsi="Arial Narrow"/>
                <w:sz w:val="20"/>
              </w:rPr>
            </w:pPr>
            <w:r w:rsidRPr="001019A9">
              <w:rPr>
                <w:rFonts w:ascii="Arial Narrow" w:hAnsi="Arial Narrow"/>
                <w:sz w:val="20"/>
              </w:rPr>
              <w:t>Response criteria to</w:t>
            </w:r>
            <w:r>
              <w:rPr>
                <w:rFonts w:ascii="Arial Narrow" w:hAnsi="Arial Narrow"/>
                <w:sz w:val="20"/>
              </w:rPr>
              <w:t xml:space="preserve"> </w:t>
            </w:r>
            <w:r w:rsidRPr="001019A9">
              <w:rPr>
                <w:rFonts w:ascii="Arial Narrow" w:hAnsi="Arial Narrow"/>
                <w:sz w:val="20"/>
              </w:rPr>
              <w:t>treatment with ponatinib:</w:t>
            </w:r>
          </w:p>
          <w:p w:rsidR="00E456A4" w:rsidRPr="001019A9" w:rsidRDefault="00E456A4" w:rsidP="00E456A4">
            <w:pPr>
              <w:rPr>
                <w:rFonts w:ascii="Arial Narrow" w:hAnsi="Arial Narrow"/>
                <w:sz w:val="20"/>
              </w:rPr>
            </w:pPr>
            <w:r w:rsidRPr="001019A9">
              <w:rPr>
                <w:rFonts w:ascii="Arial Narrow" w:hAnsi="Arial Narrow"/>
                <w:sz w:val="20"/>
              </w:rPr>
              <w:t>For the purposes of assessing response to PBS-subsidised treatment with ponatinib, either cytogenetic analysis indicating the number of Philadelphia positive [t (9;22)] cells in the bone marrow measured by standard karyotyping, or quantitative PCR indicating the relative level of BCR-ABL transcript in the peripheral blood using the international scale, must be submitted. For bone marrow analyses, where the standard karyotyping is not informative for technical reasons, a cytogenetic analysis performed on the bone marrow by the use of fluorescence in situ hybridisation (FISH) with BCR-ABL specific probe must be submitted. The cytogenetic or peripheral blood quantitative PCR analyses must be submitted within 18 months of the commencement of treatment with ponatinib (patients in whom a major cytogenetic response or peripheral blood BCR-ABL level of less than 1% is demonstrable by 18 months are eligible to receive</w:t>
            </w:r>
            <w:r w:rsidRPr="00E456A4">
              <w:rPr>
                <w:rFonts w:ascii="Arial Narrow" w:hAnsi="Arial Narrow"/>
                <w:sz w:val="20"/>
              </w:rPr>
              <w:t xml:space="preserve"> first</w:t>
            </w:r>
            <w:r w:rsidRPr="001019A9">
              <w:rPr>
                <w:rFonts w:ascii="Arial Narrow" w:hAnsi="Arial Narrow"/>
                <w:sz w:val="20"/>
              </w:rPr>
              <w:t xml:space="preserve"> continuing treatment with </w:t>
            </w:r>
            <w:r w:rsidRPr="00E456A4">
              <w:rPr>
                <w:rFonts w:ascii="Arial Narrow" w:hAnsi="Arial Narrow"/>
                <w:sz w:val="20"/>
              </w:rPr>
              <w:t>this drug</w:t>
            </w:r>
            <w:r w:rsidRPr="001019A9">
              <w:rPr>
                <w:rFonts w:ascii="Arial Narrow" w:hAnsi="Arial Narrow"/>
                <w:sz w:val="20"/>
              </w:rPr>
              <w:t xml:space="preserve">). </w:t>
            </w:r>
          </w:p>
          <w:p w:rsidR="00E456A4" w:rsidRPr="00E456A4" w:rsidRDefault="00E456A4" w:rsidP="00E456A4">
            <w:pPr>
              <w:rPr>
                <w:rFonts w:ascii="Arial Narrow" w:hAnsi="Arial Narrow"/>
                <w:sz w:val="20"/>
              </w:rPr>
            </w:pPr>
            <w:r w:rsidRPr="00E456A4">
              <w:rPr>
                <w:rFonts w:ascii="Arial Narrow" w:hAnsi="Arial Narrow"/>
                <w:sz w:val="20"/>
              </w:rPr>
              <w:t>Thereafter, at no greater than 12 month intervals a major cytogenetic response or a peripheral blood BCR-ABL level of less than 1% must be sustained to receive subsequent continuing treatments with this drug.</w:t>
            </w:r>
          </w:p>
          <w:p w:rsidR="00E456A4" w:rsidRPr="001019A9" w:rsidRDefault="00E456A4" w:rsidP="00E456A4">
            <w:pPr>
              <w:rPr>
                <w:rFonts w:ascii="Arial Narrow" w:hAnsi="Arial Narrow"/>
                <w:sz w:val="20"/>
              </w:rPr>
            </w:pPr>
          </w:p>
          <w:p w:rsidR="00E456A4" w:rsidRPr="001019A9" w:rsidRDefault="00E456A4" w:rsidP="00E456A4">
            <w:pPr>
              <w:rPr>
                <w:rFonts w:ascii="Arial Narrow" w:hAnsi="Arial Narrow"/>
                <w:sz w:val="20"/>
              </w:rPr>
            </w:pPr>
            <w:r w:rsidRPr="001019A9">
              <w:rPr>
                <w:rFonts w:ascii="Arial Narrow" w:hAnsi="Arial Narrow"/>
                <w:sz w:val="20"/>
              </w:rPr>
              <w:t>3. Definitions of response.</w:t>
            </w:r>
          </w:p>
          <w:p w:rsidR="00E456A4" w:rsidRPr="001019A9" w:rsidRDefault="00E456A4" w:rsidP="00E456A4">
            <w:pPr>
              <w:rPr>
                <w:rFonts w:ascii="Arial Narrow" w:hAnsi="Arial Narrow"/>
                <w:sz w:val="20"/>
              </w:rPr>
            </w:pPr>
            <w:r w:rsidRPr="001019A9">
              <w:rPr>
                <w:rFonts w:ascii="Arial Narrow" w:hAnsi="Arial Narrow"/>
                <w:sz w:val="20"/>
              </w:rPr>
              <w:t xml:space="preserve">A major cytogenetic response is defined as less than 35% Philadelphia positive bone marrow cells. </w:t>
            </w:r>
          </w:p>
          <w:p w:rsidR="00E456A4" w:rsidRDefault="00E456A4" w:rsidP="00E456A4">
            <w:pPr>
              <w:rPr>
                <w:rFonts w:ascii="Arial Narrow" w:hAnsi="Arial Narrow"/>
                <w:sz w:val="20"/>
              </w:rPr>
            </w:pPr>
            <w:r w:rsidRPr="001019A9">
              <w:rPr>
                <w:rFonts w:ascii="Arial Narrow" w:hAnsi="Arial Narrow"/>
                <w:sz w:val="20"/>
              </w:rPr>
              <w:t xml:space="preserve">A peripheral blood BCR-ABL level of less than 1% on the international scale (Blood 108: 28-37, 2006) also indicates a response, at least the biological equivalent of a major cytogenetic response. </w:t>
            </w:r>
          </w:p>
          <w:p w:rsidR="00E456A4" w:rsidRPr="001019A9" w:rsidRDefault="00E456A4" w:rsidP="00E456A4">
            <w:pPr>
              <w:rPr>
                <w:rFonts w:ascii="Arial Narrow" w:hAnsi="Arial Narrow"/>
                <w:sz w:val="20"/>
              </w:rPr>
            </w:pPr>
          </w:p>
          <w:p w:rsidR="00E456A4" w:rsidRPr="001019A9" w:rsidRDefault="00E456A4" w:rsidP="00E456A4">
            <w:pPr>
              <w:rPr>
                <w:rFonts w:ascii="Arial Narrow" w:hAnsi="Arial Narrow"/>
                <w:sz w:val="20"/>
              </w:rPr>
            </w:pPr>
            <w:r w:rsidRPr="001019A9">
              <w:rPr>
                <w:rFonts w:ascii="Arial Narrow" w:hAnsi="Arial Narrow"/>
                <w:sz w:val="20"/>
              </w:rPr>
              <w:t>4. Definitions of loss of response.</w:t>
            </w:r>
          </w:p>
          <w:p w:rsidR="00E456A4" w:rsidRPr="001019A9" w:rsidRDefault="00E456A4" w:rsidP="00E456A4">
            <w:pPr>
              <w:rPr>
                <w:rFonts w:ascii="Arial Narrow" w:hAnsi="Arial Narrow"/>
                <w:sz w:val="20"/>
              </w:rPr>
            </w:pPr>
            <w:r w:rsidRPr="001019A9">
              <w:rPr>
                <w:rFonts w:ascii="Arial Narrow" w:hAnsi="Arial Narrow"/>
                <w:sz w:val="20"/>
              </w:rPr>
              <w:t xml:space="preserve">Loss of a previously documented major cytogenetic response (demonstrated by the presence of greater than 35% Ph positive cells on bone marrow biopsy), during ongoing tyrosine kinase inhibitor therapy. </w:t>
            </w:r>
          </w:p>
          <w:p w:rsidR="00165A21" w:rsidRPr="00A31255" w:rsidRDefault="00E456A4" w:rsidP="00E456A4">
            <w:pPr>
              <w:pStyle w:val="Default"/>
              <w:rPr>
                <w:rFonts w:ascii="Arial Narrow" w:hAnsi="Arial Narrow"/>
                <w:szCs w:val="20"/>
              </w:rPr>
            </w:pPr>
            <w:r w:rsidRPr="001019A9">
              <w:rPr>
                <w:rFonts w:ascii="Arial Narrow" w:hAnsi="Arial Narrow" w:cs="Times New Roman"/>
                <w:color w:val="auto"/>
                <w:sz w:val="20"/>
              </w:rPr>
              <w:t>Loss of a previously demonstrated molecular response (demonstrated by peripheral blood BCR-ABL levels increasing consecutively in value by at least 5 fold to a level of greater than 0.1% confirmed on a subsequent test), during ongoing tyrosine kinase inhibitor therapy.</w:t>
            </w:r>
          </w:p>
        </w:tc>
      </w:tr>
    </w:tbl>
    <w:p w:rsidR="00504DA9" w:rsidRPr="00C07617" w:rsidRDefault="00504DA9" w:rsidP="00504DA9">
      <w:pPr>
        <w:pStyle w:val="Heading1"/>
        <w:spacing w:before="360"/>
        <w:ind w:left="709" w:hanging="709"/>
        <w:rPr>
          <w:b w:val="0"/>
        </w:rPr>
      </w:pPr>
      <w:r w:rsidRPr="00C07617">
        <w:tab/>
        <w:t>Context for Decision</w:t>
      </w:r>
    </w:p>
    <w:p w:rsidR="00504DA9" w:rsidRPr="00C07617" w:rsidRDefault="00504DA9" w:rsidP="003B1FC4">
      <w:pPr>
        <w:ind w:left="709"/>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04DA9" w:rsidRPr="00C07617" w:rsidRDefault="00504DA9" w:rsidP="00504DA9">
      <w:pPr>
        <w:pStyle w:val="Heading1"/>
        <w:spacing w:before="360"/>
        <w:ind w:left="709" w:hanging="709"/>
        <w:rPr>
          <w:b w:val="0"/>
        </w:rPr>
      </w:pPr>
      <w:r>
        <w:t>Sponsor’s Comment</w:t>
      </w:r>
    </w:p>
    <w:p w:rsidR="00504DA9" w:rsidRPr="00C07617" w:rsidRDefault="00504DA9" w:rsidP="003B1FC4">
      <w:pPr>
        <w:spacing w:after="120"/>
        <w:ind w:firstLine="709"/>
        <w:jc w:val="both"/>
        <w:rPr>
          <w:rFonts w:asciiTheme="minorHAnsi" w:hAnsiTheme="minorHAnsi" w:cs="Arial"/>
          <w:bCs/>
        </w:rPr>
      </w:pPr>
      <w:r w:rsidRPr="00C07617">
        <w:rPr>
          <w:rFonts w:asciiTheme="minorHAnsi" w:hAnsiTheme="minorHAnsi" w:cs="Arial"/>
          <w:bCs/>
        </w:rPr>
        <w:t>The sponsor had no comment.</w:t>
      </w:r>
    </w:p>
    <w:p w:rsidR="0047082B" w:rsidRPr="00A31255" w:rsidRDefault="0047082B" w:rsidP="00A31255">
      <w:pPr>
        <w:rPr>
          <w:rFonts w:ascii="Arial" w:hAnsi="Arial"/>
          <w:sz w:val="22"/>
          <w:szCs w:val="22"/>
          <w:highlight w:val="yellow"/>
          <w:lang w:val="en-GB"/>
        </w:rPr>
      </w:pPr>
    </w:p>
    <w:sectPr w:rsidR="0047082B" w:rsidRPr="00A31255"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ADD" w:rsidRDefault="00702ADD">
      <w:r>
        <w:separator/>
      </w:r>
    </w:p>
    <w:p w:rsidR="00702ADD" w:rsidRDefault="00702ADD"/>
  </w:endnote>
  <w:endnote w:type="continuationSeparator" w:id="0">
    <w:p w:rsidR="00702ADD" w:rsidRDefault="00702ADD">
      <w:r>
        <w:continuationSeparator/>
      </w:r>
    </w:p>
    <w:p w:rsidR="00702ADD" w:rsidRDefault="00702A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E5259" w:rsidTr="005A3173">
      <w:trPr>
        <w:trHeight w:val="151"/>
      </w:trPr>
      <w:tc>
        <w:tcPr>
          <w:tcW w:w="2250" w:type="pct"/>
          <w:tcBorders>
            <w:top w:val="nil"/>
            <w:left w:val="nil"/>
            <w:bottom w:val="single" w:sz="4" w:space="0" w:color="4F81BD"/>
            <w:right w:val="nil"/>
          </w:tcBorders>
        </w:tcPr>
        <w:p w:rsidR="009E5259" w:rsidRPr="005A3173" w:rsidRDefault="009E525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E5259" w:rsidRPr="005A3173" w:rsidRDefault="009E525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E5259" w:rsidRPr="005A3173" w:rsidRDefault="009E5259" w:rsidP="005A3173">
          <w:pPr>
            <w:pStyle w:val="Header"/>
            <w:spacing w:line="276" w:lineRule="auto"/>
            <w:rPr>
              <w:rFonts w:ascii="Calibri" w:eastAsia="MS Gothic" w:hAnsi="Calibri"/>
              <w:b/>
              <w:bCs/>
              <w:color w:val="4F81BD"/>
            </w:rPr>
          </w:pPr>
        </w:p>
      </w:tc>
    </w:tr>
    <w:tr w:rsidR="009E5259" w:rsidTr="005A3173">
      <w:trPr>
        <w:trHeight w:val="150"/>
      </w:trPr>
      <w:tc>
        <w:tcPr>
          <w:tcW w:w="2250" w:type="pct"/>
          <w:tcBorders>
            <w:top w:val="single" w:sz="4" w:space="0" w:color="4F81BD"/>
            <w:left w:val="nil"/>
            <w:bottom w:val="nil"/>
            <w:right w:val="nil"/>
          </w:tcBorders>
        </w:tcPr>
        <w:p w:rsidR="009E5259" w:rsidRPr="005A3173" w:rsidRDefault="009E5259" w:rsidP="005A3173">
          <w:pPr>
            <w:pStyle w:val="Header"/>
            <w:spacing w:line="276" w:lineRule="auto"/>
            <w:rPr>
              <w:rFonts w:ascii="Calibri" w:eastAsia="MS Gothic" w:hAnsi="Calibri"/>
              <w:b/>
              <w:bCs/>
              <w:color w:val="4F81BD"/>
            </w:rPr>
          </w:pPr>
        </w:p>
      </w:tc>
      <w:tc>
        <w:tcPr>
          <w:tcW w:w="0" w:type="auto"/>
          <w:vMerge/>
          <w:vAlign w:val="center"/>
          <w:hideMark/>
        </w:tcPr>
        <w:p w:rsidR="009E5259" w:rsidRPr="005A3173" w:rsidRDefault="009E5259" w:rsidP="005A3173">
          <w:pPr>
            <w:rPr>
              <w:rFonts w:ascii="Calibri" w:hAnsi="Calibri"/>
              <w:color w:val="365F91"/>
              <w:sz w:val="22"/>
              <w:szCs w:val="22"/>
            </w:rPr>
          </w:pPr>
        </w:p>
      </w:tc>
      <w:tc>
        <w:tcPr>
          <w:tcW w:w="2250" w:type="pct"/>
          <w:tcBorders>
            <w:top w:val="single" w:sz="4" w:space="0" w:color="4F81BD"/>
            <w:left w:val="nil"/>
            <w:bottom w:val="nil"/>
            <w:right w:val="nil"/>
          </w:tcBorders>
        </w:tcPr>
        <w:p w:rsidR="009E5259" w:rsidRPr="005A3173" w:rsidRDefault="009E5259" w:rsidP="005A3173">
          <w:pPr>
            <w:pStyle w:val="Header"/>
            <w:spacing w:line="276" w:lineRule="auto"/>
            <w:rPr>
              <w:rFonts w:ascii="Calibri" w:eastAsia="MS Gothic" w:hAnsi="Calibri"/>
              <w:b/>
              <w:bCs/>
              <w:color w:val="4F81BD"/>
            </w:rPr>
          </w:pPr>
        </w:p>
      </w:tc>
    </w:tr>
  </w:tbl>
  <w:p w:rsidR="009E5259" w:rsidRDefault="009E5259"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E5259" w:rsidRDefault="009E5259">
    <w:pPr>
      <w:pStyle w:val="Footer"/>
    </w:pPr>
  </w:p>
  <w:p w:rsidR="009E5259" w:rsidRDefault="009E525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637537"/>
      <w:docPartObj>
        <w:docPartGallery w:val="Page Numbers (Bottom of Page)"/>
        <w:docPartUnique/>
      </w:docPartObj>
    </w:sdtPr>
    <w:sdtEndPr>
      <w:rPr>
        <w:rFonts w:asciiTheme="minorHAnsi" w:hAnsiTheme="minorHAnsi" w:cstheme="minorHAnsi"/>
        <w:noProof/>
      </w:rPr>
    </w:sdtEndPr>
    <w:sdtContent>
      <w:p w:rsidR="009E5259" w:rsidRPr="003C2DFD" w:rsidRDefault="009E5259">
        <w:pPr>
          <w:pStyle w:val="Footer"/>
          <w:jc w:val="center"/>
          <w:rPr>
            <w:rFonts w:asciiTheme="minorHAnsi" w:hAnsiTheme="minorHAnsi" w:cstheme="minorHAnsi"/>
          </w:rPr>
        </w:pPr>
        <w:r w:rsidRPr="003C2DFD">
          <w:rPr>
            <w:rFonts w:asciiTheme="minorHAnsi" w:hAnsiTheme="minorHAnsi" w:cstheme="minorHAnsi"/>
          </w:rPr>
          <w:fldChar w:fldCharType="begin"/>
        </w:r>
        <w:r w:rsidRPr="003C2DFD">
          <w:rPr>
            <w:rFonts w:asciiTheme="minorHAnsi" w:hAnsiTheme="minorHAnsi" w:cstheme="minorHAnsi"/>
          </w:rPr>
          <w:instrText xml:space="preserve"> PAGE   \* MERGEFORMAT </w:instrText>
        </w:r>
        <w:r w:rsidRPr="003C2DFD">
          <w:rPr>
            <w:rFonts w:asciiTheme="minorHAnsi" w:hAnsiTheme="minorHAnsi" w:cstheme="minorHAnsi"/>
          </w:rPr>
          <w:fldChar w:fldCharType="separate"/>
        </w:r>
        <w:r w:rsidR="00250478">
          <w:rPr>
            <w:rFonts w:asciiTheme="minorHAnsi" w:hAnsiTheme="minorHAnsi" w:cstheme="minorHAnsi"/>
            <w:noProof/>
          </w:rPr>
          <w:t>8</w:t>
        </w:r>
        <w:r w:rsidRPr="003C2DFD">
          <w:rPr>
            <w:rFonts w:asciiTheme="minorHAnsi" w:hAnsiTheme="minorHAnsi" w:cstheme="minorHAnsi"/>
            <w:noProof/>
          </w:rPr>
          <w:fldChar w:fldCharType="end"/>
        </w:r>
      </w:p>
    </w:sdtContent>
  </w:sdt>
  <w:p w:rsidR="009E5259" w:rsidRPr="005E1333" w:rsidRDefault="009E5259"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995"/>
      <w:gridCol w:w="1252"/>
      <w:gridCol w:w="3995"/>
    </w:tblGrid>
    <w:tr w:rsidR="009E5259" w:rsidTr="005A3173">
      <w:trPr>
        <w:trHeight w:val="151"/>
      </w:trPr>
      <w:tc>
        <w:tcPr>
          <w:tcW w:w="2250" w:type="pct"/>
          <w:tcBorders>
            <w:top w:val="nil"/>
            <w:left w:val="nil"/>
            <w:bottom w:val="single" w:sz="4" w:space="0" w:color="4F81BD"/>
            <w:right w:val="nil"/>
          </w:tcBorders>
        </w:tcPr>
        <w:p w:rsidR="009E5259" w:rsidRPr="005A3173" w:rsidRDefault="009E525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E5259" w:rsidRPr="005A3173" w:rsidRDefault="009E525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E5259" w:rsidRPr="005A3173" w:rsidRDefault="009E5259" w:rsidP="005A3173">
          <w:pPr>
            <w:pStyle w:val="Header"/>
            <w:spacing w:line="276" w:lineRule="auto"/>
            <w:rPr>
              <w:rFonts w:ascii="Calibri" w:eastAsia="MS Gothic" w:hAnsi="Calibri"/>
              <w:b/>
              <w:bCs/>
              <w:color w:val="4F81BD"/>
            </w:rPr>
          </w:pPr>
        </w:p>
      </w:tc>
    </w:tr>
    <w:tr w:rsidR="009E5259" w:rsidTr="005A3173">
      <w:trPr>
        <w:trHeight w:val="150"/>
      </w:trPr>
      <w:tc>
        <w:tcPr>
          <w:tcW w:w="2250" w:type="pct"/>
          <w:tcBorders>
            <w:top w:val="single" w:sz="4" w:space="0" w:color="4F81BD"/>
            <w:left w:val="nil"/>
            <w:bottom w:val="nil"/>
            <w:right w:val="nil"/>
          </w:tcBorders>
        </w:tcPr>
        <w:p w:rsidR="009E5259" w:rsidRPr="005A3173" w:rsidRDefault="009E5259" w:rsidP="005A3173">
          <w:pPr>
            <w:pStyle w:val="Header"/>
            <w:spacing w:line="276" w:lineRule="auto"/>
            <w:rPr>
              <w:rFonts w:ascii="Calibri" w:eastAsia="MS Gothic" w:hAnsi="Calibri"/>
              <w:b/>
              <w:bCs/>
              <w:color w:val="4F81BD"/>
            </w:rPr>
          </w:pPr>
        </w:p>
      </w:tc>
      <w:tc>
        <w:tcPr>
          <w:tcW w:w="0" w:type="auto"/>
          <w:vMerge/>
          <w:vAlign w:val="center"/>
          <w:hideMark/>
        </w:tcPr>
        <w:p w:rsidR="009E5259" w:rsidRPr="005A3173" w:rsidRDefault="009E5259" w:rsidP="005A3173">
          <w:pPr>
            <w:rPr>
              <w:rFonts w:ascii="Calibri" w:hAnsi="Calibri"/>
              <w:color w:val="365F91"/>
              <w:sz w:val="22"/>
              <w:szCs w:val="22"/>
            </w:rPr>
          </w:pPr>
        </w:p>
      </w:tc>
      <w:tc>
        <w:tcPr>
          <w:tcW w:w="2250" w:type="pct"/>
          <w:tcBorders>
            <w:top w:val="single" w:sz="4" w:space="0" w:color="4F81BD"/>
            <w:left w:val="nil"/>
            <w:bottom w:val="nil"/>
            <w:right w:val="nil"/>
          </w:tcBorders>
        </w:tcPr>
        <w:p w:rsidR="009E5259" w:rsidRPr="005A3173" w:rsidRDefault="009E5259"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9E5259" w:rsidTr="005A3173">
      <w:trPr>
        <w:trHeight w:val="151"/>
      </w:trPr>
      <w:tc>
        <w:tcPr>
          <w:tcW w:w="2250" w:type="pct"/>
          <w:tcBorders>
            <w:top w:val="nil"/>
            <w:left w:val="nil"/>
            <w:bottom w:val="single" w:sz="4" w:space="0" w:color="4F81BD"/>
            <w:right w:val="nil"/>
          </w:tcBorders>
        </w:tcPr>
        <w:p w:rsidR="009E5259" w:rsidRPr="005A3173" w:rsidRDefault="009E5259" w:rsidP="005A3173">
          <w:pPr>
            <w:pStyle w:val="Header"/>
            <w:spacing w:line="276" w:lineRule="auto"/>
            <w:rPr>
              <w:rFonts w:ascii="Calibri" w:eastAsia="MS Gothic" w:hAnsi="Calibri"/>
              <w:b/>
              <w:bCs/>
              <w:color w:val="4F81BD"/>
            </w:rPr>
          </w:pPr>
        </w:p>
      </w:tc>
      <w:tc>
        <w:tcPr>
          <w:tcW w:w="500" w:type="pct"/>
          <w:vMerge w:val="restart"/>
          <w:noWrap/>
          <w:vAlign w:val="center"/>
          <w:hideMark/>
        </w:tcPr>
        <w:p w:rsidR="009E5259" w:rsidRPr="005A3173" w:rsidRDefault="009E5259"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9E5259" w:rsidRPr="005A3173" w:rsidRDefault="009E5259" w:rsidP="005A3173">
          <w:pPr>
            <w:pStyle w:val="Header"/>
            <w:spacing w:line="276" w:lineRule="auto"/>
            <w:rPr>
              <w:rFonts w:ascii="Calibri" w:eastAsia="MS Gothic" w:hAnsi="Calibri"/>
              <w:b/>
              <w:bCs/>
              <w:color w:val="4F81BD"/>
            </w:rPr>
          </w:pPr>
        </w:p>
      </w:tc>
    </w:tr>
    <w:tr w:rsidR="009E5259" w:rsidTr="005A3173">
      <w:trPr>
        <w:trHeight w:val="150"/>
      </w:trPr>
      <w:tc>
        <w:tcPr>
          <w:tcW w:w="2250" w:type="pct"/>
          <w:tcBorders>
            <w:top w:val="single" w:sz="4" w:space="0" w:color="4F81BD"/>
            <w:left w:val="nil"/>
            <w:bottom w:val="nil"/>
            <w:right w:val="nil"/>
          </w:tcBorders>
        </w:tcPr>
        <w:p w:rsidR="009E5259" w:rsidRPr="005A3173" w:rsidRDefault="009E5259" w:rsidP="005A3173">
          <w:pPr>
            <w:pStyle w:val="Header"/>
            <w:spacing w:line="276" w:lineRule="auto"/>
            <w:rPr>
              <w:rFonts w:ascii="Calibri" w:eastAsia="MS Gothic" w:hAnsi="Calibri"/>
              <w:b/>
              <w:bCs/>
              <w:color w:val="4F81BD"/>
            </w:rPr>
          </w:pPr>
        </w:p>
      </w:tc>
      <w:tc>
        <w:tcPr>
          <w:tcW w:w="0" w:type="auto"/>
          <w:vMerge/>
          <w:vAlign w:val="center"/>
          <w:hideMark/>
        </w:tcPr>
        <w:p w:rsidR="009E5259" w:rsidRPr="005A3173" w:rsidRDefault="009E5259" w:rsidP="005A3173">
          <w:pPr>
            <w:rPr>
              <w:rFonts w:ascii="Calibri" w:hAnsi="Calibri"/>
              <w:color w:val="365F91"/>
              <w:sz w:val="22"/>
              <w:szCs w:val="22"/>
            </w:rPr>
          </w:pPr>
        </w:p>
      </w:tc>
      <w:tc>
        <w:tcPr>
          <w:tcW w:w="2250" w:type="pct"/>
          <w:tcBorders>
            <w:top w:val="single" w:sz="4" w:space="0" w:color="4F81BD"/>
            <w:left w:val="nil"/>
            <w:bottom w:val="nil"/>
            <w:right w:val="nil"/>
          </w:tcBorders>
        </w:tcPr>
        <w:p w:rsidR="009E5259" w:rsidRPr="005A3173" w:rsidRDefault="009E5259" w:rsidP="005A3173">
          <w:pPr>
            <w:pStyle w:val="Header"/>
            <w:spacing w:line="276" w:lineRule="auto"/>
            <w:rPr>
              <w:rFonts w:ascii="Calibri" w:eastAsia="MS Gothic" w:hAnsi="Calibri"/>
              <w:b/>
              <w:bCs/>
              <w:color w:val="4F81BD"/>
            </w:rPr>
          </w:pPr>
        </w:p>
      </w:tc>
    </w:tr>
  </w:tbl>
  <w:p w:rsidR="009E5259" w:rsidRPr="007C0F57" w:rsidRDefault="009E5259"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9E5259" w:rsidRPr="007C0F57" w:rsidRDefault="009E5259" w:rsidP="007C0F57">
    <w:pPr>
      <w:pStyle w:val="Footer"/>
      <w:jc w:val="center"/>
      <w:rPr>
        <w:b/>
        <w:i/>
        <w:sz w:val="20"/>
        <w:szCs w:val="20"/>
      </w:rPr>
    </w:pPr>
    <w:r w:rsidRPr="007C0F57">
      <w:rPr>
        <w:b/>
        <w:i/>
        <w:sz w:val="20"/>
        <w:szCs w:val="20"/>
      </w:rPr>
      <w:t>Commercial-in-Confidence</w:t>
    </w:r>
  </w:p>
  <w:p w:rsidR="009E5259" w:rsidRDefault="009E525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ADD" w:rsidRDefault="00702ADD">
      <w:r>
        <w:separator/>
      </w:r>
    </w:p>
    <w:p w:rsidR="00702ADD" w:rsidRDefault="00702ADD"/>
  </w:footnote>
  <w:footnote w:type="continuationSeparator" w:id="0">
    <w:p w:rsidR="00702ADD" w:rsidRDefault="00702ADD">
      <w:r>
        <w:continuationSeparator/>
      </w:r>
    </w:p>
    <w:p w:rsidR="00702ADD" w:rsidRDefault="00702AD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9E5259" w:rsidRPr="008E0D90" w:rsidTr="00A06225">
      <w:trPr>
        <w:trHeight w:val="151"/>
      </w:trPr>
      <w:tc>
        <w:tcPr>
          <w:tcW w:w="2389" w:type="pct"/>
          <w:tcBorders>
            <w:top w:val="nil"/>
            <w:left w:val="nil"/>
            <w:bottom w:val="single" w:sz="4" w:space="0" w:color="4F81BD"/>
            <w:right w:val="nil"/>
          </w:tcBorders>
        </w:tcPr>
        <w:p w:rsidR="009E5259" w:rsidRPr="00A06225" w:rsidRDefault="009E5259">
          <w:pPr>
            <w:pStyle w:val="Header"/>
            <w:spacing w:line="276" w:lineRule="auto"/>
            <w:rPr>
              <w:rFonts w:ascii="Cambria" w:eastAsia="MS Gothic" w:hAnsi="Cambria"/>
              <w:b/>
              <w:bCs/>
              <w:color w:val="4F81BD"/>
            </w:rPr>
          </w:pPr>
        </w:p>
      </w:tc>
      <w:tc>
        <w:tcPr>
          <w:tcW w:w="333" w:type="pct"/>
          <w:vMerge w:val="restart"/>
          <w:noWrap/>
          <w:vAlign w:val="center"/>
          <w:hideMark/>
        </w:tcPr>
        <w:p w:rsidR="009E5259" w:rsidRPr="00A06225" w:rsidRDefault="009E5259"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9E5259" w:rsidRPr="00A06225" w:rsidRDefault="009E5259">
          <w:pPr>
            <w:pStyle w:val="Header"/>
            <w:spacing w:line="276" w:lineRule="auto"/>
            <w:rPr>
              <w:rFonts w:ascii="Cambria" w:eastAsia="MS Gothic" w:hAnsi="Cambria"/>
              <w:b/>
              <w:bCs/>
              <w:color w:val="4F81BD"/>
            </w:rPr>
          </w:pPr>
        </w:p>
      </w:tc>
    </w:tr>
    <w:tr w:rsidR="009E5259" w:rsidRPr="008E0D90" w:rsidTr="00A06225">
      <w:trPr>
        <w:trHeight w:val="150"/>
      </w:trPr>
      <w:tc>
        <w:tcPr>
          <w:tcW w:w="2389" w:type="pct"/>
          <w:tcBorders>
            <w:top w:val="single" w:sz="4" w:space="0" w:color="4F81BD"/>
            <w:left w:val="nil"/>
            <w:bottom w:val="nil"/>
            <w:right w:val="nil"/>
          </w:tcBorders>
        </w:tcPr>
        <w:p w:rsidR="009E5259" w:rsidRPr="00A06225" w:rsidRDefault="009E5259">
          <w:pPr>
            <w:pStyle w:val="Header"/>
            <w:spacing w:line="276" w:lineRule="auto"/>
            <w:rPr>
              <w:rFonts w:ascii="Cambria" w:eastAsia="MS Gothic" w:hAnsi="Cambria"/>
              <w:b/>
              <w:bCs/>
              <w:color w:val="4F81BD"/>
            </w:rPr>
          </w:pPr>
        </w:p>
      </w:tc>
      <w:tc>
        <w:tcPr>
          <w:tcW w:w="0" w:type="auto"/>
          <w:vMerge/>
          <w:vAlign w:val="center"/>
          <w:hideMark/>
        </w:tcPr>
        <w:p w:rsidR="009E5259" w:rsidRPr="00A06225" w:rsidRDefault="009E5259">
          <w:pPr>
            <w:rPr>
              <w:rFonts w:ascii="Cambria" w:hAnsi="Cambria"/>
              <w:color w:val="4F81BD"/>
              <w:sz w:val="22"/>
              <w:szCs w:val="22"/>
            </w:rPr>
          </w:pPr>
        </w:p>
      </w:tc>
      <w:tc>
        <w:tcPr>
          <w:tcW w:w="2278" w:type="pct"/>
          <w:tcBorders>
            <w:top w:val="single" w:sz="4" w:space="0" w:color="4F81BD"/>
            <w:left w:val="nil"/>
            <w:bottom w:val="nil"/>
            <w:right w:val="nil"/>
          </w:tcBorders>
        </w:tcPr>
        <w:p w:rsidR="009E5259" w:rsidRPr="00A06225" w:rsidRDefault="009E5259">
          <w:pPr>
            <w:pStyle w:val="Header"/>
            <w:spacing w:line="276" w:lineRule="auto"/>
            <w:rPr>
              <w:rFonts w:ascii="Cambria" w:eastAsia="MS Gothic" w:hAnsi="Cambria"/>
              <w:b/>
              <w:bCs/>
              <w:color w:val="4F81BD"/>
            </w:rPr>
          </w:pPr>
        </w:p>
      </w:tc>
    </w:tr>
  </w:tbl>
  <w:p w:rsidR="009E5259" w:rsidRDefault="009E5259">
    <w:pPr>
      <w:pStyle w:val="Header"/>
    </w:pPr>
  </w:p>
  <w:p w:rsidR="009E5259" w:rsidRDefault="009E525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259" w:rsidRDefault="009E5259" w:rsidP="00A128E6">
    <w:pPr>
      <w:pStyle w:val="NoSpacing"/>
    </w:pPr>
  </w:p>
  <w:p w:rsidR="009E5259" w:rsidRPr="003C2DFD" w:rsidRDefault="00504DA9" w:rsidP="003C2DFD">
    <w:pPr>
      <w:pStyle w:val="Header"/>
      <w:ind w:left="360"/>
      <w:jc w:val="center"/>
      <w:rPr>
        <w:rFonts w:asciiTheme="minorHAnsi" w:hAnsiTheme="minorHAnsi" w:cs="Arial"/>
        <w:i/>
      </w:rPr>
    </w:pPr>
    <w:r>
      <w:rPr>
        <w:rFonts w:asciiTheme="minorHAnsi" w:hAnsiTheme="minorHAnsi" w:cs="Arial"/>
        <w:i/>
      </w:rPr>
      <w:t>Public Summary Document</w:t>
    </w:r>
    <w:r w:rsidR="009E5259" w:rsidRPr="003C2DFD">
      <w:rPr>
        <w:rFonts w:asciiTheme="minorHAnsi" w:hAnsiTheme="minorHAnsi" w:cs="Arial"/>
        <w:i/>
      </w:rPr>
      <w:t xml:space="preserve"> – </w:t>
    </w:r>
    <w:r w:rsidR="009E5259">
      <w:rPr>
        <w:rFonts w:asciiTheme="minorHAnsi" w:hAnsiTheme="minorHAnsi" w:cs="Arial"/>
        <w:i/>
      </w:rPr>
      <w:t>November 2018</w:t>
    </w:r>
    <w:r w:rsidR="009E5259" w:rsidRPr="003C2DFD">
      <w:rPr>
        <w:rFonts w:asciiTheme="minorHAnsi" w:hAnsiTheme="minorHAnsi" w:cs="Arial"/>
        <w:i/>
      </w:rPr>
      <w:t xml:space="preserve"> PBAC Meeting</w:t>
    </w:r>
  </w:p>
  <w:p w:rsidR="009E5259" w:rsidRPr="003C2DFD" w:rsidRDefault="009E5259" w:rsidP="003C2DFD">
    <w:pPr>
      <w:pStyle w:val="NoSpacing"/>
      <w:jc w:val="center"/>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8F5" w:rsidRDefault="00FD28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EA3828"/>
    <w:multiLevelType w:val="multilevel"/>
    <w:tmpl w:val="46F45008"/>
    <w:lvl w:ilvl="0">
      <w:start w:val="1"/>
      <w:numFmt w:val="decimal"/>
      <w:lvlText w:val="%1"/>
      <w:lvlJc w:val="left"/>
      <w:pPr>
        <w:ind w:left="720" w:hanging="720"/>
      </w:pPr>
      <w:rPr>
        <w:rFonts w:hint="default"/>
        <w:b/>
      </w:rPr>
    </w:lvl>
    <w:lvl w:ilvl="1">
      <w:start w:val="1"/>
      <w:numFmt w:val="bullet"/>
      <w:lvlText w:val="o"/>
      <w:lvlJc w:val="left"/>
      <w:pPr>
        <w:ind w:left="720" w:hanging="720"/>
      </w:pPr>
      <w:rPr>
        <w:rFonts w:ascii="Courier New" w:hAnsi="Courier New" w:cs="Courier New"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D867ED4"/>
    <w:multiLevelType w:val="multilevel"/>
    <w:tmpl w:val="A830B94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F37469"/>
    <w:multiLevelType w:val="multilevel"/>
    <w:tmpl w:val="6AFE0D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7E01A3"/>
    <w:multiLevelType w:val="multilevel"/>
    <w:tmpl w:val="F228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4A74983"/>
    <w:multiLevelType w:val="hybridMultilevel"/>
    <w:tmpl w:val="E68C1FBC"/>
    <w:lvl w:ilvl="0" w:tplc="3C0C2AD0">
      <w:start w:val="9"/>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6F844EE"/>
    <w:multiLevelType w:val="hybridMultilevel"/>
    <w:tmpl w:val="A88A380A"/>
    <w:lvl w:ilvl="0" w:tplc="002E5A38">
      <w:start w:val="1"/>
      <w:numFmt w:val="decimal"/>
      <w:lvlText w:val="%1."/>
      <w:lvlJc w:val="left"/>
      <w:pPr>
        <w:ind w:left="1260" w:hanging="54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7936B5A"/>
    <w:multiLevelType w:val="multilevel"/>
    <w:tmpl w:val="4C3E79B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976F4E"/>
    <w:multiLevelType w:val="multilevel"/>
    <w:tmpl w:val="A628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C35F37"/>
    <w:multiLevelType w:val="hybridMultilevel"/>
    <w:tmpl w:val="F8CA23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8E47CFB"/>
    <w:multiLevelType w:val="multilevel"/>
    <w:tmpl w:val="FFB8DB52"/>
    <w:lvl w:ilvl="0">
      <w:start w:val="1"/>
      <w:numFmt w:val="decimal"/>
      <w:lvlText w:val="%1"/>
      <w:lvlJc w:val="left"/>
      <w:pPr>
        <w:ind w:left="720" w:hanging="720"/>
      </w:pPr>
      <w:rPr>
        <w:rFonts w:hint="default"/>
        <w:b/>
      </w:rPr>
    </w:lvl>
    <w:lvl w:ilvl="1">
      <w:start w:val="1"/>
      <w:numFmt w:val="bullet"/>
      <w:lvlText w:val="o"/>
      <w:lvlJc w:val="left"/>
      <w:pPr>
        <w:ind w:left="720" w:hanging="720"/>
      </w:pPr>
      <w:rPr>
        <w:rFonts w:ascii="Courier New" w:hAnsi="Courier New" w:cs="Courier New"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C19628B"/>
    <w:multiLevelType w:val="hybridMultilevel"/>
    <w:tmpl w:val="71E8592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D1F274E"/>
    <w:multiLevelType w:val="multilevel"/>
    <w:tmpl w:val="6AFE0D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2A227BF"/>
    <w:multiLevelType w:val="multilevel"/>
    <w:tmpl w:val="24F40B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A52A68"/>
    <w:multiLevelType w:val="hybridMultilevel"/>
    <w:tmpl w:val="0602CD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0764148"/>
    <w:multiLevelType w:val="multilevel"/>
    <w:tmpl w:val="4E903C24"/>
    <w:lvl w:ilvl="0">
      <w:start w:val="1"/>
      <w:numFmt w:val="decimal"/>
      <w:lvlText w:val="%1"/>
      <w:lvlJc w:val="left"/>
      <w:pPr>
        <w:ind w:left="720" w:hanging="720"/>
      </w:pPr>
      <w:rPr>
        <w:rFonts w:hint="default"/>
        <w:b/>
      </w:rPr>
    </w:lvl>
    <w:lvl w:ilvl="1">
      <w:start w:val="1"/>
      <w:numFmt w:val="bullet"/>
      <w:lvlText w:val="o"/>
      <w:lvlJc w:val="left"/>
      <w:pPr>
        <w:ind w:left="720" w:hanging="720"/>
      </w:pPr>
      <w:rPr>
        <w:rFonts w:ascii="Courier New" w:hAnsi="Courier New" w:cs="Courier New"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8120A62"/>
    <w:multiLevelType w:val="multilevel"/>
    <w:tmpl w:val="E7A4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4D033C"/>
    <w:multiLevelType w:val="multilevel"/>
    <w:tmpl w:val="CECC1620"/>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cstheme="minorHAnsi" w:hint="default"/>
        <w:i w:val="0"/>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8AC2E8F"/>
    <w:multiLevelType w:val="hybridMultilevel"/>
    <w:tmpl w:val="9B72EF12"/>
    <w:lvl w:ilvl="0" w:tplc="EA4AB75C">
      <w:start w:val="1"/>
      <w:numFmt w:val="decimal"/>
      <w:lvlText w:val="%1."/>
      <w:lvlJc w:val="left"/>
      <w:pPr>
        <w:ind w:left="720" w:hanging="360"/>
      </w:pPr>
      <w:rPr>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812F24"/>
    <w:multiLevelType w:val="hybridMultilevel"/>
    <w:tmpl w:val="7F289130"/>
    <w:lvl w:ilvl="0" w:tplc="3C0C2AD0">
      <w:start w:val="9"/>
      <w:numFmt w:val="bullet"/>
      <w:lvlText w:val="-"/>
      <w:lvlJc w:val="left"/>
      <w:pPr>
        <w:ind w:left="720" w:hanging="360"/>
      </w:pPr>
      <w:rPr>
        <w:rFonts w:ascii="Arial Narrow" w:eastAsia="Times New Roman"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8"/>
  </w:num>
  <w:num w:numId="4">
    <w:abstractNumId w:val="22"/>
  </w:num>
  <w:num w:numId="5">
    <w:abstractNumId w:val="32"/>
  </w:num>
  <w:num w:numId="6">
    <w:abstractNumId w:val="10"/>
  </w:num>
  <w:num w:numId="7">
    <w:abstractNumId w:val="21"/>
  </w:num>
  <w:num w:numId="8">
    <w:abstractNumId w:val="4"/>
  </w:num>
  <w:num w:numId="9">
    <w:abstractNumId w:val="20"/>
  </w:num>
  <w:num w:numId="10">
    <w:abstractNumId w:val="18"/>
  </w:num>
  <w:num w:numId="11">
    <w:abstractNumId w:val="17"/>
  </w:num>
  <w:num w:numId="12">
    <w:abstractNumId w:val="1"/>
  </w:num>
  <w:num w:numId="13">
    <w:abstractNumId w:val="0"/>
  </w:num>
  <w:num w:numId="14">
    <w:abstractNumId w:val="32"/>
  </w:num>
  <w:num w:numId="15">
    <w:abstractNumId w:val="28"/>
  </w:num>
  <w:num w:numId="16">
    <w:abstractNumId w:val="9"/>
  </w:num>
  <w:num w:numId="17">
    <w:abstractNumId w:val="27"/>
  </w:num>
  <w:num w:numId="18">
    <w:abstractNumId w:val="15"/>
  </w:num>
  <w:num w:numId="19">
    <w:abstractNumId w:val="33"/>
  </w:num>
  <w:num w:numId="20">
    <w:abstractNumId w:val="7"/>
  </w:num>
  <w:num w:numId="21">
    <w:abstractNumId w:val="16"/>
  </w:num>
  <w:num w:numId="22">
    <w:abstractNumId w:val="25"/>
  </w:num>
  <w:num w:numId="23">
    <w:abstractNumId w:val="30"/>
  </w:num>
  <w:num w:numId="24">
    <w:abstractNumId w:val="6"/>
  </w:num>
  <w:num w:numId="25">
    <w:abstractNumId w:val="29"/>
  </w:num>
  <w:num w:numId="26">
    <w:abstractNumId w:val="26"/>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4"/>
  </w:num>
  <w:num w:numId="30">
    <w:abstractNumId w:val="14"/>
  </w:num>
  <w:num w:numId="31">
    <w:abstractNumId w:val="23"/>
  </w:num>
  <w:num w:numId="32">
    <w:abstractNumId w:val="5"/>
  </w:num>
  <w:num w:numId="33">
    <w:abstractNumId w:val="2"/>
  </w:num>
  <w:num w:numId="34">
    <w:abstractNumId w:val="13"/>
  </w:num>
  <w:num w:numId="35">
    <w:abstractNumId w:val="11"/>
  </w:num>
  <w:num w:numId="36">
    <w:abstractNumId w:val="31"/>
  </w:num>
  <w:num w:numId="37">
    <w:abstractNumId w:val="19"/>
  </w:num>
  <w:num w:numId="38">
    <w:abstractNumId w:val="32"/>
  </w:num>
  <w:num w:numId="39">
    <w:abstractNumId w:val="3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40E"/>
    <w:rsid w:val="000024E8"/>
    <w:rsid w:val="000025AD"/>
    <w:rsid w:val="0000335D"/>
    <w:rsid w:val="000052C5"/>
    <w:rsid w:val="00011D43"/>
    <w:rsid w:val="00023EE4"/>
    <w:rsid w:val="0002464A"/>
    <w:rsid w:val="0003106B"/>
    <w:rsid w:val="000421A1"/>
    <w:rsid w:val="0004240E"/>
    <w:rsid w:val="00045E26"/>
    <w:rsid w:val="000514B5"/>
    <w:rsid w:val="00056B9F"/>
    <w:rsid w:val="00060E64"/>
    <w:rsid w:val="00061AA7"/>
    <w:rsid w:val="00066755"/>
    <w:rsid w:val="00067040"/>
    <w:rsid w:val="00077143"/>
    <w:rsid w:val="00081EAC"/>
    <w:rsid w:val="00082169"/>
    <w:rsid w:val="0008245F"/>
    <w:rsid w:val="00082C39"/>
    <w:rsid w:val="00092ECA"/>
    <w:rsid w:val="000956E9"/>
    <w:rsid w:val="000969AD"/>
    <w:rsid w:val="00097090"/>
    <w:rsid w:val="0009766B"/>
    <w:rsid w:val="000B558D"/>
    <w:rsid w:val="000C6996"/>
    <w:rsid w:val="000D1E98"/>
    <w:rsid w:val="000D23BA"/>
    <w:rsid w:val="000D43A0"/>
    <w:rsid w:val="000D5EBA"/>
    <w:rsid w:val="000E0C17"/>
    <w:rsid w:val="000E681E"/>
    <w:rsid w:val="000F0003"/>
    <w:rsid w:val="000F263B"/>
    <w:rsid w:val="000F4E6A"/>
    <w:rsid w:val="001019A9"/>
    <w:rsid w:val="00104227"/>
    <w:rsid w:val="001107BF"/>
    <w:rsid w:val="0012417C"/>
    <w:rsid w:val="00130881"/>
    <w:rsid w:val="00142395"/>
    <w:rsid w:val="00142714"/>
    <w:rsid w:val="001452ED"/>
    <w:rsid w:val="001541F9"/>
    <w:rsid w:val="00163329"/>
    <w:rsid w:val="00164623"/>
    <w:rsid w:val="00165A21"/>
    <w:rsid w:val="00165B64"/>
    <w:rsid w:val="00173864"/>
    <w:rsid w:val="00180713"/>
    <w:rsid w:val="001830CE"/>
    <w:rsid w:val="0018643B"/>
    <w:rsid w:val="00195F54"/>
    <w:rsid w:val="00196307"/>
    <w:rsid w:val="00197B31"/>
    <w:rsid w:val="001A33EA"/>
    <w:rsid w:val="001A3C6D"/>
    <w:rsid w:val="001A5101"/>
    <w:rsid w:val="001A682D"/>
    <w:rsid w:val="001A7719"/>
    <w:rsid w:val="001B017F"/>
    <w:rsid w:val="001B2BBC"/>
    <w:rsid w:val="001B5129"/>
    <w:rsid w:val="001B536D"/>
    <w:rsid w:val="001C1195"/>
    <w:rsid w:val="001C384B"/>
    <w:rsid w:val="001D65BA"/>
    <w:rsid w:val="001F1850"/>
    <w:rsid w:val="00203FAC"/>
    <w:rsid w:val="00213CFB"/>
    <w:rsid w:val="00217BE1"/>
    <w:rsid w:val="00233EC3"/>
    <w:rsid w:val="00236B1A"/>
    <w:rsid w:val="00240526"/>
    <w:rsid w:val="00250478"/>
    <w:rsid w:val="002511B8"/>
    <w:rsid w:val="00251824"/>
    <w:rsid w:val="00254772"/>
    <w:rsid w:val="002554D1"/>
    <w:rsid w:val="00271BA1"/>
    <w:rsid w:val="002734A1"/>
    <w:rsid w:val="002762FA"/>
    <w:rsid w:val="00276A2A"/>
    <w:rsid w:val="00277505"/>
    <w:rsid w:val="0028367C"/>
    <w:rsid w:val="002913AE"/>
    <w:rsid w:val="0029458F"/>
    <w:rsid w:val="002A104C"/>
    <w:rsid w:val="002A4960"/>
    <w:rsid w:val="002B1AE6"/>
    <w:rsid w:val="002B2059"/>
    <w:rsid w:val="002B2DE8"/>
    <w:rsid w:val="002B30F8"/>
    <w:rsid w:val="002B5596"/>
    <w:rsid w:val="002B566A"/>
    <w:rsid w:val="002C212F"/>
    <w:rsid w:val="002C32BA"/>
    <w:rsid w:val="002D2280"/>
    <w:rsid w:val="002D4543"/>
    <w:rsid w:val="002E2E3F"/>
    <w:rsid w:val="002E3153"/>
    <w:rsid w:val="002E3444"/>
    <w:rsid w:val="002E72CA"/>
    <w:rsid w:val="002F600D"/>
    <w:rsid w:val="00300AD6"/>
    <w:rsid w:val="00304052"/>
    <w:rsid w:val="003043B0"/>
    <w:rsid w:val="00305688"/>
    <w:rsid w:val="0030701B"/>
    <w:rsid w:val="00317C6C"/>
    <w:rsid w:val="00326E79"/>
    <w:rsid w:val="003339B0"/>
    <w:rsid w:val="0033518A"/>
    <w:rsid w:val="003367EF"/>
    <w:rsid w:val="00341AE4"/>
    <w:rsid w:val="00373B9D"/>
    <w:rsid w:val="003816DC"/>
    <w:rsid w:val="00383147"/>
    <w:rsid w:val="003872CF"/>
    <w:rsid w:val="0039041E"/>
    <w:rsid w:val="0039782C"/>
    <w:rsid w:val="003A5B4A"/>
    <w:rsid w:val="003B1FC4"/>
    <w:rsid w:val="003B23C5"/>
    <w:rsid w:val="003B2A75"/>
    <w:rsid w:val="003B6124"/>
    <w:rsid w:val="003C2DFD"/>
    <w:rsid w:val="003C2FB5"/>
    <w:rsid w:val="003C443D"/>
    <w:rsid w:val="003D4AC4"/>
    <w:rsid w:val="003D63B7"/>
    <w:rsid w:val="003E15A4"/>
    <w:rsid w:val="003E468B"/>
    <w:rsid w:val="003F2279"/>
    <w:rsid w:val="003F3228"/>
    <w:rsid w:val="003F3252"/>
    <w:rsid w:val="003F5C8C"/>
    <w:rsid w:val="003F65FA"/>
    <w:rsid w:val="00401EAA"/>
    <w:rsid w:val="0041055E"/>
    <w:rsid w:val="00411E4A"/>
    <w:rsid w:val="00412F8E"/>
    <w:rsid w:val="00417B58"/>
    <w:rsid w:val="004252EC"/>
    <w:rsid w:val="00430DE2"/>
    <w:rsid w:val="004465BD"/>
    <w:rsid w:val="00466ADA"/>
    <w:rsid w:val="0047082B"/>
    <w:rsid w:val="00476245"/>
    <w:rsid w:val="0048190F"/>
    <w:rsid w:val="00483035"/>
    <w:rsid w:val="00485940"/>
    <w:rsid w:val="00494A81"/>
    <w:rsid w:val="004A15FD"/>
    <w:rsid w:val="004A2484"/>
    <w:rsid w:val="004A5A85"/>
    <w:rsid w:val="004A71D1"/>
    <w:rsid w:val="004B5640"/>
    <w:rsid w:val="004C1BD7"/>
    <w:rsid w:val="004C31FE"/>
    <w:rsid w:val="004C691D"/>
    <w:rsid w:val="004C6C07"/>
    <w:rsid w:val="004D113D"/>
    <w:rsid w:val="004D3009"/>
    <w:rsid w:val="004E4CAE"/>
    <w:rsid w:val="004E692D"/>
    <w:rsid w:val="004F5AAE"/>
    <w:rsid w:val="004F60CB"/>
    <w:rsid w:val="00501554"/>
    <w:rsid w:val="00504DA9"/>
    <w:rsid w:val="005120AA"/>
    <w:rsid w:val="005125F3"/>
    <w:rsid w:val="00512E34"/>
    <w:rsid w:val="00514CD7"/>
    <w:rsid w:val="005153BB"/>
    <w:rsid w:val="005319B2"/>
    <w:rsid w:val="00532402"/>
    <w:rsid w:val="00532C74"/>
    <w:rsid w:val="0053356B"/>
    <w:rsid w:val="00534E2E"/>
    <w:rsid w:val="00544552"/>
    <w:rsid w:val="00555F42"/>
    <w:rsid w:val="00560C53"/>
    <w:rsid w:val="00560FC8"/>
    <w:rsid w:val="00577C4D"/>
    <w:rsid w:val="00581932"/>
    <w:rsid w:val="005931F7"/>
    <w:rsid w:val="00596034"/>
    <w:rsid w:val="005963BB"/>
    <w:rsid w:val="005A3173"/>
    <w:rsid w:val="005A3223"/>
    <w:rsid w:val="005A3DA3"/>
    <w:rsid w:val="005A52C4"/>
    <w:rsid w:val="005A67B1"/>
    <w:rsid w:val="005A77D0"/>
    <w:rsid w:val="005B746E"/>
    <w:rsid w:val="005C1CE0"/>
    <w:rsid w:val="005C25F8"/>
    <w:rsid w:val="005D03AB"/>
    <w:rsid w:val="005D1E9A"/>
    <w:rsid w:val="005D3309"/>
    <w:rsid w:val="005D5017"/>
    <w:rsid w:val="005D5CB4"/>
    <w:rsid w:val="005D69E3"/>
    <w:rsid w:val="005E1333"/>
    <w:rsid w:val="005F1D6D"/>
    <w:rsid w:val="00601A91"/>
    <w:rsid w:val="00602BA3"/>
    <w:rsid w:val="00607226"/>
    <w:rsid w:val="00612E34"/>
    <w:rsid w:val="0061304E"/>
    <w:rsid w:val="00614159"/>
    <w:rsid w:val="00617C00"/>
    <w:rsid w:val="006263BF"/>
    <w:rsid w:val="0062748A"/>
    <w:rsid w:val="00627CB7"/>
    <w:rsid w:val="00630A2C"/>
    <w:rsid w:val="006326F3"/>
    <w:rsid w:val="0063682E"/>
    <w:rsid w:val="006436CD"/>
    <w:rsid w:val="0064611F"/>
    <w:rsid w:val="006470C4"/>
    <w:rsid w:val="00651169"/>
    <w:rsid w:val="00651DA4"/>
    <w:rsid w:val="00653D69"/>
    <w:rsid w:val="00660EC2"/>
    <w:rsid w:val="00663070"/>
    <w:rsid w:val="006670BE"/>
    <w:rsid w:val="00670A76"/>
    <w:rsid w:val="006711AA"/>
    <w:rsid w:val="00672B57"/>
    <w:rsid w:val="00675622"/>
    <w:rsid w:val="0067747D"/>
    <w:rsid w:val="00681270"/>
    <w:rsid w:val="00687EA4"/>
    <w:rsid w:val="006906DB"/>
    <w:rsid w:val="00691E6C"/>
    <w:rsid w:val="00696129"/>
    <w:rsid w:val="006969B9"/>
    <w:rsid w:val="00697CF2"/>
    <w:rsid w:val="006A12A5"/>
    <w:rsid w:val="006B0D94"/>
    <w:rsid w:val="006B485D"/>
    <w:rsid w:val="006C708E"/>
    <w:rsid w:val="006D14E7"/>
    <w:rsid w:val="006D1C3A"/>
    <w:rsid w:val="006D2C53"/>
    <w:rsid w:val="006D551C"/>
    <w:rsid w:val="006D6493"/>
    <w:rsid w:val="006D6EC7"/>
    <w:rsid w:val="006D73D1"/>
    <w:rsid w:val="006F026A"/>
    <w:rsid w:val="006F2370"/>
    <w:rsid w:val="006F5125"/>
    <w:rsid w:val="00702ADD"/>
    <w:rsid w:val="00702B6F"/>
    <w:rsid w:val="00707BE0"/>
    <w:rsid w:val="00711FC0"/>
    <w:rsid w:val="0071340B"/>
    <w:rsid w:val="007174BB"/>
    <w:rsid w:val="0072025D"/>
    <w:rsid w:val="00725666"/>
    <w:rsid w:val="007353D3"/>
    <w:rsid w:val="00736373"/>
    <w:rsid w:val="007370C8"/>
    <w:rsid w:val="007434C8"/>
    <w:rsid w:val="0075506B"/>
    <w:rsid w:val="0075670A"/>
    <w:rsid w:val="0076420C"/>
    <w:rsid w:val="007708CE"/>
    <w:rsid w:val="00772BB6"/>
    <w:rsid w:val="007753C2"/>
    <w:rsid w:val="007838B8"/>
    <w:rsid w:val="00794954"/>
    <w:rsid w:val="007A1571"/>
    <w:rsid w:val="007B7179"/>
    <w:rsid w:val="007C0F57"/>
    <w:rsid w:val="007C40B6"/>
    <w:rsid w:val="007C729F"/>
    <w:rsid w:val="007E1D28"/>
    <w:rsid w:val="007F2641"/>
    <w:rsid w:val="007F53C0"/>
    <w:rsid w:val="007F7C36"/>
    <w:rsid w:val="00806796"/>
    <w:rsid w:val="008151D6"/>
    <w:rsid w:val="008156D3"/>
    <w:rsid w:val="00816D1B"/>
    <w:rsid w:val="00826F6D"/>
    <w:rsid w:val="008306F3"/>
    <w:rsid w:val="00830843"/>
    <w:rsid w:val="00834057"/>
    <w:rsid w:val="00837026"/>
    <w:rsid w:val="008459DA"/>
    <w:rsid w:val="00851E23"/>
    <w:rsid w:val="0085650E"/>
    <w:rsid w:val="00856DDD"/>
    <w:rsid w:val="00863E68"/>
    <w:rsid w:val="0086551C"/>
    <w:rsid w:val="0087042E"/>
    <w:rsid w:val="00873910"/>
    <w:rsid w:val="00874C30"/>
    <w:rsid w:val="00882085"/>
    <w:rsid w:val="00883188"/>
    <w:rsid w:val="00897D58"/>
    <w:rsid w:val="00897F22"/>
    <w:rsid w:val="008A1956"/>
    <w:rsid w:val="008A4937"/>
    <w:rsid w:val="008A50F1"/>
    <w:rsid w:val="008A5869"/>
    <w:rsid w:val="008B1EA4"/>
    <w:rsid w:val="008B7960"/>
    <w:rsid w:val="008C23B4"/>
    <w:rsid w:val="008D1B5C"/>
    <w:rsid w:val="008D3C82"/>
    <w:rsid w:val="008D4228"/>
    <w:rsid w:val="008D447E"/>
    <w:rsid w:val="008D7A41"/>
    <w:rsid w:val="008E3680"/>
    <w:rsid w:val="008E5870"/>
    <w:rsid w:val="008F1434"/>
    <w:rsid w:val="008F6778"/>
    <w:rsid w:val="008F7355"/>
    <w:rsid w:val="009011E6"/>
    <w:rsid w:val="00901530"/>
    <w:rsid w:val="0090280B"/>
    <w:rsid w:val="009067B7"/>
    <w:rsid w:val="0091169E"/>
    <w:rsid w:val="00913148"/>
    <w:rsid w:val="0092298A"/>
    <w:rsid w:val="00930937"/>
    <w:rsid w:val="00933E6C"/>
    <w:rsid w:val="009342A1"/>
    <w:rsid w:val="009364F2"/>
    <w:rsid w:val="00937958"/>
    <w:rsid w:val="00942160"/>
    <w:rsid w:val="00943581"/>
    <w:rsid w:val="0095146F"/>
    <w:rsid w:val="00955D5D"/>
    <w:rsid w:val="009602C5"/>
    <w:rsid w:val="00962223"/>
    <w:rsid w:val="00965E83"/>
    <w:rsid w:val="00966D0D"/>
    <w:rsid w:val="00974C21"/>
    <w:rsid w:val="00982FB8"/>
    <w:rsid w:val="00990FA9"/>
    <w:rsid w:val="0099637E"/>
    <w:rsid w:val="009A3D08"/>
    <w:rsid w:val="009B0F67"/>
    <w:rsid w:val="009B6476"/>
    <w:rsid w:val="009C639C"/>
    <w:rsid w:val="009C703C"/>
    <w:rsid w:val="009D3CAA"/>
    <w:rsid w:val="009E40E1"/>
    <w:rsid w:val="009E5259"/>
    <w:rsid w:val="009F3916"/>
    <w:rsid w:val="009F3D36"/>
    <w:rsid w:val="009F4E46"/>
    <w:rsid w:val="009F5B65"/>
    <w:rsid w:val="009F5F2E"/>
    <w:rsid w:val="00A06225"/>
    <w:rsid w:val="00A128E6"/>
    <w:rsid w:val="00A2018B"/>
    <w:rsid w:val="00A31255"/>
    <w:rsid w:val="00A316D1"/>
    <w:rsid w:val="00A34E6C"/>
    <w:rsid w:val="00A36FFA"/>
    <w:rsid w:val="00A370FC"/>
    <w:rsid w:val="00A37C8D"/>
    <w:rsid w:val="00A40026"/>
    <w:rsid w:val="00A4226A"/>
    <w:rsid w:val="00A5273B"/>
    <w:rsid w:val="00A53A9D"/>
    <w:rsid w:val="00A55FEE"/>
    <w:rsid w:val="00A62C1A"/>
    <w:rsid w:val="00A6426D"/>
    <w:rsid w:val="00A665C1"/>
    <w:rsid w:val="00A70136"/>
    <w:rsid w:val="00A70622"/>
    <w:rsid w:val="00A70977"/>
    <w:rsid w:val="00A75E78"/>
    <w:rsid w:val="00A75EA5"/>
    <w:rsid w:val="00A767D7"/>
    <w:rsid w:val="00A77613"/>
    <w:rsid w:val="00A8390C"/>
    <w:rsid w:val="00A928BD"/>
    <w:rsid w:val="00A954CA"/>
    <w:rsid w:val="00A95F33"/>
    <w:rsid w:val="00AA0611"/>
    <w:rsid w:val="00AA20BD"/>
    <w:rsid w:val="00AA4D1C"/>
    <w:rsid w:val="00AB7729"/>
    <w:rsid w:val="00AC193C"/>
    <w:rsid w:val="00AC5206"/>
    <w:rsid w:val="00AD7395"/>
    <w:rsid w:val="00AE11A5"/>
    <w:rsid w:val="00AE13E2"/>
    <w:rsid w:val="00AE22D3"/>
    <w:rsid w:val="00AE26AE"/>
    <w:rsid w:val="00AE2C43"/>
    <w:rsid w:val="00AF62DF"/>
    <w:rsid w:val="00AF68CC"/>
    <w:rsid w:val="00AF7145"/>
    <w:rsid w:val="00B07A01"/>
    <w:rsid w:val="00B07BA8"/>
    <w:rsid w:val="00B1059E"/>
    <w:rsid w:val="00B1527D"/>
    <w:rsid w:val="00B176C8"/>
    <w:rsid w:val="00B205AA"/>
    <w:rsid w:val="00B22E84"/>
    <w:rsid w:val="00B252E0"/>
    <w:rsid w:val="00B25F75"/>
    <w:rsid w:val="00B26B3F"/>
    <w:rsid w:val="00B27842"/>
    <w:rsid w:val="00B3368D"/>
    <w:rsid w:val="00B35E98"/>
    <w:rsid w:val="00B3658B"/>
    <w:rsid w:val="00B36E1D"/>
    <w:rsid w:val="00B43E90"/>
    <w:rsid w:val="00B467DC"/>
    <w:rsid w:val="00B56118"/>
    <w:rsid w:val="00B62438"/>
    <w:rsid w:val="00B641AD"/>
    <w:rsid w:val="00B6773F"/>
    <w:rsid w:val="00B67A29"/>
    <w:rsid w:val="00B801BA"/>
    <w:rsid w:val="00B84D5C"/>
    <w:rsid w:val="00B85A7E"/>
    <w:rsid w:val="00B8668F"/>
    <w:rsid w:val="00B96344"/>
    <w:rsid w:val="00BA7F5B"/>
    <w:rsid w:val="00BB399E"/>
    <w:rsid w:val="00BB69F5"/>
    <w:rsid w:val="00BB7EC3"/>
    <w:rsid w:val="00BC2A24"/>
    <w:rsid w:val="00BC4B9A"/>
    <w:rsid w:val="00BD784C"/>
    <w:rsid w:val="00BE489B"/>
    <w:rsid w:val="00BF4CB6"/>
    <w:rsid w:val="00C00DA7"/>
    <w:rsid w:val="00C01A08"/>
    <w:rsid w:val="00C12768"/>
    <w:rsid w:val="00C1317B"/>
    <w:rsid w:val="00C26DFB"/>
    <w:rsid w:val="00C27B58"/>
    <w:rsid w:val="00C35996"/>
    <w:rsid w:val="00C45978"/>
    <w:rsid w:val="00C46B22"/>
    <w:rsid w:val="00C4747E"/>
    <w:rsid w:val="00C5342C"/>
    <w:rsid w:val="00C54D9E"/>
    <w:rsid w:val="00C603D4"/>
    <w:rsid w:val="00C6256A"/>
    <w:rsid w:val="00C77891"/>
    <w:rsid w:val="00C846C2"/>
    <w:rsid w:val="00C87F7B"/>
    <w:rsid w:val="00C91449"/>
    <w:rsid w:val="00C92D10"/>
    <w:rsid w:val="00C97E24"/>
    <w:rsid w:val="00CA7EF3"/>
    <w:rsid w:val="00CB29EA"/>
    <w:rsid w:val="00CB624D"/>
    <w:rsid w:val="00CC08B5"/>
    <w:rsid w:val="00CE10C4"/>
    <w:rsid w:val="00CE1BA6"/>
    <w:rsid w:val="00CE27B5"/>
    <w:rsid w:val="00D0321E"/>
    <w:rsid w:val="00D1455A"/>
    <w:rsid w:val="00D214F0"/>
    <w:rsid w:val="00D31150"/>
    <w:rsid w:val="00D3138B"/>
    <w:rsid w:val="00D3280C"/>
    <w:rsid w:val="00D3406A"/>
    <w:rsid w:val="00D4572C"/>
    <w:rsid w:val="00D469B2"/>
    <w:rsid w:val="00D46BB7"/>
    <w:rsid w:val="00D63659"/>
    <w:rsid w:val="00D65EE4"/>
    <w:rsid w:val="00D741EB"/>
    <w:rsid w:val="00D83605"/>
    <w:rsid w:val="00D84934"/>
    <w:rsid w:val="00D869C7"/>
    <w:rsid w:val="00D90DCC"/>
    <w:rsid w:val="00D91271"/>
    <w:rsid w:val="00D919F5"/>
    <w:rsid w:val="00D94F03"/>
    <w:rsid w:val="00DA2CB5"/>
    <w:rsid w:val="00DA4BAC"/>
    <w:rsid w:val="00DA54CF"/>
    <w:rsid w:val="00DA5DE3"/>
    <w:rsid w:val="00DC26C9"/>
    <w:rsid w:val="00DD70C7"/>
    <w:rsid w:val="00DE6D27"/>
    <w:rsid w:val="00DF217D"/>
    <w:rsid w:val="00DF26A7"/>
    <w:rsid w:val="00E01DAB"/>
    <w:rsid w:val="00E06B3D"/>
    <w:rsid w:val="00E10873"/>
    <w:rsid w:val="00E145BD"/>
    <w:rsid w:val="00E15627"/>
    <w:rsid w:val="00E164B3"/>
    <w:rsid w:val="00E16910"/>
    <w:rsid w:val="00E17838"/>
    <w:rsid w:val="00E24DA9"/>
    <w:rsid w:val="00E34EB9"/>
    <w:rsid w:val="00E37F6D"/>
    <w:rsid w:val="00E42BDB"/>
    <w:rsid w:val="00E456A4"/>
    <w:rsid w:val="00E54753"/>
    <w:rsid w:val="00E57EEB"/>
    <w:rsid w:val="00E61B88"/>
    <w:rsid w:val="00E62D94"/>
    <w:rsid w:val="00E65E54"/>
    <w:rsid w:val="00E7320F"/>
    <w:rsid w:val="00E74F0C"/>
    <w:rsid w:val="00E80155"/>
    <w:rsid w:val="00E81F28"/>
    <w:rsid w:val="00E848C0"/>
    <w:rsid w:val="00E84C66"/>
    <w:rsid w:val="00E91B96"/>
    <w:rsid w:val="00E92E77"/>
    <w:rsid w:val="00E941A1"/>
    <w:rsid w:val="00E95CE3"/>
    <w:rsid w:val="00E9780F"/>
    <w:rsid w:val="00EA009A"/>
    <w:rsid w:val="00EA2825"/>
    <w:rsid w:val="00EB0B63"/>
    <w:rsid w:val="00EB1936"/>
    <w:rsid w:val="00EB5088"/>
    <w:rsid w:val="00EB67E4"/>
    <w:rsid w:val="00EB6EB1"/>
    <w:rsid w:val="00EC0920"/>
    <w:rsid w:val="00EC45B5"/>
    <w:rsid w:val="00EC5285"/>
    <w:rsid w:val="00ED1644"/>
    <w:rsid w:val="00ED2593"/>
    <w:rsid w:val="00ED36DC"/>
    <w:rsid w:val="00ED7D9C"/>
    <w:rsid w:val="00EF44A0"/>
    <w:rsid w:val="00EF4FED"/>
    <w:rsid w:val="00F00F99"/>
    <w:rsid w:val="00F023A0"/>
    <w:rsid w:val="00F050BD"/>
    <w:rsid w:val="00F05657"/>
    <w:rsid w:val="00F21567"/>
    <w:rsid w:val="00F24D16"/>
    <w:rsid w:val="00F25578"/>
    <w:rsid w:val="00F258E5"/>
    <w:rsid w:val="00F300BC"/>
    <w:rsid w:val="00F3334E"/>
    <w:rsid w:val="00F35902"/>
    <w:rsid w:val="00F36CCB"/>
    <w:rsid w:val="00F374E5"/>
    <w:rsid w:val="00F43AF2"/>
    <w:rsid w:val="00F50EC4"/>
    <w:rsid w:val="00F550CF"/>
    <w:rsid w:val="00F57A6D"/>
    <w:rsid w:val="00F638CC"/>
    <w:rsid w:val="00F64CC1"/>
    <w:rsid w:val="00F66A54"/>
    <w:rsid w:val="00F72317"/>
    <w:rsid w:val="00F75790"/>
    <w:rsid w:val="00F80475"/>
    <w:rsid w:val="00F8247A"/>
    <w:rsid w:val="00F86190"/>
    <w:rsid w:val="00F86BF7"/>
    <w:rsid w:val="00F93FCC"/>
    <w:rsid w:val="00F958E7"/>
    <w:rsid w:val="00F9629A"/>
    <w:rsid w:val="00F97EFC"/>
    <w:rsid w:val="00FA35BD"/>
    <w:rsid w:val="00FA3A29"/>
    <w:rsid w:val="00FA4A4C"/>
    <w:rsid w:val="00FA5883"/>
    <w:rsid w:val="00FA6055"/>
    <w:rsid w:val="00FB322F"/>
    <w:rsid w:val="00FB442F"/>
    <w:rsid w:val="00FC1929"/>
    <w:rsid w:val="00FC5B46"/>
    <w:rsid w:val="00FC5E2B"/>
    <w:rsid w:val="00FD1B44"/>
    <w:rsid w:val="00FD2350"/>
    <w:rsid w:val="00FD28F5"/>
    <w:rsid w:val="00FD50A7"/>
    <w:rsid w:val="00FD6D8E"/>
    <w:rsid w:val="00FE0E94"/>
    <w:rsid w:val="00FE1360"/>
    <w:rsid w:val="00FE43F5"/>
    <w:rsid w:val="00FF00BD"/>
    <w:rsid w:val="00FF1ED4"/>
    <w:rsid w:val="00FF2617"/>
    <w:rsid w:val="00FF2801"/>
    <w:rsid w:val="00FF35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0956E9"/>
    <w:pPr>
      <w:keepNext/>
      <w:keepLines/>
      <w:widowControl/>
      <w:numPr>
        <w:numId w:val="5"/>
      </w:numPr>
      <w:spacing w:before="240" w:after="120"/>
      <w:contextualSpacing w:val="0"/>
      <w:outlineLvl w:val="0"/>
    </w:pPr>
    <w:rPr>
      <w:rFonts w:asciiTheme="minorHAnsi" w:eastAsiaTheme="majorEastAsia" w:hAnsiTheme="minorHAnsi" w:cstheme="majorBidi"/>
      <w:b/>
      <w:snapToGrid/>
      <w:sz w:val="32"/>
      <w:szCs w:val="28"/>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1"/>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A70136"/>
    <w:pPr>
      <w:spacing w:after="120"/>
      <w:ind w:left="720" w:hanging="7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0956E9"/>
    <w:rPr>
      <w:rFonts w:asciiTheme="minorHAnsi" w:eastAsiaTheme="majorEastAsia" w:hAnsiTheme="minorHAnsi" w:cstheme="majorBidi"/>
      <w:b/>
      <w:sz w:val="32"/>
      <w:szCs w:val="28"/>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customStyle="1" w:styleId="SmallBold">
    <w:name w:val="Small Bold"/>
    <w:basedOn w:val="DefaultParagraphFont"/>
    <w:uiPriority w:val="4"/>
    <w:qFormat/>
    <w:rsid w:val="004F5AAE"/>
    <w:rPr>
      <w:rFonts w:ascii="Calibri" w:hAnsi="Calibri"/>
      <w:b/>
      <w:sz w:val="20"/>
      <w:lang w:val="en-AU"/>
    </w:rPr>
  </w:style>
  <w:style w:type="paragraph" w:customStyle="1" w:styleId="TableLeft">
    <w:name w:val="Table Left"/>
    <w:basedOn w:val="Normal"/>
    <w:link w:val="TableLeftChar"/>
    <w:uiPriority w:val="99"/>
    <w:qFormat/>
    <w:rsid w:val="004F5AAE"/>
    <w:rPr>
      <w:rFonts w:ascii="Calibri" w:hAnsi="Calibri"/>
      <w:sz w:val="20"/>
      <w:szCs w:val="22"/>
      <w:lang w:eastAsia="en-US"/>
    </w:rPr>
  </w:style>
  <w:style w:type="character" w:customStyle="1" w:styleId="TableLeftChar">
    <w:name w:val="Table Left Char"/>
    <w:basedOn w:val="DefaultParagraphFont"/>
    <w:link w:val="TableLeft"/>
    <w:uiPriority w:val="99"/>
    <w:locked/>
    <w:rsid w:val="004F5AAE"/>
    <w:rPr>
      <w:rFonts w:ascii="Calibri" w:hAnsi="Calibri"/>
      <w:szCs w:val="22"/>
      <w:lang w:eastAsia="en-US"/>
    </w:rPr>
  </w:style>
  <w:style w:type="paragraph" w:customStyle="1" w:styleId="Default">
    <w:name w:val="Default"/>
    <w:rsid w:val="00A767D7"/>
    <w:pPr>
      <w:autoSpaceDE w:val="0"/>
      <w:autoSpaceDN w:val="0"/>
      <w:adjustRightInd w:val="0"/>
    </w:pPr>
    <w:rPr>
      <w:rFonts w:ascii="Arial" w:hAnsi="Arial" w:cs="Arial"/>
      <w:color w:val="000000"/>
      <w:sz w:val="24"/>
      <w:szCs w:val="24"/>
    </w:rPr>
  </w:style>
  <w:style w:type="character" w:customStyle="1" w:styleId="label-">
    <w:name w:val="label-"/>
    <w:basedOn w:val="DefaultParagraphFont"/>
    <w:rsid w:val="001C384B"/>
  </w:style>
  <w:style w:type="paragraph" w:styleId="NormalWeb">
    <w:name w:val="Normal (Web)"/>
    <w:basedOn w:val="Normal"/>
    <w:uiPriority w:val="99"/>
    <w:unhideWhenUsed/>
    <w:rsid w:val="001C384B"/>
    <w:pPr>
      <w:spacing w:before="100" w:beforeAutospacing="1" w:after="100" w:afterAutospacing="1"/>
    </w:pPr>
  </w:style>
  <w:style w:type="paragraph" w:styleId="Caption">
    <w:name w:val="caption"/>
    <w:basedOn w:val="Normal"/>
    <w:next w:val="Normal"/>
    <w:unhideWhenUsed/>
    <w:qFormat/>
    <w:rsid w:val="006F026A"/>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222836226">
      <w:bodyDiv w:val="1"/>
      <w:marLeft w:val="0"/>
      <w:marRight w:val="0"/>
      <w:marTop w:val="0"/>
      <w:marBottom w:val="0"/>
      <w:divBdr>
        <w:top w:val="none" w:sz="0" w:space="0" w:color="auto"/>
        <w:left w:val="none" w:sz="0" w:space="0" w:color="auto"/>
        <w:bottom w:val="none" w:sz="0" w:space="0" w:color="auto"/>
        <w:right w:val="none" w:sz="0" w:space="0" w:color="auto"/>
      </w:divBdr>
    </w:div>
    <w:div w:id="292449455">
      <w:bodyDiv w:val="1"/>
      <w:marLeft w:val="0"/>
      <w:marRight w:val="0"/>
      <w:marTop w:val="0"/>
      <w:marBottom w:val="0"/>
      <w:divBdr>
        <w:top w:val="none" w:sz="0" w:space="0" w:color="auto"/>
        <w:left w:val="none" w:sz="0" w:space="0" w:color="auto"/>
        <w:bottom w:val="none" w:sz="0" w:space="0" w:color="auto"/>
        <w:right w:val="none" w:sz="0" w:space="0" w:color="auto"/>
      </w:divBdr>
    </w:div>
    <w:div w:id="459156258">
      <w:bodyDiv w:val="1"/>
      <w:marLeft w:val="0"/>
      <w:marRight w:val="0"/>
      <w:marTop w:val="0"/>
      <w:marBottom w:val="0"/>
      <w:divBdr>
        <w:top w:val="none" w:sz="0" w:space="0" w:color="auto"/>
        <w:left w:val="none" w:sz="0" w:space="0" w:color="auto"/>
        <w:bottom w:val="none" w:sz="0" w:space="0" w:color="auto"/>
        <w:right w:val="none" w:sz="0" w:space="0" w:color="auto"/>
      </w:divBdr>
    </w:div>
    <w:div w:id="732386342">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59868977">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4C176-8560-4089-8871-59FDCEFEB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6875</Words>
  <Characters>40307</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2019-03-04T23:43:00Z</dcterms:created>
  <dcterms:modified xsi:type="dcterms:W3CDTF">2019-03-04T23:43:00Z</dcterms:modified>
</cp:coreProperties>
</file>