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577C4D" w:rsidRDefault="0055433C" w:rsidP="00705BE5">
      <w:pPr>
        <w:pStyle w:val="Title"/>
        <w:spacing w:before="120" w:after="160"/>
        <w:ind w:left="720" w:hanging="720"/>
        <w:rPr>
          <w:rFonts w:asciiTheme="minorHAnsi" w:hAnsiTheme="minorHAnsi"/>
          <w:sz w:val="36"/>
          <w:szCs w:val="36"/>
        </w:rPr>
      </w:pPr>
      <w:r>
        <w:rPr>
          <w:rFonts w:asciiTheme="minorHAnsi" w:hAnsiTheme="minorHAnsi"/>
          <w:sz w:val="36"/>
          <w:szCs w:val="36"/>
        </w:rPr>
        <w:t>6.17</w:t>
      </w:r>
      <w:r w:rsidR="00BA31A7">
        <w:rPr>
          <w:rFonts w:asciiTheme="minorHAnsi" w:hAnsiTheme="minorHAnsi"/>
          <w:sz w:val="36"/>
          <w:szCs w:val="36"/>
        </w:rPr>
        <w:t xml:space="preserve"> </w:t>
      </w:r>
      <w:r w:rsidR="001A0A0C">
        <w:rPr>
          <w:rFonts w:asciiTheme="minorHAnsi" w:hAnsiTheme="minorHAnsi"/>
          <w:sz w:val="36"/>
          <w:szCs w:val="36"/>
        </w:rPr>
        <w:t xml:space="preserve">QUADRIVALENT </w:t>
      </w:r>
      <w:r>
        <w:rPr>
          <w:rFonts w:asciiTheme="minorHAnsi" w:hAnsiTheme="minorHAnsi"/>
          <w:sz w:val="36"/>
          <w:szCs w:val="36"/>
        </w:rPr>
        <w:t>INFLUENZA VACCINES</w:t>
      </w:r>
      <w:r w:rsidR="001A0A0C">
        <w:rPr>
          <w:rFonts w:asciiTheme="minorHAnsi" w:hAnsiTheme="minorHAnsi"/>
          <w:sz w:val="36"/>
          <w:szCs w:val="36"/>
        </w:rPr>
        <w:br/>
      </w:r>
      <w:proofErr w:type="spellStart"/>
      <w:r w:rsidR="001A0A0C">
        <w:rPr>
          <w:rFonts w:asciiTheme="minorHAnsi" w:hAnsiTheme="minorHAnsi"/>
          <w:sz w:val="36"/>
          <w:szCs w:val="36"/>
        </w:rPr>
        <w:t>FluQuadri</w:t>
      </w:r>
      <w:proofErr w:type="spellEnd"/>
      <w:r w:rsidR="001A0A0C" w:rsidRPr="001A0A0C">
        <w:rPr>
          <w:rFonts w:asciiTheme="minorHAnsi" w:hAnsiTheme="minorHAnsi"/>
          <w:sz w:val="36"/>
          <w:szCs w:val="36"/>
        </w:rPr>
        <w:t>®</w:t>
      </w:r>
      <w:r w:rsidR="001A0A0C">
        <w:rPr>
          <w:rFonts w:asciiTheme="minorHAnsi" w:hAnsiTheme="minorHAnsi"/>
          <w:sz w:val="36"/>
          <w:szCs w:val="36"/>
        </w:rPr>
        <w:t>, Sanofi Pasteur</w:t>
      </w:r>
      <w:r w:rsidR="001A0A0C">
        <w:rPr>
          <w:rFonts w:asciiTheme="minorHAnsi" w:hAnsiTheme="minorHAnsi"/>
          <w:sz w:val="36"/>
          <w:szCs w:val="36"/>
        </w:rPr>
        <w:br/>
      </w:r>
      <w:proofErr w:type="spellStart"/>
      <w:r w:rsidR="001A0A0C">
        <w:rPr>
          <w:rFonts w:asciiTheme="minorHAnsi" w:hAnsiTheme="minorHAnsi"/>
          <w:sz w:val="36"/>
          <w:szCs w:val="36"/>
        </w:rPr>
        <w:t>Fluarix</w:t>
      </w:r>
      <w:proofErr w:type="spellEnd"/>
      <w:r w:rsidR="001A0A0C">
        <w:rPr>
          <w:rFonts w:asciiTheme="minorHAnsi" w:hAnsiTheme="minorHAnsi"/>
          <w:sz w:val="36"/>
          <w:szCs w:val="36"/>
        </w:rPr>
        <w:t>® Tetra, GlaxoSmithKline Australia Pty Ltd</w:t>
      </w:r>
      <w:r w:rsidR="001A0A0C">
        <w:rPr>
          <w:rFonts w:asciiTheme="minorHAnsi" w:hAnsiTheme="minorHAnsi"/>
          <w:sz w:val="36"/>
          <w:szCs w:val="36"/>
        </w:rPr>
        <w:br/>
        <w:t xml:space="preserve">Afluria® Quad, </w:t>
      </w:r>
      <w:proofErr w:type="spellStart"/>
      <w:r w:rsidR="001A0A0C" w:rsidRPr="001A0A0C">
        <w:rPr>
          <w:rFonts w:asciiTheme="minorHAnsi" w:hAnsiTheme="minorHAnsi"/>
          <w:sz w:val="36"/>
          <w:szCs w:val="36"/>
        </w:rPr>
        <w:t>Seqirus</w:t>
      </w:r>
      <w:proofErr w:type="spellEnd"/>
      <w:r w:rsidR="001A0A0C" w:rsidRPr="001A0A0C">
        <w:rPr>
          <w:rFonts w:asciiTheme="minorHAnsi" w:hAnsiTheme="minorHAnsi"/>
          <w:sz w:val="36"/>
          <w:szCs w:val="36"/>
        </w:rPr>
        <w:t xml:space="preserve"> (Australia) Pty Ltd</w:t>
      </w:r>
      <w:r w:rsidR="006D6493" w:rsidRPr="002B5596">
        <w:rPr>
          <w:rFonts w:asciiTheme="minorHAnsi" w:hAnsiTheme="minorHAnsi"/>
          <w:sz w:val="36"/>
          <w:szCs w:val="36"/>
        </w:rPr>
        <w:br/>
      </w:r>
      <w:r w:rsidR="00646222" w:rsidRPr="00646222">
        <w:rPr>
          <w:rFonts w:asciiTheme="minorHAnsi" w:hAnsiTheme="minorHAnsi"/>
          <w:sz w:val="36"/>
          <w:szCs w:val="36"/>
        </w:rPr>
        <w:t>Chief Medical Officer</w:t>
      </w:r>
      <w:r>
        <w:rPr>
          <w:rFonts w:asciiTheme="minorHAnsi" w:hAnsiTheme="minorHAnsi"/>
          <w:sz w:val="36"/>
          <w:szCs w:val="36"/>
        </w:rPr>
        <w:t>, Department of Health</w:t>
      </w:r>
    </w:p>
    <w:p w:rsidR="008A50F1" w:rsidRPr="00D4572C" w:rsidRDefault="00CE10C4" w:rsidP="00705BE5">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EF44A0" w:rsidP="00705BE5">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submission </w:t>
      </w:r>
      <w:r w:rsidR="0055433C">
        <w:rPr>
          <w:rFonts w:asciiTheme="minorHAnsi" w:eastAsiaTheme="minorHAnsi" w:hAnsiTheme="minorHAnsi" w:cstheme="minorBidi"/>
          <w:snapToGrid/>
          <w:sz w:val="24"/>
          <w:szCs w:val="22"/>
        </w:rPr>
        <w:t xml:space="preserve">from the Chief Medical Officer (CMO) of the Department of Health </w:t>
      </w:r>
      <w:r w:rsidR="00FF2801" w:rsidRPr="001B2BBC">
        <w:rPr>
          <w:rFonts w:asciiTheme="minorHAnsi" w:eastAsiaTheme="minorHAnsi" w:hAnsiTheme="minorHAnsi" w:cstheme="minorBidi"/>
          <w:snapToGrid/>
          <w:sz w:val="24"/>
          <w:szCs w:val="22"/>
        </w:rPr>
        <w:t>requested</w:t>
      </w:r>
      <w:r w:rsidR="0055433C">
        <w:rPr>
          <w:rFonts w:asciiTheme="minorHAnsi" w:eastAsiaTheme="minorHAnsi" w:hAnsiTheme="minorHAnsi" w:cstheme="minorBidi"/>
          <w:snapToGrid/>
          <w:sz w:val="24"/>
          <w:szCs w:val="22"/>
        </w:rPr>
        <w:t xml:space="preserve"> </w:t>
      </w:r>
      <w:r w:rsidR="004E2D28">
        <w:rPr>
          <w:rFonts w:asciiTheme="minorHAnsi" w:eastAsiaTheme="minorHAnsi" w:hAnsiTheme="minorHAnsi" w:cstheme="minorBidi"/>
          <w:snapToGrid/>
          <w:sz w:val="24"/>
          <w:szCs w:val="22"/>
        </w:rPr>
        <w:t xml:space="preserve">that </w:t>
      </w:r>
      <w:r w:rsidR="0055433C">
        <w:rPr>
          <w:rFonts w:asciiTheme="minorHAnsi" w:eastAsiaTheme="minorHAnsi" w:hAnsiTheme="minorHAnsi" w:cstheme="minorBidi"/>
          <w:snapToGrid/>
          <w:sz w:val="24"/>
          <w:szCs w:val="22"/>
        </w:rPr>
        <w:t>eligibility for National Immunisation Program (NIP) funded seasonal influenza vaccine for Aborigina</w:t>
      </w:r>
      <w:r w:rsidR="00EC7118">
        <w:rPr>
          <w:rFonts w:asciiTheme="minorHAnsi" w:eastAsiaTheme="minorHAnsi" w:hAnsiTheme="minorHAnsi" w:cstheme="minorBidi"/>
          <w:snapToGrid/>
          <w:sz w:val="24"/>
          <w:szCs w:val="22"/>
        </w:rPr>
        <w:t xml:space="preserve">l and/or Torres Strait Islander (Indigenous) people </w:t>
      </w:r>
      <w:r w:rsidR="0055433C">
        <w:rPr>
          <w:rFonts w:asciiTheme="minorHAnsi" w:eastAsiaTheme="minorHAnsi" w:hAnsiTheme="minorHAnsi" w:cstheme="minorBidi"/>
          <w:snapToGrid/>
          <w:sz w:val="24"/>
          <w:szCs w:val="22"/>
        </w:rPr>
        <w:t xml:space="preserve">be expanded to include children and adolescents aged 5 to </w:t>
      </w:r>
      <w:r w:rsidR="006A75ED">
        <w:rPr>
          <w:rFonts w:asciiTheme="minorHAnsi" w:eastAsiaTheme="minorHAnsi" w:hAnsiTheme="minorHAnsi" w:cstheme="minorBidi"/>
          <w:snapToGrid/>
          <w:sz w:val="24"/>
          <w:szCs w:val="22"/>
        </w:rPr>
        <w:t>&lt;</w:t>
      </w:r>
      <w:r w:rsidR="002C7207">
        <w:rPr>
          <w:rFonts w:asciiTheme="minorHAnsi" w:eastAsiaTheme="minorHAnsi" w:hAnsiTheme="minorHAnsi" w:cstheme="minorBidi"/>
          <w:snapToGrid/>
          <w:sz w:val="24"/>
          <w:szCs w:val="22"/>
        </w:rPr>
        <w:t>15</w:t>
      </w:r>
      <w:r w:rsidR="00264ED3">
        <w:rPr>
          <w:rFonts w:asciiTheme="minorHAnsi" w:eastAsiaTheme="minorHAnsi" w:hAnsiTheme="minorHAnsi" w:cstheme="minorBidi"/>
          <w:snapToGrid/>
          <w:sz w:val="24"/>
          <w:szCs w:val="22"/>
        </w:rPr>
        <w:t xml:space="preserve"> </w:t>
      </w:r>
      <w:r w:rsidR="0055433C">
        <w:rPr>
          <w:rFonts w:asciiTheme="minorHAnsi" w:eastAsiaTheme="minorHAnsi" w:hAnsiTheme="minorHAnsi" w:cstheme="minorBidi"/>
          <w:snapToGrid/>
          <w:sz w:val="24"/>
          <w:szCs w:val="22"/>
        </w:rPr>
        <w:t>years.</w:t>
      </w:r>
      <w:r w:rsidR="004E2D28">
        <w:rPr>
          <w:rFonts w:asciiTheme="minorHAnsi" w:eastAsiaTheme="minorHAnsi" w:hAnsiTheme="minorHAnsi" w:cstheme="minorBidi"/>
          <w:snapToGrid/>
          <w:sz w:val="24"/>
          <w:szCs w:val="22"/>
        </w:rPr>
        <w:t xml:space="preserve"> </w:t>
      </w:r>
      <w:r w:rsidR="004E2D28" w:rsidRPr="001B2BBC">
        <w:rPr>
          <w:rFonts w:asciiTheme="minorHAnsi" w:eastAsiaTheme="minorHAnsi" w:hAnsiTheme="minorHAnsi" w:cstheme="minorBidi"/>
          <w:snapToGrid/>
          <w:sz w:val="24"/>
          <w:szCs w:val="22"/>
        </w:rPr>
        <w:t xml:space="preserve">The </w:t>
      </w:r>
      <w:r w:rsidR="004E2D28">
        <w:rPr>
          <w:rFonts w:asciiTheme="minorHAnsi" w:eastAsiaTheme="minorHAnsi" w:hAnsiTheme="minorHAnsi" w:cstheme="minorBidi"/>
          <w:snapToGrid/>
          <w:sz w:val="24"/>
          <w:szCs w:val="22"/>
        </w:rPr>
        <w:t xml:space="preserve">NIP currently provides free seasonal influenza vaccine each year to </w:t>
      </w:r>
      <w:r w:rsidR="00EC7118">
        <w:rPr>
          <w:rFonts w:asciiTheme="minorHAnsi" w:eastAsiaTheme="minorHAnsi" w:hAnsiTheme="minorHAnsi" w:cstheme="minorBidi"/>
          <w:snapToGrid/>
          <w:sz w:val="24"/>
          <w:szCs w:val="22"/>
        </w:rPr>
        <w:t>Indigenous people</w:t>
      </w:r>
      <w:r w:rsidR="004E2D28" w:rsidRPr="0042037F">
        <w:rPr>
          <w:rFonts w:asciiTheme="minorHAnsi" w:eastAsiaTheme="minorHAnsi" w:hAnsiTheme="minorHAnsi" w:cstheme="minorBidi"/>
          <w:snapToGrid/>
          <w:sz w:val="24"/>
          <w:szCs w:val="22"/>
        </w:rPr>
        <w:t xml:space="preserve"> </w:t>
      </w:r>
      <w:r w:rsidR="004E2D28">
        <w:rPr>
          <w:rFonts w:asciiTheme="minorHAnsi" w:eastAsiaTheme="minorHAnsi" w:hAnsiTheme="minorHAnsi" w:cstheme="minorBidi"/>
          <w:snapToGrid/>
          <w:sz w:val="24"/>
          <w:szCs w:val="22"/>
        </w:rPr>
        <w:t xml:space="preserve">aged </w:t>
      </w:r>
      <w:r w:rsidR="004E2D28" w:rsidRPr="0042037F">
        <w:rPr>
          <w:rFonts w:asciiTheme="minorHAnsi" w:eastAsiaTheme="minorHAnsi" w:hAnsiTheme="minorHAnsi" w:cstheme="minorBidi"/>
          <w:snapToGrid/>
          <w:sz w:val="24"/>
          <w:szCs w:val="22"/>
        </w:rPr>
        <w:t>6 months to</w:t>
      </w:r>
      <w:r w:rsidR="004E2D28">
        <w:rPr>
          <w:rFonts w:asciiTheme="minorHAnsi" w:eastAsiaTheme="minorHAnsi" w:hAnsiTheme="minorHAnsi" w:cstheme="minorBidi"/>
          <w:snapToGrid/>
          <w:sz w:val="24"/>
          <w:szCs w:val="22"/>
        </w:rPr>
        <w:t xml:space="preserve"> &lt;5</w:t>
      </w:r>
      <w:r w:rsidR="004E2D28" w:rsidRPr="0042037F">
        <w:rPr>
          <w:rFonts w:asciiTheme="minorHAnsi" w:eastAsiaTheme="minorHAnsi" w:hAnsiTheme="minorHAnsi" w:cstheme="minorBidi"/>
          <w:snapToGrid/>
          <w:sz w:val="24"/>
          <w:szCs w:val="22"/>
        </w:rPr>
        <w:t xml:space="preserve"> years</w:t>
      </w:r>
      <w:r w:rsidR="004E2D28">
        <w:rPr>
          <w:rFonts w:asciiTheme="minorHAnsi" w:eastAsiaTheme="minorHAnsi" w:hAnsiTheme="minorHAnsi" w:cstheme="minorBidi"/>
          <w:snapToGrid/>
          <w:sz w:val="24"/>
          <w:szCs w:val="22"/>
        </w:rPr>
        <w:t xml:space="preserve"> and 15 </w:t>
      </w:r>
      <w:r w:rsidR="004E2D28" w:rsidRPr="0042037F">
        <w:rPr>
          <w:rFonts w:asciiTheme="minorHAnsi" w:eastAsiaTheme="minorHAnsi" w:hAnsiTheme="minorHAnsi" w:cstheme="minorBidi"/>
          <w:snapToGrid/>
          <w:sz w:val="24"/>
          <w:szCs w:val="22"/>
        </w:rPr>
        <w:t>years and over</w:t>
      </w:r>
      <w:r w:rsidR="004E2D28">
        <w:rPr>
          <w:rFonts w:asciiTheme="minorHAnsi" w:eastAsiaTheme="minorHAnsi" w:hAnsiTheme="minorHAnsi" w:cstheme="minorBidi"/>
          <w:snapToGrid/>
          <w:sz w:val="24"/>
          <w:szCs w:val="22"/>
        </w:rPr>
        <w:t>.</w:t>
      </w:r>
    </w:p>
    <w:p w:rsidR="006A12A5" w:rsidRPr="00577C4D" w:rsidRDefault="006A12A5" w:rsidP="00705BE5">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51473A" w:rsidRDefault="00D4575C"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Table 1 outlines the</w:t>
      </w:r>
      <w:r w:rsidR="0051473A">
        <w:rPr>
          <w:rFonts w:asciiTheme="minorHAnsi" w:eastAsiaTheme="minorHAnsi" w:hAnsiTheme="minorHAnsi" w:cstheme="minorBidi"/>
          <w:snapToGrid/>
          <w:sz w:val="24"/>
          <w:szCs w:val="22"/>
        </w:rPr>
        <w:t xml:space="preserve"> brands of quadrivalent influenza vaccine </w:t>
      </w:r>
      <w:r>
        <w:rPr>
          <w:rFonts w:asciiTheme="minorHAnsi" w:eastAsiaTheme="minorHAnsi" w:hAnsiTheme="minorHAnsi" w:cstheme="minorBidi"/>
          <w:snapToGrid/>
          <w:sz w:val="24"/>
          <w:szCs w:val="22"/>
        </w:rPr>
        <w:t xml:space="preserve">that are currently </w:t>
      </w:r>
      <w:r w:rsidR="00BF106B">
        <w:rPr>
          <w:rFonts w:asciiTheme="minorHAnsi" w:eastAsiaTheme="minorHAnsi" w:hAnsiTheme="minorHAnsi" w:cstheme="minorBidi"/>
          <w:snapToGrid/>
          <w:sz w:val="24"/>
          <w:szCs w:val="22"/>
        </w:rPr>
        <w:t>listed</w:t>
      </w:r>
      <w:r>
        <w:rPr>
          <w:rFonts w:asciiTheme="minorHAnsi" w:eastAsiaTheme="minorHAnsi" w:hAnsiTheme="minorHAnsi" w:cstheme="minorBidi"/>
          <w:snapToGrid/>
          <w:sz w:val="24"/>
          <w:szCs w:val="22"/>
        </w:rPr>
        <w:t xml:space="preserve"> on the </w:t>
      </w:r>
      <w:r w:rsidRPr="00D4575C">
        <w:rPr>
          <w:rFonts w:asciiTheme="minorHAnsi" w:eastAsiaTheme="minorHAnsi" w:hAnsiTheme="minorHAnsi" w:cstheme="minorBidi"/>
          <w:i/>
          <w:snapToGrid/>
          <w:sz w:val="24"/>
          <w:szCs w:val="22"/>
        </w:rPr>
        <w:t xml:space="preserve">National Health (Immunisation Program – Designated Vaccines) Determination 2014 (No.1) </w:t>
      </w:r>
      <w:r w:rsidR="004E2D28" w:rsidRPr="006133AF">
        <w:rPr>
          <w:rFonts w:asciiTheme="minorHAnsi" w:eastAsiaTheme="minorHAnsi" w:hAnsiTheme="minorHAnsi" w:cstheme="minorBidi"/>
          <w:snapToGrid/>
          <w:sz w:val="24"/>
          <w:szCs w:val="22"/>
        </w:rPr>
        <w:t>(</w:t>
      </w:r>
      <w:r w:rsidR="006133AF" w:rsidRPr="006133AF">
        <w:rPr>
          <w:rFonts w:asciiTheme="minorHAnsi" w:eastAsiaTheme="minorHAnsi" w:hAnsiTheme="minorHAnsi" w:cstheme="minorBidi"/>
          <w:snapToGrid/>
          <w:sz w:val="24"/>
          <w:szCs w:val="22"/>
        </w:rPr>
        <w:t>‘</w:t>
      </w:r>
      <w:r w:rsidR="004E2D28" w:rsidRPr="006133AF">
        <w:rPr>
          <w:rFonts w:asciiTheme="minorHAnsi" w:eastAsiaTheme="minorHAnsi" w:hAnsiTheme="minorHAnsi" w:cstheme="minorBidi"/>
          <w:snapToGrid/>
          <w:sz w:val="24"/>
          <w:szCs w:val="22"/>
        </w:rPr>
        <w:t>the Determination</w:t>
      </w:r>
      <w:r w:rsidR="006133AF" w:rsidRPr="006133AF">
        <w:rPr>
          <w:rFonts w:asciiTheme="minorHAnsi" w:eastAsiaTheme="minorHAnsi" w:hAnsiTheme="minorHAnsi" w:cstheme="minorBidi"/>
          <w:snapToGrid/>
          <w:sz w:val="24"/>
          <w:szCs w:val="22"/>
        </w:rPr>
        <w:t>’</w:t>
      </w:r>
      <w:r w:rsidR="004E2D28" w:rsidRPr="006133AF">
        <w:rPr>
          <w:rFonts w:asciiTheme="minorHAnsi" w:eastAsiaTheme="minorHAnsi" w:hAnsiTheme="minorHAnsi" w:cstheme="minorBidi"/>
          <w:snapToGrid/>
          <w:sz w:val="24"/>
          <w:szCs w:val="22"/>
        </w:rPr>
        <w:t>)</w:t>
      </w:r>
      <w:r w:rsidR="004E2D28">
        <w:rPr>
          <w:rFonts w:asciiTheme="minorHAnsi" w:eastAsiaTheme="minorHAnsi" w:hAnsiTheme="minorHAnsi" w:cstheme="minorBidi"/>
          <w:i/>
          <w:snapToGrid/>
          <w:sz w:val="24"/>
          <w:szCs w:val="22"/>
        </w:rPr>
        <w:t xml:space="preserve"> </w:t>
      </w:r>
      <w:r>
        <w:rPr>
          <w:rFonts w:asciiTheme="minorHAnsi" w:eastAsiaTheme="minorHAnsi" w:hAnsiTheme="minorHAnsi" w:cstheme="minorBidi"/>
          <w:snapToGrid/>
          <w:sz w:val="24"/>
          <w:szCs w:val="22"/>
        </w:rPr>
        <w:t xml:space="preserve">and </w:t>
      </w:r>
      <w:r w:rsidR="0051473A">
        <w:rPr>
          <w:rFonts w:asciiTheme="minorHAnsi" w:eastAsiaTheme="minorHAnsi" w:hAnsiTheme="minorHAnsi" w:cstheme="minorBidi"/>
          <w:snapToGrid/>
          <w:sz w:val="24"/>
          <w:szCs w:val="22"/>
        </w:rPr>
        <w:t>were provided through the NIP for the 2018 influenza season.</w:t>
      </w:r>
    </w:p>
    <w:p w:rsidR="0051473A" w:rsidRPr="00B12564" w:rsidRDefault="0051473A" w:rsidP="00705BE5">
      <w:pPr>
        <w:pStyle w:val="ListParagraph"/>
        <w:keepNext/>
        <w:widowControl/>
        <w:contextualSpacing w:val="0"/>
        <w:rPr>
          <w:rFonts w:ascii="Arial Narrow" w:eastAsiaTheme="minorHAnsi" w:hAnsi="Arial Narrow" w:cstheme="minorBidi"/>
          <w:b/>
          <w:snapToGrid/>
          <w:sz w:val="20"/>
        </w:rPr>
      </w:pPr>
      <w:r w:rsidRPr="00B12564">
        <w:rPr>
          <w:rFonts w:ascii="Arial Narrow" w:eastAsiaTheme="minorHAnsi" w:hAnsi="Arial Narrow" w:cstheme="minorBidi"/>
          <w:b/>
          <w:snapToGrid/>
          <w:sz w:val="20"/>
        </w:rPr>
        <w:t xml:space="preserve">Table 1: Quadrivalent </w:t>
      </w:r>
      <w:r>
        <w:rPr>
          <w:rFonts w:ascii="Arial Narrow" w:eastAsiaTheme="minorHAnsi" w:hAnsi="Arial Narrow" w:cstheme="minorBidi"/>
          <w:b/>
          <w:snapToGrid/>
          <w:sz w:val="20"/>
        </w:rPr>
        <w:t>influenza vaccines currently listed on the NIP Schedule</w:t>
      </w:r>
    </w:p>
    <w:tbl>
      <w:tblPr>
        <w:tblStyle w:val="TableGrid"/>
        <w:tblW w:w="4558" w:type="pct"/>
        <w:tblInd w:w="817" w:type="dxa"/>
        <w:tblLayout w:type="fixed"/>
        <w:tblLook w:val="04A0" w:firstRow="1" w:lastRow="0" w:firstColumn="1" w:lastColumn="0" w:noHBand="0" w:noVBand="1"/>
        <w:tblCaption w:val="Quadrivalent influenza vaccines currently listed on the NIP Schedule"/>
      </w:tblPr>
      <w:tblGrid>
        <w:gridCol w:w="968"/>
        <w:gridCol w:w="1522"/>
        <w:gridCol w:w="3733"/>
        <w:gridCol w:w="1996"/>
      </w:tblGrid>
      <w:tr w:rsidR="0051473A" w:rsidRPr="0042037F" w:rsidTr="002F2811">
        <w:tc>
          <w:tcPr>
            <w:tcW w:w="589" w:type="pct"/>
            <w:tcBorders>
              <w:bottom w:val="single" w:sz="4" w:space="0" w:color="auto"/>
            </w:tcBorders>
          </w:tcPr>
          <w:p w:rsidR="0051473A" w:rsidRPr="0042037F" w:rsidRDefault="0051473A" w:rsidP="00705BE5">
            <w:pPr>
              <w:pStyle w:val="ListParagraph"/>
              <w:keepNext/>
              <w:widowControl/>
              <w:ind w:left="0"/>
              <w:contextualSpacing w:val="0"/>
              <w:rPr>
                <w:rFonts w:ascii="Arial Narrow" w:eastAsiaTheme="minorHAnsi" w:hAnsi="Arial Narrow" w:cstheme="minorBidi"/>
                <w:b/>
                <w:snapToGrid/>
                <w:sz w:val="20"/>
              </w:rPr>
            </w:pPr>
            <w:r w:rsidRPr="0042037F">
              <w:rPr>
                <w:rFonts w:ascii="Arial Narrow" w:eastAsiaTheme="minorHAnsi" w:hAnsi="Arial Narrow" w:cstheme="minorBidi"/>
                <w:b/>
                <w:snapToGrid/>
                <w:sz w:val="20"/>
              </w:rPr>
              <w:t>Trade name</w:t>
            </w:r>
          </w:p>
        </w:tc>
        <w:tc>
          <w:tcPr>
            <w:tcW w:w="926" w:type="pct"/>
            <w:tcBorders>
              <w:bottom w:val="single" w:sz="4" w:space="0" w:color="auto"/>
            </w:tcBorders>
          </w:tcPr>
          <w:p w:rsidR="0051473A" w:rsidRPr="0042037F" w:rsidRDefault="0051473A" w:rsidP="00705BE5">
            <w:pPr>
              <w:pStyle w:val="ListParagraph"/>
              <w:keepNext/>
              <w:widowControl/>
              <w:ind w:left="0"/>
              <w:contextualSpacing w:val="0"/>
              <w:rPr>
                <w:rFonts w:ascii="Arial Narrow" w:eastAsiaTheme="minorHAnsi" w:hAnsi="Arial Narrow" w:cstheme="minorBidi"/>
                <w:b/>
                <w:snapToGrid/>
                <w:sz w:val="20"/>
              </w:rPr>
            </w:pPr>
            <w:r>
              <w:rPr>
                <w:rFonts w:ascii="Arial Narrow" w:eastAsiaTheme="minorHAnsi" w:hAnsi="Arial Narrow" w:cstheme="minorBidi"/>
                <w:b/>
                <w:snapToGrid/>
                <w:sz w:val="20"/>
              </w:rPr>
              <w:t>Sponsor</w:t>
            </w:r>
          </w:p>
        </w:tc>
        <w:tc>
          <w:tcPr>
            <w:tcW w:w="2271" w:type="pct"/>
            <w:tcBorders>
              <w:bottom w:val="single" w:sz="4" w:space="0" w:color="auto"/>
            </w:tcBorders>
          </w:tcPr>
          <w:p w:rsidR="0051473A" w:rsidRPr="0042037F" w:rsidRDefault="0051473A" w:rsidP="00705BE5">
            <w:pPr>
              <w:pStyle w:val="ListParagraph"/>
              <w:keepNext/>
              <w:widowControl/>
              <w:ind w:left="0"/>
              <w:contextualSpacing w:val="0"/>
              <w:rPr>
                <w:rFonts w:ascii="Arial Narrow" w:eastAsiaTheme="minorHAnsi" w:hAnsi="Arial Narrow" w:cstheme="minorBidi"/>
                <w:b/>
                <w:snapToGrid/>
                <w:sz w:val="20"/>
              </w:rPr>
            </w:pPr>
            <w:r>
              <w:rPr>
                <w:rFonts w:ascii="Arial Narrow" w:eastAsiaTheme="minorHAnsi" w:hAnsi="Arial Narrow" w:cstheme="minorBidi"/>
                <w:b/>
                <w:snapToGrid/>
                <w:sz w:val="20"/>
              </w:rPr>
              <w:t>TGA registered indication</w:t>
            </w:r>
          </w:p>
        </w:tc>
        <w:tc>
          <w:tcPr>
            <w:tcW w:w="1214" w:type="pct"/>
            <w:tcBorders>
              <w:bottom w:val="single" w:sz="4" w:space="0" w:color="auto"/>
            </w:tcBorders>
          </w:tcPr>
          <w:p w:rsidR="0051473A" w:rsidRDefault="0051473A" w:rsidP="00705BE5">
            <w:pPr>
              <w:pStyle w:val="ListParagraph"/>
              <w:keepNext/>
              <w:widowControl/>
              <w:ind w:left="0"/>
              <w:contextualSpacing w:val="0"/>
              <w:rPr>
                <w:rFonts w:ascii="Arial Narrow" w:eastAsiaTheme="minorHAnsi" w:hAnsi="Arial Narrow" w:cstheme="minorBidi"/>
                <w:b/>
                <w:snapToGrid/>
                <w:sz w:val="20"/>
              </w:rPr>
            </w:pPr>
            <w:r>
              <w:rPr>
                <w:rFonts w:ascii="Arial Narrow" w:eastAsiaTheme="minorHAnsi" w:hAnsi="Arial Narrow" w:cstheme="minorBidi"/>
                <w:b/>
                <w:snapToGrid/>
                <w:sz w:val="20"/>
              </w:rPr>
              <w:t>Age eligibility on NIP for Aboriginal and/or Torres Strait Islander peoples</w:t>
            </w:r>
          </w:p>
        </w:tc>
      </w:tr>
      <w:tr w:rsidR="0051473A" w:rsidRPr="0042037F" w:rsidTr="002F2811">
        <w:tc>
          <w:tcPr>
            <w:tcW w:w="589" w:type="pct"/>
            <w:tcBorders>
              <w:bottom w:val="dotted" w:sz="4" w:space="0" w:color="auto"/>
            </w:tcBorders>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proofErr w:type="spellStart"/>
            <w:r w:rsidRPr="0042037F">
              <w:rPr>
                <w:rFonts w:ascii="Arial Narrow" w:eastAsiaTheme="minorHAnsi" w:hAnsi="Arial Narrow" w:cstheme="minorBidi"/>
                <w:snapToGrid/>
                <w:sz w:val="20"/>
              </w:rPr>
              <w:t>FluQuadri</w:t>
            </w:r>
            <w:proofErr w:type="spellEnd"/>
            <w:r>
              <w:rPr>
                <w:rFonts w:ascii="Arial Narrow" w:eastAsiaTheme="minorHAnsi" w:hAnsi="Arial Narrow" w:cstheme="minorBidi"/>
                <w:snapToGrid/>
                <w:sz w:val="20"/>
              </w:rPr>
              <w:t xml:space="preserve"> </w:t>
            </w:r>
          </w:p>
        </w:tc>
        <w:tc>
          <w:tcPr>
            <w:tcW w:w="926" w:type="pct"/>
            <w:tcBorders>
              <w:bottom w:val="nil"/>
            </w:tcBorders>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r w:rsidRPr="0042037F">
              <w:rPr>
                <w:rFonts w:ascii="Arial Narrow" w:eastAsiaTheme="minorHAnsi" w:hAnsi="Arial Narrow" w:cstheme="minorBidi"/>
                <w:snapToGrid/>
                <w:sz w:val="20"/>
              </w:rPr>
              <w:t xml:space="preserve">Sanofi </w:t>
            </w:r>
            <w:proofErr w:type="spellStart"/>
            <w:r w:rsidRPr="0042037F">
              <w:rPr>
                <w:rFonts w:ascii="Arial Narrow" w:eastAsiaTheme="minorHAnsi" w:hAnsi="Arial Narrow" w:cstheme="minorBidi"/>
                <w:snapToGrid/>
                <w:sz w:val="20"/>
              </w:rPr>
              <w:t>pasteur</w:t>
            </w:r>
            <w:proofErr w:type="spellEnd"/>
          </w:p>
        </w:tc>
        <w:tc>
          <w:tcPr>
            <w:tcW w:w="2271" w:type="pct"/>
            <w:tcBorders>
              <w:bottom w:val="dotted" w:sz="4" w:space="0" w:color="auto"/>
            </w:tcBorders>
          </w:tcPr>
          <w:p w:rsidR="0051473A" w:rsidRDefault="0051473A" w:rsidP="00705BE5">
            <w:pPr>
              <w:keepNext/>
              <w:rPr>
                <w:rFonts w:ascii="Arial Narrow" w:eastAsiaTheme="minorHAnsi" w:hAnsi="Arial Narrow" w:cstheme="minorBidi"/>
                <w:sz w:val="20"/>
              </w:rPr>
            </w:pPr>
            <w:r>
              <w:rPr>
                <w:rFonts w:ascii="Arial Narrow" w:eastAsiaTheme="minorHAnsi" w:hAnsi="Arial Narrow" w:cstheme="minorBidi"/>
                <w:sz w:val="20"/>
              </w:rPr>
              <w:t>F</w:t>
            </w:r>
            <w:r w:rsidRPr="00B12564">
              <w:rPr>
                <w:rFonts w:ascii="Arial Narrow" w:eastAsiaTheme="minorHAnsi" w:hAnsi="Arial Narrow" w:cstheme="minorBidi"/>
                <w:sz w:val="20"/>
              </w:rPr>
              <w:t>or active immunisation of influenza disease caused</w:t>
            </w:r>
            <w:r>
              <w:rPr>
                <w:rFonts w:ascii="Arial Narrow" w:eastAsiaTheme="minorHAnsi" w:hAnsi="Arial Narrow" w:cstheme="minorBidi"/>
                <w:sz w:val="20"/>
              </w:rPr>
              <w:t xml:space="preserve"> </w:t>
            </w:r>
            <w:r w:rsidRPr="00B12564">
              <w:rPr>
                <w:rFonts w:ascii="Arial Narrow" w:eastAsiaTheme="minorHAnsi" w:hAnsi="Arial Narrow" w:cstheme="minorBidi"/>
                <w:sz w:val="20"/>
              </w:rPr>
              <w:t>by influenza A subtype viruses and type B viruses contained in the vaccine.</w:t>
            </w:r>
            <w:r>
              <w:rPr>
                <w:rFonts w:ascii="Arial Narrow" w:eastAsiaTheme="minorHAnsi" w:hAnsi="Arial Narrow" w:cstheme="minorBidi"/>
                <w:sz w:val="20"/>
              </w:rPr>
              <w:t xml:space="preserve"> </w:t>
            </w:r>
          </w:p>
          <w:p w:rsidR="0051473A" w:rsidRPr="00B12564" w:rsidRDefault="0051473A" w:rsidP="00705BE5">
            <w:pPr>
              <w:keepNext/>
              <w:rPr>
                <w:rFonts w:ascii="Arial Narrow" w:eastAsiaTheme="minorHAnsi" w:hAnsi="Arial Narrow" w:cstheme="minorBidi"/>
                <w:sz w:val="20"/>
              </w:rPr>
            </w:pPr>
            <w:proofErr w:type="spellStart"/>
            <w:r w:rsidRPr="00B12564">
              <w:rPr>
                <w:rFonts w:ascii="Arial Narrow" w:eastAsiaTheme="minorHAnsi" w:hAnsi="Arial Narrow" w:cstheme="minorBidi"/>
                <w:sz w:val="20"/>
              </w:rPr>
              <w:t>FluQuadri</w:t>
            </w:r>
            <w:proofErr w:type="spellEnd"/>
            <w:r w:rsidRPr="00B12564">
              <w:rPr>
                <w:rFonts w:ascii="Arial Narrow" w:eastAsiaTheme="minorHAnsi" w:hAnsi="Arial Narrow" w:cstheme="minorBidi"/>
                <w:sz w:val="20"/>
              </w:rPr>
              <w:t xml:space="preserve"> is indicated for use in adults and children 3 years and older.</w:t>
            </w:r>
          </w:p>
        </w:tc>
        <w:tc>
          <w:tcPr>
            <w:tcW w:w="1214" w:type="pct"/>
            <w:tcBorders>
              <w:bottom w:val="dotted" w:sz="4" w:space="0" w:color="auto"/>
            </w:tcBorders>
          </w:tcPr>
          <w:p w:rsidR="0051473A" w:rsidRPr="0016030E" w:rsidRDefault="0051473A" w:rsidP="00705BE5">
            <w:pPr>
              <w:pStyle w:val="ListParagraph"/>
              <w:keepNext/>
              <w:widowControl/>
              <w:ind w:left="0"/>
              <w:contextualSpacing w:val="0"/>
              <w:jc w:val="left"/>
              <w:rPr>
                <w:rFonts w:ascii="Arial Narrow" w:eastAsiaTheme="minorHAnsi" w:hAnsi="Arial Narrow" w:cstheme="minorBidi"/>
                <w:snapToGrid/>
                <w:sz w:val="20"/>
              </w:rPr>
            </w:pPr>
            <w:r>
              <w:rPr>
                <w:rFonts w:ascii="Arial Narrow" w:eastAsiaTheme="minorHAnsi" w:hAnsi="Arial Narrow" w:cstheme="minorBidi"/>
                <w:snapToGrid/>
                <w:sz w:val="20"/>
              </w:rPr>
              <w:t>Aged at least 3 years but less than 5 years; and 15 years or older.</w:t>
            </w:r>
          </w:p>
        </w:tc>
      </w:tr>
      <w:tr w:rsidR="0051473A" w:rsidRPr="0042037F" w:rsidTr="002F2811">
        <w:tc>
          <w:tcPr>
            <w:tcW w:w="589" w:type="pct"/>
            <w:tcBorders>
              <w:top w:val="dotted" w:sz="4" w:space="0" w:color="auto"/>
            </w:tcBorders>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proofErr w:type="spellStart"/>
            <w:r>
              <w:rPr>
                <w:rFonts w:ascii="Arial Narrow" w:eastAsiaTheme="minorHAnsi" w:hAnsi="Arial Narrow" w:cstheme="minorBidi"/>
                <w:snapToGrid/>
                <w:sz w:val="20"/>
              </w:rPr>
              <w:t>FluQuadri</w:t>
            </w:r>
            <w:proofErr w:type="spellEnd"/>
            <w:r>
              <w:rPr>
                <w:rFonts w:ascii="Arial Narrow" w:eastAsiaTheme="minorHAnsi" w:hAnsi="Arial Narrow" w:cstheme="minorBidi"/>
                <w:snapToGrid/>
                <w:sz w:val="20"/>
              </w:rPr>
              <w:t xml:space="preserve"> Junior</w:t>
            </w:r>
          </w:p>
        </w:tc>
        <w:tc>
          <w:tcPr>
            <w:tcW w:w="926" w:type="pct"/>
            <w:tcBorders>
              <w:top w:val="nil"/>
            </w:tcBorders>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p>
        </w:tc>
        <w:tc>
          <w:tcPr>
            <w:tcW w:w="2271" w:type="pct"/>
            <w:tcBorders>
              <w:top w:val="dotted" w:sz="4" w:space="0" w:color="auto"/>
            </w:tcBorders>
          </w:tcPr>
          <w:p w:rsidR="0051473A" w:rsidRDefault="0051473A" w:rsidP="00705BE5">
            <w:pPr>
              <w:keepNext/>
              <w:rPr>
                <w:rFonts w:ascii="Arial Narrow" w:eastAsiaTheme="minorHAnsi" w:hAnsi="Arial Narrow" w:cstheme="minorBidi"/>
                <w:sz w:val="20"/>
              </w:rPr>
            </w:pPr>
            <w:proofErr w:type="spellStart"/>
            <w:r w:rsidRPr="00B12564">
              <w:rPr>
                <w:rFonts w:ascii="Arial Narrow" w:eastAsiaTheme="minorHAnsi" w:hAnsi="Arial Narrow" w:cstheme="minorBidi"/>
                <w:sz w:val="20"/>
              </w:rPr>
              <w:t>FluQuadri</w:t>
            </w:r>
            <w:proofErr w:type="spellEnd"/>
            <w:r w:rsidRPr="00B12564">
              <w:rPr>
                <w:rFonts w:ascii="Arial Narrow" w:eastAsiaTheme="minorHAnsi" w:hAnsi="Arial Narrow" w:cstheme="minorBidi"/>
                <w:sz w:val="20"/>
              </w:rPr>
              <w:t xml:space="preserve"> Junior is indicated for use in children aged 6 months to 35 months inclusive.</w:t>
            </w:r>
          </w:p>
        </w:tc>
        <w:tc>
          <w:tcPr>
            <w:tcW w:w="1214" w:type="pct"/>
            <w:tcBorders>
              <w:top w:val="dotted" w:sz="4" w:space="0" w:color="auto"/>
            </w:tcBorders>
          </w:tcPr>
          <w:p w:rsidR="0051473A" w:rsidRPr="0016030E" w:rsidRDefault="0051473A" w:rsidP="00705BE5">
            <w:pPr>
              <w:keepNext/>
              <w:rPr>
                <w:rFonts w:ascii="Arial Narrow" w:eastAsiaTheme="minorHAnsi" w:hAnsi="Arial Narrow" w:cstheme="minorBidi"/>
                <w:sz w:val="20"/>
              </w:rPr>
            </w:pPr>
            <w:r>
              <w:rPr>
                <w:rFonts w:ascii="Arial Narrow" w:eastAsiaTheme="minorHAnsi" w:hAnsi="Arial Narrow" w:cstheme="minorBidi"/>
                <w:sz w:val="20"/>
              </w:rPr>
              <w:t>A</w:t>
            </w:r>
            <w:r w:rsidRPr="0016030E">
              <w:rPr>
                <w:rFonts w:ascii="Arial Narrow" w:eastAsiaTheme="minorHAnsi" w:hAnsi="Arial Narrow" w:cstheme="minorBidi"/>
                <w:sz w:val="20"/>
              </w:rPr>
              <w:t>ged at least 6 months but less than 3 years</w:t>
            </w:r>
            <w:r>
              <w:rPr>
                <w:rFonts w:ascii="Arial Narrow" w:eastAsiaTheme="minorHAnsi" w:hAnsi="Arial Narrow" w:cstheme="minorBidi"/>
                <w:sz w:val="20"/>
              </w:rPr>
              <w:t>.</w:t>
            </w:r>
          </w:p>
        </w:tc>
      </w:tr>
      <w:tr w:rsidR="0051473A" w:rsidRPr="0042037F" w:rsidTr="002F2811">
        <w:tc>
          <w:tcPr>
            <w:tcW w:w="589" w:type="pct"/>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proofErr w:type="spellStart"/>
            <w:r w:rsidRPr="0042037F">
              <w:rPr>
                <w:rFonts w:ascii="Arial Narrow" w:eastAsiaTheme="minorHAnsi" w:hAnsi="Arial Narrow" w:cstheme="minorBidi"/>
                <w:snapToGrid/>
                <w:sz w:val="20"/>
              </w:rPr>
              <w:t>Fluarix</w:t>
            </w:r>
            <w:proofErr w:type="spellEnd"/>
            <w:r w:rsidRPr="0042037F">
              <w:rPr>
                <w:rFonts w:ascii="Arial Narrow" w:eastAsiaTheme="minorHAnsi" w:hAnsi="Arial Narrow" w:cstheme="minorBidi"/>
                <w:snapToGrid/>
                <w:sz w:val="20"/>
              </w:rPr>
              <w:t xml:space="preserve"> Tetra</w:t>
            </w:r>
          </w:p>
        </w:tc>
        <w:tc>
          <w:tcPr>
            <w:tcW w:w="926" w:type="pct"/>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r w:rsidRPr="0042037F">
              <w:rPr>
                <w:rFonts w:ascii="Arial Narrow" w:eastAsiaTheme="minorHAnsi" w:hAnsi="Arial Narrow" w:cstheme="minorBidi"/>
                <w:snapToGrid/>
                <w:sz w:val="20"/>
              </w:rPr>
              <w:t>GlaxoSmithKline</w:t>
            </w:r>
          </w:p>
        </w:tc>
        <w:tc>
          <w:tcPr>
            <w:tcW w:w="2271" w:type="pct"/>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r>
              <w:rPr>
                <w:rFonts w:ascii="Arial Narrow" w:eastAsiaTheme="minorHAnsi" w:hAnsi="Arial Narrow" w:cstheme="minorBidi"/>
                <w:snapToGrid/>
                <w:sz w:val="20"/>
              </w:rPr>
              <w:t>For active immunisation of adults and children from 3 years of age for the prevention of influenza disease caused by the influenza virus types A and B contained in the vaccine.</w:t>
            </w:r>
          </w:p>
        </w:tc>
        <w:tc>
          <w:tcPr>
            <w:tcW w:w="1214" w:type="pct"/>
          </w:tcPr>
          <w:p w:rsidR="0051473A" w:rsidRDefault="0051473A" w:rsidP="00705BE5">
            <w:pPr>
              <w:pStyle w:val="ListParagraph"/>
              <w:keepNext/>
              <w:widowControl/>
              <w:ind w:left="0"/>
              <w:contextualSpacing w:val="0"/>
              <w:jc w:val="left"/>
              <w:rPr>
                <w:rFonts w:ascii="Arial Narrow" w:eastAsiaTheme="minorHAnsi" w:hAnsi="Arial Narrow" w:cstheme="minorBidi"/>
                <w:snapToGrid/>
                <w:sz w:val="20"/>
              </w:rPr>
            </w:pPr>
            <w:r>
              <w:rPr>
                <w:rFonts w:ascii="Arial Narrow" w:eastAsiaTheme="minorHAnsi" w:hAnsi="Arial Narrow" w:cstheme="minorBidi"/>
                <w:snapToGrid/>
                <w:sz w:val="20"/>
              </w:rPr>
              <w:t>Aged at least 3 years but less than 5 years; and 15 years or older.</w:t>
            </w:r>
          </w:p>
        </w:tc>
      </w:tr>
      <w:tr w:rsidR="0051473A" w:rsidRPr="0042037F" w:rsidTr="002F2811">
        <w:tc>
          <w:tcPr>
            <w:tcW w:w="589" w:type="pct"/>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r w:rsidRPr="0042037F">
              <w:rPr>
                <w:rFonts w:ascii="Arial Narrow" w:eastAsiaTheme="minorHAnsi" w:hAnsi="Arial Narrow" w:cstheme="minorBidi"/>
                <w:snapToGrid/>
                <w:sz w:val="20"/>
              </w:rPr>
              <w:t>Afluria Quad</w:t>
            </w:r>
          </w:p>
        </w:tc>
        <w:tc>
          <w:tcPr>
            <w:tcW w:w="926" w:type="pct"/>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proofErr w:type="spellStart"/>
            <w:r w:rsidRPr="0042037F">
              <w:rPr>
                <w:rFonts w:ascii="Arial Narrow" w:eastAsiaTheme="minorHAnsi" w:hAnsi="Arial Narrow" w:cstheme="minorBidi"/>
                <w:snapToGrid/>
                <w:sz w:val="20"/>
              </w:rPr>
              <w:t>Seqirus</w:t>
            </w:r>
            <w:proofErr w:type="spellEnd"/>
          </w:p>
        </w:tc>
        <w:tc>
          <w:tcPr>
            <w:tcW w:w="2271" w:type="pct"/>
          </w:tcPr>
          <w:p w:rsidR="0051473A" w:rsidRPr="0042037F" w:rsidRDefault="0051473A" w:rsidP="00705BE5">
            <w:pPr>
              <w:pStyle w:val="ListParagraph"/>
              <w:keepNext/>
              <w:widowControl/>
              <w:ind w:left="0"/>
              <w:contextualSpacing w:val="0"/>
              <w:jc w:val="left"/>
              <w:rPr>
                <w:rFonts w:ascii="Arial Narrow" w:eastAsiaTheme="minorHAnsi" w:hAnsi="Arial Narrow" w:cstheme="minorBidi"/>
                <w:snapToGrid/>
                <w:sz w:val="20"/>
              </w:rPr>
            </w:pPr>
            <w:r>
              <w:rPr>
                <w:rFonts w:ascii="Arial Narrow" w:eastAsiaTheme="minorHAnsi" w:hAnsi="Arial Narrow" w:cstheme="minorBidi"/>
                <w:snapToGrid/>
                <w:sz w:val="20"/>
              </w:rPr>
              <w:t xml:space="preserve">For the prevention of influenza caused by Influenza Virus, Types A and B contained in the vaccine. The vaccine is indicated for use only in persons aged 5 years and </w:t>
            </w:r>
            <w:proofErr w:type="spellStart"/>
            <w:r>
              <w:rPr>
                <w:rFonts w:ascii="Arial Narrow" w:eastAsiaTheme="minorHAnsi" w:hAnsi="Arial Narrow" w:cstheme="minorBidi"/>
                <w:snapToGrid/>
                <w:sz w:val="20"/>
              </w:rPr>
              <w:t>over.</w:t>
            </w:r>
            <w:r w:rsidRPr="00551BA5">
              <w:rPr>
                <w:rFonts w:ascii="Arial Narrow" w:eastAsiaTheme="minorHAnsi" w:hAnsi="Arial Narrow" w:cstheme="minorBidi"/>
                <w:snapToGrid/>
                <w:sz w:val="20"/>
                <w:vertAlign w:val="superscript"/>
              </w:rPr>
              <w:t>A</w:t>
            </w:r>
            <w:proofErr w:type="spellEnd"/>
          </w:p>
        </w:tc>
        <w:tc>
          <w:tcPr>
            <w:tcW w:w="1214" w:type="pct"/>
          </w:tcPr>
          <w:p w:rsidR="0051473A" w:rsidRDefault="0051473A" w:rsidP="00705BE5">
            <w:pPr>
              <w:pStyle w:val="ListParagraph"/>
              <w:keepNext/>
              <w:widowControl/>
              <w:ind w:left="0"/>
              <w:contextualSpacing w:val="0"/>
              <w:jc w:val="left"/>
              <w:rPr>
                <w:rFonts w:ascii="Arial Narrow" w:eastAsiaTheme="minorHAnsi" w:hAnsi="Arial Narrow" w:cstheme="minorBidi"/>
                <w:snapToGrid/>
                <w:sz w:val="20"/>
              </w:rPr>
            </w:pPr>
            <w:r>
              <w:rPr>
                <w:rFonts w:ascii="Arial Narrow" w:eastAsiaTheme="minorHAnsi" w:hAnsi="Arial Narrow" w:cstheme="minorBidi"/>
                <w:snapToGrid/>
                <w:sz w:val="20"/>
              </w:rPr>
              <w:t>Aged at least 18 years.</w:t>
            </w:r>
          </w:p>
        </w:tc>
      </w:tr>
    </w:tbl>
    <w:p w:rsidR="0051473A" w:rsidRDefault="0051473A" w:rsidP="00705BE5">
      <w:pPr>
        <w:pStyle w:val="ListParagraph"/>
        <w:widowControl/>
        <w:contextualSpacing w:val="0"/>
        <w:rPr>
          <w:rFonts w:ascii="Arial Narrow" w:eastAsiaTheme="minorHAnsi" w:hAnsi="Arial Narrow" w:cstheme="minorBidi"/>
          <w:snapToGrid/>
          <w:sz w:val="18"/>
          <w:szCs w:val="18"/>
        </w:rPr>
      </w:pPr>
      <w:r w:rsidRPr="00551BA5">
        <w:rPr>
          <w:rFonts w:ascii="Arial Narrow" w:eastAsiaTheme="minorHAnsi" w:hAnsi="Arial Narrow" w:cstheme="minorBidi"/>
          <w:snapToGrid/>
          <w:sz w:val="18"/>
          <w:szCs w:val="18"/>
          <w:vertAlign w:val="superscript"/>
        </w:rPr>
        <w:t>A</w:t>
      </w:r>
      <w:r w:rsidRPr="00551BA5">
        <w:rPr>
          <w:rFonts w:ascii="Arial Narrow" w:eastAsiaTheme="minorHAnsi" w:hAnsi="Arial Narrow" w:cstheme="minorBidi"/>
          <w:snapToGrid/>
          <w:sz w:val="18"/>
          <w:szCs w:val="18"/>
        </w:rPr>
        <w:t xml:space="preserve"> </w:t>
      </w:r>
      <w:r>
        <w:rPr>
          <w:rFonts w:ascii="Arial Narrow" w:eastAsiaTheme="minorHAnsi" w:hAnsi="Arial Narrow" w:cstheme="minorBidi"/>
          <w:snapToGrid/>
          <w:sz w:val="18"/>
          <w:szCs w:val="18"/>
        </w:rPr>
        <w:t xml:space="preserve">The TGA indication was amended from </w:t>
      </w:r>
      <w:r w:rsidRPr="00551BA5">
        <w:rPr>
          <w:rFonts w:ascii="Arial Narrow" w:eastAsiaTheme="minorHAnsi" w:hAnsi="Arial Narrow" w:cstheme="minorBidi"/>
          <w:snapToGrid/>
          <w:sz w:val="18"/>
          <w:szCs w:val="18"/>
        </w:rPr>
        <w:t>use only in persons aged 18 years and over</w:t>
      </w:r>
      <w:r>
        <w:rPr>
          <w:rFonts w:ascii="Arial Narrow" w:eastAsiaTheme="minorHAnsi" w:hAnsi="Arial Narrow" w:cstheme="minorBidi"/>
          <w:snapToGrid/>
          <w:sz w:val="18"/>
          <w:szCs w:val="18"/>
        </w:rPr>
        <w:t xml:space="preserve">, to persons aged 5 years and over, on </w:t>
      </w:r>
      <w:r w:rsidR="00DD2F4D">
        <w:rPr>
          <w:rFonts w:ascii="Arial Narrow" w:eastAsiaTheme="minorHAnsi" w:hAnsi="Arial Narrow" w:cstheme="minorBidi"/>
          <w:snapToGrid/>
          <w:sz w:val="18"/>
          <w:szCs w:val="18"/>
        </w:rPr>
        <w:t>2</w:t>
      </w:r>
      <w:r>
        <w:rPr>
          <w:rFonts w:ascii="Arial Narrow" w:eastAsiaTheme="minorHAnsi" w:hAnsi="Arial Narrow" w:cstheme="minorBidi"/>
          <w:snapToGrid/>
          <w:sz w:val="18"/>
          <w:szCs w:val="18"/>
        </w:rPr>
        <w:t> </w:t>
      </w:r>
      <w:r w:rsidRPr="00551BA5">
        <w:rPr>
          <w:rFonts w:ascii="Arial Narrow" w:eastAsiaTheme="minorHAnsi" w:hAnsi="Arial Narrow" w:cstheme="minorBidi"/>
          <w:snapToGrid/>
          <w:sz w:val="18"/>
          <w:szCs w:val="18"/>
        </w:rPr>
        <w:t>February 2018.</w:t>
      </w:r>
    </w:p>
    <w:p w:rsidR="002E7C63" w:rsidRPr="00551BA5" w:rsidRDefault="002E7C63" w:rsidP="00705BE5">
      <w:pPr>
        <w:pStyle w:val="ListParagraph"/>
        <w:widowControl/>
        <w:spacing w:after="120"/>
        <w:contextualSpacing w:val="0"/>
        <w:rPr>
          <w:rFonts w:ascii="Arial Narrow" w:eastAsiaTheme="minorHAnsi" w:hAnsi="Arial Narrow" w:cstheme="minorBidi"/>
          <w:snapToGrid/>
          <w:sz w:val="18"/>
          <w:szCs w:val="18"/>
        </w:rPr>
      </w:pPr>
      <w:r>
        <w:rPr>
          <w:rFonts w:ascii="Arial Narrow" w:eastAsiaTheme="minorHAnsi" w:hAnsi="Arial Narrow" w:cstheme="minorBidi"/>
          <w:snapToGrid/>
          <w:sz w:val="18"/>
          <w:szCs w:val="18"/>
        </w:rPr>
        <w:t xml:space="preserve">Note: </w:t>
      </w:r>
      <w:r w:rsidRPr="002E7C63">
        <w:rPr>
          <w:rFonts w:ascii="Arial Narrow" w:eastAsiaTheme="minorHAnsi" w:hAnsi="Arial Narrow" w:cstheme="minorBidi"/>
          <w:snapToGrid/>
          <w:sz w:val="18"/>
          <w:szCs w:val="18"/>
        </w:rPr>
        <w:t xml:space="preserve">Children aged </w:t>
      </w:r>
      <w:r w:rsidR="00497C6D">
        <w:rPr>
          <w:rFonts w:ascii="Arial Narrow" w:eastAsiaTheme="minorHAnsi" w:hAnsi="Arial Narrow" w:cstheme="minorBidi"/>
          <w:snapToGrid/>
          <w:sz w:val="18"/>
          <w:szCs w:val="18"/>
        </w:rPr>
        <w:t>&lt;9 years</w:t>
      </w:r>
      <w:r w:rsidRPr="002E7C63">
        <w:rPr>
          <w:rFonts w:ascii="Arial Narrow" w:eastAsiaTheme="minorHAnsi" w:hAnsi="Arial Narrow" w:cstheme="minorBidi"/>
          <w:snapToGrid/>
          <w:sz w:val="18"/>
          <w:szCs w:val="18"/>
        </w:rPr>
        <w:t xml:space="preserve"> who are influenza vaccine naïve require an additional dose in the first year of immunisation, four weeks after the initial vaccine.</w:t>
      </w:r>
    </w:p>
    <w:p w:rsidR="003036DC" w:rsidRPr="003036DC" w:rsidRDefault="00F03B22" w:rsidP="00705BE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 xml:space="preserve">If NIP eligibility </w:t>
      </w:r>
      <w:r w:rsidR="00D01FCE">
        <w:rPr>
          <w:rFonts w:asciiTheme="minorHAnsi" w:eastAsiaTheme="minorHAnsi" w:hAnsiTheme="minorHAnsi" w:cstheme="minorBidi"/>
          <w:snapToGrid/>
          <w:sz w:val="24"/>
          <w:szCs w:val="22"/>
        </w:rPr>
        <w:t xml:space="preserve">for </w:t>
      </w:r>
      <w:proofErr w:type="spellStart"/>
      <w:r w:rsidR="00D01FCE">
        <w:rPr>
          <w:rFonts w:asciiTheme="minorHAnsi" w:eastAsiaTheme="minorHAnsi" w:hAnsiTheme="minorHAnsi" w:cstheme="minorBidi"/>
          <w:snapToGrid/>
          <w:sz w:val="24"/>
          <w:szCs w:val="22"/>
        </w:rPr>
        <w:t>FluQuadri</w:t>
      </w:r>
      <w:proofErr w:type="spellEnd"/>
      <w:r w:rsidR="00D01FCE">
        <w:rPr>
          <w:rFonts w:asciiTheme="minorHAnsi" w:eastAsiaTheme="minorHAnsi" w:hAnsiTheme="minorHAnsi" w:cstheme="minorBidi"/>
          <w:snapToGrid/>
          <w:sz w:val="24"/>
          <w:szCs w:val="22"/>
        </w:rPr>
        <w:t xml:space="preserve"> and </w:t>
      </w:r>
      <w:proofErr w:type="spellStart"/>
      <w:r w:rsidR="00D01FCE">
        <w:rPr>
          <w:rFonts w:asciiTheme="minorHAnsi" w:eastAsiaTheme="minorHAnsi" w:hAnsiTheme="minorHAnsi" w:cstheme="minorBidi"/>
          <w:snapToGrid/>
          <w:sz w:val="24"/>
          <w:szCs w:val="22"/>
        </w:rPr>
        <w:t>Fluarix</w:t>
      </w:r>
      <w:proofErr w:type="spellEnd"/>
      <w:r w:rsidR="00D01FCE">
        <w:rPr>
          <w:rFonts w:asciiTheme="minorHAnsi" w:eastAsiaTheme="minorHAnsi" w:hAnsiTheme="minorHAnsi" w:cstheme="minorBidi"/>
          <w:snapToGrid/>
          <w:sz w:val="24"/>
          <w:szCs w:val="22"/>
        </w:rPr>
        <w:t xml:space="preserve"> Tetra </w:t>
      </w:r>
      <w:r w:rsidR="00A06275">
        <w:rPr>
          <w:rFonts w:asciiTheme="minorHAnsi" w:eastAsiaTheme="minorHAnsi" w:hAnsiTheme="minorHAnsi" w:cstheme="minorBidi"/>
          <w:snapToGrid/>
          <w:sz w:val="24"/>
          <w:szCs w:val="22"/>
        </w:rPr>
        <w:t>was</w:t>
      </w:r>
      <w:r>
        <w:rPr>
          <w:rFonts w:asciiTheme="minorHAnsi" w:eastAsiaTheme="minorHAnsi" w:hAnsiTheme="minorHAnsi" w:cstheme="minorBidi"/>
          <w:snapToGrid/>
          <w:sz w:val="24"/>
          <w:szCs w:val="22"/>
        </w:rPr>
        <w:t xml:space="preserve"> expanded to Indigenous people aged 5 to &lt;15 years, changes would be required to </w:t>
      </w:r>
      <w:r w:rsidR="00D01FCE">
        <w:rPr>
          <w:rFonts w:asciiTheme="minorHAnsi" w:eastAsiaTheme="minorHAnsi" w:hAnsiTheme="minorHAnsi" w:cstheme="minorBidi"/>
          <w:snapToGrid/>
          <w:sz w:val="24"/>
          <w:szCs w:val="22"/>
        </w:rPr>
        <w:t>subsection 7(8)</w:t>
      </w:r>
      <w:r w:rsidR="003036DC">
        <w:rPr>
          <w:rFonts w:asciiTheme="minorHAnsi" w:eastAsiaTheme="minorHAnsi" w:hAnsiTheme="minorHAnsi" w:cstheme="minorBidi"/>
          <w:snapToGrid/>
          <w:sz w:val="24"/>
          <w:szCs w:val="22"/>
        </w:rPr>
        <w:t xml:space="preserve"> of </w:t>
      </w:r>
      <w:r>
        <w:rPr>
          <w:rFonts w:asciiTheme="minorHAnsi" w:eastAsiaTheme="minorHAnsi" w:hAnsiTheme="minorHAnsi" w:cstheme="minorBidi"/>
          <w:snapToGrid/>
          <w:sz w:val="24"/>
          <w:szCs w:val="22"/>
        </w:rPr>
        <w:t>the Determination</w:t>
      </w:r>
      <w:r w:rsidR="003036DC">
        <w:rPr>
          <w:rFonts w:asciiTheme="minorHAnsi" w:eastAsiaTheme="minorHAnsi" w:hAnsiTheme="minorHAnsi" w:cstheme="minorBidi"/>
          <w:snapToGrid/>
          <w:sz w:val="24"/>
          <w:szCs w:val="22"/>
        </w:rPr>
        <w:t>.</w:t>
      </w:r>
    </w:p>
    <w:p w:rsidR="0051473A" w:rsidRPr="00D01FCE" w:rsidRDefault="00EC7118" w:rsidP="00D01FC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w:t>
      </w:r>
      <w:r w:rsidR="0051473A">
        <w:rPr>
          <w:rFonts w:asciiTheme="minorHAnsi" w:eastAsiaTheme="minorHAnsi" w:hAnsiTheme="minorHAnsi" w:cstheme="minorBidi"/>
          <w:snapToGrid/>
          <w:sz w:val="24"/>
          <w:szCs w:val="22"/>
        </w:rPr>
        <w:t xml:space="preserve"> major submission from </w:t>
      </w:r>
      <w:proofErr w:type="spellStart"/>
      <w:r w:rsidR="0051473A">
        <w:rPr>
          <w:rFonts w:asciiTheme="minorHAnsi" w:eastAsiaTheme="minorHAnsi" w:hAnsiTheme="minorHAnsi" w:cstheme="minorBidi"/>
          <w:snapToGrid/>
          <w:sz w:val="24"/>
          <w:szCs w:val="22"/>
        </w:rPr>
        <w:t>Seqirus</w:t>
      </w:r>
      <w:proofErr w:type="spellEnd"/>
      <w:r w:rsidR="0051473A">
        <w:rPr>
          <w:rFonts w:asciiTheme="minorHAnsi" w:eastAsiaTheme="minorHAnsi" w:hAnsiTheme="minorHAnsi" w:cstheme="minorBidi"/>
          <w:snapToGrid/>
          <w:sz w:val="24"/>
          <w:szCs w:val="22"/>
        </w:rPr>
        <w:t xml:space="preserve"> requesting an extension to the current NIP listing of Afluria Quad to include children and adolescents aged 5 to </w:t>
      </w:r>
      <w:r w:rsidR="00D4575C">
        <w:rPr>
          <w:rFonts w:asciiTheme="minorHAnsi" w:eastAsiaTheme="minorHAnsi" w:hAnsiTheme="minorHAnsi" w:cstheme="minorBidi"/>
          <w:snapToGrid/>
          <w:sz w:val="24"/>
          <w:szCs w:val="22"/>
        </w:rPr>
        <w:t>&lt;</w:t>
      </w:r>
      <w:r w:rsidR="0051473A">
        <w:rPr>
          <w:rFonts w:asciiTheme="minorHAnsi" w:eastAsiaTheme="minorHAnsi" w:hAnsiTheme="minorHAnsi" w:cstheme="minorBidi"/>
          <w:snapToGrid/>
          <w:sz w:val="24"/>
          <w:szCs w:val="22"/>
        </w:rPr>
        <w:t xml:space="preserve">18 years who are currently eligible for other brands of free influenza vaccine through the NIP </w:t>
      </w:r>
      <w:r w:rsidR="00BF106B">
        <w:rPr>
          <w:rFonts w:asciiTheme="minorHAnsi" w:eastAsiaTheme="minorHAnsi" w:hAnsiTheme="minorHAnsi" w:cstheme="minorBidi"/>
          <w:snapToGrid/>
          <w:sz w:val="24"/>
          <w:szCs w:val="22"/>
        </w:rPr>
        <w:t>was</w:t>
      </w:r>
      <w:r w:rsidR="004E2D28">
        <w:rPr>
          <w:rFonts w:asciiTheme="minorHAnsi" w:eastAsiaTheme="minorHAnsi" w:hAnsiTheme="minorHAnsi" w:cstheme="minorBidi"/>
          <w:snapToGrid/>
          <w:sz w:val="24"/>
          <w:szCs w:val="22"/>
        </w:rPr>
        <w:t xml:space="preserve"> also considered by the </w:t>
      </w:r>
      <w:r w:rsidR="0051473A">
        <w:rPr>
          <w:rFonts w:asciiTheme="minorHAnsi" w:eastAsiaTheme="minorHAnsi" w:hAnsiTheme="minorHAnsi" w:cstheme="minorBidi"/>
          <w:snapToGrid/>
          <w:sz w:val="24"/>
          <w:szCs w:val="22"/>
        </w:rPr>
        <w:t>PBAC at its November 2018 meeting (</w:t>
      </w:r>
      <w:r w:rsidR="0051473A" w:rsidRPr="00E3010B">
        <w:rPr>
          <w:rFonts w:asciiTheme="minorHAnsi" w:eastAsiaTheme="minorHAnsi" w:hAnsiTheme="minorHAnsi" w:cstheme="minorBidi"/>
          <w:i/>
          <w:snapToGrid/>
          <w:sz w:val="24"/>
          <w:szCs w:val="22"/>
        </w:rPr>
        <w:t>agenda item 6.04 refers</w:t>
      </w:r>
      <w:r w:rsidR="0051473A">
        <w:rPr>
          <w:rFonts w:asciiTheme="minorHAnsi" w:eastAsiaTheme="minorHAnsi" w:hAnsiTheme="minorHAnsi" w:cstheme="minorBidi"/>
          <w:snapToGrid/>
          <w:sz w:val="24"/>
          <w:szCs w:val="22"/>
        </w:rPr>
        <w:t xml:space="preserve">). Given the current NIP eligibility, the </w:t>
      </w:r>
      <w:proofErr w:type="spellStart"/>
      <w:r w:rsidR="0051473A">
        <w:rPr>
          <w:rFonts w:asciiTheme="minorHAnsi" w:eastAsiaTheme="minorHAnsi" w:hAnsiTheme="minorHAnsi" w:cstheme="minorBidi"/>
          <w:snapToGrid/>
          <w:sz w:val="24"/>
          <w:szCs w:val="22"/>
        </w:rPr>
        <w:t>Seqirus</w:t>
      </w:r>
      <w:proofErr w:type="spellEnd"/>
      <w:r w:rsidR="0051473A">
        <w:rPr>
          <w:rFonts w:asciiTheme="minorHAnsi" w:eastAsiaTheme="minorHAnsi" w:hAnsiTheme="minorHAnsi" w:cstheme="minorBidi"/>
          <w:snapToGrid/>
          <w:sz w:val="24"/>
          <w:szCs w:val="22"/>
        </w:rPr>
        <w:t xml:space="preserve"> submission specifically asked to extend the NIP listing to </w:t>
      </w:r>
      <w:r>
        <w:rPr>
          <w:rFonts w:asciiTheme="minorHAnsi" w:eastAsiaTheme="minorHAnsi" w:hAnsiTheme="minorHAnsi" w:cstheme="minorBidi"/>
          <w:snapToGrid/>
          <w:sz w:val="24"/>
          <w:szCs w:val="22"/>
        </w:rPr>
        <w:t>Indigenous people</w:t>
      </w:r>
      <w:r w:rsidR="0051473A">
        <w:rPr>
          <w:rFonts w:asciiTheme="minorHAnsi" w:eastAsiaTheme="minorHAnsi" w:hAnsiTheme="minorHAnsi" w:cstheme="minorBidi"/>
          <w:snapToGrid/>
          <w:sz w:val="24"/>
          <w:szCs w:val="22"/>
        </w:rPr>
        <w:t xml:space="preserve"> aged 15 to </w:t>
      </w:r>
      <w:r w:rsidR="00D4575C">
        <w:rPr>
          <w:rFonts w:asciiTheme="minorHAnsi" w:eastAsiaTheme="minorHAnsi" w:hAnsiTheme="minorHAnsi" w:cstheme="minorBidi"/>
          <w:snapToGrid/>
          <w:sz w:val="24"/>
          <w:szCs w:val="22"/>
        </w:rPr>
        <w:t>&lt;</w:t>
      </w:r>
      <w:r w:rsidR="0051473A">
        <w:rPr>
          <w:rFonts w:asciiTheme="minorHAnsi" w:eastAsiaTheme="minorHAnsi" w:hAnsiTheme="minorHAnsi" w:cstheme="minorBidi"/>
          <w:snapToGrid/>
          <w:sz w:val="24"/>
          <w:szCs w:val="22"/>
        </w:rPr>
        <w:t>18</w:t>
      </w:r>
      <w:r w:rsidR="00D4575C">
        <w:rPr>
          <w:rFonts w:asciiTheme="minorHAnsi" w:eastAsiaTheme="minorHAnsi" w:hAnsiTheme="minorHAnsi" w:cstheme="minorBidi"/>
          <w:snapToGrid/>
          <w:sz w:val="24"/>
          <w:szCs w:val="22"/>
        </w:rPr>
        <w:t> </w:t>
      </w:r>
      <w:r w:rsidR="0051473A">
        <w:rPr>
          <w:rFonts w:asciiTheme="minorHAnsi" w:eastAsiaTheme="minorHAnsi" w:hAnsiTheme="minorHAnsi" w:cstheme="minorBidi"/>
          <w:snapToGrid/>
          <w:sz w:val="24"/>
          <w:szCs w:val="22"/>
        </w:rPr>
        <w:t xml:space="preserve">years. The CMO requested that if </w:t>
      </w:r>
      <w:proofErr w:type="spellStart"/>
      <w:r w:rsidR="0051473A">
        <w:rPr>
          <w:rFonts w:asciiTheme="minorHAnsi" w:eastAsiaTheme="minorHAnsi" w:hAnsiTheme="minorHAnsi" w:cstheme="minorBidi"/>
          <w:snapToGrid/>
          <w:sz w:val="24"/>
          <w:szCs w:val="22"/>
        </w:rPr>
        <w:t>Seqi</w:t>
      </w:r>
      <w:r w:rsidR="004E2D28">
        <w:rPr>
          <w:rFonts w:asciiTheme="minorHAnsi" w:eastAsiaTheme="minorHAnsi" w:hAnsiTheme="minorHAnsi" w:cstheme="minorBidi"/>
          <w:snapToGrid/>
          <w:sz w:val="24"/>
          <w:szCs w:val="22"/>
        </w:rPr>
        <w:t>rus</w:t>
      </w:r>
      <w:proofErr w:type="spellEnd"/>
      <w:r w:rsidR="004E2D28">
        <w:rPr>
          <w:rFonts w:asciiTheme="minorHAnsi" w:eastAsiaTheme="minorHAnsi" w:hAnsiTheme="minorHAnsi" w:cstheme="minorBidi"/>
          <w:snapToGrid/>
          <w:sz w:val="24"/>
          <w:szCs w:val="22"/>
        </w:rPr>
        <w:t>’ submission</w:t>
      </w:r>
      <w:r w:rsidR="003036DC">
        <w:rPr>
          <w:rFonts w:asciiTheme="minorHAnsi" w:eastAsiaTheme="minorHAnsi" w:hAnsiTheme="minorHAnsi" w:cstheme="minorBidi"/>
          <w:snapToGrid/>
          <w:sz w:val="24"/>
          <w:szCs w:val="22"/>
        </w:rPr>
        <w:t xml:space="preserve"> is recommended</w:t>
      </w:r>
      <w:r w:rsidR="004E2D28">
        <w:rPr>
          <w:rFonts w:asciiTheme="minorHAnsi" w:eastAsiaTheme="minorHAnsi" w:hAnsiTheme="minorHAnsi" w:cstheme="minorBidi"/>
          <w:snapToGrid/>
          <w:sz w:val="24"/>
          <w:szCs w:val="22"/>
        </w:rPr>
        <w:t xml:space="preserve"> </w:t>
      </w:r>
      <w:r w:rsidR="00F03B22">
        <w:rPr>
          <w:rFonts w:asciiTheme="minorHAnsi" w:eastAsiaTheme="minorHAnsi" w:hAnsiTheme="minorHAnsi" w:cstheme="minorBidi"/>
          <w:snapToGrid/>
          <w:sz w:val="24"/>
          <w:szCs w:val="22"/>
        </w:rPr>
        <w:t xml:space="preserve">that </w:t>
      </w:r>
      <w:r w:rsidR="003036DC">
        <w:rPr>
          <w:rFonts w:asciiTheme="minorHAnsi" w:eastAsiaTheme="minorHAnsi" w:hAnsiTheme="minorHAnsi" w:cstheme="minorBidi"/>
          <w:snapToGrid/>
          <w:sz w:val="24"/>
          <w:szCs w:val="22"/>
        </w:rPr>
        <w:t xml:space="preserve">the PBAC </w:t>
      </w:r>
      <w:r w:rsidR="0051473A">
        <w:rPr>
          <w:rFonts w:asciiTheme="minorHAnsi" w:eastAsiaTheme="minorHAnsi" w:hAnsiTheme="minorHAnsi" w:cstheme="minorBidi"/>
          <w:snapToGrid/>
          <w:sz w:val="24"/>
          <w:szCs w:val="22"/>
        </w:rPr>
        <w:t>consider expanding eligibility for Afluria Quad to</w:t>
      </w:r>
      <w:r w:rsidR="003036DC">
        <w:rPr>
          <w:rFonts w:asciiTheme="minorHAnsi" w:eastAsiaTheme="minorHAnsi" w:hAnsiTheme="minorHAnsi" w:cstheme="minorBidi"/>
          <w:snapToGrid/>
          <w:sz w:val="24"/>
          <w:szCs w:val="22"/>
        </w:rPr>
        <w:t xml:space="preserve"> </w:t>
      </w:r>
      <w:r w:rsidR="0051473A">
        <w:rPr>
          <w:rFonts w:asciiTheme="minorHAnsi" w:eastAsiaTheme="minorHAnsi" w:hAnsiTheme="minorHAnsi" w:cstheme="minorBidi"/>
          <w:snapToGrid/>
          <w:sz w:val="24"/>
          <w:szCs w:val="22"/>
        </w:rPr>
        <w:t xml:space="preserve">include </w:t>
      </w:r>
      <w:r>
        <w:rPr>
          <w:rFonts w:asciiTheme="minorHAnsi" w:eastAsiaTheme="minorHAnsi" w:hAnsiTheme="minorHAnsi" w:cstheme="minorBidi"/>
          <w:snapToGrid/>
          <w:sz w:val="24"/>
          <w:szCs w:val="22"/>
        </w:rPr>
        <w:t xml:space="preserve">Indigenous people </w:t>
      </w:r>
      <w:r w:rsidR="0051473A">
        <w:rPr>
          <w:rFonts w:asciiTheme="minorHAnsi" w:eastAsiaTheme="minorHAnsi" w:hAnsiTheme="minorHAnsi" w:cstheme="minorBidi"/>
          <w:snapToGrid/>
          <w:sz w:val="24"/>
          <w:szCs w:val="22"/>
        </w:rPr>
        <w:t xml:space="preserve">aged 5 to </w:t>
      </w:r>
      <w:r w:rsidR="00D4575C">
        <w:rPr>
          <w:rFonts w:asciiTheme="minorHAnsi" w:eastAsiaTheme="minorHAnsi" w:hAnsiTheme="minorHAnsi" w:cstheme="minorBidi"/>
          <w:snapToGrid/>
          <w:sz w:val="24"/>
          <w:szCs w:val="22"/>
        </w:rPr>
        <w:t>&lt;</w:t>
      </w:r>
      <w:r w:rsidR="00BF106B">
        <w:rPr>
          <w:rFonts w:asciiTheme="minorHAnsi" w:eastAsiaTheme="minorHAnsi" w:hAnsiTheme="minorHAnsi" w:cstheme="minorBidi"/>
          <w:snapToGrid/>
          <w:sz w:val="24"/>
          <w:szCs w:val="22"/>
        </w:rPr>
        <w:t>18</w:t>
      </w:r>
      <w:r w:rsidR="0051473A">
        <w:rPr>
          <w:rFonts w:asciiTheme="minorHAnsi" w:eastAsiaTheme="minorHAnsi" w:hAnsiTheme="minorHAnsi" w:cstheme="minorBidi"/>
          <w:snapToGrid/>
          <w:sz w:val="24"/>
          <w:szCs w:val="22"/>
        </w:rPr>
        <w:t xml:space="preserve"> years.</w:t>
      </w:r>
      <w:r w:rsidR="00D01FCE">
        <w:rPr>
          <w:rFonts w:asciiTheme="minorHAnsi" w:eastAsiaTheme="minorHAnsi" w:hAnsiTheme="minorHAnsi" w:cstheme="minorBidi"/>
          <w:snapToGrid/>
          <w:sz w:val="24"/>
          <w:szCs w:val="22"/>
        </w:rPr>
        <w:t xml:space="preserve"> Expansion of NIP eligibility for Afluria Quad would require changes to subsection 7(8</w:t>
      </w:r>
      <w:proofErr w:type="gramStart"/>
      <w:r w:rsidR="00D01FCE">
        <w:rPr>
          <w:rFonts w:asciiTheme="minorHAnsi" w:eastAsiaTheme="minorHAnsi" w:hAnsiTheme="minorHAnsi" w:cstheme="minorBidi"/>
          <w:snapToGrid/>
          <w:sz w:val="24"/>
          <w:szCs w:val="22"/>
        </w:rPr>
        <w:t>)A</w:t>
      </w:r>
      <w:proofErr w:type="gramEnd"/>
      <w:r w:rsidR="00D01FCE">
        <w:rPr>
          <w:rFonts w:asciiTheme="minorHAnsi" w:eastAsiaTheme="minorHAnsi" w:hAnsiTheme="minorHAnsi" w:cstheme="minorBidi"/>
          <w:snapToGrid/>
          <w:sz w:val="24"/>
          <w:szCs w:val="22"/>
        </w:rPr>
        <w:t xml:space="preserve"> of the Determination.</w:t>
      </w:r>
    </w:p>
    <w:p w:rsidR="002527BB" w:rsidRPr="002527BB" w:rsidRDefault="002527BB" w:rsidP="00705BE5">
      <w:pPr>
        <w:pStyle w:val="PBACHeading1"/>
        <w:numPr>
          <w:ilvl w:val="0"/>
          <w:numId w:val="0"/>
        </w:numPr>
        <w:ind w:left="720"/>
        <w:rPr>
          <w:rFonts w:asciiTheme="minorHAnsi" w:hAnsiTheme="minorHAnsi"/>
          <w:b w:val="0"/>
          <w:i/>
          <w:sz w:val="24"/>
          <w:szCs w:val="24"/>
        </w:rPr>
      </w:pPr>
      <w:r w:rsidRPr="0043430B">
        <w:rPr>
          <w:rFonts w:asciiTheme="minorHAnsi" w:hAnsiTheme="minorHAnsi"/>
          <w:b w:val="0"/>
          <w:i/>
          <w:sz w:val="24"/>
          <w:szCs w:val="24"/>
        </w:rPr>
        <w:t xml:space="preserve">For more detail on PBAC’s view, see section </w:t>
      </w:r>
      <w:r w:rsidR="0043430B" w:rsidRPr="0043430B">
        <w:rPr>
          <w:rFonts w:asciiTheme="minorHAnsi" w:hAnsiTheme="minorHAnsi"/>
          <w:b w:val="0"/>
          <w:i/>
          <w:sz w:val="24"/>
          <w:szCs w:val="24"/>
        </w:rPr>
        <w:t xml:space="preserve">5 </w:t>
      </w:r>
      <w:r w:rsidRPr="0043430B">
        <w:rPr>
          <w:rFonts w:asciiTheme="minorHAnsi" w:hAnsiTheme="minorHAnsi"/>
          <w:b w:val="0"/>
          <w:i/>
          <w:sz w:val="24"/>
          <w:szCs w:val="24"/>
        </w:rPr>
        <w:t>PBAC outcome.</w:t>
      </w:r>
    </w:p>
    <w:p w:rsidR="00C603D4" w:rsidRPr="00FD6D8E" w:rsidRDefault="00CE10C4" w:rsidP="00705BE5">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2E7C63" w:rsidRDefault="00DE460E"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E460E">
        <w:rPr>
          <w:rFonts w:asciiTheme="minorHAnsi" w:eastAsiaTheme="minorHAnsi" w:hAnsiTheme="minorHAnsi" w:cstheme="minorBidi"/>
          <w:snapToGrid/>
          <w:sz w:val="24"/>
          <w:szCs w:val="22"/>
        </w:rPr>
        <w:t xml:space="preserve">In 2014, the Australian Technical Advisory Group on Immunisation (ATAGI) wrote to the PBAC seeking a recommendation to list seasonal influenza vaccines on the NIP for </w:t>
      </w:r>
      <w:r w:rsidR="00E52DC0">
        <w:rPr>
          <w:rFonts w:asciiTheme="minorHAnsi" w:eastAsiaTheme="minorHAnsi" w:hAnsiTheme="minorHAnsi" w:cstheme="minorBidi"/>
          <w:snapToGrid/>
          <w:sz w:val="24"/>
          <w:szCs w:val="22"/>
        </w:rPr>
        <w:t xml:space="preserve">Indigenous </w:t>
      </w:r>
      <w:r w:rsidRPr="00DE460E">
        <w:rPr>
          <w:rFonts w:asciiTheme="minorHAnsi" w:eastAsiaTheme="minorHAnsi" w:hAnsiTheme="minorHAnsi" w:cstheme="minorBidi"/>
          <w:snapToGrid/>
          <w:sz w:val="24"/>
          <w:szCs w:val="22"/>
        </w:rPr>
        <w:t xml:space="preserve">people aged 6 months to </w:t>
      </w:r>
      <w:r w:rsidR="006A75ED">
        <w:rPr>
          <w:rFonts w:asciiTheme="minorHAnsi" w:eastAsiaTheme="minorHAnsi" w:hAnsiTheme="minorHAnsi" w:cstheme="minorBidi"/>
          <w:snapToGrid/>
          <w:sz w:val="24"/>
          <w:szCs w:val="22"/>
        </w:rPr>
        <w:t>&lt;15</w:t>
      </w:r>
      <w:r w:rsidRPr="00DE460E">
        <w:rPr>
          <w:rFonts w:asciiTheme="minorHAnsi" w:eastAsiaTheme="minorHAnsi" w:hAnsiTheme="minorHAnsi" w:cstheme="minorBidi"/>
          <w:snapToGrid/>
          <w:sz w:val="24"/>
          <w:szCs w:val="22"/>
        </w:rPr>
        <w:t xml:space="preserve"> years, noting those aged 15 years and older were already </w:t>
      </w:r>
      <w:r w:rsidR="008D60BC">
        <w:rPr>
          <w:rFonts w:asciiTheme="minorHAnsi" w:eastAsiaTheme="minorHAnsi" w:hAnsiTheme="minorHAnsi" w:cstheme="minorBidi"/>
          <w:snapToGrid/>
          <w:sz w:val="24"/>
          <w:szCs w:val="22"/>
        </w:rPr>
        <w:t>eligible</w:t>
      </w:r>
      <w:r w:rsidRPr="00DE460E">
        <w:rPr>
          <w:rFonts w:asciiTheme="minorHAnsi" w:eastAsiaTheme="minorHAnsi" w:hAnsiTheme="minorHAnsi" w:cstheme="minorBidi"/>
          <w:snapToGrid/>
          <w:sz w:val="24"/>
          <w:szCs w:val="22"/>
        </w:rPr>
        <w:t xml:space="preserve"> to receive a free dose each year</w:t>
      </w:r>
      <w:r>
        <w:rPr>
          <w:rFonts w:asciiTheme="minorHAnsi" w:eastAsiaTheme="minorHAnsi" w:hAnsiTheme="minorHAnsi" w:cstheme="minorBidi"/>
          <w:snapToGrid/>
          <w:sz w:val="24"/>
          <w:szCs w:val="22"/>
        </w:rPr>
        <w:t>.</w:t>
      </w:r>
    </w:p>
    <w:p w:rsidR="002E7C63" w:rsidRDefault="002E7C63"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E7C63">
        <w:rPr>
          <w:rFonts w:asciiTheme="minorHAnsi" w:eastAsiaTheme="minorHAnsi" w:hAnsiTheme="minorHAnsi" w:cstheme="minorBidi"/>
          <w:snapToGrid/>
          <w:sz w:val="24"/>
          <w:szCs w:val="22"/>
        </w:rPr>
        <w:t xml:space="preserve">The ATAGI requested seasonal influenza vaccination for </w:t>
      </w:r>
      <w:r w:rsidR="00E52DC0">
        <w:rPr>
          <w:rFonts w:asciiTheme="minorHAnsi" w:eastAsiaTheme="minorHAnsi" w:hAnsiTheme="minorHAnsi" w:cstheme="minorBidi"/>
          <w:snapToGrid/>
          <w:sz w:val="24"/>
          <w:szCs w:val="22"/>
        </w:rPr>
        <w:t>Indigenous children aged 6 </w:t>
      </w:r>
      <w:r w:rsidRPr="002E7C63">
        <w:rPr>
          <w:rFonts w:asciiTheme="minorHAnsi" w:eastAsiaTheme="minorHAnsi" w:hAnsiTheme="minorHAnsi" w:cstheme="minorBidi"/>
          <w:snapToGrid/>
          <w:sz w:val="24"/>
          <w:szCs w:val="22"/>
        </w:rPr>
        <w:t xml:space="preserve">months to &lt;5 years </w:t>
      </w:r>
      <w:r w:rsidR="00A27302">
        <w:rPr>
          <w:rFonts w:asciiTheme="minorHAnsi" w:eastAsiaTheme="minorHAnsi" w:hAnsiTheme="minorHAnsi" w:cstheme="minorBidi"/>
          <w:snapToGrid/>
          <w:sz w:val="24"/>
          <w:szCs w:val="22"/>
        </w:rPr>
        <w:t>on the basis</w:t>
      </w:r>
      <w:r w:rsidRPr="002E7C63">
        <w:rPr>
          <w:rFonts w:asciiTheme="minorHAnsi" w:eastAsiaTheme="minorHAnsi" w:hAnsiTheme="minorHAnsi" w:cstheme="minorBidi"/>
          <w:snapToGrid/>
          <w:sz w:val="24"/>
          <w:szCs w:val="22"/>
        </w:rPr>
        <w:t xml:space="preserve"> that the magnitude of increased risk of severe influenza am</w:t>
      </w:r>
      <w:r>
        <w:rPr>
          <w:rFonts w:asciiTheme="minorHAnsi" w:eastAsiaTheme="minorHAnsi" w:hAnsiTheme="minorHAnsi" w:cstheme="minorBidi"/>
          <w:snapToGrid/>
          <w:sz w:val="24"/>
          <w:szCs w:val="22"/>
        </w:rPr>
        <w:t>ong Indigenous children aged &lt;5 </w:t>
      </w:r>
      <w:r w:rsidR="00E52DC0">
        <w:rPr>
          <w:rFonts w:asciiTheme="minorHAnsi" w:eastAsiaTheme="minorHAnsi" w:hAnsiTheme="minorHAnsi" w:cstheme="minorBidi"/>
          <w:snapToGrid/>
          <w:sz w:val="24"/>
          <w:szCs w:val="22"/>
        </w:rPr>
        <w:t>years compared with non</w:t>
      </w:r>
      <w:r w:rsidR="00E52DC0">
        <w:rPr>
          <w:rFonts w:asciiTheme="minorHAnsi" w:eastAsiaTheme="minorHAnsi" w:hAnsiTheme="minorHAnsi" w:cstheme="minorBidi"/>
          <w:snapToGrid/>
          <w:sz w:val="24"/>
          <w:szCs w:val="22"/>
        </w:rPr>
        <w:noBreakHyphen/>
      </w:r>
      <w:r w:rsidRPr="002E7C63">
        <w:rPr>
          <w:rFonts w:asciiTheme="minorHAnsi" w:eastAsiaTheme="minorHAnsi" w:hAnsiTheme="minorHAnsi" w:cstheme="minorBidi"/>
          <w:snapToGrid/>
          <w:sz w:val="24"/>
          <w:szCs w:val="22"/>
        </w:rPr>
        <w:t xml:space="preserve">Indigenous children was generally similar, by various severity measures, to that in children with underlying medical conditions for which annual influenza vaccination </w:t>
      </w:r>
      <w:r w:rsidR="00A27302">
        <w:rPr>
          <w:rFonts w:asciiTheme="minorHAnsi" w:eastAsiaTheme="minorHAnsi" w:hAnsiTheme="minorHAnsi" w:cstheme="minorBidi"/>
          <w:snapToGrid/>
          <w:sz w:val="24"/>
          <w:szCs w:val="22"/>
        </w:rPr>
        <w:t>was already</w:t>
      </w:r>
      <w:r w:rsidRPr="002E7C63">
        <w:rPr>
          <w:rFonts w:asciiTheme="minorHAnsi" w:eastAsiaTheme="minorHAnsi" w:hAnsiTheme="minorHAnsi" w:cstheme="minorBidi"/>
          <w:snapToGrid/>
          <w:sz w:val="24"/>
          <w:szCs w:val="22"/>
        </w:rPr>
        <w:t xml:space="preserve"> funded under the NIP. </w:t>
      </w:r>
      <w:r w:rsidR="00A27302">
        <w:rPr>
          <w:rFonts w:asciiTheme="minorHAnsi" w:eastAsiaTheme="minorHAnsi" w:hAnsiTheme="minorHAnsi" w:cstheme="minorBidi"/>
          <w:snapToGrid/>
          <w:sz w:val="24"/>
          <w:szCs w:val="22"/>
        </w:rPr>
        <w:t>T</w:t>
      </w:r>
      <w:r w:rsidRPr="002E7C63">
        <w:rPr>
          <w:rFonts w:asciiTheme="minorHAnsi" w:eastAsiaTheme="minorHAnsi" w:hAnsiTheme="minorHAnsi" w:cstheme="minorBidi"/>
          <w:snapToGrid/>
          <w:sz w:val="24"/>
          <w:szCs w:val="22"/>
        </w:rPr>
        <w:t xml:space="preserve">he ATAGI noted that the magnitude of increased risk was not as high for the 5 </w:t>
      </w:r>
      <w:r w:rsidR="00A27302">
        <w:rPr>
          <w:rFonts w:asciiTheme="minorHAnsi" w:eastAsiaTheme="minorHAnsi" w:hAnsiTheme="minorHAnsi" w:cstheme="minorBidi"/>
          <w:snapToGrid/>
          <w:sz w:val="24"/>
          <w:szCs w:val="22"/>
        </w:rPr>
        <w:t>to &lt;15 years cohort</w:t>
      </w:r>
      <w:r w:rsidR="00A06275">
        <w:rPr>
          <w:rFonts w:asciiTheme="minorHAnsi" w:eastAsiaTheme="minorHAnsi" w:hAnsiTheme="minorHAnsi" w:cstheme="minorBidi"/>
          <w:snapToGrid/>
          <w:sz w:val="24"/>
          <w:szCs w:val="22"/>
        </w:rPr>
        <w:t>, compared with other age groups</w:t>
      </w:r>
      <w:r w:rsidR="00A27302">
        <w:rPr>
          <w:rFonts w:asciiTheme="minorHAnsi" w:eastAsiaTheme="minorHAnsi" w:hAnsiTheme="minorHAnsi" w:cstheme="minorBidi"/>
          <w:snapToGrid/>
          <w:sz w:val="24"/>
          <w:szCs w:val="22"/>
        </w:rPr>
        <w:t>. However, ATAGI</w:t>
      </w:r>
      <w:r w:rsidRPr="002E7C63">
        <w:rPr>
          <w:rFonts w:asciiTheme="minorHAnsi" w:eastAsiaTheme="minorHAnsi" w:hAnsiTheme="minorHAnsi" w:cstheme="minorBidi"/>
          <w:snapToGrid/>
          <w:sz w:val="24"/>
          <w:szCs w:val="22"/>
        </w:rPr>
        <w:t xml:space="preserve"> requested that immunisation of the broader age group </w:t>
      </w:r>
      <w:r w:rsidR="00A27302">
        <w:rPr>
          <w:rFonts w:asciiTheme="minorHAnsi" w:eastAsiaTheme="minorHAnsi" w:hAnsiTheme="minorHAnsi" w:cstheme="minorBidi"/>
          <w:snapToGrid/>
          <w:sz w:val="24"/>
          <w:szCs w:val="22"/>
        </w:rPr>
        <w:t xml:space="preserve">(6 months to &lt;15 years) </w:t>
      </w:r>
      <w:r w:rsidRPr="002E7C63">
        <w:rPr>
          <w:rFonts w:asciiTheme="minorHAnsi" w:eastAsiaTheme="minorHAnsi" w:hAnsiTheme="minorHAnsi" w:cstheme="minorBidi"/>
          <w:snapToGrid/>
          <w:sz w:val="24"/>
          <w:szCs w:val="22"/>
        </w:rPr>
        <w:t>be recommended on the basis of indirect benefits, such as providing herd immunity to other members of the community as well as better acceptance of the program by the community and e</w:t>
      </w:r>
      <w:r w:rsidR="00694625">
        <w:rPr>
          <w:rFonts w:asciiTheme="minorHAnsi" w:eastAsiaTheme="minorHAnsi" w:hAnsiTheme="minorHAnsi" w:cstheme="minorBidi"/>
          <w:snapToGrid/>
          <w:sz w:val="24"/>
          <w:szCs w:val="22"/>
        </w:rPr>
        <w:t>nhanced program implementation.</w:t>
      </w:r>
    </w:p>
    <w:p w:rsidR="00DE460E" w:rsidRPr="00F07550" w:rsidRDefault="00DE460E"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07550">
        <w:rPr>
          <w:rFonts w:asciiTheme="minorHAnsi" w:eastAsiaTheme="minorHAnsi" w:hAnsiTheme="minorHAnsi" w:cstheme="minorBidi"/>
          <w:snapToGrid/>
          <w:sz w:val="24"/>
          <w:szCs w:val="22"/>
        </w:rPr>
        <w:t xml:space="preserve">The then Chief Medical Officer, Professor Chris </w:t>
      </w:r>
      <w:proofErr w:type="spellStart"/>
      <w:r w:rsidRPr="00F07550">
        <w:rPr>
          <w:rFonts w:asciiTheme="minorHAnsi" w:eastAsiaTheme="minorHAnsi" w:hAnsiTheme="minorHAnsi" w:cstheme="minorBidi"/>
          <w:snapToGrid/>
          <w:sz w:val="24"/>
          <w:szCs w:val="22"/>
        </w:rPr>
        <w:t>Baggoley</w:t>
      </w:r>
      <w:proofErr w:type="spellEnd"/>
      <w:r w:rsidRPr="00F07550">
        <w:rPr>
          <w:rFonts w:asciiTheme="minorHAnsi" w:eastAsiaTheme="minorHAnsi" w:hAnsiTheme="minorHAnsi" w:cstheme="minorBidi"/>
          <w:snapToGrid/>
          <w:sz w:val="24"/>
          <w:szCs w:val="22"/>
        </w:rPr>
        <w:t xml:space="preserve">, </w:t>
      </w:r>
      <w:r w:rsidR="00F07550">
        <w:rPr>
          <w:rFonts w:asciiTheme="minorHAnsi" w:eastAsiaTheme="minorHAnsi" w:hAnsiTheme="minorHAnsi" w:cstheme="minorBidi"/>
          <w:snapToGrid/>
          <w:sz w:val="24"/>
          <w:szCs w:val="22"/>
        </w:rPr>
        <w:t xml:space="preserve">was </w:t>
      </w:r>
      <w:r w:rsidRPr="00F07550">
        <w:rPr>
          <w:rFonts w:asciiTheme="minorHAnsi" w:eastAsiaTheme="minorHAnsi" w:hAnsiTheme="minorHAnsi" w:cstheme="minorBidi"/>
          <w:snapToGrid/>
          <w:sz w:val="24"/>
          <w:szCs w:val="22"/>
        </w:rPr>
        <w:t>support</w:t>
      </w:r>
      <w:r w:rsidR="00F07550">
        <w:rPr>
          <w:rFonts w:asciiTheme="minorHAnsi" w:eastAsiaTheme="minorHAnsi" w:hAnsiTheme="minorHAnsi" w:cstheme="minorBidi"/>
          <w:snapToGrid/>
          <w:sz w:val="24"/>
          <w:szCs w:val="22"/>
        </w:rPr>
        <w:t>ive of</w:t>
      </w:r>
      <w:r w:rsidRPr="00F07550">
        <w:rPr>
          <w:rFonts w:asciiTheme="minorHAnsi" w:eastAsiaTheme="minorHAnsi" w:hAnsiTheme="minorHAnsi" w:cstheme="minorBidi"/>
          <w:snapToGrid/>
          <w:sz w:val="24"/>
          <w:szCs w:val="22"/>
        </w:rPr>
        <w:t xml:space="preserve"> the request from the ATAGI to extend NIP funded seasonal influenza vaccine for </w:t>
      </w:r>
      <w:r w:rsidR="00E52DC0">
        <w:rPr>
          <w:rFonts w:asciiTheme="minorHAnsi" w:eastAsiaTheme="minorHAnsi" w:hAnsiTheme="minorHAnsi" w:cstheme="minorBidi"/>
          <w:snapToGrid/>
          <w:sz w:val="24"/>
          <w:szCs w:val="22"/>
        </w:rPr>
        <w:t>Indigenous</w:t>
      </w:r>
      <w:r w:rsidRPr="00F07550">
        <w:rPr>
          <w:rFonts w:asciiTheme="minorHAnsi" w:eastAsiaTheme="minorHAnsi" w:hAnsiTheme="minorHAnsi" w:cstheme="minorBidi"/>
          <w:snapToGrid/>
          <w:sz w:val="24"/>
          <w:szCs w:val="22"/>
        </w:rPr>
        <w:t xml:space="preserve"> children aged 6 months to </w:t>
      </w:r>
      <w:r w:rsidR="006A75ED">
        <w:rPr>
          <w:rFonts w:asciiTheme="minorHAnsi" w:eastAsiaTheme="minorHAnsi" w:hAnsiTheme="minorHAnsi" w:cstheme="minorBidi"/>
          <w:snapToGrid/>
          <w:sz w:val="24"/>
          <w:szCs w:val="22"/>
        </w:rPr>
        <w:t>&lt;</w:t>
      </w:r>
      <w:r w:rsidRPr="00F07550">
        <w:rPr>
          <w:rFonts w:asciiTheme="minorHAnsi" w:eastAsiaTheme="minorHAnsi" w:hAnsiTheme="minorHAnsi" w:cstheme="minorBidi"/>
          <w:snapToGrid/>
          <w:sz w:val="24"/>
          <w:szCs w:val="22"/>
        </w:rPr>
        <w:t xml:space="preserve">5 years. However, Professor </w:t>
      </w:r>
      <w:proofErr w:type="spellStart"/>
      <w:r w:rsidRPr="00F07550">
        <w:rPr>
          <w:rFonts w:asciiTheme="minorHAnsi" w:eastAsiaTheme="minorHAnsi" w:hAnsiTheme="minorHAnsi" w:cstheme="minorBidi"/>
          <w:snapToGrid/>
          <w:sz w:val="24"/>
          <w:szCs w:val="22"/>
        </w:rPr>
        <w:t>Baggoley</w:t>
      </w:r>
      <w:proofErr w:type="spellEnd"/>
      <w:r w:rsidRPr="00F07550">
        <w:rPr>
          <w:rFonts w:asciiTheme="minorHAnsi" w:eastAsiaTheme="minorHAnsi" w:hAnsiTheme="minorHAnsi" w:cstheme="minorBidi"/>
          <w:snapToGrid/>
          <w:sz w:val="24"/>
          <w:szCs w:val="22"/>
        </w:rPr>
        <w:t xml:space="preserve"> noted that </w:t>
      </w:r>
      <w:r w:rsidR="00A06275">
        <w:rPr>
          <w:rFonts w:asciiTheme="minorHAnsi" w:eastAsiaTheme="minorHAnsi" w:hAnsiTheme="minorHAnsi" w:cstheme="minorBidi"/>
          <w:snapToGrid/>
          <w:sz w:val="24"/>
          <w:szCs w:val="22"/>
        </w:rPr>
        <w:t>the 5 to &lt;15 years cohort had the lowest rate</w:t>
      </w:r>
      <w:r w:rsidRPr="00F07550">
        <w:rPr>
          <w:rFonts w:asciiTheme="minorHAnsi" w:eastAsiaTheme="minorHAnsi" w:hAnsiTheme="minorHAnsi" w:cstheme="minorBidi"/>
          <w:snapToGrid/>
          <w:sz w:val="24"/>
          <w:szCs w:val="22"/>
        </w:rPr>
        <w:t xml:space="preserve"> of hospitalisations amongst all </w:t>
      </w:r>
      <w:r w:rsidR="00E52DC0">
        <w:rPr>
          <w:rFonts w:asciiTheme="minorHAnsi" w:eastAsiaTheme="minorHAnsi" w:hAnsiTheme="minorHAnsi" w:cstheme="minorBidi"/>
          <w:snapToGrid/>
          <w:sz w:val="24"/>
          <w:szCs w:val="22"/>
        </w:rPr>
        <w:t>Indigenous</w:t>
      </w:r>
      <w:r w:rsidRPr="00F07550">
        <w:rPr>
          <w:rFonts w:asciiTheme="minorHAnsi" w:eastAsiaTheme="minorHAnsi" w:hAnsiTheme="minorHAnsi" w:cstheme="minorBidi"/>
          <w:snapToGrid/>
          <w:sz w:val="24"/>
          <w:szCs w:val="22"/>
        </w:rPr>
        <w:t xml:space="preserve"> age cohorts and that the risks and benefits of vaccinating this cohort were not directly comparable to the already funded medically-at-risk cohort. Professor </w:t>
      </w:r>
      <w:proofErr w:type="spellStart"/>
      <w:r w:rsidRPr="00F07550">
        <w:rPr>
          <w:rFonts w:asciiTheme="minorHAnsi" w:eastAsiaTheme="minorHAnsi" w:hAnsiTheme="minorHAnsi" w:cstheme="minorBidi"/>
          <w:snapToGrid/>
          <w:sz w:val="24"/>
          <w:szCs w:val="22"/>
        </w:rPr>
        <w:t>Baggoley</w:t>
      </w:r>
      <w:proofErr w:type="spellEnd"/>
      <w:r w:rsidRPr="00F07550">
        <w:rPr>
          <w:rFonts w:asciiTheme="minorHAnsi" w:eastAsiaTheme="minorHAnsi" w:hAnsiTheme="minorHAnsi" w:cstheme="minorBidi"/>
          <w:snapToGrid/>
          <w:sz w:val="24"/>
          <w:szCs w:val="22"/>
        </w:rPr>
        <w:t xml:space="preserve"> therefore expected that a cost effectiveness analysis of the 5 to &lt;15 years cohort would be required to enable a PBAC recommendation.</w:t>
      </w:r>
    </w:p>
    <w:p w:rsidR="00DE460E" w:rsidRDefault="00DE460E"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E460E">
        <w:rPr>
          <w:rFonts w:asciiTheme="minorHAnsi" w:eastAsiaTheme="minorHAnsi" w:hAnsiTheme="minorHAnsi" w:cstheme="minorBidi"/>
          <w:snapToGrid/>
          <w:sz w:val="24"/>
          <w:szCs w:val="22"/>
        </w:rPr>
        <w:t>In response to the</w:t>
      </w:r>
      <w:r w:rsidR="006A75ED">
        <w:rPr>
          <w:rFonts w:asciiTheme="minorHAnsi" w:eastAsiaTheme="minorHAnsi" w:hAnsiTheme="minorHAnsi" w:cstheme="minorBidi"/>
          <w:snapToGrid/>
          <w:sz w:val="24"/>
          <w:szCs w:val="22"/>
        </w:rPr>
        <w:t xml:space="preserve"> 2014</w:t>
      </w:r>
      <w:r w:rsidRPr="00DE460E">
        <w:rPr>
          <w:rFonts w:asciiTheme="minorHAnsi" w:eastAsiaTheme="minorHAnsi" w:hAnsiTheme="minorHAnsi" w:cstheme="minorBidi"/>
          <w:snapToGrid/>
          <w:sz w:val="24"/>
          <w:szCs w:val="22"/>
        </w:rPr>
        <w:t xml:space="preserve"> submission, the PBAC recommended extending the availability of trivalent influenza vaccine under the NIP to include annual vaccination for all </w:t>
      </w:r>
      <w:r w:rsidR="00E52DC0">
        <w:rPr>
          <w:rFonts w:asciiTheme="minorHAnsi" w:eastAsiaTheme="minorHAnsi" w:hAnsiTheme="minorHAnsi" w:cstheme="minorBidi"/>
          <w:snapToGrid/>
          <w:sz w:val="24"/>
          <w:szCs w:val="22"/>
        </w:rPr>
        <w:t>Indigenous</w:t>
      </w:r>
      <w:r w:rsidR="00E52DC0" w:rsidRPr="00DE460E">
        <w:rPr>
          <w:rFonts w:asciiTheme="minorHAnsi" w:eastAsiaTheme="minorHAnsi" w:hAnsiTheme="minorHAnsi" w:cstheme="minorBidi"/>
          <w:snapToGrid/>
          <w:sz w:val="24"/>
          <w:szCs w:val="22"/>
        </w:rPr>
        <w:t xml:space="preserve"> </w:t>
      </w:r>
      <w:r w:rsidRPr="00DE460E">
        <w:rPr>
          <w:rFonts w:asciiTheme="minorHAnsi" w:eastAsiaTheme="minorHAnsi" w:hAnsiTheme="minorHAnsi" w:cstheme="minorBidi"/>
          <w:snapToGrid/>
          <w:sz w:val="24"/>
          <w:szCs w:val="22"/>
        </w:rPr>
        <w:t xml:space="preserve">children aged 6 months to </w:t>
      </w:r>
      <w:r w:rsidR="006A75ED">
        <w:rPr>
          <w:rFonts w:asciiTheme="minorHAnsi" w:eastAsiaTheme="minorHAnsi" w:hAnsiTheme="minorHAnsi" w:cstheme="minorBidi"/>
          <w:snapToGrid/>
          <w:sz w:val="24"/>
          <w:szCs w:val="22"/>
        </w:rPr>
        <w:t>&lt;</w:t>
      </w:r>
      <w:r w:rsidRPr="00DE460E">
        <w:rPr>
          <w:rFonts w:asciiTheme="minorHAnsi" w:eastAsiaTheme="minorHAnsi" w:hAnsiTheme="minorHAnsi" w:cstheme="minorBidi"/>
          <w:snapToGrid/>
          <w:sz w:val="24"/>
          <w:szCs w:val="22"/>
        </w:rPr>
        <w:t>5 years</w:t>
      </w:r>
      <w:r w:rsidR="005B7816">
        <w:rPr>
          <w:rFonts w:asciiTheme="minorHAnsi" w:eastAsiaTheme="minorHAnsi" w:hAnsiTheme="minorHAnsi" w:cstheme="minorBidi"/>
          <w:snapToGrid/>
          <w:sz w:val="24"/>
          <w:szCs w:val="22"/>
        </w:rPr>
        <w:t xml:space="preserve"> (</w:t>
      </w:r>
      <w:r w:rsidR="00DF089A">
        <w:rPr>
          <w:rFonts w:asciiTheme="minorHAnsi" w:eastAsiaTheme="minorHAnsi" w:hAnsiTheme="minorHAnsi" w:cstheme="minorBidi"/>
          <w:snapToGrid/>
          <w:sz w:val="24"/>
          <w:szCs w:val="22"/>
        </w:rPr>
        <w:t xml:space="preserve">PSD, </w:t>
      </w:r>
      <w:r w:rsidR="005B7816">
        <w:rPr>
          <w:rFonts w:asciiTheme="minorHAnsi" w:eastAsiaTheme="minorHAnsi" w:hAnsiTheme="minorHAnsi" w:cstheme="minorBidi"/>
          <w:snapToGrid/>
          <w:sz w:val="24"/>
          <w:szCs w:val="22"/>
        </w:rPr>
        <w:t>July 2014 )</w:t>
      </w:r>
      <w:r w:rsidRPr="00DE460E">
        <w:rPr>
          <w:rFonts w:asciiTheme="minorHAnsi" w:eastAsiaTheme="minorHAnsi" w:hAnsiTheme="minorHAnsi" w:cstheme="minorBidi"/>
          <w:snapToGrid/>
          <w:sz w:val="24"/>
          <w:szCs w:val="22"/>
        </w:rPr>
        <w:t xml:space="preserve">. The PBAC </w:t>
      </w:r>
      <w:r w:rsidR="006A75ED">
        <w:rPr>
          <w:rFonts w:asciiTheme="minorHAnsi" w:eastAsiaTheme="minorHAnsi" w:hAnsiTheme="minorHAnsi" w:cstheme="minorBidi"/>
          <w:snapToGrid/>
          <w:sz w:val="24"/>
          <w:szCs w:val="22"/>
        </w:rPr>
        <w:lastRenderedPageBreak/>
        <w:t>considered</w:t>
      </w:r>
      <w:r w:rsidRPr="00DE460E">
        <w:rPr>
          <w:rFonts w:asciiTheme="minorHAnsi" w:eastAsiaTheme="minorHAnsi" w:hAnsiTheme="minorHAnsi" w:cstheme="minorBidi"/>
          <w:snapToGrid/>
          <w:sz w:val="24"/>
          <w:szCs w:val="22"/>
        </w:rPr>
        <w:t xml:space="preserve"> that the cost-effectiveness of vaccination in this population was likely to be similar to the cost-effectiveness of vaccination in the already funded “medically at risk cohort” given the evidence provided by ATAGI and comparable vaccine effectiveness. </w:t>
      </w:r>
      <w:r w:rsidRPr="006A75ED">
        <w:rPr>
          <w:rFonts w:asciiTheme="minorHAnsi" w:eastAsiaTheme="minorHAnsi" w:hAnsiTheme="minorHAnsi" w:cstheme="minorBidi"/>
          <w:snapToGrid/>
          <w:sz w:val="24"/>
          <w:szCs w:val="22"/>
        </w:rPr>
        <w:t xml:space="preserve">The PBAC </w:t>
      </w:r>
      <w:r w:rsidR="006A75ED">
        <w:rPr>
          <w:rFonts w:asciiTheme="minorHAnsi" w:eastAsiaTheme="minorHAnsi" w:hAnsiTheme="minorHAnsi" w:cstheme="minorBidi"/>
          <w:snapToGrid/>
          <w:sz w:val="24"/>
          <w:szCs w:val="22"/>
        </w:rPr>
        <w:t>advised</w:t>
      </w:r>
      <w:r w:rsidRPr="006A75ED">
        <w:rPr>
          <w:rFonts w:asciiTheme="minorHAnsi" w:eastAsiaTheme="minorHAnsi" w:hAnsiTheme="minorHAnsi" w:cstheme="minorBidi"/>
          <w:snapToGrid/>
          <w:sz w:val="24"/>
          <w:szCs w:val="22"/>
        </w:rPr>
        <w:t xml:space="preserve"> the Office of Health Protection </w:t>
      </w:r>
      <w:r w:rsidR="002E7C63">
        <w:rPr>
          <w:rFonts w:asciiTheme="minorHAnsi" w:eastAsiaTheme="minorHAnsi" w:hAnsiTheme="minorHAnsi" w:cstheme="minorBidi"/>
          <w:snapToGrid/>
          <w:sz w:val="24"/>
          <w:szCs w:val="22"/>
        </w:rPr>
        <w:t xml:space="preserve">(OHP) </w:t>
      </w:r>
      <w:r w:rsidRPr="006A75ED">
        <w:rPr>
          <w:rFonts w:asciiTheme="minorHAnsi" w:eastAsiaTheme="minorHAnsi" w:hAnsiTheme="minorHAnsi" w:cstheme="minorBidi"/>
          <w:snapToGrid/>
          <w:sz w:val="24"/>
          <w:szCs w:val="22"/>
        </w:rPr>
        <w:t>to encourage relevant companies to make a PBAC submission to demonstrate the cost effectiveness of vaccinating those aged 5 to &lt;15 ye</w:t>
      </w:r>
      <w:r w:rsidR="00694625">
        <w:rPr>
          <w:rFonts w:asciiTheme="minorHAnsi" w:eastAsiaTheme="minorHAnsi" w:hAnsiTheme="minorHAnsi" w:cstheme="minorBidi"/>
          <w:snapToGrid/>
          <w:sz w:val="24"/>
          <w:szCs w:val="22"/>
        </w:rPr>
        <w:t>ars against seasonal influenza.</w:t>
      </w:r>
    </w:p>
    <w:p w:rsidR="002E7C63" w:rsidRDefault="00BD4004"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002E7C63" w:rsidRPr="002E7C63">
        <w:rPr>
          <w:rFonts w:asciiTheme="minorHAnsi" w:eastAsiaTheme="minorHAnsi" w:hAnsiTheme="minorHAnsi" w:cstheme="minorBidi"/>
          <w:snapToGrid/>
          <w:sz w:val="24"/>
          <w:szCs w:val="22"/>
        </w:rPr>
        <w:t xml:space="preserve">OHP advised that </w:t>
      </w:r>
      <w:r w:rsidR="002E7C63">
        <w:rPr>
          <w:rFonts w:asciiTheme="minorHAnsi" w:eastAsiaTheme="minorHAnsi" w:hAnsiTheme="minorHAnsi" w:cstheme="minorBidi"/>
          <w:snapToGrid/>
          <w:sz w:val="24"/>
          <w:szCs w:val="22"/>
        </w:rPr>
        <w:t xml:space="preserve">the relevant sponsors </w:t>
      </w:r>
      <w:r w:rsidR="00A06275">
        <w:rPr>
          <w:rFonts w:asciiTheme="minorHAnsi" w:eastAsiaTheme="minorHAnsi" w:hAnsiTheme="minorHAnsi" w:cstheme="minorBidi"/>
          <w:snapToGrid/>
          <w:sz w:val="24"/>
          <w:szCs w:val="22"/>
        </w:rPr>
        <w:t xml:space="preserve">claimed </w:t>
      </w:r>
      <w:r w:rsidR="002E7C63">
        <w:rPr>
          <w:rFonts w:asciiTheme="minorHAnsi" w:eastAsiaTheme="minorHAnsi" w:hAnsiTheme="minorHAnsi" w:cstheme="minorBidi"/>
          <w:snapToGrid/>
          <w:sz w:val="24"/>
          <w:szCs w:val="22"/>
        </w:rPr>
        <w:t xml:space="preserve">that </w:t>
      </w:r>
      <w:r w:rsidR="002E7C63" w:rsidRPr="002E7C63">
        <w:rPr>
          <w:rFonts w:asciiTheme="minorHAnsi" w:eastAsiaTheme="minorHAnsi" w:hAnsiTheme="minorHAnsi" w:cstheme="minorBidi"/>
          <w:snapToGrid/>
          <w:sz w:val="24"/>
          <w:szCs w:val="22"/>
        </w:rPr>
        <w:t>the small market and inadequate identification of Indigenous status in key morbidi</w:t>
      </w:r>
      <w:r w:rsidR="00EC3FD1">
        <w:rPr>
          <w:rFonts w:asciiTheme="minorHAnsi" w:eastAsiaTheme="minorHAnsi" w:hAnsiTheme="minorHAnsi" w:cstheme="minorBidi"/>
          <w:snapToGrid/>
          <w:sz w:val="24"/>
          <w:szCs w:val="22"/>
        </w:rPr>
        <w:t>ty and mortality data sets meant</w:t>
      </w:r>
      <w:r w:rsidR="002E7C63" w:rsidRPr="002E7C63">
        <w:rPr>
          <w:rFonts w:asciiTheme="minorHAnsi" w:eastAsiaTheme="minorHAnsi" w:hAnsiTheme="minorHAnsi" w:cstheme="minorBidi"/>
          <w:snapToGrid/>
          <w:sz w:val="24"/>
          <w:szCs w:val="22"/>
        </w:rPr>
        <w:t xml:space="preserve"> it </w:t>
      </w:r>
      <w:r w:rsidR="002E7C63">
        <w:rPr>
          <w:rFonts w:asciiTheme="minorHAnsi" w:eastAsiaTheme="minorHAnsi" w:hAnsiTheme="minorHAnsi" w:cstheme="minorBidi"/>
          <w:snapToGrid/>
          <w:sz w:val="24"/>
          <w:szCs w:val="22"/>
        </w:rPr>
        <w:t xml:space="preserve">would </w:t>
      </w:r>
      <w:r w:rsidR="002E7C63" w:rsidRPr="002E7C63">
        <w:rPr>
          <w:rFonts w:asciiTheme="minorHAnsi" w:eastAsiaTheme="minorHAnsi" w:hAnsiTheme="minorHAnsi" w:cstheme="minorBidi"/>
          <w:snapToGrid/>
          <w:sz w:val="24"/>
          <w:szCs w:val="22"/>
        </w:rPr>
        <w:t xml:space="preserve">not </w:t>
      </w:r>
      <w:r w:rsidR="002E7C63">
        <w:rPr>
          <w:rFonts w:asciiTheme="minorHAnsi" w:eastAsiaTheme="minorHAnsi" w:hAnsiTheme="minorHAnsi" w:cstheme="minorBidi"/>
          <w:snapToGrid/>
          <w:sz w:val="24"/>
          <w:szCs w:val="22"/>
        </w:rPr>
        <w:t xml:space="preserve">be </w:t>
      </w:r>
      <w:r w:rsidR="002E7C63" w:rsidRPr="002E7C63">
        <w:rPr>
          <w:rFonts w:asciiTheme="minorHAnsi" w:eastAsiaTheme="minorHAnsi" w:hAnsiTheme="minorHAnsi" w:cstheme="minorBidi"/>
          <w:snapToGrid/>
          <w:sz w:val="24"/>
          <w:szCs w:val="22"/>
        </w:rPr>
        <w:t>feasible to develop the submission requested by the PBAC in 2014.</w:t>
      </w:r>
    </w:p>
    <w:p w:rsidR="002527BB" w:rsidRPr="002527BB" w:rsidRDefault="002527BB" w:rsidP="00705BE5">
      <w:pPr>
        <w:pStyle w:val="ListParagraph"/>
        <w:widowControl/>
        <w:spacing w:after="120"/>
        <w:contextualSpacing w:val="0"/>
        <w:rPr>
          <w:rFonts w:asciiTheme="minorHAnsi" w:eastAsiaTheme="minorHAnsi" w:hAnsiTheme="minorHAnsi" w:cstheme="minorBidi"/>
          <w:i/>
          <w:snapToGrid/>
          <w:sz w:val="24"/>
          <w:szCs w:val="22"/>
        </w:rPr>
      </w:pPr>
      <w:r w:rsidRPr="0043430B">
        <w:rPr>
          <w:rFonts w:asciiTheme="minorHAnsi" w:eastAsiaTheme="minorHAnsi" w:hAnsiTheme="minorHAnsi" w:cstheme="minorBidi"/>
          <w:i/>
          <w:snapToGrid/>
          <w:sz w:val="24"/>
          <w:szCs w:val="22"/>
        </w:rPr>
        <w:t xml:space="preserve">For more detail on PBAC’s view, see section </w:t>
      </w:r>
      <w:r w:rsidR="0043430B">
        <w:rPr>
          <w:rFonts w:asciiTheme="minorHAnsi" w:eastAsiaTheme="minorHAnsi" w:hAnsiTheme="minorHAnsi" w:cstheme="minorBidi"/>
          <w:i/>
          <w:snapToGrid/>
          <w:sz w:val="24"/>
          <w:szCs w:val="22"/>
        </w:rPr>
        <w:t>5</w:t>
      </w:r>
      <w:r w:rsidRPr="0043430B">
        <w:rPr>
          <w:rFonts w:asciiTheme="minorHAnsi" w:eastAsiaTheme="minorHAnsi" w:hAnsiTheme="minorHAnsi" w:cstheme="minorBidi"/>
          <w:i/>
          <w:snapToGrid/>
          <w:sz w:val="24"/>
          <w:szCs w:val="22"/>
        </w:rPr>
        <w:t xml:space="preserve"> PBAC outcome.</w:t>
      </w:r>
    </w:p>
    <w:p w:rsidR="000B558D" w:rsidRPr="002E7C63" w:rsidRDefault="008D7A41" w:rsidP="00705BE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2E7C63">
        <w:rPr>
          <w:rFonts w:asciiTheme="minorHAnsi" w:hAnsiTheme="minorHAnsi"/>
          <w:sz w:val="32"/>
          <w:szCs w:val="32"/>
        </w:rPr>
        <w:t>C</w:t>
      </w:r>
      <w:r w:rsidR="00D84934" w:rsidRPr="002E7C63">
        <w:rPr>
          <w:rFonts w:asciiTheme="minorHAnsi" w:hAnsiTheme="minorHAnsi"/>
          <w:sz w:val="32"/>
          <w:szCs w:val="32"/>
        </w:rPr>
        <w:t>onsideration of the evidence</w:t>
      </w:r>
    </w:p>
    <w:p w:rsidR="00BB7EC3" w:rsidRDefault="00F426CA"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426CA">
        <w:rPr>
          <w:rFonts w:asciiTheme="minorHAnsi" w:eastAsiaTheme="minorHAnsi" w:hAnsiTheme="minorHAnsi" w:cstheme="minorBidi"/>
          <w:snapToGrid/>
          <w:sz w:val="24"/>
          <w:szCs w:val="22"/>
        </w:rPr>
        <w:t xml:space="preserve">The CMO advised that the vaccine uptake rate amongst </w:t>
      </w:r>
      <w:r w:rsidR="00E52DC0">
        <w:rPr>
          <w:rFonts w:asciiTheme="minorHAnsi" w:eastAsiaTheme="minorHAnsi" w:hAnsiTheme="minorHAnsi" w:cstheme="minorBidi"/>
          <w:snapToGrid/>
          <w:sz w:val="24"/>
          <w:szCs w:val="22"/>
        </w:rPr>
        <w:t>Indigenous</w:t>
      </w:r>
      <w:r w:rsidR="00E52DC0" w:rsidRPr="00F426CA">
        <w:rPr>
          <w:rFonts w:asciiTheme="minorHAnsi" w:eastAsiaTheme="minorHAnsi" w:hAnsiTheme="minorHAnsi" w:cstheme="minorBidi"/>
          <w:snapToGrid/>
          <w:sz w:val="24"/>
          <w:szCs w:val="22"/>
        </w:rPr>
        <w:t xml:space="preserve"> </w:t>
      </w:r>
      <w:r w:rsidR="00E52DC0">
        <w:rPr>
          <w:rFonts w:asciiTheme="minorHAnsi" w:eastAsiaTheme="minorHAnsi" w:hAnsiTheme="minorHAnsi" w:cstheme="minorBidi"/>
          <w:snapToGrid/>
          <w:sz w:val="24"/>
          <w:szCs w:val="22"/>
        </w:rPr>
        <w:t>children aged 6 </w:t>
      </w:r>
      <w:r w:rsidRPr="00F426CA">
        <w:rPr>
          <w:rFonts w:asciiTheme="minorHAnsi" w:eastAsiaTheme="minorHAnsi" w:hAnsiTheme="minorHAnsi" w:cstheme="minorBidi"/>
          <w:snapToGrid/>
          <w:sz w:val="24"/>
          <w:szCs w:val="22"/>
        </w:rPr>
        <w:t xml:space="preserve">months to </w:t>
      </w:r>
      <w:r w:rsidR="00A06275">
        <w:rPr>
          <w:rFonts w:asciiTheme="minorHAnsi" w:eastAsiaTheme="minorHAnsi" w:hAnsiTheme="minorHAnsi" w:cstheme="minorBidi"/>
          <w:snapToGrid/>
          <w:sz w:val="24"/>
          <w:szCs w:val="22"/>
        </w:rPr>
        <w:t>&lt;</w:t>
      </w:r>
      <w:r w:rsidRPr="00F426CA">
        <w:rPr>
          <w:rFonts w:asciiTheme="minorHAnsi" w:eastAsiaTheme="minorHAnsi" w:hAnsiTheme="minorHAnsi" w:cstheme="minorBidi"/>
          <w:snapToGrid/>
          <w:sz w:val="24"/>
          <w:szCs w:val="22"/>
        </w:rPr>
        <w:t xml:space="preserve">5 years in 2016 was </w:t>
      </w:r>
      <w:r w:rsidR="000C545F">
        <w:rPr>
          <w:rFonts w:asciiTheme="minorHAnsi" w:eastAsiaTheme="minorHAnsi" w:hAnsiTheme="minorHAnsi" w:cstheme="minorBidi"/>
          <w:snapToGrid/>
          <w:sz w:val="24"/>
          <w:szCs w:val="22"/>
        </w:rPr>
        <w:t xml:space="preserve">only </w:t>
      </w:r>
      <w:r w:rsidRPr="00F426CA">
        <w:rPr>
          <w:rFonts w:asciiTheme="minorHAnsi" w:eastAsiaTheme="minorHAnsi" w:hAnsiTheme="minorHAnsi" w:cstheme="minorBidi"/>
          <w:snapToGrid/>
          <w:sz w:val="24"/>
          <w:szCs w:val="22"/>
        </w:rPr>
        <w:t>11.6%.</w:t>
      </w:r>
      <w:r>
        <w:rPr>
          <w:rFonts w:asciiTheme="minorHAnsi" w:eastAsiaTheme="minorHAnsi" w:hAnsiTheme="minorHAnsi" w:cstheme="minorBidi"/>
          <w:snapToGrid/>
          <w:sz w:val="24"/>
          <w:szCs w:val="22"/>
        </w:rPr>
        <w:t xml:space="preserve"> Public consultation and program evaluations have identified that the age gap in eligibility is an implementation challenge</w:t>
      </w:r>
      <w:r w:rsidR="000C545F">
        <w:rPr>
          <w:rFonts w:asciiTheme="minorHAnsi" w:eastAsiaTheme="minorHAnsi" w:hAnsiTheme="minorHAnsi" w:cstheme="minorBidi"/>
          <w:snapToGrid/>
          <w:sz w:val="24"/>
          <w:szCs w:val="22"/>
        </w:rPr>
        <w:t xml:space="preserve"> and may be discouraging uptake</w:t>
      </w:r>
      <w:r>
        <w:rPr>
          <w:rFonts w:asciiTheme="minorHAnsi" w:eastAsiaTheme="minorHAnsi" w:hAnsiTheme="minorHAnsi" w:cstheme="minorBidi"/>
          <w:snapToGrid/>
          <w:sz w:val="24"/>
          <w:szCs w:val="22"/>
        </w:rPr>
        <w:t>.</w:t>
      </w:r>
      <w:r w:rsidR="007E2350">
        <w:rPr>
          <w:rFonts w:asciiTheme="minorHAnsi" w:eastAsiaTheme="minorHAnsi" w:hAnsiTheme="minorHAnsi" w:cstheme="minorBidi"/>
          <w:snapToGrid/>
          <w:sz w:val="24"/>
          <w:szCs w:val="22"/>
        </w:rPr>
        <w:t xml:space="preserve"> The CMO advised that</w:t>
      </w:r>
      <w:r w:rsidR="007E2350" w:rsidRPr="007E2350">
        <w:rPr>
          <w:rFonts w:asciiTheme="minorHAnsi" w:eastAsiaTheme="minorHAnsi" w:hAnsiTheme="minorHAnsi" w:cstheme="minorBidi"/>
          <w:snapToGrid/>
          <w:sz w:val="24"/>
          <w:szCs w:val="22"/>
        </w:rPr>
        <w:t xml:space="preserve"> expanding the eligibility for seasonal influenza vaccines to all </w:t>
      </w:r>
      <w:r w:rsidR="00E52DC0">
        <w:rPr>
          <w:rFonts w:asciiTheme="minorHAnsi" w:eastAsiaTheme="minorHAnsi" w:hAnsiTheme="minorHAnsi" w:cstheme="minorBidi"/>
          <w:snapToGrid/>
          <w:sz w:val="24"/>
          <w:szCs w:val="22"/>
        </w:rPr>
        <w:t>Indigenous people</w:t>
      </w:r>
      <w:r w:rsidR="007E2350" w:rsidRPr="007E2350">
        <w:rPr>
          <w:rFonts w:asciiTheme="minorHAnsi" w:eastAsiaTheme="minorHAnsi" w:hAnsiTheme="minorHAnsi" w:cstheme="minorBidi"/>
          <w:snapToGrid/>
          <w:sz w:val="24"/>
          <w:szCs w:val="22"/>
        </w:rPr>
        <w:t xml:space="preserve"> </w:t>
      </w:r>
      <w:r w:rsidR="006D33FB">
        <w:rPr>
          <w:rFonts w:asciiTheme="minorHAnsi" w:eastAsiaTheme="minorHAnsi" w:hAnsiTheme="minorHAnsi" w:cstheme="minorBidi"/>
          <w:snapToGrid/>
          <w:sz w:val="24"/>
          <w:szCs w:val="22"/>
        </w:rPr>
        <w:t>may</w:t>
      </w:r>
      <w:r w:rsidR="00FC2520">
        <w:rPr>
          <w:rFonts w:asciiTheme="minorHAnsi" w:eastAsiaTheme="minorHAnsi" w:hAnsiTheme="minorHAnsi" w:cstheme="minorBidi"/>
          <w:snapToGrid/>
          <w:sz w:val="24"/>
          <w:szCs w:val="22"/>
        </w:rPr>
        <w:t xml:space="preserve"> assist to</w:t>
      </w:r>
      <w:r w:rsidR="007E2350" w:rsidRPr="007E2350">
        <w:rPr>
          <w:rFonts w:asciiTheme="minorHAnsi" w:eastAsiaTheme="minorHAnsi" w:hAnsiTheme="minorHAnsi" w:cstheme="minorBidi"/>
          <w:snapToGrid/>
          <w:sz w:val="24"/>
          <w:szCs w:val="22"/>
        </w:rPr>
        <w:t xml:space="preserve"> improve </w:t>
      </w:r>
      <w:r w:rsidR="000C545F">
        <w:rPr>
          <w:rFonts w:asciiTheme="minorHAnsi" w:eastAsiaTheme="minorHAnsi" w:hAnsiTheme="minorHAnsi" w:cstheme="minorBidi"/>
          <w:snapToGrid/>
          <w:sz w:val="24"/>
          <w:szCs w:val="22"/>
        </w:rPr>
        <w:t xml:space="preserve">overall </w:t>
      </w:r>
      <w:r w:rsidR="007E2350" w:rsidRPr="007E2350">
        <w:rPr>
          <w:rFonts w:asciiTheme="minorHAnsi" w:eastAsiaTheme="minorHAnsi" w:hAnsiTheme="minorHAnsi" w:cstheme="minorBidi"/>
          <w:snapToGrid/>
          <w:sz w:val="24"/>
          <w:szCs w:val="22"/>
        </w:rPr>
        <w:t xml:space="preserve">coverage </w:t>
      </w:r>
      <w:r w:rsidR="000C545F">
        <w:rPr>
          <w:rFonts w:asciiTheme="minorHAnsi" w:eastAsiaTheme="minorHAnsi" w:hAnsiTheme="minorHAnsi" w:cstheme="minorBidi"/>
          <w:snapToGrid/>
          <w:sz w:val="24"/>
          <w:szCs w:val="22"/>
        </w:rPr>
        <w:t>of</w:t>
      </w:r>
      <w:r w:rsidR="007E2350" w:rsidRPr="007E2350">
        <w:rPr>
          <w:rFonts w:asciiTheme="minorHAnsi" w:eastAsiaTheme="minorHAnsi" w:hAnsiTheme="minorHAnsi" w:cstheme="minorBidi"/>
          <w:snapToGrid/>
          <w:sz w:val="24"/>
          <w:szCs w:val="22"/>
        </w:rPr>
        <w:t xml:space="preserve"> Indigenous families (both parents and children).</w:t>
      </w:r>
    </w:p>
    <w:p w:rsidR="00511184" w:rsidRPr="00511184" w:rsidRDefault="00511184" w:rsidP="0051118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CMO noted the increased burden of seasonal influenza amongst Indigenous people, compared with non-Indigenous</w:t>
      </w:r>
      <w:r w:rsidR="00FC2520">
        <w:rPr>
          <w:rFonts w:asciiTheme="minorHAnsi" w:eastAsiaTheme="minorHAnsi" w:hAnsiTheme="minorHAnsi" w:cstheme="minorBidi"/>
          <w:snapToGrid/>
          <w:sz w:val="24"/>
          <w:szCs w:val="22"/>
        </w:rPr>
        <w:t xml:space="preserve"> people</w:t>
      </w:r>
      <w:r>
        <w:rPr>
          <w:rFonts w:asciiTheme="minorHAnsi" w:eastAsiaTheme="minorHAnsi" w:hAnsiTheme="minorHAnsi" w:cstheme="minorBidi"/>
          <w:snapToGrid/>
          <w:sz w:val="24"/>
          <w:szCs w:val="22"/>
        </w:rPr>
        <w:t xml:space="preserve">. The CMO </w:t>
      </w:r>
      <w:r w:rsidR="00EC0DB4">
        <w:rPr>
          <w:rFonts w:asciiTheme="minorHAnsi" w:eastAsiaTheme="minorHAnsi" w:hAnsiTheme="minorHAnsi" w:cstheme="minorBidi"/>
          <w:snapToGrid/>
          <w:sz w:val="24"/>
          <w:szCs w:val="22"/>
        </w:rPr>
        <w:t>stated</w:t>
      </w:r>
      <w:r>
        <w:rPr>
          <w:rFonts w:asciiTheme="minorHAnsi" w:eastAsiaTheme="minorHAnsi" w:hAnsiTheme="minorHAnsi" w:cstheme="minorBidi"/>
          <w:snapToGrid/>
          <w:sz w:val="24"/>
          <w:szCs w:val="22"/>
        </w:rPr>
        <w:t xml:space="preserve"> that a </w:t>
      </w:r>
      <w:r w:rsidR="008B22A1" w:rsidRPr="008B22A1">
        <w:rPr>
          <w:rFonts w:asciiTheme="minorHAnsi" w:eastAsiaTheme="minorHAnsi" w:hAnsiTheme="minorHAnsi" w:cstheme="minorBidi"/>
          <w:snapToGrid/>
          <w:sz w:val="24"/>
          <w:szCs w:val="22"/>
        </w:rPr>
        <w:t xml:space="preserve">key difference to the </w:t>
      </w:r>
      <w:r>
        <w:rPr>
          <w:rFonts w:asciiTheme="minorHAnsi" w:eastAsiaTheme="minorHAnsi" w:hAnsiTheme="minorHAnsi" w:cstheme="minorBidi"/>
          <w:snapToGrid/>
          <w:sz w:val="24"/>
          <w:szCs w:val="22"/>
        </w:rPr>
        <w:t>data presented in the 2014 submission was</w:t>
      </w:r>
      <w:r w:rsidR="008B22A1" w:rsidRPr="008B22A1">
        <w:rPr>
          <w:rFonts w:asciiTheme="minorHAnsi" w:eastAsiaTheme="minorHAnsi" w:hAnsiTheme="minorHAnsi" w:cstheme="minorBidi"/>
          <w:snapToGrid/>
          <w:sz w:val="24"/>
          <w:szCs w:val="22"/>
        </w:rPr>
        <w:t xml:space="preserve"> that the rate ratio </w:t>
      </w:r>
      <w:r w:rsidR="00FC2520">
        <w:rPr>
          <w:rFonts w:asciiTheme="minorHAnsi" w:eastAsiaTheme="minorHAnsi" w:hAnsiTheme="minorHAnsi" w:cstheme="minorBidi"/>
          <w:snapToGrid/>
          <w:sz w:val="24"/>
          <w:szCs w:val="22"/>
        </w:rPr>
        <w:t>of</w:t>
      </w:r>
      <w:r w:rsidR="008B22A1" w:rsidRPr="008B22A1">
        <w:rPr>
          <w:rFonts w:asciiTheme="minorHAnsi" w:eastAsiaTheme="minorHAnsi" w:hAnsiTheme="minorHAnsi" w:cstheme="minorBidi"/>
          <w:snapToGrid/>
          <w:sz w:val="24"/>
          <w:szCs w:val="22"/>
        </w:rPr>
        <w:t xml:space="preserve"> influenza related hospitalis</w:t>
      </w:r>
      <w:r>
        <w:rPr>
          <w:rFonts w:asciiTheme="minorHAnsi" w:eastAsiaTheme="minorHAnsi" w:hAnsiTheme="minorHAnsi" w:cstheme="minorBidi"/>
          <w:snapToGrid/>
          <w:sz w:val="24"/>
          <w:szCs w:val="22"/>
        </w:rPr>
        <w:t>ations amongst 5 to 14 year old Indigenous Australians versus non</w:t>
      </w:r>
      <w:r>
        <w:rPr>
          <w:rFonts w:asciiTheme="minorHAnsi" w:eastAsiaTheme="minorHAnsi" w:hAnsiTheme="minorHAnsi" w:cstheme="minorBidi"/>
          <w:snapToGrid/>
          <w:sz w:val="24"/>
          <w:szCs w:val="22"/>
        </w:rPr>
        <w:noBreakHyphen/>
        <w:t>Indigenous Australians</w:t>
      </w:r>
      <w:r w:rsidR="008B22A1" w:rsidRPr="008B22A1">
        <w:rPr>
          <w:rFonts w:asciiTheme="minorHAnsi" w:eastAsiaTheme="minorHAnsi" w:hAnsiTheme="minorHAnsi" w:cstheme="minorBidi"/>
          <w:snapToGrid/>
          <w:sz w:val="24"/>
          <w:szCs w:val="22"/>
        </w:rPr>
        <w:t xml:space="preserve"> is now statistically significant</w:t>
      </w:r>
      <w:r>
        <w:rPr>
          <w:rFonts w:asciiTheme="minorHAnsi" w:eastAsiaTheme="minorHAnsi" w:hAnsiTheme="minorHAnsi" w:cstheme="minorBidi"/>
          <w:snapToGrid/>
          <w:sz w:val="24"/>
          <w:szCs w:val="22"/>
        </w:rPr>
        <w:t xml:space="preserve"> (see Table 2</w:t>
      </w:r>
      <w:r w:rsidR="00FC2520">
        <w:rPr>
          <w:rFonts w:asciiTheme="minorHAnsi" w:eastAsiaTheme="minorHAnsi" w:hAnsiTheme="minorHAnsi" w:cstheme="minorBidi"/>
          <w:snapToGrid/>
          <w:sz w:val="24"/>
          <w:szCs w:val="22"/>
        </w:rPr>
        <w:t>)</w:t>
      </w:r>
      <w:r w:rsidR="008B22A1" w:rsidRPr="008B22A1">
        <w:rPr>
          <w:rFonts w:asciiTheme="minorHAnsi" w:eastAsiaTheme="minorHAnsi" w:hAnsiTheme="minorHAnsi" w:cstheme="minorBidi"/>
          <w:snapToGrid/>
          <w:sz w:val="24"/>
          <w:szCs w:val="22"/>
        </w:rPr>
        <w:t>.</w:t>
      </w:r>
    </w:p>
    <w:p w:rsidR="00511184" w:rsidRPr="00511184" w:rsidRDefault="00503581" w:rsidP="00511184">
      <w:pPr>
        <w:pStyle w:val="Default"/>
        <w:rPr>
          <w:rFonts w:ascii="Arial Narrow" w:hAnsi="Arial Narrow"/>
          <w:b/>
          <w:bCs/>
          <w:sz w:val="20"/>
          <w:szCs w:val="20"/>
        </w:rPr>
      </w:pPr>
      <w:r>
        <w:rPr>
          <w:rFonts w:ascii="Arial Narrow" w:hAnsi="Arial Narrow"/>
          <w:b/>
          <w:bCs/>
          <w:sz w:val="20"/>
          <w:szCs w:val="20"/>
        </w:rPr>
        <w:t>Table 2</w:t>
      </w:r>
      <w:r w:rsidR="00511184" w:rsidRPr="00511184">
        <w:rPr>
          <w:rFonts w:ascii="Arial Narrow" w:hAnsi="Arial Narrow"/>
          <w:b/>
          <w:bCs/>
          <w:sz w:val="20"/>
          <w:szCs w:val="20"/>
        </w:rPr>
        <w:t xml:space="preserve">: Rate ratio of ICD-coded hospitalisation for influenza (any diagnosis) of </w:t>
      </w:r>
      <w:r w:rsidR="00511184">
        <w:rPr>
          <w:rFonts w:ascii="Arial Narrow" w:hAnsi="Arial Narrow"/>
          <w:b/>
          <w:bCs/>
          <w:sz w:val="20"/>
          <w:szCs w:val="20"/>
        </w:rPr>
        <w:t>Indigenous Australians</w:t>
      </w:r>
      <w:r w:rsidR="00511184" w:rsidRPr="00511184">
        <w:rPr>
          <w:rFonts w:ascii="Arial Narrow" w:hAnsi="Arial Narrow"/>
          <w:b/>
          <w:bCs/>
          <w:sz w:val="20"/>
          <w:szCs w:val="20"/>
        </w:rPr>
        <w:t xml:space="preserve"> compared with other (non-Indigenous) Australians (all jurisdictions), 2010–2015, by age group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5305"/>
      </w:tblGrid>
      <w:tr w:rsidR="00511184" w:rsidRPr="00511184" w:rsidTr="00511184">
        <w:trPr>
          <w:trHeight w:val="509"/>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
                <w:bCs/>
                <w:sz w:val="20"/>
                <w:szCs w:val="20"/>
              </w:rPr>
              <w:t>Age group</w:t>
            </w:r>
          </w:p>
        </w:tc>
        <w:tc>
          <w:tcPr>
            <w:tcW w:w="2942" w:type="pct"/>
            <w:vAlign w:val="center"/>
          </w:tcPr>
          <w:p w:rsidR="00511184" w:rsidRPr="00511184" w:rsidRDefault="00511184" w:rsidP="00511184">
            <w:pPr>
              <w:pStyle w:val="Default"/>
              <w:jc w:val="center"/>
              <w:rPr>
                <w:rFonts w:ascii="Arial Narrow" w:hAnsi="Arial Narrow"/>
                <w:sz w:val="20"/>
                <w:szCs w:val="20"/>
              </w:rPr>
            </w:pPr>
            <w:r>
              <w:rPr>
                <w:rFonts w:ascii="Arial Narrow" w:hAnsi="Arial Narrow"/>
                <w:b/>
                <w:bCs/>
                <w:sz w:val="20"/>
                <w:szCs w:val="20"/>
              </w:rPr>
              <w:t>Rate ratio (95% CI)</w:t>
            </w:r>
          </w:p>
        </w:tc>
      </w:tr>
      <w:tr w:rsidR="00511184" w:rsidRPr="00511184" w:rsidTr="00511184">
        <w:trPr>
          <w:trHeight w:val="113"/>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sz w:val="20"/>
                <w:szCs w:val="20"/>
              </w:rPr>
              <w:t>0–5 months</w:t>
            </w:r>
          </w:p>
        </w:tc>
        <w:tc>
          <w:tcPr>
            <w:tcW w:w="2942"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Cs/>
                <w:sz w:val="20"/>
                <w:szCs w:val="20"/>
              </w:rPr>
              <w:t>2.7 (2.41–3.04)</w:t>
            </w:r>
          </w:p>
        </w:tc>
      </w:tr>
      <w:tr w:rsidR="00511184" w:rsidRPr="00511184" w:rsidTr="00511184">
        <w:trPr>
          <w:trHeight w:val="111"/>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sz w:val="20"/>
                <w:szCs w:val="20"/>
              </w:rPr>
              <w:t>6–23 months</w:t>
            </w:r>
          </w:p>
        </w:tc>
        <w:tc>
          <w:tcPr>
            <w:tcW w:w="2942"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Cs/>
                <w:sz w:val="20"/>
                <w:szCs w:val="20"/>
              </w:rPr>
              <w:t>2.5 (2.29–2.74)</w:t>
            </w:r>
          </w:p>
        </w:tc>
      </w:tr>
      <w:tr w:rsidR="00511184" w:rsidRPr="00511184" w:rsidTr="00511184">
        <w:trPr>
          <w:trHeight w:val="111"/>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sz w:val="20"/>
                <w:szCs w:val="20"/>
              </w:rPr>
              <w:t>2–4 years</w:t>
            </w:r>
          </w:p>
        </w:tc>
        <w:tc>
          <w:tcPr>
            <w:tcW w:w="2942"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Cs/>
                <w:sz w:val="20"/>
                <w:szCs w:val="20"/>
              </w:rPr>
              <w:t>1.5 (1.29–1.66)</w:t>
            </w:r>
          </w:p>
        </w:tc>
      </w:tr>
      <w:tr w:rsidR="00511184" w:rsidRPr="00511184" w:rsidTr="00511184">
        <w:trPr>
          <w:trHeight w:val="111"/>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sz w:val="20"/>
                <w:szCs w:val="20"/>
              </w:rPr>
              <w:t>5–14 years</w:t>
            </w:r>
          </w:p>
        </w:tc>
        <w:tc>
          <w:tcPr>
            <w:tcW w:w="2942"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Cs/>
                <w:sz w:val="20"/>
                <w:szCs w:val="20"/>
              </w:rPr>
              <w:t>1.4 (1.26–1.59)</w:t>
            </w:r>
          </w:p>
        </w:tc>
      </w:tr>
      <w:tr w:rsidR="00511184" w:rsidRPr="00511184" w:rsidTr="00511184">
        <w:trPr>
          <w:trHeight w:val="111"/>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sz w:val="20"/>
                <w:szCs w:val="20"/>
              </w:rPr>
              <w:t>15–29 years</w:t>
            </w:r>
          </w:p>
        </w:tc>
        <w:tc>
          <w:tcPr>
            <w:tcW w:w="2942"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Cs/>
                <w:sz w:val="20"/>
                <w:szCs w:val="20"/>
              </w:rPr>
              <w:t>2.1 (1.92–2.30)</w:t>
            </w:r>
          </w:p>
        </w:tc>
      </w:tr>
      <w:tr w:rsidR="00511184" w:rsidRPr="00511184" w:rsidTr="00511184">
        <w:trPr>
          <w:trHeight w:val="111"/>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sz w:val="20"/>
                <w:szCs w:val="20"/>
              </w:rPr>
              <w:t>30–49 years</w:t>
            </w:r>
          </w:p>
        </w:tc>
        <w:tc>
          <w:tcPr>
            <w:tcW w:w="2942"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Cs/>
                <w:sz w:val="20"/>
                <w:szCs w:val="20"/>
              </w:rPr>
              <w:t>3.2 (3.00–3.45)</w:t>
            </w:r>
          </w:p>
        </w:tc>
      </w:tr>
      <w:tr w:rsidR="00511184" w:rsidRPr="00511184" w:rsidTr="00511184">
        <w:trPr>
          <w:trHeight w:val="111"/>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sz w:val="20"/>
                <w:szCs w:val="20"/>
              </w:rPr>
              <w:t>50–64 years</w:t>
            </w:r>
          </w:p>
        </w:tc>
        <w:tc>
          <w:tcPr>
            <w:tcW w:w="2942"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Cs/>
                <w:sz w:val="20"/>
                <w:szCs w:val="20"/>
              </w:rPr>
              <w:t>4.3 (3.98–4.65)</w:t>
            </w:r>
          </w:p>
        </w:tc>
      </w:tr>
      <w:tr w:rsidR="00511184" w:rsidRPr="00511184" w:rsidTr="00511184">
        <w:trPr>
          <w:trHeight w:val="111"/>
        </w:trPr>
        <w:tc>
          <w:tcPr>
            <w:tcW w:w="2058"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sz w:val="20"/>
                <w:szCs w:val="20"/>
              </w:rPr>
              <w:t>≥65 years</w:t>
            </w:r>
          </w:p>
        </w:tc>
        <w:tc>
          <w:tcPr>
            <w:tcW w:w="2942" w:type="pct"/>
            <w:vAlign w:val="center"/>
          </w:tcPr>
          <w:p w:rsidR="00511184" w:rsidRPr="00511184" w:rsidRDefault="00511184" w:rsidP="00511184">
            <w:pPr>
              <w:pStyle w:val="Default"/>
              <w:jc w:val="center"/>
              <w:rPr>
                <w:rFonts w:ascii="Arial Narrow" w:hAnsi="Arial Narrow"/>
                <w:sz w:val="20"/>
                <w:szCs w:val="20"/>
              </w:rPr>
            </w:pPr>
            <w:r w:rsidRPr="00511184">
              <w:rPr>
                <w:rFonts w:ascii="Arial Narrow" w:hAnsi="Arial Narrow"/>
                <w:bCs/>
                <w:sz w:val="20"/>
                <w:szCs w:val="20"/>
              </w:rPr>
              <w:t>2.0 (1.76–2.18)</w:t>
            </w:r>
          </w:p>
        </w:tc>
      </w:tr>
    </w:tbl>
    <w:p w:rsidR="00511184" w:rsidRDefault="00511184" w:rsidP="00511184">
      <w:pPr>
        <w:rPr>
          <w:rFonts w:ascii="Arial Narrow" w:eastAsiaTheme="majorEastAsia" w:hAnsi="Arial Narrow"/>
          <w:sz w:val="18"/>
          <w:szCs w:val="18"/>
        </w:rPr>
      </w:pPr>
      <w:r w:rsidRPr="00511184">
        <w:rPr>
          <w:rFonts w:ascii="Arial Narrow" w:eastAsiaTheme="majorEastAsia" w:hAnsi="Arial Narrow"/>
          <w:sz w:val="18"/>
          <w:szCs w:val="18"/>
        </w:rPr>
        <w:t>Source: The Australian Institute of Health and Welfare (AIHW) National Hospital Morbidity Database analysed by the National Centre for Immunisation Research and Surveillance (NCIRS). An influenza hospitalisation was defined as an episode of hospitalisation recorded with ICD-10 codes J09, J10 or J11 as one of the diagnoses (principal or other) at separation (discharge).</w:t>
      </w:r>
    </w:p>
    <w:p w:rsidR="00DD6B6F" w:rsidRPr="00511184" w:rsidRDefault="00DD6B6F" w:rsidP="00511184">
      <w:pPr>
        <w:rPr>
          <w:rFonts w:ascii="Arial Narrow" w:eastAsiaTheme="majorEastAsia" w:hAnsi="Arial Narrow"/>
          <w:sz w:val="18"/>
          <w:szCs w:val="18"/>
        </w:rPr>
      </w:pPr>
    </w:p>
    <w:p w:rsidR="00DD6B6F" w:rsidRPr="00DD6B6F" w:rsidRDefault="00DD6B6F" w:rsidP="00DD6B6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D6B6F">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 xml:space="preserve">three sponsors with vaccines either listed or under consideration for use in this age group provided additional information with regards to safety and comparative effectiveness to support this submission. All three sponsors agreed to supply the vaccine for the requested cohort at their current </w:t>
      </w:r>
      <w:r w:rsidR="001A0A0C">
        <w:rPr>
          <w:rFonts w:asciiTheme="minorHAnsi" w:eastAsiaTheme="minorHAnsi" w:hAnsiTheme="minorHAnsi" w:cstheme="minorBidi"/>
          <w:snapToGrid/>
          <w:sz w:val="24"/>
          <w:szCs w:val="22"/>
        </w:rPr>
        <w:t xml:space="preserve">contracted </w:t>
      </w:r>
      <w:r>
        <w:rPr>
          <w:rFonts w:asciiTheme="minorHAnsi" w:eastAsiaTheme="minorHAnsi" w:hAnsiTheme="minorHAnsi" w:cstheme="minorBidi"/>
          <w:snapToGrid/>
          <w:sz w:val="24"/>
          <w:szCs w:val="22"/>
        </w:rPr>
        <w:t xml:space="preserve">prices. </w:t>
      </w:r>
    </w:p>
    <w:p w:rsidR="003C2FB5" w:rsidRPr="008306F3" w:rsidRDefault="00702757" w:rsidP="00705BE5">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Vaccine</w:t>
      </w:r>
      <w:r w:rsidR="00A55FEE" w:rsidRPr="003C2FB5">
        <w:rPr>
          <w:rFonts w:asciiTheme="minorHAnsi" w:eastAsiaTheme="majorEastAsia" w:hAnsiTheme="minorHAnsi" w:cstheme="majorBidi"/>
          <w:sz w:val="28"/>
          <w:szCs w:val="28"/>
          <w:lang w:eastAsia="en-US"/>
        </w:rPr>
        <w:t xml:space="preserve"> cost/patient/year: $</w:t>
      </w:r>
      <w:r w:rsidR="00DD1FD8">
        <w:rPr>
          <w:rFonts w:asciiTheme="minorHAnsi" w:eastAsiaTheme="majorEastAsia" w:hAnsiTheme="minorHAnsi" w:cstheme="majorBidi"/>
          <w:noProof/>
          <w:color w:val="000000"/>
          <w:sz w:val="28"/>
          <w:szCs w:val="28"/>
          <w:highlight w:val="black"/>
          <w:lang w:eastAsia="en-US"/>
        </w:rPr>
        <w:t>''''''''</w:t>
      </w:r>
    </w:p>
    <w:p w:rsidR="004D7532" w:rsidRDefault="00702757"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Vaccine cost of </w:t>
      </w:r>
      <w:r w:rsidRPr="00702757">
        <w:rPr>
          <w:rFonts w:asciiTheme="minorHAnsi" w:eastAsiaTheme="minorHAnsi" w:hAnsiTheme="minorHAnsi" w:cstheme="minorBidi"/>
          <w:snapToGrid/>
          <w:sz w:val="24"/>
          <w:szCs w:val="22"/>
        </w:rPr>
        <w:t>$</w:t>
      </w:r>
      <w:r w:rsidR="00DD1FD8">
        <w:rPr>
          <w:rFonts w:asciiTheme="minorHAnsi" w:eastAsiaTheme="minorHAnsi" w:hAnsiTheme="minorHAnsi" w:cstheme="minorBidi"/>
          <w:noProof/>
          <w:snapToGrid/>
          <w:color w:val="000000"/>
          <w:sz w:val="24"/>
          <w:szCs w:val="22"/>
          <w:highlight w:val="black"/>
        </w:rPr>
        <w:t>''''''''</w:t>
      </w:r>
      <w:r w:rsidRPr="00702757">
        <w:rPr>
          <w:rFonts w:asciiTheme="minorHAnsi" w:eastAsiaTheme="minorHAnsi" w:hAnsiTheme="minorHAnsi" w:cstheme="minorBidi"/>
          <w:snapToGrid/>
          <w:sz w:val="24"/>
          <w:szCs w:val="22"/>
        </w:rPr>
        <w:t xml:space="preserve"> based on a single dose per child per year.</w:t>
      </w:r>
      <w:r w:rsidR="00C435FC">
        <w:rPr>
          <w:rFonts w:asciiTheme="minorHAnsi" w:eastAsiaTheme="minorHAnsi" w:hAnsiTheme="minorHAnsi" w:cstheme="minorBidi"/>
          <w:snapToGrid/>
          <w:sz w:val="24"/>
          <w:szCs w:val="22"/>
        </w:rPr>
        <w:t xml:space="preserve"> This is equivalent to the nationally negotiated price for </w:t>
      </w:r>
      <w:proofErr w:type="spellStart"/>
      <w:r w:rsidR="00C435FC">
        <w:rPr>
          <w:rFonts w:asciiTheme="minorHAnsi" w:eastAsiaTheme="minorHAnsi" w:hAnsiTheme="minorHAnsi" w:cstheme="minorBidi"/>
          <w:snapToGrid/>
          <w:sz w:val="24"/>
          <w:szCs w:val="22"/>
        </w:rPr>
        <w:t>FluQuadri</w:t>
      </w:r>
      <w:proofErr w:type="spellEnd"/>
      <w:r w:rsidR="00C435FC">
        <w:rPr>
          <w:rFonts w:asciiTheme="minorHAnsi" w:eastAsiaTheme="minorHAnsi" w:hAnsiTheme="minorHAnsi" w:cstheme="minorBidi"/>
          <w:snapToGrid/>
          <w:sz w:val="24"/>
          <w:szCs w:val="22"/>
        </w:rPr>
        <w:t xml:space="preserve"> (</w:t>
      </w:r>
      <w:r w:rsidR="00934AB5">
        <w:rPr>
          <w:rFonts w:asciiTheme="minorHAnsi" w:eastAsiaTheme="minorHAnsi" w:hAnsiTheme="minorHAnsi" w:cstheme="minorHAnsi"/>
          <w:snapToGrid/>
          <w:sz w:val="24"/>
          <w:szCs w:val="22"/>
        </w:rPr>
        <w:t>≥</w:t>
      </w:r>
      <w:r w:rsidR="00C435FC">
        <w:rPr>
          <w:rFonts w:asciiTheme="minorHAnsi" w:eastAsiaTheme="minorHAnsi" w:hAnsiTheme="minorHAnsi" w:cstheme="minorBidi"/>
          <w:snapToGrid/>
          <w:sz w:val="24"/>
          <w:szCs w:val="22"/>
        </w:rPr>
        <w:t xml:space="preserve">3 years), </w:t>
      </w:r>
      <w:proofErr w:type="spellStart"/>
      <w:r w:rsidR="00C435FC">
        <w:rPr>
          <w:rFonts w:asciiTheme="minorHAnsi" w:eastAsiaTheme="minorHAnsi" w:hAnsiTheme="minorHAnsi" w:cstheme="minorBidi"/>
          <w:snapToGrid/>
          <w:sz w:val="24"/>
          <w:szCs w:val="22"/>
        </w:rPr>
        <w:t>Fluarix</w:t>
      </w:r>
      <w:proofErr w:type="spellEnd"/>
      <w:r w:rsidR="00C435FC">
        <w:rPr>
          <w:rFonts w:asciiTheme="minorHAnsi" w:eastAsiaTheme="minorHAnsi" w:hAnsiTheme="minorHAnsi" w:cstheme="minorBidi"/>
          <w:snapToGrid/>
          <w:sz w:val="24"/>
          <w:szCs w:val="22"/>
        </w:rPr>
        <w:t xml:space="preserve"> Tetra (</w:t>
      </w:r>
      <w:r w:rsidR="00934AB5">
        <w:rPr>
          <w:rFonts w:asciiTheme="minorHAnsi" w:eastAsiaTheme="minorHAnsi" w:hAnsiTheme="minorHAnsi" w:cstheme="minorHAnsi"/>
          <w:snapToGrid/>
          <w:sz w:val="24"/>
          <w:szCs w:val="22"/>
        </w:rPr>
        <w:t>≥</w:t>
      </w:r>
      <w:r w:rsidR="00C435FC">
        <w:rPr>
          <w:rFonts w:asciiTheme="minorHAnsi" w:eastAsiaTheme="minorHAnsi" w:hAnsiTheme="minorHAnsi" w:cstheme="minorBidi"/>
          <w:snapToGrid/>
          <w:sz w:val="24"/>
          <w:szCs w:val="22"/>
        </w:rPr>
        <w:t>3 years) and Afluria Quad (</w:t>
      </w:r>
      <w:r w:rsidR="00934AB5">
        <w:rPr>
          <w:rFonts w:asciiTheme="minorHAnsi" w:eastAsiaTheme="minorHAnsi" w:hAnsiTheme="minorHAnsi" w:cstheme="minorHAnsi"/>
          <w:snapToGrid/>
          <w:sz w:val="24"/>
          <w:szCs w:val="22"/>
        </w:rPr>
        <w:t>≥</w:t>
      </w:r>
      <w:r w:rsidR="00C435FC">
        <w:rPr>
          <w:rFonts w:asciiTheme="minorHAnsi" w:eastAsiaTheme="minorHAnsi" w:hAnsiTheme="minorHAnsi" w:cstheme="minorBidi"/>
          <w:snapToGrid/>
          <w:sz w:val="24"/>
          <w:szCs w:val="22"/>
        </w:rPr>
        <w:t>18 years).</w:t>
      </w:r>
    </w:p>
    <w:p w:rsidR="00702757" w:rsidRPr="00702757" w:rsidRDefault="00702757"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02757">
        <w:rPr>
          <w:rFonts w:asciiTheme="minorHAnsi" w:eastAsiaTheme="minorHAnsi" w:hAnsiTheme="minorHAnsi" w:cstheme="minorBidi"/>
          <w:snapToGrid/>
          <w:sz w:val="24"/>
          <w:szCs w:val="22"/>
        </w:rPr>
        <w:t>For influenza va</w:t>
      </w:r>
      <w:r w:rsidR="00497C6D">
        <w:rPr>
          <w:rFonts w:asciiTheme="minorHAnsi" w:eastAsiaTheme="minorHAnsi" w:hAnsiTheme="minorHAnsi" w:cstheme="minorBidi"/>
          <w:snapToGrid/>
          <w:sz w:val="24"/>
          <w:szCs w:val="22"/>
        </w:rPr>
        <w:t xml:space="preserve">ccine naïve children aged </w:t>
      </w:r>
      <w:r w:rsidR="00934AB5">
        <w:rPr>
          <w:rFonts w:asciiTheme="minorHAnsi" w:eastAsiaTheme="minorHAnsi" w:hAnsiTheme="minorHAnsi" w:cstheme="minorBidi"/>
          <w:snapToGrid/>
          <w:sz w:val="24"/>
          <w:szCs w:val="22"/>
        </w:rPr>
        <w:t xml:space="preserve">3 to </w:t>
      </w:r>
      <w:r w:rsidR="00497C6D">
        <w:rPr>
          <w:rFonts w:asciiTheme="minorHAnsi" w:eastAsiaTheme="minorHAnsi" w:hAnsiTheme="minorHAnsi" w:cstheme="minorBidi"/>
          <w:snapToGrid/>
          <w:sz w:val="24"/>
          <w:szCs w:val="22"/>
        </w:rPr>
        <w:t>&lt;9</w:t>
      </w:r>
      <w:r w:rsidRPr="00702757">
        <w:rPr>
          <w:rFonts w:asciiTheme="minorHAnsi" w:eastAsiaTheme="minorHAnsi" w:hAnsiTheme="minorHAnsi" w:cstheme="minorBidi"/>
          <w:snapToGrid/>
          <w:sz w:val="24"/>
          <w:szCs w:val="22"/>
        </w:rPr>
        <w:t xml:space="preserve"> </w:t>
      </w:r>
      <w:r w:rsidR="00CD3209">
        <w:rPr>
          <w:rFonts w:asciiTheme="minorHAnsi" w:eastAsiaTheme="minorHAnsi" w:hAnsiTheme="minorHAnsi" w:cstheme="minorBidi"/>
          <w:snapToGrid/>
          <w:sz w:val="24"/>
          <w:szCs w:val="22"/>
        </w:rPr>
        <w:t>years, the cost would be $</w:t>
      </w:r>
      <w:r w:rsidR="00DD1FD8">
        <w:rPr>
          <w:rFonts w:asciiTheme="minorHAnsi" w:eastAsiaTheme="minorHAnsi" w:hAnsiTheme="minorHAnsi" w:cstheme="minorBidi"/>
          <w:noProof/>
          <w:snapToGrid/>
          <w:color w:val="000000"/>
          <w:sz w:val="24"/>
          <w:szCs w:val="22"/>
          <w:highlight w:val="black"/>
        </w:rPr>
        <w:t>'''''''''''</w:t>
      </w:r>
      <w:r w:rsidR="00CD3209">
        <w:rPr>
          <w:rFonts w:asciiTheme="minorHAnsi" w:eastAsiaTheme="minorHAnsi" w:hAnsiTheme="minorHAnsi" w:cstheme="minorBidi"/>
          <w:snapToGrid/>
          <w:sz w:val="24"/>
          <w:szCs w:val="22"/>
        </w:rPr>
        <w:t xml:space="preserve"> </w:t>
      </w:r>
      <w:r w:rsidRPr="00702757">
        <w:rPr>
          <w:rFonts w:asciiTheme="minorHAnsi" w:eastAsiaTheme="minorHAnsi" w:hAnsiTheme="minorHAnsi" w:cstheme="minorBidi"/>
          <w:snapToGrid/>
          <w:sz w:val="24"/>
          <w:szCs w:val="22"/>
        </w:rPr>
        <w:t>in the first year based on the child receiving two vaccinations four weeks apart in the first year, followed by $</w:t>
      </w:r>
      <w:r w:rsidR="00DD1FD8">
        <w:rPr>
          <w:rFonts w:asciiTheme="minorHAnsi" w:eastAsiaTheme="minorHAnsi" w:hAnsiTheme="minorHAnsi" w:cstheme="minorBidi"/>
          <w:noProof/>
          <w:snapToGrid/>
          <w:color w:val="000000"/>
          <w:sz w:val="24"/>
          <w:szCs w:val="22"/>
          <w:highlight w:val="black"/>
        </w:rPr>
        <w:t>''''''''</w:t>
      </w:r>
      <w:r w:rsidRPr="00702757">
        <w:rPr>
          <w:rFonts w:asciiTheme="minorHAnsi" w:eastAsiaTheme="minorHAnsi" w:hAnsiTheme="minorHAnsi" w:cstheme="minorBidi"/>
          <w:snapToGrid/>
          <w:sz w:val="24"/>
          <w:szCs w:val="22"/>
        </w:rPr>
        <w:t xml:space="preserve"> per child per year</w:t>
      </w:r>
      <w:r w:rsidR="00CD3209">
        <w:rPr>
          <w:rFonts w:asciiTheme="minorHAnsi" w:eastAsiaTheme="minorHAnsi" w:hAnsiTheme="minorHAnsi" w:cstheme="minorBidi"/>
          <w:snapToGrid/>
          <w:sz w:val="24"/>
          <w:szCs w:val="22"/>
        </w:rPr>
        <w:t xml:space="preserve"> </w:t>
      </w:r>
      <w:r w:rsidRPr="00702757">
        <w:rPr>
          <w:rFonts w:asciiTheme="minorHAnsi" w:eastAsiaTheme="minorHAnsi" w:hAnsiTheme="minorHAnsi" w:cstheme="minorBidi"/>
          <w:snapToGrid/>
          <w:sz w:val="24"/>
          <w:szCs w:val="22"/>
        </w:rPr>
        <w:t>thereafter.</w:t>
      </w:r>
    </w:p>
    <w:p w:rsidR="005A3173" w:rsidRPr="008306F3" w:rsidRDefault="005A3173" w:rsidP="00705BE5">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C00DA7" w:rsidRDefault="00902A53"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Assuming the same uptake as in </w:t>
      </w:r>
      <w:r w:rsidR="00016DF7">
        <w:rPr>
          <w:rFonts w:asciiTheme="minorHAnsi" w:eastAsiaTheme="minorHAnsi" w:hAnsiTheme="minorHAnsi" w:cstheme="minorBidi"/>
          <w:snapToGrid/>
          <w:sz w:val="24"/>
          <w:szCs w:val="22"/>
        </w:rPr>
        <w:t>the 6 month to &lt;5 years age group</w:t>
      </w:r>
      <w:r>
        <w:rPr>
          <w:rFonts w:asciiTheme="minorHAnsi" w:eastAsiaTheme="minorHAnsi" w:hAnsiTheme="minorHAnsi" w:cstheme="minorBidi"/>
          <w:snapToGrid/>
          <w:sz w:val="24"/>
          <w:szCs w:val="22"/>
        </w:rPr>
        <w:t>, of 11.6%, t</w:t>
      </w:r>
      <w:r w:rsidR="00FF2801" w:rsidRPr="00264ED3">
        <w:rPr>
          <w:rFonts w:asciiTheme="minorHAnsi" w:eastAsiaTheme="minorHAnsi" w:hAnsiTheme="minorHAnsi" w:cstheme="minorBidi"/>
          <w:snapToGrid/>
          <w:sz w:val="24"/>
          <w:szCs w:val="22"/>
        </w:rPr>
        <w:t>he minor submission estimated</w:t>
      </w:r>
      <w:r w:rsidR="00C00DA7" w:rsidRPr="00264ED3">
        <w:rPr>
          <w:rFonts w:asciiTheme="minorHAnsi" w:eastAsiaTheme="minorHAnsi" w:hAnsiTheme="minorHAnsi" w:cstheme="minorBidi"/>
          <w:snapToGrid/>
          <w:sz w:val="24"/>
          <w:szCs w:val="22"/>
        </w:rPr>
        <w:t xml:space="preserve"> a net cost</w:t>
      </w:r>
      <w:r w:rsidR="00264ED3">
        <w:rPr>
          <w:rFonts w:asciiTheme="minorHAnsi" w:eastAsiaTheme="minorHAnsi" w:hAnsiTheme="minorHAnsi" w:cstheme="minorBidi"/>
          <w:snapToGrid/>
          <w:sz w:val="24"/>
          <w:szCs w:val="22"/>
        </w:rPr>
        <w:t xml:space="preserve"> to the NIP </w:t>
      </w:r>
      <w:r w:rsidR="00C00DA7" w:rsidRPr="00264ED3">
        <w:rPr>
          <w:rFonts w:asciiTheme="minorHAnsi" w:eastAsiaTheme="minorHAnsi" w:hAnsiTheme="minorHAnsi" w:cstheme="minorBidi"/>
          <w:snapToGrid/>
          <w:sz w:val="24"/>
          <w:szCs w:val="22"/>
        </w:rPr>
        <w:t xml:space="preserve">of </w:t>
      </w:r>
      <w:r w:rsidR="00590EC3">
        <w:rPr>
          <w:rFonts w:asciiTheme="minorHAnsi" w:eastAsiaTheme="minorHAnsi" w:hAnsiTheme="minorHAnsi" w:cstheme="minorBidi"/>
          <w:snapToGrid/>
          <w:sz w:val="24"/>
          <w:szCs w:val="22"/>
        </w:rPr>
        <w:t xml:space="preserve">less than $10 million </w:t>
      </w:r>
      <w:r w:rsidR="00CF5B2D">
        <w:rPr>
          <w:rFonts w:asciiTheme="minorHAnsi" w:eastAsiaTheme="minorHAnsi" w:hAnsiTheme="minorHAnsi" w:cstheme="minorBidi"/>
          <w:snapToGrid/>
          <w:sz w:val="24"/>
          <w:szCs w:val="22"/>
        </w:rPr>
        <w:t>in Year 6</w:t>
      </w:r>
      <w:r w:rsidR="00C00DA7" w:rsidRPr="00264ED3">
        <w:rPr>
          <w:rFonts w:asciiTheme="minorHAnsi" w:eastAsiaTheme="minorHAnsi" w:hAnsiTheme="minorHAnsi" w:cstheme="minorBidi"/>
          <w:snapToGrid/>
          <w:sz w:val="24"/>
          <w:szCs w:val="22"/>
        </w:rPr>
        <w:t xml:space="preserve"> of listing, </w:t>
      </w:r>
      <w:r w:rsidR="006906DC">
        <w:rPr>
          <w:rFonts w:asciiTheme="minorHAnsi" w:eastAsiaTheme="minorHAnsi" w:hAnsiTheme="minorHAnsi" w:cstheme="minorBidi"/>
          <w:snapToGrid/>
          <w:sz w:val="24"/>
          <w:szCs w:val="22"/>
        </w:rPr>
        <w:t xml:space="preserve">and a total of </w:t>
      </w:r>
      <w:r w:rsidR="00590EC3">
        <w:rPr>
          <w:rFonts w:asciiTheme="minorHAnsi" w:eastAsiaTheme="minorHAnsi" w:hAnsiTheme="minorHAnsi" w:cstheme="minorBidi"/>
          <w:snapToGrid/>
          <w:sz w:val="24"/>
          <w:szCs w:val="22"/>
        </w:rPr>
        <w:t xml:space="preserve">less than  </w:t>
      </w:r>
      <w:r w:rsidR="009327A9">
        <w:rPr>
          <w:rFonts w:asciiTheme="minorHAnsi" w:eastAsiaTheme="minorHAnsi" w:hAnsiTheme="minorHAnsi" w:cstheme="minorBidi"/>
          <w:snapToGrid/>
          <w:sz w:val="24"/>
          <w:szCs w:val="22"/>
        </w:rPr>
        <w:t>$</w:t>
      </w:r>
      <w:r w:rsidR="00590EC3">
        <w:rPr>
          <w:rFonts w:asciiTheme="minorHAnsi" w:eastAsiaTheme="minorHAnsi" w:hAnsiTheme="minorHAnsi" w:cstheme="minorBidi"/>
          <w:snapToGrid/>
          <w:sz w:val="24"/>
          <w:szCs w:val="22"/>
        </w:rPr>
        <w:t>10 million</w:t>
      </w:r>
      <w:r w:rsidR="00C00DA7" w:rsidRPr="00264ED3">
        <w:rPr>
          <w:rFonts w:asciiTheme="minorHAnsi" w:eastAsiaTheme="minorHAnsi" w:hAnsiTheme="minorHAnsi" w:cstheme="minorBidi"/>
          <w:snapToGrid/>
          <w:sz w:val="24"/>
          <w:szCs w:val="22"/>
        </w:rPr>
        <w:t xml:space="preserve"> over the first </w:t>
      </w:r>
      <w:r w:rsidR="00F2575B">
        <w:rPr>
          <w:rFonts w:asciiTheme="minorHAnsi" w:eastAsiaTheme="minorHAnsi" w:hAnsiTheme="minorHAnsi" w:cstheme="minorBidi"/>
          <w:snapToGrid/>
          <w:sz w:val="24"/>
          <w:szCs w:val="22"/>
        </w:rPr>
        <w:t>six</w:t>
      </w:r>
      <w:r w:rsidR="008E6858">
        <w:rPr>
          <w:rFonts w:asciiTheme="minorHAnsi" w:eastAsiaTheme="minorHAnsi" w:hAnsiTheme="minorHAnsi" w:cstheme="minorBidi"/>
          <w:snapToGrid/>
          <w:sz w:val="24"/>
          <w:szCs w:val="22"/>
        </w:rPr>
        <w:t xml:space="preserve"> years of listing </w:t>
      </w:r>
      <w:r w:rsidR="00503581">
        <w:rPr>
          <w:rFonts w:asciiTheme="minorHAnsi" w:eastAsiaTheme="minorHAnsi" w:hAnsiTheme="minorHAnsi" w:cstheme="minorBidi"/>
          <w:snapToGrid/>
          <w:sz w:val="24"/>
          <w:szCs w:val="22"/>
        </w:rPr>
        <w:t>(see Table 3</w:t>
      </w:r>
      <w:r w:rsidR="008E6858">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w:t>
      </w:r>
      <w:r w:rsidR="00F2575B">
        <w:rPr>
          <w:rFonts w:asciiTheme="minorHAnsi" w:eastAsiaTheme="minorHAnsi" w:hAnsiTheme="minorHAnsi" w:cstheme="minorBidi"/>
          <w:snapToGrid/>
          <w:sz w:val="24"/>
          <w:szCs w:val="22"/>
        </w:rPr>
        <w:t xml:space="preserve"> As noted by the submission, costs would be marginally higher th</w:t>
      </w:r>
      <w:r w:rsidR="00BF18B4">
        <w:rPr>
          <w:rFonts w:asciiTheme="minorHAnsi" w:eastAsiaTheme="minorHAnsi" w:hAnsiTheme="minorHAnsi" w:cstheme="minorBidi"/>
          <w:snapToGrid/>
          <w:sz w:val="24"/>
          <w:szCs w:val="22"/>
        </w:rPr>
        <w:t>an these estimates as they do not</w:t>
      </w:r>
      <w:r w:rsidR="00F2575B">
        <w:rPr>
          <w:rFonts w:asciiTheme="minorHAnsi" w:eastAsiaTheme="minorHAnsi" w:hAnsiTheme="minorHAnsi" w:cstheme="minorBidi"/>
          <w:snapToGrid/>
          <w:sz w:val="24"/>
          <w:szCs w:val="22"/>
        </w:rPr>
        <w:t xml:space="preserve"> account for children less than 9 years of age requiring two doses in the first year they receive </w:t>
      </w:r>
      <w:r w:rsidR="00A44B3B">
        <w:rPr>
          <w:rFonts w:asciiTheme="minorHAnsi" w:eastAsiaTheme="minorHAnsi" w:hAnsiTheme="minorHAnsi" w:cstheme="minorBidi"/>
          <w:snapToGrid/>
          <w:sz w:val="24"/>
          <w:szCs w:val="22"/>
        </w:rPr>
        <w:t>a vaccine.</w:t>
      </w:r>
    </w:p>
    <w:p w:rsidR="009327A9" w:rsidRPr="00A11EDD" w:rsidRDefault="00902A53" w:rsidP="00705BE5">
      <w:pPr>
        <w:pStyle w:val="ListParagraph"/>
        <w:keepNext/>
        <w:widowControl/>
        <w:ind w:hanging="720"/>
        <w:contextualSpacing w:val="0"/>
        <w:rPr>
          <w:rFonts w:ascii="Arial Narrow" w:eastAsiaTheme="minorHAnsi" w:hAnsi="Arial Narrow" w:cstheme="minorBidi"/>
          <w:b/>
          <w:snapToGrid/>
          <w:sz w:val="20"/>
        </w:rPr>
      </w:pPr>
      <w:r w:rsidRPr="00A11EDD">
        <w:rPr>
          <w:rFonts w:ascii="Arial Narrow" w:eastAsiaTheme="minorHAnsi" w:hAnsi="Arial Narrow" w:cstheme="minorBidi"/>
          <w:b/>
          <w:snapToGrid/>
          <w:sz w:val="20"/>
        </w:rPr>
        <w:t>Table</w:t>
      </w:r>
      <w:r w:rsidR="00503581">
        <w:rPr>
          <w:rFonts w:ascii="Arial Narrow" w:eastAsiaTheme="minorHAnsi" w:hAnsi="Arial Narrow" w:cstheme="minorBidi"/>
          <w:b/>
          <w:snapToGrid/>
          <w:sz w:val="20"/>
        </w:rPr>
        <w:t xml:space="preserve"> 3</w:t>
      </w:r>
      <w:r w:rsidR="009327A9" w:rsidRPr="00A11EDD">
        <w:rPr>
          <w:rFonts w:ascii="Arial Narrow" w:eastAsiaTheme="minorHAnsi" w:hAnsi="Arial Narrow" w:cstheme="minorBidi"/>
          <w:b/>
          <w:snapToGrid/>
          <w:sz w:val="20"/>
        </w:rPr>
        <w:t>: Estimated utilisation and financial costs</w:t>
      </w:r>
      <w:r w:rsidR="00A44B3B" w:rsidRPr="00A11EDD">
        <w:rPr>
          <w:rFonts w:ascii="Arial Narrow" w:eastAsiaTheme="minorHAnsi" w:hAnsi="Arial Narrow" w:cstheme="minorBidi"/>
          <w:b/>
          <w:snapToGrid/>
          <w:sz w:val="20"/>
        </w:rPr>
        <w:t xml:space="preserve"> assuming uptake is unchanged</w:t>
      </w:r>
    </w:p>
    <w:tbl>
      <w:tblPr>
        <w:tblStyle w:val="TableGrid"/>
        <w:tblW w:w="0" w:type="auto"/>
        <w:tblInd w:w="108" w:type="dxa"/>
        <w:tblLook w:val="04A0" w:firstRow="1" w:lastRow="0" w:firstColumn="1" w:lastColumn="0" w:noHBand="0" w:noVBand="1"/>
        <w:tblCaption w:val="Estimated utilisation and financial costs assuming uptake is unchanged"/>
      </w:tblPr>
      <w:tblGrid>
        <w:gridCol w:w="3038"/>
        <w:gridCol w:w="978"/>
        <w:gridCol w:w="979"/>
        <w:gridCol w:w="980"/>
        <w:gridCol w:w="976"/>
        <w:gridCol w:w="980"/>
        <w:gridCol w:w="977"/>
      </w:tblGrid>
      <w:tr w:rsidR="00CF5B2D" w:rsidRPr="009327A9" w:rsidTr="00EC3FD1">
        <w:tc>
          <w:tcPr>
            <w:tcW w:w="3119" w:type="dxa"/>
            <w:shd w:val="clear" w:color="auto" w:fill="auto"/>
          </w:tcPr>
          <w:p w:rsidR="009327A9" w:rsidRPr="009327A9" w:rsidRDefault="009327A9" w:rsidP="00705BE5">
            <w:pPr>
              <w:keepNext/>
              <w:spacing w:before="40" w:after="40"/>
              <w:rPr>
                <w:rFonts w:ascii="Arial Narrow" w:hAnsi="Arial Narrow"/>
                <w:sz w:val="18"/>
                <w:szCs w:val="18"/>
              </w:rPr>
            </w:pPr>
            <w:bookmarkStart w:id="0" w:name="_GoBack"/>
          </w:p>
        </w:tc>
        <w:tc>
          <w:tcPr>
            <w:tcW w:w="982" w:type="dxa"/>
            <w:shd w:val="clear" w:color="auto" w:fill="auto"/>
            <w:vAlign w:val="center"/>
          </w:tcPr>
          <w:p w:rsidR="009327A9" w:rsidRPr="009327A9" w:rsidRDefault="00CF5B2D" w:rsidP="00705BE5">
            <w:pPr>
              <w:keepNext/>
              <w:spacing w:before="40" w:after="40"/>
              <w:jc w:val="center"/>
              <w:rPr>
                <w:rFonts w:ascii="Arial Narrow" w:hAnsi="Arial Narrow"/>
                <w:b/>
                <w:sz w:val="18"/>
                <w:szCs w:val="18"/>
              </w:rPr>
            </w:pPr>
            <w:r>
              <w:rPr>
                <w:rFonts w:ascii="Arial Narrow" w:hAnsi="Arial Narrow"/>
                <w:b/>
                <w:sz w:val="18"/>
                <w:szCs w:val="18"/>
              </w:rPr>
              <w:t>Year 1 (</w:t>
            </w:r>
            <w:r w:rsidR="009327A9" w:rsidRPr="009327A9">
              <w:rPr>
                <w:rFonts w:ascii="Arial Narrow" w:hAnsi="Arial Narrow"/>
                <w:b/>
                <w:sz w:val="18"/>
                <w:szCs w:val="18"/>
              </w:rPr>
              <w:t>2019</w:t>
            </w:r>
            <w:r>
              <w:rPr>
                <w:rFonts w:ascii="Arial Narrow" w:hAnsi="Arial Narrow"/>
                <w:b/>
                <w:sz w:val="18"/>
                <w:szCs w:val="18"/>
              </w:rPr>
              <w:t>)</w:t>
            </w:r>
          </w:p>
        </w:tc>
        <w:tc>
          <w:tcPr>
            <w:tcW w:w="983" w:type="dxa"/>
            <w:shd w:val="clear" w:color="auto" w:fill="auto"/>
            <w:vAlign w:val="center"/>
          </w:tcPr>
          <w:p w:rsidR="009327A9" w:rsidRPr="009327A9" w:rsidRDefault="00CF5B2D" w:rsidP="00705BE5">
            <w:pPr>
              <w:keepNext/>
              <w:spacing w:before="40" w:after="40"/>
              <w:jc w:val="center"/>
              <w:rPr>
                <w:rFonts w:ascii="Arial Narrow" w:hAnsi="Arial Narrow"/>
                <w:b/>
                <w:sz w:val="18"/>
                <w:szCs w:val="18"/>
              </w:rPr>
            </w:pPr>
            <w:r>
              <w:rPr>
                <w:rFonts w:ascii="Arial Narrow" w:hAnsi="Arial Narrow"/>
                <w:b/>
                <w:sz w:val="18"/>
                <w:szCs w:val="18"/>
              </w:rPr>
              <w:t>Year 2 (</w:t>
            </w:r>
            <w:r w:rsidR="009327A9" w:rsidRPr="009327A9">
              <w:rPr>
                <w:rFonts w:ascii="Arial Narrow" w:hAnsi="Arial Narrow"/>
                <w:b/>
                <w:sz w:val="18"/>
                <w:szCs w:val="18"/>
              </w:rPr>
              <w:t>2020</w:t>
            </w:r>
            <w:r>
              <w:rPr>
                <w:rFonts w:ascii="Arial Narrow" w:hAnsi="Arial Narrow"/>
                <w:b/>
                <w:sz w:val="18"/>
                <w:szCs w:val="18"/>
              </w:rPr>
              <w:t>)</w:t>
            </w:r>
          </w:p>
        </w:tc>
        <w:tc>
          <w:tcPr>
            <w:tcW w:w="983" w:type="dxa"/>
            <w:shd w:val="clear" w:color="auto" w:fill="auto"/>
            <w:vAlign w:val="center"/>
          </w:tcPr>
          <w:p w:rsidR="009327A9" w:rsidRPr="009327A9" w:rsidRDefault="00CF5B2D" w:rsidP="00705BE5">
            <w:pPr>
              <w:keepNext/>
              <w:spacing w:before="40" w:after="40"/>
              <w:jc w:val="center"/>
              <w:rPr>
                <w:rFonts w:ascii="Arial Narrow" w:hAnsi="Arial Narrow"/>
                <w:b/>
                <w:sz w:val="18"/>
                <w:szCs w:val="18"/>
              </w:rPr>
            </w:pPr>
            <w:r>
              <w:rPr>
                <w:rFonts w:ascii="Arial Narrow" w:hAnsi="Arial Narrow"/>
                <w:b/>
                <w:sz w:val="18"/>
                <w:szCs w:val="18"/>
              </w:rPr>
              <w:t>Year 3 (</w:t>
            </w:r>
            <w:r w:rsidR="009327A9" w:rsidRPr="009327A9">
              <w:rPr>
                <w:rFonts w:ascii="Arial Narrow" w:hAnsi="Arial Narrow"/>
                <w:b/>
                <w:sz w:val="18"/>
                <w:szCs w:val="18"/>
              </w:rPr>
              <w:t>2021</w:t>
            </w:r>
            <w:r>
              <w:rPr>
                <w:rFonts w:ascii="Arial Narrow" w:hAnsi="Arial Narrow"/>
                <w:b/>
                <w:sz w:val="18"/>
                <w:szCs w:val="18"/>
              </w:rPr>
              <w:t>)</w:t>
            </w:r>
          </w:p>
        </w:tc>
        <w:tc>
          <w:tcPr>
            <w:tcW w:w="983" w:type="dxa"/>
            <w:shd w:val="clear" w:color="auto" w:fill="auto"/>
            <w:vAlign w:val="center"/>
          </w:tcPr>
          <w:p w:rsidR="009327A9" w:rsidRPr="009327A9" w:rsidRDefault="00CF5B2D" w:rsidP="00705BE5">
            <w:pPr>
              <w:keepNext/>
              <w:spacing w:before="40" w:after="40"/>
              <w:jc w:val="center"/>
              <w:rPr>
                <w:rFonts w:ascii="Arial Narrow" w:hAnsi="Arial Narrow"/>
                <w:b/>
                <w:sz w:val="18"/>
                <w:szCs w:val="18"/>
              </w:rPr>
            </w:pPr>
            <w:r>
              <w:rPr>
                <w:rFonts w:ascii="Arial Narrow" w:hAnsi="Arial Narrow"/>
                <w:b/>
                <w:sz w:val="18"/>
                <w:szCs w:val="18"/>
              </w:rPr>
              <w:t>Year 4 (</w:t>
            </w:r>
            <w:r w:rsidR="009327A9" w:rsidRPr="009327A9">
              <w:rPr>
                <w:rFonts w:ascii="Arial Narrow" w:hAnsi="Arial Narrow"/>
                <w:b/>
                <w:sz w:val="18"/>
                <w:szCs w:val="18"/>
              </w:rPr>
              <w:t>2022</w:t>
            </w:r>
            <w:r>
              <w:rPr>
                <w:rFonts w:ascii="Arial Narrow" w:hAnsi="Arial Narrow"/>
                <w:b/>
                <w:sz w:val="18"/>
                <w:szCs w:val="18"/>
              </w:rPr>
              <w:t>)</w:t>
            </w:r>
          </w:p>
        </w:tc>
        <w:tc>
          <w:tcPr>
            <w:tcW w:w="983" w:type="dxa"/>
            <w:shd w:val="clear" w:color="auto" w:fill="auto"/>
            <w:vAlign w:val="center"/>
          </w:tcPr>
          <w:p w:rsidR="009327A9" w:rsidRPr="009327A9" w:rsidRDefault="00CF5B2D" w:rsidP="00705BE5">
            <w:pPr>
              <w:keepNext/>
              <w:spacing w:before="40" w:after="40"/>
              <w:jc w:val="center"/>
              <w:rPr>
                <w:rFonts w:ascii="Arial Narrow" w:hAnsi="Arial Narrow"/>
                <w:b/>
                <w:sz w:val="18"/>
                <w:szCs w:val="18"/>
              </w:rPr>
            </w:pPr>
            <w:r>
              <w:rPr>
                <w:rFonts w:ascii="Arial Narrow" w:hAnsi="Arial Narrow"/>
                <w:b/>
                <w:sz w:val="18"/>
                <w:szCs w:val="18"/>
              </w:rPr>
              <w:t>Year 5 (</w:t>
            </w:r>
            <w:r w:rsidR="009327A9" w:rsidRPr="009327A9">
              <w:rPr>
                <w:rFonts w:ascii="Arial Narrow" w:hAnsi="Arial Narrow"/>
                <w:b/>
                <w:sz w:val="18"/>
                <w:szCs w:val="18"/>
              </w:rPr>
              <w:t>2023</w:t>
            </w:r>
            <w:r>
              <w:rPr>
                <w:rFonts w:ascii="Arial Narrow" w:hAnsi="Arial Narrow"/>
                <w:b/>
                <w:sz w:val="18"/>
                <w:szCs w:val="18"/>
              </w:rPr>
              <w:t>)</w:t>
            </w:r>
          </w:p>
        </w:tc>
        <w:tc>
          <w:tcPr>
            <w:tcW w:w="983" w:type="dxa"/>
            <w:shd w:val="clear" w:color="auto" w:fill="auto"/>
            <w:vAlign w:val="center"/>
          </w:tcPr>
          <w:p w:rsidR="009327A9" w:rsidRPr="009327A9" w:rsidRDefault="00CF5B2D" w:rsidP="00705BE5">
            <w:pPr>
              <w:keepNext/>
              <w:spacing w:before="40" w:after="40"/>
              <w:jc w:val="center"/>
              <w:rPr>
                <w:rFonts w:ascii="Arial Narrow" w:hAnsi="Arial Narrow"/>
                <w:b/>
                <w:sz w:val="18"/>
                <w:szCs w:val="18"/>
              </w:rPr>
            </w:pPr>
            <w:r>
              <w:rPr>
                <w:rFonts w:ascii="Arial Narrow" w:hAnsi="Arial Narrow"/>
                <w:b/>
                <w:sz w:val="18"/>
                <w:szCs w:val="18"/>
              </w:rPr>
              <w:t>Year 6 (</w:t>
            </w:r>
            <w:r w:rsidR="009327A9" w:rsidRPr="009327A9">
              <w:rPr>
                <w:rFonts w:ascii="Arial Narrow" w:hAnsi="Arial Narrow"/>
                <w:b/>
                <w:sz w:val="18"/>
                <w:szCs w:val="18"/>
              </w:rPr>
              <w:t>2024</w:t>
            </w:r>
            <w:r>
              <w:rPr>
                <w:rFonts w:ascii="Arial Narrow" w:hAnsi="Arial Narrow"/>
                <w:b/>
                <w:sz w:val="18"/>
                <w:szCs w:val="18"/>
              </w:rPr>
              <w:t>)</w:t>
            </w:r>
          </w:p>
        </w:tc>
      </w:tr>
      <w:tr w:rsidR="009327A9" w:rsidRPr="009327A9" w:rsidTr="00EC3FD1">
        <w:tc>
          <w:tcPr>
            <w:tcW w:w="3119" w:type="dxa"/>
            <w:shd w:val="clear" w:color="auto" w:fill="auto"/>
          </w:tcPr>
          <w:p w:rsidR="009327A9" w:rsidRPr="009327A9" w:rsidRDefault="00896C2A" w:rsidP="00705BE5">
            <w:pPr>
              <w:keepNext/>
              <w:spacing w:before="40" w:after="40"/>
              <w:rPr>
                <w:rFonts w:ascii="Arial Narrow" w:hAnsi="Arial Narrow"/>
                <w:sz w:val="18"/>
                <w:szCs w:val="18"/>
              </w:rPr>
            </w:pPr>
            <w:r>
              <w:rPr>
                <w:rFonts w:ascii="Arial Narrow" w:hAnsi="Arial Narrow"/>
                <w:sz w:val="18"/>
                <w:szCs w:val="18"/>
              </w:rPr>
              <w:t>Estimated number of</w:t>
            </w:r>
            <w:r w:rsidR="009327A9" w:rsidRPr="009327A9">
              <w:rPr>
                <w:rFonts w:ascii="Arial Narrow" w:hAnsi="Arial Narrow"/>
                <w:sz w:val="18"/>
                <w:szCs w:val="18"/>
              </w:rPr>
              <w:t xml:space="preserve"> </w:t>
            </w:r>
            <w:r w:rsidR="00E52DC0" w:rsidRPr="00E52DC0">
              <w:rPr>
                <w:rFonts w:ascii="Arial Narrow" w:hAnsi="Arial Narrow"/>
                <w:sz w:val="18"/>
                <w:szCs w:val="18"/>
              </w:rPr>
              <w:t>Indigenous</w:t>
            </w:r>
            <w:r w:rsidR="00E52DC0">
              <w:rPr>
                <w:rFonts w:ascii="Arial Narrow" w:hAnsi="Arial Narrow"/>
                <w:sz w:val="18"/>
                <w:szCs w:val="18"/>
              </w:rPr>
              <w:t xml:space="preserve"> people</w:t>
            </w:r>
            <w:r>
              <w:rPr>
                <w:rFonts w:ascii="Arial Narrow" w:hAnsi="Arial Narrow"/>
                <w:sz w:val="18"/>
                <w:szCs w:val="18"/>
              </w:rPr>
              <w:t xml:space="preserve"> aged 5-14 years</w:t>
            </w:r>
          </w:p>
        </w:tc>
        <w:tc>
          <w:tcPr>
            <w:tcW w:w="982"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9327A9" w:rsidRPr="009327A9" w:rsidTr="00EC3FD1">
        <w:tc>
          <w:tcPr>
            <w:tcW w:w="3119" w:type="dxa"/>
            <w:shd w:val="clear" w:color="auto" w:fill="auto"/>
          </w:tcPr>
          <w:p w:rsidR="009327A9" w:rsidRPr="009327A9" w:rsidRDefault="009327A9" w:rsidP="00705BE5">
            <w:pPr>
              <w:keepNext/>
              <w:spacing w:before="40" w:after="40"/>
              <w:rPr>
                <w:rFonts w:ascii="Arial Narrow" w:hAnsi="Arial Narrow"/>
                <w:sz w:val="18"/>
                <w:szCs w:val="18"/>
              </w:rPr>
            </w:pPr>
            <w:r>
              <w:rPr>
                <w:rFonts w:ascii="Arial Narrow" w:hAnsi="Arial Narrow"/>
                <w:sz w:val="18"/>
                <w:szCs w:val="18"/>
              </w:rPr>
              <w:t>Assumed uptake</w:t>
            </w:r>
          </w:p>
        </w:tc>
        <w:tc>
          <w:tcPr>
            <w:tcW w:w="982" w:type="dxa"/>
            <w:shd w:val="clear" w:color="auto" w:fill="auto"/>
            <w:vAlign w:val="center"/>
          </w:tcPr>
          <w:p w:rsidR="009327A9" w:rsidRPr="009327A9" w:rsidRDefault="009327A9" w:rsidP="00705BE5">
            <w:pPr>
              <w:keepNext/>
              <w:spacing w:before="40" w:after="40"/>
              <w:jc w:val="center"/>
              <w:rPr>
                <w:rFonts w:ascii="Arial Narrow" w:hAnsi="Arial Narrow"/>
                <w:sz w:val="18"/>
                <w:szCs w:val="18"/>
              </w:rPr>
            </w:pPr>
            <w:r w:rsidRPr="009327A9">
              <w:rPr>
                <w:rFonts w:ascii="Arial Narrow" w:hAnsi="Arial Narrow"/>
                <w:sz w:val="18"/>
                <w:szCs w:val="18"/>
              </w:rPr>
              <w:t>11.6%</w:t>
            </w:r>
          </w:p>
        </w:tc>
        <w:tc>
          <w:tcPr>
            <w:tcW w:w="983" w:type="dxa"/>
            <w:shd w:val="clear" w:color="auto" w:fill="auto"/>
            <w:vAlign w:val="center"/>
          </w:tcPr>
          <w:p w:rsidR="009327A9" w:rsidRPr="009327A9" w:rsidRDefault="009327A9" w:rsidP="00705BE5">
            <w:pPr>
              <w:keepNext/>
              <w:spacing w:before="40" w:after="40"/>
              <w:jc w:val="center"/>
              <w:rPr>
                <w:rFonts w:ascii="Arial Narrow" w:hAnsi="Arial Narrow"/>
                <w:sz w:val="18"/>
                <w:szCs w:val="18"/>
              </w:rPr>
            </w:pPr>
            <w:r w:rsidRPr="009327A9">
              <w:rPr>
                <w:rFonts w:ascii="Arial Narrow" w:hAnsi="Arial Narrow"/>
                <w:sz w:val="18"/>
                <w:szCs w:val="18"/>
              </w:rPr>
              <w:t>11.6%</w:t>
            </w:r>
          </w:p>
        </w:tc>
        <w:tc>
          <w:tcPr>
            <w:tcW w:w="983" w:type="dxa"/>
            <w:shd w:val="clear" w:color="auto" w:fill="auto"/>
            <w:vAlign w:val="center"/>
          </w:tcPr>
          <w:p w:rsidR="009327A9" w:rsidRPr="009327A9" w:rsidRDefault="009327A9" w:rsidP="00705BE5">
            <w:pPr>
              <w:keepNext/>
              <w:spacing w:before="40" w:after="40"/>
              <w:jc w:val="center"/>
              <w:rPr>
                <w:rFonts w:ascii="Arial Narrow" w:hAnsi="Arial Narrow"/>
                <w:sz w:val="18"/>
                <w:szCs w:val="18"/>
              </w:rPr>
            </w:pPr>
            <w:r w:rsidRPr="009327A9">
              <w:rPr>
                <w:rFonts w:ascii="Arial Narrow" w:hAnsi="Arial Narrow"/>
                <w:sz w:val="18"/>
                <w:szCs w:val="18"/>
              </w:rPr>
              <w:t>11.6%</w:t>
            </w:r>
          </w:p>
        </w:tc>
        <w:tc>
          <w:tcPr>
            <w:tcW w:w="983" w:type="dxa"/>
            <w:shd w:val="clear" w:color="auto" w:fill="auto"/>
            <w:vAlign w:val="center"/>
          </w:tcPr>
          <w:p w:rsidR="009327A9" w:rsidRPr="009327A9" w:rsidRDefault="009327A9" w:rsidP="00705BE5">
            <w:pPr>
              <w:keepNext/>
              <w:spacing w:before="40" w:after="40"/>
              <w:jc w:val="center"/>
              <w:rPr>
                <w:rFonts w:ascii="Arial Narrow" w:hAnsi="Arial Narrow"/>
                <w:sz w:val="18"/>
                <w:szCs w:val="18"/>
              </w:rPr>
            </w:pPr>
            <w:r w:rsidRPr="009327A9">
              <w:rPr>
                <w:rFonts w:ascii="Arial Narrow" w:hAnsi="Arial Narrow"/>
                <w:sz w:val="18"/>
                <w:szCs w:val="18"/>
              </w:rPr>
              <w:t>11.6%</w:t>
            </w:r>
          </w:p>
        </w:tc>
        <w:tc>
          <w:tcPr>
            <w:tcW w:w="983" w:type="dxa"/>
            <w:shd w:val="clear" w:color="auto" w:fill="auto"/>
            <w:vAlign w:val="center"/>
          </w:tcPr>
          <w:p w:rsidR="009327A9" w:rsidRPr="009327A9" w:rsidRDefault="009327A9" w:rsidP="00705BE5">
            <w:pPr>
              <w:keepNext/>
              <w:spacing w:before="40" w:after="40"/>
              <w:jc w:val="center"/>
              <w:rPr>
                <w:rFonts w:ascii="Arial Narrow" w:hAnsi="Arial Narrow"/>
                <w:sz w:val="18"/>
                <w:szCs w:val="18"/>
              </w:rPr>
            </w:pPr>
            <w:r w:rsidRPr="009327A9">
              <w:rPr>
                <w:rFonts w:ascii="Arial Narrow" w:hAnsi="Arial Narrow"/>
                <w:sz w:val="18"/>
                <w:szCs w:val="18"/>
              </w:rPr>
              <w:t>11.6%</w:t>
            </w:r>
          </w:p>
        </w:tc>
        <w:tc>
          <w:tcPr>
            <w:tcW w:w="983" w:type="dxa"/>
            <w:shd w:val="clear" w:color="auto" w:fill="auto"/>
            <w:vAlign w:val="center"/>
          </w:tcPr>
          <w:p w:rsidR="009327A9" w:rsidRPr="009327A9" w:rsidRDefault="009327A9" w:rsidP="00705BE5">
            <w:pPr>
              <w:keepNext/>
              <w:spacing w:before="40" w:after="40"/>
              <w:jc w:val="center"/>
              <w:rPr>
                <w:rFonts w:ascii="Arial Narrow" w:hAnsi="Arial Narrow"/>
                <w:sz w:val="18"/>
                <w:szCs w:val="18"/>
              </w:rPr>
            </w:pPr>
            <w:r w:rsidRPr="009327A9">
              <w:rPr>
                <w:rFonts w:ascii="Arial Narrow" w:hAnsi="Arial Narrow"/>
                <w:sz w:val="18"/>
                <w:szCs w:val="18"/>
              </w:rPr>
              <w:t>11.6%</w:t>
            </w:r>
          </w:p>
        </w:tc>
      </w:tr>
      <w:tr w:rsidR="009327A9" w:rsidRPr="009327A9" w:rsidTr="00EC3FD1">
        <w:tc>
          <w:tcPr>
            <w:tcW w:w="3119" w:type="dxa"/>
            <w:shd w:val="clear" w:color="auto" w:fill="auto"/>
          </w:tcPr>
          <w:p w:rsidR="009327A9" w:rsidRPr="009327A9" w:rsidRDefault="009327A9" w:rsidP="00705BE5">
            <w:pPr>
              <w:keepNext/>
              <w:spacing w:before="40" w:after="40"/>
              <w:rPr>
                <w:rFonts w:ascii="Arial Narrow" w:hAnsi="Arial Narrow"/>
                <w:sz w:val="18"/>
                <w:szCs w:val="18"/>
              </w:rPr>
            </w:pPr>
            <w:r w:rsidRPr="009327A9">
              <w:rPr>
                <w:rFonts w:ascii="Arial Narrow" w:hAnsi="Arial Narrow"/>
                <w:sz w:val="18"/>
                <w:szCs w:val="18"/>
              </w:rPr>
              <w:t>Number of newly eligible children who would receive the vaccine</w:t>
            </w:r>
          </w:p>
        </w:tc>
        <w:tc>
          <w:tcPr>
            <w:tcW w:w="982"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83" w:type="dxa"/>
            <w:shd w:val="clear" w:color="auto" w:fill="auto"/>
            <w:vAlign w:val="center"/>
          </w:tcPr>
          <w:p w:rsidR="009327A9" w:rsidRPr="00641E3D" w:rsidRDefault="00DD1FD8" w:rsidP="00705BE5">
            <w:pPr>
              <w:keepNext/>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9327A9" w:rsidRPr="009327A9" w:rsidTr="00EC3FD1">
        <w:tc>
          <w:tcPr>
            <w:tcW w:w="3119" w:type="dxa"/>
            <w:shd w:val="clear" w:color="auto" w:fill="auto"/>
          </w:tcPr>
          <w:p w:rsidR="009327A9" w:rsidRPr="009327A9" w:rsidRDefault="009327A9" w:rsidP="00705BE5">
            <w:pPr>
              <w:spacing w:before="40" w:after="40"/>
              <w:rPr>
                <w:rFonts w:ascii="Arial Narrow" w:hAnsi="Arial Narrow"/>
                <w:sz w:val="18"/>
                <w:szCs w:val="18"/>
              </w:rPr>
            </w:pPr>
            <w:r w:rsidRPr="009327A9">
              <w:rPr>
                <w:rFonts w:ascii="Arial Narrow" w:hAnsi="Arial Narrow"/>
                <w:sz w:val="18"/>
                <w:szCs w:val="18"/>
              </w:rPr>
              <w:t xml:space="preserve">Cost to the NIP using </w:t>
            </w:r>
            <w:r w:rsidR="00A11EDD">
              <w:rPr>
                <w:rFonts w:ascii="Arial Narrow" w:hAnsi="Arial Narrow"/>
                <w:sz w:val="18"/>
                <w:szCs w:val="18"/>
              </w:rPr>
              <w:t xml:space="preserve">nationally negotiated </w:t>
            </w:r>
            <w:r w:rsidRPr="009327A9">
              <w:rPr>
                <w:rFonts w:ascii="Arial Narrow" w:hAnsi="Arial Narrow"/>
                <w:sz w:val="18"/>
                <w:szCs w:val="18"/>
              </w:rPr>
              <w:t>price*</w:t>
            </w:r>
          </w:p>
        </w:tc>
        <w:tc>
          <w:tcPr>
            <w:tcW w:w="982" w:type="dxa"/>
            <w:shd w:val="clear" w:color="auto" w:fill="auto"/>
            <w:vAlign w:val="center"/>
          </w:tcPr>
          <w:p w:rsidR="009327A9" w:rsidRPr="009327A9" w:rsidRDefault="009327A9" w:rsidP="00705BE5">
            <w:pPr>
              <w:spacing w:before="40" w:after="40"/>
              <w:jc w:val="center"/>
              <w:rPr>
                <w:rFonts w:ascii="Arial Narrow" w:hAnsi="Arial Narrow"/>
                <w:sz w:val="18"/>
                <w:szCs w:val="18"/>
              </w:rPr>
            </w:pPr>
            <w:r w:rsidRPr="009327A9">
              <w:rPr>
                <w:rFonts w:ascii="Arial Narrow" w:hAnsi="Arial Narrow"/>
                <w:sz w:val="18"/>
                <w:szCs w:val="18"/>
              </w:rPr>
              <w:t>$</w:t>
            </w:r>
            <w:r w:rsidR="00DD1FD8">
              <w:rPr>
                <w:rFonts w:ascii="Arial Narrow" w:hAnsi="Arial Narrow"/>
                <w:noProof/>
                <w:color w:val="000000"/>
                <w:sz w:val="18"/>
                <w:szCs w:val="18"/>
                <w:highlight w:val="black"/>
              </w:rPr>
              <w:t>'''''''''''''''''''''</w:t>
            </w:r>
          </w:p>
        </w:tc>
        <w:tc>
          <w:tcPr>
            <w:tcW w:w="983" w:type="dxa"/>
            <w:shd w:val="clear" w:color="auto" w:fill="auto"/>
            <w:vAlign w:val="center"/>
          </w:tcPr>
          <w:p w:rsidR="009327A9" w:rsidRPr="009327A9" w:rsidRDefault="009327A9" w:rsidP="00705BE5">
            <w:pPr>
              <w:spacing w:before="40" w:after="40"/>
              <w:jc w:val="center"/>
              <w:rPr>
                <w:rFonts w:ascii="Arial Narrow" w:hAnsi="Arial Narrow"/>
                <w:sz w:val="18"/>
                <w:szCs w:val="18"/>
              </w:rPr>
            </w:pPr>
            <w:r w:rsidRPr="009327A9">
              <w:rPr>
                <w:rFonts w:ascii="Arial Narrow" w:hAnsi="Arial Narrow"/>
                <w:sz w:val="18"/>
                <w:szCs w:val="18"/>
              </w:rPr>
              <w:t>$</w:t>
            </w:r>
            <w:r w:rsidR="00DD1FD8">
              <w:rPr>
                <w:rFonts w:ascii="Arial Narrow" w:hAnsi="Arial Narrow"/>
                <w:noProof/>
                <w:color w:val="000000"/>
                <w:sz w:val="18"/>
                <w:szCs w:val="18"/>
                <w:highlight w:val="black"/>
              </w:rPr>
              <w:t>''''''''''''''''''''</w:t>
            </w:r>
          </w:p>
        </w:tc>
        <w:tc>
          <w:tcPr>
            <w:tcW w:w="983" w:type="dxa"/>
            <w:shd w:val="clear" w:color="auto" w:fill="auto"/>
            <w:vAlign w:val="center"/>
          </w:tcPr>
          <w:p w:rsidR="009327A9" w:rsidRPr="009327A9" w:rsidRDefault="009327A9" w:rsidP="00705BE5">
            <w:pPr>
              <w:spacing w:before="40" w:after="40"/>
              <w:jc w:val="center"/>
              <w:rPr>
                <w:rFonts w:ascii="Arial Narrow" w:hAnsi="Arial Narrow"/>
                <w:sz w:val="18"/>
                <w:szCs w:val="18"/>
              </w:rPr>
            </w:pPr>
            <w:r w:rsidRPr="009327A9">
              <w:rPr>
                <w:rFonts w:ascii="Arial Narrow" w:hAnsi="Arial Narrow"/>
                <w:sz w:val="18"/>
                <w:szCs w:val="18"/>
              </w:rPr>
              <w:t>$</w:t>
            </w:r>
            <w:r w:rsidR="00DD1FD8">
              <w:rPr>
                <w:rFonts w:ascii="Arial Narrow" w:hAnsi="Arial Narrow"/>
                <w:noProof/>
                <w:color w:val="000000"/>
                <w:sz w:val="18"/>
                <w:szCs w:val="18"/>
                <w:highlight w:val="black"/>
              </w:rPr>
              <w:t>'''''''''''''''''''''</w:t>
            </w:r>
          </w:p>
        </w:tc>
        <w:tc>
          <w:tcPr>
            <w:tcW w:w="983" w:type="dxa"/>
            <w:shd w:val="clear" w:color="auto" w:fill="auto"/>
            <w:vAlign w:val="center"/>
          </w:tcPr>
          <w:p w:rsidR="009327A9" w:rsidRPr="009327A9" w:rsidRDefault="009327A9" w:rsidP="00705BE5">
            <w:pPr>
              <w:spacing w:before="40" w:after="40"/>
              <w:jc w:val="center"/>
              <w:rPr>
                <w:rFonts w:ascii="Arial Narrow" w:hAnsi="Arial Narrow"/>
                <w:sz w:val="18"/>
                <w:szCs w:val="18"/>
              </w:rPr>
            </w:pPr>
            <w:r w:rsidRPr="009327A9">
              <w:rPr>
                <w:rFonts w:ascii="Arial Narrow" w:hAnsi="Arial Narrow"/>
                <w:sz w:val="18"/>
                <w:szCs w:val="18"/>
              </w:rPr>
              <w:t>$</w:t>
            </w:r>
            <w:r w:rsidR="00DD1FD8">
              <w:rPr>
                <w:rFonts w:ascii="Arial Narrow" w:hAnsi="Arial Narrow"/>
                <w:noProof/>
                <w:color w:val="000000"/>
                <w:sz w:val="18"/>
                <w:szCs w:val="18"/>
                <w:highlight w:val="black"/>
              </w:rPr>
              <w:t>'''''''''''''''''</w:t>
            </w:r>
          </w:p>
        </w:tc>
        <w:tc>
          <w:tcPr>
            <w:tcW w:w="983" w:type="dxa"/>
            <w:shd w:val="clear" w:color="auto" w:fill="auto"/>
            <w:vAlign w:val="center"/>
          </w:tcPr>
          <w:p w:rsidR="009327A9" w:rsidRPr="009327A9" w:rsidRDefault="009327A9" w:rsidP="00705BE5">
            <w:pPr>
              <w:spacing w:before="40" w:after="40"/>
              <w:jc w:val="center"/>
              <w:rPr>
                <w:rFonts w:ascii="Arial Narrow" w:hAnsi="Arial Narrow"/>
                <w:sz w:val="18"/>
                <w:szCs w:val="18"/>
              </w:rPr>
            </w:pPr>
            <w:r w:rsidRPr="009327A9">
              <w:rPr>
                <w:rFonts w:ascii="Arial Narrow" w:hAnsi="Arial Narrow"/>
                <w:sz w:val="18"/>
                <w:szCs w:val="18"/>
              </w:rPr>
              <w:t>$</w:t>
            </w:r>
            <w:r w:rsidR="00DD1FD8">
              <w:rPr>
                <w:rFonts w:ascii="Arial Narrow" w:hAnsi="Arial Narrow"/>
                <w:noProof/>
                <w:color w:val="000000"/>
                <w:sz w:val="18"/>
                <w:szCs w:val="18"/>
                <w:highlight w:val="black"/>
              </w:rPr>
              <w:t>'''''''''''''''''''''</w:t>
            </w:r>
          </w:p>
        </w:tc>
        <w:tc>
          <w:tcPr>
            <w:tcW w:w="983" w:type="dxa"/>
            <w:shd w:val="clear" w:color="auto" w:fill="auto"/>
            <w:vAlign w:val="center"/>
          </w:tcPr>
          <w:p w:rsidR="009327A9" w:rsidRPr="009327A9" w:rsidRDefault="009327A9" w:rsidP="00705BE5">
            <w:pPr>
              <w:spacing w:before="40" w:after="40"/>
              <w:jc w:val="center"/>
              <w:rPr>
                <w:rFonts w:ascii="Arial Narrow" w:hAnsi="Arial Narrow"/>
                <w:sz w:val="18"/>
                <w:szCs w:val="18"/>
              </w:rPr>
            </w:pPr>
            <w:r w:rsidRPr="009327A9">
              <w:rPr>
                <w:rFonts w:ascii="Arial Narrow" w:hAnsi="Arial Narrow"/>
                <w:sz w:val="18"/>
                <w:szCs w:val="18"/>
              </w:rPr>
              <w:t>$</w:t>
            </w:r>
            <w:r w:rsidR="00DD1FD8">
              <w:rPr>
                <w:rFonts w:ascii="Arial Narrow" w:hAnsi="Arial Narrow"/>
                <w:noProof/>
                <w:color w:val="000000"/>
                <w:sz w:val="18"/>
                <w:szCs w:val="18"/>
                <w:highlight w:val="black"/>
              </w:rPr>
              <w:t>''''''''''''''''''</w:t>
            </w:r>
          </w:p>
        </w:tc>
      </w:tr>
    </w:tbl>
    <w:bookmarkEnd w:id="0"/>
    <w:p w:rsidR="00F2575B" w:rsidRDefault="00F2575B" w:rsidP="00705BE5">
      <w:pPr>
        <w:spacing w:after="120"/>
        <w:rPr>
          <w:rFonts w:ascii="Arial Narrow" w:hAnsi="Arial Narrow"/>
          <w:sz w:val="18"/>
          <w:szCs w:val="18"/>
        </w:rPr>
      </w:pPr>
      <w:r>
        <w:rPr>
          <w:rFonts w:ascii="Arial Narrow" w:hAnsi="Arial Narrow"/>
          <w:sz w:val="18"/>
          <w:szCs w:val="18"/>
        </w:rPr>
        <w:t>* As children &lt;</w:t>
      </w:r>
      <w:r w:rsidRPr="00F2575B">
        <w:rPr>
          <w:rFonts w:ascii="Arial Narrow" w:hAnsi="Arial Narrow"/>
          <w:sz w:val="18"/>
          <w:szCs w:val="18"/>
        </w:rPr>
        <w:t>9 years require two doses in the first year they receive a vaccine, costs would be marginally higher.</w:t>
      </w:r>
    </w:p>
    <w:p w:rsidR="00902A53" w:rsidRPr="006906DC" w:rsidRDefault="006906DC" w:rsidP="00705B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906DC">
        <w:rPr>
          <w:rFonts w:asciiTheme="minorHAnsi" w:eastAsiaTheme="minorHAnsi" w:hAnsiTheme="minorHAnsi" w:cstheme="minorBidi"/>
          <w:snapToGrid/>
          <w:sz w:val="24"/>
          <w:szCs w:val="22"/>
        </w:rPr>
        <w:t>The</w:t>
      </w:r>
      <w:r>
        <w:rPr>
          <w:rFonts w:asciiTheme="minorHAnsi" w:eastAsiaTheme="minorHAnsi" w:hAnsiTheme="minorHAnsi" w:cstheme="minorBidi"/>
          <w:snapToGrid/>
          <w:sz w:val="24"/>
          <w:szCs w:val="22"/>
        </w:rPr>
        <w:t xml:space="preserve"> minor submission also presented utilisation and financial estimates</w:t>
      </w:r>
      <w:r w:rsidRPr="006906DC">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if uptake were to increase to 20% for all age cohorts (including the new cohort). Under this scenario, the ne</w:t>
      </w:r>
      <w:r w:rsidR="00582D85">
        <w:rPr>
          <w:rFonts w:asciiTheme="minorHAnsi" w:eastAsiaTheme="minorHAnsi" w:hAnsiTheme="minorHAnsi" w:cstheme="minorBidi"/>
          <w:snapToGrid/>
          <w:sz w:val="24"/>
          <w:szCs w:val="22"/>
        </w:rPr>
        <w:t xml:space="preserve">t cost to the NIP would be </w:t>
      </w:r>
      <w:r w:rsidR="00590EC3">
        <w:rPr>
          <w:rFonts w:asciiTheme="minorHAnsi" w:eastAsiaTheme="minorHAnsi" w:hAnsiTheme="minorHAnsi" w:cstheme="minorBidi"/>
          <w:snapToGrid/>
          <w:sz w:val="24"/>
          <w:szCs w:val="22"/>
        </w:rPr>
        <w:t xml:space="preserve">less than </w:t>
      </w:r>
      <w:r w:rsidR="00582D85">
        <w:rPr>
          <w:rFonts w:asciiTheme="minorHAnsi" w:eastAsiaTheme="minorHAnsi" w:hAnsiTheme="minorHAnsi" w:cstheme="minorBidi"/>
          <w:snapToGrid/>
          <w:sz w:val="24"/>
          <w:szCs w:val="22"/>
        </w:rPr>
        <w:t>$</w:t>
      </w:r>
      <w:r w:rsidR="00590EC3">
        <w:rPr>
          <w:rFonts w:asciiTheme="minorHAnsi" w:eastAsiaTheme="minorHAnsi" w:hAnsiTheme="minorHAnsi" w:cstheme="minorBidi"/>
          <w:snapToGrid/>
          <w:sz w:val="24"/>
          <w:szCs w:val="22"/>
        </w:rPr>
        <w:t>10 million</w:t>
      </w:r>
      <w:r w:rsidR="00582D85">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in Year 6 of listing and a total of </w:t>
      </w:r>
      <w:r w:rsidR="00590EC3">
        <w:rPr>
          <w:rFonts w:asciiTheme="minorHAnsi" w:eastAsiaTheme="minorHAnsi" w:hAnsiTheme="minorHAnsi" w:cstheme="minorBidi"/>
          <w:snapToGrid/>
          <w:sz w:val="24"/>
          <w:szCs w:val="22"/>
        </w:rPr>
        <w:t xml:space="preserve">less than </w:t>
      </w:r>
      <w:r>
        <w:rPr>
          <w:rFonts w:asciiTheme="minorHAnsi" w:eastAsiaTheme="minorHAnsi" w:hAnsiTheme="minorHAnsi" w:cstheme="minorBidi"/>
          <w:snapToGrid/>
          <w:sz w:val="24"/>
          <w:szCs w:val="22"/>
        </w:rPr>
        <w:t>$</w:t>
      </w:r>
      <w:r w:rsidR="00590EC3">
        <w:rPr>
          <w:rFonts w:asciiTheme="minorHAnsi" w:eastAsiaTheme="minorHAnsi" w:hAnsiTheme="minorHAnsi" w:cstheme="minorBidi"/>
          <w:snapToGrid/>
          <w:sz w:val="24"/>
          <w:szCs w:val="22"/>
        </w:rPr>
        <w:t>10</w:t>
      </w:r>
      <w:r>
        <w:rPr>
          <w:rFonts w:asciiTheme="minorHAnsi" w:eastAsiaTheme="minorHAnsi" w:hAnsiTheme="minorHAnsi" w:cstheme="minorBidi"/>
          <w:snapToGrid/>
          <w:sz w:val="24"/>
          <w:szCs w:val="22"/>
        </w:rPr>
        <w:t> million over the first six years of listing.</w:t>
      </w:r>
    </w:p>
    <w:p w:rsidR="002527BB" w:rsidRPr="001A6F30" w:rsidRDefault="002527BB" w:rsidP="00705BE5">
      <w:pPr>
        <w:pStyle w:val="ListParagraph"/>
        <w:widowControl/>
        <w:ind w:left="709"/>
        <w:rPr>
          <w:rFonts w:asciiTheme="minorHAnsi" w:hAnsiTheme="minorHAnsi"/>
          <w:i/>
          <w:sz w:val="24"/>
          <w:szCs w:val="24"/>
        </w:rPr>
      </w:pPr>
      <w:r w:rsidRPr="001A6F30">
        <w:rPr>
          <w:rFonts w:asciiTheme="minorHAnsi" w:hAnsiTheme="minorHAnsi"/>
          <w:i/>
          <w:sz w:val="24"/>
          <w:szCs w:val="24"/>
        </w:rPr>
        <w:t>For more deta</w:t>
      </w:r>
      <w:r w:rsidR="00BF1EBB" w:rsidRPr="001A6F30">
        <w:rPr>
          <w:rFonts w:asciiTheme="minorHAnsi" w:hAnsiTheme="minorHAnsi"/>
          <w:i/>
          <w:sz w:val="24"/>
          <w:szCs w:val="24"/>
        </w:rPr>
        <w:t>il on PBAC’s view, see section 5</w:t>
      </w:r>
      <w:r w:rsidRPr="001A6F30">
        <w:rPr>
          <w:rFonts w:asciiTheme="minorHAnsi" w:hAnsiTheme="minorHAnsi"/>
          <w:i/>
          <w:sz w:val="24"/>
          <w:szCs w:val="24"/>
        </w:rPr>
        <w:t xml:space="preserve"> PBAC outcome.</w:t>
      </w:r>
    </w:p>
    <w:p w:rsidR="002527BB" w:rsidRPr="006A2189" w:rsidRDefault="002527BB" w:rsidP="00705BE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6A2189">
        <w:rPr>
          <w:rFonts w:asciiTheme="minorHAnsi" w:hAnsiTheme="minorHAnsi"/>
          <w:sz w:val="32"/>
          <w:szCs w:val="32"/>
        </w:rPr>
        <w:t>PBAC Outcome</w:t>
      </w:r>
    </w:p>
    <w:p w:rsidR="00EC3FD1" w:rsidRPr="00EC3FD1" w:rsidRDefault="00EC3FD1" w:rsidP="00705BE5">
      <w:pPr>
        <w:numPr>
          <w:ilvl w:val="1"/>
          <w:numId w:val="5"/>
        </w:numPr>
        <w:spacing w:after="120"/>
        <w:jc w:val="both"/>
        <w:rPr>
          <w:rFonts w:asciiTheme="minorHAnsi" w:hAnsiTheme="minorHAnsi"/>
          <w:bCs/>
          <w:lang w:val="en-GB"/>
        </w:rPr>
      </w:pPr>
      <w:r w:rsidRPr="00EC3FD1">
        <w:rPr>
          <w:rFonts w:asciiTheme="minorHAnsi" w:hAnsiTheme="minorHAnsi"/>
          <w:bCs/>
          <w:lang w:val="en-GB"/>
        </w:rPr>
        <w:t xml:space="preserve">The PBAC recommended a change to the </w:t>
      </w:r>
      <w:r w:rsidR="007444BC" w:rsidRPr="00EC3FD1">
        <w:rPr>
          <w:rFonts w:asciiTheme="minorHAnsi" w:hAnsiTheme="minorHAnsi"/>
          <w:bCs/>
          <w:lang w:val="en-GB"/>
        </w:rPr>
        <w:t xml:space="preserve">circumstances </w:t>
      </w:r>
      <w:r w:rsidR="00E26307">
        <w:rPr>
          <w:rFonts w:asciiTheme="minorHAnsi" w:hAnsiTheme="minorHAnsi"/>
          <w:bCs/>
          <w:lang w:val="en-GB"/>
        </w:rPr>
        <w:t xml:space="preserve">in </w:t>
      </w:r>
      <w:r w:rsidR="00254580">
        <w:rPr>
          <w:rFonts w:asciiTheme="minorHAnsi" w:hAnsiTheme="minorHAnsi"/>
          <w:bCs/>
          <w:lang w:val="en-GB"/>
        </w:rPr>
        <w:t xml:space="preserve">which quadrivalent influenza vaccines currently listed on the NIP </w:t>
      </w:r>
      <w:r w:rsidR="00E26307">
        <w:rPr>
          <w:rFonts w:asciiTheme="minorHAnsi" w:hAnsiTheme="minorHAnsi"/>
          <w:bCs/>
          <w:lang w:val="en-GB"/>
        </w:rPr>
        <w:t>for</w:t>
      </w:r>
      <w:r w:rsidR="00254580">
        <w:rPr>
          <w:rFonts w:asciiTheme="minorHAnsi" w:hAnsiTheme="minorHAnsi"/>
          <w:bCs/>
          <w:lang w:val="en-GB"/>
        </w:rPr>
        <w:t xml:space="preserve"> people aged 5 to &lt;15 years, (specifically, </w:t>
      </w:r>
      <w:proofErr w:type="spellStart"/>
      <w:r w:rsidR="00254580" w:rsidRPr="00EC3FD1">
        <w:rPr>
          <w:rFonts w:asciiTheme="minorHAnsi" w:hAnsiTheme="minorHAnsi"/>
          <w:bCs/>
          <w:lang w:val="en-GB"/>
        </w:rPr>
        <w:t>FluQuadri</w:t>
      </w:r>
      <w:proofErr w:type="spellEnd"/>
      <w:r w:rsidR="00254580" w:rsidRPr="00EC3FD1">
        <w:rPr>
          <w:rFonts w:asciiTheme="minorHAnsi" w:hAnsiTheme="minorHAnsi"/>
          <w:bCs/>
          <w:lang w:val="en-GB"/>
        </w:rPr>
        <w:t xml:space="preserve"> and </w:t>
      </w:r>
      <w:proofErr w:type="spellStart"/>
      <w:r w:rsidR="00254580" w:rsidRPr="00EC3FD1">
        <w:rPr>
          <w:rFonts w:asciiTheme="minorHAnsi" w:hAnsiTheme="minorHAnsi"/>
          <w:bCs/>
          <w:lang w:val="en-GB"/>
        </w:rPr>
        <w:t>Fluarix</w:t>
      </w:r>
      <w:proofErr w:type="spellEnd"/>
      <w:r w:rsidR="00254580">
        <w:rPr>
          <w:rFonts w:asciiTheme="minorHAnsi" w:hAnsiTheme="minorHAnsi"/>
          <w:bCs/>
          <w:lang w:val="en-GB"/>
        </w:rPr>
        <w:t xml:space="preserve"> tetra) </w:t>
      </w:r>
      <w:r w:rsidR="001B3745">
        <w:rPr>
          <w:rFonts w:asciiTheme="minorHAnsi" w:hAnsiTheme="minorHAnsi"/>
          <w:bCs/>
          <w:lang w:val="en-GB"/>
        </w:rPr>
        <w:t>are</w:t>
      </w:r>
      <w:r w:rsidR="00254580">
        <w:rPr>
          <w:rFonts w:asciiTheme="minorHAnsi" w:hAnsiTheme="minorHAnsi"/>
          <w:bCs/>
          <w:lang w:val="en-GB"/>
        </w:rPr>
        <w:t xml:space="preserve"> designated vaccines</w:t>
      </w:r>
      <w:r w:rsidR="003863FC">
        <w:rPr>
          <w:rFonts w:asciiTheme="minorHAnsi" w:eastAsiaTheme="minorHAnsi" w:hAnsiTheme="minorHAnsi" w:cstheme="minorBidi"/>
          <w:szCs w:val="22"/>
        </w:rPr>
        <w:t xml:space="preserve"> for the purposes of the Act</w:t>
      </w:r>
      <w:r w:rsidR="00254580">
        <w:rPr>
          <w:rFonts w:asciiTheme="minorHAnsi" w:eastAsiaTheme="minorHAnsi" w:hAnsiTheme="minorHAnsi" w:cstheme="minorBidi"/>
          <w:szCs w:val="22"/>
        </w:rPr>
        <w:t>. The PBAC recommended</w:t>
      </w:r>
      <w:r w:rsidR="00BE7456" w:rsidRPr="00EC3FD1">
        <w:rPr>
          <w:rFonts w:asciiTheme="minorHAnsi" w:eastAsiaTheme="minorHAnsi" w:hAnsiTheme="minorHAnsi" w:cstheme="minorBidi"/>
          <w:i/>
          <w:szCs w:val="22"/>
        </w:rPr>
        <w:t xml:space="preserve"> </w:t>
      </w:r>
      <w:r w:rsidR="00254580">
        <w:rPr>
          <w:rFonts w:asciiTheme="minorHAnsi" w:hAnsiTheme="minorHAnsi"/>
          <w:bCs/>
          <w:lang w:val="en-GB"/>
        </w:rPr>
        <w:t xml:space="preserve">that </w:t>
      </w:r>
      <w:proofErr w:type="spellStart"/>
      <w:r w:rsidR="00254580">
        <w:rPr>
          <w:rFonts w:asciiTheme="minorHAnsi" w:hAnsiTheme="minorHAnsi"/>
          <w:bCs/>
          <w:lang w:val="en-GB"/>
        </w:rPr>
        <w:t>FluQuadri</w:t>
      </w:r>
      <w:proofErr w:type="spellEnd"/>
      <w:r w:rsidR="00254580">
        <w:rPr>
          <w:rFonts w:asciiTheme="minorHAnsi" w:hAnsiTheme="minorHAnsi"/>
          <w:bCs/>
          <w:lang w:val="en-GB"/>
        </w:rPr>
        <w:t xml:space="preserve"> and </w:t>
      </w:r>
      <w:proofErr w:type="spellStart"/>
      <w:r w:rsidR="00254580">
        <w:rPr>
          <w:rFonts w:asciiTheme="minorHAnsi" w:hAnsiTheme="minorHAnsi"/>
          <w:bCs/>
          <w:lang w:val="en-GB"/>
        </w:rPr>
        <w:t>Fluarix</w:t>
      </w:r>
      <w:proofErr w:type="spellEnd"/>
      <w:r w:rsidR="00254580">
        <w:rPr>
          <w:rFonts w:asciiTheme="minorHAnsi" w:hAnsiTheme="minorHAnsi"/>
          <w:bCs/>
          <w:lang w:val="en-GB"/>
        </w:rPr>
        <w:t xml:space="preserve"> Tetra </w:t>
      </w:r>
      <w:r w:rsidR="00BE7456">
        <w:rPr>
          <w:rFonts w:asciiTheme="minorHAnsi" w:hAnsiTheme="minorHAnsi"/>
          <w:bCs/>
          <w:lang w:val="en-GB"/>
        </w:rPr>
        <w:t>may be provided</w:t>
      </w:r>
      <w:r w:rsidR="00D147D7">
        <w:rPr>
          <w:rFonts w:asciiTheme="minorHAnsi" w:hAnsiTheme="minorHAnsi"/>
          <w:bCs/>
          <w:lang w:val="en-GB"/>
        </w:rPr>
        <w:t xml:space="preserve"> </w:t>
      </w:r>
      <w:r w:rsidR="003863FC">
        <w:rPr>
          <w:rFonts w:asciiTheme="minorHAnsi" w:hAnsiTheme="minorHAnsi"/>
          <w:bCs/>
          <w:lang w:val="en-GB"/>
        </w:rPr>
        <w:t xml:space="preserve">on the </w:t>
      </w:r>
      <w:r w:rsidR="00D147D7">
        <w:rPr>
          <w:rFonts w:asciiTheme="minorHAnsi" w:hAnsiTheme="minorHAnsi"/>
          <w:bCs/>
          <w:lang w:val="en-GB"/>
        </w:rPr>
        <w:t>NIP</w:t>
      </w:r>
      <w:r w:rsidR="00E26307">
        <w:rPr>
          <w:rFonts w:asciiTheme="minorHAnsi" w:hAnsiTheme="minorHAnsi"/>
          <w:bCs/>
          <w:lang w:val="en-GB"/>
        </w:rPr>
        <w:t xml:space="preserve"> to</w:t>
      </w:r>
      <w:r w:rsidR="00D147D7">
        <w:rPr>
          <w:rFonts w:asciiTheme="minorHAnsi" w:hAnsiTheme="minorHAnsi"/>
          <w:bCs/>
          <w:lang w:val="en-GB"/>
        </w:rPr>
        <w:t xml:space="preserve"> </w:t>
      </w:r>
      <w:r w:rsidR="00E26307" w:rsidRPr="00EC3FD1">
        <w:rPr>
          <w:rFonts w:asciiTheme="minorHAnsi" w:eastAsiaTheme="minorHAnsi" w:hAnsiTheme="minorHAnsi" w:cstheme="minorBidi"/>
          <w:szCs w:val="22"/>
        </w:rPr>
        <w:t>Aboriginal and</w:t>
      </w:r>
      <w:r w:rsidR="00E26307">
        <w:rPr>
          <w:rFonts w:asciiTheme="minorHAnsi" w:eastAsiaTheme="minorHAnsi" w:hAnsiTheme="minorHAnsi" w:cstheme="minorBidi"/>
          <w:szCs w:val="22"/>
        </w:rPr>
        <w:t>/or</w:t>
      </w:r>
      <w:r w:rsidR="00E26307" w:rsidRPr="00EC3FD1">
        <w:rPr>
          <w:rFonts w:asciiTheme="minorHAnsi" w:eastAsiaTheme="minorHAnsi" w:hAnsiTheme="minorHAnsi" w:cstheme="minorBidi"/>
          <w:szCs w:val="22"/>
        </w:rPr>
        <w:t xml:space="preserve"> Torres Strait Islander </w:t>
      </w:r>
      <w:r w:rsidR="00E26307">
        <w:rPr>
          <w:rFonts w:asciiTheme="minorHAnsi" w:eastAsiaTheme="minorHAnsi" w:hAnsiTheme="minorHAnsi" w:cstheme="minorBidi"/>
          <w:szCs w:val="22"/>
        </w:rPr>
        <w:t>(Indigenous) people</w:t>
      </w:r>
      <w:r w:rsidR="00E26307" w:rsidRPr="00EC3FD1">
        <w:rPr>
          <w:rFonts w:asciiTheme="minorHAnsi" w:eastAsiaTheme="minorHAnsi" w:hAnsiTheme="minorHAnsi" w:cstheme="minorBidi"/>
          <w:szCs w:val="22"/>
        </w:rPr>
        <w:t xml:space="preserve"> aged 3 years </w:t>
      </w:r>
      <w:r w:rsidR="00E26307">
        <w:rPr>
          <w:rFonts w:asciiTheme="minorHAnsi" w:eastAsiaTheme="minorHAnsi" w:hAnsiTheme="minorHAnsi" w:cstheme="minorBidi"/>
          <w:szCs w:val="22"/>
        </w:rPr>
        <w:t>and older</w:t>
      </w:r>
      <w:r w:rsidR="00E26307">
        <w:rPr>
          <w:rFonts w:asciiTheme="minorHAnsi" w:hAnsiTheme="minorHAnsi"/>
          <w:bCs/>
          <w:lang w:val="en-GB"/>
        </w:rPr>
        <w:t xml:space="preserve"> </w:t>
      </w:r>
      <w:r w:rsidR="003863FC">
        <w:rPr>
          <w:rFonts w:asciiTheme="minorHAnsi" w:hAnsiTheme="minorHAnsi"/>
          <w:bCs/>
          <w:lang w:val="en-GB"/>
        </w:rPr>
        <w:t>for the prevention of influenza</w:t>
      </w:r>
      <w:r w:rsidR="00BE7456">
        <w:rPr>
          <w:rFonts w:asciiTheme="minorHAnsi" w:eastAsiaTheme="minorHAnsi" w:hAnsiTheme="minorHAnsi" w:cstheme="minorBidi"/>
          <w:szCs w:val="22"/>
        </w:rPr>
        <w:t>.</w:t>
      </w:r>
      <w:r w:rsidR="00031A01">
        <w:rPr>
          <w:rFonts w:asciiTheme="minorHAnsi" w:eastAsiaTheme="minorHAnsi" w:hAnsiTheme="minorHAnsi" w:cstheme="minorBidi"/>
          <w:szCs w:val="22"/>
        </w:rPr>
        <w:t xml:space="preserve"> </w:t>
      </w:r>
    </w:p>
    <w:p w:rsidR="00BF1EBB" w:rsidRDefault="00FD7CB9" w:rsidP="00950539">
      <w:pPr>
        <w:numPr>
          <w:ilvl w:val="1"/>
          <w:numId w:val="5"/>
        </w:numPr>
        <w:spacing w:after="120"/>
        <w:jc w:val="both"/>
        <w:rPr>
          <w:rFonts w:asciiTheme="minorHAnsi" w:hAnsiTheme="minorHAnsi"/>
          <w:bCs/>
          <w:lang w:val="en-GB"/>
        </w:rPr>
      </w:pPr>
      <w:r>
        <w:rPr>
          <w:rFonts w:asciiTheme="minorHAnsi" w:hAnsiTheme="minorHAnsi"/>
          <w:bCs/>
          <w:lang w:val="en-GB"/>
        </w:rPr>
        <w:t>The PBAC noted that t</w:t>
      </w:r>
      <w:r w:rsidRPr="007444BC">
        <w:rPr>
          <w:rFonts w:asciiTheme="minorHAnsi" w:hAnsiTheme="minorHAnsi"/>
          <w:bCs/>
          <w:lang w:val="en-GB"/>
        </w:rPr>
        <w:t xml:space="preserve">he NIP currently provides free seasonal influenza vaccine each year to Indigenous people aged 6 months to &lt;5 years and 15 years and </w:t>
      </w:r>
      <w:r w:rsidR="00BF1EBB">
        <w:rPr>
          <w:rFonts w:asciiTheme="minorHAnsi" w:hAnsiTheme="minorHAnsi"/>
          <w:bCs/>
          <w:lang w:val="en-GB"/>
        </w:rPr>
        <w:t>older</w:t>
      </w:r>
      <w:r>
        <w:rPr>
          <w:rFonts w:asciiTheme="minorHAnsi" w:hAnsiTheme="minorHAnsi"/>
          <w:bCs/>
          <w:lang w:val="en-GB"/>
        </w:rPr>
        <w:t>.</w:t>
      </w:r>
      <w:r w:rsidR="00BF1EBB">
        <w:rPr>
          <w:rFonts w:asciiTheme="minorHAnsi" w:hAnsiTheme="minorHAnsi"/>
          <w:bCs/>
          <w:lang w:val="en-GB"/>
        </w:rPr>
        <w:t xml:space="preserve"> The </w:t>
      </w:r>
      <w:r w:rsidR="00BF1EBB">
        <w:rPr>
          <w:rFonts w:asciiTheme="minorHAnsi" w:hAnsiTheme="minorHAnsi"/>
          <w:bCs/>
          <w:lang w:val="en-GB"/>
        </w:rPr>
        <w:lastRenderedPageBreak/>
        <w:t>recommended change would</w:t>
      </w:r>
      <w:r w:rsidR="00D147D7">
        <w:rPr>
          <w:rFonts w:asciiTheme="minorHAnsi" w:hAnsiTheme="minorHAnsi"/>
          <w:bCs/>
          <w:lang w:val="en-GB"/>
        </w:rPr>
        <w:t xml:space="preserve"> provide access to seasonal influenza vaccine to </w:t>
      </w:r>
      <w:r w:rsidR="00BF1EBB">
        <w:rPr>
          <w:rFonts w:asciiTheme="minorHAnsi" w:hAnsiTheme="minorHAnsi"/>
          <w:bCs/>
          <w:lang w:val="en-GB"/>
        </w:rPr>
        <w:t>all Indigenous people aged 6 months and older at no cost through the NIP.</w:t>
      </w:r>
    </w:p>
    <w:p w:rsidR="00305667" w:rsidRDefault="00305667" w:rsidP="00305667">
      <w:pPr>
        <w:numPr>
          <w:ilvl w:val="1"/>
          <w:numId w:val="5"/>
        </w:numPr>
        <w:spacing w:after="120"/>
        <w:jc w:val="both"/>
        <w:rPr>
          <w:rFonts w:asciiTheme="minorHAnsi" w:hAnsiTheme="minorHAnsi"/>
          <w:bCs/>
          <w:lang w:val="en-GB"/>
        </w:rPr>
      </w:pPr>
      <w:r>
        <w:rPr>
          <w:rFonts w:asciiTheme="minorHAnsi" w:hAnsiTheme="minorHAnsi"/>
          <w:bCs/>
          <w:lang w:val="en-GB"/>
        </w:rPr>
        <w:t xml:space="preserve">The PBAC noted that another brand of </w:t>
      </w:r>
      <w:r w:rsidRPr="00533156">
        <w:rPr>
          <w:rFonts w:asciiTheme="minorHAnsi" w:hAnsiTheme="minorHAnsi"/>
          <w:bCs/>
        </w:rPr>
        <w:t>quadrivalent</w:t>
      </w:r>
      <w:r>
        <w:rPr>
          <w:rFonts w:asciiTheme="minorHAnsi" w:hAnsiTheme="minorHAnsi"/>
          <w:bCs/>
          <w:lang w:val="en-GB"/>
        </w:rPr>
        <w:t xml:space="preserve"> influenza vaccine, Afluria Quad, is currently listed on the Determination for Indigenous people aged 18 years and older. At the same meeting, the PBAC recommended a change to the circumstances for Afluria Quad to allow use in people aged 5 years and older who are already eligible for other brands of influenza vaccine through the NIP. The PBAC considered that the recommendation for changes for Afluria Quad should also include Aboriginal and Torres Strait Islander people aged 5 to &lt;15 years.</w:t>
      </w:r>
    </w:p>
    <w:p w:rsidR="00DD6B6F" w:rsidRPr="00305667" w:rsidRDefault="00DD6B6F" w:rsidP="00305667">
      <w:pPr>
        <w:numPr>
          <w:ilvl w:val="1"/>
          <w:numId w:val="5"/>
        </w:numPr>
        <w:spacing w:after="120"/>
        <w:jc w:val="both"/>
        <w:rPr>
          <w:rFonts w:asciiTheme="minorHAnsi" w:hAnsiTheme="minorHAnsi"/>
          <w:bCs/>
          <w:lang w:val="en-GB"/>
        </w:rPr>
      </w:pPr>
      <w:r>
        <w:rPr>
          <w:rFonts w:asciiTheme="minorHAnsi" w:hAnsiTheme="minorHAnsi"/>
          <w:bCs/>
          <w:lang w:val="en-GB"/>
        </w:rPr>
        <w:t xml:space="preserve">The PBAC recommended that the nationally negotiated price for the additional cohort for the three vaccines be the same as for the existing cohorts. </w:t>
      </w:r>
      <w:r w:rsidR="001A0A0C">
        <w:rPr>
          <w:rFonts w:asciiTheme="minorHAnsi" w:hAnsiTheme="minorHAnsi"/>
          <w:bCs/>
          <w:lang w:val="en-GB"/>
        </w:rPr>
        <w:t xml:space="preserve">The PBAC noted that all three sponsors </w:t>
      </w:r>
      <w:r w:rsidR="001A0A0C">
        <w:rPr>
          <w:rFonts w:asciiTheme="minorHAnsi" w:eastAsiaTheme="minorHAnsi" w:hAnsiTheme="minorHAnsi" w:cstheme="minorBidi"/>
          <w:szCs w:val="22"/>
        </w:rPr>
        <w:t>agreed to supply the vaccine for the requested cohort at their current contracted prices.</w:t>
      </w:r>
    </w:p>
    <w:p w:rsidR="00950539" w:rsidRPr="00950539" w:rsidRDefault="0043430B" w:rsidP="00950539">
      <w:pPr>
        <w:numPr>
          <w:ilvl w:val="1"/>
          <w:numId w:val="5"/>
        </w:numPr>
        <w:spacing w:after="120"/>
        <w:jc w:val="both"/>
        <w:rPr>
          <w:rFonts w:asciiTheme="minorHAnsi" w:hAnsiTheme="minorHAnsi"/>
          <w:bCs/>
          <w:lang w:val="en-GB"/>
        </w:rPr>
      </w:pPr>
      <w:r>
        <w:rPr>
          <w:rFonts w:asciiTheme="minorHAnsi" w:hAnsiTheme="minorHAnsi"/>
          <w:bCs/>
          <w:lang w:val="en-GB"/>
        </w:rPr>
        <w:t xml:space="preserve">The PBAC recalled </w:t>
      </w:r>
      <w:r w:rsidR="00FD7CB9">
        <w:rPr>
          <w:rFonts w:asciiTheme="minorHAnsi" w:hAnsiTheme="minorHAnsi"/>
          <w:bCs/>
          <w:lang w:val="en-GB"/>
        </w:rPr>
        <w:t xml:space="preserve">that </w:t>
      </w:r>
      <w:r>
        <w:rPr>
          <w:rFonts w:asciiTheme="minorHAnsi" w:hAnsiTheme="minorHAnsi"/>
          <w:bCs/>
          <w:lang w:val="en-GB"/>
        </w:rPr>
        <w:t xml:space="preserve">it recommended expanding eligibility </w:t>
      </w:r>
      <w:r w:rsidR="00950539">
        <w:rPr>
          <w:rFonts w:asciiTheme="minorHAnsi" w:hAnsiTheme="minorHAnsi"/>
          <w:bCs/>
          <w:lang w:val="en-GB"/>
        </w:rPr>
        <w:t xml:space="preserve">for NIP funded influenza vaccine </w:t>
      </w:r>
      <w:r>
        <w:rPr>
          <w:rFonts w:asciiTheme="minorHAnsi" w:hAnsiTheme="minorHAnsi"/>
          <w:bCs/>
          <w:lang w:val="en-GB"/>
        </w:rPr>
        <w:t xml:space="preserve">to Indigenous people aged 6 months to &lt;5 years in 2014 </w:t>
      </w:r>
      <w:r w:rsidR="00950539">
        <w:rPr>
          <w:rFonts w:asciiTheme="minorHAnsi" w:hAnsiTheme="minorHAnsi"/>
          <w:bCs/>
          <w:lang w:val="en-GB"/>
        </w:rPr>
        <w:t>on the basis of a submission from ATAGI</w:t>
      </w:r>
      <w:r w:rsidR="002A5E6C">
        <w:rPr>
          <w:rFonts w:asciiTheme="minorHAnsi" w:hAnsiTheme="minorHAnsi"/>
          <w:bCs/>
          <w:lang w:val="en-GB"/>
        </w:rPr>
        <w:t xml:space="preserve"> and support from the CMO. OHP</w:t>
      </w:r>
      <w:r w:rsidR="00FD7CB9">
        <w:rPr>
          <w:rFonts w:asciiTheme="minorHAnsi" w:hAnsiTheme="minorHAnsi"/>
          <w:bCs/>
          <w:lang w:val="en-GB"/>
        </w:rPr>
        <w:t xml:space="preserve"> </w:t>
      </w:r>
      <w:r w:rsidR="002A5E6C">
        <w:rPr>
          <w:rFonts w:asciiTheme="minorHAnsi" w:hAnsiTheme="minorHAnsi"/>
          <w:bCs/>
          <w:lang w:val="en-GB"/>
        </w:rPr>
        <w:t xml:space="preserve">subsequently </w:t>
      </w:r>
      <w:r w:rsidR="00950539">
        <w:rPr>
          <w:rFonts w:asciiTheme="minorHAnsi" w:hAnsiTheme="minorHAnsi"/>
          <w:bCs/>
          <w:lang w:val="en-GB"/>
        </w:rPr>
        <w:t>encourage</w:t>
      </w:r>
      <w:r w:rsidR="002A5E6C">
        <w:rPr>
          <w:rFonts w:asciiTheme="minorHAnsi" w:hAnsiTheme="minorHAnsi"/>
          <w:bCs/>
          <w:lang w:val="en-GB"/>
        </w:rPr>
        <w:t xml:space="preserve">d </w:t>
      </w:r>
      <w:r w:rsidR="00950539">
        <w:rPr>
          <w:rFonts w:asciiTheme="minorHAnsi" w:hAnsiTheme="minorHAnsi"/>
          <w:bCs/>
          <w:lang w:val="en-GB"/>
        </w:rPr>
        <w:t xml:space="preserve">the relevant sponsors to make a PBAC submission requesting extension of eligibility for </w:t>
      </w:r>
      <w:r w:rsidR="00A628F3">
        <w:rPr>
          <w:rFonts w:asciiTheme="minorHAnsi" w:hAnsiTheme="minorHAnsi"/>
          <w:bCs/>
          <w:lang w:val="en-GB"/>
        </w:rPr>
        <w:t xml:space="preserve">Indigenous </w:t>
      </w:r>
      <w:r w:rsidR="00950539">
        <w:rPr>
          <w:rFonts w:asciiTheme="minorHAnsi" w:hAnsiTheme="minorHAnsi"/>
          <w:bCs/>
          <w:lang w:val="en-GB"/>
        </w:rPr>
        <w:t>people aged 5 years to &lt;15 years</w:t>
      </w:r>
      <w:r w:rsidR="00D147D7">
        <w:rPr>
          <w:rFonts w:asciiTheme="minorHAnsi" w:hAnsiTheme="minorHAnsi"/>
          <w:bCs/>
          <w:lang w:val="en-GB"/>
        </w:rPr>
        <w:t>; however, the sponsors advised this would not be feasible</w:t>
      </w:r>
      <w:r w:rsidR="00950539">
        <w:rPr>
          <w:rFonts w:asciiTheme="minorHAnsi" w:hAnsiTheme="minorHAnsi"/>
          <w:bCs/>
          <w:lang w:val="en-GB"/>
        </w:rPr>
        <w:t xml:space="preserve">. </w:t>
      </w:r>
      <w:r w:rsidR="00950539" w:rsidRPr="00950539">
        <w:rPr>
          <w:rFonts w:asciiTheme="minorHAnsi" w:eastAsiaTheme="minorHAnsi" w:hAnsiTheme="minorHAnsi" w:cstheme="minorBidi"/>
          <w:szCs w:val="22"/>
        </w:rPr>
        <w:t xml:space="preserve">The </w:t>
      </w:r>
      <w:r w:rsidR="00371EC5">
        <w:rPr>
          <w:rFonts w:asciiTheme="minorHAnsi" w:eastAsiaTheme="minorHAnsi" w:hAnsiTheme="minorHAnsi" w:cstheme="minorBidi"/>
          <w:szCs w:val="22"/>
        </w:rPr>
        <w:t xml:space="preserve">PBAC </w:t>
      </w:r>
      <w:r w:rsidR="00D147D7">
        <w:rPr>
          <w:rFonts w:asciiTheme="minorHAnsi" w:eastAsiaTheme="minorHAnsi" w:hAnsiTheme="minorHAnsi" w:cstheme="minorBidi"/>
          <w:szCs w:val="22"/>
        </w:rPr>
        <w:t xml:space="preserve">acknowledged </w:t>
      </w:r>
      <w:r w:rsidR="00591675">
        <w:rPr>
          <w:rFonts w:asciiTheme="minorHAnsi" w:eastAsiaTheme="minorHAnsi" w:hAnsiTheme="minorHAnsi" w:cstheme="minorBidi"/>
          <w:szCs w:val="22"/>
        </w:rPr>
        <w:t xml:space="preserve">the difficulty of developing such a submission given </w:t>
      </w:r>
      <w:r w:rsidR="00950539" w:rsidRPr="00950539">
        <w:rPr>
          <w:rFonts w:asciiTheme="minorHAnsi" w:eastAsiaTheme="minorHAnsi" w:hAnsiTheme="minorHAnsi" w:cstheme="minorBidi"/>
          <w:szCs w:val="22"/>
        </w:rPr>
        <w:t>the small market and inadequate identification of Indigenous status in key morbidity and mortality data sets</w:t>
      </w:r>
      <w:r w:rsidR="004352F9">
        <w:rPr>
          <w:rFonts w:asciiTheme="minorHAnsi" w:eastAsiaTheme="minorHAnsi" w:hAnsiTheme="minorHAnsi" w:cstheme="minorBidi"/>
          <w:szCs w:val="22"/>
        </w:rPr>
        <w:t>.</w:t>
      </w:r>
    </w:p>
    <w:p w:rsidR="00DC01F4" w:rsidRDefault="00031A01" w:rsidP="00705BE5">
      <w:pPr>
        <w:numPr>
          <w:ilvl w:val="1"/>
          <w:numId w:val="5"/>
        </w:numPr>
        <w:spacing w:after="120"/>
        <w:jc w:val="both"/>
        <w:rPr>
          <w:rFonts w:asciiTheme="minorHAnsi" w:hAnsiTheme="minorHAnsi"/>
          <w:bCs/>
          <w:lang w:val="en-GB"/>
        </w:rPr>
      </w:pPr>
      <w:r w:rsidRPr="00B602B0">
        <w:rPr>
          <w:rFonts w:asciiTheme="minorHAnsi" w:hAnsiTheme="minorHAnsi"/>
          <w:bCs/>
          <w:lang w:val="en-GB"/>
        </w:rPr>
        <w:t xml:space="preserve">The PBAC noted the advice from the </w:t>
      </w:r>
      <w:r w:rsidR="00465426" w:rsidRPr="00B602B0">
        <w:rPr>
          <w:rFonts w:asciiTheme="minorHAnsi" w:hAnsiTheme="minorHAnsi"/>
          <w:bCs/>
          <w:lang w:val="en-GB"/>
        </w:rPr>
        <w:t>CMO</w:t>
      </w:r>
      <w:r w:rsidRPr="00B602B0">
        <w:rPr>
          <w:rFonts w:asciiTheme="minorHAnsi" w:hAnsiTheme="minorHAnsi"/>
          <w:bCs/>
          <w:lang w:val="en-GB"/>
        </w:rPr>
        <w:t xml:space="preserve"> that the </w:t>
      </w:r>
      <w:r w:rsidR="00B602B0">
        <w:rPr>
          <w:rFonts w:asciiTheme="minorHAnsi" w:hAnsiTheme="minorHAnsi"/>
          <w:bCs/>
          <w:lang w:val="en-GB"/>
        </w:rPr>
        <w:t xml:space="preserve">age </w:t>
      </w:r>
      <w:r w:rsidR="00B602B0" w:rsidRPr="00B602B0">
        <w:rPr>
          <w:rFonts w:asciiTheme="minorHAnsi" w:hAnsiTheme="minorHAnsi"/>
          <w:bCs/>
          <w:lang w:val="en-GB"/>
        </w:rPr>
        <w:t>gap in</w:t>
      </w:r>
      <w:r w:rsidRPr="00B602B0">
        <w:rPr>
          <w:rFonts w:asciiTheme="minorHAnsi" w:hAnsiTheme="minorHAnsi"/>
          <w:bCs/>
          <w:lang w:val="en-GB"/>
        </w:rPr>
        <w:t xml:space="preserve"> eligibility</w:t>
      </w:r>
      <w:r w:rsidR="004D721F" w:rsidRPr="00B602B0">
        <w:rPr>
          <w:rFonts w:asciiTheme="minorHAnsi" w:hAnsiTheme="minorHAnsi"/>
          <w:bCs/>
          <w:lang w:val="en-GB"/>
        </w:rPr>
        <w:t xml:space="preserve"> for</w:t>
      </w:r>
      <w:r w:rsidR="00D43200" w:rsidRPr="00B602B0">
        <w:rPr>
          <w:rFonts w:asciiTheme="minorHAnsi" w:hAnsiTheme="minorHAnsi"/>
          <w:bCs/>
          <w:lang w:val="en-GB"/>
        </w:rPr>
        <w:t xml:space="preserve"> Indigenous people</w:t>
      </w:r>
      <w:r w:rsidRPr="00B602B0">
        <w:rPr>
          <w:rFonts w:asciiTheme="minorHAnsi" w:hAnsiTheme="minorHAnsi"/>
          <w:bCs/>
          <w:lang w:val="en-GB"/>
        </w:rPr>
        <w:t xml:space="preserve"> is </w:t>
      </w:r>
      <w:r w:rsidR="00B602B0">
        <w:rPr>
          <w:rFonts w:asciiTheme="minorHAnsi" w:hAnsiTheme="minorHAnsi"/>
          <w:bCs/>
          <w:lang w:val="en-GB"/>
        </w:rPr>
        <w:t xml:space="preserve">an implementation challenge </w:t>
      </w:r>
      <w:r w:rsidRPr="00B602B0">
        <w:rPr>
          <w:rFonts w:asciiTheme="minorHAnsi" w:hAnsiTheme="minorHAnsi"/>
          <w:bCs/>
          <w:lang w:val="en-GB"/>
        </w:rPr>
        <w:t>and may be discouraging current uptake.</w:t>
      </w:r>
      <w:r w:rsidR="00B602B0">
        <w:rPr>
          <w:rFonts w:asciiTheme="minorHAnsi" w:hAnsiTheme="minorHAnsi"/>
          <w:bCs/>
          <w:lang w:val="en-GB"/>
        </w:rPr>
        <w:t xml:space="preserve"> In this regard, t</w:t>
      </w:r>
      <w:r w:rsidRPr="00B602B0">
        <w:rPr>
          <w:rFonts w:asciiTheme="minorHAnsi" w:hAnsiTheme="minorHAnsi"/>
          <w:bCs/>
          <w:lang w:val="en-GB"/>
        </w:rPr>
        <w:t>he</w:t>
      </w:r>
      <w:r>
        <w:rPr>
          <w:rFonts w:asciiTheme="minorHAnsi" w:hAnsiTheme="minorHAnsi"/>
          <w:bCs/>
          <w:lang w:val="en-GB"/>
        </w:rPr>
        <w:t xml:space="preserve"> PBAC noted that uptake of influenza vaccine in </w:t>
      </w:r>
      <w:r w:rsidR="00D43200">
        <w:rPr>
          <w:rFonts w:asciiTheme="minorHAnsi" w:hAnsiTheme="minorHAnsi"/>
          <w:bCs/>
          <w:lang w:val="en-GB"/>
        </w:rPr>
        <w:t xml:space="preserve">Indigenous </w:t>
      </w:r>
      <w:r w:rsidR="00DC01F4">
        <w:rPr>
          <w:rFonts w:asciiTheme="minorHAnsi" w:hAnsiTheme="minorHAnsi"/>
          <w:bCs/>
          <w:lang w:val="en-GB"/>
        </w:rPr>
        <w:t xml:space="preserve">children </w:t>
      </w:r>
      <w:r w:rsidR="00DC01F4">
        <w:rPr>
          <w:rFonts w:asciiTheme="minorHAnsi" w:eastAsiaTheme="minorHAnsi" w:hAnsiTheme="minorHAnsi" w:cstheme="minorBidi"/>
          <w:szCs w:val="22"/>
        </w:rPr>
        <w:t>aged 6 </w:t>
      </w:r>
      <w:r w:rsidR="00DC01F4" w:rsidRPr="00F426CA">
        <w:rPr>
          <w:rFonts w:asciiTheme="minorHAnsi" w:eastAsiaTheme="minorHAnsi" w:hAnsiTheme="minorHAnsi" w:cstheme="minorBidi"/>
          <w:szCs w:val="22"/>
        </w:rPr>
        <w:t xml:space="preserve">months to </w:t>
      </w:r>
      <w:r w:rsidR="00B602B0">
        <w:rPr>
          <w:rFonts w:asciiTheme="minorHAnsi" w:eastAsiaTheme="minorHAnsi" w:hAnsiTheme="minorHAnsi" w:cstheme="minorBidi"/>
          <w:szCs w:val="22"/>
        </w:rPr>
        <w:t>&lt;</w:t>
      </w:r>
      <w:r w:rsidR="00DC01F4" w:rsidRPr="00F426CA">
        <w:rPr>
          <w:rFonts w:asciiTheme="minorHAnsi" w:eastAsiaTheme="minorHAnsi" w:hAnsiTheme="minorHAnsi" w:cstheme="minorBidi"/>
          <w:szCs w:val="22"/>
        </w:rPr>
        <w:t>5 years</w:t>
      </w:r>
      <w:r w:rsidR="00B602B0">
        <w:rPr>
          <w:rFonts w:asciiTheme="minorHAnsi" w:hAnsiTheme="minorHAnsi"/>
          <w:bCs/>
          <w:lang w:val="en-GB"/>
        </w:rPr>
        <w:t xml:space="preserve"> was only </w:t>
      </w:r>
      <w:r w:rsidR="004D721F">
        <w:rPr>
          <w:rFonts w:asciiTheme="minorHAnsi" w:hAnsiTheme="minorHAnsi"/>
          <w:bCs/>
          <w:lang w:val="en-GB"/>
        </w:rPr>
        <w:t>11</w:t>
      </w:r>
      <w:r>
        <w:rPr>
          <w:rFonts w:asciiTheme="minorHAnsi" w:hAnsiTheme="minorHAnsi"/>
          <w:bCs/>
          <w:lang w:val="en-GB"/>
        </w:rPr>
        <w:t>.6%</w:t>
      </w:r>
      <w:r w:rsidR="004D721F">
        <w:rPr>
          <w:rFonts w:asciiTheme="minorHAnsi" w:hAnsiTheme="minorHAnsi"/>
          <w:bCs/>
          <w:lang w:val="en-GB"/>
        </w:rPr>
        <w:t xml:space="preserve"> </w:t>
      </w:r>
      <w:r w:rsidR="004D721F" w:rsidRPr="00F426CA">
        <w:rPr>
          <w:rFonts w:asciiTheme="minorHAnsi" w:eastAsiaTheme="minorHAnsi" w:hAnsiTheme="minorHAnsi" w:cstheme="minorBidi"/>
          <w:szCs w:val="22"/>
        </w:rPr>
        <w:t>in 2016</w:t>
      </w:r>
      <w:r w:rsidR="004D721F">
        <w:rPr>
          <w:rFonts w:asciiTheme="minorHAnsi" w:eastAsiaTheme="minorHAnsi" w:hAnsiTheme="minorHAnsi" w:cstheme="minorBidi"/>
          <w:szCs w:val="22"/>
        </w:rPr>
        <w:t>.</w:t>
      </w:r>
      <w:r w:rsidR="004D721F" w:rsidRPr="00F426CA">
        <w:rPr>
          <w:rFonts w:asciiTheme="minorHAnsi" w:eastAsiaTheme="minorHAnsi" w:hAnsiTheme="minorHAnsi" w:cstheme="minorBidi"/>
          <w:szCs w:val="22"/>
        </w:rPr>
        <w:t xml:space="preserve"> </w:t>
      </w:r>
      <w:r>
        <w:rPr>
          <w:rFonts w:asciiTheme="minorHAnsi" w:hAnsiTheme="minorHAnsi"/>
          <w:bCs/>
          <w:lang w:val="en-GB"/>
        </w:rPr>
        <w:t xml:space="preserve">The PBAC </w:t>
      </w:r>
      <w:r w:rsidR="005F367A">
        <w:rPr>
          <w:rFonts w:asciiTheme="minorHAnsi" w:hAnsiTheme="minorHAnsi"/>
          <w:bCs/>
          <w:lang w:val="en-GB"/>
        </w:rPr>
        <w:t>anticipated</w:t>
      </w:r>
      <w:r w:rsidR="004D721F">
        <w:rPr>
          <w:rFonts w:asciiTheme="minorHAnsi" w:hAnsiTheme="minorHAnsi"/>
          <w:bCs/>
          <w:lang w:val="en-GB"/>
        </w:rPr>
        <w:t xml:space="preserve"> </w:t>
      </w:r>
      <w:r>
        <w:rPr>
          <w:rFonts w:asciiTheme="minorHAnsi" w:hAnsiTheme="minorHAnsi"/>
          <w:bCs/>
          <w:lang w:val="en-GB"/>
        </w:rPr>
        <w:t xml:space="preserve">that </w:t>
      </w:r>
      <w:r w:rsidR="00DC01F4">
        <w:rPr>
          <w:rFonts w:asciiTheme="minorHAnsi" w:hAnsiTheme="minorHAnsi"/>
          <w:bCs/>
          <w:lang w:val="en-GB"/>
        </w:rPr>
        <w:t xml:space="preserve">expanding eligibility for influenza vaccination to all Indigenous people aged 6 months and older would facilitate delivery of the vaccine </w:t>
      </w:r>
      <w:r w:rsidR="00B602B0">
        <w:rPr>
          <w:rFonts w:asciiTheme="minorHAnsi" w:hAnsiTheme="minorHAnsi"/>
          <w:bCs/>
          <w:lang w:val="en-GB"/>
        </w:rPr>
        <w:t xml:space="preserve">to Indigenous people </w:t>
      </w:r>
      <w:r w:rsidR="00DC01F4">
        <w:rPr>
          <w:rFonts w:asciiTheme="minorHAnsi" w:hAnsiTheme="minorHAnsi"/>
          <w:bCs/>
          <w:lang w:val="en-GB"/>
        </w:rPr>
        <w:t>and reduce potential</w:t>
      </w:r>
      <w:r w:rsidR="00B602B0">
        <w:rPr>
          <w:rFonts w:asciiTheme="minorHAnsi" w:hAnsiTheme="minorHAnsi"/>
          <w:bCs/>
          <w:lang w:val="en-GB"/>
        </w:rPr>
        <w:t xml:space="preserve"> barriers to poor vaccine uptake across all age groups</w:t>
      </w:r>
      <w:r w:rsidR="00DC01F4">
        <w:rPr>
          <w:rFonts w:asciiTheme="minorHAnsi" w:hAnsiTheme="minorHAnsi"/>
          <w:bCs/>
          <w:lang w:val="en-GB"/>
        </w:rPr>
        <w:t xml:space="preserve">. </w:t>
      </w:r>
    </w:p>
    <w:p w:rsidR="00D73119" w:rsidRPr="00016DF7" w:rsidRDefault="00D73119" w:rsidP="00705BE5">
      <w:pPr>
        <w:numPr>
          <w:ilvl w:val="1"/>
          <w:numId w:val="5"/>
        </w:numPr>
        <w:spacing w:after="120"/>
        <w:jc w:val="both"/>
        <w:rPr>
          <w:rFonts w:asciiTheme="minorHAnsi" w:hAnsiTheme="minorHAnsi"/>
          <w:bCs/>
          <w:lang w:val="en-GB"/>
        </w:rPr>
      </w:pPr>
      <w:r>
        <w:rPr>
          <w:rFonts w:asciiTheme="minorHAnsi" w:hAnsiTheme="minorHAnsi"/>
          <w:szCs w:val="22"/>
        </w:rPr>
        <w:t xml:space="preserve">The PBAC noted </w:t>
      </w:r>
      <w:r w:rsidR="00B602B0">
        <w:rPr>
          <w:rFonts w:asciiTheme="minorHAnsi" w:hAnsiTheme="minorHAnsi"/>
          <w:szCs w:val="22"/>
        </w:rPr>
        <w:t>that providing influenza vaccination to school-aged children may result in</w:t>
      </w:r>
      <w:r w:rsidR="00D4783E">
        <w:rPr>
          <w:rFonts w:asciiTheme="minorHAnsi" w:hAnsiTheme="minorHAnsi"/>
          <w:szCs w:val="22"/>
        </w:rPr>
        <w:t xml:space="preserve"> indirect benefit</w:t>
      </w:r>
      <w:r w:rsidR="006B0894">
        <w:rPr>
          <w:rFonts w:asciiTheme="minorHAnsi" w:hAnsiTheme="minorHAnsi"/>
          <w:szCs w:val="22"/>
        </w:rPr>
        <w:t>s</w:t>
      </w:r>
      <w:r w:rsidR="00DC01F4">
        <w:rPr>
          <w:rFonts w:asciiTheme="minorHAnsi" w:hAnsiTheme="minorHAnsi"/>
          <w:szCs w:val="22"/>
        </w:rPr>
        <w:t xml:space="preserve"> </w:t>
      </w:r>
      <w:r>
        <w:rPr>
          <w:rFonts w:asciiTheme="minorHAnsi" w:hAnsiTheme="minorHAnsi"/>
          <w:szCs w:val="22"/>
        </w:rPr>
        <w:t>to non-immunised members of the community</w:t>
      </w:r>
      <w:r w:rsidR="00EF2BED">
        <w:rPr>
          <w:rFonts w:asciiTheme="minorHAnsi" w:hAnsiTheme="minorHAnsi"/>
          <w:szCs w:val="22"/>
        </w:rPr>
        <w:t>; t</w:t>
      </w:r>
      <w:r w:rsidR="006B0894">
        <w:rPr>
          <w:rFonts w:asciiTheme="minorHAnsi" w:hAnsiTheme="minorHAnsi"/>
          <w:szCs w:val="22"/>
        </w:rPr>
        <w:t xml:space="preserve">his </w:t>
      </w:r>
      <w:r w:rsidR="00DC01F4">
        <w:rPr>
          <w:rFonts w:asciiTheme="minorHAnsi" w:hAnsiTheme="minorHAnsi"/>
          <w:szCs w:val="22"/>
        </w:rPr>
        <w:t xml:space="preserve">may be particularly important in the context of households comprising multiple generations. </w:t>
      </w:r>
    </w:p>
    <w:p w:rsidR="00016DF7" w:rsidRPr="00D73119" w:rsidRDefault="00016DF7" w:rsidP="00705BE5">
      <w:pPr>
        <w:numPr>
          <w:ilvl w:val="1"/>
          <w:numId w:val="5"/>
        </w:numPr>
        <w:spacing w:after="120"/>
        <w:jc w:val="both"/>
        <w:rPr>
          <w:rFonts w:asciiTheme="minorHAnsi" w:hAnsiTheme="minorHAnsi"/>
          <w:bCs/>
          <w:lang w:val="en-GB"/>
        </w:rPr>
      </w:pPr>
      <w:r>
        <w:rPr>
          <w:rFonts w:asciiTheme="minorHAnsi" w:hAnsiTheme="minorHAnsi"/>
          <w:szCs w:val="22"/>
        </w:rPr>
        <w:t xml:space="preserve">The PBAC noted that if uptake in the additional age group is similar to the 6 months to &lt;5 years ago group, the cost to the NIP would be </w:t>
      </w:r>
      <w:r w:rsidR="00590EC3">
        <w:rPr>
          <w:rFonts w:asciiTheme="minorHAnsi" w:hAnsiTheme="minorHAnsi"/>
          <w:szCs w:val="22"/>
        </w:rPr>
        <w:t xml:space="preserve">less than </w:t>
      </w:r>
      <w:r>
        <w:rPr>
          <w:rFonts w:asciiTheme="minorHAnsi" w:hAnsiTheme="minorHAnsi"/>
          <w:szCs w:val="22"/>
        </w:rPr>
        <w:t>$</w:t>
      </w:r>
      <w:r w:rsidR="00590EC3">
        <w:rPr>
          <w:rFonts w:asciiTheme="minorHAnsi" w:hAnsiTheme="minorHAnsi"/>
          <w:szCs w:val="22"/>
        </w:rPr>
        <w:t>10 million</w:t>
      </w:r>
      <w:r>
        <w:rPr>
          <w:rFonts w:asciiTheme="minorHAnsi" w:hAnsiTheme="minorHAnsi"/>
          <w:szCs w:val="22"/>
        </w:rPr>
        <w:t xml:space="preserve"> over the first six years of listing. However, the PBAC stated that the additional cost to the NIP would hopefully be larger than this estimate if </w:t>
      </w:r>
      <w:r w:rsidR="00DF2B3E">
        <w:rPr>
          <w:rFonts w:asciiTheme="minorHAnsi" w:hAnsiTheme="minorHAnsi"/>
          <w:szCs w:val="22"/>
        </w:rPr>
        <w:t>removing the age gap</w:t>
      </w:r>
      <w:r>
        <w:rPr>
          <w:rFonts w:asciiTheme="minorHAnsi" w:hAnsiTheme="minorHAnsi"/>
          <w:szCs w:val="22"/>
        </w:rPr>
        <w:t xml:space="preserve"> results in higher uptake in the currently eligible age groups.</w:t>
      </w:r>
    </w:p>
    <w:p w:rsidR="002527BB" w:rsidRPr="00BE7456" w:rsidRDefault="002527BB" w:rsidP="00A07119">
      <w:pPr>
        <w:numPr>
          <w:ilvl w:val="1"/>
          <w:numId w:val="5"/>
        </w:numPr>
        <w:spacing w:after="120"/>
        <w:jc w:val="both"/>
        <w:rPr>
          <w:rFonts w:asciiTheme="minorHAnsi" w:hAnsiTheme="minorHAnsi"/>
          <w:bCs/>
          <w:lang w:val="en-GB"/>
        </w:rPr>
      </w:pPr>
      <w:r w:rsidRPr="00BE7456">
        <w:rPr>
          <w:rFonts w:asciiTheme="minorHAnsi" w:hAnsiTheme="minorHAnsi"/>
          <w:bCs/>
          <w:lang w:val="en-GB"/>
        </w:rPr>
        <w:t>The PBA</w:t>
      </w:r>
      <w:r w:rsidR="00BE7456" w:rsidRPr="00BE7456">
        <w:rPr>
          <w:rFonts w:asciiTheme="minorHAnsi" w:hAnsiTheme="minorHAnsi"/>
          <w:bCs/>
          <w:lang w:val="en-GB"/>
        </w:rPr>
        <w:t xml:space="preserve">C noted that this submission </w:t>
      </w:r>
      <w:r w:rsidRPr="00BE7456">
        <w:rPr>
          <w:rFonts w:asciiTheme="minorHAnsi" w:hAnsiTheme="minorHAnsi"/>
          <w:bCs/>
          <w:lang w:val="en-GB"/>
        </w:rPr>
        <w:t>is not eligible for an Independent Review</w:t>
      </w:r>
      <w:r w:rsidR="00BE7456" w:rsidRPr="00BE7456">
        <w:t xml:space="preserve"> </w:t>
      </w:r>
      <w:r w:rsidR="00BE7456" w:rsidRPr="00BE7456">
        <w:rPr>
          <w:rFonts w:asciiTheme="minorHAnsi" w:hAnsiTheme="minorHAnsi"/>
          <w:bCs/>
          <w:lang w:val="en-GB"/>
        </w:rPr>
        <w:t xml:space="preserve">because </w:t>
      </w:r>
      <w:r w:rsidR="00A07119" w:rsidRPr="00A07119">
        <w:rPr>
          <w:rFonts w:asciiTheme="minorHAnsi" w:hAnsiTheme="minorHAnsi"/>
          <w:bCs/>
          <w:lang w:val="en-GB"/>
        </w:rPr>
        <w:t>Independent Review is only relevant to submissions seeking PBS listing</w:t>
      </w:r>
      <w:r w:rsidR="00BE7456" w:rsidRPr="00BE7456">
        <w:rPr>
          <w:rFonts w:asciiTheme="minorHAnsi" w:hAnsiTheme="minorHAnsi"/>
          <w:bCs/>
          <w:lang w:val="en-GB"/>
        </w:rPr>
        <w:t>.</w:t>
      </w:r>
    </w:p>
    <w:p w:rsidR="002527BB" w:rsidRPr="00BE7456" w:rsidRDefault="002527BB" w:rsidP="00705BE5">
      <w:pPr>
        <w:spacing w:before="240"/>
        <w:rPr>
          <w:rFonts w:asciiTheme="minorHAnsi" w:hAnsiTheme="minorHAnsi"/>
          <w:b/>
          <w:bCs/>
          <w:lang w:val="en-GB"/>
        </w:rPr>
      </w:pPr>
      <w:r w:rsidRPr="00BE7456">
        <w:rPr>
          <w:rFonts w:asciiTheme="minorHAnsi" w:hAnsiTheme="minorHAnsi"/>
          <w:b/>
          <w:bCs/>
          <w:lang w:val="en-GB"/>
        </w:rPr>
        <w:t>Outcome:</w:t>
      </w:r>
    </w:p>
    <w:p w:rsidR="002527BB" w:rsidRPr="00BE7456" w:rsidRDefault="002527BB" w:rsidP="00705BE5">
      <w:pPr>
        <w:rPr>
          <w:rFonts w:asciiTheme="minorHAnsi" w:hAnsiTheme="minorHAnsi"/>
          <w:bCs/>
          <w:lang w:val="en-GB"/>
        </w:rPr>
      </w:pPr>
      <w:r w:rsidRPr="00BE7456">
        <w:rPr>
          <w:rFonts w:asciiTheme="minorHAnsi" w:hAnsiTheme="minorHAnsi"/>
          <w:bCs/>
          <w:lang w:val="en-GB"/>
        </w:rPr>
        <w:t>Recommended</w:t>
      </w:r>
    </w:p>
    <w:p w:rsidR="002527BB" w:rsidRPr="00BE7456" w:rsidRDefault="002527BB" w:rsidP="00705BE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BE7456">
        <w:rPr>
          <w:rFonts w:asciiTheme="minorHAnsi" w:hAnsiTheme="minorHAnsi"/>
          <w:sz w:val="32"/>
          <w:szCs w:val="32"/>
        </w:rPr>
        <w:lastRenderedPageBreak/>
        <w:t>Recommended listing</w:t>
      </w:r>
    </w:p>
    <w:p w:rsidR="00020356" w:rsidRPr="00020356" w:rsidRDefault="00020356" w:rsidP="00020356">
      <w:pPr>
        <w:numPr>
          <w:ilvl w:val="1"/>
          <w:numId w:val="5"/>
        </w:numPr>
        <w:spacing w:after="120"/>
        <w:jc w:val="both"/>
        <w:rPr>
          <w:rFonts w:asciiTheme="minorHAnsi" w:hAnsiTheme="minorHAnsi"/>
          <w:bCs/>
        </w:rPr>
      </w:pPr>
      <w:r w:rsidRPr="00BE7456">
        <w:rPr>
          <w:rFonts w:asciiTheme="minorHAnsi" w:hAnsiTheme="minorHAnsi"/>
          <w:bCs/>
        </w:rPr>
        <w:t xml:space="preserve">Amend </w:t>
      </w:r>
      <w:r>
        <w:rPr>
          <w:rFonts w:asciiTheme="minorHAnsi" w:hAnsiTheme="minorHAnsi"/>
          <w:bCs/>
        </w:rPr>
        <w:t xml:space="preserve">the circumstances under which </w:t>
      </w:r>
      <w:proofErr w:type="spellStart"/>
      <w:r>
        <w:rPr>
          <w:rFonts w:asciiTheme="minorHAnsi" w:hAnsiTheme="minorHAnsi"/>
          <w:bCs/>
        </w:rPr>
        <w:t>FluQuadri</w:t>
      </w:r>
      <w:proofErr w:type="spellEnd"/>
      <w:r>
        <w:rPr>
          <w:rFonts w:asciiTheme="minorHAnsi" w:hAnsiTheme="minorHAnsi"/>
          <w:bCs/>
        </w:rPr>
        <w:t xml:space="preserve"> and </w:t>
      </w:r>
      <w:proofErr w:type="spellStart"/>
      <w:r>
        <w:rPr>
          <w:rFonts w:asciiTheme="minorHAnsi" w:hAnsiTheme="minorHAnsi"/>
          <w:bCs/>
        </w:rPr>
        <w:t>Fluarix</w:t>
      </w:r>
      <w:proofErr w:type="spellEnd"/>
      <w:r>
        <w:rPr>
          <w:rFonts w:asciiTheme="minorHAnsi" w:hAnsiTheme="minorHAnsi"/>
          <w:bCs/>
        </w:rPr>
        <w:t xml:space="preserve"> Tetra are available as designated vaccines such that they may be provided to </w:t>
      </w:r>
      <w:r w:rsidRPr="00020356">
        <w:rPr>
          <w:rFonts w:asciiTheme="minorHAnsi" w:hAnsiTheme="minorHAnsi"/>
          <w:bCs/>
        </w:rPr>
        <w:t>an Aboriginal or Torres Strait Islander person who is aged at least 3 years</w:t>
      </w:r>
      <w:r>
        <w:rPr>
          <w:rFonts w:asciiTheme="minorHAnsi" w:hAnsiTheme="minorHAnsi"/>
          <w:bCs/>
        </w:rPr>
        <w:t xml:space="preserve">. </w:t>
      </w:r>
    </w:p>
    <w:p w:rsidR="00020356" w:rsidRPr="00D01FCE" w:rsidRDefault="00020356" w:rsidP="00020356">
      <w:pPr>
        <w:numPr>
          <w:ilvl w:val="1"/>
          <w:numId w:val="5"/>
        </w:numPr>
        <w:spacing w:after="120"/>
        <w:jc w:val="both"/>
        <w:rPr>
          <w:rFonts w:asciiTheme="minorHAnsi" w:hAnsiTheme="minorHAnsi"/>
          <w:bCs/>
        </w:rPr>
      </w:pPr>
      <w:r w:rsidRPr="00BE7456">
        <w:rPr>
          <w:rFonts w:asciiTheme="minorHAnsi" w:hAnsiTheme="minorHAnsi"/>
          <w:bCs/>
        </w:rPr>
        <w:t xml:space="preserve">Amend </w:t>
      </w:r>
      <w:r>
        <w:rPr>
          <w:rFonts w:asciiTheme="minorHAnsi" w:hAnsiTheme="minorHAnsi"/>
          <w:bCs/>
        </w:rPr>
        <w:t>the circumstances under which Afluria Quad is available as a designated vaccine as specified for agenda item 6.04, Afluria Quad</w:t>
      </w:r>
      <w:r w:rsidRPr="00BE7456">
        <w:rPr>
          <w:rFonts w:asciiTheme="minorHAnsi" w:hAnsiTheme="minorHAnsi"/>
          <w:bCs/>
        </w:rPr>
        <w:t xml:space="preserve">. </w:t>
      </w:r>
    </w:p>
    <w:p w:rsidR="00FD04AB" w:rsidRPr="00FD04AB" w:rsidRDefault="00224FBF" w:rsidP="00224FB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D04AB">
        <w:rPr>
          <w:rFonts w:asciiTheme="minorHAnsi" w:hAnsiTheme="minorHAnsi"/>
          <w:sz w:val="32"/>
          <w:szCs w:val="32"/>
        </w:rPr>
        <w:t>Context for Decision</w:t>
      </w:r>
    </w:p>
    <w:p w:rsidR="00224FBF" w:rsidRPr="00FD04AB" w:rsidRDefault="00224FBF" w:rsidP="00224FBF">
      <w:pPr>
        <w:spacing w:after="120"/>
        <w:ind w:left="720"/>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24FBF" w:rsidRPr="00FD04AB" w:rsidRDefault="00224FBF" w:rsidP="00224FB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D04AB">
        <w:rPr>
          <w:rFonts w:asciiTheme="minorHAnsi" w:hAnsiTheme="minorHAnsi"/>
          <w:sz w:val="32"/>
          <w:szCs w:val="32"/>
        </w:rPr>
        <w:t>Sponsor’s Comment</w:t>
      </w:r>
    </w:p>
    <w:p w:rsidR="00224FBF" w:rsidRPr="00FD04AB" w:rsidRDefault="00224FBF" w:rsidP="00224FBF">
      <w:pPr>
        <w:spacing w:after="120" w:line="276" w:lineRule="auto"/>
        <w:ind w:left="720"/>
        <w:rPr>
          <w:rFonts w:asciiTheme="minorHAnsi" w:eastAsiaTheme="minorHAnsi" w:hAnsiTheme="minorHAnsi"/>
          <w:bCs/>
        </w:rPr>
      </w:pPr>
      <w:r w:rsidRPr="00FD04AB">
        <w:rPr>
          <w:rFonts w:asciiTheme="minorHAnsi" w:eastAsiaTheme="minorHAnsi" w:hAnsiTheme="minorHAnsi"/>
          <w:bCs/>
        </w:rPr>
        <w:t>The sponsor had no comment.</w:t>
      </w:r>
    </w:p>
    <w:p w:rsidR="008472B5" w:rsidRPr="003C5ED5" w:rsidRDefault="008472B5" w:rsidP="003C5ED5">
      <w:pPr>
        <w:rPr>
          <w:rFonts w:asciiTheme="minorHAnsi" w:hAnsiTheme="minorHAnsi"/>
          <w:szCs w:val="22"/>
        </w:rPr>
      </w:pPr>
    </w:p>
    <w:sectPr w:rsidR="008472B5" w:rsidRPr="003C5ED5"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19" w:rsidRDefault="00064619">
      <w:r>
        <w:separator/>
      </w:r>
    </w:p>
    <w:p w:rsidR="00064619" w:rsidRDefault="00064619"/>
  </w:endnote>
  <w:endnote w:type="continuationSeparator" w:id="0">
    <w:p w:rsidR="00064619" w:rsidRDefault="00064619">
      <w:r>
        <w:continuationSeparator/>
      </w:r>
    </w:p>
    <w:p w:rsidR="00064619" w:rsidRDefault="00064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3979875"/>
      <w:docPartObj>
        <w:docPartGallery w:val="Page Numbers (Bottom of Page)"/>
        <w:docPartUnique/>
      </w:docPartObj>
    </w:sdtPr>
    <w:sdtEndPr>
      <w:rPr>
        <w:noProof/>
      </w:rPr>
    </w:sdtEndPr>
    <w:sdtContent>
      <w:p w:rsidR="00F80475" w:rsidRPr="002527BB" w:rsidRDefault="002527BB" w:rsidP="002527BB">
        <w:pPr>
          <w:pStyle w:val="Footer"/>
          <w:jc w:val="center"/>
          <w:rPr>
            <w:rFonts w:asciiTheme="minorHAnsi" w:hAnsiTheme="minorHAnsi"/>
          </w:rPr>
        </w:pPr>
        <w:r w:rsidRPr="002527BB">
          <w:rPr>
            <w:rFonts w:asciiTheme="minorHAnsi" w:hAnsiTheme="minorHAnsi"/>
          </w:rPr>
          <w:fldChar w:fldCharType="begin"/>
        </w:r>
        <w:r w:rsidRPr="002527BB">
          <w:rPr>
            <w:rFonts w:asciiTheme="minorHAnsi" w:hAnsiTheme="minorHAnsi"/>
          </w:rPr>
          <w:instrText xml:space="preserve"> PAGE   \* MERGEFORMAT </w:instrText>
        </w:r>
        <w:r w:rsidRPr="002527BB">
          <w:rPr>
            <w:rFonts w:asciiTheme="minorHAnsi" w:hAnsiTheme="minorHAnsi"/>
          </w:rPr>
          <w:fldChar w:fldCharType="separate"/>
        </w:r>
        <w:r w:rsidR="00E16ED5">
          <w:rPr>
            <w:rFonts w:asciiTheme="minorHAnsi" w:hAnsiTheme="minorHAnsi"/>
            <w:noProof/>
          </w:rPr>
          <w:t>5</w:t>
        </w:r>
        <w:r w:rsidRPr="002527BB">
          <w:rPr>
            <w:rFonts w:asciiTheme="minorHAnsi" w:hAnsi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19" w:rsidRDefault="00064619">
      <w:r>
        <w:separator/>
      </w:r>
    </w:p>
    <w:p w:rsidR="00064619" w:rsidRDefault="00064619"/>
  </w:footnote>
  <w:footnote w:type="continuationSeparator" w:id="0">
    <w:p w:rsidR="00064619" w:rsidRDefault="00064619">
      <w:r>
        <w:continuationSeparator/>
      </w:r>
    </w:p>
    <w:p w:rsidR="00064619" w:rsidRDefault="000646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BF" w:rsidRPr="00224FBF" w:rsidRDefault="00224FBF" w:rsidP="00224FBF">
    <w:pPr>
      <w:widowControl w:val="0"/>
      <w:jc w:val="center"/>
      <w:rPr>
        <w:rFonts w:ascii="Calibri" w:hAnsi="Calibri" w:cs="Arial"/>
        <w:i/>
        <w:snapToGrid w:val="0"/>
        <w:lang w:eastAsia="en-US"/>
      </w:rPr>
    </w:pPr>
    <w:r w:rsidRPr="00224FBF">
      <w:rPr>
        <w:rFonts w:ascii="Calibri" w:hAnsi="Calibri" w:cs="Arial"/>
        <w:i/>
        <w:snapToGrid w:val="0"/>
        <w:lang w:eastAsia="en-US"/>
      </w:rPr>
      <w:t>Public Summary Document – November 2018 PBAC Meeting</w:t>
    </w:r>
  </w:p>
  <w:p w:rsidR="00F80475" w:rsidRDefault="00F8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D8" w:rsidRDefault="00DD1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31CBC"/>
    <w:multiLevelType w:val="hybridMultilevel"/>
    <w:tmpl w:val="398E5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1748808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color w:val="auto"/>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5"/>
  </w:num>
  <w:num w:numId="5">
    <w:abstractNumId w:val="18"/>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8"/>
  </w:num>
  <w:num w:numId="15">
    <w:abstractNumId w:val="16"/>
  </w:num>
  <w:num w:numId="16">
    <w:abstractNumId w:val="17"/>
  </w:num>
  <w:num w:numId="17">
    <w:abstractNumId w:val="5"/>
  </w:num>
  <w:num w:numId="18">
    <w:abstractNumId w:val="2"/>
  </w:num>
  <w:num w:numId="19">
    <w:abstractNumId w:val="9"/>
  </w:num>
  <w:num w:numId="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3978"/>
    <w:rsid w:val="00016DF7"/>
    <w:rsid w:val="00020356"/>
    <w:rsid w:val="0002464A"/>
    <w:rsid w:val="0003106B"/>
    <w:rsid w:val="00031A01"/>
    <w:rsid w:val="000421A1"/>
    <w:rsid w:val="0004240E"/>
    <w:rsid w:val="00042F21"/>
    <w:rsid w:val="00045E26"/>
    <w:rsid w:val="00047D96"/>
    <w:rsid w:val="000514B5"/>
    <w:rsid w:val="00051785"/>
    <w:rsid w:val="00060E64"/>
    <w:rsid w:val="0006174D"/>
    <w:rsid w:val="00064619"/>
    <w:rsid w:val="00066755"/>
    <w:rsid w:val="00077143"/>
    <w:rsid w:val="00082169"/>
    <w:rsid w:val="0008656C"/>
    <w:rsid w:val="00087D54"/>
    <w:rsid w:val="00095277"/>
    <w:rsid w:val="000969AD"/>
    <w:rsid w:val="000A21B7"/>
    <w:rsid w:val="000B558D"/>
    <w:rsid w:val="000C545F"/>
    <w:rsid w:val="000C6996"/>
    <w:rsid w:val="000D23BA"/>
    <w:rsid w:val="000E681E"/>
    <w:rsid w:val="000F0003"/>
    <w:rsid w:val="000F4E6A"/>
    <w:rsid w:val="00104227"/>
    <w:rsid w:val="001107BF"/>
    <w:rsid w:val="00111D46"/>
    <w:rsid w:val="00121926"/>
    <w:rsid w:val="0012417C"/>
    <w:rsid w:val="00132EF3"/>
    <w:rsid w:val="00142395"/>
    <w:rsid w:val="00142714"/>
    <w:rsid w:val="001452ED"/>
    <w:rsid w:val="00154F2F"/>
    <w:rsid w:val="0016030E"/>
    <w:rsid w:val="00163329"/>
    <w:rsid w:val="00164623"/>
    <w:rsid w:val="00165B64"/>
    <w:rsid w:val="00180713"/>
    <w:rsid w:val="00180F4E"/>
    <w:rsid w:val="001830CE"/>
    <w:rsid w:val="0018643B"/>
    <w:rsid w:val="00196307"/>
    <w:rsid w:val="001A0A0C"/>
    <w:rsid w:val="001A33EA"/>
    <w:rsid w:val="001A6F30"/>
    <w:rsid w:val="001B017F"/>
    <w:rsid w:val="001B2BBC"/>
    <w:rsid w:val="001B3745"/>
    <w:rsid w:val="001B5129"/>
    <w:rsid w:val="001C1195"/>
    <w:rsid w:val="001C6913"/>
    <w:rsid w:val="001D73F0"/>
    <w:rsid w:val="001E4155"/>
    <w:rsid w:val="001E4FBD"/>
    <w:rsid w:val="001F1850"/>
    <w:rsid w:val="001F2070"/>
    <w:rsid w:val="00203FAC"/>
    <w:rsid w:val="00212F12"/>
    <w:rsid w:val="00213AB3"/>
    <w:rsid w:val="00213CFB"/>
    <w:rsid w:val="00217BE1"/>
    <w:rsid w:val="0022153F"/>
    <w:rsid w:val="00224FBF"/>
    <w:rsid w:val="002254E2"/>
    <w:rsid w:val="002527BB"/>
    <w:rsid w:val="00254580"/>
    <w:rsid w:val="00255673"/>
    <w:rsid w:val="00264ED3"/>
    <w:rsid w:val="0027109D"/>
    <w:rsid w:val="00271BA1"/>
    <w:rsid w:val="002762FA"/>
    <w:rsid w:val="00277505"/>
    <w:rsid w:val="00277741"/>
    <w:rsid w:val="00281EAC"/>
    <w:rsid w:val="0029458F"/>
    <w:rsid w:val="002A104C"/>
    <w:rsid w:val="002A4960"/>
    <w:rsid w:val="002A5E6C"/>
    <w:rsid w:val="002B1AE6"/>
    <w:rsid w:val="002B2DE8"/>
    <w:rsid w:val="002B30F8"/>
    <w:rsid w:val="002B3F3D"/>
    <w:rsid w:val="002B5596"/>
    <w:rsid w:val="002C0453"/>
    <w:rsid w:val="002C212F"/>
    <w:rsid w:val="002C7207"/>
    <w:rsid w:val="002D4543"/>
    <w:rsid w:val="002E1262"/>
    <w:rsid w:val="002E3153"/>
    <w:rsid w:val="002E72CA"/>
    <w:rsid w:val="002E7C63"/>
    <w:rsid w:val="002F600D"/>
    <w:rsid w:val="00300AD6"/>
    <w:rsid w:val="003036DC"/>
    <w:rsid w:val="00305667"/>
    <w:rsid w:val="00317C6C"/>
    <w:rsid w:val="00326E79"/>
    <w:rsid w:val="0033518A"/>
    <w:rsid w:val="003367EF"/>
    <w:rsid w:val="00341AE4"/>
    <w:rsid w:val="00371EC5"/>
    <w:rsid w:val="003863FC"/>
    <w:rsid w:val="003872CF"/>
    <w:rsid w:val="0039782C"/>
    <w:rsid w:val="00397BE1"/>
    <w:rsid w:val="003A5B4A"/>
    <w:rsid w:val="003A7A13"/>
    <w:rsid w:val="003B23C5"/>
    <w:rsid w:val="003B2A75"/>
    <w:rsid w:val="003B6124"/>
    <w:rsid w:val="003C2A33"/>
    <w:rsid w:val="003C2FB5"/>
    <w:rsid w:val="003C5ED5"/>
    <w:rsid w:val="003D1902"/>
    <w:rsid w:val="003D4AC4"/>
    <w:rsid w:val="003D63B7"/>
    <w:rsid w:val="003E468B"/>
    <w:rsid w:val="003F3228"/>
    <w:rsid w:val="003F5C8C"/>
    <w:rsid w:val="0042037F"/>
    <w:rsid w:val="004252EC"/>
    <w:rsid w:val="00431D6C"/>
    <w:rsid w:val="0043430B"/>
    <w:rsid w:val="004352F9"/>
    <w:rsid w:val="004465BD"/>
    <w:rsid w:val="0046007A"/>
    <w:rsid w:val="00465426"/>
    <w:rsid w:val="00466ADA"/>
    <w:rsid w:val="00476245"/>
    <w:rsid w:val="00483035"/>
    <w:rsid w:val="00485940"/>
    <w:rsid w:val="00497C6D"/>
    <w:rsid w:val="004A12BA"/>
    <w:rsid w:val="004A2484"/>
    <w:rsid w:val="004A5A85"/>
    <w:rsid w:val="004A71D1"/>
    <w:rsid w:val="004B5640"/>
    <w:rsid w:val="004C1BD7"/>
    <w:rsid w:val="004C31FE"/>
    <w:rsid w:val="004C691D"/>
    <w:rsid w:val="004C6C07"/>
    <w:rsid w:val="004D721F"/>
    <w:rsid w:val="004D7532"/>
    <w:rsid w:val="004E2D28"/>
    <w:rsid w:val="004E692D"/>
    <w:rsid w:val="004E7BD7"/>
    <w:rsid w:val="00501554"/>
    <w:rsid w:val="00503581"/>
    <w:rsid w:val="00504B18"/>
    <w:rsid w:val="00511184"/>
    <w:rsid w:val="0051473A"/>
    <w:rsid w:val="00514CD7"/>
    <w:rsid w:val="005319B2"/>
    <w:rsid w:val="00532402"/>
    <w:rsid w:val="00532C74"/>
    <w:rsid w:val="00533156"/>
    <w:rsid w:val="00534E2E"/>
    <w:rsid w:val="0053609D"/>
    <w:rsid w:val="00536208"/>
    <w:rsid w:val="00544552"/>
    <w:rsid w:val="005514F8"/>
    <w:rsid w:val="00551BA5"/>
    <w:rsid w:val="0055433C"/>
    <w:rsid w:val="005574C9"/>
    <w:rsid w:val="00576807"/>
    <w:rsid w:val="00577C4D"/>
    <w:rsid w:val="00581932"/>
    <w:rsid w:val="00582D85"/>
    <w:rsid w:val="00590EC3"/>
    <w:rsid w:val="00591675"/>
    <w:rsid w:val="005963BB"/>
    <w:rsid w:val="005A3173"/>
    <w:rsid w:val="005A3223"/>
    <w:rsid w:val="005A3DA3"/>
    <w:rsid w:val="005A52C4"/>
    <w:rsid w:val="005B3504"/>
    <w:rsid w:val="005B7816"/>
    <w:rsid w:val="005D03AB"/>
    <w:rsid w:val="005D5017"/>
    <w:rsid w:val="005E1333"/>
    <w:rsid w:val="005E2355"/>
    <w:rsid w:val="005F367A"/>
    <w:rsid w:val="00601A91"/>
    <w:rsid w:val="00602BA3"/>
    <w:rsid w:val="006066F0"/>
    <w:rsid w:val="006073BB"/>
    <w:rsid w:val="00612E34"/>
    <w:rsid w:val="006133AF"/>
    <w:rsid w:val="00614159"/>
    <w:rsid w:val="00617C00"/>
    <w:rsid w:val="006263BF"/>
    <w:rsid w:val="0062748A"/>
    <w:rsid w:val="006279C9"/>
    <w:rsid w:val="00630A2C"/>
    <w:rsid w:val="0063682E"/>
    <w:rsid w:val="00641E3D"/>
    <w:rsid w:val="006436CD"/>
    <w:rsid w:val="00646222"/>
    <w:rsid w:val="00651169"/>
    <w:rsid w:val="00653D69"/>
    <w:rsid w:val="00657375"/>
    <w:rsid w:val="006670BE"/>
    <w:rsid w:val="00670A76"/>
    <w:rsid w:val="006711AA"/>
    <w:rsid w:val="00672B57"/>
    <w:rsid w:val="00675622"/>
    <w:rsid w:val="0067747D"/>
    <w:rsid w:val="006853A6"/>
    <w:rsid w:val="006906DB"/>
    <w:rsid w:val="006906DC"/>
    <w:rsid w:val="00691E6C"/>
    <w:rsid w:val="00694625"/>
    <w:rsid w:val="00696129"/>
    <w:rsid w:val="00697CF2"/>
    <w:rsid w:val="006A12A5"/>
    <w:rsid w:val="006A2189"/>
    <w:rsid w:val="006A75ED"/>
    <w:rsid w:val="006B0894"/>
    <w:rsid w:val="006B0D94"/>
    <w:rsid w:val="006B39AD"/>
    <w:rsid w:val="006B485D"/>
    <w:rsid w:val="006C708E"/>
    <w:rsid w:val="006D14E7"/>
    <w:rsid w:val="006D33FB"/>
    <w:rsid w:val="006D6493"/>
    <w:rsid w:val="006D6EC7"/>
    <w:rsid w:val="006E776A"/>
    <w:rsid w:val="006E7985"/>
    <w:rsid w:val="006F4576"/>
    <w:rsid w:val="006F5125"/>
    <w:rsid w:val="00702757"/>
    <w:rsid w:val="00702B6F"/>
    <w:rsid w:val="00705BE5"/>
    <w:rsid w:val="0071340B"/>
    <w:rsid w:val="007174BB"/>
    <w:rsid w:val="0072025D"/>
    <w:rsid w:val="00732313"/>
    <w:rsid w:val="007353D3"/>
    <w:rsid w:val="00736F5E"/>
    <w:rsid w:val="007444BC"/>
    <w:rsid w:val="007456A9"/>
    <w:rsid w:val="0076261F"/>
    <w:rsid w:val="0076420C"/>
    <w:rsid w:val="00770607"/>
    <w:rsid w:val="007753C2"/>
    <w:rsid w:val="007838B8"/>
    <w:rsid w:val="007B3DAF"/>
    <w:rsid w:val="007C0F57"/>
    <w:rsid w:val="007C40B6"/>
    <w:rsid w:val="007C729F"/>
    <w:rsid w:val="007E1D28"/>
    <w:rsid w:val="007E2350"/>
    <w:rsid w:val="007F2641"/>
    <w:rsid w:val="007F7C36"/>
    <w:rsid w:val="00806796"/>
    <w:rsid w:val="008151D6"/>
    <w:rsid w:val="00817E38"/>
    <w:rsid w:val="00826F6D"/>
    <w:rsid w:val="008306F3"/>
    <w:rsid w:val="008472B5"/>
    <w:rsid w:val="0085150F"/>
    <w:rsid w:val="00856DDD"/>
    <w:rsid w:val="00863E68"/>
    <w:rsid w:val="00882085"/>
    <w:rsid w:val="0088234B"/>
    <w:rsid w:val="00883188"/>
    <w:rsid w:val="0089330F"/>
    <w:rsid w:val="00896C2A"/>
    <w:rsid w:val="00897D58"/>
    <w:rsid w:val="00897F22"/>
    <w:rsid w:val="008A1956"/>
    <w:rsid w:val="008A4937"/>
    <w:rsid w:val="008A50F1"/>
    <w:rsid w:val="008B22A1"/>
    <w:rsid w:val="008B3FBD"/>
    <w:rsid w:val="008C6E53"/>
    <w:rsid w:val="008D1B5C"/>
    <w:rsid w:val="008D3C82"/>
    <w:rsid w:val="008D447E"/>
    <w:rsid w:val="008D60BC"/>
    <w:rsid w:val="008D7A41"/>
    <w:rsid w:val="008E3680"/>
    <w:rsid w:val="008E4711"/>
    <w:rsid w:val="008E5870"/>
    <w:rsid w:val="008E6858"/>
    <w:rsid w:val="008F1434"/>
    <w:rsid w:val="008F7355"/>
    <w:rsid w:val="00902A53"/>
    <w:rsid w:val="009067B7"/>
    <w:rsid w:val="00915789"/>
    <w:rsid w:val="0092629B"/>
    <w:rsid w:val="00930937"/>
    <w:rsid w:val="009327A9"/>
    <w:rsid w:val="00933E6C"/>
    <w:rsid w:val="00934AB5"/>
    <w:rsid w:val="00935EF2"/>
    <w:rsid w:val="00937958"/>
    <w:rsid w:val="00942160"/>
    <w:rsid w:val="00950539"/>
    <w:rsid w:val="0095146F"/>
    <w:rsid w:val="009602C5"/>
    <w:rsid w:val="00962223"/>
    <w:rsid w:val="00966D0D"/>
    <w:rsid w:val="009723E0"/>
    <w:rsid w:val="00974C21"/>
    <w:rsid w:val="009B0F67"/>
    <w:rsid w:val="009B3BFF"/>
    <w:rsid w:val="009C703C"/>
    <w:rsid w:val="009D3CAA"/>
    <w:rsid w:val="009D43BD"/>
    <w:rsid w:val="009E40E1"/>
    <w:rsid w:val="009E5500"/>
    <w:rsid w:val="009F4E46"/>
    <w:rsid w:val="009F5B65"/>
    <w:rsid w:val="009F5F2E"/>
    <w:rsid w:val="00A06225"/>
    <w:rsid w:val="00A06275"/>
    <w:rsid w:val="00A07119"/>
    <w:rsid w:val="00A11EDD"/>
    <w:rsid w:val="00A128E6"/>
    <w:rsid w:val="00A15733"/>
    <w:rsid w:val="00A27302"/>
    <w:rsid w:val="00A31A48"/>
    <w:rsid w:val="00A34E6C"/>
    <w:rsid w:val="00A37C8D"/>
    <w:rsid w:val="00A44B3B"/>
    <w:rsid w:val="00A5273B"/>
    <w:rsid w:val="00A53A9D"/>
    <w:rsid w:val="00A55FEE"/>
    <w:rsid w:val="00A628F3"/>
    <w:rsid w:val="00A62C1A"/>
    <w:rsid w:val="00A6426D"/>
    <w:rsid w:val="00A665C1"/>
    <w:rsid w:val="00A70622"/>
    <w:rsid w:val="00A70977"/>
    <w:rsid w:val="00A75AAC"/>
    <w:rsid w:val="00A77613"/>
    <w:rsid w:val="00A8390C"/>
    <w:rsid w:val="00A91254"/>
    <w:rsid w:val="00A928BD"/>
    <w:rsid w:val="00AA0CB2"/>
    <w:rsid w:val="00AA4D1C"/>
    <w:rsid w:val="00AC193C"/>
    <w:rsid w:val="00AC5206"/>
    <w:rsid w:val="00AC7E41"/>
    <w:rsid w:val="00AE11A5"/>
    <w:rsid w:val="00AE13E2"/>
    <w:rsid w:val="00AE22D3"/>
    <w:rsid w:val="00AF62DF"/>
    <w:rsid w:val="00AF68CC"/>
    <w:rsid w:val="00B1059E"/>
    <w:rsid w:val="00B12564"/>
    <w:rsid w:val="00B176C8"/>
    <w:rsid w:val="00B205AA"/>
    <w:rsid w:val="00B21B92"/>
    <w:rsid w:val="00B22E84"/>
    <w:rsid w:val="00B25F75"/>
    <w:rsid w:val="00B26B3F"/>
    <w:rsid w:val="00B43E90"/>
    <w:rsid w:val="00B467DC"/>
    <w:rsid w:val="00B505E7"/>
    <w:rsid w:val="00B56118"/>
    <w:rsid w:val="00B602B0"/>
    <w:rsid w:val="00B6773F"/>
    <w:rsid w:val="00B801BA"/>
    <w:rsid w:val="00B81637"/>
    <w:rsid w:val="00B84D5C"/>
    <w:rsid w:val="00BA0A70"/>
    <w:rsid w:val="00BA31A7"/>
    <w:rsid w:val="00BB69F5"/>
    <w:rsid w:val="00BB7EC3"/>
    <w:rsid w:val="00BC4B9A"/>
    <w:rsid w:val="00BC78C0"/>
    <w:rsid w:val="00BD4004"/>
    <w:rsid w:val="00BD784C"/>
    <w:rsid w:val="00BE7456"/>
    <w:rsid w:val="00BF106B"/>
    <w:rsid w:val="00BF18B4"/>
    <w:rsid w:val="00BF1EBB"/>
    <w:rsid w:val="00BF347B"/>
    <w:rsid w:val="00BF4CB6"/>
    <w:rsid w:val="00C00DA7"/>
    <w:rsid w:val="00C00F9D"/>
    <w:rsid w:val="00C12068"/>
    <w:rsid w:val="00C12768"/>
    <w:rsid w:val="00C22F90"/>
    <w:rsid w:val="00C26BBC"/>
    <w:rsid w:val="00C27B58"/>
    <w:rsid w:val="00C35996"/>
    <w:rsid w:val="00C435FC"/>
    <w:rsid w:val="00C4747E"/>
    <w:rsid w:val="00C5342C"/>
    <w:rsid w:val="00C56B2E"/>
    <w:rsid w:val="00C603D4"/>
    <w:rsid w:val="00C6256A"/>
    <w:rsid w:val="00C77891"/>
    <w:rsid w:val="00C90622"/>
    <w:rsid w:val="00C91449"/>
    <w:rsid w:val="00C92D10"/>
    <w:rsid w:val="00C97086"/>
    <w:rsid w:val="00CC5931"/>
    <w:rsid w:val="00CD3209"/>
    <w:rsid w:val="00CD6812"/>
    <w:rsid w:val="00CE10C4"/>
    <w:rsid w:val="00CE27B5"/>
    <w:rsid w:val="00CF06AB"/>
    <w:rsid w:val="00CF5B2D"/>
    <w:rsid w:val="00D01FCE"/>
    <w:rsid w:val="00D0321E"/>
    <w:rsid w:val="00D041F8"/>
    <w:rsid w:val="00D1455A"/>
    <w:rsid w:val="00D147D7"/>
    <w:rsid w:val="00D31150"/>
    <w:rsid w:val="00D3138B"/>
    <w:rsid w:val="00D3280C"/>
    <w:rsid w:val="00D3406A"/>
    <w:rsid w:val="00D345C8"/>
    <w:rsid w:val="00D43200"/>
    <w:rsid w:val="00D4572C"/>
    <w:rsid w:val="00D4575C"/>
    <w:rsid w:val="00D469B2"/>
    <w:rsid w:val="00D4783E"/>
    <w:rsid w:val="00D73119"/>
    <w:rsid w:val="00D741EB"/>
    <w:rsid w:val="00D83605"/>
    <w:rsid w:val="00D84934"/>
    <w:rsid w:val="00D91271"/>
    <w:rsid w:val="00D919F5"/>
    <w:rsid w:val="00D94F03"/>
    <w:rsid w:val="00DA0163"/>
    <w:rsid w:val="00DA2CB5"/>
    <w:rsid w:val="00DA4BAC"/>
    <w:rsid w:val="00DB1F79"/>
    <w:rsid w:val="00DB5048"/>
    <w:rsid w:val="00DC01F4"/>
    <w:rsid w:val="00DC0F5B"/>
    <w:rsid w:val="00DC6EA3"/>
    <w:rsid w:val="00DD1FD8"/>
    <w:rsid w:val="00DD2F4D"/>
    <w:rsid w:val="00DD6B6F"/>
    <w:rsid w:val="00DD6E0C"/>
    <w:rsid w:val="00DE460E"/>
    <w:rsid w:val="00DE6D27"/>
    <w:rsid w:val="00DF089A"/>
    <w:rsid w:val="00DF217D"/>
    <w:rsid w:val="00DF26A7"/>
    <w:rsid w:val="00DF2B3E"/>
    <w:rsid w:val="00E00B6B"/>
    <w:rsid w:val="00E15627"/>
    <w:rsid w:val="00E164B3"/>
    <w:rsid w:val="00E16910"/>
    <w:rsid w:val="00E16ED5"/>
    <w:rsid w:val="00E2140F"/>
    <w:rsid w:val="00E26307"/>
    <w:rsid w:val="00E3010B"/>
    <w:rsid w:val="00E31FF3"/>
    <w:rsid w:val="00E42BDB"/>
    <w:rsid w:val="00E51E09"/>
    <w:rsid w:val="00E52DC0"/>
    <w:rsid w:val="00E53065"/>
    <w:rsid w:val="00E57EEB"/>
    <w:rsid w:val="00E61BE0"/>
    <w:rsid w:val="00E62D94"/>
    <w:rsid w:val="00E63D50"/>
    <w:rsid w:val="00E65E54"/>
    <w:rsid w:val="00E80155"/>
    <w:rsid w:val="00E81F28"/>
    <w:rsid w:val="00E848C0"/>
    <w:rsid w:val="00E91B96"/>
    <w:rsid w:val="00E941A1"/>
    <w:rsid w:val="00E95CE3"/>
    <w:rsid w:val="00EA2825"/>
    <w:rsid w:val="00EB0B63"/>
    <w:rsid w:val="00EB1936"/>
    <w:rsid w:val="00EB319A"/>
    <w:rsid w:val="00EB5088"/>
    <w:rsid w:val="00EC0DB4"/>
    <w:rsid w:val="00EC3FD1"/>
    <w:rsid w:val="00EC7118"/>
    <w:rsid w:val="00ED1644"/>
    <w:rsid w:val="00ED2593"/>
    <w:rsid w:val="00ED7D9C"/>
    <w:rsid w:val="00EE7DC4"/>
    <w:rsid w:val="00EF1045"/>
    <w:rsid w:val="00EF2BED"/>
    <w:rsid w:val="00EF44A0"/>
    <w:rsid w:val="00EF4FED"/>
    <w:rsid w:val="00EF7912"/>
    <w:rsid w:val="00F03B22"/>
    <w:rsid w:val="00F050BD"/>
    <w:rsid w:val="00F05657"/>
    <w:rsid w:val="00F07550"/>
    <w:rsid w:val="00F25578"/>
    <w:rsid w:val="00F2575B"/>
    <w:rsid w:val="00F258E5"/>
    <w:rsid w:val="00F300BC"/>
    <w:rsid w:val="00F32A10"/>
    <w:rsid w:val="00F3334E"/>
    <w:rsid w:val="00F36CCB"/>
    <w:rsid w:val="00F374E5"/>
    <w:rsid w:val="00F426CA"/>
    <w:rsid w:val="00F43AF2"/>
    <w:rsid w:val="00F50EC4"/>
    <w:rsid w:val="00F550CF"/>
    <w:rsid w:val="00F57A6D"/>
    <w:rsid w:val="00F62A4E"/>
    <w:rsid w:val="00F62ADA"/>
    <w:rsid w:val="00F638CC"/>
    <w:rsid w:val="00F64534"/>
    <w:rsid w:val="00F64CC1"/>
    <w:rsid w:val="00F72317"/>
    <w:rsid w:val="00F80475"/>
    <w:rsid w:val="00F81D56"/>
    <w:rsid w:val="00F8247A"/>
    <w:rsid w:val="00F95474"/>
    <w:rsid w:val="00F9629A"/>
    <w:rsid w:val="00F97A12"/>
    <w:rsid w:val="00F97EFC"/>
    <w:rsid w:val="00FA5883"/>
    <w:rsid w:val="00FA6055"/>
    <w:rsid w:val="00FB322F"/>
    <w:rsid w:val="00FB442F"/>
    <w:rsid w:val="00FC1929"/>
    <w:rsid w:val="00FC2520"/>
    <w:rsid w:val="00FC4FC5"/>
    <w:rsid w:val="00FC5B46"/>
    <w:rsid w:val="00FC680C"/>
    <w:rsid w:val="00FD6D8E"/>
    <w:rsid w:val="00FD7CB9"/>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511184"/>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1609823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A6B5-01DA-4C65-9CDB-4EED2F3F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2019-02-21T23:34:00Z</dcterms:created>
  <dcterms:modified xsi:type="dcterms:W3CDTF">2019-02-25T03:05:00Z</dcterms:modified>
</cp:coreProperties>
</file>