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DC42CB" w:rsidRDefault="004324B3" w:rsidP="006D6493">
      <w:pPr>
        <w:pStyle w:val="Title"/>
        <w:spacing w:before="120" w:after="160"/>
        <w:ind w:left="720" w:hanging="720"/>
        <w:rPr>
          <w:rFonts w:asciiTheme="minorHAnsi" w:hAnsiTheme="minorHAnsi"/>
          <w:sz w:val="36"/>
          <w:szCs w:val="36"/>
        </w:rPr>
      </w:pPr>
      <w:r w:rsidRPr="00DC42CB">
        <w:rPr>
          <w:rFonts w:asciiTheme="minorHAnsi" w:hAnsiTheme="minorHAnsi"/>
          <w:sz w:val="36"/>
          <w:szCs w:val="36"/>
        </w:rPr>
        <w:t>5.24</w:t>
      </w:r>
      <w:r w:rsidR="006D6493" w:rsidRPr="00DC42CB">
        <w:rPr>
          <w:rFonts w:asciiTheme="minorHAnsi" w:hAnsiTheme="minorHAnsi"/>
          <w:sz w:val="36"/>
          <w:szCs w:val="36"/>
        </w:rPr>
        <w:tab/>
      </w:r>
      <w:r w:rsidRPr="00DC42CB">
        <w:rPr>
          <w:rFonts w:asciiTheme="minorHAnsi" w:hAnsiTheme="minorHAnsi"/>
          <w:sz w:val="36"/>
          <w:szCs w:val="36"/>
        </w:rPr>
        <w:t>RILUZOLE</w:t>
      </w:r>
      <w:r w:rsidR="006D6493" w:rsidRPr="00DC42CB">
        <w:rPr>
          <w:rFonts w:asciiTheme="minorHAnsi" w:hAnsiTheme="minorHAnsi"/>
          <w:sz w:val="36"/>
          <w:szCs w:val="36"/>
        </w:rPr>
        <w:t xml:space="preserve"> </w:t>
      </w:r>
      <w:r w:rsidR="006D6493" w:rsidRPr="00DC42CB">
        <w:rPr>
          <w:rFonts w:asciiTheme="minorHAnsi" w:hAnsiTheme="minorHAnsi"/>
          <w:sz w:val="36"/>
          <w:szCs w:val="36"/>
        </w:rPr>
        <w:br/>
      </w:r>
      <w:r w:rsidRPr="00DC42CB">
        <w:rPr>
          <w:rFonts w:asciiTheme="minorHAnsi" w:hAnsiTheme="minorHAnsi"/>
          <w:sz w:val="36"/>
          <w:szCs w:val="36"/>
        </w:rPr>
        <w:t>50 mg/10 mL oral liquid, 300 mL</w:t>
      </w:r>
      <w:proofErr w:type="gramStart"/>
      <w:r w:rsidRPr="00DC42CB">
        <w:rPr>
          <w:rFonts w:asciiTheme="minorHAnsi" w:hAnsiTheme="minorHAnsi"/>
          <w:sz w:val="36"/>
          <w:szCs w:val="36"/>
        </w:rPr>
        <w:t>,</w:t>
      </w:r>
      <w:proofErr w:type="gramEnd"/>
      <w:r w:rsidR="006D6493" w:rsidRPr="00DC42CB">
        <w:rPr>
          <w:rFonts w:asciiTheme="minorHAnsi" w:hAnsiTheme="minorHAnsi"/>
          <w:sz w:val="36"/>
          <w:szCs w:val="36"/>
        </w:rPr>
        <w:br/>
      </w:r>
      <w:proofErr w:type="spellStart"/>
      <w:r w:rsidRPr="00DC42CB">
        <w:rPr>
          <w:rFonts w:asciiTheme="minorHAnsi" w:hAnsiTheme="minorHAnsi"/>
          <w:sz w:val="36"/>
          <w:szCs w:val="36"/>
        </w:rPr>
        <w:t>Teglutik</w:t>
      </w:r>
      <w:proofErr w:type="spellEnd"/>
      <w:r w:rsidR="006D6493" w:rsidRPr="006E221D">
        <w:rPr>
          <w:rFonts w:asciiTheme="minorHAnsi" w:hAnsiTheme="minorHAnsi"/>
          <w:sz w:val="36"/>
          <w:szCs w:val="36"/>
        </w:rPr>
        <w:t>®</w:t>
      </w:r>
      <w:r w:rsidR="006D6493" w:rsidRPr="00DC42CB">
        <w:rPr>
          <w:rFonts w:asciiTheme="minorHAnsi" w:hAnsiTheme="minorHAnsi"/>
          <w:sz w:val="36"/>
          <w:szCs w:val="36"/>
        </w:rPr>
        <w:t xml:space="preserve">, </w:t>
      </w:r>
      <w:proofErr w:type="spellStart"/>
      <w:r w:rsidRPr="00DC42CB">
        <w:rPr>
          <w:rFonts w:asciiTheme="minorHAnsi" w:hAnsiTheme="minorHAnsi"/>
          <w:sz w:val="36"/>
          <w:szCs w:val="36"/>
        </w:rPr>
        <w:t>Seqirus</w:t>
      </w:r>
      <w:proofErr w:type="spellEnd"/>
      <w:r w:rsidRPr="00DC42CB">
        <w:rPr>
          <w:rFonts w:asciiTheme="minorHAnsi" w:hAnsiTheme="minorHAnsi"/>
          <w:sz w:val="36"/>
          <w:szCs w:val="36"/>
        </w:rPr>
        <w:t xml:space="preserve"> (Australia) Pty Ltd</w:t>
      </w:r>
    </w:p>
    <w:p w:rsidR="008A50F1" w:rsidRPr="00DC42CB" w:rsidRDefault="00CE10C4" w:rsidP="00EB0B63">
      <w:pPr>
        <w:pStyle w:val="PBACHeading1"/>
        <w:spacing w:before="240" w:after="120"/>
        <w:ind w:left="709" w:hanging="709"/>
        <w:rPr>
          <w:rFonts w:asciiTheme="minorHAnsi" w:hAnsiTheme="minorHAnsi"/>
          <w:sz w:val="32"/>
          <w:szCs w:val="32"/>
        </w:rPr>
      </w:pPr>
      <w:r w:rsidRPr="00DC42CB">
        <w:rPr>
          <w:rFonts w:asciiTheme="minorHAnsi" w:hAnsiTheme="minorHAnsi"/>
          <w:sz w:val="32"/>
          <w:szCs w:val="32"/>
        </w:rPr>
        <w:t xml:space="preserve">Purpose of </w:t>
      </w:r>
      <w:r w:rsidR="0004240E" w:rsidRPr="00DC42CB">
        <w:rPr>
          <w:rFonts w:asciiTheme="minorHAnsi" w:hAnsiTheme="minorHAnsi"/>
          <w:sz w:val="32"/>
          <w:szCs w:val="32"/>
        </w:rPr>
        <w:t>Application</w:t>
      </w:r>
    </w:p>
    <w:p w:rsidR="00841CBF" w:rsidRPr="00DC42CB" w:rsidRDefault="00EF44A0" w:rsidP="00841CBF">
      <w:pPr>
        <w:pStyle w:val="ListParagraph"/>
        <w:widowControl/>
        <w:numPr>
          <w:ilvl w:val="1"/>
          <w:numId w:val="5"/>
        </w:numPr>
        <w:spacing w:after="120"/>
        <w:contextualSpacing w:val="0"/>
      </w:pPr>
      <w:r w:rsidRPr="00F64E92">
        <w:rPr>
          <w:rFonts w:asciiTheme="minorHAnsi" w:eastAsiaTheme="minorHAnsi" w:hAnsiTheme="minorHAnsi" w:cstheme="minorBidi"/>
          <w:snapToGrid/>
          <w:sz w:val="24"/>
          <w:szCs w:val="22"/>
        </w:rPr>
        <w:t>The mi</w:t>
      </w:r>
      <w:r w:rsidR="00FF2801" w:rsidRPr="00F64E92">
        <w:rPr>
          <w:rFonts w:asciiTheme="minorHAnsi" w:eastAsiaTheme="minorHAnsi" w:hAnsiTheme="minorHAnsi" w:cstheme="minorBidi"/>
          <w:snapToGrid/>
          <w:sz w:val="24"/>
          <w:szCs w:val="22"/>
        </w:rPr>
        <w:t xml:space="preserve">nor submission sought </w:t>
      </w:r>
      <w:r w:rsidR="004324B3" w:rsidRPr="00F64E92">
        <w:rPr>
          <w:rFonts w:asciiTheme="minorHAnsi" w:eastAsiaTheme="minorHAnsi" w:hAnsiTheme="minorHAnsi" w:cstheme="minorBidi"/>
          <w:snapToGrid/>
          <w:sz w:val="24"/>
          <w:szCs w:val="22"/>
        </w:rPr>
        <w:t xml:space="preserve">listing of a new oral liquid formulation of </w:t>
      </w:r>
      <w:proofErr w:type="spellStart"/>
      <w:r w:rsidR="004324B3" w:rsidRPr="00F64E92">
        <w:rPr>
          <w:rFonts w:asciiTheme="minorHAnsi" w:eastAsiaTheme="minorHAnsi" w:hAnsiTheme="minorHAnsi" w:cstheme="minorBidi"/>
          <w:snapToGrid/>
          <w:sz w:val="24"/>
          <w:szCs w:val="22"/>
        </w:rPr>
        <w:t>riluzole</w:t>
      </w:r>
      <w:proofErr w:type="spellEnd"/>
      <w:r w:rsidR="00FE2FA7" w:rsidRPr="00F64E92">
        <w:rPr>
          <w:rFonts w:asciiTheme="minorHAnsi" w:eastAsiaTheme="minorHAnsi" w:hAnsiTheme="minorHAnsi" w:cstheme="minorBidi"/>
          <w:snapToGrid/>
          <w:sz w:val="24"/>
          <w:szCs w:val="22"/>
        </w:rPr>
        <w:t xml:space="preserve"> for the treatment of </w:t>
      </w:r>
      <w:r w:rsidR="00B329C8" w:rsidRPr="00F64E92">
        <w:rPr>
          <w:rFonts w:asciiTheme="minorHAnsi" w:eastAsiaTheme="minorHAnsi" w:hAnsiTheme="minorHAnsi" w:cstheme="minorBidi"/>
          <w:snapToGrid/>
          <w:sz w:val="24"/>
          <w:szCs w:val="22"/>
        </w:rPr>
        <w:t>amyotrophic</w:t>
      </w:r>
      <w:r w:rsidR="00FE2FA7" w:rsidRPr="00F64E92">
        <w:rPr>
          <w:rFonts w:asciiTheme="minorHAnsi" w:eastAsiaTheme="minorHAnsi" w:hAnsiTheme="minorHAnsi" w:cstheme="minorBidi"/>
          <w:snapToGrid/>
          <w:sz w:val="24"/>
          <w:szCs w:val="22"/>
        </w:rPr>
        <w:t xml:space="preserve"> lateral sclerosis (ALS).</w:t>
      </w:r>
    </w:p>
    <w:p w:rsidR="006A12A5" w:rsidRPr="00DC42CB" w:rsidRDefault="006A12A5" w:rsidP="00EB0B63">
      <w:pPr>
        <w:pStyle w:val="PBACHeading1"/>
        <w:spacing w:before="240" w:after="120"/>
        <w:ind w:left="709" w:hanging="709"/>
        <w:rPr>
          <w:rFonts w:asciiTheme="minorHAnsi" w:hAnsiTheme="minorHAnsi"/>
          <w:sz w:val="32"/>
          <w:szCs w:val="32"/>
        </w:rPr>
      </w:pPr>
      <w:r w:rsidRPr="00DC42CB">
        <w:rPr>
          <w:rFonts w:asciiTheme="minorHAnsi" w:hAnsiTheme="minorHAnsi"/>
          <w:sz w:val="32"/>
          <w:szCs w:val="32"/>
        </w:rPr>
        <w:t>Requested listing</w:t>
      </w:r>
    </w:p>
    <w:p w:rsidR="00826F6D" w:rsidRPr="00DC42CB"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C42CB">
        <w:rPr>
          <w:rFonts w:asciiTheme="minorHAnsi" w:eastAsiaTheme="minorHAnsi" w:hAnsiTheme="minorHAnsi" w:cstheme="minorBidi"/>
          <w:snapToGrid/>
          <w:sz w:val="24"/>
          <w:szCs w:val="22"/>
        </w:rPr>
        <w:t xml:space="preserve">The submission </w:t>
      </w:r>
      <w:r w:rsidR="00FF2801" w:rsidRPr="00DC42CB">
        <w:rPr>
          <w:rFonts w:asciiTheme="minorHAnsi" w:eastAsiaTheme="minorHAnsi" w:hAnsiTheme="minorHAnsi" w:cstheme="minorBidi"/>
          <w:snapToGrid/>
          <w:sz w:val="24"/>
          <w:szCs w:val="22"/>
        </w:rPr>
        <w:t>requested</w:t>
      </w:r>
      <w:r w:rsidRPr="00DC42CB">
        <w:rPr>
          <w:rFonts w:asciiTheme="minorHAnsi" w:eastAsiaTheme="minorHAnsi" w:hAnsiTheme="minorHAnsi" w:cstheme="minorBidi"/>
          <w:snapToGrid/>
          <w:sz w:val="24"/>
          <w:szCs w:val="22"/>
        </w:rPr>
        <w:t xml:space="preserve"> the </w:t>
      </w:r>
      <w:r w:rsidR="00B329C8" w:rsidRPr="00DC42CB">
        <w:rPr>
          <w:rFonts w:asciiTheme="minorHAnsi" w:eastAsiaTheme="minorHAnsi" w:hAnsiTheme="minorHAnsi" w:cstheme="minorBidi"/>
          <w:snapToGrid/>
          <w:sz w:val="24"/>
          <w:szCs w:val="22"/>
        </w:rPr>
        <w:t xml:space="preserve">same restriction as the current </w:t>
      </w:r>
      <w:proofErr w:type="spellStart"/>
      <w:r w:rsidR="00B329C8" w:rsidRPr="00DC42CB">
        <w:rPr>
          <w:rFonts w:asciiTheme="minorHAnsi" w:eastAsiaTheme="minorHAnsi" w:hAnsiTheme="minorHAnsi" w:cstheme="minorBidi"/>
          <w:snapToGrid/>
          <w:sz w:val="24"/>
          <w:szCs w:val="22"/>
        </w:rPr>
        <w:t>riluzole</w:t>
      </w:r>
      <w:proofErr w:type="spellEnd"/>
      <w:r w:rsidR="00B329C8" w:rsidRPr="00DC42CB">
        <w:rPr>
          <w:rFonts w:asciiTheme="minorHAnsi" w:eastAsiaTheme="minorHAnsi" w:hAnsiTheme="minorHAnsi" w:cstheme="minorBidi"/>
          <w:snapToGrid/>
          <w:sz w:val="24"/>
          <w:szCs w:val="22"/>
        </w:rPr>
        <w:t xml:space="preserve"> tablet formulation</w:t>
      </w:r>
      <w:r w:rsidR="002B2B66" w:rsidRPr="00DC42CB">
        <w:rPr>
          <w:rFonts w:asciiTheme="minorHAnsi" w:eastAsiaTheme="minorHAnsi" w:hAnsiTheme="minorHAnsi" w:cstheme="minorBidi"/>
          <w:snapToGrid/>
          <w:sz w:val="24"/>
          <w:szCs w:val="22"/>
        </w:rPr>
        <w:t>. The requested listing is presented below.</w:t>
      </w:r>
    </w:p>
    <w:tbl>
      <w:tblPr>
        <w:tblW w:w="4915" w:type="pct"/>
        <w:tblLook w:val="0000" w:firstRow="0" w:lastRow="0" w:firstColumn="0" w:lastColumn="0" w:noHBand="0" w:noVBand="0"/>
      </w:tblPr>
      <w:tblGrid>
        <w:gridCol w:w="1914"/>
        <w:gridCol w:w="1347"/>
        <w:gridCol w:w="728"/>
        <w:gridCol w:w="877"/>
        <w:gridCol w:w="1599"/>
        <w:gridCol w:w="870"/>
        <w:gridCol w:w="681"/>
        <w:gridCol w:w="850"/>
        <w:gridCol w:w="7"/>
      </w:tblGrid>
      <w:tr w:rsidR="00163329" w:rsidRPr="004422E3" w:rsidTr="00B329C8">
        <w:trPr>
          <w:cantSplit/>
          <w:trHeight w:val="465"/>
        </w:trPr>
        <w:tc>
          <w:tcPr>
            <w:tcW w:w="1841" w:type="pct"/>
            <w:gridSpan w:val="2"/>
            <w:tcBorders>
              <w:bottom w:val="single" w:sz="4" w:space="0" w:color="auto"/>
            </w:tcBorders>
          </w:tcPr>
          <w:p w:rsidR="00826F6D" w:rsidRPr="00DC42CB" w:rsidRDefault="00826F6D" w:rsidP="00EB0B63">
            <w:pPr>
              <w:keepNext/>
              <w:spacing w:before="40" w:after="40"/>
              <w:jc w:val="both"/>
              <w:rPr>
                <w:rFonts w:ascii="Arial Narrow" w:hAnsi="Arial Narrow" w:cs="Arial"/>
                <w:b/>
                <w:sz w:val="20"/>
                <w:szCs w:val="20"/>
              </w:rPr>
            </w:pPr>
            <w:r w:rsidRPr="00DC42CB">
              <w:rPr>
                <w:rFonts w:ascii="Arial Narrow" w:hAnsi="Arial Narrow" w:cs="Arial"/>
                <w:b/>
                <w:sz w:val="20"/>
                <w:szCs w:val="20"/>
              </w:rPr>
              <w:t>Name, Restriction,</w:t>
            </w:r>
          </w:p>
          <w:p w:rsidR="00826F6D" w:rsidRPr="00DC42CB" w:rsidRDefault="00826F6D" w:rsidP="00EB0B63">
            <w:pPr>
              <w:keepNext/>
              <w:spacing w:before="40" w:after="40"/>
              <w:jc w:val="both"/>
              <w:rPr>
                <w:rFonts w:ascii="Arial Narrow" w:hAnsi="Arial Narrow" w:cs="Arial"/>
                <w:b/>
                <w:sz w:val="20"/>
                <w:szCs w:val="20"/>
              </w:rPr>
            </w:pPr>
            <w:r w:rsidRPr="00DC42CB">
              <w:rPr>
                <w:rFonts w:ascii="Arial Narrow" w:hAnsi="Arial Narrow" w:cs="Arial"/>
                <w:b/>
                <w:sz w:val="20"/>
                <w:szCs w:val="20"/>
              </w:rPr>
              <w:t>Manner of administration and form</w:t>
            </w:r>
          </w:p>
        </w:tc>
        <w:tc>
          <w:tcPr>
            <w:tcW w:w="412" w:type="pct"/>
            <w:tcBorders>
              <w:bottom w:val="single" w:sz="4" w:space="0" w:color="auto"/>
            </w:tcBorders>
          </w:tcPr>
          <w:p w:rsidR="00826F6D" w:rsidRPr="00DC42CB" w:rsidRDefault="00826F6D" w:rsidP="00EB0B63">
            <w:pPr>
              <w:keepNext/>
              <w:spacing w:before="40" w:after="40"/>
              <w:jc w:val="both"/>
              <w:rPr>
                <w:rFonts w:ascii="Arial Narrow" w:hAnsi="Arial Narrow" w:cs="Arial"/>
                <w:b/>
                <w:sz w:val="20"/>
                <w:szCs w:val="20"/>
              </w:rPr>
            </w:pPr>
            <w:r w:rsidRPr="00DC42CB">
              <w:rPr>
                <w:rFonts w:ascii="Arial Narrow" w:hAnsi="Arial Narrow" w:cs="Arial"/>
                <w:b/>
                <w:sz w:val="20"/>
                <w:szCs w:val="20"/>
              </w:rPr>
              <w:t>Max.</w:t>
            </w:r>
          </w:p>
          <w:p w:rsidR="00826F6D" w:rsidRPr="00DC42CB" w:rsidRDefault="00826F6D" w:rsidP="00EB0B63">
            <w:pPr>
              <w:keepNext/>
              <w:spacing w:before="40" w:after="40"/>
              <w:jc w:val="both"/>
              <w:rPr>
                <w:rFonts w:ascii="Arial Narrow" w:hAnsi="Arial Narrow" w:cs="Arial"/>
                <w:b/>
                <w:sz w:val="20"/>
                <w:szCs w:val="20"/>
              </w:rPr>
            </w:pPr>
            <w:r w:rsidRPr="00DC42CB">
              <w:rPr>
                <w:rFonts w:ascii="Arial Narrow" w:hAnsi="Arial Narrow" w:cs="Arial"/>
                <w:b/>
                <w:sz w:val="20"/>
                <w:szCs w:val="20"/>
              </w:rPr>
              <w:t>Qty</w:t>
            </w:r>
          </w:p>
        </w:tc>
        <w:tc>
          <w:tcPr>
            <w:tcW w:w="496" w:type="pct"/>
            <w:tcBorders>
              <w:bottom w:val="single" w:sz="4" w:space="0" w:color="auto"/>
            </w:tcBorders>
          </w:tcPr>
          <w:p w:rsidR="00826F6D" w:rsidRPr="00DC42CB" w:rsidRDefault="00826F6D" w:rsidP="00EB0B63">
            <w:pPr>
              <w:keepNext/>
              <w:spacing w:before="40" w:after="40"/>
              <w:jc w:val="both"/>
              <w:rPr>
                <w:rFonts w:ascii="Arial Narrow" w:hAnsi="Arial Narrow" w:cs="Arial"/>
                <w:b/>
                <w:sz w:val="20"/>
                <w:szCs w:val="20"/>
              </w:rPr>
            </w:pPr>
            <w:r w:rsidRPr="00DC42CB">
              <w:rPr>
                <w:rFonts w:ascii="Arial Narrow" w:hAnsi="Arial Narrow" w:cs="Arial"/>
                <w:b/>
                <w:sz w:val="20"/>
                <w:szCs w:val="20"/>
              </w:rPr>
              <w:t>№.of</w:t>
            </w:r>
          </w:p>
          <w:p w:rsidR="00826F6D" w:rsidRPr="00DC42CB" w:rsidRDefault="00826F6D" w:rsidP="00EB0B63">
            <w:pPr>
              <w:keepNext/>
              <w:spacing w:before="40" w:after="40"/>
              <w:jc w:val="both"/>
              <w:rPr>
                <w:rFonts w:ascii="Arial Narrow" w:hAnsi="Arial Narrow" w:cs="Arial"/>
                <w:b/>
                <w:sz w:val="20"/>
                <w:szCs w:val="20"/>
              </w:rPr>
            </w:pPr>
            <w:r w:rsidRPr="00DC42CB">
              <w:rPr>
                <w:rFonts w:ascii="Arial Narrow" w:hAnsi="Arial Narrow" w:cs="Arial"/>
                <w:b/>
                <w:sz w:val="20"/>
                <w:szCs w:val="20"/>
              </w:rPr>
              <w:t>Rpts</w:t>
            </w:r>
          </w:p>
        </w:tc>
        <w:tc>
          <w:tcPr>
            <w:tcW w:w="902" w:type="pct"/>
            <w:tcBorders>
              <w:bottom w:val="single" w:sz="4" w:space="0" w:color="auto"/>
            </w:tcBorders>
          </w:tcPr>
          <w:p w:rsidR="00826F6D" w:rsidRPr="00DC42CB" w:rsidRDefault="00826F6D" w:rsidP="00EB0B63">
            <w:pPr>
              <w:keepNext/>
              <w:spacing w:before="40" w:after="40"/>
              <w:jc w:val="both"/>
              <w:rPr>
                <w:rFonts w:ascii="Arial Narrow" w:hAnsi="Arial Narrow" w:cs="Arial"/>
                <w:b/>
                <w:sz w:val="20"/>
                <w:szCs w:val="20"/>
              </w:rPr>
            </w:pPr>
            <w:r w:rsidRPr="00DC42CB">
              <w:rPr>
                <w:rFonts w:ascii="Arial Narrow" w:hAnsi="Arial Narrow" w:cs="Arial"/>
                <w:b/>
                <w:sz w:val="20"/>
                <w:szCs w:val="20"/>
              </w:rPr>
              <w:t>Dispensed Price for Max. Qty</w:t>
            </w:r>
          </w:p>
        </w:tc>
        <w:tc>
          <w:tcPr>
            <w:tcW w:w="1349" w:type="pct"/>
            <w:gridSpan w:val="4"/>
            <w:tcBorders>
              <w:bottom w:val="single" w:sz="4" w:space="0" w:color="auto"/>
            </w:tcBorders>
          </w:tcPr>
          <w:p w:rsidR="00826F6D" w:rsidRPr="000A3C7B" w:rsidRDefault="00826F6D" w:rsidP="00EB0B63">
            <w:pPr>
              <w:keepNext/>
              <w:spacing w:before="40" w:after="40"/>
              <w:jc w:val="both"/>
              <w:rPr>
                <w:rFonts w:ascii="Arial Narrow" w:hAnsi="Arial Narrow" w:cs="Arial"/>
                <w:b/>
                <w:sz w:val="20"/>
                <w:szCs w:val="20"/>
              </w:rPr>
            </w:pPr>
            <w:r w:rsidRPr="00DC42CB">
              <w:rPr>
                <w:rFonts w:ascii="Arial Narrow" w:hAnsi="Arial Narrow" w:cs="Arial"/>
                <w:b/>
                <w:sz w:val="20"/>
                <w:szCs w:val="20"/>
              </w:rPr>
              <w:t>Proprietary Name and Manufacturer</w:t>
            </w:r>
          </w:p>
        </w:tc>
      </w:tr>
      <w:tr w:rsidR="00163329" w:rsidRPr="004422E3" w:rsidTr="00B329C8">
        <w:trPr>
          <w:cantSplit/>
          <w:trHeight w:val="567"/>
        </w:trPr>
        <w:tc>
          <w:tcPr>
            <w:tcW w:w="1841" w:type="pct"/>
            <w:gridSpan w:val="2"/>
          </w:tcPr>
          <w:p w:rsidR="00826F6D" w:rsidRPr="004422E3" w:rsidRDefault="00B329C8" w:rsidP="00EB0B63">
            <w:pPr>
              <w:keepNext/>
              <w:spacing w:before="40" w:after="40"/>
              <w:jc w:val="both"/>
              <w:rPr>
                <w:rFonts w:ascii="Arial Narrow" w:hAnsi="Arial Narrow" w:cs="Arial"/>
                <w:sz w:val="20"/>
                <w:szCs w:val="20"/>
              </w:rPr>
            </w:pPr>
            <w:r w:rsidRPr="004422E3">
              <w:rPr>
                <w:rFonts w:ascii="Arial Narrow" w:hAnsi="Arial Narrow" w:cs="Arial"/>
                <w:smallCaps/>
                <w:sz w:val="20"/>
                <w:szCs w:val="20"/>
              </w:rPr>
              <w:t>RILUZOLE</w:t>
            </w:r>
          </w:p>
          <w:p w:rsidR="00826F6D" w:rsidRPr="004422E3" w:rsidRDefault="00B329C8" w:rsidP="00EB0B63">
            <w:pPr>
              <w:keepNext/>
              <w:spacing w:before="40" w:after="40"/>
              <w:jc w:val="both"/>
              <w:rPr>
                <w:rFonts w:ascii="Arial Narrow" w:hAnsi="Arial Narrow" w:cs="Arial"/>
                <w:sz w:val="20"/>
                <w:szCs w:val="20"/>
              </w:rPr>
            </w:pPr>
            <w:r w:rsidRPr="004422E3">
              <w:rPr>
                <w:rFonts w:ascii="Arial Narrow" w:hAnsi="Arial Narrow" w:cs="Arial"/>
                <w:sz w:val="20"/>
                <w:szCs w:val="20"/>
              </w:rPr>
              <w:t>50 mg/10 mL oral liquid, 300 mL</w:t>
            </w:r>
          </w:p>
        </w:tc>
        <w:tc>
          <w:tcPr>
            <w:tcW w:w="412" w:type="pct"/>
          </w:tcPr>
          <w:p w:rsidR="00826F6D" w:rsidRPr="004422E3" w:rsidRDefault="00826F6D" w:rsidP="00EB0B63">
            <w:pPr>
              <w:keepNext/>
              <w:spacing w:before="40" w:after="40"/>
              <w:jc w:val="both"/>
              <w:rPr>
                <w:rFonts w:ascii="Arial Narrow" w:hAnsi="Arial Narrow" w:cs="Arial"/>
                <w:sz w:val="20"/>
                <w:szCs w:val="20"/>
              </w:rPr>
            </w:pPr>
          </w:p>
          <w:p w:rsidR="00826F6D" w:rsidRPr="004422E3" w:rsidRDefault="00B329C8" w:rsidP="00EB0B63">
            <w:pPr>
              <w:keepNext/>
              <w:spacing w:before="40" w:after="40"/>
              <w:jc w:val="both"/>
              <w:rPr>
                <w:rFonts w:ascii="Arial Narrow" w:hAnsi="Arial Narrow" w:cs="Arial"/>
                <w:sz w:val="20"/>
                <w:szCs w:val="20"/>
              </w:rPr>
            </w:pPr>
            <w:r w:rsidRPr="004422E3">
              <w:rPr>
                <w:rFonts w:ascii="Arial Narrow" w:hAnsi="Arial Narrow" w:cs="Arial"/>
                <w:sz w:val="20"/>
                <w:szCs w:val="20"/>
              </w:rPr>
              <w:t>2</w:t>
            </w:r>
          </w:p>
        </w:tc>
        <w:tc>
          <w:tcPr>
            <w:tcW w:w="496" w:type="pct"/>
          </w:tcPr>
          <w:p w:rsidR="00826F6D" w:rsidRPr="004422E3" w:rsidRDefault="00826F6D" w:rsidP="00EB0B63">
            <w:pPr>
              <w:keepNext/>
              <w:spacing w:before="40" w:after="40"/>
              <w:jc w:val="both"/>
              <w:rPr>
                <w:rFonts w:ascii="Arial Narrow" w:hAnsi="Arial Narrow" w:cs="Arial"/>
                <w:sz w:val="20"/>
                <w:szCs w:val="20"/>
              </w:rPr>
            </w:pPr>
          </w:p>
          <w:p w:rsidR="00826F6D" w:rsidRPr="004422E3" w:rsidRDefault="00B329C8" w:rsidP="00EB0B63">
            <w:pPr>
              <w:keepNext/>
              <w:spacing w:before="40" w:after="40"/>
              <w:jc w:val="both"/>
              <w:rPr>
                <w:rFonts w:ascii="Arial Narrow" w:hAnsi="Arial Narrow" w:cs="Arial"/>
                <w:sz w:val="20"/>
                <w:szCs w:val="20"/>
              </w:rPr>
            </w:pPr>
            <w:r w:rsidRPr="004422E3">
              <w:rPr>
                <w:rFonts w:ascii="Arial Narrow" w:hAnsi="Arial Narrow" w:cs="Arial"/>
                <w:sz w:val="20"/>
                <w:szCs w:val="20"/>
              </w:rPr>
              <w:t>5</w:t>
            </w:r>
          </w:p>
        </w:tc>
        <w:tc>
          <w:tcPr>
            <w:tcW w:w="902" w:type="pct"/>
          </w:tcPr>
          <w:p w:rsidR="00826F6D" w:rsidRPr="004422E3" w:rsidRDefault="00826F6D" w:rsidP="00EB0B63">
            <w:pPr>
              <w:keepNext/>
              <w:spacing w:before="40" w:after="40"/>
              <w:jc w:val="both"/>
              <w:rPr>
                <w:rFonts w:ascii="Arial Narrow" w:hAnsi="Arial Narrow" w:cs="Arial"/>
                <w:sz w:val="20"/>
                <w:szCs w:val="20"/>
              </w:rPr>
            </w:pPr>
          </w:p>
          <w:p w:rsidR="00826F6D" w:rsidRPr="004422E3" w:rsidRDefault="00826F6D" w:rsidP="00EB0B63">
            <w:pPr>
              <w:keepNext/>
              <w:spacing w:before="40" w:after="40"/>
              <w:jc w:val="both"/>
              <w:rPr>
                <w:rFonts w:ascii="Arial Narrow" w:hAnsi="Arial Narrow" w:cs="Arial"/>
                <w:sz w:val="20"/>
                <w:szCs w:val="20"/>
              </w:rPr>
            </w:pPr>
            <w:r w:rsidRPr="004422E3">
              <w:rPr>
                <w:rFonts w:ascii="Arial Narrow" w:hAnsi="Arial Narrow" w:cs="Arial"/>
                <w:sz w:val="20"/>
                <w:szCs w:val="20"/>
              </w:rPr>
              <w:t>$</w:t>
            </w:r>
            <w:r w:rsidR="00F24C24">
              <w:rPr>
                <w:rFonts w:ascii="Arial Narrow" w:hAnsi="Arial Narrow" w:cs="Arial"/>
                <w:noProof/>
                <w:color w:val="000000"/>
                <w:sz w:val="20"/>
                <w:szCs w:val="20"/>
                <w:highlight w:val="black"/>
              </w:rPr>
              <w:t>'''''''''''''''''</w:t>
            </w:r>
          </w:p>
        </w:tc>
        <w:tc>
          <w:tcPr>
            <w:tcW w:w="479" w:type="pct"/>
          </w:tcPr>
          <w:p w:rsidR="00C27B58" w:rsidRPr="004422E3" w:rsidRDefault="00C27B58" w:rsidP="00EB0B63">
            <w:pPr>
              <w:keepNext/>
              <w:spacing w:before="40" w:after="40"/>
              <w:jc w:val="both"/>
              <w:rPr>
                <w:rFonts w:ascii="Arial Narrow" w:hAnsi="Arial Narrow" w:cs="Arial"/>
                <w:sz w:val="20"/>
                <w:szCs w:val="20"/>
              </w:rPr>
            </w:pPr>
          </w:p>
          <w:p w:rsidR="00826F6D" w:rsidRPr="004422E3" w:rsidRDefault="00B329C8" w:rsidP="00EB0B63">
            <w:pPr>
              <w:keepNext/>
              <w:spacing w:before="40" w:after="40"/>
              <w:jc w:val="both"/>
              <w:rPr>
                <w:rFonts w:ascii="Arial Narrow" w:hAnsi="Arial Narrow" w:cs="Arial"/>
                <w:sz w:val="20"/>
                <w:szCs w:val="20"/>
                <w:vertAlign w:val="superscript"/>
              </w:rPr>
            </w:pPr>
            <w:proofErr w:type="spellStart"/>
            <w:r w:rsidRPr="004422E3">
              <w:rPr>
                <w:rFonts w:ascii="Arial Narrow" w:hAnsi="Arial Narrow" w:cs="Arial"/>
                <w:sz w:val="20"/>
                <w:szCs w:val="20"/>
              </w:rPr>
              <w:t>Teglutik</w:t>
            </w:r>
            <w:proofErr w:type="spellEnd"/>
            <w:r w:rsidRPr="004422E3">
              <w:rPr>
                <w:rFonts w:ascii="Arial Narrow" w:hAnsi="Arial Narrow" w:cs="Arial"/>
                <w:sz w:val="20"/>
                <w:szCs w:val="20"/>
                <w:vertAlign w:val="superscript"/>
              </w:rPr>
              <w:t>®</w:t>
            </w:r>
          </w:p>
        </w:tc>
        <w:tc>
          <w:tcPr>
            <w:tcW w:w="870" w:type="pct"/>
            <w:gridSpan w:val="3"/>
          </w:tcPr>
          <w:p w:rsidR="00C27B58" w:rsidRPr="004422E3" w:rsidRDefault="00C27B58" w:rsidP="00EB0B63">
            <w:pPr>
              <w:keepNext/>
              <w:spacing w:before="40" w:after="40"/>
              <w:jc w:val="both"/>
              <w:rPr>
                <w:rFonts w:ascii="Arial Narrow" w:hAnsi="Arial Narrow" w:cs="Arial"/>
                <w:sz w:val="20"/>
                <w:szCs w:val="20"/>
              </w:rPr>
            </w:pPr>
          </w:p>
          <w:p w:rsidR="00826F6D" w:rsidRPr="004422E3" w:rsidRDefault="00B329C8" w:rsidP="00EB0B63">
            <w:pPr>
              <w:keepNext/>
              <w:spacing w:before="40" w:after="40"/>
              <w:jc w:val="both"/>
              <w:rPr>
                <w:rFonts w:ascii="Arial Narrow" w:hAnsi="Arial Narrow" w:cs="Arial"/>
                <w:sz w:val="20"/>
                <w:szCs w:val="20"/>
              </w:rPr>
            </w:pPr>
            <w:proofErr w:type="spellStart"/>
            <w:r w:rsidRPr="004422E3">
              <w:rPr>
                <w:rFonts w:ascii="Arial Narrow" w:hAnsi="Arial Narrow" w:cs="Arial"/>
                <w:sz w:val="20"/>
                <w:szCs w:val="20"/>
              </w:rPr>
              <w:t>Seqirus</w:t>
            </w:r>
            <w:proofErr w:type="spellEnd"/>
            <w:r w:rsidRPr="004422E3">
              <w:rPr>
                <w:rFonts w:ascii="Arial Narrow" w:hAnsi="Arial Narrow" w:cs="Arial"/>
                <w:sz w:val="20"/>
                <w:szCs w:val="20"/>
              </w:rPr>
              <w:t xml:space="preserve"> (Australia) Pty Ltd</w:t>
            </w:r>
          </w:p>
        </w:tc>
      </w:tr>
      <w:tr w:rsidR="00826F6D" w:rsidRPr="004422E3" w:rsidTr="00B329C8">
        <w:trPr>
          <w:gridAfter w:val="2"/>
          <w:wAfter w:w="485" w:type="pct"/>
          <w:cantSplit/>
          <w:trHeight w:val="360"/>
        </w:trPr>
        <w:tc>
          <w:tcPr>
            <w:tcW w:w="4515" w:type="pct"/>
            <w:gridSpan w:val="7"/>
            <w:tcBorders>
              <w:bottom w:val="single" w:sz="4" w:space="0" w:color="auto"/>
            </w:tcBorders>
          </w:tcPr>
          <w:p w:rsidR="00826F6D" w:rsidRPr="004422E3" w:rsidRDefault="00826F6D" w:rsidP="00EB0B63">
            <w:pPr>
              <w:spacing w:before="40" w:after="40"/>
              <w:jc w:val="both"/>
              <w:rPr>
                <w:rFonts w:ascii="Arial Narrow" w:hAnsi="Arial Narrow" w:cs="Arial"/>
                <w:sz w:val="20"/>
                <w:szCs w:val="20"/>
              </w:rPr>
            </w:pPr>
          </w:p>
        </w:tc>
      </w:tr>
      <w:tr w:rsidR="00826F6D" w:rsidRPr="004422E3" w:rsidTr="00B329C8">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jc w:val="both"/>
              <w:rPr>
                <w:rFonts w:ascii="Arial Narrow" w:hAnsi="Arial Narrow" w:cs="Arial"/>
                <w:b/>
                <w:sz w:val="20"/>
                <w:szCs w:val="20"/>
              </w:rPr>
            </w:pPr>
            <w:r w:rsidRPr="004422E3">
              <w:rPr>
                <w:rFonts w:ascii="Arial Narrow" w:hAnsi="Arial Narrow" w:cs="Arial"/>
                <w:b/>
                <w:sz w:val="20"/>
                <w:szCs w:val="20"/>
              </w:rPr>
              <w:t>Category / Program</w:t>
            </w:r>
          </w:p>
        </w:tc>
        <w:tc>
          <w:tcPr>
            <w:tcW w:w="3915" w:type="pct"/>
            <w:gridSpan w:val="7"/>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rPr>
                <w:rFonts w:ascii="Arial Narrow" w:hAnsi="Arial Narrow" w:cs="Arial"/>
                <w:sz w:val="20"/>
                <w:szCs w:val="20"/>
              </w:rPr>
            </w:pPr>
            <w:r w:rsidRPr="004422E3">
              <w:rPr>
                <w:rFonts w:ascii="Arial Narrow" w:hAnsi="Arial Narrow" w:cs="Arial"/>
                <w:sz w:val="20"/>
                <w:szCs w:val="20"/>
              </w:rPr>
              <w:t>GENERAL – General Schedule (Code GE)</w:t>
            </w:r>
          </w:p>
        </w:tc>
      </w:tr>
      <w:tr w:rsidR="00826F6D" w:rsidRPr="004422E3" w:rsidTr="00B329C8">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jc w:val="both"/>
              <w:rPr>
                <w:rFonts w:ascii="Arial Narrow" w:hAnsi="Arial Narrow" w:cs="Arial"/>
                <w:b/>
                <w:sz w:val="20"/>
                <w:szCs w:val="20"/>
              </w:rPr>
            </w:pPr>
            <w:r w:rsidRPr="004422E3">
              <w:rPr>
                <w:rFonts w:ascii="Arial Narrow" w:hAnsi="Arial Narrow" w:cs="Arial"/>
                <w:b/>
                <w:sz w:val="20"/>
                <w:szCs w:val="20"/>
              </w:rPr>
              <w:t>Prescriber type:</w:t>
            </w:r>
          </w:p>
        </w:tc>
        <w:tc>
          <w:tcPr>
            <w:tcW w:w="3915" w:type="pct"/>
            <w:gridSpan w:val="7"/>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1"/>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 xml:space="preserve">Dental  </w:t>
            </w:r>
            <w:r w:rsidR="00B329C8" w:rsidRPr="000A3C7B">
              <w:rPr>
                <w:rFonts w:ascii="Arial Narrow" w:hAnsi="Arial Narrow" w:cs="Arial"/>
                <w:sz w:val="20"/>
                <w:szCs w:val="20"/>
              </w:rPr>
              <w:fldChar w:fldCharType="begin">
                <w:ffData>
                  <w:name w:val=""/>
                  <w:enabled/>
                  <w:calcOnExit w:val="0"/>
                  <w:checkBox>
                    <w:sizeAuto/>
                    <w:default w:val="1"/>
                  </w:checkBox>
                </w:ffData>
              </w:fldChar>
            </w:r>
            <w:r w:rsidR="00B329C8"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00B329C8" w:rsidRPr="000A3C7B">
              <w:rPr>
                <w:rFonts w:ascii="Arial Narrow" w:hAnsi="Arial Narrow" w:cs="Arial"/>
                <w:sz w:val="20"/>
                <w:szCs w:val="20"/>
              </w:rPr>
              <w:fldChar w:fldCharType="end"/>
            </w:r>
            <w:r w:rsidRPr="00DC42CB">
              <w:rPr>
                <w:rFonts w:ascii="Arial Narrow" w:hAnsi="Arial Narrow" w:cs="Arial"/>
                <w:sz w:val="20"/>
                <w:szCs w:val="20"/>
              </w:rPr>
              <w:t xml:space="preserve">Medical Practitioners  </w:t>
            </w:r>
            <w:r w:rsidR="00B329C8" w:rsidRPr="000A3C7B">
              <w:rPr>
                <w:rFonts w:ascii="Arial Narrow" w:hAnsi="Arial Narrow" w:cs="Arial"/>
                <w:sz w:val="20"/>
                <w:szCs w:val="20"/>
              </w:rPr>
              <w:fldChar w:fldCharType="begin">
                <w:ffData>
                  <w:name w:val="Check3"/>
                  <w:enabled/>
                  <w:calcOnExit w:val="0"/>
                  <w:checkBox>
                    <w:sizeAuto/>
                    <w:default w:val="1"/>
                  </w:checkBox>
                </w:ffData>
              </w:fldChar>
            </w:r>
            <w:bookmarkStart w:id="0" w:name="Check3"/>
            <w:r w:rsidR="00B329C8"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00B329C8" w:rsidRPr="000A3C7B">
              <w:rPr>
                <w:rFonts w:ascii="Arial Narrow" w:hAnsi="Arial Narrow" w:cs="Arial"/>
                <w:sz w:val="20"/>
                <w:szCs w:val="20"/>
              </w:rPr>
              <w:fldChar w:fldCharType="end"/>
            </w:r>
            <w:bookmarkEnd w:id="0"/>
            <w:r w:rsidRPr="00DC42CB">
              <w:rPr>
                <w:rFonts w:ascii="Arial Narrow" w:hAnsi="Arial Narrow" w:cs="Arial"/>
                <w:sz w:val="20"/>
                <w:szCs w:val="20"/>
              </w:rPr>
              <w:t>Nurse practitioners</w:t>
            </w:r>
            <w:r w:rsidRPr="004422E3">
              <w:rPr>
                <w:rFonts w:ascii="Arial Narrow" w:hAnsi="Arial Narrow" w:cs="Arial"/>
                <w:sz w:val="20"/>
                <w:szCs w:val="20"/>
              </w:rPr>
              <w:t xml:space="preserve">  </w:t>
            </w:r>
            <w:r w:rsidRPr="000A3C7B">
              <w:rPr>
                <w:rFonts w:ascii="Arial Narrow" w:hAnsi="Arial Narrow" w:cs="Arial"/>
                <w:sz w:val="20"/>
                <w:szCs w:val="20"/>
              </w:rPr>
              <w:fldChar w:fldCharType="begin">
                <w:ffData>
                  <w:name w:val=""/>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Optometrists</w:t>
            </w:r>
          </w:p>
          <w:p w:rsidR="00826F6D" w:rsidRPr="004422E3" w:rsidRDefault="00826F6D" w:rsidP="00EB0B63">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5"/>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Midwives</w:t>
            </w:r>
          </w:p>
        </w:tc>
      </w:tr>
      <w:tr w:rsidR="00826F6D" w:rsidRPr="004422E3" w:rsidTr="00B329C8">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jc w:val="both"/>
              <w:rPr>
                <w:rFonts w:ascii="Arial Narrow" w:hAnsi="Arial Narrow" w:cs="Arial"/>
                <w:b/>
                <w:sz w:val="20"/>
                <w:szCs w:val="20"/>
              </w:rPr>
            </w:pPr>
            <w:r w:rsidRPr="004422E3">
              <w:rPr>
                <w:rFonts w:ascii="Arial Narrow" w:hAnsi="Arial Narrow" w:cs="Arial"/>
                <w:b/>
                <w:sz w:val="20"/>
                <w:szCs w:val="20"/>
              </w:rPr>
              <w:t>Condition:</w:t>
            </w:r>
          </w:p>
        </w:tc>
        <w:tc>
          <w:tcPr>
            <w:tcW w:w="3915" w:type="pct"/>
            <w:gridSpan w:val="7"/>
            <w:tcBorders>
              <w:top w:val="single" w:sz="4" w:space="0" w:color="auto"/>
              <w:left w:val="single" w:sz="4" w:space="0" w:color="auto"/>
              <w:bottom w:val="single" w:sz="4" w:space="0" w:color="auto"/>
              <w:right w:val="single" w:sz="4" w:space="0" w:color="auto"/>
            </w:tcBorders>
          </w:tcPr>
          <w:p w:rsidR="00826F6D" w:rsidRPr="004422E3" w:rsidRDefault="00B329C8" w:rsidP="00EB0B63">
            <w:pPr>
              <w:spacing w:before="40" w:after="40"/>
              <w:rPr>
                <w:rFonts w:ascii="Arial Narrow" w:hAnsi="Arial Narrow" w:cs="Arial"/>
                <w:sz w:val="20"/>
                <w:szCs w:val="20"/>
              </w:rPr>
            </w:pPr>
            <w:r w:rsidRPr="004422E3">
              <w:rPr>
                <w:rFonts w:ascii="Arial Narrow" w:hAnsi="Arial Narrow" w:cs="Arial"/>
                <w:sz w:val="20"/>
                <w:szCs w:val="20"/>
              </w:rPr>
              <w:t>Amyotrophic lateral sclerosis</w:t>
            </w:r>
          </w:p>
        </w:tc>
      </w:tr>
      <w:tr w:rsidR="00826F6D" w:rsidRPr="004422E3" w:rsidTr="00B329C8">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jc w:val="both"/>
              <w:rPr>
                <w:rFonts w:ascii="Arial Narrow" w:hAnsi="Arial Narrow" w:cs="Arial"/>
                <w:b/>
                <w:sz w:val="20"/>
                <w:szCs w:val="20"/>
              </w:rPr>
            </w:pPr>
            <w:r w:rsidRPr="004422E3">
              <w:rPr>
                <w:rFonts w:ascii="Arial Narrow" w:hAnsi="Arial Narrow" w:cs="Arial"/>
                <w:b/>
                <w:sz w:val="20"/>
                <w:szCs w:val="20"/>
              </w:rPr>
              <w:t>PBS Indication:</w:t>
            </w:r>
          </w:p>
        </w:tc>
        <w:tc>
          <w:tcPr>
            <w:tcW w:w="3915" w:type="pct"/>
            <w:gridSpan w:val="7"/>
            <w:tcBorders>
              <w:top w:val="single" w:sz="4" w:space="0" w:color="auto"/>
              <w:left w:val="single" w:sz="4" w:space="0" w:color="auto"/>
              <w:bottom w:val="single" w:sz="4" w:space="0" w:color="auto"/>
              <w:right w:val="single" w:sz="4" w:space="0" w:color="auto"/>
            </w:tcBorders>
          </w:tcPr>
          <w:p w:rsidR="00826F6D" w:rsidRPr="004422E3" w:rsidRDefault="00B329C8" w:rsidP="00EB0B63">
            <w:pPr>
              <w:spacing w:before="40" w:after="40"/>
              <w:rPr>
                <w:rFonts w:ascii="Arial Narrow" w:hAnsi="Arial Narrow" w:cs="Arial"/>
                <w:sz w:val="20"/>
                <w:szCs w:val="20"/>
              </w:rPr>
            </w:pPr>
            <w:r w:rsidRPr="004422E3">
              <w:rPr>
                <w:rFonts w:ascii="Arial Narrow" w:hAnsi="Arial Narrow" w:cs="Arial"/>
                <w:sz w:val="20"/>
                <w:szCs w:val="20"/>
              </w:rPr>
              <w:t>Amyotrophic lateral sclerosis</w:t>
            </w:r>
          </w:p>
        </w:tc>
      </w:tr>
      <w:tr w:rsidR="00826F6D" w:rsidRPr="004422E3" w:rsidTr="00B329C8">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jc w:val="both"/>
              <w:rPr>
                <w:rFonts w:ascii="Arial Narrow" w:hAnsi="Arial Narrow" w:cs="Arial"/>
                <w:b/>
                <w:sz w:val="20"/>
                <w:szCs w:val="20"/>
              </w:rPr>
            </w:pPr>
            <w:r w:rsidRPr="004422E3">
              <w:rPr>
                <w:rFonts w:ascii="Arial Narrow" w:hAnsi="Arial Narrow" w:cs="Arial"/>
                <w:b/>
                <w:sz w:val="20"/>
                <w:szCs w:val="20"/>
              </w:rPr>
              <w:t>Treatment phase:</w:t>
            </w:r>
          </w:p>
        </w:tc>
        <w:tc>
          <w:tcPr>
            <w:tcW w:w="3915" w:type="pct"/>
            <w:gridSpan w:val="7"/>
            <w:tcBorders>
              <w:top w:val="single" w:sz="4" w:space="0" w:color="auto"/>
              <w:left w:val="single" w:sz="4" w:space="0" w:color="auto"/>
              <w:bottom w:val="single" w:sz="4" w:space="0" w:color="auto"/>
              <w:right w:val="single" w:sz="4" w:space="0" w:color="auto"/>
            </w:tcBorders>
          </w:tcPr>
          <w:p w:rsidR="00826F6D" w:rsidRPr="004422E3" w:rsidRDefault="00B329C8" w:rsidP="00EB0B63">
            <w:pPr>
              <w:spacing w:before="40" w:after="40"/>
              <w:rPr>
                <w:rFonts w:ascii="Arial Narrow" w:hAnsi="Arial Narrow" w:cs="Arial"/>
                <w:sz w:val="20"/>
                <w:szCs w:val="20"/>
              </w:rPr>
            </w:pPr>
            <w:r w:rsidRPr="004422E3">
              <w:rPr>
                <w:rFonts w:ascii="Arial Narrow" w:hAnsi="Arial Narrow" w:cs="Arial"/>
                <w:sz w:val="20"/>
                <w:szCs w:val="20"/>
              </w:rPr>
              <w:t>Initial treatment</w:t>
            </w:r>
          </w:p>
        </w:tc>
      </w:tr>
      <w:tr w:rsidR="00826F6D" w:rsidRPr="004422E3" w:rsidTr="00B329C8">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jc w:val="both"/>
              <w:rPr>
                <w:rFonts w:ascii="Arial Narrow" w:hAnsi="Arial Narrow" w:cs="Arial"/>
                <w:b/>
                <w:sz w:val="20"/>
                <w:szCs w:val="20"/>
              </w:rPr>
            </w:pPr>
            <w:r w:rsidRPr="004422E3">
              <w:rPr>
                <w:rFonts w:ascii="Arial Narrow" w:hAnsi="Arial Narrow" w:cs="Arial"/>
                <w:b/>
                <w:sz w:val="20"/>
                <w:szCs w:val="20"/>
              </w:rPr>
              <w:t>Restriction Level / Method:</w:t>
            </w:r>
          </w:p>
          <w:p w:rsidR="00826F6D" w:rsidRPr="004422E3" w:rsidRDefault="00826F6D" w:rsidP="00EB0B63">
            <w:pPr>
              <w:spacing w:before="40" w:after="40"/>
              <w:rPr>
                <w:rFonts w:ascii="Arial Narrow" w:hAnsi="Arial Narrow" w:cs="Arial"/>
                <w:sz w:val="20"/>
                <w:szCs w:val="20"/>
              </w:rPr>
            </w:pPr>
          </w:p>
        </w:tc>
        <w:tc>
          <w:tcPr>
            <w:tcW w:w="3915" w:type="pct"/>
            <w:gridSpan w:val="7"/>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1"/>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Restricted benefit</w:t>
            </w:r>
          </w:p>
          <w:p w:rsidR="00826F6D" w:rsidRPr="004422E3" w:rsidRDefault="00B329C8" w:rsidP="00EB0B63">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00826F6D" w:rsidRPr="00DC42CB">
              <w:rPr>
                <w:rFonts w:ascii="Arial Narrow" w:hAnsi="Arial Narrow" w:cs="Arial"/>
                <w:sz w:val="20"/>
                <w:szCs w:val="20"/>
              </w:rPr>
              <w:t>Authority Required - In Writing</w:t>
            </w:r>
          </w:p>
          <w:p w:rsidR="00826F6D" w:rsidRPr="004422E3" w:rsidRDefault="00B329C8" w:rsidP="00EB0B63">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00826F6D" w:rsidRPr="00DC42CB">
              <w:rPr>
                <w:rFonts w:ascii="Arial Narrow" w:hAnsi="Arial Narrow" w:cs="Arial"/>
                <w:sz w:val="20"/>
                <w:szCs w:val="20"/>
              </w:rPr>
              <w:t>Authority Required - Telephone</w:t>
            </w:r>
          </w:p>
          <w:p w:rsidR="00826F6D" w:rsidRPr="004422E3" w:rsidRDefault="00B329C8" w:rsidP="00EB0B63">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00826F6D" w:rsidRPr="00DC42CB">
              <w:rPr>
                <w:rFonts w:ascii="Arial Narrow" w:hAnsi="Arial Narrow" w:cs="Arial"/>
                <w:sz w:val="20"/>
                <w:szCs w:val="20"/>
              </w:rPr>
              <w:t>Authority Required – Emergency</w:t>
            </w:r>
          </w:p>
          <w:p w:rsidR="00826F6D" w:rsidRPr="004422E3" w:rsidRDefault="00B329C8" w:rsidP="00EB0B63">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5"/>
                  <w:enabled/>
                  <w:calcOnExit w:val="0"/>
                  <w:checkBox>
                    <w:sizeAuto/>
                    <w:default w:val="1"/>
                  </w:checkBox>
                </w:ffData>
              </w:fldChar>
            </w:r>
            <w:bookmarkStart w:id="1" w:name="Check5"/>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bookmarkEnd w:id="1"/>
            <w:r w:rsidR="00826F6D" w:rsidRPr="00DC42CB">
              <w:rPr>
                <w:rFonts w:ascii="Arial Narrow" w:hAnsi="Arial Narrow" w:cs="Arial"/>
                <w:sz w:val="20"/>
                <w:szCs w:val="20"/>
              </w:rPr>
              <w:t>Authority Required - Electronic</w:t>
            </w:r>
          </w:p>
          <w:p w:rsidR="00826F6D" w:rsidRPr="004422E3" w:rsidRDefault="00826F6D" w:rsidP="00EB0B63">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5"/>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Streamlined</w:t>
            </w:r>
          </w:p>
        </w:tc>
      </w:tr>
      <w:tr w:rsidR="00826F6D" w:rsidRPr="004422E3" w:rsidTr="00B329C8">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jc w:val="both"/>
              <w:rPr>
                <w:rFonts w:ascii="Arial Narrow" w:hAnsi="Arial Narrow" w:cs="Arial"/>
                <w:b/>
                <w:sz w:val="20"/>
                <w:szCs w:val="20"/>
              </w:rPr>
            </w:pPr>
            <w:r w:rsidRPr="004422E3">
              <w:rPr>
                <w:rFonts w:ascii="Arial Narrow" w:hAnsi="Arial Narrow" w:cs="Arial"/>
                <w:b/>
                <w:sz w:val="20"/>
                <w:szCs w:val="20"/>
              </w:rPr>
              <w:lastRenderedPageBreak/>
              <w:t>Clinical criteria:</w:t>
            </w:r>
          </w:p>
          <w:p w:rsidR="00826F6D" w:rsidRPr="004422E3" w:rsidRDefault="00826F6D" w:rsidP="00B329C8">
            <w:pPr>
              <w:spacing w:before="40" w:after="40"/>
              <w:jc w:val="both"/>
              <w:rPr>
                <w:rFonts w:ascii="Arial Narrow" w:hAnsi="Arial Narrow" w:cs="Arial"/>
                <w:sz w:val="20"/>
                <w:szCs w:val="20"/>
              </w:rPr>
            </w:pPr>
          </w:p>
        </w:tc>
        <w:tc>
          <w:tcPr>
            <w:tcW w:w="3915" w:type="pct"/>
            <w:gridSpan w:val="7"/>
            <w:tcBorders>
              <w:top w:val="single" w:sz="4" w:space="0" w:color="auto"/>
              <w:left w:val="single" w:sz="4" w:space="0" w:color="auto"/>
              <w:bottom w:val="single" w:sz="4" w:space="0" w:color="auto"/>
              <w:right w:val="single" w:sz="4" w:space="0" w:color="auto"/>
            </w:tcBorders>
          </w:tcPr>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The condition must be diagnosed by a neurologist,</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AND</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Patient must not have had the disease for more than 5 years,</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AND</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Patient must have at least 60 percent of predicted forced vital capacity within the 2 months before commencing therapy with this drug,</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AND</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Patient must be ambulatory; OR</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Patient must not be ambulatory, and must be able to either use upper limbs or to swallow,</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AND</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Patient must not have undergone a tracheostomy,</w:t>
            </w:r>
          </w:p>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AND</w:t>
            </w:r>
          </w:p>
          <w:p w:rsidR="00826F6D"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Patient must not have experienced respiratory failure.</w:t>
            </w:r>
          </w:p>
        </w:tc>
      </w:tr>
      <w:tr w:rsidR="00826F6D" w:rsidRPr="004422E3" w:rsidTr="00B329C8">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jc w:val="both"/>
              <w:rPr>
                <w:rFonts w:ascii="Arial Narrow" w:hAnsi="Arial Narrow" w:cs="Arial"/>
                <w:b/>
                <w:sz w:val="20"/>
                <w:szCs w:val="20"/>
              </w:rPr>
            </w:pPr>
            <w:r w:rsidRPr="004422E3">
              <w:rPr>
                <w:rFonts w:ascii="Arial Narrow" w:hAnsi="Arial Narrow" w:cs="Arial"/>
                <w:b/>
                <w:sz w:val="20"/>
                <w:szCs w:val="20"/>
              </w:rPr>
              <w:t>Prescriber Instructions</w:t>
            </w:r>
          </w:p>
        </w:tc>
        <w:tc>
          <w:tcPr>
            <w:tcW w:w="3915" w:type="pct"/>
            <w:gridSpan w:val="7"/>
            <w:tcBorders>
              <w:top w:val="single" w:sz="4" w:space="0" w:color="auto"/>
              <w:left w:val="single" w:sz="4" w:space="0" w:color="auto"/>
              <w:bottom w:val="single" w:sz="4" w:space="0" w:color="auto"/>
              <w:right w:val="single" w:sz="4" w:space="0" w:color="auto"/>
            </w:tcBorders>
          </w:tcPr>
          <w:p w:rsidR="00826F6D" w:rsidRPr="004422E3" w:rsidRDefault="00B329C8" w:rsidP="00EB0B63">
            <w:pPr>
              <w:spacing w:before="40" w:after="40"/>
              <w:rPr>
                <w:rFonts w:ascii="Arial Narrow" w:hAnsi="Arial Narrow" w:cs="Arial"/>
                <w:sz w:val="20"/>
                <w:szCs w:val="20"/>
              </w:rPr>
            </w:pPr>
            <w:r w:rsidRPr="004422E3">
              <w:rPr>
                <w:rFonts w:ascii="Arial Narrow" w:hAnsi="Arial Narrow" w:cs="Arial"/>
                <w:sz w:val="20"/>
                <w:szCs w:val="20"/>
              </w:rPr>
              <w:t>The date of diagnosis and the date and results of spirometry (in terms of percent of predicted forced vital capacity) must be supplied with the initial authority application.</w:t>
            </w:r>
          </w:p>
        </w:tc>
      </w:tr>
      <w:tr w:rsidR="00826F6D" w:rsidRPr="004422E3" w:rsidTr="00B329C8">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4422E3" w:rsidRDefault="00826F6D" w:rsidP="00EB0B63">
            <w:pPr>
              <w:spacing w:before="40" w:after="40"/>
              <w:jc w:val="both"/>
              <w:rPr>
                <w:rFonts w:ascii="Arial Narrow" w:hAnsi="Arial Narrow" w:cs="Arial"/>
                <w:b/>
                <w:sz w:val="20"/>
                <w:szCs w:val="20"/>
              </w:rPr>
            </w:pPr>
            <w:r w:rsidRPr="004422E3">
              <w:rPr>
                <w:rFonts w:ascii="Arial Narrow" w:hAnsi="Arial Narrow" w:cs="Arial"/>
                <w:b/>
                <w:sz w:val="20"/>
                <w:szCs w:val="20"/>
              </w:rPr>
              <w:t>Administrative Advice</w:t>
            </w:r>
          </w:p>
          <w:p w:rsidR="00826F6D" w:rsidRPr="004422E3" w:rsidRDefault="00826F6D" w:rsidP="00B329C8">
            <w:pPr>
              <w:spacing w:before="40" w:after="40"/>
              <w:jc w:val="both"/>
              <w:rPr>
                <w:rFonts w:ascii="Arial Narrow" w:hAnsi="Arial Narrow" w:cs="Arial"/>
                <w:sz w:val="20"/>
                <w:szCs w:val="20"/>
              </w:rPr>
            </w:pPr>
          </w:p>
        </w:tc>
        <w:tc>
          <w:tcPr>
            <w:tcW w:w="3915" w:type="pct"/>
            <w:gridSpan w:val="7"/>
            <w:tcBorders>
              <w:top w:val="single" w:sz="4" w:space="0" w:color="auto"/>
              <w:left w:val="single" w:sz="4" w:space="0" w:color="auto"/>
              <w:bottom w:val="single" w:sz="4" w:space="0" w:color="auto"/>
              <w:right w:val="single" w:sz="4" w:space="0" w:color="auto"/>
            </w:tcBorders>
          </w:tcPr>
          <w:p w:rsidR="00B329C8"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Continuing Therapy Only:</w:t>
            </w:r>
          </w:p>
          <w:p w:rsidR="00B329C8" w:rsidRPr="004422E3" w:rsidRDefault="00B329C8" w:rsidP="00B329C8">
            <w:pPr>
              <w:spacing w:before="40" w:after="40"/>
              <w:rPr>
                <w:rFonts w:ascii="Arial Narrow" w:hAnsi="Arial Narrow" w:cs="Arial"/>
                <w:sz w:val="20"/>
                <w:szCs w:val="20"/>
              </w:rPr>
            </w:pPr>
          </w:p>
          <w:p w:rsidR="00826F6D" w:rsidRPr="004422E3" w:rsidRDefault="00B329C8" w:rsidP="00B329C8">
            <w:pPr>
              <w:spacing w:before="40" w:after="40"/>
              <w:rPr>
                <w:rFonts w:ascii="Arial Narrow" w:hAnsi="Arial Narrow" w:cs="Arial"/>
                <w:sz w:val="20"/>
                <w:szCs w:val="20"/>
              </w:rPr>
            </w:pPr>
            <w:r w:rsidRPr="004422E3">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826F6D" w:rsidRPr="004422E3" w:rsidRDefault="00826F6D" w:rsidP="002D4543">
      <w:pPr>
        <w:rPr>
          <w:szCs w:val="22"/>
        </w:rPr>
      </w:pPr>
    </w:p>
    <w:tbl>
      <w:tblPr>
        <w:tblW w:w="4915" w:type="pct"/>
        <w:tblLook w:val="0000" w:firstRow="0" w:lastRow="0" w:firstColumn="0" w:lastColumn="0" w:noHBand="0" w:noVBand="0"/>
      </w:tblPr>
      <w:tblGrid>
        <w:gridCol w:w="1916"/>
        <w:gridCol w:w="6947"/>
      </w:tblGrid>
      <w:tr w:rsidR="00934150" w:rsidRPr="004422E3" w:rsidTr="008E012B">
        <w:trPr>
          <w:cantSplit/>
          <w:trHeight w:val="360"/>
        </w:trPr>
        <w:tc>
          <w:tcPr>
            <w:tcW w:w="1081"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jc w:val="both"/>
              <w:rPr>
                <w:rFonts w:ascii="Arial Narrow" w:hAnsi="Arial Narrow" w:cs="Arial"/>
                <w:b/>
                <w:sz w:val="20"/>
                <w:szCs w:val="20"/>
              </w:rPr>
            </w:pPr>
            <w:r w:rsidRPr="004422E3">
              <w:rPr>
                <w:rFonts w:ascii="Arial Narrow" w:hAnsi="Arial Narrow" w:cs="Arial"/>
                <w:b/>
                <w:sz w:val="20"/>
                <w:szCs w:val="20"/>
              </w:rPr>
              <w:t>Category / Program</w:t>
            </w:r>
          </w:p>
        </w:tc>
        <w:tc>
          <w:tcPr>
            <w:tcW w:w="3919"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GENERAL – General Schedule (Code GE)</w:t>
            </w:r>
          </w:p>
        </w:tc>
      </w:tr>
      <w:tr w:rsidR="00934150" w:rsidRPr="004422E3" w:rsidTr="008E012B">
        <w:trPr>
          <w:cantSplit/>
          <w:trHeight w:val="360"/>
        </w:trPr>
        <w:tc>
          <w:tcPr>
            <w:tcW w:w="1081"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jc w:val="both"/>
              <w:rPr>
                <w:rFonts w:ascii="Arial Narrow" w:hAnsi="Arial Narrow" w:cs="Arial"/>
                <w:b/>
                <w:sz w:val="20"/>
                <w:szCs w:val="20"/>
              </w:rPr>
            </w:pPr>
            <w:r w:rsidRPr="004422E3">
              <w:rPr>
                <w:rFonts w:ascii="Arial Narrow" w:hAnsi="Arial Narrow" w:cs="Arial"/>
                <w:b/>
                <w:sz w:val="20"/>
                <w:szCs w:val="20"/>
              </w:rPr>
              <w:t>Prescriber type:</w:t>
            </w:r>
          </w:p>
        </w:tc>
        <w:tc>
          <w:tcPr>
            <w:tcW w:w="3919"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1"/>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 xml:space="preserve">Dental  </w:t>
            </w:r>
            <w:r w:rsidRPr="000A3C7B">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 xml:space="preserve">Medical Practitioners  </w:t>
            </w:r>
            <w:r w:rsidRPr="000A3C7B">
              <w:rPr>
                <w:rFonts w:ascii="Arial Narrow" w:hAnsi="Arial Narrow" w:cs="Arial"/>
                <w:sz w:val="20"/>
                <w:szCs w:val="20"/>
              </w:rPr>
              <w:fldChar w:fldCharType="begin">
                <w:ffData>
                  <w:name w:val="Check3"/>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 xml:space="preserve">Nurse practitioners  </w:t>
            </w:r>
            <w:r w:rsidRPr="000A3C7B">
              <w:rPr>
                <w:rFonts w:ascii="Arial Narrow" w:hAnsi="Arial Narrow" w:cs="Arial"/>
                <w:sz w:val="20"/>
                <w:szCs w:val="20"/>
              </w:rPr>
              <w:fldChar w:fldCharType="begin">
                <w:ffData>
                  <w:name w:val=""/>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Optometrist</w:t>
            </w:r>
            <w:r w:rsidRPr="004422E3">
              <w:rPr>
                <w:rFonts w:ascii="Arial Narrow" w:hAnsi="Arial Narrow" w:cs="Arial"/>
                <w:sz w:val="20"/>
                <w:szCs w:val="20"/>
              </w:rPr>
              <w:t>s</w:t>
            </w:r>
          </w:p>
          <w:p w:rsidR="00934150" w:rsidRPr="004422E3" w:rsidRDefault="00934150" w:rsidP="00CB1E7B">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5"/>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Midwives</w:t>
            </w:r>
          </w:p>
        </w:tc>
      </w:tr>
      <w:tr w:rsidR="00934150" w:rsidRPr="004422E3" w:rsidTr="008E012B">
        <w:trPr>
          <w:cantSplit/>
          <w:trHeight w:val="360"/>
        </w:trPr>
        <w:tc>
          <w:tcPr>
            <w:tcW w:w="1081"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jc w:val="both"/>
              <w:rPr>
                <w:rFonts w:ascii="Arial Narrow" w:hAnsi="Arial Narrow" w:cs="Arial"/>
                <w:b/>
                <w:sz w:val="20"/>
                <w:szCs w:val="20"/>
              </w:rPr>
            </w:pPr>
            <w:r w:rsidRPr="004422E3">
              <w:rPr>
                <w:rFonts w:ascii="Arial Narrow" w:hAnsi="Arial Narrow" w:cs="Arial"/>
                <w:b/>
                <w:sz w:val="20"/>
                <w:szCs w:val="20"/>
              </w:rPr>
              <w:t>Condition:</w:t>
            </w:r>
          </w:p>
        </w:tc>
        <w:tc>
          <w:tcPr>
            <w:tcW w:w="3919"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Amyotrophic lateral sclerosis</w:t>
            </w:r>
          </w:p>
        </w:tc>
      </w:tr>
      <w:tr w:rsidR="00934150" w:rsidRPr="004422E3" w:rsidTr="008E012B">
        <w:trPr>
          <w:cantSplit/>
          <w:trHeight w:val="360"/>
        </w:trPr>
        <w:tc>
          <w:tcPr>
            <w:tcW w:w="1081"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jc w:val="both"/>
              <w:rPr>
                <w:rFonts w:ascii="Arial Narrow" w:hAnsi="Arial Narrow" w:cs="Arial"/>
                <w:b/>
                <w:sz w:val="20"/>
                <w:szCs w:val="20"/>
              </w:rPr>
            </w:pPr>
            <w:r w:rsidRPr="004422E3">
              <w:rPr>
                <w:rFonts w:ascii="Arial Narrow" w:hAnsi="Arial Narrow" w:cs="Arial"/>
                <w:b/>
                <w:sz w:val="20"/>
                <w:szCs w:val="20"/>
              </w:rPr>
              <w:t>PBS Indication:</w:t>
            </w:r>
          </w:p>
        </w:tc>
        <w:tc>
          <w:tcPr>
            <w:tcW w:w="3919"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Amyotrophic lateral sclerosis</w:t>
            </w:r>
          </w:p>
        </w:tc>
      </w:tr>
      <w:tr w:rsidR="00934150" w:rsidRPr="004422E3" w:rsidTr="008E012B">
        <w:trPr>
          <w:cantSplit/>
          <w:trHeight w:val="360"/>
        </w:trPr>
        <w:tc>
          <w:tcPr>
            <w:tcW w:w="1081"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jc w:val="both"/>
              <w:rPr>
                <w:rFonts w:ascii="Arial Narrow" w:hAnsi="Arial Narrow" w:cs="Arial"/>
                <w:b/>
                <w:sz w:val="20"/>
                <w:szCs w:val="20"/>
              </w:rPr>
            </w:pPr>
            <w:r w:rsidRPr="004422E3">
              <w:rPr>
                <w:rFonts w:ascii="Arial Narrow" w:hAnsi="Arial Narrow" w:cs="Arial"/>
                <w:b/>
                <w:sz w:val="20"/>
                <w:szCs w:val="20"/>
              </w:rPr>
              <w:t>Treatment phase:</w:t>
            </w:r>
          </w:p>
        </w:tc>
        <w:tc>
          <w:tcPr>
            <w:tcW w:w="3919" w:type="pct"/>
            <w:tcBorders>
              <w:top w:val="single" w:sz="4" w:space="0" w:color="auto"/>
              <w:left w:val="single" w:sz="4" w:space="0" w:color="auto"/>
              <w:bottom w:val="single" w:sz="4" w:space="0" w:color="auto"/>
              <w:right w:val="single" w:sz="4" w:space="0" w:color="auto"/>
            </w:tcBorders>
          </w:tcPr>
          <w:p w:rsidR="00934150" w:rsidRPr="004422E3" w:rsidRDefault="00A728B5" w:rsidP="00CB1E7B">
            <w:pPr>
              <w:spacing w:before="40" w:after="40"/>
              <w:rPr>
                <w:rFonts w:ascii="Arial Narrow" w:hAnsi="Arial Narrow" w:cs="Arial"/>
                <w:sz w:val="20"/>
                <w:szCs w:val="20"/>
              </w:rPr>
            </w:pPr>
            <w:r w:rsidRPr="004422E3">
              <w:rPr>
                <w:rFonts w:ascii="Arial Narrow" w:hAnsi="Arial Narrow" w:cs="Arial"/>
                <w:sz w:val="20"/>
                <w:szCs w:val="20"/>
              </w:rPr>
              <w:t>Continuing</w:t>
            </w:r>
            <w:r w:rsidR="00934150" w:rsidRPr="004422E3">
              <w:rPr>
                <w:rFonts w:ascii="Arial Narrow" w:hAnsi="Arial Narrow" w:cs="Arial"/>
                <w:sz w:val="20"/>
                <w:szCs w:val="20"/>
              </w:rPr>
              <w:t xml:space="preserve"> treatment</w:t>
            </w:r>
          </w:p>
        </w:tc>
      </w:tr>
      <w:tr w:rsidR="00934150" w:rsidRPr="004422E3" w:rsidTr="008E012B">
        <w:trPr>
          <w:cantSplit/>
          <w:trHeight w:val="360"/>
        </w:trPr>
        <w:tc>
          <w:tcPr>
            <w:tcW w:w="1081"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jc w:val="both"/>
              <w:rPr>
                <w:rFonts w:ascii="Arial Narrow" w:hAnsi="Arial Narrow" w:cs="Arial"/>
                <w:b/>
                <w:sz w:val="20"/>
                <w:szCs w:val="20"/>
              </w:rPr>
            </w:pPr>
            <w:r w:rsidRPr="004422E3">
              <w:rPr>
                <w:rFonts w:ascii="Arial Narrow" w:hAnsi="Arial Narrow" w:cs="Arial"/>
                <w:b/>
                <w:sz w:val="20"/>
                <w:szCs w:val="20"/>
              </w:rPr>
              <w:t>Restriction Level / Method:</w:t>
            </w:r>
          </w:p>
          <w:p w:rsidR="00934150" w:rsidRPr="004422E3" w:rsidRDefault="00934150" w:rsidP="00CB1E7B">
            <w:pPr>
              <w:spacing w:before="40" w:after="40"/>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1"/>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Restricted benefit</w:t>
            </w:r>
          </w:p>
          <w:p w:rsidR="00934150" w:rsidRPr="004422E3" w:rsidRDefault="00934150" w:rsidP="00CB1E7B">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Authority Required - In Writing</w:t>
            </w:r>
          </w:p>
          <w:p w:rsidR="00934150" w:rsidRPr="004422E3" w:rsidRDefault="00934150" w:rsidP="00CB1E7B">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Authority Required - Telephone</w:t>
            </w:r>
          </w:p>
          <w:p w:rsidR="00934150" w:rsidRPr="004422E3" w:rsidRDefault="00934150" w:rsidP="00CB1E7B">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Authority Required – Emergency</w:t>
            </w:r>
          </w:p>
          <w:p w:rsidR="00934150" w:rsidRPr="004422E3" w:rsidRDefault="00934150" w:rsidP="00CB1E7B">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5"/>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Authority Required - Electronic</w:t>
            </w:r>
          </w:p>
          <w:p w:rsidR="00934150" w:rsidRPr="004422E3" w:rsidRDefault="00934150" w:rsidP="00CB1E7B">
            <w:pPr>
              <w:spacing w:before="40" w:after="40"/>
              <w:rPr>
                <w:rFonts w:ascii="Arial Narrow" w:hAnsi="Arial Narrow" w:cs="Arial"/>
                <w:sz w:val="20"/>
                <w:szCs w:val="20"/>
              </w:rPr>
            </w:pPr>
            <w:r w:rsidRPr="000A3C7B">
              <w:rPr>
                <w:rFonts w:ascii="Arial Narrow" w:hAnsi="Arial Narrow" w:cs="Arial"/>
                <w:sz w:val="20"/>
                <w:szCs w:val="20"/>
              </w:rPr>
              <w:fldChar w:fldCharType="begin">
                <w:ffData>
                  <w:name w:val="Check5"/>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0A3C7B">
              <w:rPr>
                <w:rFonts w:ascii="Arial Narrow" w:hAnsi="Arial Narrow" w:cs="Arial"/>
                <w:sz w:val="20"/>
                <w:szCs w:val="20"/>
              </w:rPr>
              <w:fldChar w:fldCharType="end"/>
            </w:r>
            <w:r w:rsidRPr="00DC42CB">
              <w:rPr>
                <w:rFonts w:ascii="Arial Narrow" w:hAnsi="Arial Narrow" w:cs="Arial"/>
                <w:sz w:val="20"/>
                <w:szCs w:val="20"/>
              </w:rPr>
              <w:t>Streamlined</w:t>
            </w:r>
          </w:p>
        </w:tc>
      </w:tr>
      <w:tr w:rsidR="00934150" w:rsidRPr="004422E3" w:rsidTr="008E012B">
        <w:trPr>
          <w:cantSplit/>
          <w:trHeight w:val="360"/>
        </w:trPr>
        <w:tc>
          <w:tcPr>
            <w:tcW w:w="1081"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jc w:val="both"/>
              <w:rPr>
                <w:rFonts w:ascii="Arial Narrow" w:hAnsi="Arial Narrow" w:cs="Arial"/>
                <w:b/>
                <w:sz w:val="20"/>
                <w:szCs w:val="20"/>
              </w:rPr>
            </w:pPr>
            <w:r w:rsidRPr="004422E3">
              <w:rPr>
                <w:rFonts w:ascii="Arial Narrow" w:hAnsi="Arial Narrow" w:cs="Arial"/>
                <w:b/>
                <w:sz w:val="20"/>
                <w:szCs w:val="20"/>
              </w:rPr>
              <w:t>Clinical criteria:</w:t>
            </w:r>
          </w:p>
          <w:p w:rsidR="00934150" w:rsidRPr="004422E3" w:rsidRDefault="00934150" w:rsidP="00CB1E7B">
            <w:pPr>
              <w:spacing w:before="40" w:after="40"/>
              <w:jc w:val="both"/>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rsidR="00B876CD" w:rsidRPr="004422E3" w:rsidRDefault="00B876CD" w:rsidP="00CB1E7B">
            <w:pPr>
              <w:spacing w:before="40" w:after="40"/>
              <w:rPr>
                <w:rFonts w:ascii="Arial Narrow" w:hAnsi="Arial Narrow" w:cs="Arial"/>
                <w:sz w:val="20"/>
                <w:szCs w:val="20"/>
              </w:rPr>
            </w:pPr>
            <w:r w:rsidRPr="004422E3">
              <w:rPr>
                <w:rFonts w:ascii="Arial Narrow" w:hAnsi="Arial Narrow" w:cs="Arial"/>
                <w:sz w:val="20"/>
                <w:szCs w:val="20"/>
              </w:rPr>
              <w:t xml:space="preserve">Patient must have previously been issued with an authority prescription for this drug, </w:t>
            </w:r>
          </w:p>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AND</w:t>
            </w:r>
          </w:p>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Patient must be ambulatory; OR</w:t>
            </w:r>
          </w:p>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Patient must not be ambulatory, and must be able to either use upper limbs or to swallow,</w:t>
            </w:r>
          </w:p>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AND</w:t>
            </w:r>
          </w:p>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Patient must not have undergone a tracheostomy,</w:t>
            </w:r>
          </w:p>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AND</w:t>
            </w:r>
          </w:p>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Patient must not have experienced respiratory failure.</w:t>
            </w:r>
          </w:p>
        </w:tc>
      </w:tr>
      <w:tr w:rsidR="00934150" w:rsidRPr="004422E3" w:rsidTr="008E012B">
        <w:trPr>
          <w:cantSplit/>
          <w:trHeight w:val="360"/>
        </w:trPr>
        <w:tc>
          <w:tcPr>
            <w:tcW w:w="1081"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jc w:val="both"/>
              <w:rPr>
                <w:rFonts w:ascii="Arial Narrow" w:hAnsi="Arial Narrow" w:cs="Arial"/>
                <w:b/>
                <w:sz w:val="20"/>
                <w:szCs w:val="20"/>
              </w:rPr>
            </w:pPr>
            <w:r w:rsidRPr="004422E3">
              <w:rPr>
                <w:rFonts w:ascii="Arial Narrow" w:hAnsi="Arial Narrow" w:cs="Arial"/>
                <w:b/>
                <w:sz w:val="20"/>
                <w:szCs w:val="20"/>
              </w:rPr>
              <w:lastRenderedPageBreak/>
              <w:t>Administrative Advice</w:t>
            </w:r>
          </w:p>
          <w:p w:rsidR="00934150" w:rsidRPr="004422E3" w:rsidRDefault="00934150" w:rsidP="00CB1E7B">
            <w:pPr>
              <w:spacing w:before="40" w:after="40"/>
              <w:jc w:val="both"/>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Continuing Therapy Only:</w:t>
            </w:r>
          </w:p>
          <w:p w:rsidR="00934150" w:rsidRPr="004422E3" w:rsidRDefault="00934150" w:rsidP="00CB1E7B">
            <w:pPr>
              <w:spacing w:before="40" w:after="40"/>
              <w:rPr>
                <w:rFonts w:ascii="Arial Narrow" w:hAnsi="Arial Narrow" w:cs="Arial"/>
                <w:sz w:val="20"/>
                <w:szCs w:val="20"/>
              </w:rPr>
            </w:pPr>
          </w:p>
          <w:p w:rsidR="00934150" w:rsidRPr="004422E3" w:rsidRDefault="00934150" w:rsidP="00CB1E7B">
            <w:pPr>
              <w:spacing w:before="40" w:after="40"/>
              <w:rPr>
                <w:rFonts w:ascii="Arial Narrow" w:hAnsi="Arial Narrow" w:cs="Arial"/>
                <w:sz w:val="20"/>
                <w:szCs w:val="20"/>
              </w:rPr>
            </w:pPr>
            <w:r w:rsidRPr="004422E3">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D1455A" w:rsidRPr="004422E3" w:rsidRDefault="00D1455A" w:rsidP="00FA2598">
      <w:pPr>
        <w:pStyle w:val="Heading2"/>
      </w:pPr>
      <w:r w:rsidRPr="004422E3">
        <w:t xml:space="preserve">Secretariat comments </w:t>
      </w:r>
      <w:r w:rsidR="00A77613" w:rsidRPr="004422E3">
        <w:t>on the restriction</w:t>
      </w:r>
    </w:p>
    <w:p w:rsidR="00E03B2F" w:rsidRPr="004422E3" w:rsidRDefault="00E03B2F" w:rsidP="00E03B2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The submission requested listing at a higher price than the tablet formulation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Given the liquid formulation may be suitable for patients who cannot use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tablets, the PBAC may wish to consider restricting the liquid form to these patients as part of its consideration of the cost-effectiveness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liquid.</w:t>
      </w:r>
    </w:p>
    <w:p w:rsidR="00934150" w:rsidRPr="004422E3" w:rsidRDefault="00934150" w:rsidP="00934150">
      <w:pPr>
        <w:jc w:val="both"/>
        <w:rPr>
          <w:rFonts w:ascii="Calibri" w:hAnsi="Calibri" w:cs="Arial"/>
          <w:b/>
        </w:rPr>
      </w:pPr>
      <w:r w:rsidRPr="004422E3">
        <w:rPr>
          <w:rFonts w:ascii="Calibri" w:hAnsi="Calibri"/>
          <w:b/>
        </w:rPr>
        <w:t xml:space="preserve">National Health Act considerations </w:t>
      </w:r>
    </w:p>
    <w:p w:rsidR="00934150" w:rsidRPr="004422E3" w:rsidRDefault="00934150" w:rsidP="0093415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If the submission is rejected by the PBAC, it would not meet the criteria for an Independent Review as the request is not for an entirely different disease, objectively different subtype of the same disease or targeting a different disease stage. </w:t>
      </w:r>
    </w:p>
    <w:p w:rsidR="00934150" w:rsidRPr="004422E3" w:rsidRDefault="00934150" w:rsidP="0093415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The requested restriction is considered to be simple as the submission requested the same restriction as the current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listings.</w:t>
      </w:r>
    </w:p>
    <w:p w:rsidR="00934150" w:rsidRPr="004422E3" w:rsidRDefault="00934150" w:rsidP="00934150">
      <w:pPr>
        <w:jc w:val="both"/>
        <w:rPr>
          <w:rFonts w:ascii="Calibri" w:hAnsi="Calibri" w:cs="Arial"/>
          <w:b/>
        </w:rPr>
      </w:pPr>
      <w:r w:rsidRPr="004422E3">
        <w:rPr>
          <w:rFonts w:ascii="Calibri" w:hAnsi="Calibri" w:cs="Arial"/>
          <w:b/>
        </w:rPr>
        <w:t>Early Supply Rule</w:t>
      </w:r>
    </w:p>
    <w:p w:rsidR="00B22E84" w:rsidRPr="004422E3" w:rsidRDefault="00414934" w:rsidP="0093415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Secretariat note</w:t>
      </w:r>
      <w:r w:rsidR="008E69D1" w:rsidRPr="004422E3">
        <w:rPr>
          <w:rFonts w:asciiTheme="minorHAnsi" w:eastAsiaTheme="minorHAnsi" w:hAnsiTheme="minorHAnsi" w:cstheme="minorBidi"/>
          <w:snapToGrid/>
          <w:sz w:val="24"/>
          <w:szCs w:val="22"/>
        </w:rPr>
        <w:t>d</w:t>
      </w:r>
      <w:r w:rsidRPr="004422E3">
        <w:rPr>
          <w:rFonts w:asciiTheme="minorHAnsi" w:eastAsiaTheme="minorHAnsi" w:hAnsiTheme="minorHAnsi" w:cstheme="minorBidi"/>
          <w:snapToGrid/>
          <w:sz w:val="24"/>
          <w:szCs w:val="22"/>
        </w:rPr>
        <w:t xml:space="preserve"> </w:t>
      </w:r>
      <w:r w:rsidR="001A4359" w:rsidRPr="004422E3">
        <w:rPr>
          <w:rFonts w:asciiTheme="minorHAnsi" w:eastAsiaTheme="minorHAnsi" w:hAnsiTheme="minorHAnsi" w:cstheme="minorBidi"/>
          <w:snapToGrid/>
          <w:sz w:val="24"/>
          <w:szCs w:val="22"/>
        </w:rPr>
        <w:t xml:space="preserve">the Early Supply Rule applies to the tablet listing of </w:t>
      </w:r>
      <w:proofErr w:type="spellStart"/>
      <w:r w:rsidR="001A4359" w:rsidRPr="004422E3">
        <w:rPr>
          <w:rFonts w:asciiTheme="minorHAnsi" w:eastAsiaTheme="minorHAnsi" w:hAnsiTheme="minorHAnsi" w:cstheme="minorBidi"/>
          <w:snapToGrid/>
          <w:sz w:val="24"/>
          <w:szCs w:val="22"/>
        </w:rPr>
        <w:t>riluzole</w:t>
      </w:r>
      <w:proofErr w:type="spellEnd"/>
      <w:r w:rsidR="001A4359" w:rsidRPr="004422E3">
        <w:rPr>
          <w:rFonts w:asciiTheme="minorHAnsi" w:eastAsiaTheme="minorHAnsi" w:hAnsiTheme="minorHAnsi" w:cstheme="minorBidi"/>
          <w:snapToGrid/>
          <w:sz w:val="24"/>
          <w:szCs w:val="22"/>
        </w:rPr>
        <w:t>. However, the Secretariat also notes</w:t>
      </w:r>
      <w:r w:rsidR="00934150" w:rsidRPr="004422E3">
        <w:rPr>
          <w:rFonts w:asciiTheme="minorHAnsi" w:eastAsiaTheme="minorHAnsi" w:hAnsiTheme="minorHAnsi" w:cstheme="minorBidi"/>
          <w:snapToGrid/>
          <w:sz w:val="24"/>
          <w:szCs w:val="22"/>
        </w:rPr>
        <w:t xml:space="preserve"> at its April 2015 special meeting, the PBAC advised that circumstances that may support an exemption from the Safety Net Early Supply Rule could include oral liquid preparations. As such, it may be reasonable for the oral liquid formulation of </w:t>
      </w:r>
      <w:proofErr w:type="spellStart"/>
      <w:r w:rsidR="00934150" w:rsidRPr="004422E3">
        <w:rPr>
          <w:rFonts w:asciiTheme="minorHAnsi" w:eastAsiaTheme="minorHAnsi" w:hAnsiTheme="minorHAnsi" w:cstheme="minorBidi"/>
          <w:snapToGrid/>
          <w:sz w:val="24"/>
          <w:szCs w:val="22"/>
        </w:rPr>
        <w:t>riluzole</w:t>
      </w:r>
      <w:proofErr w:type="spellEnd"/>
      <w:r w:rsidR="00934150" w:rsidRPr="004422E3">
        <w:rPr>
          <w:rFonts w:asciiTheme="minorHAnsi" w:eastAsiaTheme="minorHAnsi" w:hAnsiTheme="minorHAnsi" w:cstheme="minorBidi"/>
          <w:snapToGrid/>
          <w:sz w:val="24"/>
          <w:szCs w:val="22"/>
        </w:rPr>
        <w:t xml:space="preserve"> to also be exempt.</w:t>
      </w:r>
    </w:p>
    <w:p w:rsidR="00AC193C" w:rsidRPr="006E221D" w:rsidRDefault="00AC193C" w:rsidP="00FA2598">
      <w:pPr>
        <w:pStyle w:val="Heading2"/>
        <w:rPr>
          <w:i w:val="0"/>
          <w:sz w:val="24"/>
          <w:szCs w:val="24"/>
        </w:rPr>
      </w:pPr>
      <w:r w:rsidRPr="006E221D">
        <w:rPr>
          <w:i w:val="0"/>
          <w:sz w:val="24"/>
          <w:szCs w:val="24"/>
        </w:rPr>
        <w:t>Nurse Practitioner Prescribing</w:t>
      </w:r>
    </w:p>
    <w:p w:rsidR="00934150" w:rsidRPr="004422E3" w:rsidRDefault="00934150" w:rsidP="0093415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Secretariat note</w:t>
      </w:r>
      <w:r w:rsidR="008E69D1" w:rsidRPr="004422E3">
        <w:rPr>
          <w:rFonts w:asciiTheme="minorHAnsi" w:eastAsiaTheme="minorHAnsi" w:hAnsiTheme="minorHAnsi" w:cstheme="minorBidi"/>
          <w:snapToGrid/>
          <w:sz w:val="24"/>
          <w:szCs w:val="22"/>
        </w:rPr>
        <w:t>d</w:t>
      </w:r>
      <w:r w:rsidRPr="004422E3">
        <w:rPr>
          <w:rFonts w:asciiTheme="minorHAnsi" w:eastAsiaTheme="minorHAnsi" w:hAnsiTheme="minorHAnsi" w:cstheme="minorBidi"/>
          <w:snapToGrid/>
          <w:sz w:val="24"/>
          <w:szCs w:val="22"/>
        </w:rPr>
        <w:t xml:space="preserve"> the current listing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is able to be prescribed by nurse practitio</w:t>
      </w:r>
      <w:r w:rsidR="00C328BD" w:rsidRPr="004422E3">
        <w:rPr>
          <w:rFonts w:asciiTheme="minorHAnsi" w:eastAsiaTheme="minorHAnsi" w:hAnsiTheme="minorHAnsi" w:cstheme="minorBidi"/>
          <w:snapToGrid/>
          <w:sz w:val="24"/>
          <w:szCs w:val="22"/>
        </w:rPr>
        <w:t xml:space="preserve">ners as continuing therapy only. </w:t>
      </w:r>
    </w:p>
    <w:p w:rsidR="00AC193C" w:rsidRPr="004422E3" w:rsidRDefault="00AC193C" w:rsidP="00FA2598">
      <w:pPr>
        <w:pStyle w:val="Heading2"/>
      </w:pPr>
      <w:r w:rsidRPr="004422E3">
        <w:t xml:space="preserve">PBS Reform issues </w:t>
      </w:r>
    </w:p>
    <w:p w:rsidR="00AC193C" w:rsidRPr="004422E3" w:rsidRDefault="00AC193C" w:rsidP="00FA2598">
      <w:pPr>
        <w:pStyle w:val="Heading2"/>
      </w:pPr>
      <w:r w:rsidRPr="004422E3">
        <w:t>Section 101(3BA)</w:t>
      </w:r>
    </w:p>
    <w:p w:rsidR="00AC193C" w:rsidRPr="004422E3" w:rsidRDefault="00AC193C" w:rsidP="007A4BF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If recommended for listing, </w:t>
      </w:r>
      <w:r w:rsidR="007A4BF0" w:rsidRPr="004422E3">
        <w:rPr>
          <w:rFonts w:asciiTheme="minorHAnsi" w:eastAsiaTheme="minorHAnsi" w:hAnsiTheme="minorHAnsi" w:cstheme="minorBidi"/>
          <w:snapToGrid/>
          <w:sz w:val="24"/>
          <w:szCs w:val="22"/>
        </w:rPr>
        <w:t xml:space="preserve">the PBAC must make a recommendation as to whether, under Section 101(3BA) of the National Health Act, 1953 </w:t>
      </w:r>
      <w:proofErr w:type="spellStart"/>
      <w:r w:rsidR="007A4BF0" w:rsidRPr="004422E3">
        <w:rPr>
          <w:rFonts w:asciiTheme="minorHAnsi" w:eastAsiaTheme="minorHAnsi" w:hAnsiTheme="minorHAnsi" w:cstheme="minorBidi"/>
          <w:snapToGrid/>
          <w:sz w:val="24"/>
          <w:szCs w:val="22"/>
        </w:rPr>
        <w:t>riluzole</w:t>
      </w:r>
      <w:proofErr w:type="spellEnd"/>
      <w:r w:rsidR="007A4BF0" w:rsidRPr="004422E3">
        <w:rPr>
          <w:rFonts w:asciiTheme="minorHAnsi" w:eastAsiaTheme="minorHAnsi" w:hAnsiTheme="minorHAnsi" w:cstheme="minorBidi"/>
          <w:snapToGrid/>
          <w:sz w:val="24"/>
          <w:szCs w:val="22"/>
        </w:rPr>
        <w:t xml:space="preserve"> should be treated as interchangeable with any other drugs on an individual pati</w:t>
      </w:r>
      <w:r w:rsidR="00ED71D2" w:rsidRPr="004422E3">
        <w:rPr>
          <w:rFonts w:asciiTheme="minorHAnsi" w:eastAsiaTheme="minorHAnsi" w:hAnsiTheme="minorHAnsi" w:cstheme="minorBidi"/>
          <w:snapToGrid/>
          <w:sz w:val="24"/>
          <w:szCs w:val="22"/>
        </w:rPr>
        <w:t>ent basis. The Secretariat noted</w:t>
      </w:r>
      <w:r w:rsidR="007A4BF0" w:rsidRPr="004422E3">
        <w:rPr>
          <w:rFonts w:asciiTheme="minorHAnsi" w:eastAsiaTheme="minorHAnsi" w:hAnsiTheme="minorHAnsi" w:cstheme="minorBidi"/>
          <w:snapToGrid/>
          <w:sz w:val="24"/>
          <w:szCs w:val="22"/>
        </w:rPr>
        <w:t xml:space="preserve"> that </w:t>
      </w:r>
      <w:proofErr w:type="spellStart"/>
      <w:r w:rsidR="007A4BF0" w:rsidRPr="004422E3">
        <w:rPr>
          <w:rFonts w:asciiTheme="minorHAnsi" w:eastAsiaTheme="minorHAnsi" w:hAnsiTheme="minorHAnsi" w:cstheme="minorBidi"/>
          <w:snapToGrid/>
          <w:sz w:val="24"/>
          <w:szCs w:val="22"/>
        </w:rPr>
        <w:t>riluzole</w:t>
      </w:r>
      <w:proofErr w:type="spellEnd"/>
      <w:r w:rsidR="007A4BF0" w:rsidRPr="004422E3">
        <w:rPr>
          <w:rFonts w:asciiTheme="minorHAnsi" w:eastAsiaTheme="minorHAnsi" w:hAnsiTheme="minorHAnsi" w:cstheme="minorBidi"/>
          <w:snapToGrid/>
          <w:sz w:val="24"/>
          <w:szCs w:val="22"/>
        </w:rPr>
        <w:t xml:space="preserve"> was originally recommended prior to the requirement to provide advice under this section of the</w:t>
      </w:r>
      <w:r w:rsidR="00ED71D2" w:rsidRPr="004422E3">
        <w:rPr>
          <w:rFonts w:asciiTheme="minorHAnsi" w:eastAsiaTheme="minorHAnsi" w:hAnsiTheme="minorHAnsi" w:cstheme="minorBidi"/>
          <w:snapToGrid/>
          <w:sz w:val="24"/>
          <w:szCs w:val="22"/>
        </w:rPr>
        <w:t xml:space="preserve"> Act. The Secretariat also noted</w:t>
      </w:r>
      <w:r w:rsidR="007A4BF0" w:rsidRPr="004422E3">
        <w:rPr>
          <w:rFonts w:asciiTheme="minorHAnsi" w:eastAsiaTheme="minorHAnsi" w:hAnsiTheme="minorHAnsi" w:cstheme="minorBidi"/>
          <w:snapToGrid/>
          <w:sz w:val="24"/>
          <w:szCs w:val="22"/>
        </w:rPr>
        <w:t xml:space="preserve"> </w:t>
      </w:r>
      <w:proofErr w:type="spellStart"/>
      <w:r w:rsidR="007A4BF0" w:rsidRPr="004422E3">
        <w:rPr>
          <w:rFonts w:asciiTheme="minorHAnsi" w:eastAsiaTheme="minorHAnsi" w:hAnsiTheme="minorHAnsi" w:cstheme="minorBidi"/>
          <w:snapToGrid/>
          <w:sz w:val="24"/>
          <w:szCs w:val="22"/>
        </w:rPr>
        <w:t>riluzole</w:t>
      </w:r>
      <w:proofErr w:type="spellEnd"/>
      <w:r w:rsidR="007A4BF0" w:rsidRPr="004422E3">
        <w:rPr>
          <w:rFonts w:asciiTheme="minorHAnsi" w:eastAsiaTheme="minorHAnsi" w:hAnsiTheme="minorHAnsi" w:cstheme="minorBidi"/>
          <w:snapToGrid/>
          <w:sz w:val="24"/>
          <w:szCs w:val="22"/>
        </w:rPr>
        <w:t xml:space="preserve"> is currently the only treatment PBS-subsidised for ALS.</w:t>
      </w:r>
    </w:p>
    <w:p w:rsidR="00AC193C" w:rsidRPr="004422E3" w:rsidRDefault="00AC193C" w:rsidP="00FA2598">
      <w:pPr>
        <w:pStyle w:val="Heading2"/>
      </w:pPr>
      <w:r w:rsidRPr="004422E3">
        <w:t>Suggested wording for the restriction:</w:t>
      </w:r>
    </w:p>
    <w:p w:rsidR="007A4BF0" w:rsidRPr="004422E3" w:rsidRDefault="007A4BF0" w:rsidP="007A4BF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The request to align the listing of the liquid form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with the current tablet listings is reasonable, therefore a Secretariat suggested wording has not been proposed.</w:t>
      </w:r>
    </w:p>
    <w:p w:rsidR="0059233B" w:rsidRPr="004422E3" w:rsidRDefault="0059233B" w:rsidP="0059233B">
      <w:pPr>
        <w:spacing w:after="120"/>
        <w:rPr>
          <w:rFonts w:asciiTheme="minorHAnsi" w:eastAsiaTheme="minorHAnsi" w:hAnsiTheme="minorHAnsi" w:cstheme="minorBidi"/>
          <w:szCs w:val="22"/>
        </w:rPr>
      </w:pPr>
      <w:r w:rsidRPr="004422E3">
        <w:rPr>
          <w:rFonts w:asciiTheme="minorHAnsi" w:hAnsiTheme="minorHAnsi" w:cstheme="minorHAnsi"/>
          <w:i/>
        </w:rPr>
        <w:t>For more detail on PBAC’s view, see section 7 PBAC outcome.</w:t>
      </w:r>
    </w:p>
    <w:p w:rsidR="00C603D4" w:rsidRPr="004422E3" w:rsidRDefault="00CE10C4" w:rsidP="00696129">
      <w:pPr>
        <w:pStyle w:val="PBACHeading1"/>
        <w:spacing w:before="240" w:after="120"/>
        <w:ind w:left="709" w:hanging="709"/>
        <w:rPr>
          <w:rFonts w:asciiTheme="minorHAnsi" w:hAnsiTheme="minorHAnsi"/>
          <w:sz w:val="32"/>
          <w:szCs w:val="32"/>
        </w:rPr>
      </w:pPr>
      <w:r w:rsidRPr="004422E3">
        <w:rPr>
          <w:rFonts w:asciiTheme="minorHAnsi" w:hAnsiTheme="minorHAnsi"/>
          <w:sz w:val="32"/>
          <w:szCs w:val="32"/>
        </w:rPr>
        <w:lastRenderedPageBreak/>
        <w:t>Background</w:t>
      </w:r>
    </w:p>
    <w:p w:rsidR="006B0D94" w:rsidRPr="004422E3" w:rsidRDefault="00BE51EE"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is TGA registered for</w:t>
      </w:r>
      <w:r w:rsidR="00C328BD" w:rsidRPr="004422E3">
        <w:rPr>
          <w:rFonts w:asciiTheme="minorHAnsi" w:eastAsiaTheme="minorHAnsi" w:hAnsiTheme="minorHAnsi" w:cstheme="minorBidi"/>
          <w:snapToGrid/>
          <w:sz w:val="24"/>
          <w:szCs w:val="22"/>
        </w:rPr>
        <w:t xml:space="preserve"> the treatment of patients with ALS</w:t>
      </w:r>
      <w:r w:rsidRPr="004422E3">
        <w:rPr>
          <w:rFonts w:asciiTheme="minorHAnsi" w:eastAsiaTheme="minorHAnsi" w:hAnsiTheme="minorHAnsi" w:cstheme="minorBidi"/>
          <w:snapToGrid/>
          <w:sz w:val="24"/>
          <w:szCs w:val="22"/>
        </w:rPr>
        <w:t xml:space="preserve">. The 50 mg tablet was first registered on 13 May 2002, branded as </w:t>
      </w:r>
      <w:proofErr w:type="spellStart"/>
      <w:r w:rsidRPr="004422E3">
        <w:rPr>
          <w:rFonts w:asciiTheme="minorHAnsi" w:eastAsiaTheme="minorHAnsi" w:hAnsiTheme="minorHAnsi" w:cstheme="minorBidi"/>
          <w:snapToGrid/>
          <w:sz w:val="24"/>
          <w:szCs w:val="22"/>
        </w:rPr>
        <w:t>Rilutek</w:t>
      </w:r>
      <w:proofErr w:type="spellEnd"/>
      <w:r w:rsidRPr="004422E3">
        <w:rPr>
          <w:rFonts w:asciiTheme="minorHAnsi" w:eastAsiaTheme="minorHAnsi" w:hAnsiTheme="minorHAnsi" w:cstheme="minorHAnsi"/>
          <w:snapToGrid/>
          <w:sz w:val="24"/>
          <w:szCs w:val="22"/>
          <w:vertAlign w:val="superscript"/>
        </w:rPr>
        <w:t>®</w:t>
      </w:r>
      <w:r w:rsidRPr="004422E3">
        <w:rPr>
          <w:rFonts w:asciiTheme="minorHAnsi" w:eastAsiaTheme="minorHAnsi" w:hAnsiTheme="minorHAnsi" w:cstheme="minorBidi"/>
          <w:snapToGrid/>
          <w:sz w:val="24"/>
          <w:szCs w:val="22"/>
        </w:rPr>
        <w:t xml:space="preserve"> (sponsored by Sanofi-Aventis Australia Pty Ltd). Generic</w:t>
      </w:r>
      <w:r w:rsidR="00C328BD" w:rsidRPr="004422E3">
        <w:rPr>
          <w:rFonts w:asciiTheme="minorHAnsi" w:eastAsiaTheme="minorHAnsi" w:hAnsiTheme="minorHAnsi" w:cstheme="minorBidi"/>
          <w:snapToGrid/>
          <w:sz w:val="24"/>
          <w:szCs w:val="22"/>
        </w:rPr>
        <w:t>s of the</w:t>
      </w:r>
      <w:r w:rsidRPr="004422E3">
        <w:rPr>
          <w:rFonts w:asciiTheme="minorHAnsi" w:eastAsiaTheme="minorHAnsi" w:hAnsiTheme="minorHAnsi" w:cstheme="minorBidi"/>
          <w:snapToGrid/>
          <w:sz w:val="24"/>
          <w:szCs w:val="22"/>
        </w:rPr>
        <w:t xml:space="preserve"> 50 mg tablet are TGA-registered and listed on the PBS. The liquid formulation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was TGA-registered on 21 August 2018.</w:t>
      </w:r>
    </w:p>
    <w:p w:rsidR="00FD36A7" w:rsidRPr="004422E3" w:rsidRDefault="001C0EF1" w:rsidP="00FD36A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was first considered by the PBAC at its June 2002 meeting. The initial submission was rejected on the basis of a meta-analysis of four trials which suggested a lack of significant differences in outcomes between placebo and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-treated groups. At the time, the PBAC considered it was likely </w:t>
      </w:r>
      <w:r w:rsidR="00C328BD" w:rsidRPr="004422E3">
        <w:rPr>
          <w:rFonts w:asciiTheme="minorHAnsi" w:eastAsiaTheme="minorHAnsi" w:hAnsiTheme="minorHAnsi" w:cstheme="minorBidi"/>
          <w:snapToGrid/>
          <w:sz w:val="24"/>
          <w:szCs w:val="22"/>
        </w:rPr>
        <w:t>that some patients with ALS would</w:t>
      </w:r>
      <w:r w:rsidRPr="004422E3">
        <w:rPr>
          <w:rFonts w:asciiTheme="minorHAnsi" w:eastAsiaTheme="minorHAnsi" w:hAnsiTheme="minorHAnsi" w:cstheme="minorBidi"/>
          <w:snapToGrid/>
          <w:sz w:val="24"/>
          <w:szCs w:val="22"/>
        </w:rPr>
        <w:t xml:space="preserve"> benefit,</w:t>
      </w:r>
      <w:r w:rsidR="00C328BD" w:rsidRPr="004422E3">
        <w:rPr>
          <w:rFonts w:asciiTheme="minorHAnsi" w:eastAsiaTheme="minorHAnsi" w:hAnsiTheme="minorHAnsi" w:cstheme="minorBidi"/>
          <w:snapToGrid/>
          <w:sz w:val="24"/>
          <w:szCs w:val="22"/>
        </w:rPr>
        <w:t xml:space="preserve"> however</w:t>
      </w:r>
      <w:r w:rsidRPr="004422E3">
        <w:rPr>
          <w:rFonts w:asciiTheme="minorHAnsi" w:eastAsiaTheme="minorHAnsi" w:hAnsiTheme="minorHAnsi" w:cstheme="minorBidi"/>
          <w:snapToGrid/>
          <w:sz w:val="24"/>
          <w:szCs w:val="22"/>
        </w:rPr>
        <w:t xml:space="preserve"> the submission provided no basis upon which to identify such patients or the magnitude of any be</w:t>
      </w:r>
      <w:r w:rsidR="0061194C" w:rsidRPr="004422E3">
        <w:rPr>
          <w:rFonts w:asciiTheme="minorHAnsi" w:eastAsiaTheme="minorHAnsi" w:hAnsiTheme="minorHAnsi" w:cstheme="minorBidi"/>
          <w:snapToGrid/>
          <w:sz w:val="24"/>
          <w:szCs w:val="22"/>
        </w:rPr>
        <w:t xml:space="preserve">nefit gained by such patients. A subsequent resubmission </w:t>
      </w:r>
      <w:r w:rsidR="00E42D43" w:rsidRPr="004422E3">
        <w:rPr>
          <w:rFonts w:asciiTheme="minorHAnsi" w:eastAsiaTheme="minorHAnsi" w:hAnsiTheme="minorHAnsi" w:cstheme="minorBidi"/>
          <w:snapToGrid/>
          <w:sz w:val="24"/>
          <w:szCs w:val="22"/>
        </w:rPr>
        <w:t>to the December 2002 meeting was</w:t>
      </w:r>
      <w:r w:rsidR="00C328BD" w:rsidRPr="004422E3">
        <w:rPr>
          <w:rFonts w:asciiTheme="minorHAnsi" w:eastAsiaTheme="minorHAnsi" w:hAnsiTheme="minorHAnsi" w:cstheme="minorBidi"/>
          <w:snapToGrid/>
          <w:sz w:val="24"/>
          <w:szCs w:val="22"/>
        </w:rPr>
        <w:t xml:space="preserve"> also</w:t>
      </w:r>
      <w:r w:rsidR="00E42D43" w:rsidRPr="004422E3">
        <w:rPr>
          <w:rFonts w:asciiTheme="minorHAnsi" w:eastAsiaTheme="minorHAnsi" w:hAnsiTheme="minorHAnsi" w:cstheme="minorBidi"/>
          <w:snapToGrid/>
          <w:sz w:val="24"/>
          <w:szCs w:val="22"/>
        </w:rPr>
        <w:t xml:space="preserve"> rejected.</w:t>
      </w:r>
    </w:p>
    <w:p w:rsidR="006A12A5" w:rsidRPr="004422E3" w:rsidRDefault="00E42D43" w:rsidP="001C0EF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At its March 2003 meeting, the PBAC considered a request that the Rule of Rescu</w:t>
      </w:r>
      <w:r w:rsidR="00FD36A7" w:rsidRPr="004422E3">
        <w:rPr>
          <w:rFonts w:asciiTheme="minorHAnsi" w:eastAsiaTheme="minorHAnsi" w:hAnsiTheme="minorHAnsi" w:cstheme="minorBidi"/>
          <w:snapToGrid/>
          <w:sz w:val="24"/>
          <w:szCs w:val="22"/>
        </w:rPr>
        <w:t>e</w:t>
      </w:r>
      <w:r w:rsidR="00FD36A7" w:rsidRPr="004422E3">
        <w:rPr>
          <w:rStyle w:val="FootnoteReference"/>
          <w:rFonts w:asciiTheme="minorHAnsi" w:eastAsiaTheme="minorHAnsi" w:hAnsiTheme="minorHAnsi" w:cstheme="minorBidi"/>
          <w:snapToGrid/>
          <w:sz w:val="24"/>
          <w:szCs w:val="22"/>
        </w:rPr>
        <w:footnoteReference w:id="1"/>
      </w:r>
      <w:r w:rsidR="00A728B5" w:rsidRPr="004422E3">
        <w:rPr>
          <w:rFonts w:asciiTheme="minorHAnsi" w:eastAsiaTheme="minorHAnsi" w:hAnsiTheme="minorHAnsi" w:cstheme="minorBidi"/>
          <w:snapToGrid/>
          <w:sz w:val="24"/>
          <w:szCs w:val="22"/>
        </w:rPr>
        <w:t xml:space="preserve"> </w:t>
      </w:r>
      <w:r w:rsidRPr="004422E3">
        <w:rPr>
          <w:rFonts w:asciiTheme="minorHAnsi" w:eastAsiaTheme="minorHAnsi" w:hAnsiTheme="minorHAnsi" w:cstheme="minorBidi"/>
          <w:snapToGrid/>
          <w:sz w:val="24"/>
          <w:szCs w:val="22"/>
        </w:rPr>
        <w:t xml:space="preserve">should apply to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w:t>
      </w:r>
      <w:r w:rsidR="00615AC7" w:rsidRPr="004422E3">
        <w:rPr>
          <w:rFonts w:asciiTheme="minorHAnsi" w:eastAsiaTheme="minorHAnsi" w:hAnsiTheme="minorHAnsi" w:cstheme="minorBidi"/>
          <w:snapToGrid/>
          <w:sz w:val="24"/>
          <w:szCs w:val="22"/>
        </w:rPr>
        <w:t xml:space="preserve">The PBAC recommended </w:t>
      </w:r>
      <w:proofErr w:type="spellStart"/>
      <w:r w:rsidR="00615AC7" w:rsidRPr="004422E3">
        <w:rPr>
          <w:rFonts w:asciiTheme="minorHAnsi" w:eastAsiaTheme="minorHAnsi" w:hAnsiTheme="minorHAnsi" w:cstheme="minorBidi"/>
          <w:snapToGrid/>
          <w:sz w:val="24"/>
          <w:szCs w:val="22"/>
        </w:rPr>
        <w:t>riluzole</w:t>
      </w:r>
      <w:proofErr w:type="spellEnd"/>
      <w:r w:rsidR="00615AC7" w:rsidRPr="004422E3">
        <w:rPr>
          <w:rFonts w:asciiTheme="minorHAnsi" w:eastAsiaTheme="minorHAnsi" w:hAnsiTheme="minorHAnsi" w:cstheme="minorBidi"/>
          <w:snapToGrid/>
          <w:sz w:val="24"/>
          <w:szCs w:val="22"/>
        </w:rPr>
        <w:t xml:space="preserve"> at a </w:t>
      </w:r>
      <w:r w:rsidR="00A728B5" w:rsidRPr="004422E3">
        <w:rPr>
          <w:rFonts w:asciiTheme="minorHAnsi" w:eastAsiaTheme="minorHAnsi" w:hAnsiTheme="minorHAnsi" w:cstheme="minorBidi"/>
          <w:snapToGrid/>
          <w:sz w:val="24"/>
          <w:szCs w:val="22"/>
        </w:rPr>
        <w:t xml:space="preserve">revised </w:t>
      </w:r>
      <w:r w:rsidR="00615AC7" w:rsidRPr="004422E3">
        <w:rPr>
          <w:rFonts w:asciiTheme="minorHAnsi" w:eastAsiaTheme="minorHAnsi" w:hAnsiTheme="minorHAnsi" w:cstheme="minorBidi"/>
          <w:snapToGrid/>
          <w:sz w:val="24"/>
          <w:szCs w:val="22"/>
        </w:rPr>
        <w:t xml:space="preserve">price, stating that whilst uncertainty remained about the clinical benefit of </w:t>
      </w:r>
      <w:proofErr w:type="spellStart"/>
      <w:r w:rsidR="00615AC7" w:rsidRPr="004422E3">
        <w:rPr>
          <w:rFonts w:asciiTheme="minorHAnsi" w:eastAsiaTheme="minorHAnsi" w:hAnsiTheme="minorHAnsi" w:cstheme="minorBidi"/>
          <w:snapToGrid/>
          <w:sz w:val="24"/>
          <w:szCs w:val="22"/>
        </w:rPr>
        <w:t>riluzole</w:t>
      </w:r>
      <w:proofErr w:type="spellEnd"/>
      <w:r w:rsidR="00615AC7" w:rsidRPr="004422E3">
        <w:rPr>
          <w:rFonts w:asciiTheme="minorHAnsi" w:eastAsiaTheme="minorHAnsi" w:hAnsiTheme="minorHAnsi" w:cstheme="minorBidi"/>
          <w:snapToGrid/>
          <w:sz w:val="24"/>
          <w:szCs w:val="22"/>
        </w:rPr>
        <w:t>,</w:t>
      </w:r>
      <w:r w:rsidR="00C328BD" w:rsidRPr="004422E3">
        <w:rPr>
          <w:rFonts w:asciiTheme="minorHAnsi" w:eastAsiaTheme="minorHAnsi" w:hAnsiTheme="minorHAnsi" w:cstheme="minorBidi"/>
          <w:snapToGrid/>
          <w:sz w:val="24"/>
          <w:szCs w:val="22"/>
        </w:rPr>
        <w:t xml:space="preserve"> the resubmission proposed</w:t>
      </w:r>
      <w:r w:rsidR="00615AC7" w:rsidRPr="004422E3">
        <w:rPr>
          <w:rFonts w:asciiTheme="minorHAnsi" w:eastAsiaTheme="minorHAnsi" w:hAnsiTheme="minorHAnsi" w:cstheme="minorBidi"/>
          <w:snapToGrid/>
          <w:sz w:val="24"/>
          <w:szCs w:val="22"/>
        </w:rPr>
        <w:t xml:space="preserve"> restriction to a smaller patient group that was expected to benefit most, and considered the Rule of Rescue should apply in the case of </w:t>
      </w:r>
      <w:proofErr w:type="spellStart"/>
      <w:r w:rsidR="00615AC7" w:rsidRPr="004422E3">
        <w:rPr>
          <w:rFonts w:asciiTheme="minorHAnsi" w:eastAsiaTheme="minorHAnsi" w:hAnsiTheme="minorHAnsi" w:cstheme="minorBidi"/>
          <w:snapToGrid/>
          <w:sz w:val="24"/>
          <w:szCs w:val="22"/>
        </w:rPr>
        <w:t>riluzole</w:t>
      </w:r>
      <w:proofErr w:type="spellEnd"/>
      <w:r w:rsidR="00615AC7" w:rsidRPr="004422E3">
        <w:rPr>
          <w:rFonts w:asciiTheme="minorHAnsi" w:eastAsiaTheme="minorHAnsi" w:hAnsiTheme="minorHAnsi" w:cstheme="minorBidi"/>
          <w:snapToGrid/>
          <w:sz w:val="24"/>
          <w:szCs w:val="22"/>
        </w:rPr>
        <w:t xml:space="preserve"> in support of a positive recommendation.</w:t>
      </w:r>
    </w:p>
    <w:p w:rsidR="00CE10C4" w:rsidRPr="004422E3" w:rsidRDefault="006436CD" w:rsidP="00D31150">
      <w:pPr>
        <w:pStyle w:val="PBACHeading1"/>
        <w:spacing w:before="240" w:after="120"/>
        <w:ind w:left="709" w:hanging="709"/>
        <w:rPr>
          <w:rFonts w:asciiTheme="minorHAnsi" w:hAnsiTheme="minorHAnsi"/>
          <w:sz w:val="32"/>
          <w:szCs w:val="32"/>
        </w:rPr>
      </w:pPr>
      <w:r w:rsidRPr="004422E3">
        <w:rPr>
          <w:rFonts w:asciiTheme="minorHAnsi" w:hAnsiTheme="minorHAnsi"/>
          <w:sz w:val="32"/>
          <w:szCs w:val="32"/>
        </w:rPr>
        <w:t xml:space="preserve">Population and disease </w:t>
      </w:r>
    </w:p>
    <w:p w:rsidR="00427B66" w:rsidRPr="004422E3" w:rsidRDefault="000C1AE3" w:rsidP="0040563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ALS is a collective term for a number of rare motor neuron</w:t>
      </w:r>
      <w:r w:rsidR="00427B66" w:rsidRPr="004422E3">
        <w:rPr>
          <w:rFonts w:asciiTheme="minorHAnsi" w:eastAsiaTheme="minorHAnsi" w:hAnsiTheme="minorHAnsi" w:cstheme="minorBidi"/>
          <w:snapToGrid/>
          <w:sz w:val="24"/>
          <w:szCs w:val="22"/>
        </w:rPr>
        <w:t>e</w:t>
      </w:r>
      <w:r w:rsidRPr="004422E3">
        <w:rPr>
          <w:rFonts w:asciiTheme="minorHAnsi" w:eastAsiaTheme="minorHAnsi" w:hAnsiTheme="minorHAnsi" w:cstheme="minorBidi"/>
          <w:snapToGrid/>
          <w:sz w:val="24"/>
          <w:szCs w:val="22"/>
        </w:rPr>
        <w:t xml:space="preserve"> diseases</w:t>
      </w:r>
      <w:r w:rsidR="0040563A" w:rsidRPr="004422E3">
        <w:rPr>
          <w:rFonts w:asciiTheme="minorHAnsi" w:eastAsiaTheme="minorHAnsi" w:hAnsiTheme="minorHAnsi" w:cstheme="minorBidi"/>
          <w:snapToGrid/>
          <w:sz w:val="24"/>
          <w:szCs w:val="22"/>
        </w:rPr>
        <w:t xml:space="preserve"> (MND)</w:t>
      </w:r>
      <w:r w:rsidRPr="004422E3">
        <w:rPr>
          <w:rFonts w:asciiTheme="minorHAnsi" w:eastAsiaTheme="minorHAnsi" w:hAnsiTheme="minorHAnsi" w:cstheme="minorBidi"/>
          <w:snapToGrid/>
          <w:sz w:val="24"/>
          <w:szCs w:val="22"/>
        </w:rPr>
        <w:t xml:space="preserve"> </w:t>
      </w:r>
      <w:r w:rsidR="00DA60D1" w:rsidRPr="004422E3">
        <w:rPr>
          <w:rFonts w:asciiTheme="minorHAnsi" w:eastAsiaTheme="minorHAnsi" w:hAnsiTheme="minorHAnsi" w:cstheme="minorBidi"/>
          <w:snapToGrid/>
          <w:sz w:val="24"/>
          <w:szCs w:val="22"/>
        </w:rPr>
        <w:t>which affect both upper and lower motor neurons in the brain.</w:t>
      </w:r>
      <w:r w:rsidR="0040563A" w:rsidRPr="004422E3">
        <w:rPr>
          <w:rFonts w:asciiTheme="minorHAnsi" w:eastAsiaTheme="minorHAnsi" w:hAnsiTheme="minorHAnsi" w:cstheme="minorBidi"/>
          <w:snapToGrid/>
          <w:sz w:val="24"/>
          <w:szCs w:val="22"/>
        </w:rPr>
        <w:t xml:space="preserve"> </w:t>
      </w:r>
      <w:r w:rsidR="00DA60D1" w:rsidRPr="004422E3">
        <w:rPr>
          <w:rFonts w:asciiTheme="minorHAnsi" w:eastAsiaTheme="minorHAnsi" w:hAnsiTheme="minorHAnsi" w:cstheme="minorBidi"/>
          <w:snapToGrid/>
          <w:sz w:val="24"/>
          <w:szCs w:val="22"/>
        </w:rPr>
        <w:t xml:space="preserve">As these neurons degenerate and die, </w:t>
      </w:r>
      <w:r w:rsidR="00FB00D4" w:rsidRPr="004422E3">
        <w:rPr>
          <w:rFonts w:asciiTheme="minorHAnsi" w:eastAsiaTheme="minorHAnsi" w:hAnsiTheme="minorHAnsi" w:cstheme="minorBidi"/>
          <w:snapToGrid/>
          <w:sz w:val="24"/>
          <w:szCs w:val="22"/>
        </w:rPr>
        <w:t xml:space="preserve">motor nerve signals cannot be sent to the rest of the body, and over time muscles weaken and atrophy. As the disease progresses, ALS sufferers gradually lose voluntary muscle control, and eventually lose the ability to speak, eat and move. Most people with ALS die from respiratory failure associated with the </w:t>
      </w:r>
      <w:r w:rsidR="0026522B" w:rsidRPr="004422E3">
        <w:rPr>
          <w:rFonts w:asciiTheme="minorHAnsi" w:eastAsiaTheme="minorHAnsi" w:hAnsiTheme="minorHAnsi" w:cstheme="minorBidi"/>
          <w:snapToGrid/>
          <w:sz w:val="24"/>
          <w:szCs w:val="22"/>
        </w:rPr>
        <w:t>disease</w:t>
      </w:r>
      <w:r w:rsidR="00FB00D4" w:rsidRPr="004422E3">
        <w:rPr>
          <w:rFonts w:asciiTheme="minorHAnsi" w:eastAsiaTheme="minorHAnsi" w:hAnsiTheme="minorHAnsi" w:cstheme="minorBidi"/>
          <w:snapToGrid/>
          <w:sz w:val="24"/>
          <w:szCs w:val="22"/>
        </w:rPr>
        <w:t>.</w:t>
      </w:r>
      <w:r w:rsidR="00DA60D1" w:rsidRPr="004422E3">
        <w:rPr>
          <w:rFonts w:asciiTheme="minorHAnsi" w:eastAsiaTheme="minorHAnsi" w:hAnsiTheme="minorHAnsi" w:cstheme="minorBidi"/>
          <w:snapToGrid/>
          <w:sz w:val="24"/>
          <w:szCs w:val="22"/>
        </w:rPr>
        <w:t xml:space="preserve"> </w:t>
      </w:r>
      <w:r w:rsidR="0040563A" w:rsidRPr="004422E3">
        <w:rPr>
          <w:rFonts w:asciiTheme="minorHAnsi" w:eastAsiaTheme="minorHAnsi" w:hAnsiTheme="minorHAnsi" w:cstheme="minorBidi"/>
          <w:snapToGrid/>
          <w:sz w:val="24"/>
          <w:szCs w:val="22"/>
        </w:rPr>
        <w:t>There are limited treatment options for ALS, and most patients survive between 3 and 5 years from the onset of symptoms.</w:t>
      </w:r>
    </w:p>
    <w:p w:rsidR="00C35996" w:rsidRPr="004422E3" w:rsidRDefault="00320AF7" w:rsidP="0026522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4422E3">
        <w:rPr>
          <w:rFonts w:asciiTheme="minorHAnsi" w:eastAsiaTheme="minorHAnsi" w:hAnsiTheme="minorHAnsi" w:cstheme="minorBidi"/>
          <w:snapToGrid/>
          <w:sz w:val="24"/>
          <w:szCs w:val="22"/>
        </w:rPr>
        <w:t>Riluzole</w:t>
      </w:r>
      <w:proofErr w:type="spellEnd"/>
      <w:r w:rsidR="006459E0" w:rsidRPr="004422E3">
        <w:rPr>
          <w:rFonts w:asciiTheme="minorHAnsi" w:eastAsiaTheme="minorHAnsi" w:hAnsiTheme="minorHAnsi" w:cstheme="minorBidi"/>
          <w:snapToGrid/>
          <w:sz w:val="24"/>
          <w:szCs w:val="22"/>
        </w:rPr>
        <w:t xml:space="preserve"> is a synthetic aryl-substituted </w:t>
      </w:r>
      <w:proofErr w:type="spellStart"/>
      <w:r w:rsidR="006459E0" w:rsidRPr="004422E3">
        <w:rPr>
          <w:rFonts w:asciiTheme="minorHAnsi" w:eastAsiaTheme="minorHAnsi" w:hAnsiTheme="minorHAnsi" w:cstheme="minorBidi"/>
          <w:snapToGrid/>
          <w:sz w:val="24"/>
          <w:szCs w:val="22"/>
        </w:rPr>
        <w:t>benzothioazolamine</w:t>
      </w:r>
      <w:proofErr w:type="spellEnd"/>
      <w:r w:rsidR="006459E0" w:rsidRPr="004422E3">
        <w:rPr>
          <w:rFonts w:asciiTheme="minorHAnsi" w:eastAsiaTheme="minorHAnsi" w:hAnsiTheme="minorHAnsi" w:cstheme="minorBidi"/>
          <w:snapToGrid/>
          <w:sz w:val="24"/>
          <w:szCs w:val="22"/>
        </w:rPr>
        <w:t xml:space="preserve"> (2-amino-6-[</w:t>
      </w:r>
      <w:proofErr w:type="spellStart"/>
      <w:r w:rsidR="006459E0" w:rsidRPr="004422E3">
        <w:rPr>
          <w:rFonts w:asciiTheme="minorHAnsi" w:eastAsiaTheme="minorHAnsi" w:hAnsiTheme="minorHAnsi" w:cstheme="minorBidi"/>
          <w:snapToGrid/>
          <w:sz w:val="24"/>
          <w:szCs w:val="22"/>
        </w:rPr>
        <w:t>trifluoromethoxyl</w:t>
      </w:r>
      <w:proofErr w:type="spellEnd"/>
      <w:r w:rsidR="006459E0" w:rsidRPr="004422E3">
        <w:rPr>
          <w:rFonts w:asciiTheme="minorHAnsi" w:eastAsiaTheme="minorHAnsi" w:hAnsiTheme="minorHAnsi" w:cstheme="minorBidi"/>
          <w:snapToGrid/>
          <w:sz w:val="24"/>
          <w:szCs w:val="22"/>
        </w:rPr>
        <w:t xml:space="preserve">] </w:t>
      </w:r>
      <w:proofErr w:type="spellStart"/>
      <w:r w:rsidR="006459E0" w:rsidRPr="004422E3">
        <w:rPr>
          <w:rFonts w:asciiTheme="minorHAnsi" w:eastAsiaTheme="minorHAnsi" w:hAnsiTheme="minorHAnsi" w:cstheme="minorBidi"/>
          <w:snapToGrid/>
          <w:sz w:val="24"/>
          <w:szCs w:val="22"/>
        </w:rPr>
        <w:t>benozothiazole</w:t>
      </w:r>
      <w:proofErr w:type="spellEnd"/>
      <w:r w:rsidR="006459E0" w:rsidRPr="004422E3">
        <w:rPr>
          <w:rFonts w:asciiTheme="minorHAnsi" w:eastAsiaTheme="minorHAnsi" w:hAnsiTheme="minorHAnsi" w:cstheme="minorBidi"/>
          <w:snapToGrid/>
          <w:sz w:val="24"/>
          <w:szCs w:val="22"/>
        </w:rPr>
        <w:t>) and is the only disease-modifying agent for ALS currently TGA registered and PBS listed in Australia.</w:t>
      </w:r>
      <w:r w:rsidR="00281870" w:rsidRPr="004422E3">
        <w:rPr>
          <w:rFonts w:asciiTheme="minorHAnsi" w:eastAsiaTheme="minorHAnsi" w:hAnsiTheme="minorHAnsi" w:cstheme="minorBidi"/>
          <w:snapToGrid/>
          <w:sz w:val="24"/>
          <w:szCs w:val="22"/>
        </w:rPr>
        <w:t xml:space="preserve"> The exact mechanism by which </w:t>
      </w:r>
      <w:proofErr w:type="spellStart"/>
      <w:r w:rsidR="00281870" w:rsidRPr="004422E3">
        <w:rPr>
          <w:rFonts w:asciiTheme="minorHAnsi" w:eastAsiaTheme="minorHAnsi" w:hAnsiTheme="minorHAnsi" w:cstheme="minorBidi"/>
          <w:snapToGrid/>
          <w:sz w:val="24"/>
          <w:szCs w:val="22"/>
        </w:rPr>
        <w:t>riluzole</w:t>
      </w:r>
      <w:proofErr w:type="spellEnd"/>
      <w:r w:rsidR="00281870" w:rsidRPr="004422E3">
        <w:rPr>
          <w:rFonts w:asciiTheme="minorHAnsi" w:eastAsiaTheme="minorHAnsi" w:hAnsiTheme="minorHAnsi" w:cstheme="minorBidi"/>
          <w:snapToGrid/>
          <w:sz w:val="24"/>
          <w:szCs w:val="22"/>
        </w:rPr>
        <w:t xml:space="preserve"> exerts its disease-modifying effect is unclear; however it is thought to operate</w:t>
      </w:r>
      <w:r w:rsidR="00153EE1" w:rsidRPr="004422E3">
        <w:rPr>
          <w:rFonts w:asciiTheme="minorHAnsi" w:eastAsiaTheme="minorHAnsi" w:hAnsiTheme="minorHAnsi" w:cstheme="minorBidi"/>
          <w:snapToGrid/>
          <w:sz w:val="24"/>
          <w:szCs w:val="22"/>
        </w:rPr>
        <w:t xml:space="preserve"> by multiple mechanisms of action, including inhibition of glutamate through inhibition of voltage-gated sodium channels and P/Q-type calcium channels</w:t>
      </w:r>
      <w:r w:rsidR="0026522B" w:rsidRPr="004422E3">
        <w:rPr>
          <w:rFonts w:asciiTheme="minorHAnsi" w:eastAsiaTheme="minorHAnsi" w:hAnsiTheme="minorHAnsi" w:cstheme="minorBidi"/>
          <w:snapToGrid/>
          <w:sz w:val="24"/>
          <w:szCs w:val="22"/>
        </w:rPr>
        <w:t xml:space="preserve">, </w:t>
      </w:r>
      <w:r w:rsidR="009249DD" w:rsidRPr="004422E3">
        <w:rPr>
          <w:rFonts w:asciiTheme="minorHAnsi" w:eastAsiaTheme="minorHAnsi" w:hAnsiTheme="minorHAnsi" w:cstheme="minorBidi"/>
          <w:snapToGrid/>
          <w:sz w:val="24"/>
          <w:szCs w:val="22"/>
        </w:rPr>
        <w:t>enhancement</w:t>
      </w:r>
      <w:r w:rsidR="0026522B" w:rsidRPr="004422E3">
        <w:rPr>
          <w:rFonts w:asciiTheme="minorHAnsi" w:eastAsiaTheme="minorHAnsi" w:hAnsiTheme="minorHAnsi" w:cstheme="minorBidi"/>
          <w:snapToGrid/>
          <w:sz w:val="24"/>
          <w:szCs w:val="22"/>
        </w:rPr>
        <w:t xml:space="preserve"> of glutamate reuptake and up-</w:t>
      </w:r>
      <w:r w:rsidR="009249DD" w:rsidRPr="004422E3">
        <w:rPr>
          <w:rFonts w:asciiTheme="minorHAnsi" w:eastAsiaTheme="minorHAnsi" w:hAnsiTheme="minorHAnsi" w:cstheme="minorBidi"/>
          <w:snapToGrid/>
          <w:sz w:val="24"/>
          <w:szCs w:val="22"/>
        </w:rPr>
        <w:t>regulation</w:t>
      </w:r>
      <w:r w:rsidR="0026522B" w:rsidRPr="004422E3">
        <w:rPr>
          <w:rFonts w:asciiTheme="minorHAnsi" w:eastAsiaTheme="minorHAnsi" w:hAnsiTheme="minorHAnsi" w:cstheme="minorBidi"/>
          <w:snapToGrid/>
          <w:sz w:val="24"/>
          <w:szCs w:val="22"/>
        </w:rPr>
        <w:t xml:space="preserve"> of AMPA (α-amino-3-hydroxy-5-methyl-4-isoxazolepropionic acid) receptors</w:t>
      </w:r>
      <w:r w:rsidR="00281870" w:rsidRPr="004422E3">
        <w:rPr>
          <w:rFonts w:asciiTheme="minorHAnsi" w:eastAsiaTheme="minorHAnsi" w:hAnsiTheme="minorHAnsi" w:cstheme="minorBidi"/>
          <w:snapToGrid/>
          <w:sz w:val="24"/>
          <w:szCs w:val="22"/>
        </w:rPr>
        <w:t>.</w:t>
      </w:r>
    </w:p>
    <w:p w:rsidR="008A1956" w:rsidRPr="004422E3" w:rsidRDefault="00C661A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lastRenderedPageBreak/>
        <w:t xml:space="preserve">As a new liquid dose form of </w:t>
      </w:r>
      <w:proofErr w:type="spellStart"/>
      <w:r w:rsidRPr="004422E3">
        <w:rPr>
          <w:rFonts w:asciiTheme="minorHAnsi" w:eastAsiaTheme="minorHAnsi" w:hAnsiTheme="minorHAnsi" w:cstheme="minorBidi"/>
          <w:snapToGrid/>
          <w:sz w:val="24"/>
          <w:szCs w:val="22"/>
        </w:rPr>
        <w:t>r</w:t>
      </w:r>
      <w:r w:rsidR="002A1162" w:rsidRPr="004422E3">
        <w:rPr>
          <w:rFonts w:asciiTheme="minorHAnsi" w:eastAsiaTheme="minorHAnsi" w:hAnsiTheme="minorHAnsi" w:cstheme="minorBidi"/>
          <w:snapToGrid/>
          <w:sz w:val="24"/>
          <w:szCs w:val="22"/>
        </w:rPr>
        <w:t>iluzole</w:t>
      </w:r>
      <w:proofErr w:type="spellEnd"/>
      <w:r w:rsidR="002A1162" w:rsidRPr="004422E3">
        <w:rPr>
          <w:rFonts w:asciiTheme="minorHAnsi" w:eastAsiaTheme="minorHAnsi" w:hAnsiTheme="minorHAnsi" w:cstheme="minorBidi"/>
          <w:snapToGrid/>
          <w:sz w:val="24"/>
          <w:szCs w:val="22"/>
        </w:rPr>
        <w:t>, the submission contends</w:t>
      </w:r>
      <w:r w:rsidRPr="004422E3">
        <w:rPr>
          <w:rFonts w:asciiTheme="minorHAnsi" w:eastAsiaTheme="minorHAnsi" w:hAnsiTheme="minorHAnsi" w:cstheme="minorBidi"/>
          <w:snapToGrid/>
          <w:sz w:val="24"/>
          <w:szCs w:val="22"/>
        </w:rPr>
        <w:t xml:space="preserve"> this dose form is suitable for all eligible ALS-patients, but has particular benefits for patients with dysphagia (problems swallowing) which is common in ALS, and is suitable for patients with a</w:t>
      </w:r>
      <w:r w:rsidR="002F799C" w:rsidRPr="004422E3">
        <w:rPr>
          <w:rFonts w:asciiTheme="minorHAnsi" w:eastAsiaTheme="minorHAnsi" w:hAnsiTheme="minorHAnsi" w:cstheme="minorBidi"/>
          <w:snapToGrid/>
          <w:sz w:val="24"/>
          <w:szCs w:val="22"/>
        </w:rPr>
        <w:t xml:space="preserve"> percutaneous endoscopic gastrost</w:t>
      </w:r>
      <w:r w:rsidRPr="004422E3">
        <w:rPr>
          <w:rFonts w:asciiTheme="minorHAnsi" w:eastAsiaTheme="minorHAnsi" w:hAnsiTheme="minorHAnsi" w:cstheme="minorBidi"/>
          <w:snapToGrid/>
          <w:sz w:val="24"/>
          <w:szCs w:val="22"/>
        </w:rPr>
        <w:t xml:space="preserve">omy (PEG). The submission contends the current tablet formulation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is less suitable for these patients, as crushing of tablets for swallowin</w:t>
      </w:r>
      <w:r w:rsidR="00C328BD" w:rsidRPr="004422E3">
        <w:rPr>
          <w:rFonts w:asciiTheme="minorHAnsi" w:eastAsiaTheme="minorHAnsi" w:hAnsiTheme="minorHAnsi" w:cstheme="minorBidi"/>
          <w:snapToGrid/>
          <w:sz w:val="24"/>
          <w:szCs w:val="22"/>
        </w:rPr>
        <w:t>g or PEG use is suboptimal and</w:t>
      </w:r>
      <w:r w:rsidRPr="004422E3">
        <w:rPr>
          <w:rFonts w:asciiTheme="minorHAnsi" w:eastAsiaTheme="minorHAnsi" w:hAnsiTheme="minorHAnsi" w:cstheme="minorBidi"/>
          <w:snapToGrid/>
          <w:sz w:val="24"/>
          <w:szCs w:val="22"/>
        </w:rPr>
        <w:t xml:space="preserve"> may affect the </w:t>
      </w:r>
      <w:r w:rsidR="002B1AFA" w:rsidRPr="004422E3">
        <w:rPr>
          <w:rFonts w:asciiTheme="minorHAnsi" w:eastAsiaTheme="minorHAnsi" w:hAnsiTheme="minorHAnsi" w:cstheme="minorBidi"/>
          <w:snapToGrid/>
          <w:sz w:val="24"/>
          <w:szCs w:val="22"/>
        </w:rPr>
        <w:t>bioavailability of the drug,</w:t>
      </w:r>
      <w:r w:rsidRPr="004422E3">
        <w:rPr>
          <w:rFonts w:asciiTheme="minorHAnsi" w:eastAsiaTheme="minorHAnsi" w:hAnsiTheme="minorHAnsi" w:cstheme="minorBidi"/>
          <w:snapToGrid/>
          <w:sz w:val="24"/>
          <w:szCs w:val="22"/>
        </w:rPr>
        <w:t xml:space="preserve"> lead to micro-aspiration of particles and increased risk of respiratory infections, or blockage of PEG tubes with crushed particulates.</w:t>
      </w:r>
    </w:p>
    <w:p w:rsidR="00B06C33" w:rsidRPr="004422E3" w:rsidRDefault="0059233B" w:rsidP="00444395">
      <w:pPr>
        <w:ind w:firstLine="709"/>
        <w:rPr>
          <w:rFonts w:asciiTheme="minorHAnsi" w:hAnsiTheme="minorHAnsi" w:cstheme="minorHAnsi"/>
          <w:i/>
        </w:rPr>
      </w:pPr>
      <w:r w:rsidRPr="004422E3">
        <w:rPr>
          <w:rFonts w:asciiTheme="minorHAnsi" w:hAnsiTheme="minorHAnsi" w:cstheme="minorHAnsi"/>
          <w:i/>
        </w:rPr>
        <w:t>For more detail on PBAC’s view, see section 7 PBAC outcome.</w:t>
      </w:r>
    </w:p>
    <w:p w:rsidR="005A3173" w:rsidRPr="004422E3" w:rsidRDefault="005A3173" w:rsidP="00D31150">
      <w:pPr>
        <w:pStyle w:val="PBACHeading1"/>
        <w:spacing w:before="240" w:after="120"/>
        <w:ind w:left="709" w:hanging="709"/>
        <w:rPr>
          <w:rFonts w:asciiTheme="minorHAnsi" w:hAnsiTheme="minorHAnsi"/>
          <w:sz w:val="32"/>
          <w:szCs w:val="32"/>
        </w:rPr>
      </w:pPr>
      <w:r w:rsidRPr="004422E3">
        <w:rPr>
          <w:rFonts w:asciiTheme="minorHAnsi" w:hAnsiTheme="minorHAnsi"/>
          <w:sz w:val="32"/>
          <w:szCs w:val="32"/>
        </w:rPr>
        <w:t>Comparator</w:t>
      </w:r>
    </w:p>
    <w:p w:rsidR="007F3092" w:rsidRPr="004422E3" w:rsidRDefault="00FF2801" w:rsidP="007F309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minor submission nominated</w:t>
      </w:r>
      <w:r w:rsidR="009E66F1" w:rsidRPr="004422E3">
        <w:rPr>
          <w:rFonts w:asciiTheme="minorHAnsi" w:eastAsiaTheme="minorHAnsi" w:hAnsiTheme="minorHAnsi" w:cstheme="minorBidi"/>
          <w:snapToGrid/>
          <w:sz w:val="24"/>
          <w:szCs w:val="22"/>
        </w:rPr>
        <w:t xml:space="preserve"> </w:t>
      </w:r>
      <w:proofErr w:type="spellStart"/>
      <w:r w:rsidR="009E66F1" w:rsidRPr="004422E3">
        <w:rPr>
          <w:rFonts w:asciiTheme="minorHAnsi" w:eastAsiaTheme="minorHAnsi" w:hAnsiTheme="minorHAnsi" w:cstheme="minorBidi"/>
          <w:snapToGrid/>
          <w:sz w:val="24"/>
          <w:szCs w:val="22"/>
        </w:rPr>
        <w:t>riluzole</w:t>
      </w:r>
      <w:proofErr w:type="spellEnd"/>
      <w:r w:rsidR="009E66F1" w:rsidRPr="004422E3">
        <w:rPr>
          <w:rFonts w:asciiTheme="minorHAnsi" w:eastAsiaTheme="minorHAnsi" w:hAnsiTheme="minorHAnsi" w:cstheme="minorBidi"/>
          <w:snapToGrid/>
          <w:sz w:val="24"/>
          <w:szCs w:val="22"/>
        </w:rPr>
        <w:t xml:space="preserve"> tablets as the</w:t>
      </w:r>
      <w:r w:rsidR="007F3092" w:rsidRPr="004422E3">
        <w:rPr>
          <w:rFonts w:asciiTheme="minorHAnsi" w:eastAsiaTheme="minorHAnsi" w:hAnsiTheme="minorHAnsi" w:cstheme="minorBidi"/>
          <w:snapToGrid/>
          <w:sz w:val="24"/>
          <w:szCs w:val="22"/>
        </w:rPr>
        <w:t xml:space="preserve"> main comparator</w:t>
      </w:r>
      <w:r w:rsidR="009E66F1" w:rsidRPr="004422E3">
        <w:rPr>
          <w:rFonts w:asciiTheme="minorHAnsi" w:eastAsiaTheme="minorHAnsi" w:hAnsiTheme="minorHAnsi" w:cstheme="minorBidi"/>
          <w:snapToGrid/>
          <w:sz w:val="24"/>
          <w:szCs w:val="22"/>
        </w:rPr>
        <w:t>.</w:t>
      </w:r>
      <w:r w:rsidR="00C661AC" w:rsidRPr="004422E3">
        <w:rPr>
          <w:rFonts w:asciiTheme="minorHAnsi" w:eastAsiaTheme="minorHAnsi" w:hAnsiTheme="minorHAnsi" w:cstheme="minorBidi"/>
          <w:snapToGrid/>
          <w:sz w:val="24"/>
          <w:szCs w:val="22"/>
        </w:rPr>
        <w:t xml:space="preserve"> </w:t>
      </w:r>
    </w:p>
    <w:p w:rsidR="00B06C33" w:rsidRPr="004422E3" w:rsidRDefault="0059233B" w:rsidP="00444395">
      <w:pPr>
        <w:ind w:firstLine="709"/>
        <w:rPr>
          <w:rFonts w:asciiTheme="minorHAnsi" w:hAnsiTheme="minorHAnsi" w:cstheme="minorHAnsi"/>
          <w:i/>
        </w:rPr>
      </w:pPr>
      <w:r w:rsidRPr="004422E3">
        <w:rPr>
          <w:rFonts w:asciiTheme="minorHAnsi" w:hAnsiTheme="minorHAnsi" w:cstheme="minorHAnsi"/>
          <w:i/>
        </w:rPr>
        <w:t>For more detail on PBAC’s view, see section 7 PBAC outcome.</w:t>
      </w:r>
    </w:p>
    <w:p w:rsidR="000B558D" w:rsidRPr="004422E3"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4422E3">
        <w:rPr>
          <w:rFonts w:asciiTheme="minorHAnsi" w:hAnsiTheme="minorHAnsi"/>
          <w:sz w:val="32"/>
          <w:szCs w:val="32"/>
        </w:rPr>
        <w:t>C</w:t>
      </w:r>
      <w:r w:rsidR="00D84934" w:rsidRPr="004422E3">
        <w:rPr>
          <w:rFonts w:asciiTheme="minorHAnsi" w:hAnsiTheme="minorHAnsi"/>
          <w:sz w:val="32"/>
          <w:szCs w:val="32"/>
        </w:rPr>
        <w:t>onsideration of the evidence</w:t>
      </w:r>
    </w:p>
    <w:p w:rsidR="007B72F7" w:rsidRPr="004422E3" w:rsidRDefault="007B72F7" w:rsidP="00FA2598">
      <w:pPr>
        <w:pStyle w:val="Heading2"/>
        <w:rPr>
          <w:snapToGrid w:val="0"/>
        </w:rPr>
      </w:pPr>
      <w:r w:rsidRPr="004422E3">
        <w:rPr>
          <w:snapToGrid w:val="0"/>
        </w:rPr>
        <w:t>Sponsor hearing</w:t>
      </w:r>
    </w:p>
    <w:p w:rsidR="007B72F7" w:rsidRPr="004422E3" w:rsidRDefault="007B72F7" w:rsidP="007B72F7">
      <w:pPr>
        <w:widowControl w:val="0"/>
        <w:numPr>
          <w:ilvl w:val="1"/>
          <w:numId w:val="5"/>
        </w:numPr>
        <w:spacing w:after="120"/>
        <w:jc w:val="both"/>
        <w:rPr>
          <w:rFonts w:asciiTheme="minorHAnsi" w:hAnsiTheme="minorHAnsi" w:cs="Arial"/>
          <w:bCs/>
          <w:snapToGrid w:val="0"/>
        </w:rPr>
      </w:pPr>
      <w:r w:rsidRPr="004422E3">
        <w:rPr>
          <w:rFonts w:asciiTheme="minorHAnsi" w:hAnsiTheme="minorHAnsi" w:cs="Arial"/>
          <w:bCs/>
          <w:snapToGrid w:val="0"/>
        </w:rPr>
        <w:t>There was no hearing for this item as it was a minor submission.</w:t>
      </w:r>
    </w:p>
    <w:p w:rsidR="007B72F7" w:rsidRPr="004422E3" w:rsidRDefault="007B72F7" w:rsidP="00FA2598">
      <w:pPr>
        <w:pStyle w:val="Heading2"/>
        <w:rPr>
          <w:snapToGrid w:val="0"/>
        </w:rPr>
      </w:pPr>
      <w:r w:rsidRPr="004422E3">
        <w:rPr>
          <w:snapToGrid w:val="0"/>
        </w:rPr>
        <w:t>Consumer comments</w:t>
      </w:r>
    </w:p>
    <w:p w:rsidR="007B72F7" w:rsidRPr="004422E3" w:rsidRDefault="007B72F7" w:rsidP="007B72F7">
      <w:pPr>
        <w:widowControl w:val="0"/>
        <w:numPr>
          <w:ilvl w:val="1"/>
          <w:numId w:val="5"/>
        </w:numPr>
        <w:spacing w:after="120"/>
        <w:jc w:val="both"/>
        <w:rPr>
          <w:rFonts w:asciiTheme="minorHAnsi" w:hAnsiTheme="minorHAnsi" w:cs="Arial"/>
          <w:bCs/>
          <w:snapToGrid w:val="0"/>
        </w:rPr>
      </w:pPr>
      <w:r w:rsidRPr="004422E3">
        <w:rPr>
          <w:rFonts w:asciiTheme="minorHAnsi" w:hAnsiTheme="minorHAnsi" w:cs="Arial"/>
          <w:bCs/>
          <w:snapToGrid w:val="0"/>
        </w:rPr>
        <w:t>The PBAC noted and welcomed the input</w:t>
      </w:r>
      <w:r w:rsidR="00ED71D2" w:rsidRPr="004422E3">
        <w:rPr>
          <w:rFonts w:asciiTheme="minorHAnsi" w:hAnsiTheme="minorHAnsi" w:cs="Arial"/>
          <w:bCs/>
          <w:snapToGrid w:val="0"/>
        </w:rPr>
        <w:t xml:space="preserve"> from</w:t>
      </w:r>
      <w:r w:rsidRPr="004422E3">
        <w:rPr>
          <w:rFonts w:asciiTheme="minorHAnsi" w:hAnsiTheme="minorHAnsi" w:cs="Arial"/>
          <w:bCs/>
          <w:snapToGrid w:val="0"/>
        </w:rPr>
        <w:t xml:space="preserve"> </w:t>
      </w:r>
      <w:r w:rsidR="004E333C" w:rsidRPr="004422E3">
        <w:rPr>
          <w:rFonts w:asciiTheme="minorHAnsi" w:hAnsiTheme="minorHAnsi" w:cs="Arial"/>
          <w:bCs/>
          <w:snapToGrid w:val="0"/>
        </w:rPr>
        <w:t xml:space="preserve">one </w:t>
      </w:r>
      <w:r w:rsidRPr="004422E3">
        <w:rPr>
          <w:rFonts w:asciiTheme="minorHAnsi" w:hAnsiTheme="minorHAnsi" w:cs="Arial"/>
          <w:bCs/>
          <w:snapToGrid w:val="0"/>
        </w:rPr>
        <w:t xml:space="preserve">organisation via the Consumer Comments facility on the PBS website. The </w:t>
      </w:r>
      <w:r w:rsidR="00414934" w:rsidRPr="004422E3">
        <w:rPr>
          <w:rFonts w:asciiTheme="minorHAnsi" w:hAnsiTheme="minorHAnsi" w:cs="Arial"/>
          <w:bCs/>
          <w:snapToGrid w:val="0"/>
        </w:rPr>
        <w:t>advice from</w:t>
      </w:r>
      <w:r w:rsidRPr="004422E3">
        <w:rPr>
          <w:rFonts w:asciiTheme="minorHAnsi" w:hAnsiTheme="minorHAnsi" w:cs="Arial"/>
          <w:bCs/>
          <w:snapToGrid w:val="0"/>
        </w:rPr>
        <w:t xml:space="preserve"> Motor Neurone Disease Australia noted that as ALS progresses the majority of patients experience difficulty swallowing, a situation which for many results in </w:t>
      </w:r>
      <w:r w:rsidR="00414934" w:rsidRPr="004422E3">
        <w:rPr>
          <w:rFonts w:asciiTheme="minorHAnsi" w:hAnsiTheme="minorHAnsi" w:cs="Arial"/>
          <w:bCs/>
          <w:snapToGrid w:val="0"/>
        </w:rPr>
        <w:t>the</w:t>
      </w:r>
      <w:r w:rsidRPr="004422E3">
        <w:rPr>
          <w:rFonts w:asciiTheme="minorHAnsi" w:hAnsiTheme="minorHAnsi" w:cs="Arial"/>
          <w:bCs/>
          <w:snapToGrid w:val="0"/>
        </w:rPr>
        <w:t xml:space="preserve"> insertion of a PEG. For both these populations, MND Australia was supportive of the listing of a liquid form of </w:t>
      </w:r>
      <w:proofErr w:type="spellStart"/>
      <w:r w:rsidRPr="004422E3">
        <w:rPr>
          <w:rFonts w:asciiTheme="minorHAnsi" w:hAnsiTheme="minorHAnsi" w:cs="Arial"/>
          <w:bCs/>
          <w:snapToGrid w:val="0"/>
        </w:rPr>
        <w:t>riluzole</w:t>
      </w:r>
      <w:proofErr w:type="spellEnd"/>
      <w:r w:rsidRPr="004422E3">
        <w:rPr>
          <w:rFonts w:asciiTheme="minorHAnsi" w:hAnsiTheme="minorHAnsi" w:cs="Arial"/>
          <w:bCs/>
          <w:snapToGrid w:val="0"/>
        </w:rPr>
        <w:t xml:space="preserve"> as many of these patients would otherwise have suboptimal therapy or would have to cease treatment entirely.</w:t>
      </w:r>
    </w:p>
    <w:p w:rsidR="00D84934" w:rsidRPr="00FA2598" w:rsidRDefault="00D84934" w:rsidP="00FA2598">
      <w:pPr>
        <w:pStyle w:val="Heading2"/>
      </w:pPr>
      <w:r w:rsidRPr="00FA2598">
        <w:t>Clinical trials</w:t>
      </w:r>
    </w:p>
    <w:p w:rsidR="00444395" w:rsidRPr="00AD577D" w:rsidRDefault="007F3092" w:rsidP="00AD577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submission presented one study (CRO-PK-11-25</w:t>
      </w:r>
      <w:r w:rsidR="00C328BD" w:rsidRPr="004422E3">
        <w:rPr>
          <w:rFonts w:asciiTheme="minorHAnsi" w:eastAsiaTheme="minorHAnsi" w:hAnsiTheme="minorHAnsi" w:cstheme="minorBidi"/>
          <w:snapToGrid/>
          <w:sz w:val="24"/>
          <w:szCs w:val="22"/>
        </w:rPr>
        <w:t>1) to demonstrate the comparative</w:t>
      </w:r>
      <w:r w:rsidRPr="004422E3">
        <w:rPr>
          <w:rFonts w:asciiTheme="minorHAnsi" w:eastAsiaTheme="minorHAnsi" w:hAnsiTheme="minorHAnsi" w:cstheme="minorBidi"/>
          <w:snapToGrid/>
          <w:sz w:val="24"/>
          <w:szCs w:val="22"/>
        </w:rPr>
        <w:t xml:space="preserve"> bioavailability of</w:t>
      </w:r>
      <w:r w:rsidR="00C328BD" w:rsidRPr="004422E3">
        <w:rPr>
          <w:rFonts w:asciiTheme="minorHAnsi" w:eastAsiaTheme="minorHAnsi" w:hAnsiTheme="minorHAnsi" w:cstheme="minorBidi"/>
          <w:snapToGrid/>
          <w:sz w:val="24"/>
          <w:szCs w:val="22"/>
        </w:rPr>
        <w:t xml:space="preserve"> a single dose of </w:t>
      </w:r>
      <w:proofErr w:type="spellStart"/>
      <w:r w:rsidR="00C328BD" w:rsidRPr="004422E3">
        <w:rPr>
          <w:rFonts w:asciiTheme="minorHAnsi" w:eastAsiaTheme="minorHAnsi" w:hAnsiTheme="minorHAnsi" w:cstheme="minorBidi"/>
          <w:snapToGrid/>
          <w:sz w:val="24"/>
          <w:szCs w:val="22"/>
        </w:rPr>
        <w:t>riluzole</w:t>
      </w:r>
      <w:proofErr w:type="spellEnd"/>
      <w:r w:rsidR="00C328BD" w:rsidRPr="004422E3">
        <w:rPr>
          <w:rFonts w:asciiTheme="minorHAnsi" w:eastAsiaTheme="minorHAnsi" w:hAnsiTheme="minorHAnsi" w:cstheme="minorBidi"/>
          <w:snapToGrid/>
          <w:sz w:val="24"/>
          <w:szCs w:val="22"/>
        </w:rPr>
        <w:t xml:space="preserve"> oral liquid or</w:t>
      </w:r>
      <w:r w:rsidRPr="004422E3">
        <w:rPr>
          <w:rFonts w:asciiTheme="minorHAnsi" w:eastAsiaTheme="minorHAnsi" w:hAnsiTheme="minorHAnsi" w:cstheme="minorBidi"/>
          <w:snapToGrid/>
          <w:sz w:val="24"/>
          <w:szCs w:val="22"/>
        </w:rPr>
        <w:t xml:space="preserve"> tablets</w:t>
      </w:r>
      <w:r w:rsidR="00CB1E7B" w:rsidRPr="004422E3">
        <w:rPr>
          <w:rFonts w:asciiTheme="minorHAnsi" w:eastAsiaTheme="minorHAnsi" w:hAnsiTheme="minorHAnsi" w:cstheme="minorBidi"/>
          <w:snapToGrid/>
          <w:sz w:val="24"/>
          <w:szCs w:val="22"/>
        </w:rPr>
        <w:t xml:space="preserve"> in healthy participants [N = 30]</w:t>
      </w:r>
      <w:r w:rsidRPr="004422E3">
        <w:rPr>
          <w:rFonts w:asciiTheme="minorHAnsi" w:eastAsiaTheme="minorHAnsi" w:hAnsiTheme="minorHAnsi" w:cstheme="minorBidi"/>
          <w:snapToGrid/>
          <w:sz w:val="24"/>
          <w:szCs w:val="22"/>
        </w:rPr>
        <w:t xml:space="preserve">. </w:t>
      </w:r>
    </w:p>
    <w:p w:rsidR="0076420C" w:rsidRPr="004422E3" w:rsidRDefault="0076420C" w:rsidP="00353211">
      <w:pPr>
        <w:pStyle w:val="NoSpacing"/>
        <w:keepNext/>
        <w:widowControl w:val="0"/>
        <w:spacing w:after="60"/>
        <w:rPr>
          <w:rFonts w:ascii="Arial Narrow" w:hAnsi="Arial Narrow"/>
          <w:b/>
          <w:sz w:val="20"/>
        </w:rPr>
      </w:pPr>
      <w:r w:rsidRPr="004422E3">
        <w:rPr>
          <w:rFonts w:ascii="Arial Narrow" w:hAnsi="Arial Narrow"/>
          <w:b/>
          <w:sz w:val="20"/>
        </w:rPr>
        <w:t>Trials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5363"/>
        <w:gridCol w:w="2085"/>
      </w:tblGrid>
      <w:tr w:rsidR="0076420C" w:rsidRPr="004422E3" w:rsidTr="00D31150">
        <w:trPr>
          <w:cantSplit/>
          <w:trHeight w:val="539"/>
          <w:tblHeader/>
        </w:trPr>
        <w:tc>
          <w:tcPr>
            <w:tcW w:w="796" w:type="pct"/>
          </w:tcPr>
          <w:p w:rsidR="0076420C" w:rsidRPr="004422E3" w:rsidRDefault="0076420C" w:rsidP="00353211">
            <w:pPr>
              <w:pStyle w:val="NoSpacing"/>
              <w:keepNext/>
              <w:widowControl w:val="0"/>
              <w:spacing w:before="40" w:after="40"/>
              <w:jc w:val="left"/>
              <w:rPr>
                <w:rFonts w:ascii="Arial Narrow" w:hAnsi="Arial Narrow"/>
                <w:b/>
                <w:sz w:val="20"/>
              </w:rPr>
            </w:pPr>
            <w:r w:rsidRPr="004422E3">
              <w:rPr>
                <w:rFonts w:ascii="Arial Narrow" w:hAnsi="Arial Narrow"/>
                <w:b/>
                <w:sz w:val="20"/>
              </w:rPr>
              <w:t>Trial ID</w:t>
            </w:r>
            <w:r w:rsidR="006670BE" w:rsidRPr="004422E3">
              <w:rPr>
                <w:rFonts w:ascii="Arial Narrow" w:hAnsi="Arial Narrow"/>
                <w:b/>
                <w:sz w:val="20"/>
              </w:rPr>
              <w:t>/First Author</w:t>
            </w:r>
          </w:p>
        </w:tc>
        <w:tc>
          <w:tcPr>
            <w:tcW w:w="3027" w:type="pct"/>
          </w:tcPr>
          <w:p w:rsidR="0076420C" w:rsidRPr="004422E3" w:rsidRDefault="0076420C" w:rsidP="00353211">
            <w:pPr>
              <w:keepNext/>
              <w:widowControl w:val="0"/>
              <w:spacing w:before="40" w:after="40"/>
              <w:rPr>
                <w:rFonts w:ascii="Arial Narrow" w:hAnsi="Arial Narrow"/>
                <w:b/>
                <w:sz w:val="20"/>
              </w:rPr>
            </w:pPr>
            <w:r w:rsidRPr="004422E3">
              <w:rPr>
                <w:rFonts w:ascii="Arial Narrow" w:hAnsi="Arial Narrow"/>
                <w:b/>
                <w:sz w:val="20"/>
              </w:rPr>
              <w:t>Protocol title/ Publication title</w:t>
            </w:r>
          </w:p>
        </w:tc>
        <w:tc>
          <w:tcPr>
            <w:tcW w:w="1177" w:type="pct"/>
          </w:tcPr>
          <w:p w:rsidR="0076420C" w:rsidRPr="004422E3" w:rsidRDefault="0076420C" w:rsidP="00353211">
            <w:pPr>
              <w:keepNext/>
              <w:widowControl w:val="0"/>
              <w:spacing w:before="40" w:after="40"/>
              <w:rPr>
                <w:rFonts w:ascii="Arial Narrow" w:hAnsi="Arial Narrow"/>
                <w:b/>
                <w:sz w:val="20"/>
              </w:rPr>
            </w:pPr>
            <w:r w:rsidRPr="004422E3">
              <w:rPr>
                <w:rFonts w:ascii="Arial Narrow" w:hAnsi="Arial Narrow"/>
                <w:b/>
                <w:sz w:val="20"/>
              </w:rPr>
              <w:t>Publication citation</w:t>
            </w:r>
          </w:p>
        </w:tc>
      </w:tr>
      <w:tr w:rsidR="0076420C" w:rsidRPr="004422E3" w:rsidTr="00D31150">
        <w:trPr>
          <w:cantSplit/>
          <w:trHeight w:val="317"/>
        </w:trPr>
        <w:tc>
          <w:tcPr>
            <w:tcW w:w="5000" w:type="pct"/>
            <w:gridSpan w:val="3"/>
          </w:tcPr>
          <w:p w:rsidR="0076420C" w:rsidRPr="004422E3" w:rsidRDefault="0076420C" w:rsidP="00353211">
            <w:pPr>
              <w:pStyle w:val="NoSpacing"/>
              <w:keepNext/>
              <w:widowControl w:val="0"/>
              <w:spacing w:before="40" w:after="40"/>
              <w:rPr>
                <w:rFonts w:ascii="Arial Narrow" w:hAnsi="Arial Narrow"/>
                <w:b/>
                <w:sz w:val="20"/>
              </w:rPr>
            </w:pPr>
            <w:r w:rsidRPr="004422E3">
              <w:rPr>
                <w:rFonts w:ascii="Arial Narrow" w:hAnsi="Arial Narrow"/>
                <w:b/>
                <w:sz w:val="20"/>
              </w:rPr>
              <w:t>Direct randomised trial</w:t>
            </w:r>
            <w:r w:rsidR="00B176C8" w:rsidRPr="004422E3">
              <w:rPr>
                <w:rFonts w:ascii="Arial Narrow" w:hAnsi="Arial Narrow"/>
                <w:b/>
                <w:sz w:val="20"/>
              </w:rPr>
              <w:t>(</w:t>
            </w:r>
            <w:r w:rsidRPr="004422E3">
              <w:rPr>
                <w:rFonts w:ascii="Arial Narrow" w:hAnsi="Arial Narrow"/>
                <w:b/>
                <w:sz w:val="20"/>
              </w:rPr>
              <w:t>s</w:t>
            </w:r>
            <w:r w:rsidR="00B176C8" w:rsidRPr="004422E3">
              <w:rPr>
                <w:rFonts w:ascii="Arial Narrow" w:hAnsi="Arial Narrow"/>
                <w:b/>
                <w:sz w:val="20"/>
              </w:rPr>
              <w:t>)</w:t>
            </w:r>
          </w:p>
        </w:tc>
      </w:tr>
      <w:tr w:rsidR="0076420C" w:rsidRPr="004422E3" w:rsidTr="00D31150">
        <w:trPr>
          <w:cantSplit/>
          <w:trHeight w:val="317"/>
        </w:trPr>
        <w:tc>
          <w:tcPr>
            <w:tcW w:w="796" w:type="pct"/>
          </w:tcPr>
          <w:p w:rsidR="0076420C" w:rsidRPr="004422E3" w:rsidRDefault="00A02044" w:rsidP="00353211">
            <w:pPr>
              <w:pStyle w:val="NoSpacing"/>
              <w:keepNext/>
              <w:widowControl w:val="0"/>
              <w:rPr>
                <w:rFonts w:ascii="Arial Narrow" w:hAnsi="Arial Narrow"/>
                <w:sz w:val="20"/>
              </w:rPr>
            </w:pPr>
            <w:r w:rsidRPr="004422E3">
              <w:rPr>
                <w:rFonts w:ascii="Arial Narrow" w:hAnsi="Arial Narrow"/>
                <w:sz w:val="20"/>
              </w:rPr>
              <w:t>CRO-PK-11-251</w:t>
            </w:r>
          </w:p>
          <w:p w:rsidR="00A02044" w:rsidRPr="004422E3" w:rsidRDefault="00A02044" w:rsidP="00353211">
            <w:pPr>
              <w:pStyle w:val="NoSpacing"/>
              <w:keepNext/>
              <w:widowControl w:val="0"/>
              <w:rPr>
                <w:rFonts w:ascii="Arial Narrow" w:hAnsi="Arial Narrow"/>
                <w:sz w:val="20"/>
              </w:rPr>
            </w:pPr>
            <w:proofErr w:type="spellStart"/>
            <w:r w:rsidRPr="004422E3">
              <w:rPr>
                <w:rFonts w:ascii="Arial Narrow" w:hAnsi="Arial Narrow"/>
                <w:sz w:val="20"/>
              </w:rPr>
              <w:t>Radicioni</w:t>
            </w:r>
            <w:proofErr w:type="spellEnd"/>
            <w:r w:rsidRPr="004422E3">
              <w:rPr>
                <w:rFonts w:ascii="Arial Narrow" w:hAnsi="Arial Narrow"/>
                <w:sz w:val="20"/>
              </w:rPr>
              <w:t xml:space="preserve"> M</w:t>
            </w:r>
          </w:p>
        </w:tc>
        <w:tc>
          <w:tcPr>
            <w:tcW w:w="3027" w:type="pct"/>
          </w:tcPr>
          <w:p w:rsidR="00A02044" w:rsidRPr="004422E3" w:rsidRDefault="00A02044" w:rsidP="00353211">
            <w:pPr>
              <w:keepNext/>
              <w:widowControl w:val="0"/>
              <w:rPr>
                <w:rFonts w:ascii="Arial Narrow" w:hAnsi="Arial Narrow"/>
                <w:sz w:val="20"/>
              </w:rPr>
            </w:pPr>
            <w:r w:rsidRPr="004422E3">
              <w:rPr>
                <w:rFonts w:ascii="Arial Narrow" w:hAnsi="Arial Narrow"/>
                <w:sz w:val="20"/>
              </w:rPr>
              <w:t xml:space="preserve">A pharmacokinetic comparison of </w:t>
            </w:r>
            <w:proofErr w:type="spellStart"/>
            <w:r w:rsidRPr="004422E3">
              <w:rPr>
                <w:rFonts w:ascii="Arial Narrow" w:hAnsi="Arial Narrow"/>
                <w:sz w:val="20"/>
              </w:rPr>
              <w:t>riluzole</w:t>
            </w:r>
            <w:proofErr w:type="spellEnd"/>
            <w:r w:rsidRPr="004422E3">
              <w:rPr>
                <w:rFonts w:ascii="Arial Narrow" w:hAnsi="Arial Narrow"/>
                <w:sz w:val="20"/>
              </w:rPr>
              <w:t xml:space="preserve"> 50 mg/10 mL oral</w:t>
            </w:r>
            <w:r w:rsidR="001B1DAF" w:rsidRPr="004422E3">
              <w:rPr>
                <w:rFonts w:ascii="Arial Narrow" w:hAnsi="Arial Narrow"/>
                <w:sz w:val="20"/>
              </w:rPr>
              <w:t xml:space="preserve"> </w:t>
            </w:r>
            <w:r w:rsidRPr="004422E3">
              <w:rPr>
                <w:rFonts w:ascii="Arial Narrow" w:hAnsi="Arial Narrow"/>
                <w:sz w:val="20"/>
              </w:rPr>
              <w:t xml:space="preserve">suspension vs. </w:t>
            </w:r>
            <w:proofErr w:type="spellStart"/>
            <w:r w:rsidRPr="004422E3">
              <w:rPr>
                <w:rFonts w:ascii="Arial Narrow" w:hAnsi="Arial Narrow"/>
                <w:sz w:val="20"/>
              </w:rPr>
              <w:t>Rilutek</w:t>
            </w:r>
            <w:proofErr w:type="spellEnd"/>
            <w:r w:rsidRPr="004422E3">
              <w:rPr>
                <w:rFonts w:ascii="Arial Narrow" w:hAnsi="Arial Narrow"/>
                <w:sz w:val="20"/>
              </w:rPr>
              <w:t>® 50 mg tablets after single dose in healthy</w:t>
            </w:r>
            <w:r w:rsidR="001B1DAF" w:rsidRPr="004422E3">
              <w:rPr>
                <w:rFonts w:ascii="Arial Narrow" w:hAnsi="Arial Narrow"/>
                <w:sz w:val="20"/>
              </w:rPr>
              <w:t xml:space="preserve"> </w:t>
            </w:r>
            <w:r w:rsidRPr="004422E3">
              <w:rPr>
                <w:rFonts w:ascii="Arial Narrow" w:hAnsi="Arial Narrow"/>
                <w:sz w:val="20"/>
              </w:rPr>
              <w:t>volunteers. A single centre, single dose, open label, randomised two-way cross-over study.</w:t>
            </w:r>
          </w:p>
          <w:p w:rsidR="00A02044" w:rsidRPr="004422E3" w:rsidRDefault="00A02044" w:rsidP="00353211">
            <w:pPr>
              <w:keepNext/>
              <w:widowControl w:val="0"/>
              <w:rPr>
                <w:rFonts w:ascii="Arial Narrow" w:hAnsi="Arial Narrow"/>
                <w:sz w:val="20"/>
              </w:rPr>
            </w:pPr>
          </w:p>
          <w:p w:rsidR="00A02044" w:rsidRPr="004422E3" w:rsidRDefault="00A02044" w:rsidP="00353211">
            <w:pPr>
              <w:keepNext/>
              <w:widowControl w:val="0"/>
              <w:rPr>
                <w:rFonts w:ascii="Arial Narrow" w:hAnsi="Arial Narrow"/>
                <w:sz w:val="20"/>
              </w:rPr>
            </w:pPr>
            <w:proofErr w:type="spellStart"/>
            <w:r w:rsidRPr="004422E3">
              <w:rPr>
                <w:rFonts w:ascii="Arial Narrow" w:hAnsi="Arial Narrow"/>
                <w:sz w:val="20"/>
              </w:rPr>
              <w:t>Radicioni</w:t>
            </w:r>
            <w:proofErr w:type="spellEnd"/>
            <w:r w:rsidRPr="004422E3">
              <w:rPr>
                <w:rFonts w:ascii="Arial Narrow" w:hAnsi="Arial Narrow"/>
                <w:sz w:val="20"/>
              </w:rPr>
              <w:t xml:space="preserve"> M, </w:t>
            </w:r>
            <w:proofErr w:type="spellStart"/>
            <w:r w:rsidRPr="004422E3">
              <w:rPr>
                <w:rFonts w:ascii="Arial Narrow" w:hAnsi="Arial Narrow"/>
                <w:sz w:val="20"/>
              </w:rPr>
              <w:t>Rusca</w:t>
            </w:r>
            <w:proofErr w:type="spellEnd"/>
            <w:r w:rsidRPr="004422E3">
              <w:rPr>
                <w:rFonts w:ascii="Arial Narrow" w:hAnsi="Arial Narrow"/>
                <w:sz w:val="20"/>
              </w:rPr>
              <w:t xml:space="preserve"> A (2011) – unpublished pharmacokinetic trial.</w:t>
            </w:r>
          </w:p>
        </w:tc>
        <w:tc>
          <w:tcPr>
            <w:tcW w:w="1177" w:type="pct"/>
          </w:tcPr>
          <w:p w:rsidR="0076420C" w:rsidRPr="004422E3" w:rsidRDefault="00A02044" w:rsidP="00353211">
            <w:pPr>
              <w:keepNext/>
              <w:widowControl w:val="0"/>
              <w:rPr>
                <w:rFonts w:ascii="Arial Narrow" w:hAnsi="Arial Narrow"/>
                <w:sz w:val="20"/>
              </w:rPr>
            </w:pPr>
            <w:r w:rsidRPr="004422E3">
              <w:rPr>
                <w:rFonts w:ascii="Arial Narrow" w:hAnsi="Arial Narrow"/>
                <w:sz w:val="20"/>
              </w:rPr>
              <w:t>Unpublished</w:t>
            </w:r>
          </w:p>
        </w:tc>
      </w:tr>
    </w:tbl>
    <w:p w:rsidR="0076420C" w:rsidRPr="004422E3" w:rsidRDefault="0076420C" w:rsidP="004A71D1">
      <w:pPr>
        <w:pStyle w:val="tablenotes"/>
        <w:spacing w:after="120"/>
        <w:rPr>
          <w:rFonts w:ascii="Arial Narrow" w:hAnsi="Arial Narrow"/>
          <w:sz w:val="18"/>
          <w:szCs w:val="18"/>
        </w:rPr>
      </w:pPr>
      <w:r w:rsidRPr="004422E3">
        <w:rPr>
          <w:rFonts w:ascii="Arial Narrow" w:hAnsi="Arial Narrow"/>
          <w:sz w:val="18"/>
          <w:szCs w:val="18"/>
        </w:rPr>
        <w:t xml:space="preserve">Source: </w:t>
      </w:r>
      <w:r w:rsidR="008E012B" w:rsidRPr="004422E3">
        <w:rPr>
          <w:rFonts w:ascii="Arial Narrow" w:hAnsi="Arial Narrow"/>
          <w:sz w:val="18"/>
          <w:szCs w:val="18"/>
        </w:rPr>
        <w:t>Appendix 3 to the submission</w:t>
      </w:r>
      <w:r w:rsidR="00367785" w:rsidRPr="004422E3">
        <w:rPr>
          <w:rFonts w:ascii="Arial Narrow" w:hAnsi="Arial Narrow"/>
          <w:sz w:val="18"/>
          <w:szCs w:val="18"/>
        </w:rPr>
        <w:t>, Study Report CRO-PK-11-251</w:t>
      </w:r>
    </w:p>
    <w:p w:rsidR="005A3173" w:rsidRPr="004422E3" w:rsidRDefault="005A3173" w:rsidP="00FA2598">
      <w:pPr>
        <w:pStyle w:val="Heading2"/>
      </w:pPr>
      <w:r w:rsidRPr="004422E3">
        <w:lastRenderedPageBreak/>
        <w:t>Comparative effectiveness</w:t>
      </w:r>
    </w:p>
    <w:p w:rsidR="009249DD" w:rsidRPr="004422E3" w:rsidRDefault="009B0F67" w:rsidP="00303C4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The </w:t>
      </w:r>
      <w:r w:rsidR="00303C4A" w:rsidRPr="004422E3">
        <w:rPr>
          <w:rFonts w:asciiTheme="minorHAnsi" w:eastAsiaTheme="minorHAnsi" w:hAnsiTheme="minorHAnsi" w:cstheme="minorBidi"/>
          <w:snapToGrid/>
          <w:sz w:val="24"/>
          <w:szCs w:val="22"/>
        </w:rPr>
        <w:t xml:space="preserve">pivotal pharmacokinetic (PK) trial measured a range of PK endpoints, with the primary endpoint being extent of plasma absorption of </w:t>
      </w:r>
      <w:proofErr w:type="spellStart"/>
      <w:r w:rsidR="00303C4A" w:rsidRPr="004422E3">
        <w:rPr>
          <w:rFonts w:asciiTheme="minorHAnsi" w:eastAsiaTheme="minorHAnsi" w:hAnsiTheme="minorHAnsi" w:cstheme="minorBidi"/>
          <w:snapToGrid/>
          <w:sz w:val="24"/>
          <w:szCs w:val="22"/>
        </w:rPr>
        <w:t>riluzole</w:t>
      </w:r>
      <w:proofErr w:type="spellEnd"/>
      <w:r w:rsidR="00303C4A" w:rsidRPr="004422E3">
        <w:rPr>
          <w:rFonts w:asciiTheme="minorHAnsi" w:eastAsiaTheme="minorHAnsi" w:hAnsiTheme="minorHAnsi" w:cstheme="minorBidi"/>
          <w:snapToGrid/>
          <w:sz w:val="24"/>
          <w:szCs w:val="22"/>
        </w:rPr>
        <w:t xml:space="preserve"> after a single dose (AUC</w:t>
      </w:r>
      <w:r w:rsidR="00303C4A" w:rsidRPr="004422E3">
        <w:rPr>
          <w:rFonts w:asciiTheme="minorHAnsi" w:eastAsiaTheme="minorHAnsi" w:hAnsiTheme="minorHAnsi" w:cstheme="minorBidi"/>
          <w:snapToGrid/>
          <w:sz w:val="24"/>
          <w:szCs w:val="22"/>
          <w:vertAlign w:val="subscript"/>
        </w:rPr>
        <w:t>0-t</w:t>
      </w:r>
      <w:r w:rsidR="00303C4A" w:rsidRPr="004422E3">
        <w:rPr>
          <w:rFonts w:asciiTheme="minorHAnsi" w:eastAsiaTheme="minorHAnsi" w:hAnsiTheme="minorHAnsi" w:cstheme="minorBidi"/>
          <w:snapToGrid/>
          <w:sz w:val="24"/>
          <w:szCs w:val="22"/>
        </w:rPr>
        <w:t xml:space="preserve">). Secondary endpoints included </w:t>
      </w:r>
      <w:r w:rsidR="00C328BD" w:rsidRPr="004422E3">
        <w:rPr>
          <w:rFonts w:asciiTheme="minorHAnsi" w:eastAsiaTheme="minorHAnsi" w:hAnsiTheme="minorHAnsi" w:cstheme="minorBidi"/>
          <w:snapToGrid/>
          <w:sz w:val="24"/>
          <w:szCs w:val="22"/>
        </w:rPr>
        <w:t xml:space="preserve">mean peak plasma concentration </w:t>
      </w:r>
      <w:r w:rsidR="00303C4A" w:rsidRPr="004422E3">
        <w:rPr>
          <w:rFonts w:asciiTheme="minorHAnsi" w:eastAsiaTheme="minorHAnsi" w:hAnsiTheme="minorHAnsi" w:cstheme="minorBidi"/>
          <w:snapToGrid/>
          <w:sz w:val="24"/>
          <w:szCs w:val="22"/>
        </w:rPr>
        <w:t>(</w:t>
      </w:r>
      <w:proofErr w:type="spellStart"/>
      <w:r w:rsidR="00303C4A" w:rsidRPr="004422E3">
        <w:rPr>
          <w:rFonts w:asciiTheme="minorHAnsi" w:eastAsiaTheme="minorHAnsi" w:hAnsiTheme="minorHAnsi" w:cstheme="minorBidi"/>
          <w:snapToGrid/>
          <w:sz w:val="24"/>
          <w:szCs w:val="22"/>
        </w:rPr>
        <w:t>C</w:t>
      </w:r>
      <w:r w:rsidR="00303C4A" w:rsidRPr="004422E3">
        <w:rPr>
          <w:rFonts w:asciiTheme="minorHAnsi" w:eastAsiaTheme="minorHAnsi" w:hAnsiTheme="minorHAnsi" w:cstheme="minorBidi"/>
          <w:snapToGrid/>
          <w:sz w:val="24"/>
          <w:szCs w:val="22"/>
          <w:vertAlign w:val="subscript"/>
        </w:rPr>
        <w:t>max</w:t>
      </w:r>
      <w:proofErr w:type="spellEnd"/>
      <w:r w:rsidR="00303C4A" w:rsidRPr="004422E3">
        <w:rPr>
          <w:rFonts w:asciiTheme="minorHAnsi" w:eastAsiaTheme="minorHAnsi" w:hAnsiTheme="minorHAnsi" w:cstheme="minorBidi"/>
          <w:snapToGrid/>
          <w:sz w:val="24"/>
          <w:szCs w:val="22"/>
        </w:rPr>
        <w:t xml:space="preserve">), overall PK profile and safety and tolerability data after a single dose of either </w:t>
      </w:r>
      <w:proofErr w:type="spellStart"/>
      <w:r w:rsidR="00303C4A" w:rsidRPr="004422E3">
        <w:rPr>
          <w:rFonts w:asciiTheme="minorHAnsi" w:eastAsiaTheme="minorHAnsi" w:hAnsiTheme="minorHAnsi" w:cstheme="minorBidi"/>
          <w:snapToGrid/>
          <w:sz w:val="24"/>
          <w:szCs w:val="22"/>
        </w:rPr>
        <w:t>riluzole</w:t>
      </w:r>
      <w:proofErr w:type="spellEnd"/>
      <w:r w:rsidR="00303C4A" w:rsidRPr="004422E3">
        <w:rPr>
          <w:rFonts w:asciiTheme="minorHAnsi" w:eastAsiaTheme="minorHAnsi" w:hAnsiTheme="minorHAnsi" w:cstheme="minorBidi"/>
          <w:snapToGrid/>
          <w:sz w:val="24"/>
          <w:szCs w:val="22"/>
        </w:rPr>
        <w:t xml:space="preserve"> liquid or tablets.</w:t>
      </w:r>
    </w:p>
    <w:p w:rsidR="00303C4A" w:rsidRPr="004422E3" w:rsidRDefault="00303C4A" w:rsidP="00303C4A">
      <w:pPr>
        <w:pStyle w:val="Caption"/>
      </w:pPr>
      <w:r w:rsidRPr="004422E3">
        <w:t xml:space="preserve">Table </w:t>
      </w:r>
      <w:r w:rsidR="00FE5471" w:rsidRPr="000A3C7B">
        <w:t>1</w:t>
      </w:r>
      <w:r w:rsidRPr="004422E3">
        <w:t>: Resu</w:t>
      </w:r>
      <w:r w:rsidR="00CB1E7B" w:rsidRPr="004422E3">
        <w:t>lts of the pivotal pharmacokinetic</w:t>
      </w:r>
      <w:r w:rsidRPr="004422E3">
        <w:t xml:space="preserve"> study (CRO-PK-11-251)</w:t>
      </w:r>
    </w:p>
    <w:tbl>
      <w:tblPr>
        <w:tblStyle w:val="TableGrid"/>
        <w:tblW w:w="9072" w:type="dxa"/>
        <w:tblInd w:w="108" w:type="dxa"/>
        <w:tblLook w:val="04A0" w:firstRow="1" w:lastRow="0" w:firstColumn="1" w:lastColumn="0" w:noHBand="0" w:noVBand="1"/>
        <w:tblCaption w:val="Results of the pivotal pharmacokinetic study (CRO-PK-11-251)"/>
      </w:tblPr>
      <w:tblGrid>
        <w:gridCol w:w="1701"/>
        <w:gridCol w:w="1701"/>
        <w:gridCol w:w="1985"/>
        <w:gridCol w:w="1701"/>
        <w:gridCol w:w="1984"/>
      </w:tblGrid>
      <w:tr w:rsidR="00303C4A" w:rsidRPr="004422E3" w:rsidTr="00CB1E7B">
        <w:tc>
          <w:tcPr>
            <w:tcW w:w="1701" w:type="dxa"/>
            <w:vMerge w:val="restart"/>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itlecentred"/>
              <w:rPr>
                <w:rFonts w:ascii="Arial Narrow" w:hAnsi="Arial Narrow"/>
                <w:sz w:val="20"/>
                <w:lang w:eastAsia="en-AU"/>
              </w:rPr>
            </w:pPr>
            <w:r w:rsidRPr="004422E3">
              <w:rPr>
                <w:rFonts w:ascii="Arial Narrow" w:hAnsi="Arial Narrow"/>
                <w:sz w:val="20"/>
                <w:lang w:eastAsia="en-AU"/>
              </w:rPr>
              <w:t>PK pa</w:t>
            </w:r>
            <w:r w:rsidRPr="004422E3">
              <w:rPr>
                <w:rFonts w:ascii="Arial Narrow" w:hAnsi="Arial Narrow"/>
                <w:spacing w:val="-1"/>
                <w:sz w:val="20"/>
                <w:lang w:eastAsia="en-AU"/>
              </w:rPr>
              <w:t>r</w:t>
            </w:r>
            <w:r w:rsidRPr="004422E3">
              <w:rPr>
                <w:rFonts w:ascii="Arial Narrow" w:hAnsi="Arial Narrow"/>
                <w:spacing w:val="1"/>
                <w:sz w:val="20"/>
                <w:lang w:eastAsia="en-AU"/>
              </w:rPr>
              <w:t>a</w:t>
            </w:r>
            <w:r w:rsidRPr="004422E3">
              <w:rPr>
                <w:rFonts w:ascii="Arial Narrow" w:hAnsi="Arial Narrow"/>
                <w:sz w:val="20"/>
                <w:lang w:eastAsia="en-AU"/>
              </w:rPr>
              <w:t>meter</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itlecentred"/>
              <w:rPr>
                <w:rFonts w:ascii="Arial Narrow" w:hAnsi="Arial Narrow"/>
                <w:sz w:val="20"/>
                <w:lang w:eastAsia="en-AU"/>
              </w:rPr>
            </w:pPr>
            <w:r w:rsidRPr="004422E3">
              <w:rPr>
                <w:rFonts w:ascii="Arial Narrow" w:hAnsi="Arial Narrow"/>
                <w:sz w:val="20"/>
                <w:lang w:eastAsia="en-AU"/>
              </w:rPr>
              <w:t>Oral suspension</w:t>
            </w:r>
          </w:p>
          <w:p w:rsidR="00303C4A" w:rsidRPr="004422E3" w:rsidRDefault="00303C4A" w:rsidP="00CB1E7B">
            <w:pPr>
              <w:pStyle w:val="TableTitlecentred"/>
              <w:rPr>
                <w:rFonts w:ascii="Arial Narrow" w:hAnsi="Arial Narrow"/>
                <w:sz w:val="20"/>
                <w:lang w:eastAsia="en-AU"/>
              </w:rPr>
            </w:pPr>
            <w:r w:rsidRPr="004422E3">
              <w:rPr>
                <w:rFonts w:ascii="Arial Narrow" w:hAnsi="Arial Narrow"/>
                <w:sz w:val="20"/>
                <w:lang w:eastAsia="en-AU"/>
              </w:rPr>
              <w:t>(Test)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itlecentred"/>
              <w:rPr>
                <w:rFonts w:ascii="Arial Narrow" w:hAnsi="Arial Narrow"/>
                <w:sz w:val="20"/>
                <w:lang w:eastAsia="en-AU"/>
              </w:rPr>
            </w:pPr>
            <w:r w:rsidRPr="004422E3">
              <w:rPr>
                <w:rFonts w:ascii="Arial Narrow" w:hAnsi="Arial Narrow"/>
                <w:sz w:val="20"/>
                <w:lang w:eastAsia="en-AU"/>
              </w:rPr>
              <w:t>Tablets</w:t>
            </w:r>
          </w:p>
          <w:p w:rsidR="00303C4A" w:rsidRPr="004422E3" w:rsidRDefault="00303C4A" w:rsidP="00CB1E7B">
            <w:pPr>
              <w:pStyle w:val="TableTitlecentred"/>
              <w:rPr>
                <w:rFonts w:ascii="Arial Narrow" w:hAnsi="Arial Narrow"/>
                <w:sz w:val="20"/>
                <w:lang w:eastAsia="en-AU"/>
              </w:rPr>
            </w:pPr>
            <w:r w:rsidRPr="004422E3">
              <w:rPr>
                <w:rFonts w:ascii="Arial Narrow" w:hAnsi="Arial Narrow"/>
                <w:sz w:val="20"/>
                <w:lang w:eastAsia="en-AU"/>
              </w:rPr>
              <w:t>(Refer</w:t>
            </w:r>
            <w:r w:rsidRPr="004422E3">
              <w:rPr>
                <w:rFonts w:ascii="Arial Narrow" w:hAnsi="Arial Narrow"/>
                <w:spacing w:val="-1"/>
                <w:sz w:val="20"/>
                <w:lang w:eastAsia="en-AU"/>
              </w:rPr>
              <w:t>e</w:t>
            </w:r>
            <w:r w:rsidRPr="004422E3">
              <w:rPr>
                <w:rFonts w:ascii="Arial Narrow" w:hAnsi="Arial Narrow"/>
                <w:sz w:val="20"/>
                <w:lang w:eastAsia="en-AU"/>
              </w:rPr>
              <w:t>nce)</w:t>
            </w:r>
          </w:p>
        </w:tc>
        <w:tc>
          <w:tcPr>
            <w:tcW w:w="3685" w:type="dxa"/>
            <w:gridSpan w:val="2"/>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itlecentred"/>
              <w:rPr>
                <w:rFonts w:ascii="Arial Narrow" w:hAnsi="Arial Narrow"/>
                <w:sz w:val="20"/>
              </w:rPr>
            </w:pPr>
            <w:r w:rsidRPr="004422E3">
              <w:rPr>
                <w:rFonts w:ascii="Arial Narrow" w:hAnsi="Arial Narrow"/>
                <w:sz w:val="20"/>
              </w:rPr>
              <w:t>Geometric mean ratio</w:t>
            </w:r>
          </w:p>
        </w:tc>
      </w:tr>
      <w:tr w:rsidR="00303C4A" w:rsidRPr="004422E3" w:rsidTr="00CB1E7B">
        <w:tc>
          <w:tcPr>
            <w:tcW w:w="1701" w:type="dxa"/>
            <w:vMerge/>
            <w:tcBorders>
              <w:top w:val="single" w:sz="4" w:space="0" w:color="auto"/>
              <w:left w:val="single" w:sz="4" w:space="0" w:color="auto"/>
              <w:bottom w:val="single" w:sz="4" w:space="0" w:color="auto"/>
              <w:right w:val="single" w:sz="4" w:space="0" w:color="auto"/>
            </w:tcBorders>
            <w:vAlign w:val="center"/>
            <w:hideMark/>
          </w:tcPr>
          <w:p w:rsidR="00303C4A" w:rsidRPr="004422E3" w:rsidRDefault="00303C4A" w:rsidP="00CB1E7B">
            <w:pPr>
              <w:rPr>
                <w:rFonts w:ascii="Arial Narrow" w:hAnsi="Arial Narrow"/>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3C4A" w:rsidRPr="004422E3" w:rsidRDefault="00303C4A" w:rsidP="00CB1E7B">
            <w:pPr>
              <w:rPr>
                <w:rFonts w:ascii="Arial Narrow" w:hAnsi="Arial Narrow"/>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3C4A" w:rsidRPr="004422E3" w:rsidRDefault="00303C4A" w:rsidP="00CB1E7B">
            <w:pPr>
              <w:rPr>
                <w:rFonts w:ascii="Arial Narrow" w:hAnsi="Arial Narrow"/>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itlecentred"/>
              <w:rPr>
                <w:rFonts w:ascii="Arial Narrow" w:hAnsi="Arial Narrow"/>
                <w:sz w:val="20"/>
              </w:rPr>
            </w:pPr>
            <w:r w:rsidRPr="004422E3">
              <w:rPr>
                <w:rFonts w:ascii="Arial Narrow" w:hAnsi="Arial Narrow"/>
                <w:sz w:val="20"/>
              </w:rPr>
              <w:t>PE%</w:t>
            </w:r>
          </w:p>
        </w:tc>
        <w:tc>
          <w:tcPr>
            <w:tcW w:w="1984"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itlecentred"/>
              <w:rPr>
                <w:rFonts w:ascii="Arial Narrow" w:hAnsi="Arial Narrow"/>
                <w:sz w:val="20"/>
              </w:rPr>
            </w:pPr>
            <w:r w:rsidRPr="004422E3">
              <w:rPr>
                <w:rFonts w:ascii="Arial Narrow" w:hAnsi="Arial Narrow"/>
                <w:sz w:val="20"/>
              </w:rPr>
              <w:t>90% CI</w:t>
            </w:r>
          </w:p>
        </w:tc>
      </w:tr>
      <w:tr w:rsidR="00303C4A" w:rsidRPr="004422E3" w:rsidTr="00CB1E7B">
        <w:trPr>
          <w:trHeight w:val="20"/>
        </w:trPr>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leftalign"/>
              <w:rPr>
                <w:rFonts w:ascii="Arial Narrow" w:hAnsi="Arial Narrow"/>
                <w:sz w:val="20"/>
                <w:szCs w:val="20"/>
                <w:lang w:eastAsia="en-AU"/>
              </w:rPr>
            </w:pPr>
            <w:r w:rsidRPr="004422E3">
              <w:rPr>
                <w:rFonts w:ascii="Arial Narrow" w:hAnsi="Arial Narrow"/>
                <w:spacing w:val="1"/>
                <w:sz w:val="20"/>
                <w:szCs w:val="20"/>
                <w:lang w:eastAsia="en-AU"/>
              </w:rPr>
              <w:t>C</w:t>
            </w:r>
            <w:r w:rsidRPr="004422E3">
              <w:rPr>
                <w:rFonts w:ascii="Arial Narrow" w:hAnsi="Arial Narrow"/>
                <w:spacing w:val="-1"/>
                <w:position w:val="-3"/>
                <w:sz w:val="20"/>
                <w:szCs w:val="20"/>
                <w:lang w:eastAsia="en-AU"/>
              </w:rPr>
              <w:t>m</w:t>
            </w:r>
            <w:r w:rsidRPr="004422E3">
              <w:rPr>
                <w:rFonts w:ascii="Arial Narrow" w:hAnsi="Arial Narrow"/>
                <w:position w:val="-3"/>
                <w:sz w:val="20"/>
                <w:szCs w:val="20"/>
                <w:lang w:eastAsia="en-AU"/>
              </w:rPr>
              <w:t>ax</w:t>
            </w:r>
            <w:r w:rsidRPr="004422E3">
              <w:rPr>
                <w:rFonts w:ascii="Arial Narrow" w:hAnsi="Arial Narrow"/>
                <w:spacing w:val="17"/>
                <w:position w:val="-3"/>
                <w:sz w:val="20"/>
                <w:szCs w:val="20"/>
                <w:lang w:eastAsia="en-AU"/>
              </w:rPr>
              <w:t xml:space="preserve"> </w:t>
            </w:r>
            <w:r w:rsidRPr="004422E3">
              <w:rPr>
                <w:rFonts w:ascii="Arial Narrow" w:hAnsi="Arial Narrow"/>
                <w:sz w:val="20"/>
                <w:szCs w:val="20"/>
                <w:lang w:eastAsia="en-AU"/>
              </w:rPr>
              <w:t>(</w:t>
            </w:r>
            <w:r w:rsidRPr="004422E3">
              <w:rPr>
                <w:rFonts w:ascii="Arial Narrow" w:hAnsi="Arial Narrow"/>
                <w:spacing w:val="-1"/>
                <w:sz w:val="20"/>
                <w:szCs w:val="20"/>
                <w:lang w:eastAsia="en-AU"/>
              </w:rPr>
              <w:t>n</w:t>
            </w:r>
            <w:r w:rsidRPr="004422E3">
              <w:rPr>
                <w:rFonts w:ascii="Arial Narrow" w:hAnsi="Arial Narrow"/>
                <w:sz w:val="20"/>
                <w:szCs w:val="20"/>
                <w:lang w:eastAsia="en-AU"/>
              </w:rPr>
              <w:t>g/mL)</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393.67 ± 208.02</w:t>
            </w:r>
          </w:p>
        </w:tc>
        <w:tc>
          <w:tcPr>
            <w:tcW w:w="1985" w:type="dxa"/>
            <w:tcBorders>
              <w:top w:val="single" w:sz="4" w:space="0" w:color="auto"/>
              <w:left w:val="single" w:sz="4" w:space="0" w:color="auto"/>
              <w:bottom w:val="single" w:sz="4" w:space="0" w:color="auto"/>
              <w:right w:val="single" w:sz="4" w:space="0" w:color="auto"/>
            </w:tcBorders>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321.12 ± 163.49</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122.32%</w:t>
            </w:r>
          </w:p>
        </w:tc>
        <w:tc>
          <w:tcPr>
            <w:tcW w:w="1984"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103.28 – 144.88%</w:t>
            </w:r>
          </w:p>
        </w:tc>
      </w:tr>
      <w:tr w:rsidR="00303C4A" w:rsidRPr="004422E3" w:rsidTr="00CB1E7B">
        <w:trPr>
          <w:trHeight w:val="20"/>
        </w:trPr>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leftalign"/>
              <w:rPr>
                <w:rFonts w:ascii="Arial Narrow" w:hAnsi="Arial Narrow"/>
                <w:sz w:val="20"/>
                <w:szCs w:val="20"/>
                <w:lang w:eastAsia="en-AU"/>
              </w:rPr>
            </w:pPr>
            <w:r w:rsidRPr="004422E3">
              <w:rPr>
                <w:rFonts w:ascii="Arial Narrow" w:hAnsi="Arial Narrow"/>
                <w:sz w:val="20"/>
                <w:szCs w:val="20"/>
                <w:lang w:eastAsia="en-AU"/>
              </w:rPr>
              <w:t>A</w:t>
            </w:r>
            <w:r w:rsidRPr="004422E3">
              <w:rPr>
                <w:rFonts w:ascii="Arial Narrow" w:hAnsi="Arial Narrow"/>
                <w:spacing w:val="-1"/>
                <w:sz w:val="20"/>
                <w:szCs w:val="20"/>
                <w:lang w:eastAsia="en-AU"/>
              </w:rPr>
              <w:t>U</w:t>
            </w:r>
            <w:r w:rsidRPr="004422E3">
              <w:rPr>
                <w:rFonts w:ascii="Arial Narrow" w:hAnsi="Arial Narrow"/>
                <w:spacing w:val="1"/>
                <w:sz w:val="20"/>
                <w:szCs w:val="20"/>
                <w:lang w:eastAsia="en-AU"/>
              </w:rPr>
              <w:t>C</w:t>
            </w:r>
            <w:r w:rsidRPr="004422E3">
              <w:rPr>
                <w:rFonts w:ascii="Arial Narrow" w:hAnsi="Arial Narrow"/>
                <w:position w:val="-3"/>
                <w:sz w:val="20"/>
                <w:szCs w:val="20"/>
                <w:lang w:eastAsia="en-AU"/>
              </w:rPr>
              <w:t>0-t</w:t>
            </w:r>
            <w:r w:rsidRPr="004422E3">
              <w:rPr>
                <w:rFonts w:ascii="Arial Narrow" w:hAnsi="Arial Narrow"/>
                <w:spacing w:val="16"/>
                <w:position w:val="-3"/>
                <w:sz w:val="20"/>
                <w:szCs w:val="20"/>
                <w:lang w:eastAsia="en-AU"/>
              </w:rPr>
              <w:t xml:space="preserve"> </w:t>
            </w:r>
            <w:r w:rsidRPr="004422E3">
              <w:rPr>
                <w:rFonts w:ascii="Arial Narrow" w:hAnsi="Arial Narrow"/>
                <w:sz w:val="20"/>
                <w:szCs w:val="20"/>
                <w:lang w:eastAsia="en-AU"/>
              </w:rPr>
              <w:t>(n</w:t>
            </w:r>
            <w:r w:rsidRPr="004422E3">
              <w:rPr>
                <w:rFonts w:ascii="Arial Narrow" w:hAnsi="Arial Narrow"/>
                <w:spacing w:val="1"/>
                <w:sz w:val="20"/>
                <w:szCs w:val="20"/>
                <w:lang w:eastAsia="en-AU"/>
              </w:rPr>
              <w:t>g</w:t>
            </w:r>
            <w:r w:rsidRPr="004422E3">
              <w:rPr>
                <w:rFonts w:ascii="Arial Narrow" w:hAnsi="Arial Narrow"/>
                <w:sz w:val="20"/>
                <w:szCs w:val="20"/>
                <w:lang w:eastAsia="en-AU"/>
              </w:rPr>
              <w:t>/</w:t>
            </w:r>
            <w:proofErr w:type="spellStart"/>
            <w:r w:rsidRPr="004422E3">
              <w:rPr>
                <w:rFonts w:ascii="Arial Narrow" w:hAnsi="Arial Narrow"/>
                <w:sz w:val="20"/>
                <w:szCs w:val="20"/>
                <w:lang w:eastAsia="en-AU"/>
              </w:rPr>
              <w:t>mL×h</w:t>
            </w:r>
            <w:proofErr w:type="spellEnd"/>
            <w:r w:rsidRPr="004422E3">
              <w:rPr>
                <w:rFonts w:ascii="Arial Narrow" w:hAnsi="Arial Narrow"/>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1189.74 ± 516.98</w:t>
            </w:r>
          </w:p>
        </w:tc>
        <w:tc>
          <w:tcPr>
            <w:tcW w:w="1985" w:type="dxa"/>
            <w:tcBorders>
              <w:top w:val="single" w:sz="4" w:space="0" w:color="auto"/>
              <w:left w:val="single" w:sz="4" w:space="0" w:color="auto"/>
              <w:bottom w:val="single" w:sz="4" w:space="0" w:color="auto"/>
              <w:right w:val="single" w:sz="4" w:space="0" w:color="auto"/>
            </w:tcBorders>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1138.66 ± 483.42</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106.84%</w:t>
            </w:r>
          </w:p>
        </w:tc>
        <w:tc>
          <w:tcPr>
            <w:tcW w:w="1984"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96.98 – 117.71%</w:t>
            </w:r>
          </w:p>
        </w:tc>
      </w:tr>
      <w:tr w:rsidR="00303C4A" w:rsidRPr="004422E3" w:rsidTr="00CB1E7B">
        <w:trPr>
          <w:trHeight w:val="20"/>
        </w:trPr>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leftalign"/>
              <w:rPr>
                <w:rFonts w:ascii="Arial Narrow" w:hAnsi="Arial Narrow"/>
                <w:sz w:val="20"/>
                <w:szCs w:val="20"/>
                <w:lang w:eastAsia="en-AU"/>
              </w:rPr>
            </w:pPr>
            <w:r w:rsidRPr="004422E3">
              <w:rPr>
                <w:rFonts w:ascii="Arial Narrow" w:hAnsi="Arial Narrow"/>
                <w:sz w:val="20"/>
                <w:szCs w:val="20"/>
                <w:lang w:eastAsia="en-AU"/>
              </w:rPr>
              <w:t>A</w:t>
            </w:r>
            <w:r w:rsidRPr="004422E3">
              <w:rPr>
                <w:rFonts w:ascii="Arial Narrow" w:hAnsi="Arial Narrow"/>
                <w:spacing w:val="-1"/>
                <w:sz w:val="20"/>
                <w:szCs w:val="20"/>
                <w:lang w:eastAsia="en-AU"/>
              </w:rPr>
              <w:t>U</w:t>
            </w:r>
            <w:r w:rsidRPr="004422E3">
              <w:rPr>
                <w:rFonts w:ascii="Arial Narrow" w:hAnsi="Arial Narrow"/>
                <w:spacing w:val="1"/>
                <w:sz w:val="20"/>
                <w:szCs w:val="20"/>
                <w:lang w:eastAsia="en-AU"/>
              </w:rPr>
              <w:t>C</w:t>
            </w:r>
            <w:r w:rsidRPr="004422E3">
              <w:rPr>
                <w:rFonts w:ascii="Arial Narrow" w:hAnsi="Arial Narrow"/>
                <w:position w:val="-3"/>
                <w:sz w:val="20"/>
                <w:szCs w:val="20"/>
                <w:lang w:eastAsia="en-AU"/>
              </w:rPr>
              <w:t>0-</w:t>
            </w:r>
            <w:r w:rsidR="00CB1E7B" w:rsidRPr="004422E3">
              <w:rPr>
                <w:rFonts w:ascii="Arial Narrow" w:hAnsi="Arial Narrow" w:cs="Symbol"/>
                <w:position w:val="-3"/>
                <w:sz w:val="20"/>
                <w:szCs w:val="20"/>
                <w:lang w:eastAsia="en-AU"/>
              </w:rPr>
              <w:t>∞</w:t>
            </w:r>
            <w:r w:rsidRPr="004422E3">
              <w:rPr>
                <w:rFonts w:ascii="Arial Narrow" w:hAnsi="Arial Narrow"/>
                <w:spacing w:val="15"/>
                <w:position w:val="-3"/>
                <w:sz w:val="20"/>
                <w:szCs w:val="20"/>
                <w:lang w:eastAsia="en-AU"/>
              </w:rPr>
              <w:t xml:space="preserve"> </w:t>
            </w:r>
            <w:r w:rsidRPr="004422E3">
              <w:rPr>
                <w:rFonts w:ascii="Arial Narrow" w:hAnsi="Arial Narrow"/>
                <w:sz w:val="20"/>
                <w:szCs w:val="20"/>
                <w:lang w:eastAsia="en-AU"/>
              </w:rPr>
              <w:t>(</w:t>
            </w:r>
            <w:r w:rsidRPr="004422E3">
              <w:rPr>
                <w:rFonts w:ascii="Arial Narrow" w:hAnsi="Arial Narrow"/>
                <w:spacing w:val="-1"/>
                <w:sz w:val="20"/>
                <w:szCs w:val="20"/>
                <w:lang w:eastAsia="en-AU"/>
              </w:rPr>
              <w:t>n</w:t>
            </w:r>
            <w:r w:rsidRPr="004422E3">
              <w:rPr>
                <w:rFonts w:ascii="Arial Narrow" w:hAnsi="Arial Narrow"/>
                <w:sz w:val="20"/>
                <w:szCs w:val="20"/>
                <w:lang w:eastAsia="en-AU"/>
              </w:rPr>
              <w:t>g/</w:t>
            </w:r>
            <w:proofErr w:type="spellStart"/>
            <w:r w:rsidRPr="004422E3">
              <w:rPr>
                <w:rFonts w:ascii="Arial Narrow" w:hAnsi="Arial Narrow"/>
                <w:spacing w:val="-1"/>
                <w:sz w:val="20"/>
                <w:szCs w:val="20"/>
                <w:lang w:eastAsia="en-AU"/>
              </w:rPr>
              <w:t>m</w:t>
            </w:r>
            <w:r w:rsidRPr="004422E3">
              <w:rPr>
                <w:rFonts w:ascii="Arial Narrow" w:hAnsi="Arial Narrow"/>
                <w:sz w:val="20"/>
                <w:szCs w:val="20"/>
                <w:lang w:eastAsia="en-AU"/>
              </w:rPr>
              <w:t>L×h</w:t>
            </w:r>
            <w:proofErr w:type="spellEnd"/>
            <w:r w:rsidRPr="004422E3">
              <w:rPr>
                <w:rFonts w:ascii="Arial Narrow" w:hAnsi="Arial Narrow"/>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1297.37 ± 573.26</w:t>
            </w:r>
          </w:p>
        </w:tc>
        <w:tc>
          <w:tcPr>
            <w:tcW w:w="1985" w:type="dxa"/>
            <w:tcBorders>
              <w:top w:val="single" w:sz="4" w:space="0" w:color="auto"/>
              <w:left w:val="single" w:sz="4" w:space="0" w:color="auto"/>
              <w:bottom w:val="single" w:sz="4" w:space="0" w:color="auto"/>
              <w:right w:val="single" w:sz="4" w:space="0" w:color="auto"/>
            </w:tcBorders>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1250.59 ± 557.25</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106.46%</w:t>
            </w:r>
          </w:p>
        </w:tc>
        <w:tc>
          <w:tcPr>
            <w:tcW w:w="1984"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96.68 – 117.23%</w:t>
            </w:r>
          </w:p>
        </w:tc>
      </w:tr>
      <w:tr w:rsidR="00303C4A" w:rsidRPr="004422E3" w:rsidTr="00CB1E7B">
        <w:trPr>
          <w:trHeight w:val="20"/>
        </w:trPr>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leftalign"/>
              <w:rPr>
                <w:rFonts w:ascii="Arial Narrow" w:hAnsi="Arial Narrow"/>
                <w:sz w:val="20"/>
                <w:szCs w:val="20"/>
                <w:lang w:eastAsia="en-AU"/>
              </w:rPr>
            </w:pPr>
            <w:r w:rsidRPr="004422E3">
              <w:rPr>
                <w:rFonts w:ascii="Arial Narrow" w:hAnsi="Arial Narrow"/>
                <w:sz w:val="20"/>
                <w:szCs w:val="20"/>
                <w:lang w:eastAsia="en-AU"/>
              </w:rPr>
              <w:t>T</w:t>
            </w:r>
            <w:r w:rsidRPr="004422E3">
              <w:rPr>
                <w:rFonts w:ascii="Arial Narrow" w:hAnsi="Arial Narrow"/>
                <w:position w:val="-3"/>
                <w:sz w:val="20"/>
                <w:szCs w:val="20"/>
                <w:lang w:eastAsia="en-AU"/>
              </w:rPr>
              <w:t>max</w:t>
            </w:r>
            <w:r w:rsidRPr="004422E3">
              <w:rPr>
                <w:rFonts w:ascii="Arial Narrow" w:hAnsi="Arial Narrow"/>
                <w:spacing w:val="17"/>
                <w:position w:val="-3"/>
                <w:sz w:val="20"/>
                <w:szCs w:val="20"/>
                <w:lang w:eastAsia="en-AU"/>
              </w:rPr>
              <w:t xml:space="preserve"> </w:t>
            </w:r>
            <w:r w:rsidRPr="004422E3">
              <w:rPr>
                <w:rFonts w:ascii="Arial Narrow" w:hAnsi="Arial Narrow"/>
                <w:sz w:val="20"/>
                <w:szCs w:val="20"/>
                <w:lang w:eastAsia="en-AU"/>
              </w:rPr>
              <w:t>(</w:t>
            </w:r>
            <w:r w:rsidRPr="004422E3">
              <w:rPr>
                <w:rFonts w:ascii="Arial Narrow" w:hAnsi="Arial Narrow"/>
                <w:spacing w:val="-1"/>
                <w:sz w:val="20"/>
                <w:szCs w:val="20"/>
                <w:lang w:eastAsia="en-AU"/>
              </w:rPr>
              <w:t>h</w:t>
            </w:r>
            <w:r w:rsidRPr="004422E3">
              <w:rPr>
                <w:rFonts w:ascii="Arial Narrow" w:hAnsi="Arial Narrow"/>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0.50 (0.25–2.00)</w:t>
            </w:r>
          </w:p>
        </w:tc>
        <w:tc>
          <w:tcPr>
            <w:tcW w:w="1985" w:type="dxa"/>
            <w:tcBorders>
              <w:top w:val="single" w:sz="4" w:space="0" w:color="auto"/>
              <w:left w:val="single" w:sz="4" w:space="0" w:color="auto"/>
              <w:bottom w:val="single" w:sz="4" w:space="0" w:color="auto"/>
              <w:right w:val="single" w:sz="4" w:space="0" w:color="auto"/>
            </w:tcBorders>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0.75 (0.50-2.00)</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n/a</w:t>
            </w:r>
          </w:p>
        </w:tc>
        <w:tc>
          <w:tcPr>
            <w:tcW w:w="1984"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n/a</w:t>
            </w:r>
          </w:p>
        </w:tc>
      </w:tr>
      <w:tr w:rsidR="00303C4A" w:rsidRPr="004422E3" w:rsidTr="00CB1E7B">
        <w:trPr>
          <w:trHeight w:val="20"/>
        </w:trPr>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leftalign"/>
              <w:rPr>
                <w:rFonts w:ascii="Arial Narrow" w:hAnsi="Arial Narrow"/>
                <w:sz w:val="20"/>
                <w:szCs w:val="20"/>
                <w:lang w:eastAsia="en-AU"/>
              </w:rPr>
            </w:pPr>
            <w:r w:rsidRPr="004422E3">
              <w:rPr>
                <w:rFonts w:ascii="Arial Narrow" w:hAnsi="Arial Narrow"/>
                <w:sz w:val="20"/>
                <w:szCs w:val="20"/>
                <w:lang w:eastAsia="en-AU"/>
              </w:rPr>
              <w:t>t</w:t>
            </w:r>
            <w:r w:rsidRPr="004422E3">
              <w:rPr>
                <w:rFonts w:ascii="Arial Narrow" w:hAnsi="Arial Narrow"/>
                <w:position w:val="-3"/>
                <w:sz w:val="20"/>
                <w:szCs w:val="20"/>
                <w:lang w:eastAsia="en-AU"/>
              </w:rPr>
              <w:t>½</w:t>
            </w:r>
            <w:r w:rsidRPr="004422E3">
              <w:rPr>
                <w:rFonts w:ascii="Arial Narrow" w:hAnsi="Arial Narrow"/>
                <w:spacing w:val="17"/>
                <w:position w:val="-3"/>
                <w:sz w:val="20"/>
                <w:szCs w:val="20"/>
                <w:lang w:eastAsia="en-AU"/>
              </w:rPr>
              <w:t xml:space="preserve"> </w:t>
            </w:r>
            <w:r w:rsidRPr="004422E3">
              <w:rPr>
                <w:rFonts w:ascii="Arial Narrow" w:hAnsi="Arial Narrow"/>
                <w:sz w:val="20"/>
                <w:szCs w:val="20"/>
                <w:lang w:eastAsia="en-AU"/>
              </w:rPr>
              <w:t>(</w:t>
            </w:r>
            <w:r w:rsidRPr="004422E3">
              <w:rPr>
                <w:rFonts w:ascii="Arial Narrow" w:hAnsi="Arial Narrow"/>
                <w:spacing w:val="-1"/>
                <w:sz w:val="20"/>
                <w:szCs w:val="20"/>
                <w:lang w:eastAsia="en-AU"/>
              </w:rPr>
              <w:t>h</w:t>
            </w:r>
            <w:r w:rsidRPr="004422E3">
              <w:rPr>
                <w:rFonts w:ascii="Arial Narrow" w:hAnsi="Arial Narrow"/>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8.02 ± 1.64</w:t>
            </w:r>
          </w:p>
        </w:tc>
        <w:tc>
          <w:tcPr>
            <w:tcW w:w="1985"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8.11 ± 1.40</w:t>
            </w:r>
          </w:p>
        </w:tc>
        <w:tc>
          <w:tcPr>
            <w:tcW w:w="1701"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n/a</w:t>
            </w:r>
          </w:p>
        </w:tc>
        <w:tc>
          <w:tcPr>
            <w:tcW w:w="1984" w:type="dxa"/>
            <w:tcBorders>
              <w:top w:val="single" w:sz="4" w:space="0" w:color="auto"/>
              <w:left w:val="single" w:sz="4" w:space="0" w:color="auto"/>
              <w:bottom w:val="single" w:sz="4" w:space="0" w:color="auto"/>
              <w:right w:val="single" w:sz="4" w:space="0" w:color="auto"/>
            </w:tcBorders>
            <w:hideMark/>
          </w:tcPr>
          <w:p w:rsidR="00303C4A" w:rsidRPr="004422E3" w:rsidRDefault="00303C4A" w:rsidP="00CB1E7B">
            <w:pPr>
              <w:pStyle w:val="TableTextcentred"/>
              <w:rPr>
                <w:rFonts w:ascii="Arial Narrow" w:hAnsi="Arial Narrow"/>
                <w:sz w:val="20"/>
                <w:szCs w:val="20"/>
              </w:rPr>
            </w:pPr>
            <w:r w:rsidRPr="004422E3">
              <w:rPr>
                <w:rFonts w:ascii="Arial Narrow" w:hAnsi="Arial Narrow"/>
                <w:sz w:val="20"/>
                <w:szCs w:val="20"/>
              </w:rPr>
              <w:t>n/a</w:t>
            </w:r>
          </w:p>
        </w:tc>
      </w:tr>
    </w:tbl>
    <w:p w:rsidR="00303C4A" w:rsidRPr="004422E3" w:rsidRDefault="00303C4A" w:rsidP="000E0D7A">
      <w:pPr>
        <w:pStyle w:val="PBACHeading1"/>
        <w:numPr>
          <w:ilvl w:val="0"/>
          <w:numId w:val="0"/>
        </w:numPr>
        <w:ind w:left="720" w:hanging="720"/>
        <w:outlineLvl w:val="9"/>
        <w:rPr>
          <w:rFonts w:ascii="Arial Narrow" w:eastAsiaTheme="minorHAnsi" w:hAnsi="Arial Narrow"/>
          <w:b w:val="0"/>
          <w:snapToGrid/>
          <w:sz w:val="20"/>
          <w:szCs w:val="20"/>
        </w:rPr>
      </w:pPr>
      <w:r w:rsidRPr="004422E3">
        <w:rPr>
          <w:rFonts w:ascii="Arial Narrow" w:eastAsiaTheme="minorHAnsi" w:hAnsi="Arial Narrow"/>
          <w:b w:val="0"/>
          <w:snapToGrid/>
          <w:sz w:val="20"/>
          <w:szCs w:val="20"/>
        </w:rPr>
        <w:t xml:space="preserve">Source: Table 2.1.1 </w:t>
      </w:r>
      <w:r w:rsidR="00CB1E7B" w:rsidRPr="004422E3">
        <w:rPr>
          <w:rFonts w:ascii="Arial Narrow" w:eastAsiaTheme="minorHAnsi" w:hAnsi="Arial Narrow"/>
          <w:b w:val="0"/>
          <w:snapToGrid/>
          <w:sz w:val="20"/>
          <w:szCs w:val="20"/>
        </w:rPr>
        <w:t>of the</w:t>
      </w:r>
      <w:r w:rsidRPr="004422E3">
        <w:rPr>
          <w:rFonts w:ascii="Arial Narrow" w:eastAsiaTheme="minorHAnsi" w:hAnsi="Arial Narrow"/>
          <w:b w:val="0"/>
          <w:snapToGrid/>
          <w:sz w:val="20"/>
          <w:szCs w:val="20"/>
        </w:rPr>
        <w:t xml:space="preserve"> submission (Append</w:t>
      </w:r>
      <w:r w:rsidR="00E12016" w:rsidRPr="004422E3">
        <w:rPr>
          <w:rFonts w:ascii="Arial Narrow" w:eastAsiaTheme="minorHAnsi" w:hAnsi="Arial Narrow"/>
          <w:b w:val="0"/>
          <w:snapToGrid/>
          <w:sz w:val="20"/>
          <w:szCs w:val="20"/>
        </w:rPr>
        <w:t>ix 3</w:t>
      </w:r>
      <w:r w:rsidRPr="004422E3">
        <w:rPr>
          <w:rFonts w:ascii="Arial Narrow" w:eastAsiaTheme="minorHAnsi" w:hAnsi="Arial Narrow"/>
          <w:b w:val="0"/>
          <w:snapToGrid/>
          <w:sz w:val="20"/>
          <w:szCs w:val="20"/>
        </w:rPr>
        <w:t xml:space="preserve"> – CRO-PK-11-251</w:t>
      </w:r>
      <w:r w:rsidR="00CB1E7B" w:rsidRPr="004422E3">
        <w:rPr>
          <w:rFonts w:ascii="Arial Narrow" w:eastAsiaTheme="minorHAnsi" w:hAnsi="Arial Narrow"/>
          <w:b w:val="0"/>
          <w:snapToGrid/>
          <w:sz w:val="20"/>
          <w:szCs w:val="20"/>
        </w:rPr>
        <w:t xml:space="preserve"> Clinical </w:t>
      </w:r>
      <w:r w:rsidR="00144973" w:rsidRPr="004422E3">
        <w:rPr>
          <w:rFonts w:ascii="Arial Narrow" w:eastAsiaTheme="minorHAnsi" w:hAnsi="Arial Narrow"/>
          <w:b w:val="0"/>
          <w:snapToGrid/>
          <w:sz w:val="20"/>
          <w:szCs w:val="20"/>
        </w:rPr>
        <w:t>Study Report, Tables 11.4.1.1/</w:t>
      </w:r>
      <w:r w:rsidR="00CB1E7B" w:rsidRPr="004422E3">
        <w:rPr>
          <w:rFonts w:ascii="Arial Narrow" w:eastAsiaTheme="minorHAnsi" w:hAnsi="Arial Narrow"/>
          <w:b w:val="0"/>
          <w:snapToGrid/>
          <w:sz w:val="20"/>
          <w:szCs w:val="20"/>
        </w:rPr>
        <w:t>11.4.1.2</w:t>
      </w:r>
      <w:r w:rsidR="00144973" w:rsidRPr="004422E3">
        <w:rPr>
          <w:rFonts w:ascii="Arial Narrow" w:eastAsiaTheme="minorHAnsi" w:hAnsi="Arial Narrow"/>
          <w:b w:val="0"/>
          <w:snapToGrid/>
          <w:sz w:val="20"/>
          <w:szCs w:val="20"/>
        </w:rPr>
        <w:t xml:space="preserve">, p </w:t>
      </w:r>
      <w:r w:rsidR="00E12016" w:rsidRPr="004422E3">
        <w:rPr>
          <w:rFonts w:ascii="Arial Narrow" w:eastAsiaTheme="minorHAnsi" w:hAnsi="Arial Narrow"/>
          <w:b w:val="0"/>
          <w:snapToGrid/>
          <w:sz w:val="20"/>
          <w:szCs w:val="20"/>
        </w:rPr>
        <w:t>45</w:t>
      </w:r>
      <w:r w:rsidR="00CB1E7B" w:rsidRPr="004422E3">
        <w:rPr>
          <w:rFonts w:ascii="Arial Narrow" w:eastAsiaTheme="minorHAnsi" w:hAnsi="Arial Narrow"/>
          <w:b w:val="0"/>
          <w:snapToGrid/>
          <w:sz w:val="20"/>
          <w:szCs w:val="20"/>
        </w:rPr>
        <w:t>)</w:t>
      </w:r>
    </w:p>
    <w:p w:rsidR="00303C4A" w:rsidRPr="004422E3" w:rsidRDefault="00CB1E7B" w:rsidP="000E0D7A">
      <w:pPr>
        <w:pStyle w:val="PBACHeading1"/>
        <w:numPr>
          <w:ilvl w:val="0"/>
          <w:numId w:val="0"/>
        </w:numPr>
        <w:outlineLvl w:val="9"/>
        <w:rPr>
          <w:rFonts w:ascii="Arial Narrow" w:eastAsiaTheme="minorHAnsi" w:hAnsi="Arial Narrow"/>
          <w:b w:val="0"/>
          <w:snapToGrid/>
          <w:sz w:val="20"/>
          <w:szCs w:val="20"/>
        </w:rPr>
      </w:pPr>
      <w:r w:rsidRPr="004422E3">
        <w:rPr>
          <w:rFonts w:ascii="Arial Narrow" w:eastAsiaTheme="minorHAnsi" w:hAnsi="Arial Narrow"/>
          <w:b w:val="0"/>
          <w:snapToGrid/>
          <w:sz w:val="20"/>
          <w:szCs w:val="20"/>
        </w:rPr>
        <w:t>Abbreviations: PK = pharmacokinetics; PE = point estimate calculated as test/reference ratio of geometric means; CI = confidence interval; C</w:t>
      </w:r>
      <w:r w:rsidR="003621E8" w:rsidRPr="004422E3">
        <w:rPr>
          <w:rFonts w:ascii="Arial Narrow" w:hAnsi="Arial Narrow"/>
          <w:b w:val="0"/>
          <w:position w:val="-3"/>
          <w:sz w:val="20"/>
          <w:szCs w:val="20"/>
          <w:vertAlign w:val="subscript"/>
          <w:lang w:eastAsia="en-AU"/>
        </w:rPr>
        <w:t>max</w:t>
      </w:r>
      <w:r w:rsidR="00C328BD" w:rsidRPr="004422E3">
        <w:rPr>
          <w:rFonts w:ascii="Arial Narrow" w:eastAsiaTheme="minorHAnsi" w:hAnsi="Arial Narrow"/>
          <w:b w:val="0"/>
          <w:snapToGrid/>
          <w:sz w:val="20"/>
          <w:szCs w:val="20"/>
        </w:rPr>
        <w:t xml:space="preserve"> = mean peak plasma concentration</w:t>
      </w:r>
      <w:r w:rsidR="00C11CCD" w:rsidRPr="004422E3">
        <w:rPr>
          <w:rFonts w:ascii="Arial Narrow" w:eastAsiaTheme="minorHAnsi" w:hAnsi="Arial Narrow"/>
          <w:b w:val="0"/>
          <w:snapToGrid/>
          <w:sz w:val="20"/>
          <w:szCs w:val="20"/>
        </w:rPr>
        <w:t>; AUC</w:t>
      </w:r>
      <w:r w:rsidR="00C11CCD" w:rsidRPr="004422E3">
        <w:rPr>
          <w:rFonts w:ascii="Arial Narrow" w:eastAsiaTheme="minorHAnsi" w:hAnsi="Arial Narrow"/>
          <w:b w:val="0"/>
          <w:snapToGrid/>
          <w:sz w:val="20"/>
          <w:szCs w:val="20"/>
          <w:vertAlign w:val="subscript"/>
        </w:rPr>
        <w:t>0-t</w:t>
      </w:r>
      <w:r w:rsidR="00786335" w:rsidRPr="004422E3">
        <w:rPr>
          <w:rFonts w:ascii="Arial Narrow" w:eastAsiaTheme="minorHAnsi" w:hAnsi="Arial Narrow"/>
          <w:b w:val="0"/>
          <w:snapToGrid/>
          <w:sz w:val="20"/>
          <w:szCs w:val="20"/>
        </w:rPr>
        <w:t xml:space="preserve"> = mean </w:t>
      </w:r>
      <w:r w:rsidR="00C11CCD" w:rsidRPr="004422E3">
        <w:rPr>
          <w:rFonts w:ascii="Arial Narrow" w:eastAsiaTheme="minorHAnsi" w:hAnsi="Arial Narrow"/>
          <w:b w:val="0"/>
          <w:snapToGrid/>
          <w:sz w:val="20"/>
          <w:szCs w:val="20"/>
        </w:rPr>
        <w:t xml:space="preserve">area under curve to final measurement; </w:t>
      </w:r>
      <w:r w:rsidR="00C11CCD" w:rsidRPr="004422E3">
        <w:rPr>
          <w:rFonts w:ascii="Arial Narrow" w:eastAsiaTheme="minorHAnsi" w:hAnsi="Arial Narrow"/>
          <w:b w:val="0"/>
          <w:snapToGrid/>
          <w:sz w:val="20"/>
          <w:szCs w:val="20"/>
        </w:rPr>
        <w:br/>
      </w:r>
      <w:r w:rsidR="00C11CCD" w:rsidRPr="004422E3">
        <w:rPr>
          <w:rFonts w:ascii="Arial Narrow" w:hAnsi="Arial Narrow"/>
          <w:b w:val="0"/>
          <w:sz w:val="20"/>
          <w:szCs w:val="20"/>
          <w:lang w:eastAsia="en-AU"/>
        </w:rPr>
        <w:t>A</w:t>
      </w:r>
      <w:r w:rsidR="00C11CCD" w:rsidRPr="004422E3">
        <w:rPr>
          <w:rFonts w:ascii="Arial Narrow" w:hAnsi="Arial Narrow"/>
          <w:b w:val="0"/>
          <w:spacing w:val="-1"/>
          <w:sz w:val="20"/>
          <w:szCs w:val="20"/>
          <w:lang w:eastAsia="en-AU"/>
        </w:rPr>
        <w:t>U</w:t>
      </w:r>
      <w:r w:rsidR="00C11CCD" w:rsidRPr="004422E3">
        <w:rPr>
          <w:rFonts w:ascii="Arial Narrow" w:hAnsi="Arial Narrow"/>
          <w:b w:val="0"/>
          <w:spacing w:val="1"/>
          <w:sz w:val="20"/>
          <w:szCs w:val="20"/>
          <w:lang w:eastAsia="en-AU"/>
        </w:rPr>
        <w:t>C</w:t>
      </w:r>
      <w:r w:rsidR="00C11CCD" w:rsidRPr="004422E3">
        <w:rPr>
          <w:rFonts w:ascii="Arial Narrow" w:hAnsi="Arial Narrow"/>
          <w:b w:val="0"/>
          <w:position w:val="-3"/>
          <w:sz w:val="20"/>
          <w:szCs w:val="20"/>
          <w:vertAlign w:val="subscript"/>
          <w:lang w:eastAsia="en-AU"/>
        </w:rPr>
        <w:t>0-∞</w:t>
      </w:r>
      <w:r w:rsidR="00C11CCD" w:rsidRPr="004422E3">
        <w:rPr>
          <w:rFonts w:ascii="Arial Narrow" w:hAnsi="Arial Narrow"/>
          <w:b w:val="0"/>
          <w:position w:val="-3"/>
          <w:sz w:val="20"/>
          <w:szCs w:val="20"/>
          <w:lang w:eastAsia="en-AU"/>
        </w:rPr>
        <w:t xml:space="preserve"> =</w:t>
      </w:r>
      <w:r w:rsidR="00786335" w:rsidRPr="004422E3">
        <w:rPr>
          <w:rFonts w:ascii="Arial Narrow" w:hAnsi="Arial Narrow"/>
          <w:b w:val="0"/>
          <w:position w:val="-3"/>
          <w:sz w:val="20"/>
          <w:szCs w:val="20"/>
          <w:lang w:eastAsia="en-AU"/>
        </w:rPr>
        <w:t xml:space="preserve"> mean</w:t>
      </w:r>
      <w:r w:rsidR="00C11CCD" w:rsidRPr="004422E3">
        <w:rPr>
          <w:rFonts w:ascii="Arial Narrow" w:hAnsi="Arial Narrow"/>
          <w:b w:val="0"/>
          <w:position w:val="-3"/>
          <w:sz w:val="20"/>
          <w:szCs w:val="20"/>
          <w:lang w:eastAsia="en-AU"/>
        </w:rPr>
        <w:t xml:space="preserve"> area under curve to elimination (extrapolated); </w:t>
      </w:r>
      <w:proofErr w:type="spellStart"/>
      <w:r w:rsidR="00C11CCD" w:rsidRPr="004422E3">
        <w:rPr>
          <w:rFonts w:ascii="Arial Narrow" w:hAnsi="Arial Narrow"/>
          <w:b w:val="0"/>
          <w:position w:val="-3"/>
          <w:sz w:val="20"/>
          <w:szCs w:val="20"/>
          <w:lang w:eastAsia="en-AU"/>
        </w:rPr>
        <w:t>T</w:t>
      </w:r>
      <w:r w:rsidR="00C11CCD" w:rsidRPr="004422E3">
        <w:rPr>
          <w:rFonts w:ascii="Arial Narrow" w:hAnsi="Arial Narrow"/>
          <w:b w:val="0"/>
          <w:position w:val="-3"/>
          <w:sz w:val="20"/>
          <w:szCs w:val="20"/>
          <w:vertAlign w:val="subscript"/>
          <w:lang w:eastAsia="en-AU"/>
        </w:rPr>
        <w:t>max</w:t>
      </w:r>
      <w:proofErr w:type="spellEnd"/>
      <w:r w:rsidR="00C11CCD" w:rsidRPr="004422E3">
        <w:rPr>
          <w:rFonts w:ascii="Arial Narrow" w:hAnsi="Arial Narrow"/>
          <w:b w:val="0"/>
          <w:position w:val="-3"/>
          <w:sz w:val="20"/>
          <w:szCs w:val="20"/>
          <w:lang w:eastAsia="en-AU"/>
        </w:rPr>
        <w:t xml:space="preserve"> = median time to maximum concentration; </w:t>
      </w:r>
      <w:r w:rsidR="00C11CCD" w:rsidRPr="004422E3">
        <w:rPr>
          <w:rFonts w:ascii="Arial Narrow" w:hAnsi="Arial Narrow"/>
          <w:b w:val="0"/>
          <w:position w:val="-3"/>
          <w:sz w:val="20"/>
          <w:szCs w:val="20"/>
          <w:lang w:eastAsia="en-AU"/>
        </w:rPr>
        <w:br/>
      </w:r>
      <w:r w:rsidR="00C11CCD" w:rsidRPr="004422E3">
        <w:rPr>
          <w:rFonts w:ascii="Arial Narrow" w:eastAsiaTheme="minorHAnsi" w:hAnsi="Arial Narrow"/>
          <w:b w:val="0"/>
          <w:snapToGrid/>
          <w:sz w:val="20"/>
          <w:szCs w:val="20"/>
        </w:rPr>
        <w:t>t½ = mean half life</w:t>
      </w:r>
    </w:p>
    <w:p w:rsidR="00022E41" w:rsidRPr="004422E3" w:rsidRDefault="00786335" w:rsidP="0056651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Outcomes for the primary endpoint (AUC</w:t>
      </w:r>
      <w:r w:rsidRPr="004422E3">
        <w:rPr>
          <w:rFonts w:asciiTheme="minorHAnsi" w:eastAsiaTheme="minorHAnsi" w:hAnsiTheme="minorHAnsi" w:cstheme="minorBidi"/>
          <w:snapToGrid/>
          <w:sz w:val="24"/>
          <w:szCs w:val="22"/>
          <w:vertAlign w:val="subscript"/>
        </w:rPr>
        <w:t>0-t</w:t>
      </w:r>
      <w:r w:rsidRPr="004422E3">
        <w:rPr>
          <w:rFonts w:asciiTheme="minorHAnsi" w:eastAsiaTheme="minorHAnsi" w:hAnsiTheme="minorHAnsi" w:cstheme="minorBidi"/>
          <w:snapToGrid/>
          <w:sz w:val="24"/>
          <w:szCs w:val="22"/>
        </w:rPr>
        <w:t xml:space="preserve">) were very similar </w:t>
      </w:r>
      <w:r w:rsidR="00566515" w:rsidRPr="004422E3">
        <w:rPr>
          <w:rFonts w:asciiTheme="minorHAnsi" w:eastAsiaTheme="minorHAnsi" w:hAnsiTheme="minorHAnsi" w:cstheme="minorBidi"/>
          <w:snapToGrid/>
          <w:sz w:val="24"/>
          <w:szCs w:val="22"/>
        </w:rPr>
        <w:t xml:space="preserve">for both the liquid and tablet forms of </w:t>
      </w:r>
      <w:proofErr w:type="spellStart"/>
      <w:r w:rsidR="00566515" w:rsidRPr="004422E3">
        <w:rPr>
          <w:rFonts w:asciiTheme="minorHAnsi" w:eastAsiaTheme="minorHAnsi" w:hAnsiTheme="minorHAnsi" w:cstheme="minorBidi"/>
          <w:snapToGrid/>
          <w:sz w:val="24"/>
          <w:szCs w:val="22"/>
        </w:rPr>
        <w:t>riluzole</w:t>
      </w:r>
      <w:proofErr w:type="spellEnd"/>
      <w:r w:rsidR="00566515" w:rsidRPr="004422E3">
        <w:rPr>
          <w:rFonts w:asciiTheme="minorHAnsi" w:eastAsiaTheme="minorHAnsi" w:hAnsiTheme="minorHAnsi" w:cstheme="minorBidi"/>
          <w:snapToGrid/>
          <w:sz w:val="24"/>
          <w:szCs w:val="22"/>
        </w:rPr>
        <w:t xml:space="preserve">. There was an approximately </w:t>
      </w:r>
      <w:r w:rsidR="00E03B2F" w:rsidRPr="004422E3">
        <w:rPr>
          <w:rFonts w:asciiTheme="minorHAnsi" w:eastAsiaTheme="minorHAnsi" w:hAnsiTheme="minorHAnsi" w:cstheme="minorBidi"/>
          <w:snapToGrid/>
          <w:sz w:val="24"/>
          <w:szCs w:val="22"/>
        </w:rPr>
        <w:t>22%</w:t>
      </w:r>
      <w:r w:rsidR="00566515" w:rsidRPr="004422E3">
        <w:rPr>
          <w:rFonts w:asciiTheme="minorHAnsi" w:eastAsiaTheme="minorHAnsi" w:hAnsiTheme="minorHAnsi" w:cstheme="minorBidi"/>
          <w:snapToGrid/>
          <w:sz w:val="24"/>
          <w:szCs w:val="22"/>
        </w:rPr>
        <w:t xml:space="preserve"> difference in mean </w:t>
      </w:r>
      <w:proofErr w:type="spellStart"/>
      <w:r w:rsidR="00566515" w:rsidRPr="004422E3">
        <w:rPr>
          <w:rFonts w:asciiTheme="minorHAnsi" w:eastAsiaTheme="minorHAnsi" w:hAnsiTheme="minorHAnsi" w:cstheme="minorBidi"/>
          <w:snapToGrid/>
          <w:sz w:val="24"/>
          <w:szCs w:val="22"/>
        </w:rPr>
        <w:t>C</w:t>
      </w:r>
      <w:r w:rsidR="00566515" w:rsidRPr="004422E3">
        <w:rPr>
          <w:rFonts w:asciiTheme="minorHAnsi" w:eastAsiaTheme="minorHAnsi" w:hAnsiTheme="minorHAnsi" w:cstheme="minorBidi"/>
          <w:snapToGrid/>
          <w:sz w:val="24"/>
          <w:szCs w:val="22"/>
          <w:vertAlign w:val="subscript"/>
        </w:rPr>
        <w:t>max</w:t>
      </w:r>
      <w:proofErr w:type="spellEnd"/>
      <w:r w:rsidR="00566515" w:rsidRPr="004422E3">
        <w:rPr>
          <w:rFonts w:asciiTheme="minorHAnsi" w:eastAsiaTheme="minorHAnsi" w:hAnsiTheme="minorHAnsi" w:cstheme="minorBidi"/>
          <w:snapToGrid/>
          <w:sz w:val="24"/>
          <w:szCs w:val="22"/>
        </w:rPr>
        <w:t xml:space="preserve"> outcomes, with a higher mean</w:t>
      </w:r>
      <w:r w:rsidR="00C328BD" w:rsidRPr="004422E3">
        <w:rPr>
          <w:rFonts w:asciiTheme="minorHAnsi" w:eastAsiaTheme="minorHAnsi" w:hAnsiTheme="minorHAnsi" w:cstheme="minorBidi"/>
          <w:snapToGrid/>
          <w:sz w:val="24"/>
          <w:szCs w:val="22"/>
        </w:rPr>
        <w:t xml:space="preserve"> peak</w:t>
      </w:r>
      <w:r w:rsidR="00566515" w:rsidRPr="004422E3">
        <w:rPr>
          <w:rFonts w:asciiTheme="minorHAnsi" w:eastAsiaTheme="minorHAnsi" w:hAnsiTheme="minorHAnsi" w:cstheme="minorBidi"/>
          <w:snapToGrid/>
          <w:sz w:val="24"/>
          <w:szCs w:val="22"/>
        </w:rPr>
        <w:t xml:space="preserve"> plasma concentration recorded in the patients who received the liquid presentation</w:t>
      </w:r>
      <w:r w:rsidR="00022E41" w:rsidRPr="004422E3">
        <w:rPr>
          <w:rFonts w:asciiTheme="minorHAnsi" w:eastAsiaTheme="minorHAnsi" w:hAnsiTheme="minorHAnsi" w:cstheme="minorBidi"/>
          <w:snapToGrid/>
          <w:sz w:val="24"/>
          <w:szCs w:val="22"/>
        </w:rPr>
        <w:t>, and exceeded the</w:t>
      </w:r>
      <w:r w:rsidR="00841CBF" w:rsidRPr="004422E3">
        <w:rPr>
          <w:rFonts w:asciiTheme="minorHAnsi" w:eastAsiaTheme="minorHAnsi" w:hAnsiTheme="minorHAnsi" w:cstheme="minorBidi"/>
          <w:snapToGrid/>
          <w:sz w:val="24"/>
          <w:szCs w:val="22"/>
        </w:rPr>
        <w:t xml:space="preserve"> bioequivalence</w:t>
      </w:r>
      <w:r w:rsidR="00022E41" w:rsidRPr="004422E3">
        <w:rPr>
          <w:rFonts w:asciiTheme="minorHAnsi" w:eastAsiaTheme="minorHAnsi" w:hAnsiTheme="minorHAnsi" w:cstheme="minorBidi"/>
          <w:snapToGrid/>
          <w:sz w:val="24"/>
          <w:szCs w:val="22"/>
        </w:rPr>
        <w:t xml:space="preserve"> 90% CI limit of 125%</w:t>
      </w:r>
      <w:r w:rsidR="00566515" w:rsidRPr="004422E3">
        <w:rPr>
          <w:rFonts w:asciiTheme="minorHAnsi" w:eastAsiaTheme="minorHAnsi" w:hAnsiTheme="minorHAnsi" w:cstheme="minorBidi"/>
          <w:snapToGrid/>
          <w:sz w:val="24"/>
          <w:szCs w:val="22"/>
        </w:rPr>
        <w:t xml:space="preserve">. </w:t>
      </w:r>
    </w:p>
    <w:p w:rsidR="00CB1E7B" w:rsidRPr="004422E3" w:rsidRDefault="00566515" w:rsidP="009249D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submission argued this difference was unlikely to be of clinical significance because supplementary analyses</w:t>
      </w:r>
      <w:r w:rsidR="00022E41" w:rsidRPr="004422E3">
        <w:rPr>
          <w:rFonts w:asciiTheme="minorHAnsi" w:eastAsiaTheme="minorHAnsi" w:hAnsiTheme="minorHAnsi" w:cstheme="minorBidi"/>
          <w:snapToGrid/>
          <w:sz w:val="24"/>
          <w:szCs w:val="22"/>
        </w:rPr>
        <w:t>,</w:t>
      </w:r>
      <w:r w:rsidRPr="004422E3">
        <w:rPr>
          <w:rFonts w:asciiTheme="minorHAnsi" w:eastAsiaTheme="minorHAnsi" w:hAnsiTheme="minorHAnsi" w:cstheme="minorBidi"/>
          <w:snapToGrid/>
          <w:sz w:val="24"/>
          <w:szCs w:val="22"/>
        </w:rPr>
        <w:t xml:space="preserve"> including a logistic regression analysis of potential safety implications of increased </w:t>
      </w:r>
      <w:proofErr w:type="spellStart"/>
      <w:r w:rsidRPr="004422E3">
        <w:rPr>
          <w:rFonts w:asciiTheme="minorHAnsi" w:eastAsiaTheme="minorHAnsi" w:hAnsiTheme="minorHAnsi" w:cstheme="minorBidi"/>
          <w:snapToGrid/>
          <w:sz w:val="24"/>
          <w:szCs w:val="22"/>
        </w:rPr>
        <w:t>C</w:t>
      </w:r>
      <w:r w:rsidRPr="004422E3">
        <w:rPr>
          <w:rFonts w:asciiTheme="minorHAnsi" w:eastAsiaTheme="minorHAnsi" w:hAnsiTheme="minorHAnsi" w:cstheme="minorBidi"/>
          <w:snapToGrid/>
          <w:sz w:val="24"/>
          <w:szCs w:val="22"/>
          <w:vertAlign w:val="subscript"/>
        </w:rPr>
        <w:t>max</w:t>
      </w:r>
      <w:proofErr w:type="spellEnd"/>
      <w:r w:rsidR="00576B4F" w:rsidRPr="004422E3">
        <w:rPr>
          <w:rFonts w:asciiTheme="minorHAnsi" w:eastAsiaTheme="minorHAnsi" w:hAnsiTheme="minorHAnsi" w:cstheme="minorBidi"/>
          <w:snapToGrid/>
          <w:sz w:val="24"/>
          <w:szCs w:val="22"/>
        </w:rPr>
        <w:t>,</w:t>
      </w:r>
      <w:r w:rsidR="008430F1" w:rsidRPr="004422E3">
        <w:rPr>
          <w:rFonts w:asciiTheme="minorHAnsi" w:eastAsiaTheme="minorHAnsi" w:hAnsiTheme="minorHAnsi" w:cstheme="minorBidi"/>
          <w:snapToGrid/>
          <w:sz w:val="24"/>
          <w:szCs w:val="22"/>
        </w:rPr>
        <w:t xml:space="preserve"> found only small differences in dose-related safety events.</w:t>
      </w:r>
      <w:r w:rsidRPr="004422E3">
        <w:rPr>
          <w:rFonts w:asciiTheme="minorHAnsi" w:eastAsiaTheme="minorHAnsi" w:hAnsiTheme="minorHAnsi" w:cstheme="minorBidi"/>
          <w:snapToGrid/>
          <w:sz w:val="24"/>
          <w:szCs w:val="22"/>
        </w:rPr>
        <w:t xml:space="preserve"> </w:t>
      </w:r>
      <w:r w:rsidR="00CF1A6C" w:rsidRPr="004422E3">
        <w:rPr>
          <w:rFonts w:asciiTheme="minorHAnsi" w:eastAsiaTheme="minorHAnsi" w:hAnsiTheme="minorHAnsi" w:cstheme="minorBidi"/>
          <w:snapToGrid/>
          <w:sz w:val="24"/>
          <w:szCs w:val="22"/>
        </w:rPr>
        <w:t>Th</w:t>
      </w:r>
      <w:r w:rsidR="00587DCB" w:rsidRPr="004422E3">
        <w:rPr>
          <w:rFonts w:asciiTheme="minorHAnsi" w:eastAsiaTheme="minorHAnsi" w:hAnsiTheme="minorHAnsi" w:cstheme="minorBidi"/>
          <w:snapToGrid/>
          <w:sz w:val="24"/>
          <w:szCs w:val="22"/>
        </w:rPr>
        <w:t xml:space="preserve">is is </w:t>
      </w:r>
      <w:r w:rsidR="00CF1A6C" w:rsidRPr="004422E3">
        <w:rPr>
          <w:rFonts w:asciiTheme="minorHAnsi" w:eastAsiaTheme="minorHAnsi" w:hAnsiTheme="minorHAnsi" w:cstheme="minorBidi"/>
          <w:snapToGrid/>
          <w:sz w:val="24"/>
          <w:szCs w:val="22"/>
        </w:rPr>
        <w:t>discussed further in the Comparative Harms section below.</w:t>
      </w:r>
    </w:p>
    <w:p w:rsidR="005A3173" w:rsidRPr="004422E3" w:rsidRDefault="005A3173" w:rsidP="00FA2598">
      <w:pPr>
        <w:pStyle w:val="Heading2"/>
      </w:pPr>
      <w:r w:rsidRPr="004422E3">
        <w:t>Comparative harms</w:t>
      </w:r>
    </w:p>
    <w:p w:rsidR="009249DD" w:rsidRPr="004422E3" w:rsidRDefault="00E12016" w:rsidP="002B1AF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A summary of adverse events</w:t>
      </w:r>
      <w:r w:rsidR="00144973" w:rsidRPr="004422E3">
        <w:rPr>
          <w:rFonts w:asciiTheme="minorHAnsi" w:eastAsiaTheme="minorHAnsi" w:hAnsiTheme="minorHAnsi" w:cstheme="minorBidi"/>
          <w:snapToGrid/>
          <w:sz w:val="24"/>
          <w:szCs w:val="22"/>
        </w:rPr>
        <w:t xml:space="preserve"> (AEs)</w:t>
      </w:r>
      <w:r w:rsidRPr="004422E3">
        <w:rPr>
          <w:rFonts w:asciiTheme="minorHAnsi" w:eastAsiaTheme="minorHAnsi" w:hAnsiTheme="minorHAnsi" w:cstheme="minorBidi"/>
          <w:snapToGrid/>
          <w:sz w:val="24"/>
          <w:szCs w:val="22"/>
        </w:rPr>
        <w:t xml:space="preserve"> in study CRO-PK-11-251 is presented in the table below.</w:t>
      </w:r>
    </w:p>
    <w:p w:rsidR="00144973" w:rsidRPr="004422E3" w:rsidRDefault="00144973" w:rsidP="006E221D">
      <w:pPr>
        <w:pStyle w:val="Caption"/>
        <w:keepLines/>
      </w:pPr>
      <w:r w:rsidRPr="004422E3">
        <w:lastRenderedPageBreak/>
        <w:t xml:space="preserve">Table </w:t>
      </w:r>
      <w:r w:rsidR="00FE5471" w:rsidRPr="000A3C7B">
        <w:t>2</w:t>
      </w:r>
      <w:r w:rsidRPr="004422E3">
        <w:t>: Summary of adverse events from study CRO-PK-11-251</w:t>
      </w:r>
    </w:p>
    <w:tbl>
      <w:tblPr>
        <w:tblStyle w:val="TableGrid"/>
        <w:tblW w:w="5000" w:type="pct"/>
        <w:tblLook w:val="04A0" w:firstRow="1" w:lastRow="0" w:firstColumn="1" w:lastColumn="0" w:noHBand="0" w:noVBand="1"/>
        <w:tblCaption w:val="Summary of adverse events from study CRO-PK-11-251"/>
      </w:tblPr>
      <w:tblGrid>
        <w:gridCol w:w="3099"/>
        <w:gridCol w:w="1479"/>
        <w:gridCol w:w="1479"/>
        <w:gridCol w:w="1479"/>
        <w:gridCol w:w="1480"/>
      </w:tblGrid>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jc w:val="left"/>
              <w:rPr>
                <w:rFonts w:ascii="Arial Narrow" w:hAnsi="Arial Narrow"/>
                <w:sz w:val="20"/>
                <w:szCs w:val="20"/>
              </w:rPr>
            </w:pPr>
            <w:r w:rsidRPr="004422E3">
              <w:rPr>
                <w:rFonts w:ascii="Arial Narrow" w:hAnsi="Arial Narrow"/>
                <w:b/>
                <w:sz w:val="20"/>
                <w:szCs w:val="20"/>
              </w:rPr>
              <w:t>Body system</w:t>
            </w:r>
            <w:r w:rsidRPr="004422E3">
              <w:rPr>
                <w:rFonts w:ascii="Arial Narrow" w:hAnsi="Arial Narrow"/>
                <w:sz w:val="20"/>
                <w:szCs w:val="20"/>
              </w:rPr>
              <w:t xml:space="preserve"> </w:t>
            </w:r>
          </w:p>
          <w:p w:rsidR="00E12016" w:rsidRPr="004422E3" w:rsidRDefault="00E12016" w:rsidP="006E221D">
            <w:pPr>
              <w:pStyle w:val="TableTextcentred"/>
              <w:keepNext/>
              <w:keepLines/>
              <w:tabs>
                <w:tab w:val="left" w:pos="422"/>
              </w:tabs>
              <w:jc w:val="left"/>
              <w:rPr>
                <w:rFonts w:ascii="Arial Narrow" w:hAnsi="Arial Narrow"/>
                <w:b/>
                <w:sz w:val="20"/>
                <w:szCs w:val="20"/>
              </w:rPr>
            </w:pPr>
            <w:r w:rsidRPr="004422E3">
              <w:rPr>
                <w:rFonts w:ascii="Arial Narrow" w:hAnsi="Arial Narrow"/>
                <w:sz w:val="20"/>
                <w:szCs w:val="20"/>
              </w:rPr>
              <w:tab/>
              <w:t>Preferred term</w:t>
            </w:r>
          </w:p>
        </w:tc>
        <w:tc>
          <w:tcPr>
            <w:tcW w:w="1640" w:type="pct"/>
            <w:gridSpan w:val="2"/>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Oral suspension</w:t>
            </w:r>
          </w:p>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(N = 30)</w:t>
            </w:r>
          </w:p>
        </w:tc>
        <w:tc>
          <w:tcPr>
            <w:tcW w:w="1641" w:type="pct"/>
            <w:gridSpan w:val="2"/>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Tablets</w:t>
            </w:r>
          </w:p>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(N = 30)</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tcPr>
          <w:p w:rsidR="00E12016" w:rsidRPr="004422E3" w:rsidRDefault="00E12016" w:rsidP="006E221D">
            <w:pPr>
              <w:pStyle w:val="TableTitlecentred"/>
              <w:keepNext/>
              <w:keepLines/>
              <w:rPr>
                <w:rFonts w:ascii="Arial Narrow" w:hAnsi="Arial Narrow"/>
                <w:sz w:val="20"/>
              </w:rPr>
            </w:pP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Adverse Events (N)</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 xml:space="preserve">Subjects </w:t>
            </w:r>
          </w:p>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N (%)</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Adverse Events (N)</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 xml:space="preserve">Subjects </w:t>
            </w:r>
          </w:p>
          <w:p w:rsidR="00E12016" w:rsidRPr="004422E3" w:rsidRDefault="00E12016" w:rsidP="006E221D">
            <w:pPr>
              <w:pStyle w:val="TableTitlecentred"/>
              <w:keepNext/>
              <w:keepLines/>
              <w:rPr>
                <w:rFonts w:ascii="Arial Narrow" w:hAnsi="Arial Narrow"/>
                <w:sz w:val="20"/>
              </w:rPr>
            </w:pPr>
            <w:r w:rsidRPr="004422E3">
              <w:rPr>
                <w:rFonts w:ascii="Arial Narrow" w:hAnsi="Arial Narrow"/>
                <w:sz w:val="20"/>
              </w:rPr>
              <w:t>N (%)</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rPr>
                <w:rFonts w:ascii="Arial Narrow" w:hAnsi="Arial Narrow"/>
                <w:b/>
                <w:sz w:val="20"/>
                <w:szCs w:val="20"/>
              </w:rPr>
            </w:pPr>
            <w:r w:rsidRPr="004422E3">
              <w:rPr>
                <w:rFonts w:ascii="Arial Narrow" w:hAnsi="Arial Narrow"/>
                <w:b/>
                <w:sz w:val="20"/>
                <w:szCs w:val="20"/>
              </w:rPr>
              <w:t>All body system</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9 (30.0)</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11</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5 (16.7)</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rPr>
                <w:rFonts w:ascii="Arial Narrow" w:hAnsi="Arial Narrow"/>
                <w:b/>
                <w:sz w:val="20"/>
                <w:szCs w:val="20"/>
              </w:rPr>
            </w:pPr>
            <w:r w:rsidRPr="004422E3">
              <w:rPr>
                <w:rFonts w:ascii="Arial Narrow" w:hAnsi="Arial Narrow"/>
                <w:b/>
                <w:sz w:val="20"/>
                <w:szCs w:val="20"/>
              </w:rPr>
              <w:t>Nervous system disorders</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6</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6 (20.0)</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4</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4 (13.3)</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32"/>
              </w:tabs>
              <w:rPr>
                <w:rFonts w:ascii="Arial Narrow" w:hAnsi="Arial Narrow"/>
                <w:sz w:val="20"/>
                <w:szCs w:val="20"/>
              </w:rPr>
            </w:pPr>
            <w:r w:rsidRPr="004422E3">
              <w:rPr>
                <w:rFonts w:ascii="Arial Narrow" w:hAnsi="Arial Narrow"/>
                <w:sz w:val="20"/>
                <w:szCs w:val="20"/>
              </w:rPr>
              <w:tab/>
              <w:t>Headache</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3 (10.0)</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3</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3 (10.0)</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32"/>
              </w:tabs>
              <w:rPr>
                <w:rFonts w:ascii="Arial Narrow" w:hAnsi="Arial Narrow"/>
                <w:sz w:val="20"/>
                <w:szCs w:val="20"/>
              </w:rPr>
            </w:pPr>
            <w:r w:rsidRPr="004422E3">
              <w:rPr>
                <w:rFonts w:ascii="Arial Narrow" w:hAnsi="Arial Narrow"/>
                <w:sz w:val="20"/>
                <w:szCs w:val="20"/>
              </w:rPr>
              <w:tab/>
              <w:t>Dizziness</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32"/>
              </w:tabs>
              <w:rPr>
                <w:rFonts w:ascii="Arial Narrow" w:hAnsi="Arial Narrow"/>
                <w:sz w:val="20"/>
                <w:szCs w:val="20"/>
              </w:rPr>
            </w:pPr>
            <w:r w:rsidRPr="004422E3">
              <w:rPr>
                <w:rFonts w:ascii="Arial Narrow" w:hAnsi="Arial Narrow"/>
                <w:sz w:val="20"/>
                <w:szCs w:val="20"/>
              </w:rPr>
              <w:tab/>
            </w:r>
            <w:proofErr w:type="spellStart"/>
            <w:r w:rsidRPr="004422E3">
              <w:rPr>
                <w:rFonts w:ascii="Arial Narrow" w:hAnsi="Arial Narrow"/>
                <w:sz w:val="20"/>
                <w:szCs w:val="20"/>
              </w:rPr>
              <w:t>Presyncope</w:t>
            </w:r>
            <w:proofErr w:type="spellEnd"/>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2</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2 (6.7)</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 (0.0)</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rPr>
                <w:rFonts w:ascii="Arial Narrow" w:hAnsi="Arial Narrow"/>
                <w:b/>
                <w:sz w:val="20"/>
                <w:szCs w:val="20"/>
              </w:rPr>
            </w:pPr>
            <w:r w:rsidRPr="004422E3">
              <w:rPr>
                <w:rFonts w:ascii="Arial Narrow" w:hAnsi="Arial Narrow"/>
                <w:b/>
                <w:sz w:val="20"/>
                <w:szCs w:val="20"/>
              </w:rPr>
              <w:t>Gastrointestinal disorders</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5</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4 (13.3)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7</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4 (13.3)</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12"/>
              </w:tabs>
              <w:rPr>
                <w:rFonts w:ascii="Arial Narrow" w:hAnsi="Arial Narrow"/>
                <w:sz w:val="20"/>
                <w:szCs w:val="20"/>
              </w:rPr>
            </w:pPr>
            <w:r w:rsidRPr="004422E3">
              <w:rPr>
                <w:rFonts w:ascii="Arial Narrow" w:hAnsi="Arial Narrow"/>
                <w:sz w:val="20"/>
                <w:szCs w:val="20"/>
              </w:rPr>
              <w:tab/>
              <w:t>Vomiting</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4</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4 (13.3)</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12"/>
              </w:tabs>
              <w:rPr>
                <w:rFonts w:ascii="Arial Narrow" w:hAnsi="Arial Narrow"/>
                <w:sz w:val="20"/>
                <w:szCs w:val="20"/>
              </w:rPr>
            </w:pPr>
            <w:r w:rsidRPr="004422E3">
              <w:rPr>
                <w:rFonts w:ascii="Arial Narrow" w:hAnsi="Arial Narrow"/>
                <w:sz w:val="20"/>
                <w:szCs w:val="20"/>
              </w:rPr>
              <w:tab/>
              <w:t>Nausea</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2</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2 (6.7)</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12"/>
              </w:tabs>
              <w:rPr>
                <w:rFonts w:ascii="Arial Narrow" w:hAnsi="Arial Narrow"/>
                <w:sz w:val="20"/>
                <w:szCs w:val="20"/>
              </w:rPr>
            </w:pPr>
            <w:r w:rsidRPr="004422E3">
              <w:rPr>
                <w:rFonts w:ascii="Arial Narrow" w:hAnsi="Arial Narrow"/>
                <w:sz w:val="20"/>
                <w:szCs w:val="20"/>
              </w:rPr>
              <w:tab/>
              <w:t>Paraesthesia oral</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2</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2 (6.7)</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 (0.0)</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12"/>
              </w:tabs>
              <w:rPr>
                <w:rFonts w:ascii="Arial Narrow" w:hAnsi="Arial Narrow"/>
                <w:sz w:val="20"/>
                <w:szCs w:val="20"/>
              </w:rPr>
            </w:pPr>
            <w:r w:rsidRPr="004422E3">
              <w:rPr>
                <w:rFonts w:ascii="Arial Narrow" w:hAnsi="Arial Narrow"/>
                <w:sz w:val="20"/>
                <w:szCs w:val="20"/>
              </w:rPr>
              <w:tab/>
              <w:t>Dry mouth</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 (0.0)</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12"/>
              </w:tabs>
              <w:rPr>
                <w:rFonts w:ascii="Arial Narrow" w:hAnsi="Arial Narrow"/>
                <w:sz w:val="20"/>
                <w:szCs w:val="20"/>
              </w:rPr>
            </w:pPr>
            <w:r w:rsidRPr="004422E3">
              <w:rPr>
                <w:rFonts w:ascii="Arial Narrow" w:hAnsi="Arial Narrow"/>
                <w:sz w:val="20"/>
                <w:szCs w:val="20"/>
              </w:rPr>
              <w:tab/>
              <w:t>Dyspepsia</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 (0.0)</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rPr>
                <w:rFonts w:ascii="Arial Narrow" w:hAnsi="Arial Narrow"/>
                <w:b/>
                <w:sz w:val="20"/>
                <w:szCs w:val="20"/>
              </w:rPr>
            </w:pPr>
            <w:r w:rsidRPr="004422E3">
              <w:rPr>
                <w:rFonts w:ascii="Arial Narrow" w:hAnsi="Arial Narrow"/>
                <w:b/>
                <w:sz w:val="20"/>
                <w:szCs w:val="20"/>
              </w:rPr>
              <w:t>Musculoskeletal and connective tissue disorders</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(3.30</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 (0.0)</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22"/>
              </w:tabs>
              <w:rPr>
                <w:rFonts w:ascii="Arial Narrow" w:hAnsi="Arial Narrow"/>
                <w:sz w:val="20"/>
                <w:szCs w:val="20"/>
              </w:rPr>
            </w:pPr>
            <w:r w:rsidRPr="004422E3">
              <w:rPr>
                <w:rFonts w:ascii="Arial Narrow" w:hAnsi="Arial Narrow"/>
                <w:sz w:val="20"/>
                <w:szCs w:val="20"/>
              </w:rPr>
              <w:tab/>
              <w:t>Neck pain</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 (0.0)</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rPr>
                <w:rFonts w:ascii="Arial Narrow" w:hAnsi="Arial Narrow"/>
                <w:b/>
                <w:sz w:val="20"/>
                <w:szCs w:val="20"/>
              </w:rPr>
            </w:pPr>
            <w:r w:rsidRPr="004422E3">
              <w:rPr>
                <w:rFonts w:ascii="Arial Narrow" w:hAnsi="Arial Narrow"/>
                <w:b/>
                <w:sz w:val="20"/>
                <w:szCs w:val="20"/>
              </w:rPr>
              <w:t>Reproductive system and breast disorders</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 (0.0)</w:t>
            </w:r>
          </w:p>
        </w:tc>
      </w:tr>
      <w:tr w:rsidR="00E12016" w:rsidRPr="004422E3" w:rsidTr="006E221D">
        <w:trPr>
          <w:trHeight w:val="20"/>
        </w:trPr>
        <w:tc>
          <w:tcPr>
            <w:tcW w:w="1719"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leftalign"/>
              <w:keepNext/>
              <w:keepLines/>
              <w:tabs>
                <w:tab w:val="left" w:pos="422"/>
              </w:tabs>
              <w:rPr>
                <w:rFonts w:ascii="Arial Narrow" w:hAnsi="Arial Narrow"/>
                <w:sz w:val="20"/>
                <w:szCs w:val="20"/>
              </w:rPr>
            </w:pPr>
            <w:r w:rsidRPr="004422E3">
              <w:rPr>
                <w:rFonts w:ascii="Arial Narrow" w:hAnsi="Arial Narrow"/>
                <w:sz w:val="20"/>
                <w:szCs w:val="20"/>
              </w:rPr>
              <w:tab/>
              <w:t>Dysmenorrhoea</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1 (3.3)</w:t>
            </w:r>
          </w:p>
        </w:tc>
        <w:tc>
          <w:tcPr>
            <w:tcW w:w="820"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w:t>
            </w:r>
          </w:p>
        </w:tc>
        <w:tc>
          <w:tcPr>
            <w:tcW w:w="821" w:type="pct"/>
            <w:tcBorders>
              <w:top w:val="single" w:sz="4" w:space="0" w:color="auto"/>
              <w:left w:val="single" w:sz="4" w:space="0" w:color="auto"/>
              <w:bottom w:val="single" w:sz="4" w:space="0" w:color="auto"/>
              <w:right w:val="single" w:sz="4" w:space="0" w:color="auto"/>
            </w:tcBorders>
            <w:hideMark/>
          </w:tcPr>
          <w:p w:rsidR="00E12016" w:rsidRPr="004422E3" w:rsidRDefault="00E12016" w:rsidP="006E221D">
            <w:pPr>
              <w:pStyle w:val="TableTextcentred"/>
              <w:keepNext/>
              <w:keepLines/>
              <w:rPr>
                <w:rFonts w:ascii="Arial Narrow" w:hAnsi="Arial Narrow"/>
                <w:sz w:val="20"/>
                <w:szCs w:val="20"/>
              </w:rPr>
            </w:pPr>
            <w:r w:rsidRPr="004422E3">
              <w:rPr>
                <w:rFonts w:ascii="Arial Narrow" w:hAnsi="Arial Narrow"/>
                <w:sz w:val="20"/>
                <w:szCs w:val="20"/>
              </w:rPr>
              <w:t>0 (0.0)</w:t>
            </w:r>
          </w:p>
        </w:tc>
      </w:tr>
    </w:tbl>
    <w:p w:rsidR="002B1AFA" w:rsidRPr="004422E3" w:rsidRDefault="00E12016" w:rsidP="00841CBF">
      <w:pPr>
        <w:pStyle w:val="PBACHeading1"/>
        <w:numPr>
          <w:ilvl w:val="0"/>
          <w:numId w:val="0"/>
        </w:numPr>
        <w:ind w:left="720" w:hanging="720"/>
        <w:outlineLvl w:val="9"/>
        <w:rPr>
          <w:rFonts w:ascii="Arial Narrow" w:eastAsiaTheme="minorHAnsi" w:hAnsi="Arial Narrow"/>
          <w:b w:val="0"/>
          <w:snapToGrid/>
          <w:sz w:val="20"/>
          <w:szCs w:val="20"/>
        </w:rPr>
      </w:pPr>
      <w:r w:rsidRPr="004422E3">
        <w:rPr>
          <w:rFonts w:ascii="Arial Narrow" w:eastAsiaTheme="minorHAnsi" w:hAnsi="Arial Narrow"/>
          <w:b w:val="0"/>
          <w:snapToGrid/>
          <w:sz w:val="20"/>
          <w:szCs w:val="20"/>
        </w:rPr>
        <w:t>Source: Table 2.1.2 of the submission (Appendix 3 - CRO-PK-11-251 Clinical Study Report, Table 12.2.2.2, p 49)</w:t>
      </w:r>
    </w:p>
    <w:p w:rsidR="00E12016" w:rsidRPr="004422E3" w:rsidRDefault="00144973" w:rsidP="00E12016">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4422E3">
        <w:rPr>
          <w:rFonts w:asciiTheme="minorHAnsi" w:eastAsiaTheme="minorHAnsi" w:hAnsiTheme="minorHAnsi" w:cstheme="minorBidi"/>
          <w:snapToGrid/>
          <w:sz w:val="24"/>
          <w:szCs w:val="22"/>
        </w:rPr>
        <w:t xml:space="preserve">The submission argued that AE rates were comparable for the two treatments, and common AEs were consistent with the established profile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tablets. The study reported all AEs were mild or moderate, and no severe AEs were reported in </w:t>
      </w:r>
      <w:r w:rsidRPr="004422E3">
        <w:rPr>
          <w:rFonts w:asciiTheme="minorHAnsi" w:eastAsiaTheme="minorHAnsi" w:hAnsiTheme="minorHAnsi" w:cstheme="minorBidi"/>
          <w:snapToGrid/>
          <w:sz w:val="24"/>
          <w:szCs w:val="24"/>
        </w:rPr>
        <w:t>either group. No statistical analysis of differences in AEs was carried out in the trial.</w:t>
      </w:r>
    </w:p>
    <w:p w:rsidR="00144973" w:rsidRPr="004422E3" w:rsidRDefault="00144973" w:rsidP="00C328BD">
      <w:pPr>
        <w:pStyle w:val="ListParagraph"/>
        <w:numPr>
          <w:ilvl w:val="1"/>
          <w:numId w:val="14"/>
        </w:numPr>
        <w:rPr>
          <w:rFonts w:asciiTheme="minorHAnsi" w:eastAsiaTheme="minorHAnsi" w:hAnsiTheme="minorHAnsi" w:cstheme="minorBidi"/>
          <w:snapToGrid/>
          <w:sz w:val="24"/>
          <w:szCs w:val="24"/>
        </w:rPr>
      </w:pPr>
      <w:r w:rsidRPr="004422E3">
        <w:rPr>
          <w:rFonts w:asciiTheme="minorHAnsi" w:eastAsiaTheme="minorHAnsi" w:hAnsiTheme="minorHAnsi" w:cstheme="minorBidi"/>
          <w:snapToGrid/>
          <w:sz w:val="24"/>
          <w:szCs w:val="24"/>
        </w:rPr>
        <w:t xml:space="preserve">The submission noted a higher risk of adverse events due to the higher </w:t>
      </w:r>
      <w:proofErr w:type="spellStart"/>
      <w:r w:rsidRPr="004422E3">
        <w:rPr>
          <w:rFonts w:asciiTheme="minorHAnsi" w:eastAsiaTheme="minorHAnsi" w:hAnsiTheme="minorHAnsi" w:cstheme="minorBidi"/>
          <w:snapToGrid/>
          <w:sz w:val="24"/>
          <w:szCs w:val="24"/>
        </w:rPr>
        <w:t>C</w:t>
      </w:r>
      <w:r w:rsidRPr="004422E3">
        <w:rPr>
          <w:rFonts w:asciiTheme="minorHAnsi" w:eastAsiaTheme="minorHAnsi" w:hAnsiTheme="minorHAnsi" w:cstheme="minorBidi"/>
          <w:snapToGrid/>
          <w:sz w:val="24"/>
          <w:szCs w:val="24"/>
          <w:vertAlign w:val="subscript"/>
        </w:rPr>
        <w:t>max</w:t>
      </w:r>
      <w:proofErr w:type="spellEnd"/>
      <w:r w:rsidRPr="004422E3">
        <w:rPr>
          <w:rFonts w:asciiTheme="minorHAnsi" w:eastAsiaTheme="minorHAnsi" w:hAnsiTheme="minorHAnsi" w:cstheme="minorBidi"/>
          <w:snapToGrid/>
          <w:sz w:val="24"/>
          <w:szCs w:val="24"/>
        </w:rPr>
        <w:t xml:space="preserve"> observed in the trial could not be excluded, however as noted above,</w:t>
      </w:r>
      <w:r w:rsidR="009249DD" w:rsidRPr="004422E3">
        <w:rPr>
          <w:rFonts w:asciiTheme="minorHAnsi" w:eastAsiaTheme="minorHAnsi" w:hAnsiTheme="minorHAnsi" w:cstheme="minorBidi"/>
          <w:snapToGrid/>
          <w:sz w:val="24"/>
          <w:szCs w:val="24"/>
        </w:rPr>
        <w:t xml:space="preserve"> it was</w:t>
      </w:r>
      <w:r w:rsidRPr="004422E3">
        <w:rPr>
          <w:rFonts w:asciiTheme="minorHAnsi" w:eastAsiaTheme="minorHAnsi" w:hAnsiTheme="minorHAnsi" w:cstheme="minorBidi"/>
          <w:snapToGrid/>
          <w:sz w:val="24"/>
          <w:szCs w:val="24"/>
        </w:rPr>
        <w:t xml:space="preserve"> argued the difference was unlikely to be clinically significant. </w:t>
      </w:r>
      <w:r w:rsidR="00C328BD" w:rsidRPr="004422E3">
        <w:rPr>
          <w:rFonts w:asciiTheme="minorHAnsi" w:eastAsiaTheme="minorHAnsi" w:hAnsiTheme="minorHAnsi" w:cstheme="minorBidi"/>
          <w:snapToGrid/>
          <w:sz w:val="24"/>
          <w:szCs w:val="24"/>
        </w:rPr>
        <w:t xml:space="preserve"> The approved Product Information also notes that a slightly increased risk of </w:t>
      </w:r>
      <w:proofErr w:type="spellStart"/>
      <w:r w:rsidR="00C328BD" w:rsidRPr="004422E3">
        <w:rPr>
          <w:rFonts w:asciiTheme="minorHAnsi" w:eastAsiaTheme="minorHAnsi" w:hAnsiTheme="minorHAnsi" w:cstheme="minorBidi"/>
          <w:snapToGrid/>
          <w:sz w:val="24"/>
          <w:szCs w:val="24"/>
        </w:rPr>
        <w:t>C</w:t>
      </w:r>
      <w:r w:rsidR="00C328BD" w:rsidRPr="004422E3">
        <w:rPr>
          <w:rFonts w:asciiTheme="minorHAnsi" w:eastAsiaTheme="minorHAnsi" w:hAnsiTheme="minorHAnsi" w:cstheme="minorBidi"/>
          <w:snapToGrid/>
          <w:sz w:val="24"/>
          <w:szCs w:val="24"/>
          <w:vertAlign w:val="subscript"/>
        </w:rPr>
        <w:t>max</w:t>
      </w:r>
      <w:proofErr w:type="spellEnd"/>
      <w:r w:rsidR="00C328BD" w:rsidRPr="004422E3">
        <w:rPr>
          <w:rFonts w:asciiTheme="minorHAnsi" w:eastAsiaTheme="minorHAnsi" w:hAnsiTheme="minorHAnsi" w:cstheme="minorBidi"/>
          <w:snapToGrid/>
          <w:sz w:val="24"/>
          <w:szCs w:val="24"/>
        </w:rPr>
        <w:t xml:space="preserve"> related adverse events cannot be excluded.</w:t>
      </w:r>
    </w:p>
    <w:p w:rsidR="00144973" w:rsidRPr="004422E3" w:rsidRDefault="00144973" w:rsidP="008430F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4"/>
        </w:rPr>
        <w:t>The logistic regression undertaken to test the effects of this difference made a number of assumptions, includ</w:t>
      </w:r>
      <w:r w:rsidR="00C328BD" w:rsidRPr="004422E3">
        <w:rPr>
          <w:rFonts w:asciiTheme="minorHAnsi" w:eastAsiaTheme="minorHAnsi" w:hAnsiTheme="minorHAnsi" w:cstheme="minorBidi"/>
          <w:snapToGrid/>
          <w:sz w:val="24"/>
          <w:szCs w:val="24"/>
        </w:rPr>
        <w:t>ing dose proportionality for</w:t>
      </w:r>
      <w:r w:rsidRPr="004422E3">
        <w:rPr>
          <w:rFonts w:asciiTheme="minorHAnsi" w:eastAsiaTheme="minorHAnsi" w:hAnsiTheme="minorHAnsi" w:cstheme="minorBidi"/>
          <w:snapToGrid/>
          <w:sz w:val="24"/>
          <w:szCs w:val="24"/>
        </w:rPr>
        <w:t xml:space="preserve"> </w:t>
      </w:r>
      <w:proofErr w:type="spellStart"/>
      <w:r w:rsidRPr="004422E3">
        <w:rPr>
          <w:rFonts w:asciiTheme="minorHAnsi" w:eastAsiaTheme="minorHAnsi" w:hAnsiTheme="minorHAnsi" w:cstheme="minorBidi"/>
          <w:snapToGrid/>
          <w:sz w:val="24"/>
          <w:szCs w:val="24"/>
        </w:rPr>
        <w:t>riluzole</w:t>
      </w:r>
      <w:proofErr w:type="spellEnd"/>
      <w:r w:rsidRPr="004422E3">
        <w:rPr>
          <w:rFonts w:asciiTheme="minorHAnsi" w:eastAsiaTheme="minorHAnsi" w:hAnsiTheme="minorHAnsi" w:cstheme="minorBidi"/>
          <w:snapToGrid/>
          <w:sz w:val="24"/>
          <w:szCs w:val="24"/>
        </w:rPr>
        <w:t xml:space="preserve"> based on clinical trials of the tablet</w:t>
      </w:r>
      <w:r w:rsidR="00C328BD" w:rsidRPr="004422E3">
        <w:rPr>
          <w:rFonts w:asciiTheme="minorHAnsi" w:eastAsiaTheme="minorHAnsi" w:hAnsiTheme="minorHAnsi" w:cstheme="minorBidi"/>
          <w:snapToGrid/>
          <w:sz w:val="24"/>
          <w:szCs w:val="24"/>
        </w:rPr>
        <w:t xml:space="preserve"> form</w:t>
      </w:r>
      <w:r w:rsidRPr="004422E3">
        <w:rPr>
          <w:rFonts w:asciiTheme="minorHAnsi" w:eastAsiaTheme="minorHAnsi" w:hAnsiTheme="minorHAnsi" w:cstheme="minorBidi"/>
          <w:snapToGrid/>
          <w:sz w:val="24"/>
          <w:szCs w:val="24"/>
        </w:rPr>
        <w:t xml:space="preserve">, and a conservative assumption that a direct relationship existed between </w:t>
      </w:r>
      <w:proofErr w:type="spellStart"/>
      <w:r w:rsidRPr="004422E3">
        <w:rPr>
          <w:rFonts w:asciiTheme="minorHAnsi" w:eastAsiaTheme="minorHAnsi" w:hAnsiTheme="minorHAnsi" w:cstheme="minorBidi"/>
          <w:snapToGrid/>
          <w:sz w:val="24"/>
          <w:szCs w:val="24"/>
        </w:rPr>
        <w:t>C</w:t>
      </w:r>
      <w:r w:rsidRPr="004422E3">
        <w:rPr>
          <w:rFonts w:asciiTheme="minorHAnsi" w:eastAsiaTheme="minorHAnsi" w:hAnsiTheme="minorHAnsi" w:cstheme="minorBidi"/>
          <w:snapToGrid/>
          <w:sz w:val="24"/>
          <w:szCs w:val="24"/>
          <w:vertAlign w:val="subscript"/>
        </w:rPr>
        <w:t>max</w:t>
      </w:r>
      <w:proofErr w:type="spellEnd"/>
      <w:r w:rsidRPr="004422E3">
        <w:rPr>
          <w:rFonts w:asciiTheme="minorHAnsi" w:eastAsiaTheme="minorHAnsi" w:hAnsiTheme="minorHAnsi" w:cstheme="minorBidi"/>
          <w:snapToGrid/>
          <w:sz w:val="24"/>
          <w:szCs w:val="24"/>
        </w:rPr>
        <w:t xml:space="preserve"> and probability of adverse events</w:t>
      </w:r>
      <w:r w:rsidR="008430F1" w:rsidRPr="004422E3">
        <w:rPr>
          <w:rStyle w:val="FootnoteReference"/>
          <w:rFonts w:asciiTheme="minorHAnsi" w:eastAsiaTheme="minorHAnsi" w:hAnsiTheme="minorHAnsi" w:cstheme="minorBidi"/>
          <w:snapToGrid/>
          <w:sz w:val="24"/>
          <w:szCs w:val="24"/>
        </w:rPr>
        <w:footnoteReference w:id="2"/>
      </w:r>
      <w:r w:rsidRPr="004422E3">
        <w:rPr>
          <w:rFonts w:asciiTheme="minorHAnsi" w:eastAsiaTheme="minorHAnsi" w:hAnsiTheme="minorHAnsi" w:cstheme="minorBidi"/>
          <w:snapToGrid/>
          <w:sz w:val="24"/>
          <w:szCs w:val="24"/>
        </w:rPr>
        <w:t>. Given the approximate</w:t>
      </w:r>
      <w:r w:rsidRPr="004422E3">
        <w:rPr>
          <w:rFonts w:asciiTheme="minorHAnsi" w:eastAsiaTheme="minorHAnsi" w:hAnsiTheme="minorHAnsi" w:cstheme="minorBidi"/>
          <w:snapToGrid/>
          <w:sz w:val="24"/>
          <w:szCs w:val="22"/>
        </w:rPr>
        <w:t xml:space="preserve"> ~20% difference </w:t>
      </w:r>
      <w:proofErr w:type="spellStart"/>
      <w:r w:rsidRPr="004422E3">
        <w:rPr>
          <w:rFonts w:asciiTheme="minorHAnsi" w:eastAsiaTheme="minorHAnsi" w:hAnsiTheme="minorHAnsi" w:cstheme="minorBidi"/>
          <w:snapToGrid/>
          <w:sz w:val="24"/>
          <w:szCs w:val="22"/>
        </w:rPr>
        <w:t>C</w:t>
      </w:r>
      <w:r w:rsidRPr="004422E3">
        <w:rPr>
          <w:rFonts w:asciiTheme="minorHAnsi" w:eastAsiaTheme="minorHAnsi" w:hAnsiTheme="minorHAnsi" w:cstheme="minorBidi"/>
          <w:snapToGrid/>
          <w:sz w:val="24"/>
          <w:szCs w:val="22"/>
          <w:vertAlign w:val="subscript"/>
        </w:rPr>
        <w:t>max</w:t>
      </w:r>
      <w:proofErr w:type="spellEnd"/>
      <w:r w:rsidRPr="004422E3">
        <w:rPr>
          <w:rFonts w:asciiTheme="minorHAnsi" w:eastAsiaTheme="minorHAnsi" w:hAnsiTheme="minorHAnsi" w:cstheme="minorBidi"/>
          <w:snapToGrid/>
          <w:sz w:val="24"/>
          <w:szCs w:val="22"/>
        </w:rPr>
        <w:t>, the analysis assumed the probability of developing an adverse event with the liquid formulation was 20% higher than an equivalent tablet dose.</w:t>
      </w:r>
      <w:r w:rsidR="00B318E0" w:rsidRPr="004422E3">
        <w:rPr>
          <w:rFonts w:asciiTheme="minorHAnsi" w:eastAsiaTheme="minorHAnsi" w:hAnsiTheme="minorHAnsi" w:cstheme="minorBidi"/>
          <w:snapToGrid/>
          <w:sz w:val="24"/>
          <w:szCs w:val="22"/>
        </w:rPr>
        <w:t xml:space="preserve"> Based on the original </w:t>
      </w:r>
      <w:proofErr w:type="spellStart"/>
      <w:r w:rsidR="00B318E0" w:rsidRPr="004422E3">
        <w:rPr>
          <w:rFonts w:asciiTheme="minorHAnsi" w:eastAsiaTheme="minorHAnsi" w:hAnsiTheme="minorHAnsi" w:cstheme="minorBidi"/>
          <w:snapToGrid/>
          <w:sz w:val="24"/>
          <w:szCs w:val="22"/>
        </w:rPr>
        <w:t>riluzole</w:t>
      </w:r>
      <w:proofErr w:type="spellEnd"/>
      <w:r w:rsidR="00B318E0" w:rsidRPr="004422E3">
        <w:rPr>
          <w:rFonts w:asciiTheme="minorHAnsi" w:eastAsiaTheme="minorHAnsi" w:hAnsiTheme="minorHAnsi" w:cstheme="minorBidi"/>
          <w:snapToGrid/>
          <w:sz w:val="24"/>
          <w:szCs w:val="22"/>
        </w:rPr>
        <w:t xml:space="preserve"> trials, the analysis focussed on adverse events that were identified as being dose-dependent, and foun</w:t>
      </w:r>
      <w:r w:rsidR="00C328BD" w:rsidRPr="004422E3">
        <w:rPr>
          <w:rFonts w:asciiTheme="minorHAnsi" w:eastAsiaTheme="minorHAnsi" w:hAnsiTheme="minorHAnsi" w:cstheme="minorBidi"/>
          <w:snapToGrid/>
          <w:sz w:val="24"/>
          <w:szCs w:val="22"/>
        </w:rPr>
        <w:t>d no increase in overall risk of anorexia</w:t>
      </w:r>
      <w:r w:rsidR="00B318E0" w:rsidRPr="004422E3">
        <w:rPr>
          <w:rFonts w:asciiTheme="minorHAnsi" w:eastAsiaTheme="minorHAnsi" w:hAnsiTheme="minorHAnsi" w:cstheme="minorBidi"/>
          <w:snapToGrid/>
          <w:sz w:val="24"/>
          <w:szCs w:val="22"/>
        </w:rPr>
        <w:t xml:space="preserve"> with the higher </w:t>
      </w:r>
      <w:proofErr w:type="spellStart"/>
      <w:r w:rsidR="00B318E0" w:rsidRPr="004422E3">
        <w:rPr>
          <w:rFonts w:asciiTheme="minorHAnsi" w:eastAsiaTheme="minorHAnsi" w:hAnsiTheme="minorHAnsi" w:cstheme="minorBidi"/>
          <w:snapToGrid/>
          <w:sz w:val="24"/>
          <w:szCs w:val="22"/>
        </w:rPr>
        <w:t>C</w:t>
      </w:r>
      <w:r w:rsidR="00B318E0" w:rsidRPr="004422E3">
        <w:rPr>
          <w:rFonts w:asciiTheme="minorHAnsi" w:eastAsiaTheme="minorHAnsi" w:hAnsiTheme="minorHAnsi" w:cstheme="minorBidi"/>
          <w:snapToGrid/>
          <w:sz w:val="24"/>
          <w:szCs w:val="22"/>
          <w:vertAlign w:val="subscript"/>
        </w:rPr>
        <w:t>max</w:t>
      </w:r>
      <w:proofErr w:type="spellEnd"/>
      <w:r w:rsidR="00B318E0" w:rsidRPr="004422E3">
        <w:rPr>
          <w:rFonts w:asciiTheme="minorHAnsi" w:eastAsiaTheme="minorHAnsi" w:hAnsiTheme="minorHAnsi" w:cstheme="minorBidi"/>
          <w:snapToGrid/>
          <w:sz w:val="24"/>
          <w:szCs w:val="22"/>
        </w:rPr>
        <w:t xml:space="preserve"> of the liquid formulation, and only slightly increased risk of diarrhoea, dizziness and increased alanine aminotransferase (ALT) compared to the tablet formulation. While not statistically </w:t>
      </w:r>
      <w:r w:rsidR="00CD4DD3" w:rsidRPr="004422E3">
        <w:rPr>
          <w:rFonts w:asciiTheme="minorHAnsi" w:eastAsiaTheme="minorHAnsi" w:hAnsiTheme="minorHAnsi" w:cstheme="minorBidi"/>
          <w:snapToGrid/>
          <w:sz w:val="24"/>
          <w:szCs w:val="22"/>
        </w:rPr>
        <w:t>evaluated</w:t>
      </w:r>
      <w:r w:rsidR="00B318E0" w:rsidRPr="004422E3">
        <w:rPr>
          <w:rFonts w:asciiTheme="minorHAnsi" w:eastAsiaTheme="minorHAnsi" w:hAnsiTheme="minorHAnsi" w:cstheme="minorBidi"/>
          <w:snapToGrid/>
          <w:sz w:val="24"/>
          <w:szCs w:val="22"/>
        </w:rPr>
        <w:t>,</w:t>
      </w:r>
      <w:r w:rsidR="00AD055D" w:rsidRPr="004422E3">
        <w:rPr>
          <w:rFonts w:asciiTheme="minorHAnsi" w:eastAsiaTheme="minorHAnsi" w:hAnsiTheme="minorHAnsi" w:cstheme="minorBidi"/>
          <w:snapToGrid/>
          <w:sz w:val="24"/>
          <w:szCs w:val="22"/>
        </w:rPr>
        <w:t xml:space="preserve"> the submission argued</w:t>
      </w:r>
      <w:r w:rsidR="00B318E0" w:rsidRPr="004422E3">
        <w:rPr>
          <w:rFonts w:asciiTheme="minorHAnsi" w:eastAsiaTheme="minorHAnsi" w:hAnsiTheme="minorHAnsi" w:cstheme="minorBidi"/>
          <w:snapToGrid/>
          <w:sz w:val="24"/>
          <w:szCs w:val="22"/>
        </w:rPr>
        <w:t xml:space="preserve"> the</w:t>
      </w:r>
      <w:r w:rsidR="00AD055D" w:rsidRPr="004422E3">
        <w:rPr>
          <w:rFonts w:asciiTheme="minorHAnsi" w:eastAsiaTheme="minorHAnsi" w:hAnsiTheme="minorHAnsi" w:cstheme="minorBidi"/>
          <w:snapToGrid/>
          <w:sz w:val="24"/>
          <w:szCs w:val="22"/>
        </w:rPr>
        <w:t xml:space="preserve"> potential small increase in risk</w:t>
      </w:r>
      <w:r w:rsidR="00B318E0" w:rsidRPr="004422E3">
        <w:rPr>
          <w:rFonts w:asciiTheme="minorHAnsi" w:eastAsiaTheme="minorHAnsi" w:hAnsiTheme="minorHAnsi" w:cstheme="minorBidi"/>
          <w:snapToGrid/>
          <w:sz w:val="24"/>
          <w:szCs w:val="22"/>
        </w:rPr>
        <w:t xml:space="preserve"> of these adverse events identified in the logistical analysis of </w:t>
      </w:r>
      <w:r w:rsidR="00B318E0" w:rsidRPr="004422E3">
        <w:rPr>
          <w:rFonts w:asciiTheme="minorHAnsi" w:eastAsiaTheme="minorHAnsi" w:hAnsiTheme="minorHAnsi" w:cstheme="minorBidi"/>
          <w:snapToGrid/>
          <w:sz w:val="24"/>
          <w:szCs w:val="22"/>
        </w:rPr>
        <w:lastRenderedPageBreak/>
        <w:t xml:space="preserve">safety </w:t>
      </w:r>
      <w:r w:rsidR="00AD055D" w:rsidRPr="004422E3">
        <w:rPr>
          <w:rFonts w:asciiTheme="minorHAnsi" w:eastAsiaTheme="minorHAnsi" w:hAnsiTheme="minorHAnsi" w:cstheme="minorBidi"/>
          <w:snapToGrid/>
          <w:sz w:val="24"/>
          <w:szCs w:val="22"/>
        </w:rPr>
        <w:t>was not</w:t>
      </w:r>
      <w:r w:rsidR="00CD4DD3" w:rsidRPr="004422E3">
        <w:rPr>
          <w:rFonts w:asciiTheme="minorHAnsi" w:eastAsiaTheme="minorHAnsi" w:hAnsiTheme="minorHAnsi" w:cstheme="minorBidi"/>
          <w:snapToGrid/>
          <w:sz w:val="24"/>
          <w:szCs w:val="22"/>
        </w:rPr>
        <w:t xml:space="preserve"> particularly</w:t>
      </w:r>
      <w:r w:rsidR="00B318E0" w:rsidRPr="004422E3">
        <w:rPr>
          <w:rFonts w:asciiTheme="minorHAnsi" w:eastAsiaTheme="minorHAnsi" w:hAnsiTheme="minorHAnsi" w:cstheme="minorBidi"/>
          <w:snapToGrid/>
          <w:sz w:val="24"/>
          <w:szCs w:val="22"/>
        </w:rPr>
        <w:t xml:space="preserve"> clinically significant, given the </w:t>
      </w:r>
      <w:r w:rsidR="00C328BD" w:rsidRPr="004422E3">
        <w:rPr>
          <w:rFonts w:asciiTheme="minorHAnsi" w:eastAsiaTheme="minorHAnsi" w:hAnsiTheme="minorHAnsi" w:cstheme="minorBidi"/>
          <w:snapToGrid/>
          <w:sz w:val="24"/>
          <w:szCs w:val="22"/>
        </w:rPr>
        <w:t xml:space="preserve">potential </w:t>
      </w:r>
      <w:r w:rsidR="00B318E0" w:rsidRPr="004422E3">
        <w:rPr>
          <w:rFonts w:asciiTheme="minorHAnsi" w:eastAsiaTheme="minorHAnsi" w:hAnsiTheme="minorHAnsi" w:cstheme="minorBidi"/>
          <w:snapToGrid/>
          <w:sz w:val="24"/>
          <w:szCs w:val="22"/>
        </w:rPr>
        <w:t xml:space="preserve">disadvantages associated with crushing </w:t>
      </w:r>
      <w:proofErr w:type="spellStart"/>
      <w:r w:rsidR="00B318E0" w:rsidRPr="004422E3">
        <w:rPr>
          <w:rFonts w:asciiTheme="minorHAnsi" w:eastAsiaTheme="minorHAnsi" w:hAnsiTheme="minorHAnsi" w:cstheme="minorBidi"/>
          <w:snapToGrid/>
          <w:sz w:val="24"/>
          <w:szCs w:val="22"/>
        </w:rPr>
        <w:t>riluzole</w:t>
      </w:r>
      <w:proofErr w:type="spellEnd"/>
      <w:r w:rsidR="00B318E0" w:rsidRPr="004422E3">
        <w:rPr>
          <w:rFonts w:asciiTheme="minorHAnsi" w:eastAsiaTheme="minorHAnsi" w:hAnsiTheme="minorHAnsi" w:cstheme="minorBidi"/>
          <w:snapToGrid/>
          <w:sz w:val="24"/>
          <w:szCs w:val="22"/>
        </w:rPr>
        <w:t xml:space="preserve"> tablets, which is necessary for many ALS patients. </w:t>
      </w:r>
    </w:p>
    <w:p w:rsidR="003C2FB5" w:rsidRPr="004422E3" w:rsidRDefault="005A3173" w:rsidP="00FA2598">
      <w:pPr>
        <w:pStyle w:val="Heading2"/>
      </w:pPr>
      <w:r w:rsidRPr="004422E3">
        <w:t>Clinical claim</w:t>
      </w:r>
    </w:p>
    <w:p w:rsidR="00F57A6D" w:rsidRPr="004422E3" w:rsidRDefault="00CD4DD3" w:rsidP="002528D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The submission described the oral liquid formulation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as an improved dosage form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for the treatment of ALS. </w:t>
      </w:r>
      <w:r w:rsidR="003960E3" w:rsidRPr="004422E3">
        <w:rPr>
          <w:rFonts w:asciiTheme="minorHAnsi" w:eastAsiaTheme="minorHAnsi" w:hAnsiTheme="minorHAnsi" w:cstheme="minorBidi"/>
          <w:snapToGrid/>
          <w:sz w:val="24"/>
          <w:szCs w:val="22"/>
        </w:rPr>
        <w:t xml:space="preserve">For some patients, the alternative of a liquid formulation could be considered preferable, particularly for those with difficulty swallowing </w:t>
      </w:r>
      <w:r w:rsidR="006129B5" w:rsidRPr="004422E3">
        <w:rPr>
          <w:rFonts w:asciiTheme="minorHAnsi" w:eastAsiaTheme="minorHAnsi" w:hAnsiTheme="minorHAnsi" w:cstheme="minorBidi"/>
          <w:snapToGrid/>
          <w:sz w:val="24"/>
          <w:szCs w:val="22"/>
        </w:rPr>
        <w:t>or</w:t>
      </w:r>
      <w:r w:rsidR="00841CBF" w:rsidRPr="004422E3">
        <w:rPr>
          <w:rFonts w:asciiTheme="minorHAnsi" w:eastAsiaTheme="minorHAnsi" w:hAnsiTheme="minorHAnsi" w:cstheme="minorBidi"/>
          <w:snapToGrid/>
          <w:sz w:val="24"/>
          <w:szCs w:val="22"/>
        </w:rPr>
        <w:t xml:space="preserve"> who</w:t>
      </w:r>
      <w:r w:rsidR="006129B5" w:rsidRPr="004422E3">
        <w:rPr>
          <w:rFonts w:asciiTheme="minorHAnsi" w:eastAsiaTheme="minorHAnsi" w:hAnsiTheme="minorHAnsi" w:cstheme="minorBidi"/>
          <w:snapToGrid/>
          <w:sz w:val="24"/>
          <w:szCs w:val="22"/>
        </w:rPr>
        <w:t xml:space="preserve"> use a PEG or would otherwise require tablets to be crushed. </w:t>
      </w:r>
    </w:p>
    <w:p w:rsidR="005A3173" w:rsidRPr="00FA2598" w:rsidRDefault="005A3173" w:rsidP="00FA2598">
      <w:pPr>
        <w:pStyle w:val="Heading2"/>
      </w:pPr>
      <w:r w:rsidRPr="00FA2598">
        <w:t>Economic analysis</w:t>
      </w:r>
    </w:p>
    <w:p w:rsidR="00196307" w:rsidRPr="004422E3" w:rsidRDefault="006129B5" w:rsidP="006129B5">
      <w:pPr>
        <w:pStyle w:val="ListParagraph"/>
        <w:numPr>
          <w:ilvl w:val="1"/>
          <w:numId w:val="14"/>
        </w:numPr>
        <w:rPr>
          <w:rFonts w:asciiTheme="minorHAnsi" w:eastAsiaTheme="minorHAnsi" w:hAnsiTheme="minorHAnsi" w:cstheme="minorBidi"/>
          <w:snapToGrid/>
          <w:sz w:val="24"/>
          <w:szCs w:val="24"/>
        </w:rPr>
      </w:pPr>
      <w:r w:rsidRPr="004422E3">
        <w:rPr>
          <w:rFonts w:asciiTheme="minorHAnsi" w:eastAsiaTheme="minorHAnsi" w:hAnsiTheme="minorHAnsi" w:cstheme="minorBidi"/>
          <w:snapToGrid/>
          <w:sz w:val="24"/>
          <w:szCs w:val="24"/>
        </w:rPr>
        <w:t xml:space="preserve">The submission did not present an economic analysis, and requested a list price approximately </w:t>
      </w:r>
      <w:r w:rsidR="00F24C24">
        <w:rPr>
          <w:rFonts w:asciiTheme="minorHAnsi" w:eastAsiaTheme="minorHAnsi" w:hAnsiTheme="minorHAnsi" w:cstheme="minorBidi"/>
          <w:noProof/>
          <w:snapToGrid/>
          <w:color w:val="000000"/>
          <w:sz w:val="24"/>
          <w:szCs w:val="24"/>
          <w:highlight w:val="black"/>
        </w:rPr>
        <w:t>'''''</w:t>
      </w:r>
      <w:r w:rsidRPr="004422E3">
        <w:rPr>
          <w:rFonts w:asciiTheme="minorHAnsi" w:eastAsiaTheme="minorHAnsi" w:hAnsiTheme="minorHAnsi" w:cstheme="minorBidi"/>
          <w:snapToGrid/>
          <w:sz w:val="24"/>
          <w:szCs w:val="24"/>
        </w:rPr>
        <w:t xml:space="preserve">% higher than the current price of </w:t>
      </w:r>
      <w:proofErr w:type="spellStart"/>
      <w:r w:rsidRPr="004422E3">
        <w:rPr>
          <w:rFonts w:asciiTheme="minorHAnsi" w:eastAsiaTheme="minorHAnsi" w:hAnsiTheme="minorHAnsi" w:cstheme="minorBidi"/>
          <w:snapToGrid/>
          <w:sz w:val="24"/>
          <w:szCs w:val="24"/>
        </w:rPr>
        <w:t>riluzole</w:t>
      </w:r>
      <w:proofErr w:type="spellEnd"/>
      <w:r w:rsidRPr="004422E3">
        <w:rPr>
          <w:rFonts w:asciiTheme="minorHAnsi" w:eastAsiaTheme="minorHAnsi" w:hAnsiTheme="minorHAnsi" w:cstheme="minorBidi"/>
          <w:snapToGrid/>
          <w:sz w:val="24"/>
          <w:szCs w:val="24"/>
        </w:rPr>
        <w:t xml:space="preserve"> tablets. Pricing matters are further discussed </w:t>
      </w:r>
      <w:r w:rsidR="002528D5" w:rsidRPr="004422E3">
        <w:rPr>
          <w:rFonts w:asciiTheme="minorHAnsi" w:eastAsiaTheme="minorHAnsi" w:hAnsiTheme="minorHAnsi" w:cstheme="minorBidi"/>
          <w:snapToGrid/>
          <w:sz w:val="24"/>
          <w:szCs w:val="24"/>
        </w:rPr>
        <w:t xml:space="preserve">in the </w:t>
      </w:r>
      <w:r w:rsidR="00761AE0" w:rsidRPr="004422E3">
        <w:rPr>
          <w:rFonts w:asciiTheme="minorHAnsi" w:eastAsiaTheme="minorHAnsi" w:hAnsiTheme="minorHAnsi" w:cstheme="minorBidi"/>
          <w:snapToGrid/>
          <w:sz w:val="24"/>
          <w:szCs w:val="24"/>
        </w:rPr>
        <w:t>estimated</w:t>
      </w:r>
      <w:r w:rsidR="002528D5" w:rsidRPr="004422E3">
        <w:rPr>
          <w:rFonts w:asciiTheme="minorHAnsi" w:eastAsiaTheme="minorHAnsi" w:hAnsiTheme="minorHAnsi" w:cstheme="minorBidi"/>
          <w:snapToGrid/>
          <w:sz w:val="24"/>
          <w:szCs w:val="24"/>
        </w:rPr>
        <w:t xml:space="preserve"> PBS usage and financial implications section below.</w:t>
      </w:r>
    </w:p>
    <w:p w:rsidR="003C2FB5" w:rsidRPr="004422E3" w:rsidRDefault="009249DD" w:rsidP="00FA2598">
      <w:pPr>
        <w:pStyle w:val="Heading2"/>
      </w:pPr>
      <w:r w:rsidRPr="004422E3">
        <w:t>Drug cost/patient/</w:t>
      </w:r>
      <w:r w:rsidR="000E0D7A" w:rsidRPr="004422E3">
        <w:t>year</w:t>
      </w:r>
      <w:r w:rsidRPr="004422E3">
        <w:t>: $</w:t>
      </w:r>
      <w:r w:rsidR="00F24C24">
        <w:rPr>
          <w:noProof/>
          <w:color w:val="000000"/>
          <w:highlight w:val="black"/>
        </w:rPr>
        <w:t>'''''''''''''''</w:t>
      </w:r>
      <w:r w:rsidR="00A55FEE" w:rsidRPr="004422E3">
        <w:t>.</w:t>
      </w:r>
    </w:p>
    <w:p w:rsidR="00A55FEE" w:rsidRPr="004422E3" w:rsidRDefault="00F96206"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sponsor requested a DPMQ of $</w:t>
      </w:r>
      <w:r w:rsidR="00F24C24">
        <w:rPr>
          <w:rFonts w:asciiTheme="minorHAnsi" w:eastAsiaTheme="minorHAnsi" w:hAnsiTheme="minorHAnsi" w:cstheme="minorBidi"/>
          <w:noProof/>
          <w:snapToGrid/>
          <w:color w:val="000000"/>
          <w:sz w:val="24"/>
          <w:szCs w:val="22"/>
          <w:highlight w:val="black"/>
        </w:rPr>
        <w:t>'''''''''''''</w:t>
      </w:r>
      <w:r w:rsidRPr="004422E3">
        <w:rPr>
          <w:rFonts w:asciiTheme="minorHAnsi" w:eastAsiaTheme="minorHAnsi" w:hAnsiTheme="minorHAnsi" w:cstheme="minorBidi"/>
          <w:snapToGrid/>
          <w:sz w:val="24"/>
          <w:szCs w:val="22"/>
        </w:rPr>
        <w:t xml:space="preserve"> for two 300 mL bottles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liquid, equivalent to a one month</w:t>
      </w:r>
      <w:r w:rsidR="00AD055D" w:rsidRPr="004422E3">
        <w:rPr>
          <w:rFonts w:asciiTheme="minorHAnsi" w:eastAsiaTheme="minorHAnsi" w:hAnsiTheme="minorHAnsi" w:cstheme="minorBidi"/>
          <w:snapToGrid/>
          <w:sz w:val="24"/>
          <w:szCs w:val="22"/>
        </w:rPr>
        <w:t xml:space="preserve"> (30 days)</w:t>
      </w:r>
      <w:r w:rsidRPr="004422E3">
        <w:rPr>
          <w:rFonts w:asciiTheme="minorHAnsi" w:eastAsiaTheme="minorHAnsi" w:hAnsiTheme="minorHAnsi" w:cstheme="minorBidi"/>
          <w:snapToGrid/>
          <w:sz w:val="24"/>
          <w:szCs w:val="22"/>
        </w:rPr>
        <w:t xml:space="preserve"> supply. </w:t>
      </w:r>
      <w:r w:rsidR="00A55FEE" w:rsidRPr="004422E3">
        <w:rPr>
          <w:rFonts w:asciiTheme="minorHAnsi" w:eastAsiaTheme="minorHAnsi" w:hAnsiTheme="minorHAnsi" w:cstheme="minorBidi"/>
          <w:snapToGrid/>
          <w:sz w:val="24"/>
          <w:szCs w:val="22"/>
        </w:rPr>
        <w:t xml:space="preserve"> </w:t>
      </w:r>
      <w:r w:rsidRPr="004422E3">
        <w:rPr>
          <w:rFonts w:asciiTheme="minorHAnsi" w:eastAsiaTheme="minorHAnsi" w:hAnsiTheme="minorHAnsi" w:cstheme="minorBidi"/>
          <w:snapToGrid/>
          <w:sz w:val="24"/>
          <w:szCs w:val="22"/>
        </w:rPr>
        <w:t>The annual cost was derived at a month</w:t>
      </w:r>
      <w:r w:rsidR="00AD055D" w:rsidRPr="004422E3">
        <w:rPr>
          <w:rFonts w:asciiTheme="minorHAnsi" w:eastAsiaTheme="minorHAnsi" w:hAnsiTheme="minorHAnsi" w:cstheme="minorBidi"/>
          <w:snapToGrid/>
          <w:sz w:val="24"/>
          <w:szCs w:val="22"/>
        </w:rPr>
        <w:t>ly</w:t>
      </w:r>
      <w:r w:rsidRPr="004422E3">
        <w:rPr>
          <w:rFonts w:asciiTheme="minorHAnsi" w:eastAsiaTheme="minorHAnsi" w:hAnsiTheme="minorHAnsi" w:cstheme="minorBidi"/>
          <w:snapToGrid/>
          <w:sz w:val="24"/>
          <w:szCs w:val="22"/>
        </w:rPr>
        <w:t xml:space="preserve"> cost of $</w:t>
      </w:r>
      <w:r w:rsidR="00F24C24">
        <w:rPr>
          <w:rFonts w:asciiTheme="minorHAnsi" w:eastAsiaTheme="minorHAnsi" w:hAnsiTheme="minorHAnsi" w:cstheme="minorBidi"/>
          <w:noProof/>
          <w:snapToGrid/>
          <w:color w:val="000000"/>
          <w:sz w:val="24"/>
          <w:szCs w:val="22"/>
          <w:highlight w:val="black"/>
        </w:rPr>
        <w:t>''''''''''''''</w:t>
      </w:r>
      <w:r w:rsidRPr="004422E3">
        <w:rPr>
          <w:rFonts w:asciiTheme="minorHAnsi" w:eastAsiaTheme="minorHAnsi" w:hAnsiTheme="minorHAnsi" w:cstheme="minorBidi"/>
          <w:snapToGrid/>
          <w:sz w:val="24"/>
          <w:szCs w:val="22"/>
        </w:rPr>
        <w:t xml:space="preserve"> x 12 [months] = $</w:t>
      </w:r>
      <w:r w:rsidR="00F24C24">
        <w:rPr>
          <w:rFonts w:asciiTheme="minorHAnsi" w:eastAsiaTheme="minorHAnsi" w:hAnsiTheme="minorHAnsi" w:cstheme="minorBidi"/>
          <w:noProof/>
          <w:snapToGrid/>
          <w:color w:val="000000"/>
          <w:sz w:val="24"/>
          <w:szCs w:val="22"/>
          <w:highlight w:val="black"/>
        </w:rPr>
        <w:t>'''''''''''''''</w:t>
      </w:r>
      <w:r w:rsidRPr="004422E3">
        <w:rPr>
          <w:rFonts w:asciiTheme="minorHAnsi" w:eastAsiaTheme="minorHAnsi" w:hAnsiTheme="minorHAnsi" w:cstheme="minorBidi"/>
          <w:snapToGrid/>
          <w:sz w:val="24"/>
          <w:szCs w:val="22"/>
        </w:rPr>
        <w:t>.</w:t>
      </w:r>
    </w:p>
    <w:p w:rsidR="005A3173" w:rsidRPr="004422E3" w:rsidRDefault="005A3173" w:rsidP="00FA2598">
      <w:pPr>
        <w:pStyle w:val="Heading2"/>
      </w:pPr>
      <w:r w:rsidRPr="004422E3">
        <w:t>Estimated PBS usage &amp; financial implications</w:t>
      </w:r>
    </w:p>
    <w:p w:rsidR="002B1AFA" w:rsidRPr="004422E3" w:rsidRDefault="002938ED" w:rsidP="00ED71D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minor submission requested an AEMP of $</w:t>
      </w:r>
      <w:r w:rsidR="00F24C24">
        <w:rPr>
          <w:rFonts w:asciiTheme="minorHAnsi" w:eastAsiaTheme="minorHAnsi" w:hAnsiTheme="minorHAnsi" w:cstheme="minorBidi"/>
          <w:noProof/>
          <w:snapToGrid/>
          <w:color w:val="000000"/>
          <w:sz w:val="24"/>
          <w:szCs w:val="22"/>
          <w:highlight w:val="black"/>
        </w:rPr>
        <w:t>''''''''''''</w:t>
      </w:r>
      <w:r w:rsidRPr="004422E3">
        <w:rPr>
          <w:rFonts w:asciiTheme="minorHAnsi" w:eastAsiaTheme="minorHAnsi" w:hAnsiTheme="minorHAnsi" w:cstheme="minorBidi"/>
          <w:snapToGrid/>
          <w:sz w:val="24"/>
          <w:szCs w:val="22"/>
        </w:rPr>
        <w:t xml:space="preserve"> for 2 bottles, equivalent to 3,000 mg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at a price of $</w:t>
      </w:r>
      <w:r w:rsidR="00F24C24">
        <w:rPr>
          <w:rFonts w:asciiTheme="minorHAnsi" w:eastAsiaTheme="minorHAnsi" w:hAnsiTheme="minorHAnsi" w:cstheme="minorBidi"/>
          <w:noProof/>
          <w:snapToGrid/>
          <w:color w:val="000000"/>
          <w:sz w:val="24"/>
          <w:szCs w:val="22"/>
          <w:highlight w:val="black"/>
        </w:rPr>
        <w:t>''''''''''''</w:t>
      </w:r>
      <w:r w:rsidRPr="004422E3">
        <w:rPr>
          <w:rFonts w:asciiTheme="minorHAnsi" w:eastAsiaTheme="minorHAnsi" w:hAnsiTheme="minorHAnsi" w:cstheme="minorBidi"/>
          <w:snapToGrid/>
          <w:sz w:val="24"/>
          <w:szCs w:val="22"/>
        </w:rPr>
        <w:t xml:space="preserve"> per mg</w:t>
      </w:r>
      <w:r w:rsidR="00576B4F" w:rsidRPr="004422E3">
        <w:rPr>
          <w:rFonts w:asciiTheme="minorHAnsi" w:eastAsiaTheme="minorHAnsi" w:hAnsiTheme="minorHAnsi" w:cstheme="minorBidi"/>
          <w:snapToGrid/>
          <w:sz w:val="24"/>
          <w:szCs w:val="22"/>
        </w:rPr>
        <w:t>. This</w:t>
      </w:r>
      <w:r w:rsidRPr="004422E3">
        <w:rPr>
          <w:rFonts w:asciiTheme="minorHAnsi" w:eastAsiaTheme="minorHAnsi" w:hAnsiTheme="minorHAnsi" w:cstheme="minorBidi"/>
          <w:snapToGrid/>
          <w:sz w:val="24"/>
          <w:szCs w:val="22"/>
        </w:rPr>
        <w:t xml:space="preserve"> is </w:t>
      </w:r>
      <w:r w:rsidR="00F24C24">
        <w:rPr>
          <w:rFonts w:asciiTheme="minorHAnsi" w:eastAsiaTheme="minorHAnsi" w:hAnsiTheme="minorHAnsi" w:cstheme="minorBidi"/>
          <w:noProof/>
          <w:snapToGrid/>
          <w:color w:val="000000"/>
          <w:sz w:val="24"/>
          <w:szCs w:val="22"/>
          <w:highlight w:val="black"/>
        </w:rPr>
        <w:t>'''''</w:t>
      </w:r>
      <w:r w:rsidRPr="004422E3">
        <w:rPr>
          <w:rFonts w:asciiTheme="minorHAnsi" w:eastAsiaTheme="minorHAnsi" w:hAnsiTheme="minorHAnsi" w:cstheme="minorBidi"/>
          <w:snapToGrid/>
          <w:sz w:val="24"/>
          <w:szCs w:val="22"/>
        </w:rPr>
        <w:t xml:space="preserve">% higher than the current </w:t>
      </w:r>
      <w:proofErr w:type="spellStart"/>
      <w:r w:rsidRPr="004422E3">
        <w:rPr>
          <w:rFonts w:asciiTheme="minorHAnsi" w:eastAsiaTheme="minorHAnsi" w:hAnsiTheme="minorHAnsi" w:cstheme="minorBidi"/>
          <w:snapToGrid/>
          <w:sz w:val="24"/>
          <w:szCs w:val="22"/>
        </w:rPr>
        <w:t>riluzole</w:t>
      </w:r>
      <w:proofErr w:type="spellEnd"/>
      <w:r w:rsidR="00AD055D" w:rsidRPr="004422E3">
        <w:rPr>
          <w:rFonts w:asciiTheme="minorHAnsi" w:eastAsiaTheme="minorHAnsi" w:hAnsiTheme="minorHAnsi" w:cstheme="minorBidi"/>
          <w:snapToGrid/>
          <w:sz w:val="24"/>
          <w:szCs w:val="22"/>
        </w:rPr>
        <w:t xml:space="preserve"> tablet</w:t>
      </w:r>
      <w:r w:rsidRPr="004422E3">
        <w:rPr>
          <w:rFonts w:asciiTheme="minorHAnsi" w:eastAsiaTheme="minorHAnsi" w:hAnsiTheme="minorHAnsi" w:cstheme="minorBidi"/>
          <w:snapToGrid/>
          <w:sz w:val="24"/>
          <w:szCs w:val="22"/>
        </w:rPr>
        <w:t xml:space="preserve"> price</w:t>
      </w:r>
      <w:r w:rsidR="00AD055D" w:rsidRPr="004422E3">
        <w:rPr>
          <w:rFonts w:asciiTheme="minorHAnsi" w:eastAsiaTheme="minorHAnsi" w:hAnsiTheme="minorHAnsi" w:cstheme="minorBidi"/>
          <w:snapToGrid/>
          <w:sz w:val="24"/>
          <w:szCs w:val="22"/>
        </w:rPr>
        <w:t xml:space="preserve"> on a per mg basis</w:t>
      </w:r>
      <w:r w:rsidRPr="004422E3">
        <w:rPr>
          <w:rFonts w:asciiTheme="minorHAnsi" w:eastAsiaTheme="minorHAnsi" w:hAnsiTheme="minorHAnsi" w:cstheme="minorBidi"/>
          <w:snapToGrid/>
          <w:sz w:val="24"/>
          <w:szCs w:val="22"/>
        </w:rPr>
        <w:t xml:space="preserve">. </w:t>
      </w:r>
      <w:r w:rsidR="000E0D7A" w:rsidRPr="004422E3">
        <w:rPr>
          <w:rFonts w:asciiTheme="minorHAnsi" w:eastAsiaTheme="minorHAnsi" w:hAnsiTheme="minorHAnsi" w:cstheme="minorBidi"/>
          <w:snapToGrid/>
          <w:sz w:val="24"/>
          <w:szCs w:val="22"/>
        </w:rPr>
        <w:t>Followin</w:t>
      </w:r>
      <w:r w:rsidR="002A1162" w:rsidRPr="004422E3">
        <w:rPr>
          <w:rFonts w:asciiTheme="minorHAnsi" w:eastAsiaTheme="minorHAnsi" w:hAnsiTheme="minorHAnsi" w:cstheme="minorBidi"/>
          <w:snapToGrid/>
          <w:sz w:val="24"/>
          <w:szCs w:val="22"/>
        </w:rPr>
        <w:t xml:space="preserve">g the listing of generic brands, </w:t>
      </w:r>
      <w:r w:rsidR="00DC42CB" w:rsidRPr="004422E3">
        <w:rPr>
          <w:rFonts w:asciiTheme="minorHAnsi" w:eastAsiaTheme="minorHAnsi" w:hAnsiTheme="minorHAnsi" w:cstheme="minorBidi"/>
          <w:snapToGrid/>
          <w:sz w:val="24"/>
          <w:szCs w:val="22"/>
        </w:rPr>
        <w:t xml:space="preserve">from </w:t>
      </w:r>
      <w:r w:rsidR="002A1162" w:rsidRPr="004422E3">
        <w:rPr>
          <w:rFonts w:asciiTheme="minorHAnsi" w:eastAsiaTheme="minorHAnsi" w:hAnsiTheme="minorHAnsi" w:cstheme="minorBidi"/>
          <w:snapToGrid/>
          <w:sz w:val="24"/>
          <w:szCs w:val="22"/>
        </w:rPr>
        <w:t>1 September </w:t>
      </w:r>
      <w:r w:rsidR="000E0D7A" w:rsidRPr="004422E3">
        <w:rPr>
          <w:rFonts w:asciiTheme="minorHAnsi" w:eastAsiaTheme="minorHAnsi" w:hAnsiTheme="minorHAnsi" w:cstheme="minorBidi"/>
          <w:snapToGrid/>
          <w:sz w:val="24"/>
          <w:szCs w:val="22"/>
        </w:rPr>
        <w:t xml:space="preserve">2018 the current DPMQ of </w:t>
      </w:r>
      <w:proofErr w:type="spellStart"/>
      <w:r w:rsidR="000E0D7A" w:rsidRPr="004422E3">
        <w:rPr>
          <w:rFonts w:asciiTheme="minorHAnsi" w:eastAsiaTheme="minorHAnsi" w:hAnsiTheme="minorHAnsi" w:cstheme="minorBidi"/>
          <w:snapToGrid/>
          <w:sz w:val="24"/>
          <w:szCs w:val="22"/>
        </w:rPr>
        <w:t>riluzole</w:t>
      </w:r>
      <w:proofErr w:type="spellEnd"/>
      <w:r w:rsidR="000E0D7A" w:rsidRPr="004422E3">
        <w:rPr>
          <w:rFonts w:asciiTheme="minorHAnsi" w:eastAsiaTheme="minorHAnsi" w:hAnsiTheme="minorHAnsi" w:cstheme="minorBidi"/>
          <w:snapToGrid/>
          <w:sz w:val="24"/>
          <w:szCs w:val="22"/>
        </w:rPr>
        <w:t xml:space="preserve"> is $203.32 (AEMP $178.40). The current </w:t>
      </w:r>
      <w:proofErr w:type="spellStart"/>
      <w:r w:rsidR="000E0D7A" w:rsidRPr="004422E3">
        <w:rPr>
          <w:rFonts w:asciiTheme="minorHAnsi" w:eastAsiaTheme="minorHAnsi" w:hAnsiTheme="minorHAnsi" w:cstheme="minorBidi"/>
          <w:snapToGrid/>
          <w:sz w:val="24"/>
          <w:szCs w:val="22"/>
        </w:rPr>
        <w:t>riluzole</w:t>
      </w:r>
      <w:proofErr w:type="spellEnd"/>
      <w:r w:rsidR="000E0D7A" w:rsidRPr="004422E3">
        <w:rPr>
          <w:rFonts w:asciiTheme="minorHAnsi" w:eastAsiaTheme="minorHAnsi" w:hAnsiTheme="minorHAnsi" w:cstheme="minorBidi"/>
          <w:snapToGrid/>
          <w:sz w:val="24"/>
          <w:szCs w:val="22"/>
        </w:rPr>
        <w:t xml:space="preserve"> </w:t>
      </w:r>
      <w:r w:rsidRPr="004422E3">
        <w:rPr>
          <w:rFonts w:asciiTheme="minorHAnsi" w:eastAsiaTheme="minorHAnsi" w:hAnsiTheme="minorHAnsi" w:cstheme="minorBidi"/>
          <w:snapToGrid/>
          <w:sz w:val="24"/>
          <w:szCs w:val="22"/>
        </w:rPr>
        <w:t xml:space="preserve">tablet </w:t>
      </w:r>
      <w:r w:rsidR="003F07FB" w:rsidRPr="004422E3">
        <w:rPr>
          <w:rFonts w:asciiTheme="minorHAnsi" w:eastAsiaTheme="minorHAnsi" w:hAnsiTheme="minorHAnsi" w:cstheme="minorBidi"/>
          <w:snapToGrid/>
          <w:sz w:val="24"/>
          <w:szCs w:val="22"/>
        </w:rPr>
        <w:t>price is $0.0637 per mg.</w:t>
      </w:r>
      <w:r w:rsidR="00AD055D" w:rsidRPr="004422E3">
        <w:rPr>
          <w:rFonts w:asciiTheme="minorHAnsi" w:eastAsiaTheme="minorHAnsi" w:hAnsiTheme="minorHAnsi" w:cstheme="minorBidi"/>
          <w:snapToGrid/>
          <w:sz w:val="24"/>
          <w:szCs w:val="22"/>
        </w:rPr>
        <w:t xml:space="preserve"> </w:t>
      </w:r>
    </w:p>
    <w:p w:rsidR="002938ED" w:rsidRPr="004422E3" w:rsidRDefault="00591EFE" w:rsidP="003F07F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sponsor claimed</w:t>
      </w:r>
      <w:r w:rsidR="00AD055D" w:rsidRPr="004422E3">
        <w:rPr>
          <w:rFonts w:asciiTheme="minorHAnsi" w:eastAsiaTheme="minorHAnsi" w:hAnsiTheme="minorHAnsi" w:cstheme="minorBidi"/>
          <w:snapToGrid/>
          <w:sz w:val="24"/>
          <w:szCs w:val="22"/>
        </w:rPr>
        <w:t xml:space="preserve"> a</w:t>
      </w:r>
      <w:r w:rsidRPr="004422E3">
        <w:rPr>
          <w:rFonts w:asciiTheme="minorHAnsi" w:eastAsiaTheme="minorHAnsi" w:hAnsiTheme="minorHAnsi" w:cstheme="minorBidi"/>
          <w:snapToGrid/>
          <w:sz w:val="24"/>
          <w:szCs w:val="22"/>
        </w:rPr>
        <w:t xml:space="preserve"> higher price for the liquid formulation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was necessary due to a higher manufacturing cost and significant development cost of a stable </w:t>
      </w:r>
      <w:r w:rsidR="00661EC9" w:rsidRPr="004422E3">
        <w:rPr>
          <w:rFonts w:asciiTheme="minorHAnsi" w:eastAsiaTheme="minorHAnsi" w:hAnsiTheme="minorHAnsi" w:cstheme="minorBidi"/>
          <w:snapToGrid/>
          <w:sz w:val="24"/>
          <w:szCs w:val="22"/>
        </w:rPr>
        <w:t>oral suspension with a viscosity suitable for dysphasic patients</w:t>
      </w:r>
      <w:r w:rsidR="00AD055D" w:rsidRPr="004422E3">
        <w:rPr>
          <w:rFonts w:asciiTheme="minorHAnsi" w:eastAsiaTheme="minorHAnsi" w:hAnsiTheme="minorHAnsi" w:cstheme="minorBidi"/>
          <w:snapToGrid/>
          <w:sz w:val="24"/>
          <w:szCs w:val="22"/>
        </w:rPr>
        <w:t xml:space="preserve"> and argued the liquid formulation of </w:t>
      </w:r>
      <w:proofErr w:type="spellStart"/>
      <w:r w:rsidR="00AD055D" w:rsidRPr="004422E3">
        <w:rPr>
          <w:rFonts w:asciiTheme="minorHAnsi" w:eastAsiaTheme="minorHAnsi" w:hAnsiTheme="minorHAnsi" w:cstheme="minorBidi"/>
          <w:snapToGrid/>
          <w:sz w:val="24"/>
          <w:szCs w:val="22"/>
        </w:rPr>
        <w:t>riluzole</w:t>
      </w:r>
      <w:proofErr w:type="spellEnd"/>
      <w:r w:rsidR="00AD055D" w:rsidRPr="004422E3">
        <w:rPr>
          <w:rFonts w:asciiTheme="minorHAnsi" w:eastAsiaTheme="minorHAnsi" w:hAnsiTheme="minorHAnsi" w:cstheme="minorBidi"/>
          <w:snapToGrid/>
          <w:sz w:val="24"/>
          <w:szCs w:val="22"/>
        </w:rPr>
        <w:t xml:space="preserve"> has advantages for a substantial proportion of the ALS population</w:t>
      </w:r>
      <w:r w:rsidR="00661EC9" w:rsidRPr="004422E3">
        <w:rPr>
          <w:rFonts w:asciiTheme="minorHAnsi" w:eastAsiaTheme="minorHAnsi" w:hAnsiTheme="minorHAnsi" w:cstheme="minorBidi"/>
          <w:snapToGrid/>
          <w:sz w:val="24"/>
          <w:szCs w:val="22"/>
        </w:rPr>
        <w:t xml:space="preserve">. </w:t>
      </w:r>
    </w:p>
    <w:p w:rsidR="002938ED" w:rsidRPr="004422E3" w:rsidRDefault="00661EC9" w:rsidP="002938E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Recommending an alternative dose form with a modest premium where some patients may benefit</w:t>
      </w:r>
      <w:r w:rsidR="002938ED" w:rsidRPr="004422E3">
        <w:rPr>
          <w:rFonts w:asciiTheme="minorHAnsi" w:eastAsiaTheme="minorHAnsi" w:hAnsiTheme="minorHAnsi" w:cstheme="minorBidi"/>
          <w:snapToGrid/>
          <w:sz w:val="24"/>
          <w:szCs w:val="22"/>
        </w:rPr>
        <w:t xml:space="preserve"> from that</w:t>
      </w:r>
      <w:r w:rsidRPr="004422E3">
        <w:rPr>
          <w:rFonts w:asciiTheme="minorHAnsi" w:eastAsiaTheme="minorHAnsi" w:hAnsiTheme="minorHAnsi" w:cstheme="minorBidi"/>
          <w:snapToGrid/>
          <w:sz w:val="24"/>
          <w:szCs w:val="22"/>
        </w:rPr>
        <w:t xml:space="preserve"> form is not without precedent. At its March 2015 meeting, the PBAC recommended propranolol oral liquid (</w:t>
      </w:r>
      <w:proofErr w:type="spellStart"/>
      <w:r w:rsidRPr="004422E3">
        <w:rPr>
          <w:rFonts w:asciiTheme="minorHAnsi" w:eastAsiaTheme="minorHAnsi" w:hAnsiTheme="minorHAnsi" w:cstheme="minorBidi"/>
          <w:snapToGrid/>
          <w:sz w:val="24"/>
          <w:szCs w:val="22"/>
        </w:rPr>
        <w:t>Hemangiol</w:t>
      </w:r>
      <w:proofErr w:type="spellEnd"/>
      <w:r w:rsidRPr="004422E3">
        <w:rPr>
          <w:rFonts w:asciiTheme="minorHAnsi" w:eastAsiaTheme="minorHAnsi" w:hAnsiTheme="minorHAnsi" w:cstheme="minorBidi"/>
          <w:snapToGrid/>
          <w:sz w:val="24"/>
          <w:szCs w:val="22"/>
        </w:rPr>
        <w:t>) at a modest price premium over hospital-supplied propranolol liquid (</w:t>
      </w:r>
      <w:proofErr w:type="spellStart"/>
      <w:r w:rsidRPr="004422E3">
        <w:rPr>
          <w:rFonts w:asciiTheme="minorHAnsi" w:eastAsiaTheme="minorHAnsi" w:hAnsiTheme="minorHAnsi" w:cstheme="minorBidi"/>
          <w:snapToGrid/>
          <w:sz w:val="24"/>
          <w:szCs w:val="22"/>
        </w:rPr>
        <w:t>Auspman</w:t>
      </w:r>
      <w:proofErr w:type="spellEnd"/>
      <w:r w:rsidRPr="004422E3">
        <w:rPr>
          <w:rFonts w:asciiTheme="minorHAnsi" w:eastAsiaTheme="minorHAnsi" w:hAnsiTheme="minorHAnsi" w:cstheme="minorBidi"/>
          <w:snapToGrid/>
          <w:sz w:val="24"/>
          <w:szCs w:val="22"/>
        </w:rPr>
        <w:t xml:space="preserve"> propranolol solution)</w:t>
      </w:r>
      <w:r w:rsidR="002B1AFA" w:rsidRPr="004422E3">
        <w:rPr>
          <w:rFonts w:asciiTheme="minorHAnsi" w:eastAsiaTheme="minorHAnsi" w:hAnsiTheme="minorHAnsi" w:cstheme="minorBidi"/>
          <w:snapToGrid/>
          <w:sz w:val="24"/>
          <w:szCs w:val="22"/>
        </w:rPr>
        <w:t xml:space="preserve"> </w:t>
      </w:r>
      <w:r w:rsidR="002938ED" w:rsidRPr="004422E3">
        <w:rPr>
          <w:rFonts w:asciiTheme="minorHAnsi" w:eastAsiaTheme="minorHAnsi" w:hAnsiTheme="minorHAnsi" w:cstheme="minorBidi"/>
          <w:snapToGrid/>
          <w:sz w:val="24"/>
          <w:szCs w:val="22"/>
        </w:rPr>
        <w:t>in acknowledgement</w:t>
      </w:r>
      <w:r w:rsidR="002B1AFA" w:rsidRPr="004422E3">
        <w:rPr>
          <w:rFonts w:asciiTheme="minorHAnsi" w:eastAsiaTheme="minorHAnsi" w:hAnsiTheme="minorHAnsi" w:cstheme="minorBidi"/>
          <w:snapToGrid/>
          <w:sz w:val="24"/>
          <w:szCs w:val="22"/>
        </w:rPr>
        <w:t xml:space="preserve"> that </w:t>
      </w:r>
      <w:proofErr w:type="spellStart"/>
      <w:r w:rsidR="002B1AFA" w:rsidRPr="004422E3">
        <w:rPr>
          <w:rFonts w:asciiTheme="minorHAnsi" w:eastAsiaTheme="minorHAnsi" w:hAnsiTheme="minorHAnsi" w:cstheme="minorBidi"/>
          <w:snapToGrid/>
          <w:sz w:val="24"/>
          <w:szCs w:val="22"/>
        </w:rPr>
        <w:t>Hemangiol</w:t>
      </w:r>
      <w:proofErr w:type="spellEnd"/>
      <w:r w:rsidR="002B1AFA" w:rsidRPr="004422E3">
        <w:rPr>
          <w:rFonts w:asciiTheme="minorHAnsi" w:eastAsiaTheme="minorHAnsi" w:hAnsiTheme="minorHAnsi" w:cstheme="minorBidi"/>
          <w:snapToGrid/>
          <w:sz w:val="24"/>
          <w:szCs w:val="22"/>
        </w:rPr>
        <w:t xml:space="preserve"> is a commercially available product which is likely to have benefits for patients in terms of access. H</w:t>
      </w:r>
      <w:r w:rsidRPr="004422E3">
        <w:rPr>
          <w:rFonts w:asciiTheme="minorHAnsi" w:eastAsiaTheme="minorHAnsi" w:hAnsiTheme="minorHAnsi" w:cstheme="minorBidi"/>
          <w:snapToGrid/>
          <w:sz w:val="24"/>
          <w:szCs w:val="22"/>
        </w:rPr>
        <w:t>owever</w:t>
      </w:r>
      <w:r w:rsidR="002B1AFA" w:rsidRPr="004422E3">
        <w:rPr>
          <w:rFonts w:asciiTheme="minorHAnsi" w:eastAsiaTheme="minorHAnsi" w:hAnsiTheme="minorHAnsi" w:cstheme="minorBidi"/>
          <w:snapToGrid/>
          <w:sz w:val="24"/>
          <w:szCs w:val="22"/>
        </w:rPr>
        <w:t>, the PBAC</w:t>
      </w:r>
      <w:r w:rsidRPr="004422E3">
        <w:rPr>
          <w:rFonts w:asciiTheme="minorHAnsi" w:eastAsiaTheme="minorHAnsi" w:hAnsiTheme="minorHAnsi" w:cstheme="minorBidi"/>
          <w:snapToGrid/>
          <w:sz w:val="24"/>
          <w:szCs w:val="22"/>
        </w:rPr>
        <w:t xml:space="preserve"> rejected two subsequent </w:t>
      </w:r>
      <w:r w:rsidR="00AA2244" w:rsidRPr="004422E3">
        <w:rPr>
          <w:rFonts w:asciiTheme="minorHAnsi" w:eastAsiaTheme="minorHAnsi" w:hAnsiTheme="minorHAnsi" w:cstheme="minorBidi"/>
          <w:snapToGrid/>
          <w:sz w:val="24"/>
          <w:szCs w:val="22"/>
        </w:rPr>
        <w:t>re-</w:t>
      </w:r>
      <w:r w:rsidRPr="004422E3">
        <w:rPr>
          <w:rFonts w:asciiTheme="minorHAnsi" w:eastAsiaTheme="minorHAnsi" w:hAnsiTheme="minorHAnsi" w:cstheme="minorBidi"/>
          <w:snapToGrid/>
          <w:sz w:val="24"/>
          <w:szCs w:val="22"/>
        </w:rPr>
        <w:t>submissions requesting a higher price based on the cost of extemporaneously compounded propranolol liquid.</w:t>
      </w:r>
      <w:r w:rsidR="002938ED" w:rsidRPr="004422E3">
        <w:rPr>
          <w:rFonts w:asciiTheme="minorHAnsi" w:eastAsiaTheme="minorHAnsi" w:hAnsiTheme="minorHAnsi" w:cstheme="minorBidi"/>
          <w:snapToGrid/>
          <w:sz w:val="24"/>
          <w:szCs w:val="22"/>
        </w:rPr>
        <w:t xml:space="preserve"> </w:t>
      </w:r>
    </w:p>
    <w:p w:rsidR="0045792C" w:rsidRPr="004422E3" w:rsidRDefault="002938ED" w:rsidP="002938E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submission</w:t>
      </w:r>
      <w:r w:rsidR="00AD053A" w:rsidRPr="004422E3">
        <w:rPr>
          <w:rFonts w:asciiTheme="minorHAnsi" w:eastAsiaTheme="minorHAnsi" w:hAnsiTheme="minorHAnsi" w:cstheme="minorBidi"/>
          <w:snapToGrid/>
          <w:sz w:val="24"/>
          <w:szCs w:val="22"/>
        </w:rPr>
        <w:t xml:space="preserve"> used</w:t>
      </w:r>
      <w:r w:rsidR="00141CD9" w:rsidRPr="004422E3">
        <w:rPr>
          <w:rFonts w:asciiTheme="minorHAnsi" w:eastAsiaTheme="minorHAnsi" w:hAnsiTheme="minorHAnsi" w:cstheme="minorBidi"/>
          <w:snapToGrid/>
          <w:sz w:val="24"/>
          <w:szCs w:val="22"/>
        </w:rPr>
        <w:t xml:space="preserve"> historical </w:t>
      </w:r>
      <w:proofErr w:type="spellStart"/>
      <w:r w:rsidR="00141CD9" w:rsidRPr="004422E3">
        <w:rPr>
          <w:rFonts w:asciiTheme="minorHAnsi" w:eastAsiaTheme="minorHAnsi" w:hAnsiTheme="minorHAnsi" w:cstheme="minorBidi"/>
          <w:snapToGrid/>
          <w:sz w:val="24"/>
          <w:szCs w:val="22"/>
        </w:rPr>
        <w:t>riluzole</w:t>
      </w:r>
      <w:proofErr w:type="spellEnd"/>
      <w:r w:rsidR="00141CD9" w:rsidRPr="004422E3">
        <w:rPr>
          <w:rFonts w:asciiTheme="minorHAnsi" w:eastAsiaTheme="minorHAnsi" w:hAnsiTheme="minorHAnsi" w:cstheme="minorBidi"/>
          <w:snapToGrid/>
          <w:sz w:val="24"/>
          <w:szCs w:val="22"/>
        </w:rPr>
        <w:t xml:space="preserve"> prescription data from</w:t>
      </w:r>
      <w:r w:rsidR="00AD053A" w:rsidRPr="004422E3">
        <w:rPr>
          <w:rFonts w:asciiTheme="minorHAnsi" w:eastAsiaTheme="minorHAnsi" w:hAnsiTheme="minorHAnsi" w:cstheme="minorBidi"/>
          <w:snapToGrid/>
          <w:sz w:val="24"/>
          <w:szCs w:val="22"/>
        </w:rPr>
        <w:t xml:space="preserve"> the publicly available Department of Human Services </w:t>
      </w:r>
      <w:r w:rsidR="00AD055D" w:rsidRPr="004422E3">
        <w:rPr>
          <w:rFonts w:asciiTheme="minorHAnsi" w:eastAsiaTheme="minorHAnsi" w:hAnsiTheme="minorHAnsi" w:cstheme="minorBidi"/>
          <w:snapToGrid/>
          <w:sz w:val="24"/>
          <w:szCs w:val="22"/>
        </w:rPr>
        <w:t>(DHS) PBS </w:t>
      </w:r>
      <w:r w:rsidR="00AD053A" w:rsidRPr="004422E3">
        <w:rPr>
          <w:rFonts w:asciiTheme="minorHAnsi" w:eastAsiaTheme="minorHAnsi" w:hAnsiTheme="minorHAnsi" w:cstheme="minorBidi"/>
          <w:snapToGrid/>
          <w:sz w:val="24"/>
          <w:szCs w:val="22"/>
        </w:rPr>
        <w:t>Statistics</w:t>
      </w:r>
      <w:r w:rsidR="00AD055D" w:rsidRPr="004422E3">
        <w:rPr>
          <w:rFonts w:asciiTheme="minorHAnsi" w:eastAsiaTheme="minorHAnsi" w:hAnsiTheme="minorHAnsi" w:cstheme="minorBidi"/>
          <w:snapToGrid/>
          <w:sz w:val="24"/>
          <w:szCs w:val="22"/>
        </w:rPr>
        <w:t xml:space="preserve"> resource</w:t>
      </w:r>
      <w:r w:rsidR="00AD053A" w:rsidRPr="004422E3">
        <w:rPr>
          <w:rFonts w:asciiTheme="minorHAnsi" w:eastAsiaTheme="minorHAnsi" w:hAnsiTheme="minorHAnsi" w:cstheme="minorBidi"/>
          <w:snapToGrid/>
          <w:sz w:val="24"/>
          <w:szCs w:val="22"/>
        </w:rPr>
        <w:t xml:space="preserve"> </w:t>
      </w:r>
      <w:r w:rsidR="0045792C" w:rsidRPr="004422E3">
        <w:rPr>
          <w:rFonts w:asciiTheme="minorHAnsi" w:eastAsiaTheme="minorHAnsi" w:hAnsiTheme="minorHAnsi" w:cstheme="minorBidi"/>
          <w:snapToGrid/>
          <w:sz w:val="24"/>
          <w:szCs w:val="22"/>
        </w:rPr>
        <w:t xml:space="preserve">to determine the size of </w:t>
      </w:r>
      <w:r w:rsidR="0045792C" w:rsidRPr="004422E3">
        <w:rPr>
          <w:rFonts w:asciiTheme="minorHAnsi" w:eastAsiaTheme="minorHAnsi" w:hAnsiTheme="minorHAnsi" w:cstheme="minorBidi"/>
          <w:snapToGrid/>
          <w:sz w:val="24"/>
          <w:szCs w:val="22"/>
        </w:rPr>
        <w:lastRenderedPageBreak/>
        <w:t xml:space="preserve">the </w:t>
      </w:r>
      <w:proofErr w:type="spellStart"/>
      <w:r w:rsidR="0045792C" w:rsidRPr="004422E3">
        <w:rPr>
          <w:rFonts w:asciiTheme="minorHAnsi" w:eastAsiaTheme="minorHAnsi" w:hAnsiTheme="minorHAnsi" w:cstheme="minorBidi"/>
          <w:snapToGrid/>
          <w:sz w:val="24"/>
          <w:szCs w:val="22"/>
        </w:rPr>
        <w:t>riluzole</w:t>
      </w:r>
      <w:proofErr w:type="spellEnd"/>
      <w:r w:rsidR="0045792C" w:rsidRPr="004422E3">
        <w:rPr>
          <w:rFonts w:asciiTheme="minorHAnsi" w:eastAsiaTheme="minorHAnsi" w:hAnsiTheme="minorHAnsi" w:cstheme="minorBidi"/>
          <w:snapToGrid/>
          <w:sz w:val="24"/>
          <w:szCs w:val="22"/>
        </w:rPr>
        <w:t xml:space="preserve"> market annually from July 2013 to June 2018. Using this data, the submission</w:t>
      </w:r>
      <w:r w:rsidRPr="004422E3">
        <w:rPr>
          <w:rFonts w:asciiTheme="minorHAnsi" w:eastAsiaTheme="minorHAnsi" w:hAnsiTheme="minorHAnsi" w:cstheme="minorBidi"/>
          <w:snapToGrid/>
          <w:sz w:val="24"/>
          <w:szCs w:val="22"/>
        </w:rPr>
        <w:t xml:space="preserve"> </w:t>
      </w:r>
      <w:r w:rsidR="0045792C" w:rsidRPr="004422E3">
        <w:rPr>
          <w:rFonts w:asciiTheme="minorHAnsi" w:eastAsiaTheme="minorHAnsi" w:hAnsiTheme="minorHAnsi" w:cstheme="minorBidi"/>
          <w:snapToGrid/>
          <w:sz w:val="24"/>
          <w:szCs w:val="22"/>
        </w:rPr>
        <w:t xml:space="preserve">derived an average annual market growth of </w:t>
      </w:r>
      <w:r w:rsidR="00AD053A" w:rsidRPr="004422E3">
        <w:rPr>
          <w:rFonts w:asciiTheme="minorHAnsi" w:eastAsiaTheme="minorHAnsi" w:hAnsiTheme="minorHAnsi" w:cstheme="minorBidi"/>
          <w:snapToGrid/>
          <w:sz w:val="24"/>
          <w:szCs w:val="22"/>
        </w:rPr>
        <w:t>1.68</w:t>
      </w:r>
      <w:r w:rsidR="0045792C" w:rsidRPr="004422E3">
        <w:rPr>
          <w:rFonts w:asciiTheme="minorHAnsi" w:eastAsiaTheme="minorHAnsi" w:hAnsiTheme="minorHAnsi" w:cstheme="minorBidi"/>
          <w:snapToGrid/>
          <w:sz w:val="24"/>
          <w:szCs w:val="22"/>
        </w:rPr>
        <w:t xml:space="preserve">%. </w:t>
      </w:r>
    </w:p>
    <w:p w:rsidR="009D0CDF" w:rsidRPr="004422E3" w:rsidRDefault="009D0CDF" w:rsidP="009D0CD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PBS/RPBS expenditure on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has been in decline over the last five years. From July 2013 – June 2014, PBS expenditure was $</w:t>
      </w:r>
      <w:r w:rsidR="00F24C24">
        <w:rPr>
          <w:rFonts w:asciiTheme="minorHAnsi" w:eastAsiaTheme="minorHAnsi" w:hAnsiTheme="minorHAnsi" w:cstheme="minorBidi"/>
          <w:noProof/>
          <w:snapToGrid/>
          <w:color w:val="000000"/>
          <w:sz w:val="24"/>
          <w:szCs w:val="22"/>
          <w:highlight w:val="black"/>
        </w:rPr>
        <w:t>''''''''''''''''''</w:t>
      </w:r>
      <w:r w:rsidRPr="004422E3">
        <w:rPr>
          <w:rFonts w:asciiTheme="minorHAnsi" w:eastAsiaTheme="minorHAnsi" w:hAnsiTheme="minorHAnsi" w:cstheme="minorBidi"/>
          <w:snapToGrid/>
          <w:sz w:val="24"/>
          <w:szCs w:val="22"/>
        </w:rPr>
        <w:t xml:space="preserve"> and from July 2015 – June 2016 </w:t>
      </w:r>
      <w:r w:rsidR="00345958" w:rsidRPr="004422E3">
        <w:rPr>
          <w:rFonts w:asciiTheme="minorHAnsi" w:eastAsiaTheme="minorHAnsi" w:hAnsiTheme="minorHAnsi" w:cstheme="minorBidi"/>
          <w:snapToGrid/>
          <w:sz w:val="24"/>
          <w:szCs w:val="22"/>
        </w:rPr>
        <w:t xml:space="preserve">it </w:t>
      </w:r>
      <w:r w:rsidRPr="004422E3">
        <w:rPr>
          <w:rFonts w:asciiTheme="minorHAnsi" w:eastAsiaTheme="minorHAnsi" w:hAnsiTheme="minorHAnsi" w:cstheme="minorBidi"/>
          <w:snapToGrid/>
          <w:sz w:val="24"/>
          <w:szCs w:val="22"/>
        </w:rPr>
        <w:t>declined to $</w:t>
      </w:r>
      <w:r w:rsidR="00F24C24">
        <w:rPr>
          <w:rFonts w:asciiTheme="minorHAnsi" w:eastAsiaTheme="minorHAnsi" w:hAnsiTheme="minorHAnsi" w:cstheme="minorBidi"/>
          <w:noProof/>
          <w:snapToGrid/>
          <w:color w:val="000000"/>
          <w:sz w:val="24"/>
          <w:szCs w:val="22"/>
          <w:highlight w:val="black"/>
        </w:rPr>
        <w:t>''''''''''''''''''''</w:t>
      </w:r>
      <w:r w:rsidRPr="004422E3">
        <w:rPr>
          <w:rFonts w:asciiTheme="minorHAnsi" w:eastAsiaTheme="minorHAnsi" w:hAnsiTheme="minorHAnsi" w:cstheme="minorBidi"/>
          <w:snapToGrid/>
          <w:sz w:val="24"/>
          <w:szCs w:val="22"/>
        </w:rPr>
        <w:t>, and further declined to $</w:t>
      </w:r>
      <w:r w:rsidR="00F24C24">
        <w:rPr>
          <w:rFonts w:asciiTheme="minorHAnsi" w:eastAsiaTheme="minorHAnsi" w:hAnsiTheme="minorHAnsi" w:cstheme="minorBidi"/>
          <w:noProof/>
          <w:snapToGrid/>
          <w:color w:val="000000"/>
          <w:sz w:val="24"/>
          <w:szCs w:val="22"/>
          <w:highlight w:val="black"/>
        </w:rPr>
        <w:t>''''''''''''''''''</w:t>
      </w:r>
      <w:r w:rsidRPr="004422E3">
        <w:rPr>
          <w:rFonts w:asciiTheme="minorHAnsi" w:eastAsiaTheme="minorHAnsi" w:hAnsiTheme="minorHAnsi" w:cstheme="minorBidi"/>
          <w:snapToGrid/>
          <w:sz w:val="24"/>
          <w:szCs w:val="22"/>
        </w:rPr>
        <w:t xml:space="preserve"> in the period July 2017 – June 2018. As the market for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has been</w:t>
      </w:r>
      <w:r w:rsidR="007060BA" w:rsidRPr="004422E3">
        <w:rPr>
          <w:rFonts w:asciiTheme="minorHAnsi" w:eastAsiaTheme="minorHAnsi" w:hAnsiTheme="minorHAnsi" w:cstheme="minorBidi"/>
          <w:snapToGrid/>
          <w:sz w:val="24"/>
          <w:szCs w:val="22"/>
        </w:rPr>
        <w:t xml:space="preserve"> modestly</w:t>
      </w:r>
      <w:r w:rsidRPr="004422E3">
        <w:rPr>
          <w:rFonts w:asciiTheme="minorHAnsi" w:eastAsiaTheme="minorHAnsi" w:hAnsiTheme="minorHAnsi" w:cstheme="minorBidi"/>
          <w:snapToGrid/>
          <w:sz w:val="24"/>
          <w:szCs w:val="22"/>
        </w:rPr>
        <w:t xml:space="preserve"> increasing, the decrease in expenditure has been driven by the listing of generic brands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tablets and subsequent application of price disclosure. For consistency with the</w:t>
      </w:r>
      <w:r w:rsidR="007060BA" w:rsidRPr="004422E3">
        <w:rPr>
          <w:rFonts w:asciiTheme="minorHAnsi" w:eastAsiaTheme="minorHAnsi" w:hAnsiTheme="minorHAnsi" w:cstheme="minorBidi"/>
          <w:snapToGrid/>
          <w:sz w:val="24"/>
          <w:szCs w:val="22"/>
        </w:rPr>
        <w:t xml:space="preserve"> utilisation</w:t>
      </w:r>
      <w:r w:rsidRPr="004422E3">
        <w:rPr>
          <w:rFonts w:asciiTheme="minorHAnsi" w:eastAsiaTheme="minorHAnsi" w:hAnsiTheme="minorHAnsi" w:cstheme="minorBidi"/>
          <w:snapToGrid/>
          <w:sz w:val="24"/>
          <w:szCs w:val="22"/>
        </w:rPr>
        <w:t xml:space="preserve"> estimates, the </w:t>
      </w:r>
      <w:r w:rsidR="007060BA" w:rsidRPr="004422E3">
        <w:rPr>
          <w:rFonts w:asciiTheme="minorHAnsi" w:eastAsiaTheme="minorHAnsi" w:hAnsiTheme="minorHAnsi" w:cstheme="minorBidi"/>
          <w:snapToGrid/>
          <w:sz w:val="24"/>
          <w:szCs w:val="22"/>
        </w:rPr>
        <w:t>DHS</w:t>
      </w:r>
      <w:r w:rsidRPr="004422E3">
        <w:rPr>
          <w:rFonts w:asciiTheme="minorHAnsi" w:eastAsiaTheme="minorHAnsi" w:hAnsiTheme="minorHAnsi" w:cstheme="minorBidi"/>
          <w:snapToGrid/>
          <w:sz w:val="24"/>
          <w:szCs w:val="22"/>
        </w:rPr>
        <w:t xml:space="preserve"> PBS Statistics resource was used to obtain PBS expenditure figures.</w:t>
      </w:r>
    </w:p>
    <w:p w:rsidR="002938ED" w:rsidRPr="004422E3" w:rsidRDefault="0045792C" w:rsidP="002938E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From the baseline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prescriptions processed from July 2017 to June 2018, the submission estimated</w:t>
      </w:r>
      <w:r w:rsidR="007060BA" w:rsidRPr="004422E3">
        <w:rPr>
          <w:rFonts w:asciiTheme="minorHAnsi" w:eastAsiaTheme="minorHAnsi" w:hAnsiTheme="minorHAnsi" w:cstheme="minorBidi"/>
          <w:snapToGrid/>
          <w:sz w:val="24"/>
          <w:szCs w:val="22"/>
        </w:rPr>
        <w:t xml:space="preserve"> a market share rising from 1</w:t>
      </w:r>
      <w:r w:rsidR="00AD053A" w:rsidRPr="004422E3">
        <w:rPr>
          <w:rFonts w:asciiTheme="minorHAnsi" w:eastAsiaTheme="minorHAnsi" w:hAnsiTheme="minorHAnsi" w:cstheme="minorBidi"/>
          <w:snapToGrid/>
          <w:sz w:val="24"/>
          <w:szCs w:val="22"/>
        </w:rPr>
        <w:t>% in year 1 to 40% in years 5 and 6.</w:t>
      </w:r>
      <w:r w:rsidRPr="004422E3">
        <w:rPr>
          <w:rFonts w:asciiTheme="minorHAnsi" w:eastAsiaTheme="minorHAnsi" w:hAnsiTheme="minorHAnsi" w:cstheme="minorBidi"/>
          <w:snapToGrid/>
          <w:sz w:val="24"/>
          <w:szCs w:val="22"/>
        </w:rPr>
        <w:t xml:space="preserve"> The submission</w:t>
      </w:r>
      <w:r w:rsidR="00AD053A" w:rsidRPr="004422E3">
        <w:rPr>
          <w:rFonts w:asciiTheme="minorHAnsi" w:eastAsiaTheme="minorHAnsi" w:hAnsiTheme="minorHAnsi" w:cstheme="minorBidi"/>
          <w:snapToGrid/>
          <w:sz w:val="24"/>
          <w:szCs w:val="22"/>
        </w:rPr>
        <w:t xml:space="preserve"> </w:t>
      </w:r>
      <w:r w:rsidRPr="004422E3">
        <w:rPr>
          <w:rFonts w:asciiTheme="minorHAnsi" w:eastAsiaTheme="minorHAnsi" w:hAnsiTheme="minorHAnsi" w:cstheme="minorBidi"/>
          <w:snapToGrid/>
          <w:sz w:val="24"/>
          <w:szCs w:val="22"/>
        </w:rPr>
        <w:t>e</w:t>
      </w:r>
      <w:r w:rsidR="002938ED" w:rsidRPr="004422E3">
        <w:rPr>
          <w:rFonts w:asciiTheme="minorHAnsi" w:eastAsiaTheme="minorHAnsi" w:hAnsiTheme="minorHAnsi" w:cstheme="minorBidi"/>
          <w:snapToGrid/>
          <w:sz w:val="24"/>
          <w:szCs w:val="22"/>
        </w:rPr>
        <w:t>stimates of utilisation and expenditure are presented in the table below.</w:t>
      </w:r>
      <w:r w:rsidRPr="004422E3">
        <w:rPr>
          <w:rFonts w:asciiTheme="minorHAnsi" w:eastAsiaTheme="minorHAnsi" w:hAnsiTheme="minorHAnsi" w:cstheme="minorBidi"/>
          <w:snapToGrid/>
          <w:sz w:val="24"/>
          <w:szCs w:val="22"/>
        </w:rPr>
        <w:t xml:space="preserve"> </w:t>
      </w:r>
    </w:p>
    <w:p w:rsidR="00247BD6" w:rsidRPr="004422E3" w:rsidRDefault="00247BD6" w:rsidP="00247BD6">
      <w:pPr>
        <w:pStyle w:val="Caption"/>
      </w:pPr>
      <w:r w:rsidRPr="004422E3">
        <w:t xml:space="preserve">Table </w:t>
      </w:r>
      <w:r w:rsidR="00FE5471" w:rsidRPr="000A3C7B">
        <w:t>3</w:t>
      </w:r>
      <w:r w:rsidRPr="004422E3">
        <w:t>: Estimated PBS usage and financial implications</w:t>
      </w:r>
    </w:p>
    <w:tbl>
      <w:tblPr>
        <w:tblStyle w:val="Submissionstandard2"/>
        <w:tblW w:w="4908" w:type="pct"/>
        <w:tblInd w:w="108" w:type="dxa"/>
        <w:tblLayout w:type="fixed"/>
        <w:tblLook w:val="04A0" w:firstRow="1" w:lastRow="0" w:firstColumn="1" w:lastColumn="0" w:noHBand="0" w:noVBand="1"/>
        <w:tblCaption w:val="Estimated PBS usage and financial implications"/>
      </w:tblPr>
      <w:tblGrid>
        <w:gridCol w:w="2436"/>
        <w:gridCol w:w="980"/>
        <w:gridCol w:w="1096"/>
        <w:gridCol w:w="1096"/>
        <w:gridCol w:w="1096"/>
        <w:gridCol w:w="1096"/>
        <w:gridCol w:w="1050"/>
      </w:tblGrid>
      <w:tr w:rsidR="00AD055D" w:rsidRPr="004422E3" w:rsidTr="006F2234">
        <w:trPr>
          <w:cnfStyle w:val="100000000000" w:firstRow="1" w:lastRow="0" w:firstColumn="0" w:lastColumn="0" w:oddVBand="0" w:evenVBand="0" w:oddHBand="0" w:evenHBand="0" w:firstRowFirstColumn="0" w:firstRowLastColumn="0" w:lastRowFirstColumn="0" w:lastRowLastColumn="0"/>
          <w:trHeight w:val="20"/>
        </w:trPr>
        <w:tc>
          <w:tcPr>
            <w:tcW w:w="1377" w:type="pct"/>
            <w:shd w:val="clear" w:color="auto" w:fill="auto"/>
            <w:vAlign w:val="center"/>
            <w:hideMark/>
          </w:tcPr>
          <w:p w:rsidR="00AD055D" w:rsidRPr="000A3C7B" w:rsidRDefault="00AD055D" w:rsidP="0045792C">
            <w:pPr>
              <w:pStyle w:val="TableTitlecentred"/>
              <w:rPr>
                <w:rFonts w:ascii="Arial Narrow" w:hAnsi="Arial Narrow"/>
                <w:sz w:val="20"/>
                <w:lang w:val="en-AU"/>
              </w:rPr>
            </w:pPr>
          </w:p>
        </w:tc>
        <w:tc>
          <w:tcPr>
            <w:tcW w:w="554" w:type="pct"/>
            <w:shd w:val="clear" w:color="auto" w:fill="auto"/>
            <w:noWrap/>
            <w:vAlign w:val="center"/>
            <w:hideMark/>
          </w:tcPr>
          <w:p w:rsidR="00AD055D" w:rsidRPr="000A3C7B" w:rsidRDefault="00AD055D" w:rsidP="006F2234">
            <w:pPr>
              <w:pStyle w:val="TableTitlecentred"/>
              <w:rPr>
                <w:rFonts w:ascii="Arial Narrow" w:hAnsi="Arial Narrow"/>
                <w:b/>
                <w:sz w:val="20"/>
                <w:lang w:val="en-AU"/>
              </w:rPr>
            </w:pPr>
            <w:r w:rsidRPr="004422E3">
              <w:rPr>
                <w:rFonts w:ascii="Arial Narrow" w:hAnsi="Arial Narrow"/>
                <w:sz w:val="20"/>
              </w:rPr>
              <w:t>2019</w:t>
            </w:r>
          </w:p>
        </w:tc>
        <w:tc>
          <w:tcPr>
            <w:tcW w:w="619" w:type="pct"/>
            <w:shd w:val="clear" w:color="auto" w:fill="auto"/>
            <w:noWrap/>
            <w:vAlign w:val="center"/>
            <w:hideMark/>
          </w:tcPr>
          <w:p w:rsidR="00AD055D" w:rsidRPr="000A3C7B" w:rsidRDefault="00AD055D" w:rsidP="006F2234">
            <w:pPr>
              <w:pStyle w:val="TableTitlecentred"/>
              <w:rPr>
                <w:rFonts w:ascii="Arial Narrow" w:hAnsi="Arial Narrow"/>
                <w:b/>
                <w:sz w:val="20"/>
                <w:lang w:val="en-AU"/>
              </w:rPr>
            </w:pPr>
            <w:r w:rsidRPr="004422E3">
              <w:rPr>
                <w:rFonts w:ascii="Arial Narrow" w:hAnsi="Arial Narrow"/>
                <w:sz w:val="20"/>
              </w:rPr>
              <w:t>2020</w:t>
            </w:r>
          </w:p>
        </w:tc>
        <w:tc>
          <w:tcPr>
            <w:tcW w:w="619" w:type="pct"/>
            <w:shd w:val="clear" w:color="auto" w:fill="auto"/>
            <w:noWrap/>
            <w:vAlign w:val="center"/>
            <w:hideMark/>
          </w:tcPr>
          <w:p w:rsidR="00AD055D" w:rsidRPr="000A3C7B" w:rsidRDefault="00AD055D" w:rsidP="006F2234">
            <w:pPr>
              <w:pStyle w:val="TableTitlecentred"/>
              <w:rPr>
                <w:rFonts w:ascii="Arial Narrow" w:hAnsi="Arial Narrow"/>
                <w:b/>
                <w:sz w:val="20"/>
                <w:lang w:val="en-AU"/>
              </w:rPr>
            </w:pPr>
            <w:r w:rsidRPr="004422E3">
              <w:rPr>
                <w:rFonts w:ascii="Arial Narrow" w:hAnsi="Arial Narrow"/>
                <w:sz w:val="20"/>
              </w:rPr>
              <w:t>2021</w:t>
            </w:r>
          </w:p>
        </w:tc>
        <w:tc>
          <w:tcPr>
            <w:tcW w:w="619" w:type="pct"/>
            <w:shd w:val="clear" w:color="auto" w:fill="auto"/>
            <w:noWrap/>
            <w:vAlign w:val="center"/>
            <w:hideMark/>
          </w:tcPr>
          <w:p w:rsidR="00AD055D" w:rsidRPr="000A3C7B" w:rsidRDefault="00AD055D" w:rsidP="006F2234">
            <w:pPr>
              <w:pStyle w:val="TableTitlecentred"/>
              <w:rPr>
                <w:rFonts w:ascii="Arial Narrow" w:hAnsi="Arial Narrow"/>
                <w:b/>
                <w:sz w:val="20"/>
                <w:lang w:val="en-AU"/>
              </w:rPr>
            </w:pPr>
            <w:r w:rsidRPr="004422E3">
              <w:rPr>
                <w:rFonts w:ascii="Arial Narrow" w:hAnsi="Arial Narrow"/>
                <w:sz w:val="20"/>
              </w:rPr>
              <w:t>2022</w:t>
            </w:r>
          </w:p>
        </w:tc>
        <w:tc>
          <w:tcPr>
            <w:tcW w:w="619" w:type="pct"/>
            <w:shd w:val="clear" w:color="auto" w:fill="auto"/>
            <w:vAlign w:val="center"/>
          </w:tcPr>
          <w:p w:rsidR="00AD055D" w:rsidRPr="000A3C7B" w:rsidRDefault="00AD055D" w:rsidP="006F2234">
            <w:pPr>
              <w:pStyle w:val="TableTitlecentred"/>
              <w:rPr>
                <w:rFonts w:ascii="Arial Narrow" w:hAnsi="Arial Narrow"/>
                <w:b/>
                <w:sz w:val="20"/>
                <w:lang w:val="en-AU"/>
              </w:rPr>
            </w:pPr>
            <w:r w:rsidRPr="004422E3">
              <w:rPr>
                <w:rFonts w:ascii="Arial Narrow" w:hAnsi="Arial Narrow"/>
                <w:sz w:val="20"/>
              </w:rPr>
              <w:t>2023</w:t>
            </w:r>
          </w:p>
        </w:tc>
        <w:tc>
          <w:tcPr>
            <w:tcW w:w="591" w:type="pct"/>
            <w:shd w:val="clear" w:color="auto" w:fill="auto"/>
            <w:noWrap/>
            <w:vAlign w:val="center"/>
            <w:hideMark/>
          </w:tcPr>
          <w:p w:rsidR="00AD055D" w:rsidRPr="000A3C7B" w:rsidRDefault="00AD055D" w:rsidP="006F2234">
            <w:pPr>
              <w:pStyle w:val="TableTitlecentred"/>
              <w:rPr>
                <w:rFonts w:ascii="Arial Narrow" w:hAnsi="Arial Narrow"/>
                <w:b/>
                <w:sz w:val="20"/>
                <w:lang w:val="en-AU"/>
              </w:rPr>
            </w:pPr>
            <w:r w:rsidRPr="004422E3">
              <w:rPr>
                <w:rFonts w:ascii="Arial Narrow" w:hAnsi="Arial Narrow"/>
                <w:sz w:val="20"/>
              </w:rPr>
              <w:t>2024</w:t>
            </w:r>
          </w:p>
        </w:tc>
      </w:tr>
      <w:tr w:rsidR="00AD055D" w:rsidRPr="004422E3" w:rsidTr="006F2234">
        <w:trPr>
          <w:trHeight w:val="20"/>
        </w:trPr>
        <w:tc>
          <w:tcPr>
            <w:tcW w:w="1377" w:type="pct"/>
            <w:vAlign w:val="center"/>
            <w:hideMark/>
          </w:tcPr>
          <w:p w:rsidR="00AD055D" w:rsidRPr="000A3C7B" w:rsidRDefault="00AD055D" w:rsidP="00895759">
            <w:pPr>
              <w:pStyle w:val="TableTextleftalign"/>
              <w:rPr>
                <w:rFonts w:ascii="Arial Narrow" w:hAnsi="Arial Narrow"/>
                <w:sz w:val="20"/>
                <w:szCs w:val="20"/>
                <w:lang w:val="en-AU"/>
              </w:rPr>
            </w:pPr>
            <w:r w:rsidRPr="004422E3">
              <w:rPr>
                <w:rFonts w:ascii="Arial Narrow" w:hAnsi="Arial Narrow"/>
                <w:sz w:val="20"/>
                <w:szCs w:val="20"/>
              </w:rPr>
              <w:t xml:space="preserve">Total </w:t>
            </w:r>
            <w:proofErr w:type="spellStart"/>
            <w:r w:rsidRPr="004422E3">
              <w:rPr>
                <w:rFonts w:ascii="Arial Narrow" w:hAnsi="Arial Narrow"/>
                <w:sz w:val="20"/>
                <w:szCs w:val="20"/>
              </w:rPr>
              <w:t>riluzole</w:t>
            </w:r>
            <w:proofErr w:type="spellEnd"/>
            <w:r w:rsidRPr="004422E3">
              <w:rPr>
                <w:rFonts w:ascii="Arial Narrow" w:hAnsi="Arial Narrow"/>
                <w:sz w:val="20"/>
                <w:szCs w:val="20"/>
              </w:rPr>
              <w:t xml:space="preserve"> scripts</w:t>
            </w:r>
          </w:p>
        </w:tc>
        <w:tc>
          <w:tcPr>
            <w:tcW w:w="554" w:type="pct"/>
            <w:noWrap/>
            <w:vAlign w:val="center"/>
            <w:hideMark/>
          </w:tcPr>
          <w:p w:rsidR="00AD055D" w:rsidRPr="00F24C24" w:rsidRDefault="00F24C24" w:rsidP="006F2234">
            <w:pPr>
              <w:pStyle w:val="TableTextcentred"/>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619" w:type="pct"/>
            <w:noWrap/>
            <w:vAlign w:val="center"/>
            <w:hideMark/>
          </w:tcPr>
          <w:p w:rsidR="00AD055D" w:rsidRPr="00F24C24" w:rsidRDefault="00F24C24" w:rsidP="006F2234">
            <w:pPr>
              <w:pStyle w:val="TableTextcentred"/>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619" w:type="pct"/>
            <w:noWrap/>
            <w:vAlign w:val="center"/>
            <w:hideMark/>
          </w:tcPr>
          <w:p w:rsidR="00AD055D" w:rsidRPr="00F24C24" w:rsidRDefault="00F24C24" w:rsidP="006F2234">
            <w:pPr>
              <w:pStyle w:val="TableTextcentred"/>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619" w:type="pct"/>
            <w:noWrap/>
            <w:vAlign w:val="center"/>
            <w:hideMark/>
          </w:tcPr>
          <w:p w:rsidR="00AD055D" w:rsidRPr="00F24C24" w:rsidRDefault="00F24C24" w:rsidP="006F2234">
            <w:pPr>
              <w:pStyle w:val="TableTextcentred"/>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619" w:type="pct"/>
            <w:vAlign w:val="center"/>
          </w:tcPr>
          <w:p w:rsidR="00AD055D" w:rsidRPr="00F24C24" w:rsidRDefault="00F24C24" w:rsidP="006F2234">
            <w:pPr>
              <w:pStyle w:val="TableTextcentred"/>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591" w:type="pct"/>
            <w:noWrap/>
            <w:vAlign w:val="center"/>
            <w:hideMark/>
          </w:tcPr>
          <w:p w:rsidR="00AD055D" w:rsidRPr="00F24C24" w:rsidRDefault="00F24C24" w:rsidP="006F2234">
            <w:pPr>
              <w:pStyle w:val="TableTextcentred"/>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AD055D" w:rsidRPr="004422E3" w:rsidTr="006F2234">
        <w:trPr>
          <w:trHeight w:val="20"/>
        </w:trPr>
        <w:tc>
          <w:tcPr>
            <w:tcW w:w="1377" w:type="pct"/>
            <w:vAlign w:val="center"/>
          </w:tcPr>
          <w:p w:rsidR="00AD055D" w:rsidRPr="000A3C7B" w:rsidRDefault="00AD055D" w:rsidP="00895759">
            <w:pPr>
              <w:pStyle w:val="TableTextleftalign"/>
              <w:rPr>
                <w:rFonts w:ascii="Arial Narrow" w:hAnsi="Arial Narrow"/>
                <w:sz w:val="20"/>
                <w:szCs w:val="20"/>
                <w:lang w:val="en-AU"/>
              </w:rPr>
            </w:pPr>
            <w:r w:rsidRPr="004422E3">
              <w:rPr>
                <w:rFonts w:ascii="Arial Narrow" w:hAnsi="Arial Narrow"/>
                <w:sz w:val="20"/>
                <w:szCs w:val="20"/>
              </w:rPr>
              <w:t>Annual growth rate</w:t>
            </w:r>
          </w:p>
        </w:tc>
        <w:tc>
          <w:tcPr>
            <w:tcW w:w="554" w:type="pct"/>
            <w:noWrap/>
            <w:vAlign w:val="center"/>
          </w:tcPr>
          <w:p w:rsidR="00AD055D" w:rsidRPr="000A3C7B" w:rsidRDefault="00AD055D" w:rsidP="006F2234">
            <w:pPr>
              <w:jc w:val="center"/>
              <w:rPr>
                <w:sz w:val="20"/>
                <w:szCs w:val="20"/>
                <w:lang w:val="en-AU"/>
              </w:rPr>
            </w:pPr>
            <w:r w:rsidRPr="004422E3">
              <w:rPr>
                <w:sz w:val="20"/>
                <w:szCs w:val="20"/>
              </w:rPr>
              <w:t>1.68%</w:t>
            </w:r>
          </w:p>
        </w:tc>
        <w:tc>
          <w:tcPr>
            <w:tcW w:w="619" w:type="pct"/>
            <w:noWrap/>
            <w:vAlign w:val="center"/>
          </w:tcPr>
          <w:p w:rsidR="00AD055D" w:rsidRPr="000A3C7B" w:rsidRDefault="00AD055D" w:rsidP="006F2234">
            <w:pPr>
              <w:jc w:val="center"/>
              <w:rPr>
                <w:sz w:val="20"/>
                <w:szCs w:val="20"/>
                <w:lang w:val="en-AU"/>
              </w:rPr>
            </w:pPr>
            <w:r w:rsidRPr="004422E3">
              <w:rPr>
                <w:sz w:val="20"/>
                <w:szCs w:val="20"/>
              </w:rPr>
              <w:t>1.68%</w:t>
            </w:r>
          </w:p>
        </w:tc>
        <w:tc>
          <w:tcPr>
            <w:tcW w:w="619" w:type="pct"/>
            <w:noWrap/>
            <w:vAlign w:val="center"/>
          </w:tcPr>
          <w:p w:rsidR="00AD055D" w:rsidRPr="000A3C7B" w:rsidRDefault="00AD055D" w:rsidP="006F2234">
            <w:pPr>
              <w:jc w:val="center"/>
              <w:rPr>
                <w:sz w:val="20"/>
                <w:szCs w:val="20"/>
                <w:lang w:val="en-AU"/>
              </w:rPr>
            </w:pPr>
            <w:r w:rsidRPr="004422E3">
              <w:rPr>
                <w:sz w:val="20"/>
                <w:szCs w:val="20"/>
              </w:rPr>
              <w:t>1.68%</w:t>
            </w:r>
          </w:p>
        </w:tc>
        <w:tc>
          <w:tcPr>
            <w:tcW w:w="619" w:type="pct"/>
            <w:noWrap/>
            <w:vAlign w:val="center"/>
          </w:tcPr>
          <w:p w:rsidR="00AD055D" w:rsidRPr="000A3C7B" w:rsidRDefault="00AD055D" w:rsidP="006F2234">
            <w:pPr>
              <w:jc w:val="center"/>
              <w:rPr>
                <w:sz w:val="20"/>
                <w:szCs w:val="20"/>
                <w:lang w:val="en-AU"/>
              </w:rPr>
            </w:pPr>
            <w:r w:rsidRPr="004422E3">
              <w:rPr>
                <w:sz w:val="20"/>
                <w:szCs w:val="20"/>
              </w:rPr>
              <w:t>1.68%</w:t>
            </w:r>
          </w:p>
        </w:tc>
        <w:tc>
          <w:tcPr>
            <w:tcW w:w="619" w:type="pct"/>
            <w:vAlign w:val="center"/>
          </w:tcPr>
          <w:p w:rsidR="00AD055D" w:rsidRPr="000A3C7B" w:rsidRDefault="00AD055D" w:rsidP="006F2234">
            <w:pPr>
              <w:jc w:val="center"/>
              <w:rPr>
                <w:sz w:val="20"/>
                <w:szCs w:val="20"/>
                <w:lang w:val="en-AU"/>
              </w:rPr>
            </w:pPr>
            <w:r w:rsidRPr="004422E3">
              <w:rPr>
                <w:sz w:val="20"/>
                <w:szCs w:val="20"/>
              </w:rPr>
              <w:t>1.68%</w:t>
            </w:r>
          </w:p>
        </w:tc>
        <w:tc>
          <w:tcPr>
            <w:tcW w:w="591" w:type="pct"/>
            <w:noWrap/>
            <w:vAlign w:val="center"/>
          </w:tcPr>
          <w:p w:rsidR="00AD055D" w:rsidRPr="000A3C7B" w:rsidRDefault="00AD055D" w:rsidP="006F2234">
            <w:pPr>
              <w:pStyle w:val="TableTextcentred"/>
              <w:rPr>
                <w:rFonts w:ascii="Arial Narrow" w:hAnsi="Arial Narrow"/>
                <w:sz w:val="20"/>
                <w:szCs w:val="20"/>
                <w:lang w:val="en-AU"/>
              </w:rPr>
            </w:pPr>
          </w:p>
        </w:tc>
      </w:tr>
      <w:tr w:rsidR="00AD055D" w:rsidRPr="004422E3" w:rsidTr="006F2234">
        <w:trPr>
          <w:trHeight w:val="20"/>
        </w:trPr>
        <w:tc>
          <w:tcPr>
            <w:tcW w:w="1377" w:type="pct"/>
            <w:vAlign w:val="center"/>
          </w:tcPr>
          <w:p w:rsidR="00AD055D" w:rsidRPr="000A3C7B" w:rsidRDefault="00AD055D" w:rsidP="00895759">
            <w:pPr>
              <w:pStyle w:val="TableTextleftalign"/>
              <w:rPr>
                <w:rFonts w:ascii="Arial Narrow" w:hAnsi="Arial Narrow"/>
                <w:sz w:val="20"/>
                <w:szCs w:val="20"/>
                <w:lang w:val="en-AU"/>
              </w:rPr>
            </w:pPr>
            <w:proofErr w:type="spellStart"/>
            <w:r w:rsidRPr="004422E3">
              <w:rPr>
                <w:rFonts w:ascii="Arial Narrow" w:hAnsi="Arial Narrow"/>
                <w:sz w:val="20"/>
                <w:szCs w:val="20"/>
              </w:rPr>
              <w:t>Teglutik</w:t>
            </w:r>
            <w:proofErr w:type="spellEnd"/>
            <w:r w:rsidRPr="004422E3">
              <w:rPr>
                <w:rFonts w:ascii="Arial Narrow" w:hAnsi="Arial Narrow"/>
                <w:sz w:val="20"/>
                <w:szCs w:val="20"/>
                <w:vertAlign w:val="superscript"/>
              </w:rPr>
              <w:t>®</w:t>
            </w:r>
            <w:r w:rsidRPr="004422E3">
              <w:rPr>
                <w:rFonts w:ascii="Arial Narrow" w:hAnsi="Arial Narrow"/>
                <w:sz w:val="20"/>
                <w:szCs w:val="20"/>
              </w:rPr>
              <w:t xml:space="preserve"> liquid market share</w:t>
            </w:r>
          </w:p>
        </w:tc>
        <w:tc>
          <w:tcPr>
            <w:tcW w:w="554" w:type="pct"/>
            <w:noWrap/>
            <w:vAlign w:val="center"/>
          </w:tcPr>
          <w:p w:rsidR="00AD055D" w:rsidRPr="000A3C7B" w:rsidRDefault="00AD055D" w:rsidP="006F2234">
            <w:pPr>
              <w:jc w:val="center"/>
              <w:rPr>
                <w:sz w:val="20"/>
                <w:szCs w:val="20"/>
                <w:lang w:val="en-AU"/>
              </w:rPr>
            </w:pPr>
            <w:r w:rsidRPr="004422E3">
              <w:rPr>
                <w:sz w:val="20"/>
                <w:szCs w:val="20"/>
              </w:rPr>
              <w:t>1.00%</w:t>
            </w:r>
          </w:p>
        </w:tc>
        <w:tc>
          <w:tcPr>
            <w:tcW w:w="619" w:type="pct"/>
            <w:noWrap/>
            <w:vAlign w:val="center"/>
          </w:tcPr>
          <w:p w:rsidR="00AD055D" w:rsidRPr="000A3C7B" w:rsidRDefault="00AD055D" w:rsidP="006F2234">
            <w:pPr>
              <w:jc w:val="center"/>
              <w:rPr>
                <w:sz w:val="20"/>
                <w:szCs w:val="20"/>
                <w:lang w:val="en-AU"/>
              </w:rPr>
            </w:pPr>
            <w:r w:rsidRPr="004422E3">
              <w:rPr>
                <w:sz w:val="20"/>
                <w:szCs w:val="20"/>
              </w:rPr>
              <w:t>11.00%</w:t>
            </w:r>
          </w:p>
        </w:tc>
        <w:tc>
          <w:tcPr>
            <w:tcW w:w="619" w:type="pct"/>
            <w:noWrap/>
            <w:vAlign w:val="center"/>
          </w:tcPr>
          <w:p w:rsidR="00AD055D" w:rsidRPr="000A3C7B" w:rsidRDefault="00AD055D" w:rsidP="006F2234">
            <w:pPr>
              <w:jc w:val="center"/>
              <w:rPr>
                <w:sz w:val="20"/>
                <w:szCs w:val="20"/>
                <w:lang w:val="en-AU"/>
              </w:rPr>
            </w:pPr>
            <w:r w:rsidRPr="004422E3">
              <w:rPr>
                <w:sz w:val="20"/>
                <w:szCs w:val="20"/>
              </w:rPr>
              <w:t>22.50%</w:t>
            </w:r>
          </w:p>
        </w:tc>
        <w:tc>
          <w:tcPr>
            <w:tcW w:w="619" w:type="pct"/>
            <w:noWrap/>
            <w:vAlign w:val="center"/>
          </w:tcPr>
          <w:p w:rsidR="00AD055D" w:rsidRPr="000A3C7B" w:rsidRDefault="00AD055D" w:rsidP="006F2234">
            <w:pPr>
              <w:jc w:val="center"/>
              <w:rPr>
                <w:sz w:val="20"/>
                <w:szCs w:val="20"/>
                <w:lang w:val="en-AU"/>
              </w:rPr>
            </w:pPr>
            <w:r w:rsidRPr="004422E3">
              <w:rPr>
                <w:sz w:val="20"/>
                <w:szCs w:val="20"/>
              </w:rPr>
              <w:t>33.00%</w:t>
            </w:r>
          </w:p>
        </w:tc>
        <w:tc>
          <w:tcPr>
            <w:tcW w:w="619" w:type="pct"/>
            <w:vAlign w:val="center"/>
          </w:tcPr>
          <w:p w:rsidR="00AD055D" w:rsidRPr="000A3C7B" w:rsidRDefault="00AD055D" w:rsidP="006F2234">
            <w:pPr>
              <w:jc w:val="center"/>
              <w:rPr>
                <w:sz w:val="20"/>
                <w:szCs w:val="20"/>
                <w:lang w:val="en-AU"/>
              </w:rPr>
            </w:pPr>
            <w:r w:rsidRPr="004422E3">
              <w:rPr>
                <w:sz w:val="20"/>
                <w:szCs w:val="20"/>
              </w:rPr>
              <w:t>40.00%</w:t>
            </w:r>
          </w:p>
        </w:tc>
        <w:tc>
          <w:tcPr>
            <w:tcW w:w="591" w:type="pct"/>
            <w:noWrap/>
            <w:vAlign w:val="center"/>
          </w:tcPr>
          <w:p w:rsidR="00AD055D" w:rsidRPr="000A3C7B" w:rsidRDefault="00AD055D" w:rsidP="006F2234">
            <w:pPr>
              <w:jc w:val="center"/>
              <w:rPr>
                <w:sz w:val="20"/>
                <w:szCs w:val="20"/>
                <w:lang w:val="en-AU"/>
              </w:rPr>
            </w:pPr>
            <w:r w:rsidRPr="004422E3">
              <w:rPr>
                <w:sz w:val="20"/>
                <w:szCs w:val="20"/>
              </w:rPr>
              <w:t>40.00%</w:t>
            </w:r>
          </w:p>
        </w:tc>
      </w:tr>
      <w:tr w:rsidR="00AD055D" w:rsidRPr="004422E3" w:rsidTr="006F2234">
        <w:trPr>
          <w:trHeight w:val="20"/>
        </w:trPr>
        <w:tc>
          <w:tcPr>
            <w:tcW w:w="1377" w:type="pct"/>
            <w:vAlign w:val="center"/>
          </w:tcPr>
          <w:p w:rsidR="00AD055D" w:rsidRPr="000A3C7B" w:rsidRDefault="00AD055D" w:rsidP="00895759">
            <w:pPr>
              <w:pStyle w:val="TableTextleftalign"/>
              <w:rPr>
                <w:rFonts w:ascii="Arial Narrow" w:hAnsi="Arial Narrow"/>
                <w:sz w:val="20"/>
                <w:szCs w:val="20"/>
                <w:lang w:val="en-AU"/>
              </w:rPr>
            </w:pPr>
            <w:proofErr w:type="spellStart"/>
            <w:r w:rsidRPr="004422E3">
              <w:rPr>
                <w:rFonts w:ascii="Arial Narrow" w:hAnsi="Arial Narrow"/>
                <w:sz w:val="20"/>
                <w:szCs w:val="20"/>
              </w:rPr>
              <w:t>Teglutik</w:t>
            </w:r>
            <w:proofErr w:type="spellEnd"/>
            <w:r w:rsidRPr="004422E3">
              <w:rPr>
                <w:rFonts w:ascii="Arial Narrow" w:hAnsi="Arial Narrow"/>
                <w:sz w:val="20"/>
                <w:szCs w:val="20"/>
                <w:vertAlign w:val="superscript"/>
              </w:rPr>
              <w:t>®</w:t>
            </w:r>
            <w:r w:rsidRPr="004422E3">
              <w:rPr>
                <w:rFonts w:ascii="Arial Narrow" w:hAnsi="Arial Narrow"/>
                <w:sz w:val="20"/>
                <w:szCs w:val="20"/>
              </w:rPr>
              <w:t xml:space="preserve"> PBS/RPBS scripts dispensed</w:t>
            </w:r>
          </w:p>
        </w:tc>
        <w:tc>
          <w:tcPr>
            <w:tcW w:w="554"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619"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619"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619"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619" w:type="pct"/>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591"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r>
      <w:tr w:rsidR="00AD055D" w:rsidRPr="004422E3" w:rsidTr="00AD055D">
        <w:trPr>
          <w:trHeight w:val="20"/>
        </w:trPr>
        <w:tc>
          <w:tcPr>
            <w:tcW w:w="5000" w:type="pct"/>
            <w:gridSpan w:val="7"/>
            <w:vAlign w:val="center"/>
          </w:tcPr>
          <w:p w:rsidR="00AD055D" w:rsidRPr="000A3C7B" w:rsidRDefault="00AD055D" w:rsidP="00AD055D">
            <w:pPr>
              <w:rPr>
                <w:rFonts w:asciiTheme="minorHAnsi" w:hAnsiTheme="minorHAnsi"/>
                <w:lang w:val="en-AU"/>
              </w:rPr>
            </w:pPr>
            <w:r w:rsidRPr="004422E3">
              <w:rPr>
                <w:b/>
                <w:sz w:val="20"/>
                <w:szCs w:val="20"/>
              </w:rPr>
              <w:t xml:space="preserve">Estimated financial implications of </w:t>
            </w:r>
            <w:proofErr w:type="spellStart"/>
            <w:r w:rsidRPr="004422E3">
              <w:rPr>
                <w:b/>
                <w:sz w:val="20"/>
                <w:szCs w:val="20"/>
              </w:rPr>
              <w:t>Teglutik</w:t>
            </w:r>
            <w:proofErr w:type="spellEnd"/>
            <w:r w:rsidRPr="004422E3">
              <w:rPr>
                <w:b/>
                <w:sz w:val="20"/>
                <w:szCs w:val="20"/>
                <w:vertAlign w:val="superscript"/>
              </w:rPr>
              <w:t xml:space="preserve">® </w:t>
            </w:r>
            <w:r w:rsidRPr="004422E3">
              <w:rPr>
                <w:b/>
                <w:sz w:val="20"/>
                <w:szCs w:val="20"/>
              </w:rPr>
              <w:t>oral liquid</w:t>
            </w:r>
          </w:p>
        </w:tc>
      </w:tr>
      <w:tr w:rsidR="00AD055D" w:rsidRPr="004422E3" w:rsidTr="00AD055D">
        <w:trPr>
          <w:trHeight w:val="20"/>
        </w:trPr>
        <w:tc>
          <w:tcPr>
            <w:tcW w:w="1377" w:type="pct"/>
            <w:vAlign w:val="center"/>
          </w:tcPr>
          <w:p w:rsidR="00AD055D" w:rsidRPr="000A3C7B" w:rsidRDefault="00AD055D" w:rsidP="00247BD6">
            <w:pPr>
              <w:pStyle w:val="TableTextleftalign"/>
              <w:rPr>
                <w:rFonts w:ascii="Arial Narrow" w:hAnsi="Arial Narrow"/>
                <w:sz w:val="20"/>
                <w:szCs w:val="20"/>
                <w:lang w:val="en-AU"/>
              </w:rPr>
            </w:pPr>
            <w:r w:rsidRPr="004422E3">
              <w:rPr>
                <w:rFonts w:ascii="Arial Narrow" w:hAnsi="Arial Narrow"/>
                <w:sz w:val="20"/>
                <w:szCs w:val="20"/>
              </w:rPr>
              <w:t>Drug cost to PBS/RPBS</w:t>
            </w:r>
          </w:p>
        </w:tc>
        <w:tc>
          <w:tcPr>
            <w:tcW w:w="554"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591"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r>
      <w:tr w:rsidR="00AD055D" w:rsidRPr="004422E3" w:rsidTr="00AD055D">
        <w:trPr>
          <w:trHeight w:val="20"/>
        </w:trPr>
        <w:tc>
          <w:tcPr>
            <w:tcW w:w="1377" w:type="pct"/>
            <w:vAlign w:val="center"/>
          </w:tcPr>
          <w:p w:rsidR="00AD055D" w:rsidRPr="000A3C7B" w:rsidRDefault="00AD055D" w:rsidP="00247BD6">
            <w:pPr>
              <w:pStyle w:val="TableTextleftalign"/>
              <w:rPr>
                <w:rFonts w:ascii="Arial Narrow" w:hAnsi="Arial Narrow"/>
                <w:sz w:val="20"/>
                <w:szCs w:val="20"/>
                <w:lang w:val="en-AU"/>
              </w:rPr>
            </w:pPr>
            <w:r w:rsidRPr="004422E3">
              <w:rPr>
                <w:rFonts w:ascii="Arial Narrow" w:hAnsi="Arial Narrow"/>
                <w:sz w:val="20"/>
                <w:szCs w:val="20"/>
              </w:rPr>
              <w:t>Less copayments</w:t>
            </w:r>
          </w:p>
        </w:tc>
        <w:tc>
          <w:tcPr>
            <w:tcW w:w="554"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c>
          <w:tcPr>
            <w:tcW w:w="591" w:type="pct"/>
            <w:noWrap/>
            <w:vAlign w:val="center"/>
          </w:tcPr>
          <w:p w:rsidR="00AD055D" w:rsidRPr="000A3C7B" w:rsidRDefault="00AD055D" w:rsidP="00247BD6">
            <w:pPr>
              <w:jc w:val="center"/>
              <w:rPr>
                <w:sz w:val="20"/>
                <w:szCs w:val="20"/>
                <w:lang w:val="en-AU"/>
              </w:rPr>
            </w:pPr>
            <w:r w:rsidRPr="004422E3">
              <w:rPr>
                <w:sz w:val="20"/>
                <w:szCs w:val="20"/>
              </w:rPr>
              <w:t>-$</w:t>
            </w:r>
            <w:r w:rsidR="00F24C24">
              <w:rPr>
                <w:noProof/>
                <w:color w:val="000000"/>
                <w:sz w:val="20"/>
                <w:szCs w:val="20"/>
                <w:highlight w:val="black"/>
              </w:rPr>
              <w:t>''''''''''''''''''</w:t>
            </w:r>
          </w:p>
        </w:tc>
      </w:tr>
      <w:tr w:rsidR="00AD055D" w:rsidRPr="004422E3" w:rsidTr="00AD055D">
        <w:trPr>
          <w:trHeight w:val="20"/>
        </w:trPr>
        <w:tc>
          <w:tcPr>
            <w:tcW w:w="1377" w:type="pct"/>
            <w:vAlign w:val="center"/>
          </w:tcPr>
          <w:p w:rsidR="00AD055D" w:rsidRPr="000A3C7B" w:rsidRDefault="00AD055D" w:rsidP="00F65393">
            <w:pPr>
              <w:pStyle w:val="TableTextleftalign"/>
              <w:rPr>
                <w:rFonts w:ascii="Arial Narrow" w:hAnsi="Arial Narrow"/>
                <w:sz w:val="20"/>
                <w:szCs w:val="20"/>
                <w:lang w:val="en-AU"/>
              </w:rPr>
            </w:pPr>
            <w:r w:rsidRPr="004422E3">
              <w:rPr>
                <w:rFonts w:ascii="Arial Narrow" w:hAnsi="Arial Narrow"/>
                <w:sz w:val="20"/>
                <w:szCs w:val="20"/>
              </w:rPr>
              <w:t>Net cost to PBS/RPBS</w:t>
            </w:r>
          </w:p>
        </w:tc>
        <w:tc>
          <w:tcPr>
            <w:tcW w:w="554" w:type="pct"/>
            <w:noWrap/>
            <w:vAlign w:val="center"/>
          </w:tcPr>
          <w:p w:rsidR="00AD055D" w:rsidRPr="000A3C7B" w:rsidRDefault="00AD055D" w:rsidP="00F65393">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F65393">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F65393">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F65393">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vAlign w:val="center"/>
          </w:tcPr>
          <w:p w:rsidR="00AD055D" w:rsidRPr="000A3C7B" w:rsidRDefault="00AD055D" w:rsidP="00F65393">
            <w:pPr>
              <w:jc w:val="center"/>
              <w:rPr>
                <w:sz w:val="20"/>
                <w:szCs w:val="20"/>
                <w:lang w:val="en-AU"/>
              </w:rPr>
            </w:pPr>
            <w:r w:rsidRPr="004422E3">
              <w:rPr>
                <w:sz w:val="20"/>
                <w:szCs w:val="20"/>
              </w:rPr>
              <w:t>$</w:t>
            </w:r>
            <w:r w:rsidR="00F24C24">
              <w:rPr>
                <w:noProof/>
                <w:color w:val="000000"/>
                <w:sz w:val="20"/>
                <w:szCs w:val="20"/>
                <w:highlight w:val="black"/>
              </w:rPr>
              <w:t>''''''''''''''''''</w:t>
            </w:r>
          </w:p>
        </w:tc>
        <w:tc>
          <w:tcPr>
            <w:tcW w:w="591" w:type="pct"/>
            <w:noWrap/>
            <w:vAlign w:val="center"/>
          </w:tcPr>
          <w:p w:rsidR="00AD055D" w:rsidRPr="000A3C7B" w:rsidRDefault="00AD055D" w:rsidP="00F65393">
            <w:pPr>
              <w:jc w:val="center"/>
              <w:rPr>
                <w:sz w:val="20"/>
                <w:szCs w:val="20"/>
                <w:lang w:val="en-AU"/>
              </w:rPr>
            </w:pPr>
            <w:r w:rsidRPr="004422E3">
              <w:rPr>
                <w:sz w:val="20"/>
                <w:szCs w:val="20"/>
              </w:rPr>
              <w:t>$</w:t>
            </w:r>
            <w:r w:rsidR="00F24C24">
              <w:rPr>
                <w:noProof/>
                <w:color w:val="000000"/>
                <w:sz w:val="20"/>
                <w:szCs w:val="20"/>
                <w:highlight w:val="black"/>
              </w:rPr>
              <w:t>''''''''''''''''''''''''</w:t>
            </w:r>
          </w:p>
        </w:tc>
      </w:tr>
      <w:tr w:rsidR="00AD055D" w:rsidRPr="004422E3" w:rsidTr="00AD055D">
        <w:trPr>
          <w:trHeight w:val="20"/>
        </w:trPr>
        <w:tc>
          <w:tcPr>
            <w:tcW w:w="5000" w:type="pct"/>
            <w:gridSpan w:val="7"/>
            <w:vAlign w:val="center"/>
          </w:tcPr>
          <w:p w:rsidR="00AD055D" w:rsidRPr="000A3C7B" w:rsidRDefault="00AD055D" w:rsidP="00AD055D">
            <w:pPr>
              <w:rPr>
                <w:rFonts w:asciiTheme="minorHAnsi" w:hAnsiTheme="minorHAnsi"/>
                <w:lang w:val="en-AU"/>
              </w:rPr>
            </w:pPr>
            <w:r w:rsidRPr="004422E3">
              <w:rPr>
                <w:b/>
                <w:sz w:val="20"/>
                <w:szCs w:val="20"/>
              </w:rPr>
              <w:t xml:space="preserve">Estimated financial implications for </w:t>
            </w:r>
            <w:proofErr w:type="spellStart"/>
            <w:r w:rsidRPr="004422E3">
              <w:rPr>
                <w:b/>
                <w:sz w:val="20"/>
                <w:szCs w:val="20"/>
              </w:rPr>
              <w:t>riluzole</w:t>
            </w:r>
            <w:proofErr w:type="spellEnd"/>
            <w:r w:rsidRPr="004422E3">
              <w:rPr>
                <w:b/>
                <w:sz w:val="20"/>
                <w:szCs w:val="20"/>
              </w:rPr>
              <w:t xml:space="preserve"> tablets</w:t>
            </w:r>
          </w:p>
        </w:tc>
      </w:tr>
      <w:tr w:rsidR="00AD055D" w:rsidRPr="004422E3" w:rsidTr="006F2234">
        <w:trPr>
          <w:trHeight w:val="20"/>
        </w:trPr>
        <w:tc>
          <w:tcPr>
            <w:tcW w:w="1377" w:type="pct"/>
            <w:vAlign w:val="center"/>
          </w:tcPr>
          <w:p w:rsidR="00AD055D" w:rsidRPr="000A3C7B" w:rsidRDefault="00AD055D" w:rsidP="00141CD9">
            <w:pPr>
              <w:pStyle w:val="TableTextleftalign"/>
              <w:rPr>
                <w:rFonts w:ascii="Arial Narrow" w:hAnsi="Arial Narrow"/>
                <w:sz w:val="20"/>
                <w:szCs w:val="20"/>
                <w:lang w:val="en-AU"/>
              </w:rPr>
            </w:pPr>
            <w:proofErr w:type="spellStart"/>
            <w:r w:rsidRPr="004422E3">
              <w:rPr>
                <w:rFonts w:ascii="Arial Narrow" w:hAnsi="Arial Narrow"/>
                <w:sz w:val="20"/>
                <w:szCs w:val="20"/>
              </w:rPr>
              <w:t>Riluzole</w:t>
            </w:r>
            <w:proofErr w:type="spellEnd"/>
            <w:r w:rsidRPr="004422E3">
              <w:rPr>
                <w:rFonts w:ascii="Arial Narrow" w:hAnsi="Arial Narrow"/>
                <w:sz w:val="20"/>
                <w:szCs w:val="20"/>
              </w:rPr>
              <w:t xml:space="preserve"> tablet PBS/RPBS scripts </w:t>
            </w:r>
            <w:r w:rsidR="00141CD9" w:rsidRPr="004422E3">
              <w:rPr>
                <w:rFonts w:ascii="Arial Narrow" w:hAnsi="Arial Narrow"/>
                <w:sz w:val="20"/>
                <w:szCs w:val="20"/>
              </w:rPr>
              <w:t>replaced</w:t>
            </w:r>
          </w:p>
        </w:tc>
        <w:tc>
          <w:tcPr>
            <w:tcW w:w="554"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619"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619"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619"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619" w:type="pct"/>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c>
          <w:tcPr>
            <w:tcW w:w="591" w:type="pct"/>
            <w:noWrap/>
            <w:vAlign w:val="center"/>
          </w:tcPr>
          <w:p w:rsidR="00AD055D" w:rsidRPr="00F24C24" w:rsidRDefault="00F24C24" w:rsidP="006F2234">
            <w:pPr>
              <w:jc w:val="center"/>
              <w:rPr>
                <w:sz w:val="20"/>
                <w:szCs w:val="20"/>
                <w:highlight w:val="black"/>
                <w:lang w:val="en-AU"/>
              </w:rPr>
            </w:pPr>
            <w:r>
              <w:rPr>
                <w:noProof/>
                <w:color w:val="000000"/>
                <w:sz w:val="20"/>
                <w:szCs w:val="20"/>
                <w:highlight w:val="black"/>
              </w:rPr>
              <w:t>''''''''''''''</w:t>
            </w:r>
          </w:p>
        </w:tc>
      </w:tr>
      <w:tr w:rsidR="00AD055D" w:rsidRPr="004422E3" w:rsidTr="006F2234">
        <w:trPr>
          <w:trHeight w:val="20"/>
        </w:trPr>
        <w:tc>
          <w:tcPr>
            <w:tcW w:w="1377" w:type="pct"/>
            <w:vAlign w:val="center"/>
          </w:tcPr>
          <w:p w:rsidR="00AD055D" w:rsidRPr="000A3C7B" w:rsidRDefault="00141CD9" w:rsidP="00895759">
            <w:pPr>
              <w:pStyle w:val="TableTextleftalign"/>
              <w:rPr>
                <w:rFonts w:ascii="Arial Narrow" w:hAnsi="Arial Narrow"/>
                <w:sz w:val="20"/>
                <w:szCs w:val="20"/>
                <w:lang w:val="en-AU"/>
              </w:rPr>
            </w:pPr>
            <w:r w:rsidRPr="004422E3">
              <w:rPr>
                <w:rFonts w:ascii="Arial Narrow" w:hAnsi="Arial Narrow"/>
                <w:sz w:val="20"/>
                <w:szCs w:val="20"/>
              </w:rPr>
              <w:t>Replaced</w:t>
            </w:r>
            <w:r w:rsidR="00AD055D" w:rsidRPr="004422E3">
              <w:rPr>
                <w:rFonts w:ascii="Arial Narrow" w:hAnsi="Arial Narrow"/>
                <w:sz w:val="20"/>
                <w:szCs w:val="20"/>
              </w:rPr>
              <w:t xml:space="preserve"> drug cost to PBS/RPBS</w:t>
            </w:r>
          </w:p>
        </w:tc>
        <w:tc>
          <w:tcPr>
            <w:tcW w:w="554"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591"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r>
      <w:tr w:rsidR="00AD055D" w:rsidRPr="004422E3" w:rsidTr="006F2234">
        <w:trPr>
          <w:trHeight w:val="20"/>
        </w:trPr>
        <w:tc>
          <w:tcPr>
            <w:tcW w:w="1377" w:type="pct"/>
            <w:vAlign w:val="center"/>
          </w:tcPr>
          <w:p w:rsidR="00AD055D" w:rsidRPr="000A3C7B" w:rsidRDefault="00AD055D" w:rsidP="00895759">
            <w:pPr>
              <w:pStyle w:val="TableTextleftalign"/>
              <w:rPr>
                <w:rFonts w:ascii="Arial Narrow" w:hAnsi="Arial Narrow"/>
                <w:sz w:val="20"/>
                <w:szCs w:val="20"/>
                <w:lang w:val="en-AU"/>
              </w:rPr>
            </w:pPr>
            <w:r w:rsidRPr="004422E3">
              <w:rPr>
                <w:rFonts w:ascii="Arial Narrow" w:hAnsi="Arial Narrow"/>
                <w:sz w:val="20"/>
                <w:szCs w:val="20"/>
              </w:rPr>
              <w:t>Less copayments</w:t>
            </w:r>
          </w:p>
        </w:tc>
        <w:tc>
          <w:tcPr>
            <w:tcW w:w="554"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591"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r>
      <w:tr w:rsidR="00AD055D" w:rsidRPr="004422E3" w:rsidTr="006F2234">
        <w:trPr>
          <w:trHeight w:val="20"/>
        </w:trPr>
        <w:tc>
          <w:tcPr>
            <w:tcW w:w="1377" w:type="pct"/>
            <w:vAlign w:val="center"/>
          </w:tcPr>
          <w:p w:rsidR="00AD055D" w:rsidRPr="000A3C7B" w:rsidRDefault="00AD055D" w:rsidP="00895759">
            <w:pPr>
              <w:pStyle w:val="TableTextleftalign"/>
              <w:rPr>
                <w:rFonts w:ascii="Arial Narrow" w:hAnsi="Arial Narrow"/>
                <w:sz w:val="20"/>
                <w:szCs w:val="20"/>
                <w:lang w:val="en-AU"/>
              </w:rPr>
            </w:pPr>
            <w:r w:rsidRPr="004422E3">
              <w:rPr>
                <w:rFonts w:ascii="Arial Narrow" w:hAnsi="Arial Narrow"/>
                <w:sz w:val="20"/>
                <w:szCs w:val="20"/>
              </w:rPr>
              <w:t>Net cost to PBS/RPBS</w:t>
            </w:r>
          </w:p>
        </w:tc>
        <w:tc>
          <w:tcPr>
            <w:tcW w:w="554"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591"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r>
      <w:tr w:rsidR="00AD055D" w:rsidRPr="004422E3" w:rsidTr="00AD055D">
        <w:trPr>
          <w:trHeight w:val="20"/>
        </w:trPr>
        <w:tc>
          <w:tcPr>
            <w:tcW w:w="5000" w:type="pct"/>
            <w:gridSpan w:val="7"/>
            <w:vAlign w:val="center"/>
          </w:tcPr>
          <w:p w:rsidR="00AD055D" w:rsidRPr="000A3C7B" w:rsidRDefault="00AD055D" w:rsidP="00247BD6">
            <w:pPr>
              <w:rPr>
                <w:sz w:val="20"/>
                <w:szCs w:val="20"/>
                <w:lang w:val="en-AU"/>
              </w:rPr>
            </w:pPr>
            <w:r w:rsidRPr="004422E3">
              <w:rPr>
                <w:b/>
                <w:sz w:val="20"/>
                <w:szCs w:val="20"/>
              </w:rPr>
              <w:t>Net financial implications</w:t>
            </w:r>
          </w:p>
        </w:tc>
      </w:tr>
      <w:tr w:rsidR="00AD055D" w:rsidRPr="004422E3" w:rsidTr="006F2234">
        <w:trPr>
          <w:trHeight w:val="20"/>
        </w:trPr>
        <w:tc>
          <w:tcPr>
            <w:tcW w:w="1377" w:type="pct"/>
            <w:vAlign w:val="center"/>
          </w:tcPr>
          <w:p w:rsidR="00AD055D" w:rsidRPr="000A3C7B" w:rsidRDefault="00AD055D" w:rsidP="00895759">
            <w:pPr>
              <w:pStyle w:val="TableTextleftalign"/>
              <w:rPr>
                <w:rFonts w:ascii="Arial Narrow" w:hAnsi="Arial Narrow"/>
                <w:sz w:val="20"/>
                <w:szCs w:val="20"/>
                <w:lang w:val="en-AU"/>
              </w:rPr>
            </w:pPr>
            <w:r w:rsidRPr="004422E3">
              <w:rPr>
                <w:rFonts w:ascii="Arial Narrow" w:hAnsi="Arial Narrow"/>
                <w:sz w:val="20"/>
                <w:szCs w:val="20"/>
              </w:rPr>
              <w:t>Net cost to PBS/RPBS</w:t>
            </w:r>
          </w:p>
        </w:tc>
        <w:tc>
          <w:tcPr>
            <w:tcW w:w="554"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619" w:type="pct"/>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c>
          <w:tcPr>
            <w:tcW w:w="591" w:type="pct"/>
            <w:noWrap/>
            <w:vAlign w:val="center"/>
          </w:tcPr>
          <w:p w:rsidR="00AD055D" w:rsidRPr="000A3C7B" w:rsidRDefault="00AD055D" w:rsidP="006F2234">
            <w:pPr>
              <w:jc w:val="center"/>
              <w:rPr>
                <w:sz w:val="20"/>
                <w:szCs w:val="20"/>
                <w:lang w:val="en-AU"/>
              </w:rPr>
            </w:pPr>
            <w:r w:rsidRPr="004422E3">
              <w:rPr>
                <w:sz w:val="20"/>
                <w:szCs w:val="20"/>
              </w:rPr>
              <w:t>$</w:t>
            </w:r>
            <w:r w:rsidR="00F24C24">
              <w:rPr>
                <w:noProof/>
                <w:color w:val="000000"/>
                <w:sz w:val="20"/>
                <w:szCs w:val="20"/>
                <w:highlight w:val="black"/>
              </w:rPr>
              <w:t>'''''''''''''''''</w:t>
            </w:r>
          </w:p>
        </w:tc>
      </w:tr>
    </w:tbl>
    <w:p w:rsidR="00247BD6" w:rsidRDefault="00247BD6" w:rsidP="00247BD6">
      <w:pPr>
        <w:pStyle w:val="ListParagraph"/>
        <w:widowControl/>
        <w:spacing w:after="160"/>
        <w:ind w:left="0"/>
        <w:contextualSpacing w:val="0"/>
        <w:rPr>
          <w:rFonts w:ascii="Arial Narrow" w:eastAsiaTheme="minorHAnsi" w:hAnsi="Arial Narrow" w:cstheme="minorBidi"/>
          <w:snapToGrid/>
          <w:sz w:val="20"/>
        </w:rPr>
      </w:pPr>
      <w:r w:rsidRPr="004422E3">
        <w:rPr>
          <w:rFonts w:ascii="Arial Narrow" w:eastAsiaTheme="minorHAnsi" w:hAnsi="Arial Narrow" w:cstheme="minorBidi"/>
          <w:snapToGrid/>
          <w:sz w:val="20"/>
        </w:rPr>
        <w:t>Source: Submission utilisation and financial estimates &amp; Appendix 4 to the submission – utilisation and financial spreadsheets.</w:t>
      </w:r>
    </w:p>
    <w:p w:rsidR="00E33C89" w:rsidRPr="00925388" w:rsidRDefault="00E33C89" w:rsidP="00A01D8E">
      <w:pPr>
        <w:pStyle w:val="ListParagraph"/>
        <w:widowControl/>
        <w:spacing w:after="120"/>
        <w:ind w:left="0"/>
        <w:contextualSpacing w:val="0"/>
        <w:rPr>
          <w:rFonts w:asciiTheme="minorHAnsi" w:eastAsiaTheme="minorHAnsi" w:hAnsiTheme="minorHAnsi" w:cstheme="minorHAnsi"/>
          <w:i/>
          <w:snapToGrid/>
          <w:sz w:val="24"/>
          <w:szCs w:val="24"/>
        </w:rPr>
      </w:pPr>
      <w:r w:rsidRPr="00925388">
        <w:rPr>
          <w:rFonts w:asciiTheme="minorHAnsi" w:eastAsiaTheme="minorHAnsi" w:hAnsiTheme="minorHAnsi" w:cstheme="minorHAnsi"/>
          <w:i/>
          <w:snapToGrid/>
          <w:sz w:val="24"/>
          <w:szCs w:val="24"/>
        </w:rPr>
        <w:t xml:space="preserve">The redacted table shows that at Year 6 the estimated number of </w:t>
      </w:r>
      <w:proofErr w:type="spellStart"/>
      <w:r w:rsidR="00A01D8E" w:rsidRPr="00925388">
        <w:rPr>
          <w:rFonts w:asciiTheme="minorHAnsi" w:eastAsiaTheme="minorHAnsi" w:hAnsiTheme="minorHAnsi" w:cstheme="minorHAnsi"/>
          <w:i/>
          <w:snapToGrid/>
          <w:sz w:val="24"/>
          <w:szCs w:val="24"/>
        </w:rPr>
        <w:t>Teglutik</w:t>
      </w:r>
      <w:proofErr w:type="spellEnd"/>
      <w:r w:rsidR="00A01D8E" w:rsidRPr="00925388">
        <w:rPr>
          <w:rFonts w:asciiTheme="minorHAnsi" w:hAnsiTheme="minorHAnsi" w:cstheme="minorHAnsi"/>
          <w:i/>
          <w:sz w:val="24"/>
          <w:szCs w:val="24"/>
          <w:vertAlign w:val="superscript"/>
        </w:rPr>
        <w:t>®</w:t>
      </w:r>
      <w:r w:rsidR="00A01D8E" w:rsidRPr="00925388">
        <w:rPr>
          <w:rFonts w:asciiTheme="minorHAnsi" w:eastAsiaTheme="minorHAnsi" w:hAnsiTheme="minorHAnsi" w:cstheme="minorHAnsi"/>
          <w:i/>
          <w:snapToGrid/>
          <w:sz w:val="24"/>
          <w:szCs w:val="24"/>
        </w:rPr>
        <w:t xml:space="preserve"> </w:t>
      </w:r>
      <w:r w:rsidRPr="00925388">
        <w:rPr>
          <w:rFonts w:asciiTheme="minorHAnsi" w:eastAsiaTheme="minorHAnsi" w:hAnsiTheme="minorHAnsi" w:cstheme="minorHAnsi"/>
          <w:i/>
          <w:snapToGrid/>
          <w:sz w:val="24"/>
          <w:szCs w:val="24"/>
        </w:rPr>
        <w:t xml:space="preserve">scripts dispensed was less than 10,000 per year, and the </w:t>
      </w:r>
      <w:r w:rsidR="00A01D8E" w:rsidRPr="00925388">
        <w:rPr>
          <w:rFonts w:asciiTheme="minorHAnsi" w:eastAsiaTheme="minorHAnsi" w:hAnsiTheme="minorHAnsi" w:cstheme="minorHAnsi"/>
          <w:i/>
          <w:snapToGrid/>
          <w:sz w:val="24"/>
          <w:szCs w:val="24"/>
        </w:rPr>
        <w:t>net cost to the PBS</w:t>
      </w:r>
      <w:r w:rsidR="00925388">
        <w:rPr>
          <w:rFonts w:asciiTheme="minorHAnsi" w:eastAsiaTheme="minorHAnsi" w:hAnsiTheme="minorHAnsi" w:cstheme="minorHAnsi"/>
          <w:i/>
          <w:snapToGrid/>
          <w:sz w:val="24"/>
          <w:szCs w:val="24"/>
        </w:rPr>
        <w:t>/RPBS</w:t>
      </w:r>
      <w:r w:rsidR="00A01D8E" w:rsidRPr="00925388">
        <w:rPr>
          <w:rFonts w:asciiTheme="minorHAnsi" w:eastAsiaTheme="minorHAnsi" w:hAnsiTheme="minorHAnsi" w:cstheme="minorHAnsi"/>
          <w:i/>
          <w:snapToGrid/>
          <w:sz w:val="24"/>
          <w:szCs w:val="24"/>
        </w:rPr>
        <w:t xml:space="preserve"> </w:t>
      </w:r>
      <w:r w:rsidR="00476206" w:rsidRPr="00925388">
        <w:rPr>
          <w:rFonts w:asciiTheme="minorHAnsi" w:eastAsiaTheme="minorHAnsi" w:hAnsiTheme="minorHAnsi" w:cstheme="minorHAnsi"/>
          <w:i/>
          <w:snapToGrid/>
          <w:sz w:val="24"/>
          <w:szCs w:val="24"/>
        </w:rPr>
        <w:t>(</w:t>
      </w:r>
      <w:r w:rsidR="00A01D8E" w:rsidRPr="00925388">
        <w:rPr>
          <w:rFonts w:asciiTheme="minorHAnsi" w:eastAsiaTheme="minorHAnsi" w:hAnsiTheme="minorHAnsi" w:cstheme="minorHAnsi"/>
          <w:i/>
          <w:snapToGrid/>
          <w:sz w:val="24"/>
          <w:szCs w:val="24"/>
        </w:rPr>
        <w:t>incorporating replaced tablet usage</w:t>
      </w:r>
      <w:r w:rsidR="00476206" w:rsidRPr="00925388">
        <w:rPr>
          <w:rFonts w:asciiTheme="minorHAnsi" w:eastAsiaTheme="minorHAnsi" w:hAnsiTheme="minorHAnsi" w:cstheme="minorHAnsi"/>
          <w:i/>
          <w:snapToGrid/>
          <w:sz w:val="24"/>
          <w:szCs w:val="24"/>
        </w:rPr>
        <w:t>)</w:t>
      </w:r>
      <w:r w:rsidR="00A01D8E" w:rsidRPr="00925388">
        <w:rPr>
          <w:rFonts w:asciiTheme="minorHAnsi" w:eastAsiaTheme="minorHAnsi" w:hAnsiTheme="minorHAnsi" w:cstheme="minorHAnsi"/>
          <w:i/>
          <w:snapToGrid/>
          <w:sz w:val="24"/>
          <w:szCs w:val="24"/>
        </w:rPr>
        <w:t xml:space="preserve"> would be substantially less than $10 million per year.</w:t>
      </w:r>
    </w:p>
    <w:p w:rsidR="00895759" w:rsidRPr="004422E3" w:rsidRDefault="00895759" w:rsidP="0089575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As the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liquid formulation provides 30 days’ therapy compared to 28 days’ therapy for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tablets, the submission correctly estimated a slightly higher </w:t>
      </w:r>
      <w:r w:rsidR="00141CD9" w:rsidRPr="004422E3">
        <w:rPr>
          <w:rFonts w:asciiTheme="minorHAnsi" w:eastAsiaTheme="minorHAnsi" w:hAnsiTheme="minorHAnsi" w:cstheme="minorBidi"/>
          <w:snapToGrid/>
          <w:sz w:val="24"/>
          <w:szCs w:val="22"/>
        </w:rPr>
        <w:t>replaced</w:t>
      </w:r>
      <w:r w:rsidRPr="004422E3">
        <w:rPr>
          <w:rFonts w:asciiTheme="minorHAnsi" w:eastAsiaTheme="minorHAnsi" w:hAnsiTheme="minorHAnsi" w:cstheme="minorBidi"/>
          <w:snapToGrid/>
          <w:sz w:val="24"/>
          <w:szCs w:val="22"/>
        </w:rPr>
        <w:t xml:space="preserve"> number of tablet prescriptions than the estimated number of liquid formulation prescriptions. </w:t>
      </w:r>
      <w:r w:rsidR="00247BD6" w:rsidRPr="004422E3">
        <w:rPr>
          <w:rFonts w:asciiTheme="minorHAnsi" w:eastAsiaTheme="minorHAnsi" w:hAnsiTheme="minorHAnsi" w:cstheme="minorBidi"/>
          <w:snapToGrid/>
          <w:sz w:val="24"/>
          <w:szCs w:val="22"/>
        </w:rPr>
        <w:t xml:space="preserve">The submission noted there would be a small reduction in authority requests being processed due to differences in treatment duration per </w:t>
      </w:r>
      <w:r w:rsidR="00247BD6" w:rsidRPr="004422E3">
        <w:rPr>
          <w:rFonts w:asciiTheme="minorHAnsi" w:eastAsiaTheme="minorHAnsi" w:hAnsiTheme="minorHAnsi" w:cstheme="minorBidi"/>
          <w:snapToGrid/>
          <w:sz w:val="24"/>
          <w:szCs w:val="22"/>
        </w:rPr>
        <w:lastRenderedPageBreak/>
        <w:t xml:space="preserve">authority (168 vs. 180 days), however did not consider this would result in any significant overall change in DHS processing costs. </w:t>
      </w:r>
    </w:p>
    <w:p w:rsidR="002D6026" w:rsidRPr="004422E3" w:rsidRDefault="00841CBF" w:rsidP="0089575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submission estimates a</w:t>
      </w:r>
      <w:r w:rsidR="002D6026" w:rsidRPr="004422E3">
        <w:rPr>
          <w:rFonts w:asciiTheme="minorHAnsi" w:eastAsiaTheme="minorHAnsi" w:hAnsiTheme="minorHAnsi" w:cstheme="minorBidi"/>
          <w:snapToGrid/>
          <w:sz w:val="24"/>
          <w:szCs w:val="22"/>
        </w:rPr>
        <w:t xml:space="preserve">re based on the full PBS dataset (based on date of processing by </w:t>
      </w:r>
      <w:r w:rsidR="007060BA" w:rsidRPr="004422E3">
        <w:rPr>
          <w:rFonts w:asciiTheme="minorHAnsi" w:eastAsiaTheme="minorHAnsi" w:hAnsiTheme="minorHAnsi" w:cstheme="minorBidi"/>
          <w:snapToGrid/>
          <w:sz w:val="24"/>
          <w:szCs w:val="22"/>
        </w:rPr>
        <w:t>DHS</w:t>
      </w:r>
      <w:r w:rsidR="002D6026" w:rsidRPr="004422E3">
        <w:rPr>
          <w:rFonts w:asciiTheme="minorHAnsi" w:eastAsiaTheme="minorHAnsi" w:hAnsiTheme="minorHAnsi" w:cstheme="minorBidi"/>
          <w:snapToGrid/>
          <w:sz w:val="24"/>
          <w:szCs w:val="22"/>
        </w:rPr>
        <w:t>) which was used to establish an average overall grow</w:t>
      </w:r>
      <w:r w:rsidR="00444395" w:rsidRPr="004422E3">
        <w:rPr>
          <w:rFonts w:asciiTheme="minorHAnsi" w:eastAsiaTheme="minorHAnsi" w:hAnsiTheme="minorHAnsi" w:cstheme="minorBidi"/>
          <w:snapToGrid/>
          <w:sz w:val="24"/>
          <w:szCs w:val="22"/>
        </w:rPr>
        <w:t xml:space="preserve">th trend in the use of </w:t>
      </w:r>
      <w:proofErr w:type="spellStart"/>
      <w:r w:rsidR="00444395" w:rsidRPr="004422E3">
        <w:rPr>
          <w:rFonts w:asciiTheme="minorHAnsi" w:eastAsiaTheme="minorHAnsi" w:hAnsiTheme="minorHAnsi" w:cstheme="minorBidi"/>
          <w:snapToGrid/>
          <w:sz w:val="24"/>
          <w:szCs w:val="22"/>
        </w:rPr>
        <w:t>riluzole</w:t>
      </w:r>
      <w:proofErr w:type="spellEnd"/>
      <w:r w:rsidR="002D6026" w:rsidRPr="004422E3">
        <w:rPr>
          <w:rFonts w:asciiTheme="minorHAnsi" w:eastAsiaTheme="minorHAnsi" w:hAnsiTheme="minorHAnsi" w:cstheme="minorBidi"/>
          <w:snapToGrid/>
          <w:sz w:val="24"/>
          <w:szCs w:val="22"/>
        </w:rPr>
        <w:t xml:space="preserve">. </w:t>
      </w:r>
    </w:p>
    <w:p w:rsidR="002D6026" w:rsidRPr="004422E3" w:rsidRDefault="002D6026" w:rsidP="0089575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 submission</w:t>
      </w:r>
      <w:r w:rsidR="007060BA" w:rsidRPr="004422E3">
        <w:rPr>
          <w:rFonts w:asciiTheme="minorHAnsi" w:eastAsiaTheme="minorHAnsi" w:hAnsiTheme="minorHAnsi" w:cstheme="minorBidi"/>
          <w:snapToGrid/>
          <w:sz w:val="24"/>
          <w:szCs w:val="22"/>
        </w:rPr>
        <w:t xml:space="preserve"> did not</w:t>
      </w:r>
      <w:r w:rsidRPr="004422E3">
        <w:rPr>
          <w:rFonts w:asciiTheme="minorHAnsi" w:eastAsiaTheme="minorHAnsi" w:hAnsiTheme="minorHAnsi" w:cstheme="minorBidi"/>
          <w:snapToGrid/>
          <w:sz w:val="24"/>
          <w:szCs w:val="22"/>
        </w:rPr>
        <w:t xml:space="preserve"> </w:t>
      </w:r>
      <w:r w:rsidR="00123FA3" w:rsidRPr="004422E3">
        <w:rPr>
          <w:rFonts w:asciiTheme="minorHAnsi" w:eastAsiaTheme="minorHAnsi" w:hAnsiTheme="minorHAnsi" w:cstheme="minorBidi"/>
          <w:snapToGrid/>
          <w:sz w:val="24"/>
          <w:szCs w:val="22"/>
        </w:rPr>
        <w:t>consider</w:t>
      </w:r>
      <w:r w:rsidRPr="004422E3">
        <w:rPr>
          <w:rFonts w:asciiTheme="minorHAnsi" w:eastAsiaTheme="minorHAnsi" w:hAnsiTheme="minorHAnsi" w:cstheme="minorBidi"/>
          <w:snapToGrid/>
          <w:sz w:val="24"/>
          <w:szCs w:val="22"/>
        </w:rPr>
        <w:t xml:space="preserve"> any potential growth in the market associated with increased duration of therapy if patients are able to continue using the oral liquid in circumstances where use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xml:space="preserve"> tablets i</w:t>
      </w:r>
      <w:r w:rsidR="007B72F7" w:rsidRPr="004422E3">
        <w:rPr>
          <w:rFonts w:asciiTheme="minorHAnsi" w:eastAsiaTheme="minorHAnsi" w:hAnsiTheme="minorHAnsi" w:cstheme="minorBidi"/>
          <w:snapToGrid/>
          <w:sz w:val="24"/>
          <w:szCs w:val="22"/>
        </w:rPr>
        <w:t>s no longer possible. No data was</w:t>
      </w:r>
      <w:r w:rsidRPr="004422E3">
        <w:rPr>
          <w:rFonts w:asciiTheme="minorHAnsi" w:eastAsiaTheme="minorHAnsi" w:hAnsiTheme="minorHAnsi" w:cstheme="minorBidi"/>
          <w:snapToGrid/>
          <w:sz w:val="24"/>
          <w:szCs w:val="22"/>
        </w:rPr>
        <w:t xml:space="preserve"> available to evaluate comparative differences in ability to </w:t>
      </w:r>
      <w:r w:rsidR="00123FA3" w:rsidRPr="004422E3">
        <w:rPr>
          <w:rFonts w:asciiTheme="minorHAnsi" w:eastAsiaTheme="minorHAnsi" w:hAnsiTheme="minorHAnsi" w:cstheme="minorBidi"/>
          <w:snapToGrid/>
          <w:sz w:val="24"/>
          <w:szCs w:val="22"/>
        </w:rPr>
        <w:t>continue treatment</w:t>
      </w:r>
      <w:r w:rsidRPr="004422E3">
        <w:rPr>
          <w:rFonts w:asciiTheme="minorHAnsi" w:eastAsiaTheme="minorHAnsi" w:hAnsiTheme="minorHAnsi" w:cstheme="minorBidi"/>
          <w:snapToGrid/>
          <w:sz w:val="24"/>
          <w:szCs w:val="22"/>
        </w:rPr>
        <w:t xml:space="preserve"> (particularly as the disease progresses) </w:t>
      </w:r>
      <w:r w:rsidR="00123FA3" w:rsidRPr="004422E3">
        <w:rPr>
          <w:rFonts w:asciiTheme="minorHAnsi" w:eastAsiaTheme="minorHAnsi" w:hAnsiTheme="minorHAnsi" w:cstheme="minorBidi"/>
          <w:snapToGrid/>
          <w:sz w:val="24"/>
          <w:szCs w:val="22"/>
        </w:rPr>
        <w:t xml:space="preserve">between the liquid and tablet forms and the potential for any </w:t>
      </w:r>
      <w:r w:rsidR="007060BA" w:rsidRPr="004422E3">
        <w:rPr>
          <w:rFonts w:asciiTheme="minorHAnsi" w:eastAsiaTheme="minorHAnsi" w:hAnsiTheme="minorHAnsi" w:cstheme="minorBidi"/>
          <w:snapToGrid/>
          <w:sz w:val="24"/>
          <w:szCs w:val="22"/>
        </w:rPr>
        <w:t>growth in the market is unclear.</w:t>
      </w:r>
    </w:p>
    <w:p w:rsidR="00247BD6" w:rsidRPr="004422E3" w:rsidRDefault="002D6026" w:rsidP="0089575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There is some uncertainty regarding the projected uptake rate of the liquid form</w:t>
      </w:r>
      <w:r w:rsidR="00123FA3" w:rsidRPr="004422E3">
        <w:rPr>
          <w:rFonts w:asciiTheme="minorHAnsi" w:eastAsiaTheme="minorHAnsi" w:hAnsiTheme="minorHAnsi" w:cstheme="minorBidi"/>
          <w:snapToGrid/>
          <w:sz w:val="24"/>
          <w:szCs w:val="22"/>
        </w:rPr>
        <w:t xml:space="preserve">ulation of </w:t>
      </w:r>
      <w:proofErr w:type="spellStart"/>
      <w:r w:rsidR="00123FA3" w:rsidRPr="004422E3">
        <w:rPr>
          <w:rFonts w:asciiTheme="minorHAnsi" w:eastAsiaTheme="minorHAnsi" w:hAnsiTheme="minorHAnsi" w:cstheme="minorBidi"/>
          <w:snapToGrid/>
          <w:sz w:val="24"/>
          <w:szCs w:val="22"/>
        </w:rPr>
        <w:t>riluzole</w:t>
      </w:r>
      <w:proofErr w:type="spellEnd"/>
      <w:r w:rsidR="00123FA3" w:rsidRPr="004422E3">
        <w:rPr>
          <w:rFonts w:asciiTheme="minorHAnsi" w:eastAsiaTheme="minorHAnsi" w:hAnsiTheme="minorHAnsi" w:cstheme="minorBidi"/>
          <w:snapToGrid/>
          <w:sz w:val="24"/>
          <w:szCs w:val="22"/>
        </w:rPr>
        <w:t xml:space="preserve"> (up to 40%). </w:t>
      </w:r>
      <w:r w:rsidRPr="004422E3">
        <w:rPr>
          <w:rFonts w:asciiTheme="minorHAnsi" w:eastAsiaTheme="minorHAnsi" w:hAnsiTheme="minorHAnsi" w:cstheme="minorBidi"/>
          <w:snapToGrid/>
          <w:sz w:val="24"/>
          <w:szCs w:val="22"/>
        </w:rPr>
        <w:t xml:space="preserve">The submission presented sensitivity analyses </w:t>
      </w:r>
      <w:r w:rsidR="00123FA3" w:rsidRPr="004422E3">
        <w:rPr>
          <w:rFonts w:asciiTheme="minorHAnsi" w:eastAsiaTheme="minorHAnsi" w:hAnsiTheme="minorHAnsi" w:cstheme="minorBidi"/>
          <w:snapToGrid/>
          <w:sz w:val="24"/>
          <w:szCs w:val="22"/>
        </w:rPr>
        <w:t xml:space="preserve">to model differences in the net cost to the PBS if the maximum uptake rate was decreased to 20% (halving the uptake rate in all years) or increased to 60% (increasing the uptake rate </w:t>
      </w:r>
      <w:r w:rsidR="007060BA" w:rsidRPr="004422E3">
        <w:rPr>
          <w:rFonts w:asciiTheme="minorHAnsi" w:eastAsiaTheme="minorHAnsi" w:hAnsiTheme="minorHAnsi" w:cstheme="minorBidi"/>
          <w:snapToGrid/>
          <w:sz w:val="24"/>
          <w:szCs w:val="22"/>
        </w:rPr>
        <w:t>by a factor of 1.5 in all years</w:t>
      </w:r>
      <w:r w:rsidR="00123FA3" w:rsidRPr="004422E3">
        <w:rPr>
          <w:rFonts w:asciiTheme="minorHAnsi" w:eastAsiaTheme="minorHAnsi" w:hAnsiTheme="minorHAnsi" w:cstheme="minorBidi"/>
          <w:snapToGrid/>
          <w:sz w:val="24"/>
          <w:szCs w:val="22"/>
        </w:rPr>
        <w:t>). Results of the sensitivity analyses are presented in the table below.</w:t>
      </w:r>
    </w:p>
    <w:p w:rsidR="00FE5471" w:rsidRPr="004422E3" w:rsidRDefault="00FE5471" w:rsidP="00E33C89">
      <w:pPr>
        <w:pStyle w:val="Caption"/>
        <w:widowControl w:val="0"/>
      </w:pPr>
      <w:r w:rsidRPr="004422E3">
        <w:t xml:space="preserve">Table </w:t>
      </w:r>
      <w:r w:rsidRPr="000A3C7B">
        <w:t>4</w:t>
      </w:r>
      <w:r w:rsidRPr="004422E3">
        <w:t>: Financial estimates sensitivity analyses with 20% and 60% maximum uptake rates</w:t>
      </w:r>
    </w:p>
    <w:tbl>
      <w:tblPr>
        <w:tblStyle w:val="Submissionstandard8"/>
        <w:tblpPr w:leftFromText="180" w:rightFromText="180" w:vertAnchor="text" w:horzAnchor="margin" w:tblpX="108" w:tblpY="33"/>
        <w:tblW w:w="5000" w:type="pct"/>
        <w:tblLook w:val="04A0" w:firstRow="1" w:lastRow="0" w:firstColumn="1" w:lastColumn="0" w:noHBand="0" w:noVBand="1"/>
        <w:tblCaption w:val="Financial estimates sensitivity analyses with 20% and 60% maximum uptake rates"/>
      </w:tblPr>
      <w:tblGrid>
        <w:gridCol w:w="1966"/>
        <w:gridCol w:w="1175"/>
        <w:gridCol w:w="1175"/>
        <w:gridCol w:w="1175"/>
        <w:gridCol w:w="1177"/>
        <w:gridCol w:w="1177"/>
        <w:gridCol w:w="1171"/>
      </w:tblGrid>
      <w:tr w:rsidR="00123FA3" w:rsidRPr="004422E3" w:rsidTr="00E33C89">
        <w:trPr>
          <w:cnfStyle w:val="100000000000" w:firstRow="1" w:lastRow="0" w:firstColumn="0" w:lastColumn="0" w:oddVBand="0" w:evenVBand="0" w:oddHBand="0" w:evenHBand="0" w:firstRowFirstColumn="0" w:firstRowLastColumn="0" w:lastRowFirstColumn="0" w:lastRowLastColumn="0"/>
          <w:cantSplit/>
          <w:trHeight w:val="20"/>
        </w:trPr>
        <w:tc>
          <w:tcPr>
            <w:tcW w:w="1064" w:type="pct"/>
            <w:shd w:val="clear" w:color="auto" w:fill="auto"/>
            <w:noWrap/>
            <w:hideMark/>
          </w:tcPr>
          <w:p w:rsidR="00123FA3" w:rsidRPr="000A3C7B" w:rsidRDefault="00123FA3" w:rsidP="00DC6240">
            <w:pPr>
              <w:pStyle w:val="TableTitlecentred"/>
              <w:keepNext/>
              <w:keepLines/>
              <w:widowControl w:val="0"/>
              <w:rPr>
                <w:rFonts w:ascii="Arial Narrow" w:hAnsi="Arial Narrow"/>
                <w:b/>
                <w:sz w:val="20"/>
                <w:lang w:val="en-AU"/>
              </w:rPr>
            </w:pPr>
          </w:p>
        </w:tc>
        <w:tc>
          <w:tcPr>
            <w:tcW w:w="656" w:type="pct"/>
            <w:shd w:val="clear" w:color="auto" w:fill="auto"/>
            <w:noWrap/>
            <w:hideMark/>
          </w:tcPr>
          <w:p w:rsidR="00123FA3" w:rsidRPr="000A3C7B" w:rsidRDefault="00123FA3" w:rsidP="00DC6240">
            <w:pPr>
              <w:pStyle w:val="TableTitlecentred"/>
              <w:keepNext/>
              <w:keepLines/>
              <w:widowControl w:val="0"/>
              <w:rPr>
                <w:rFonts w:ascii="Arial Narrow" w:hAnsi="Arial Narrow"/>
                <w:b/>
                <w:bCs/>
                <w:sz w:val="20"/>
                <w:lang w:val="en-AU"/>
              </w:rPr>
            </w:pPr>
            <w:r w:rsidRPr="004422E3">
              <w:rPr>
                <w:rFonts w:ascii="Arial Narrow" w:hAnsi="Arial Narrow"/>
                <w:bCs/>
                <w:sz w:val="20"/>
              </w:rPr>
              <w:t>2019</w:t>
            </w:r>
          </w:p>
        </w:tc>
        <w:tc>
          <w:tcPr>
            <w:tcW w:w="656" w:type="pct"/>
            <w:shd w:val="clear" w:color="auto" w:fill="auto"/>
            <w:noWrap/>
            <w:hideMark/>
          </w:tcPr>
          <w:p w:rsidR="00123FA3" w:rsidRPr="000A3C7B" w:rsidRDefault="00123FA3" w:rsidP="00DC6240">
            <w:pPr>
              <w:pStyle w:val="TableTitlecentred"/>
              <w:keepNext/>
              <w:keepLines/>
              <w:widowControl w:val="0"/>
              <w:rPr>
                <w:rFonts w:ascii="Arial Narrow" w:hAnsi="Arial Narrow"/>
                <w:b/>
                <w:bCs/>
                <w:sz w:val="20"/>
                <w:lang w:val="en-AU"/>
              </w:rPr>
            </w:pPr>
            <w:r w:rsidRPr="004422E3">
              <w:rPr>
                <w:rFonts w:ascii="Arial Narrow" w:hAnsi="Arial Narrow"/>
                <w:bCs/>
                <w:sz w:val="20"/>
              </w:rPr>
              <w:t>2020</w:t>
            </w:r>
          </w:p>
        </w:tc>
        <w:tc>
          <w:tcPr>
            <w:tcW w:w="656" w:type="pct"/>
            <w:shd w:val="clear" w:color="auto" w:fill="auto"/>
            <w:noWrap/>
            <w:hideMark/>
          </w:tcPr>
          <w:p w:rsidR="00123FA3" w:rsidRPr="000A3C7B" w:rsidRDefault="00123FA3" w:rsidP="00DC6240">
            <w:pPr>
              <w:pStyle w:val="TableTitlecentred"/>
              <w:keepNext/>
              <w:keepLines/>
              <w:widowControl w:val="0"/>
              <w:rPr>
                <w:rFonts w:ascii="Arial Narrow" w:hAnsi="Arial Narrow"/>
                <w:b/>
                <w:bCs/>
                <w:sz w:val="20"/>
                <w:lang w:val="en-AU"/>
              </w:rPr>
            </w:pPr>
            <w:r w:rsidRPr="004422E3">
              <w:rPr>
                <w:rFonts w:ascii="Arial Narrow" w:hAnsi="Arial Narrow"/>
                <w:bCs/>
                <w:sz w:val="20"/>
              </w:rPr>
              <w:t>2021</w:t>
            </w:r>
          </w:p>
        </w:tc>
        <w:tc>
          <w:tcPr>
            <w:tcW w:w="657" w:type="pct"/>
            <w:shd w:val="clear" w:color="auto" w:fill="auto"/>
            <w:noWrap/>
            <w:hideMark/>
          </w:tcPr>
          <w:p w:rsidR="00123FA3" w:rsidRPr="000A3C7B" w:rsidRDefault="00123FA3" w:rsidP="00DC6240">
            <w:pPr>
              <w:pStyle w:val="TableTitlecentred"/>
              <w:keepNext/>
              <w:keepLines/>
              <w:widowControl w:val="0"/>
              <w:rPr>
                <w:rFonts w:ascii="Arial Narrow" w:hAnsi="Arial Narrow"/>
                <w:b/>
                <w:bCs/>
                <w:sz w:val="20"/>
                <w:lang w:val="en-AU"/>
              </w:rPr>
            </w:pPr>
            <w:r w:rsidRPr="004422E3">
              <w:rPr>
                <w:rFonts w:ascii="Arial Narrow" w:hAnsi="Arial Narrow"/>
                <w:bCs/>
                <w:sz w:val="20"/>
              </w:rPr>
              <w:t>2022</w:t>
            </w:r>
          </w:p>
        </w:tc>
        <w:tc>
          <w:tcPr>
            <w:tcW w:w="657" w:type="pct"/>
            <w:shd w:val="clear" w:color="auto" w:fill="auto"/>
            <w:noWrap/>
            <w:hideMark/>
          </w:tcPr>
          <w:p w:rsidR="00123FA3" w:rsidRPr="000A3C7B" w:rsidRDefault="00123FA3" w:rsidP="00DC6240">
            <w:pPr>
              <w:pStyle w:val="TableTitlecentred"/>
              <w:keepNext/>
              <w:keepLines/>
              <w:widowControl w:val="0"/>
              <w:rPr>
                <w:rFonts w:ascii="Arial Narrow" w:hAnsi="Arial Narrow"/>
                <w:b/>
                <w:bCs/>
                <w:sz w:val="20"/>
                <w:lang w:val="en-AU"/>
              </w:rPr>
            </w:pPr>
            <w:r w:rsidRPr="004422E3">
              <w:rPr>
                <w:rFonts w:ascii="Arial Narrow" w:hAnsi="Arial Narrow"/>
                <w:bCs/>
                <w:sz w:val="20"/>
              </w:rPr>
              <w:t>2023</w:t>
            </w:r>
          </w:p>
        </w:tc>
        <w:tc>
          <w:tcPr>
            <w:tcW w:w="654" w:type="pct"/>
            <w:shd w:val="clear" w:color="auto" w:fill="auto"/>
            <w:noWrap/>
            <w:hideMark/>
          </w:tcPr>
          <w:p w:rsidR="00123FA3" w:rsidRPr="000A3C7B" w:rsidRDefault="00123FA3" w:rsidP="00DC6240">
            <w:pPr>
              <w:pStyle w:val="TableTitlecentred"/>
              <w:keepNext/>
              <w:keepLines/>
              <w:widowControl w:val="0"/>
              <w:rPr>
                <w:rFonts w:ascii="Arial Narrow" w:hAnsi="Arial Narrow"/>
                <w:b/>
                <w:bCs/>
                <w:sz w:val="20"/>
                <w:lang w:val="en-AU"/>
              </w:rPr>
            </w:pPr>
            <w:r w:rsidRPr="004422E3">
              <w:rPr>
                <w:rFonts w:ascii="Arial Narrow" w:hAnsi="Arial Narrow"/>
                <w:bCs/>
                <w:sz w:val="20"/>
              </w:rPr>
              <w:t>2024</w:t>
            </w:r>
          </w:p>
        </w:tc>
      </w:tr>
      <w:tr w:rsidR="00123FA3" w:rsidRPr="004422E3" w:rsidTr="00E33C89">
        <w:trPr>
          <w:cantSplit/>
          <w:trHeight w:val="20"/>
        </w:trPr>
        <w:tc>
          <w:tcPr>
            <w:tcW w:w="1064" w:type="pct"/>
            <w:shd w:val="clear" w:color="auto" w:fill="auto"/>
            <w:noWrap/>
          </w:tcPr>
          <w:p w:rsidR="00123FA3" w:rsidRPr="000A3C7B" w:rsidRDefault="00123FA3" w:rsidP="00DC6240">
            <w:pPr>
              <w:pStyle w:val="TableTextleftalign"/>
              <w:keepNext/>
              <w:keepLines/>
              <w:widowControl w:val="0"/>
              <w:rPr>
                <w:rFonts w:ascii="Arial Narrow" w:hAnsi="Arial Narrow"/>
                <w:b/>
                <w:sz w:val="20"/>
                <w:szCs w:val="20"/>
                <w:lang w:val="en-AU"/>
              </w:rPr>
            </w:pPr>
            <w:r w:rsidRPr="004422E3">
              <w:rPr>
                <w:rFonts w:ascii="Arial Narrow" w:hAnsi="Arial Narrow"/>
                <w:b/>
                <w:sz w:val="20"/>
                <w:szCs w:val="20"/>
              </w:rPr>
              <w:t>Uptake rate (max 20%)</w:t>
            </w:r>
          </w:p>
        </w:tc>
        <w:tc>
          <w:tcPr>
            <w:tcW w:w="656"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0.50%</w:t>
            </w:r>
          </w:p>
        </w:tc>
        <w:tc>
          <w:tcPr>
            <w:tcW w:w="656"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5.50%</w:t>
            </w:r>
          </w:p>
        </w:tc>
        <w:tc>
          <w:tcPr>
            <w:tcW w:w="656"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11.25%</w:t>
            </w:r>
          </w:p>
        </w:tc>
        <w:tc>
          <w:tcPr>
            <w:tcW w:w="657"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16.50%</w:t>
            </w:r>
          </w:p>
        </w:tc>
        <w:tc>
          <w:tcPr>
            <w:tcW w:w="657"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20.00%</w:t>
            </w:r>
          </w:p>
        </w:tc>
        <w:tc>
          <w:tcPr>
            <w:tcW w:w="654"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20.00%</w:t>
            </w:r>
          </w:p>
        </w:tc>
      </w:tr>
      <w:tr w:rsidR="00123FA3" w:rsidRPr="004422E3" w:rsidTr="00E33C89">
        <w:trPr>
          <w:cantSplit/>
          <w:trHeight w:val="20"/>
        </w:trPr>
        <w:tc>
          <w:tcPr>
            <w:tcW w:w="1064" w:type="pct"/>
            <w:shd w:val="clear" w:color="auto" w:fill="auto"/>
            <w:noWrap/>
            <w:hideMark/>
          </w:tcPr>
          <w:p w:rsidR="00123FA3" w:rsidRPr="000A3C7B" w:rsidRDefault="00123FA3" w:rsidP="00DC6240">
            <w:pPr>
              <w:pStyle w:val="TableTextleftalign"/>
              <w:keepNext/>
              <w:keepLines/>
              <w:widowControl w:val="0"/>
              <w:rPr>
                <w:rFonts w:ascii="Arial Narrow" w:hAnsi="Arial Narrow"/>
                <w:sz w:val="20"/>
                <w:szCs w:val="20"/>
                <w:lang w:val="en-AU"/>
              </w:rPr>
            </w:pPr>
            <w:r w:rsidRPr="004422E3">
              <w:rPr>
                <w:rFonts w:ascii="Arial Narrow" w:hAnsi="Arial Narrow"/>
                <w:sz w:val="20"/>
                <w:szCs w:val="20"/>
              </w:rPr>
              <w:t>Net cost to PBS/RPBS</w:t>
            </w:r>
          </w:p>
        </w:tc>
        <w:tc>
          <w:tcPr>
            <w:tcW w:w="656" w:type="pct"/>
            <w:shd w:val="clear" w:color="auto" w:fill="auto"/>
            <w:noWrap/>
            <w:hideMark/>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6" w:type="pct"/>
            <w:shd w:val="clear" w:color="auto" w:fill="auto"/>
            <w:noWrap/>
            <w:hideMark/>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6" w:type="pct"/>
            <w:shd w:val="clear" w:color="auto" w:fill="auto"/>
            <w:noWrap/>
            <w:hideMark/>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7" w:type="pct"/>
            <w:shd w:val="clear" w:color="auto" w:fill="auto"/>
            <w:noWrap/>
            <w:hideMark/>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7" w:type="pct"/>
            <w:shd w:val="clear" w:color="auto" w:fill="auto"/>
            <w:noWrap/>
            <w:hideMark/>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4" w:type="pct"/>
            <w:shd w:val="clear" w:color="auto" w:fill="auto"/>
            <w:noWrap/>
            <w:hideMark/>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r>
      <w:tr w:rsidR="00123FA3" w:rsidRPr="004422E3" w:rsidTr="00E33C89">
        <w:trPr>
          <w:cantSplit/>
          <w:trHeight w:val="20"/>
        </w:trPr>
        <w:tc>
          <w:tcPr>
            <w:tcW w:w="1064" w:type="pct"/>
            <w:shd w:val="clear" w:color="auto" w:fill="auto"/>
            <w:noWrap/>
          </w:tcPr>
          <w:p w:rsidR="00123FA3" w:rsidRPr="000A3C7B" w:rsidRDefault="005E2762" w:rsidP="00DC6240">
            <w:pPr>
              <w:pStyle w:val="TableTextleftalign"/>
              <w:keepNext/>
              <w:keepLines/>
              <w:widowControl w:val="0"/>
              <w:rPr>
                <w:rFonts w:ascii="Arial Narrow" w:hAnsi="Arial Narrow"/>
                <w:b/>
                <w:sz w:val="20"/>
                <w:szCs w:val="20"/>
                <w:lang w:val="en-AU"/>
              </w:rPr>
            </w:pPr>
            <w:r w:rsidRPr="004422E3">
              <w:rPr>
                <w:rFonts w:ascii="Arial Narrow" w:hAnsi="Arial Narrow"/>
                <w:b/>
                <w:sz w:val="20"/>
                <w:szCs w:val="20"/>
              </w:rPr>
              <w:t>Uptake rate (max 6</w:t>
            </w:r>
            <w:r w:rsidR="00123FA3" w:rsidRPr="004422E3">
              <w:rPr>
                <w:rFonts w:ascii="Arial Narrow" w:hAnsi="Arial Narrow"/>
                <w:b/>
                <w:sz w:val="20"/>
                <w:szCs w:val="20"/>
              </w:rPr>
              <w:t>0%)</w:t>
            </w:r>
          </w:p>
        </w:tc>
        <w:tc>
          <w:tcPr>
            <w:tcW w:w="656"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1.50%</w:t>
            </w:r>
          </w:p>
        </w:tc>
        <w:tc>
          <w:tcPr>
            <w:tcW w:w="656"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16.50%</w:t>
            </w:r>
          </w:p>
        </w:tc>
        <w:tc>
          <w:tcPr>
            <w:tcW w:w="656"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33.75%</w:t>
            </w:r>
          </w:p>
        </w:tc>
        <w:tc>
          <w:tcPr>
            <w:tcW w:w="657"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49.50%</w:t>
            </w:r>
          </w:p>
        </w:tc>
        <w:tc>
          <w:tcPr>
            <w:tcW w:w="657"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60.00%</w:t>
            </w:r>
          </w:p>
        </w:tc>
        <w:tc>
          <w:tcPr>
            <w:tcW w:w="654" w:type="pct"/>
            <w:shd w:val="clear" w:color="auto" w:fill="auto"/>
            <w:noWrap/>
            <w:vAlign w:val="center"/>
          </w:tcPr>
          <w:p w:rsidR="00123FA3" w:rsidRPr="000A3C7B" w:rsidRDefault="00123FA3" w:rsidP="00DC6240">
            <w:pPr>
              <w:keepNext/>
              <w:keepLines/>
              <w:widowControl w:val="0"/>
              <w:jc w:val="center"/>
              <w:rPr>
                <w:sz w:val="20"/>
                <w:szCs w:val="20"/>
                <w:lang w:val="en-AU"/>
              </w:rPr>
            </w:pPr>
            <w:r w:rsidRPr="004422E3">
              <w:rPr>
                <w:sz w:val="20"/>
                <w:szCs w:val="20"/>
              </w:rPr>
              <w:t>60.00%</w:t>
            </w:r>
          </w:p>
        </w:tc>
      </w:tr>
      <w:tr w:rsidR="00123FA3" w:rsidRPr="004422E3" w:rsidTr="00E33C89">
        <w:trPr>
          <w:cantSplit/>
          <w:trHeight w:val="20"/>
        </w:trPr>
        <w:tc>
          <w:tcPr>
            <w:tcW w:w="1064" w:type="pct"/>
            <w:shd w:val="clear" w:color="auto" w:fill="auto"/>
            <w:noWrap/>
          </w:tcPr>
          <w:p w:rsidR="00123FA3" w:rsidRPr="000A3C7B" w:rsidRDefault="005E2762" w:rsidP="00DC6240">
            <w:pPr>
              <w:pStyle w:val="TableTextleftalign"/>
              <w:keepNext/>
              <w:keepLines/>
              <w:widowControl w:val="0"/>
              <w:rPr>
                <w:rFonts w:ascii="Arial Narrow" w:hAnsi="Arial Narrow"/>
                <w:sz w:val="20"/>
                <w:szCs w:val="20"/>
                <w:lang w:val="en-AU"/>
              </w:rPr>
            </w:pPr>
            <w:r w:rsidRPr="004422E3">
              <w:rPr>
                <w:rFonts w:ascii="Arial Narrow" w:hAnsi="Arial Narrow"/>
                <w:sz w:val="20"/>
                <w:szCs w:val="20"/>
              </w:rPr>
              <w:t>Net cost to PBS/RPBS</w:t>
            </w:r>
          </w:p>
        </w:tc>
        <w:tc>
          <w:tcPr>
            <w:tcW w:w="656" w:type="pct"/>
            <w:shd w:val="clear" w:color="auto" w:fill="auto"/>
            <w:noWrap/>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6" w:type="pct"/>
            <w:shd w:val="clear" w:color="auto" w:fill="auto"/>
            <w:noWrap/>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6" w:type="pct"/>
            <w:shd w:val="clear" w:color="auto" w:fill="auto"/>
            <w:noWrap/>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7" w:type="pct"/>
            <w:shd w:val="clear" w:color="auto" w:fill="auto"/>
            <w:noWrap/>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7" w:type="pct"/>
            <w:shd w:val="clear" w:color="auto" w:fill="auto"/>
            <w:noWrap/>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c>
          <w:tcPr>
            <w:tcW w:w="654" w:type="pct"/>
            <w:shd w:val="clear" w:color="auto" w:fill="auto"/>
            <w:noWrap/>
          </w:tcPr>
          <w:p w:rsidR="00123FA3" w:rsidRPr="000A3C7B" w:rsidRDefault="00123FA3" w:rsidP="00DC6240">
            <w:pPr>
              <w:keepNext/>
              <w:keepLines/>
              <w:widowControl w:val="0"/>
              <w:jc w:val="center"/>
              <w:rPr>
                <w:sz w:val="20"/>
                <w:szCs w:val="20"/>
                <w:lang w:val="en-AU"/>
              </w:rPr>
            </w:pPr>
            <w:r w:rsidRPr="004422E3">
              <w:rPr>
                <w:sz w:val="20"/>
                <w:szCs w:val="20"/>
              </w:rPr>
              <w:t>$</w:t>
            </w:r>
            <w:r w:rsidR="00F24C24">
              <w:rPr>
                <w:noProof/>
                <w:color w:val="000000"/>
                <w:sz w:val="20"/>
                <w:szCs w:val="20"/>
                <w:highlight w:val="black"/>
              </w:rPr>
              <w:t>'''''''''''''''''''</w:t>
            </w:r>
          </w:p>
        </w:tc>
      </w:tr>
    </w:tbl>
    <w:p w:rsidR="00476206" w:rsidRPr="004422E3" w:rsidRDefault="00FE5471" w:rsidP="00FE5471">
      <w:pPr>
        <w:pStyle w:val="ListParagraph"/>
        <w:widowControl/>
        <w:spacing w:after="160"/>
        <w:ind w:left="0"/>
        <w:contextualSpacing w:val="0"/>
        <w:rPr>
          <w:rFonts w:ascii="Arial Narrow" w:eastAsiaTheme="minorHAnsi" w:hAnsi="Arial Narrow" w:cstheme="minorBidi"/>
          <w:snapToGrid/>
          <w:sz w:val="20"/>
        </w:rPr>
      </w:pPr>
      <w:r w:rsidRPr="004422E3">
        <w:rPr>
          <w:rFonts w:ascii="Arial Narrow" w:eastAsiaTheme="minorHAnsi" w:hAnsi="Arial Narrow" w:cstheme="minorBidi"/>
          <w:snapToGrid/>
          <w:sz w:val="20"/>
        </w:rPr>
        <w:t>Source: Main body of the submission (sensitivity analyses)</w:t>
      </w:r>
    </w:p>
    <w:p w:rsidR="007060BA" w:rsidRPr="004422E3" w:rsidRDefault="007060BA" w:rsidP="00FA2598">
      <w:pPr>
        <w:pStyle w:val="Heading2"/>
      </w:pPr>
      <w:r w:rsidRPr="004422E3">
        <w:t>Quality use of medicines</w:t>
      </w:r>
    </w:p>
    <w:p w:rsidR="00CE10C4" w:rsidRPr="004422E3" w:rsidRDefault="009D0CDF" w:rsidP="006F2234">
      <w:pPr>
        <w:pStyle w:val="ListParagraph"/>
        <w:numPr>
          <w:ilvl w:val="1"/>
          <w:numId w:val="14"/>
        </w:numPr>
        <w:spacing w:before="120" w:after="160"/>
        <w:rPr>
          <w:rFonts w:asciiTheme="minorHAnsi" w:eastAsiaTheme="minorHAnsi" w:hAnsiTheme="minorHAnsi" w:cstheme="minorBidi"/>
          <w:snapToGrid/>
          <w:sz w:val="24"/>
          <w:szCs w:val="22"/>
        </w:rPr>
      </w:pPr>
      <w:r w:rsidRPr="004422E3">
        <w:rPr>
          <w:rFonts w:asciiTheme="minorHAnsi" w:eastAsiaTheme="minorHAnsi" w:hAnsiTheme="minorHAnsi" w:cstheme="minorBidi"/>
          <w:snapToGrid/>
          <w:sz w:val="24"/>
          <w:szCs w:val="22"/>
        </w:rPr>
        <w:t xml:space="preserve">Due to differences in the liquid and tablet forms of </w:t>
      </w:r>
      <w:proofErr w:type="spellStart"/>
      <w:r w:rsidRPr="004422E3">
        <w:rPr>
          <w:rFonts w:asciiTheme="minorHAnsi" w:eastAsiaTheme="minorHAnsi" w:hAnsiTheme="minorHAnsi" w:cstheme="minorBidi"/>
          <w:snapToGrid/>
          <w:sz w:val="24"/>
          <w:szCs w:val="22"/>
        </w:rPr>
        <w:t>riluzole</w:t>
      </w:r>
      <w:proofErr w:type="spellEnd"/>
      <w:r w:rsidRPr="004422E3">
        <w:rPr>
          <w:rFonts w:asciiTheme="minorHAnsi" w:eastAsiaTheme="minorHAnsi" w:hAnsiTheme="minorHAnsi" w:cstheme="minorBidi"/>
          <w:snapToGrid/>
          <w:sz w:val="24"/>
          <w:szCs w:val="22"/>
        </w:rPr>
        <w:t>, the submiss</w:t>
      </w:r>
      <w:r w:rsidR="00141CD9" w:rsidRPr="004422E3">
        <w:rPr>
          <w:rFonts w:asciiTheme="minorHAnsi" w:eastAsiaTheme="minorHAnsi" w:hAnsiTheme="minorHAnsi" w:cstheme="minorBidi"/>
          <w:snapToGrid/>
          <w:sz w:val="24"/>
          <w:szCs w:val="22"/>
        </w:rPr>
        <w:t xml:space="preserve">ion explicitly requested that </w:t>
      </w:r>
      <w:proofErr w:type="spellStart"/>
      <w:r w:rsidR="00141CD9" w:rsidRPr="004422E3">
        <w:rPr>
          <w:rFonts w:asciiTheme="minorHAnsi" w:eastAsiaTheme="minorHAnsi" w:hAnsiTheme="minorHAnsi" w:cstheme="minorBidi"/>
          <w:snapToGrid/>
          <w:sz w:val="24"/>
          <w:szCs w:val="22"/>
        </w:rPr>
        <w:t>riluzole</w:t>
      </w:r>
      <w:proofErr w:type="spellEnd"/>
      <w:r w:rsidR="00141CD9" w:rsidRPr="004422E3">
        <w:rPr>
          <w:rFonts w:asciiTheme="minorHAnsi" w:eastAsiaTheme="minorHAnsi" w:hAnsiTheme="minorHAnsi" w:cstheme="minorBidi"/>
          <w:snapToGrid/>
          <w:sz w:val="24"/>
          <w:szCs w:val="22"/>
        </w:rPr>
        <w:t xml:space="preserve"> liquid</w:t>
      </w:r>
      <w:r w:rsidR="006F2234" w:rsidRPr="004422E3">
        <w:rPr>
          <w:rFonts w:asciiTheme="minorHAnsi" w:eastAsiaTheme="minorHAnsi" w:hAnsiTheme="minorHAnsi" w:cstheme="minorBidi"/>
          <w:snapToGrid/>
          <w:sz w:val="24"/>
          <w:szCs w:val="22"/>
        </w:rPr>
        <w:t xml:space="preserve"> not</w:t>
      </w:r>
      <w:r w:rsidR="00141CD9" w:rsidRPr="004422E3">
        <w:rPr>
          <w:rFonts w:asciiTheme="minorHAnsi" w:eastAsiaTheme="minorHAnsi" w:hAnsiTheme="minorHAnsi" w:cstheme="minorBidi"/>
          <w:snapToGrid/>
          <w:sz w:val="24"/>
          <w:szCs w:val="22"/>
        </w:rPr>
        <w:t xml:space="preserve"> be considered interchangeable with </w:t>
      </w:r>
      <w:proofErr w:type="spellStart"/>
      <w:r w:rsidR="00141CD9" w:rsidRPr="004422E3">
        <w:rPr>
          <w:rFonts w:asciiTheme="minorHAnsi" w:eastAsiaTheme="minorHAnsi" w:hAnsiTheme="minorHAnsi" w:cstheme="minorBidi"/>
          <w:snapToGrid/>
          <w:sz w:val="24"/>
          <w:szCs w:val="22"/>
        </w:rPr>
        <w:t>riluzole</w:t>
      </w:r>
      <w:proofErr w:type="spellEnd"/>
      <w:r w:rsidR="00141CD9" w:rsidRPr="004422E3">
        <w:rPr>
          <w:rFonts w:asciiTheme="minorHAnsi" w:eastAsiaTheme="minorHAnsi" w:hAnsiTheme="minorHAnsi" w:cstheme="minorBidi"/>
          <w:snapToGrid/>
          <w:sz w:val="24"/>
          <w:szCs w:val="22"/>
        </w:rPr>
        <w:t xml:space="preserve"> tablets. </w:t>
      </w:r>
      <w:r w:rsidR="006F2234" w:rsidRPr="004422E3">
        <w:rPr>
          <w:rFonts w:asciiTheme="minorHAnsi" w:eastAsiaTheme="minorHAnsi" w:hAnsiTheme="minorHAnsi" w:cstheme="minorBidi"/>
          <w:snapToGrid/>
          <w:sz w:val="24"/>
          <w:szCs w:val="22"/>
        </w:rPr>
        <w:t xml:space="preserve">The Secretariat </w:t>
      </w:r>
      <w:r w:rsidR="00FE7C06" w:rsidRPr="004422E3">
        <w:rPr>
          <w:rFonts w:asciiTheme="minorHAnsi" w:eastAsiaTheme="minorHAnsi" w:hAnsiTheme="minorHAnsi" w:cstheme="minorBidi"/>
          <w:snapToGrid/>
          <w:sz w:val="24"/>
          <w:szCs w:val="22"/>
        </w:rPr>
        <w:t>assumed the request related</w:t>
      </w:r>
      <w:r w:rsidR="006F2234" w:rsidRPr="004422E3">
        <w:rPr>
          <w:rFonts w:asciiTheme="minorHAnsi" w:eastAsiaTheme="minorHAnsi" w:hAnsiTheme="minorHAnsi" w:cstheme="minorBidi"/>
          <w:snapToGrid/>
          <w:sz w:val="24"/>
          <w:szCs w:val="22"/>
        </w:rPr>
        <w:t xml:space="preserve"> to not marking </w:t>
      </w:r>
      <w:proofErr w:type="spellStart"/>
      <w:r w:rsidR="006F2234" w:rsidRPr="004422E3">
        <w:rPr>
          <w:rFonts w:asciiTheme="minorHAnsi" w:eastAsiaTheme="minorHAnsi" w:hAnsiTheme="minorHAnsi" w:cstheme="minorBidi"/>
          <w:snapToGrid/>
          <w:sz w:val="24"/>
          <w:szCs w:val="22"/>
        </w:rPr>
        <w:t>riluzole</w:t>
      </w:r>
      <w:proofErr w:type="spellEnd"/>
      <w:r w:rsidR="006F2234" w:rsidRPr="004422E3">
        <w:rPr>
          <w:rFonts w:asciiTheme="minorHAnsi" w:eastAsiaTheme="minorHAnsi" w:hAnsiTheme="minorHAnsi" w:cstheme="minorBidi"/>
          <w:snapToGrid/>
          <w:sz w:val="24"/>
          <w:szCs w:val="22"/>
        </w:rPr>
        <w:t xml:space="preserve"> liquid and tablets </w:t>
      </w:r>
      <w:r w:rsidRPr="004422E3">
        <w:rPr>
          <w:rFonts w:asciiTheme="minorHAnsi" w:eastAsiaTheme="minorHAnsi" w:hAnsiTheme="minorHAnsi" w:cstheme="minorBidi"/>
          <w:snapToGrid/>
          <w:sz w:val="24"/>
          <w:szCs w:val="22"/>
        </w:rPr>
        <w:t>as equivalent for the purposes of substitution at the pharmacy level (</w:t>
      </w:r>
      <w:r w:rsidR="006F2234" w:rsidRPr="004422E3">
        <w:rPr>
          <w:rFonts w:asciiTheme="minorHAnsi" w:eastAsiaTheme="minorHAnsi" w:hAnsiTheme="minorHAnsi" w:cstheme="minorBidi"/>
          <w:snapToGrid/>
          <w:sz w:val="24"/>
          <w:szCs w:val="22"/>
        </w:rPr>
        <w:t xml:space="preserve">i.e. </w:t>
      </w:r>
      <w:r w:rsidRPr="004422E3">
        <w:rPr>
          <w:rFonts w:asciiTheme="minorHAnsi" w:eastAsiaTheme="minorHAnsi" w:hAnsiTheme="minorHAnsi" w:cstheme="minorBidi"/>
          <w:snapToGrid/>
          <w:sz w:val="24"/>
          <w:szCs w:val="22"/>
        </w:rPr>
        <w:t>‘a’ flagged).</w:t>
      </w:r>
    </w:p>
    <w:p w:rsidR="00FE7C06" w:rsidRPr="004422E3" w:rsidRDefault="0059233B" w:rsidP="00F64E92">
      <w:pPr>
        <w:ind w:firstLine="720"/>
        <w:jc w:val="both"/>
        <w:rPr>
          <w:rFonts w:asciiTheme="minorHAnsi" w:hAnsiTheme="minorHAnsi"/>
          <w:sz w:val="22"/>
          <w:szCs w:val="22"/>
        </w:rPr>
      </w:pPr>
      <w:r w:rsidRPr="004422E3">
        <w:rPr>
          <w:rFonts w:asciiTheme="minorHAnsi" w:hAnsiTheme="minorHAnsi" w:cstheme="minorHAnsi"/>
          <w:i/>
        </w:rPr>
        <w:t>For more detail on PBAC’s view, see section 7 PBAC outcome.</w:t>
      </w:r>
    </w:p>
    <w:p w:rsidR="007B72F7" w:rsidRPr="004422E3" w:rsidRDefault="007B72F7" w:rsidP="00F1167A">
      <w:pPr>
        <w:widowControl w:val="0"/>
        <w:numPr>
          <w:ilvl w:val="0"/>
          <w:numId w:val="5"/>
        </w:numPr>
        <w:spacing w:before="240" w:after="120"/>
        <w:jc w:val="both"/>
        <w:outlineLvl w:val="0"/>
        <w:rPr>
          <w:rFonts w:asciiTheme="minorHAnsi" w:hAnsiTheme="minorHAnsi" w:cs="Arial"/>
          <w:b/>
          <w:bCs/>
          <w:snapToGrid w:val="0"/>
          <w:sz w:val="32"/>
        </w:rPr>
      </w:pPr>
      <w:r w:rsidRPr="004422E3">
        <w:rPr>
          <w:rFonts w:asciiTheme="minorHAnsi" w:hAnsiTheme="minorHAnsi" w:cs="Arial"/>
          <w:b/>
          <w:bCs/>
          <w:snapToGrid w:val="0"/>
          <w:sz w:val="32"/>
        </w:rPr>
        <w:t>PBAC Outcome</w:t>
      </w:r>
    </w:p>
    <w:p w:rsidR="007B72F7" w:rsidRPr="000A3C7B" w:rsidRDefault="007B72F7" w:rsidP="007B72F7">
      <w:pPr>
        <w:widowControl w:val="0"/>
        <w:numPr>
          <w:ilvl w:val="1"/>
          <w:numId w:val="5"/>
        </w:numPr>
        <w:spacing w:after="120"/>
        <w:jc w:val="both"/>
        <w:rPr>
          <w:rFonts w:asciiTheme="minorHAnsi" w:hAnsiTheme="minorHAnsi" w:cs="Arial"/>
          <w:bCs/>
          <w:snapToGrid w:val="0"/>
        </w:rPr>
      </w:pPr>
      <w:r w:rsidRPr="000A3C7B">
        <w:rPr>
          <w:rFonts w:asciiTheme="minorHAnsi" w:hAnsiTheme="minorHAnsi" w:cs="Arial"/>
          <w:bCs/>
          <w:snapToGrid w:val="0"/>
        </w:rPr>
        <w:t>The P</w:t>
      </w:r>
      <w:r w:rsidR="00F1167A" w:rsidRPr="000A3C7B">
        <w:rPr>
          <w:rFonts w:asciiTheme="minorHAnsi" w:hAnsiTheme="minorHAnsi" w:cs="Arial"/>
          <w:bCs/>
          <w:snapToGrid w:val="0"/>
        </w:rPr>
        <w:t xml:space="preserve">BAC recommended the General Schedule, Authority Required listing of a new liquid formulation of </w:t>
      </w:r>
      <w:proofErr w:type="spellStart"/>
      <w:r w:rsidR="00F1167A" w:rsidRPr="000A3C7B">
        <w:rPr>
          <w:rFonts w:asciiTheme="minorHAnsi" w:hAnsiTheme="minorHAnsi" w:cs="Arial"/>
          <w:bCs/>
          <w:snapToGrid w:val="0"/>
        </w:rPr>
        <w:t>riluzole</w:t>
      </w:r>
      <w:proofErr w:type="spellEnd"/>
      <w:r w:rsidR="00F1167A" w:rsidRPr="000A3C7B">
        <w:rPr>
          <w:rFonts w:asciiTheme="minorHAnsi" w:hAnsiTheme="minorHAnsi" w:cs="Arial"/>
          <w:bCs/>
          <w:snapToGrid w:val="0"/>
        </w:rPr>
        <w:t xml:space="preserve"> for the treatment of amyotrophic lateral sclerosis (ALS) on a cost minimisation basis with </w:t>
      </w:r>
      <w:proofErr w:type="spellStart"/>
      <w:r w:rsidR="00F1167A" w:rsidRPr="000A3C7B">
        <w:rPr>
          <w:rFonts w:asciiTheme="minorHAnsi" w:hAnsiTheme="minorHAnsi" w:cs="Arial"/>
          <w:bCs/>
          <w:snapToGrid w:val="0"/>
        </w:rPr>
        <w:t>riluzole</w:t>
      </w:r>
      <w:proofErr w:type="spellEnd"/>
      <w:r w:rsidR="00F1167A" w:rsidRPr="000A3C7B">
        <w:rPr>
          <w:rFonts w:asciiTheme="minorHAnsi" w:hAnsiTheme="minorHAnsi" w:cs="Arial"/>
          <w:bCs/>
          <w:snapToGrid w:val="0"/>
        </w:rPr>
        <w:t xml:space="preserve"> tablets, with a price premium as this form of </w:t>
      </w:r>
      <w:proofErr w:type="spellStart"/>
      <w:r w:rsidR="00F1167A" w:rsidRPr="000A3C7B">
        <w:rPr>
          <w:rFonts w:asciiTheme="minorHAnsi" w:hAnsiTheme="minorHAnsi" w:cs="Arial"/>
          <w:bCs/>
          <w:snapToGrid w:val="0"/>
        </w:rPr>
        <w:t>riluzole</w:t>
      </w:r>
      <w:proofErr w:type="spellEnd"/>
      <w:r w:rsidR="00F1167A" w:rsidRPr="000A3C7B">
        <w:rPr>
          <w:rFonts w:asciiTheme="minorHAnsi" w:hAnsiTheme="minorHAnsi" w:cs="Arial"/>
          <w:bCs/>
          <w:snapToGrid w:val="0"/>
        </w:rPr>
        <w:t xml:space="preserve"> offers an advantage to some patients with this disease.</w:t>
      </w:r>
      <w:r w:rsidR="00A70FE8">
        <w:rPr>
          <w:rFonts w:asciiTheme="minorHAnsi" w:hAnsiTheme="minorHAnsi" w:cs="Arial"/>
          <w:bCs/>
          <w:snapToGrid w:val="0"/>
        </w:rPr>
        <w:t xml:space="preserve">  The PBAC considered that a price around 5-10% higher</w:t>
      </w:r>
      <w:bookmarkStart w:id="2" w:name="_GoBack"/>
      <w:bookmarkEnd w:id="2"/>
      <w:r w:rsidR="00A70FE8">
        <w:rPr>
          <w:rFonts w:asciiTheme="minorHAnsi" w:hAnsiTheme="minorHAnsi" w:cs="Arial"/>
          <w:bCs/>
          <w:snapToGrid w:val="0"/>
        </w:rPr>
        <w:t xml:space="preserve"> per ml for the liquid formulation over the tablet formulation may be considered reasonable.</w:t>
      </w:r>
    </w:p>
    <w:p w:rsidR="007B72F7" w:rsidRPr="000A3C7B" w:rsidRDefault="007B72F7" w:rsidP="00541F3A">
      <w:pPr>
        <w:widowControl w:val="0"/>
        <w:numPr>
          <w:ilvl w:val="1"/>
          <w:numId w:val="5"/>
        </w:numPr>
        <w:spacing w:after="120"/>
        <w:jc w:val="both"/>
        <w:rPr>
          <w:rFonts w:asciiTheme="minorHAnsi" w:hAnsiTheme="minorHAnsi" w:cs="Arial"/>
          <w:bCs/>
          <w:snapToGrid w:val="0"/>
        </w:rPr>
      </w:pPr>
      <w:r w:rsidRPr="000A3C7B">
        <w:rPr>
          <w:rFonts w:asciiTheme="minorHAnsi" w:hAnsiTheme="minorHAnsi" w:cs="Arial"/>
          <w:bCs/>
          <w:snapToGrid w:val="0"/>
        </w:rPr>
        <w:t xml:space="preserve">The PBAC </w:t>
      </w:r>
      <w:r w:rsidR="00F1167A" w:rsidRPr="000A3C7B">
        <w:rPr>
          <w:rFonts w:asciiTheme="minorHAnsi" w:hAnsiTheme="minorHAnsi" w:cs="Arial"/>
          <w:bCs/>
          <w:snapToGrid w:val="0"/>
        </w:rPr>
        <w:t xml:space="preserve">was satisfied that </w:t>
      </w:r>
      <w:proofErr w:type="spellStart"/>
      <w:r w:rsidR="00F1167A" w:rsidRPr="000A3C7B">
        <w:rPr>
          <w:rFonts w:asciiTheme="minorHAnsi" w:hAnsiTheme="minorHAnsi" w:cs="Arial"/>
          <w:bCs/>
          <w:snapToGrid w:val="0"/>
        </w:rPr>
        <w:t>riluzole</w:t>
      </w:r>
      <w:proofErr w:type="spellEnd"/>
      <w:r w:rsidR="00F1167A" w:rsidRPr="000A3C7B">
        <w:rPr>
          <w:rFonts w:asciiTheme="minorHAnsi" w:hAnsiTheme="minorHAnsi" w:cs="Arial"/>
          <w:bCs/>
          <w:snapToGrid w:val="0"/>
        </w:rPr>
        <w:t xml:space="preserve"> liquid provides the same </w:t>
      </w:r>
      <w:r w:rsidR="00DC42CB" w:rsidRPr="000A3C7B">
        <w:rPr>
          <w:rFonts w:asciiTheme="minorHAnsi" w:hAnsiTheme="minorHAnsi" w:cs="Arial"/>
          <w:bCs/>
          <w:snapToGrid w:val="0"/>
        </w:rPr>
        <w:t xml:space="preserve">clinical </w:t>
      </w:r>
      <w:r w:rsidR="00F1167A" w:rsidRPr="000A3C7B">
        <w:rPr>
          <w:rFonts w:asciiTheme="minorHAnsi" w:hAnsiTheme="minorHAnsi" w:cs="Arial"/>
          <w:bCs/>
          <w:snapToGrid w:val="0"/>
        </w:rPr>
        <w:t xml:space="preserve">benefits as  </w:t>
      </w:r>
      <w:proofErr w:type="spellStart"/>
      <w:r w:rsidR="00F1167A" w:rsidRPr="000A3C7B">
        <w:rPr>
          <w:rFonts w:asciiTheme="minorHAnsi" w:hAnsiTheme="minorHAnsi" w:cs="Arial"/>
          <w:bCs/>
          <w:snapToGrid w:val="0"/>
        </w:rPr>
        <w:t>riluzole</w:t>
      </w:r>
      <w:proofErr w:type="spellEnd"/>
      <w:r w:rsidR="00F1167A" w:rsidRPr="000A3C7B">
        <w:rPr>
          <w:rFonts w:asciiTheme="minorHAnsi" w:hAnsiTheme="minorHAnsi" w:cs="Arial"/>
          <w:bCs/>
          <w:snapToGrid w:val="0"/>
        </w:rPr>
        <w:t xml:space="preserve"> tablets, however </w:t>
      </w:r>
      <w:r w:rsidR="00541F3A" w:rsidRPr="000A3C7B">
        <w:rPr>
          <w:rFonts w:asciiTheme="minorHAnsi" w:hAnsiTheme="minorHAnsi" w:cs="Arial"/>
          <w:bCs/>
          <w:snapToGrid w:val="0"/>
        </w:rPr>
        <w:t>considered there was a clinical need for a</w:t>
      </w:r>
      <w:r w:rsidR="00444395" w:rsidRPr="000A3C7B">
        <w:rPr>
          <w:rFonts w:asciiTheme="minorHAnsi" w:hAnsiTheme="minorHAnsi" w:cs="Arial"/>
          <w:bCs/>
          <w:snapToGrid w:val="0"/>
        </w:rPr>
        <w:t>n alternative form</w:t>
      </w:r>
      <w:r w:rsidR="00541F3A" w:rsidRPr="000A3C7B">
        <w:rPr>
          <w:rFonts w:asciiTheme="minorHAnsi" w:hAnsiTheme="minorHAnsi" w:cs="Arial"/>
          <w:bCs/>
          <w:snapToGrid w:val="0"/>
        </w:rPr>
        <w:t xml:space="preserve"> </w:t>
      </w:r>
      <w:r w:rsidR="00541F3A" w:rsidRPr="000A3C7B">
        <w:rPr>
          <w:rFonts w:asciiTheme="minorHAnsi" w:hAnsiTheme="minorHAnsi" w:cs="Arial"/>
          <w:bCs/>
          <w:snapToGrid w:val="0"/>
        </w:rPr>
        <w:lastRenderedPageBreak/>
        <w:t xml:space="preserve">which was likely to have advantages for patients with difficulty swallowing (dysphagia) or who use a percutaneous </w:t>
      </w:r>
      <w:r w:rsidR="002F799C" w:rsidRPr="000A3C7B">
        <w:rPr>
          <w:rFonts w:asciiTheme="minorHAnsi" w:hAnsiTheme="minorHAnsi" w:cs="Arial"/>
          <w:bCs/>
          <w:snapToGrid w:val="0"/>
        </w:rPr>
        <w:t>endoscopic gastrost</w:t>
      </w:r>
      <w:r w:rsidR="00541F3A" w:rsidRPr="000A3C7B">
        <w:rPr>
          <w:rFonts w:asciiTheme="minorHAnsi" w:hAnsiTheme="minorHAnsi" w:cs="Arial"/>
          <w:bCs/>
          <w:snapToGrid w:val="0"/>
        </w:rPr>
        <w:t xml:space="preserve">omy (PEG), as tablets are often difficult to administer in these </w:t>
      </w:r>
      <w:r w:rsidR="00444395" w:rsidRPr="000A3C7B">
        <w:rPr>
          <w:rFonts w:asciiTheme="minorHAnsi" w:hAnsiTheme="minorHAnsi" w:cs="Arial"/>
          <w:bCs/>
          <w:snapToGrid w:val="0"/>
        </w:rPr>
        <w:t>patients</w:t>
      </w:r>
      <w:r w:rsidR="00541F3A" w:rsidRPr="000A3C7B">
        <w:rPr>
          <w:rFonts w:asciiTheme="minorHAnsi" w:hAnsiTheme="minorHAnsi" w:cs="Arial"/>
          <w:bCs/>
          <w:snapToGrid w:val="0"/>
        </w:rPr>
        <w:t>. Given the advantages in the manner of administration for some patients, the PBAC considered the requested price premium was reasonable.</w:t>
      </w:r>
    </w:p>
    <w:p w:rsidR="007B72F7" w:rsidRPr="000A3C7B" w:rsidRDefault="00541F3A" w:rsidP="007B72F7">
      <w:pPr>
        <w:widowControl w:val="0"/>
        <w:numPr>
          <w:ilvl w:val="1"/>
          <w:numId w:val="5"/>
        </w:numPr>
        <w:spacing w:after="120"/>
        <w:jc w:val="both"/>
        <w:rPr>
          <w:rFonts w:asciiTheme="minorHAnsi" w:hAnsiTheme="minorHAnsi" w:cs="Arial"/>
          <w:bCs/>
          <w:snapToGrid w:val="0"/>
        </w:rPr>
      </w:pPr>
      <w:r w:rsidRPr="000A3C7B">
        <w:rPr>
          <w:rFonts w:asciiTheme="minorHAnsi" w:hAnsiTheme="minorHAnsi" w:cs="Arial"/>
          <w:bCs/>
          <w:snapToGrid w:val="0"/>
        </w:rPr>
        <w:t xml:space="preserve">The PBAC considered it was appropriate to align the restrictions for </w:t>
      </w:r>
      <w:proofErr w:type="spellStart"/>
      <w:r w:rsidRPr="000A3C7B">
        <w:rPr>
          <w:rFonts w:asciiTheme="minorHAnsi" w:hAnsiTheme="minorHAnsi" w:cs="Arial"/>
          <w:bCs/>
          <w:snapToGrid w:val="0"/>
        </w:rPr>
        <w:t>riluzole</w:t>
      </w:r>
      <w:proofErr w:type="spellEnd"/>
      <w:r w:rsidRPr="000A3C7B">
        <w:rPr>
          <w:rFonts w:asciiTheme="minorHAnsi" w:hAnsiTheme="minorHAnsi" w:cs="Arial"/>
          <w:bCs/>
          <w:snapToGrid w:val="0"/>
        </w:rPr>
        <w:t xml:space="preserve"> liquid with the current tablet restrictions.</w:t>
      </w:r>
    </w:p>
    <w:p w:rsidR="007B72F7" w:rsidRPr="000A3C7B" w:rsidRDefault="00541F3A" w:rsidP="007B72F7">
      <w:pPr>
        <w:widowControl w:val="0"/>
        <w:numPr>
          <w:ilvl w:val="1"/>
          <w:numId w:val="5"/>
        </w:numPr>
        <w:spacing w:after="120"/>
        <w:jc w:val="both"/>
        <w:rPr>
          <w:rFonts w:asciiTheme="minorHAnsi" w:hAnsiTheme="minorHAnsi" w:cs="Arial"/>
          <w:bCs/>
          <w:snapToGrid w:val="0"/>
        </w:rPr>
      </w:pPr>
      <w:r w:rsidRPr="000A3C7B">
        <w:rPr>
          <w:rFonts w:asciiTheme="minorHAnsi" w:hAnsiTheme="minorHAnsi" w:cs="Arial"/>
          <w:bCs/>
          <w:snapToGrid w:val="0"/>
        </w:rPr>
        <w:t>The P</w:t>
      </w:r>
      <w:r w:rsidR="00FE7C06" w:rsidRPr="000A3C7B">
        <w:rPr>
          <w:rFonts w:asciiTheme="minorHAnsi" w:hAnsiTheme="minorHAnsi" w:cs="Arial"/>
          <w:bCs/>
          <w:snapToGrid w:val="0"/>
        </w:rPr>
        <w:t>BAC considered the comparator of</w:t>
      </w:r>
      <w:r w:rsidRPr="000A3C7B">
        <w:rPr>
          <w:rFonts w:asciiTheme="minorHAnsi" w:hAnsiTheme="minorHAnsi" w:cs="Arial"/>
          <w:bCs/>
          <w:snapToGrid w:val="0"/>
        </w:rPr>
        <w:t xml:space="preserve"> </w:t>
      </w:r>
      <w:proofErr w:type="spellStart"/>
      <w:r w:rsidRPr="000A3C7B">
        <w:rPr>
          <w:rFonts w:asciiTheme="minorHAnsi" w:hAnsiTheme="minorHAnsi" w:cs="Arial"/>
          <w:bCs/>
          <w:snapToGrid w:val="0"/>
        </w:rPr>
        <w:t>riluzole</w:t>
      </w:r>
      <w:proofErr w:type="spellEnd"/>
      <w:r w:rsidRPr="000A3C7B">
        <w:rPr>
          <w:rFonts w:asciiTheme="minorHAnsi" w:hAnsiTheme="minorHAnsi" w:cs="Arial"/>
          <w:bCs/>
          <w:snapToGrid w:val="0"/>
        </w:rPr>
        <w:t xml:space="preserve"> tablets was appropriate.</w:t>
      </w:r>
    </w:p>
    <w:p w:rsidR="007B72F7" w:rsidRDefault="00541F3A" w:rsidP="007B72F7">
      <w:pPr>
        <w:widowControl w:val="0"/>
        <w:numPr>
          <w:ilvl w:val="1"/>
          <w:numId w:val="5"/>
        </w:numPr>
        <w:spacing w:after="120"/>
        <w:jc w:val="both"/>
        <w:rPr>
          <w:rFonts w:asciiTheme="minorHAnsi" w:hAnsiTheme="minorHAnsi" w:cs="Arial"/>
          <w:bCs/>
          <w:snapToGrid w:val="0"/>
        </w:rPr>
      </w:pPr>
      <w:r w:rsidRPr="000A3C7B">
        <w:rPr>
          <w:rFonts w:asciiTheme="minorHAnsi" w:hAnsiTheme="minorHAnsi" w:cs="Arial"/>
          <w:bCs/>
          <w:snapToGrid w:val="0"/>
        </w:rPr>
        <w:t xml:space="preserve">The PBAC noted the </w:t>
      </w:r>
      <w:r w:rsidR="00F7246B" w:rsidRPr="000A3C7B">
        <w:rPr>
          <w:rFonts w:asciiTheme="minorHAnsi" w:hAnsiTheme="minorHAnsi" w:cs="Arial"/>
          <w:bCs/>
          <w:snapToGrid w:val="0"/>
        </w:rPr>
        <w:t xml:space="preserve">single pharmacokinetic trial </w:t>
      </w:r>
      <w:r w:rsidRPr="000A3C7B">
        <w:rPr>
          <w:rFonts w:asciiTheme="minorHAnsi" w:hAnsiTheme="minorHAnsi" w:cs="Arial"/>
          <w:bCs/>
          <w:snapToGrid w:val="0"/>
        </w:rPr>
        <w:t xml:space="preserve">indicated some differences in the pharmacokinetic profile of </w:t>
      </w:r>
      <w:proofErr w:type="spellStart"/>
      <w:r w:rsidRPr="000A3C7B">
        <w:rPr>
          <w:rFonts w:asciiTheme="minorHAnsi" w:hAnsiTheme="minorHAnsi" w:cs="Arial"/>
          <w:bCs/>
          <w:snapToGrid w:val="0"/>
        </w:rPr>
        <w:t>riluzole</w:t>
      </w:r>
      <w:proofErr w:type="spellEnd"/>
      <w:r w:rsidRPr="000A3C7B">
        <w:rPr>
          <w:rFonts w:asciiTheme="minorHAnsi" w:hAnsiTheme="minorHAnsi" w:cs="Arial"/>
          <w:bCs/>
          <w:snapToGrid w:val="0"/>
        </w:rPr>
        <w:t xml:space="preserve"> liquid and tablets</w:t>
      </w:r>
      <w:r w:rsidR="004422E3">
        <w:rPr>
          <w:rFonts w:asciiTheme="minorHAnsi" w:hAnsiTheme="minorHAnsi" w:cs="Arial"/>
          <w:bCs/>
          <w:snapToGrid w:val="0"/>
        </w:rPr>
        <w:t>.</w:t>
      </w:r>
      <w:r w:rsidRPr="000A3C7B">
        <w:rPr>
          <w:rFonts w:asciiTheme="minorHAnsi" w:hAnsiTheme="minorHAnsi" w:cs="Arial"/>
          <w:bCs/>
          <w:snapToGrid w:val="0"/>
        </w:rPr>
        <w:t xml:space="preserve"> </w:t>
      </w:r>
      <w:r w:rsidR="004422E3">
        <w:rPr>
          <w:rFonts w:asciiTheme="minorHAnsi" w:hAnsiTheme="minorHAnsi" w:cs="Arial"/>
          <w:bCs/>
          <w:snapToGrid w:val="0"/>
        </w:rPr>
        <w:t xml:space="preserve">The Committee </w:t>
      </w:r>
      <w:r w:rsidRPr="000A3C7B">
        <w:rPr>
          <w:rFonts w:asciiTheme="minorHAnsi" w:hAnsiTheme="minorHAnsi" w:cs="Arial"/>
          <w:bCs/>
          <w:snapToGrid w:val="0"/>
        </w:rPr>
        <w:t xml:space="preserve">noted there may be a slight increased risk of dose-related adverse events with </w:t>
      </w:r>
      <w:proofErr w:type="spellStart"/>
      <w:r w:rsidRPr="000A3C7B">
        <w:rPr>
          <w:rFonts w:asciiTheme="minorHAnsi" w:hAnsiTheme="minorHAnsi" w:cs="Arial"/>
          <w:bCs/>
          <w:snapToGrid w:val="0"/>
        </w:rPr>
        <w:t>riluzole</w:t>
      </w:r>
      <w:proofErr w:type="spellEnd"/>
      <w:r w:rsidRPr="000A3C7B">
        <w:rPr>
          <w:rFonts w:asciiTheme="minorHAnsi" w:hAnsiTheme="minorHAnsi" w:cs="Arial"/>
          <w:bCs/>
          <w:snapToGrid w:val="0"/>
        </w:rPr>
        <w:t xml:space="preserve"> liquid associated with higher peak plasma concentration. On balance, the PBAC did not consider this </w:t>
      </w:r>
      <w:r w:rsidR="008E69D1" w:rsidRPr="000A3C7B">
        <w:rPr>
          <w:rFonts w:asciiTheme="minorHAnsi" w:hAnsiTheme="minorHAnsi" w:cs="Arial"/>
          <w:bCs/>
          <w:snapToGrid w:val="0"/>
        </w:rPr>
        <w:t xml:space="preserve">to </w:t>
      </w:r>
      <w:r w:rsidRPr="000A3C7B">
        <w:rPr>
          <w:rFonts w:asciiTheme="minorHAnsi" w:hAnsiTheme="minorHAnsi" w:cs="Arial"/>
          <w:bCs/>
          <w:snapToGrid w:val="0"/>
        </w:rPr>
        <w:t>be a major issue compared to the potential advantages</w:t>
      </w:r>
      <w:r w:rsidR="00444395" w:rsidRPr="000A3C7B">
        <w:rPr>
          <w:rFonts w:asciiTheme="minorHAnsi" w:hAnsiTheme="minorHAnsi" w:cs="Arial"/>
          <w:bCs/>
          <w:snapToGrid w:val="0"/>
        </w:rPr>
        <w:t xml:space="preserve"> of a liquid formulation</w:t>
      </w:r>
      <w:r w:rsidRPr="000A3C7B">
        <w:rPr>
          <w:rFonts w:asciiTheme="minorHAnsi" w:hAnsiTheme="minorHAnsi" w:cs="Arial"/>
          <w:bCs/>
          <w:snapToGrid w:val="0"/>
        </w:rPr>
        <w:t xml:space="preserve"> for some patients.</w:t>
      </w:r>
    </w:p>
    <w:p w:rsidR="007B72F7" w:rsidRPr="000A3C7B" w:rsidRDefault="00541F3A" w:rsidP="007B72F7">
      <w:pPr>
        <w:widowControl w:val="0"/>
        <w:numPr>
          <w:ilvl w:val="1"/>
          <w:numId w:val="5"/>
        </w:numPr>
        <w:spacing w:after="120"/>
        <w:jc w:val="both"/>
        <w:rPr>
          <w:rFonts w:asciiTheme="minorHAnsi" w:hAnsiTheme="minorHAnsi" w:cs="Arial"/>
          <w:bCs/>
          <w:snapToGrid w:val="0"/>
        </w:rPr>
      </w:pPr>
      <w:r w:rsidRPr="000A3C7B">
        <w:rPr>
          <w:rFonts w:asciiTheme="minorHAnsi" w:hAnsiTheme="minorHAnsi" w:cs="Arial"/>
          <w:bCs/>
          <w:snapToGrid w:val="0"/>
        </w:rPr>
        <w:t xml:space="preserve">The PBAC considered the utilisation and financial estimates were reasonable, however noted there was some uncertainty as to the expected uptake of </w:t>
      </w:r>
      <w:r w:rsidR="007261B8" w:rsidRPr="000A3C7B">
        <w:rPr>
          <w:rFonts w:asciiTheme="minorHAnsi" w:hAnsiTheme="minorHAnsi" w:cs="Arial"/>
          <w:bCs/>
          <w:snapToGrid w:val="0"/>
        </w:rPr>
        <w:t>the liquid form of</w:t>
      </w:r>
      <w:r w:rsidRPr="000A3C7B">
        <w:rPr>
          <w:rFonts w:asciiTheme="minorHAnsi" w:hAnsiTheme="minorHAnsi" w:cs="Arial"/>
          <w:bCs/>
          <w:snapToGrid w:val="0"/>
        </w:rPr>
        <w:t xml:space="preserve"> </w:t>
      </w:r>
      <w:proofErr w:type="spellStart"/>
      <w:r w:rsidRPr="000A3C7B">
        <w:rPr>
          <w:rFonts w:asciiTheme="minorHAnsi" w:hAnsiTheme="minorHAnsi" w:cs="Arial"/>
          <w:bCs/>
          <w:snapToGrid w:val="0"/>
        </w:rPr>
        <w:t>riluzole</w:t>
      </w:r>
      <w:proofErr w:type="spellEnd"/>
      <w:r w:rsidRPr="000A3C7B">
        <w:rPr>
          <w:rFonts w:asciiTheme="minorHAnsi" w:hAnsiTheme="minorHAnsi" w:cs="Arial"/>
          <w:bCs/>
          <w:snapToGrid w:val="0"/>
        </w:rPr>
        <w:t>.</w:t>
      </w:r>
    </w:p>
    <w:p w:rsidR="007B72F7" w:rsidRPr="000A3C7B" w:rsidRDefault="007B72F7" w:rsidP="00541F3A">
      <w:pPr>
        <w:widowControl w:val="0"/>
        <w:numPr>
          <w:ilvl w:val="1"/>
          <w:numId w:val="5"/>
        </w:numPr>
        <w:spacing w:after="120"/>
        <w:jc w:val="both"/>
        <w:rPr>
          <w:rFonts w:asciiTheme="minorHAnsi" w:hAnsiTheme="minorHAnsi" w:cs="Arial"/>
          <w:bCs/>
          <w:snapToGrid w:val="0"/>
        </w:rPr>
      </w:pPr>
      <w:r w:rsidRPr="000A3C7B">
        <w:rPr>
          <w:rFonts w:asciiTheme="minorHAnsi" w:hAnsiTheme="minorHAnsi" w:cs="Arial"/>
          <w:bCs/>
          <w:snapToGrid w:val="0"/>
        </w:rPr>
        <w:t xml:space="preserve">The PBAC advised, under Section 101 (4AACD) of the National Health Act, that </w:t>
      </w:r>
      <w:proofErr w:type="spellStart"/>
      <w:r w:rsidR="00541F3A" w:rsidRPr="000A3C7B">
        <w:rPr>
          <w:rFonts w:asciiTheme="minorHAnsi" w:hAnsiTheme="minorHAnsi" w:cs="Arial"/>
          <w:bCs/>
          <w:snapToGrid w:val="0"/>
        </w:rPr>
        <w:t>riluzole</w:t>
      </w:r>
      <w:proofErr w:type="spellEnd"/>
      <w:r w:rsidR="00541F3A" w:rsidRPr="000A3C7B">
        <w:rPr>
          <w:rFonts w:asciiTheme="minorHAnsi" w:hAnsiTheme="minorHAnsi" w:cs="Arial"/>
          <w:bCs/>
          <w:snapToGrid w:val="0"/>
        </w:rPr>
        <w:t xml:space="preserve"> tablets </w:t>
      </w:r>
      <w:r w:rsidRPr="000A3C7B">
        <w:rPr>
          <w:rFonts w:asciiTheme="minorHAnsi" w:hAnsiTheme="minorHAnsi" w:cs="Arial"/>
          <w:bCs/>
          <w:snapToGrid w:val="0"/>
        </w:rPr>
        <w:t xml:space="preserve">and </w:t>
      </w:r>
      <w:proofErr w:type="spellStart"/>
      <w:r w:rsidR="00541F3A" w:rsidRPr="000A3C7B">
        <w:rPr>
          <w:rFonts w:asciiTheme="minorHAnsi" w:hAnsiTheme="minorHAnsi" w:cs="Arial"/>
          <w:bCs/>
          <w:snapToGrid w:val="0"/>
        </w:rPr>
        <w:t>riluzole</w:t>
      </w:r>
      <w:proofErr w:type="spellEnd"/>
      <w:r w:rsidR="00541F3A" w:rsidRPr="000A3C7B">
        <w:rPr>
          <w:rFonts w:asciiTheme="minorHAnsi" w:hAnsiTheme="minorHAnsi" w:cs="Arial"/>
          <w:bCs/>
          <w:snapToGrid w:val="0"/>
        </w:rPr>
        <w:t xml:space="preserve"> liquid</w:t>
      </w:r>
      <w:r w:rsidRPr="000A3C7B">
        <w:rPr>
          <w:rFonts w:asciiTheme="minorHAnsi" w:hAnsiTheme="minorHAnsi" w:cs="Arial"/>
          <w:bCs/>
          <w:snapToGrid w:val="0"/>
        </w:rPr>
        <w:t xml:space="preserve"> should</w:t>
      </w:r>
      <w:r w:rsidR="00541F3A" w:rsidRPr="000A3C7B">
        <w:rPr>
          <w:rFonts w:asciiTheme="minorHAnsi" w:hAnsiTheme="minorHAnsi" w:cs="Arial"/>
          <w:bCs/>
          <w:snapToGrid w:val="0"/>
        </w:rPr>
        <w:t xml:space="preserve"> not</w:t>
      </w:r>
      <w:r w:rsidRPr="000A3C7B">
        <w:rPr>
          <w:rFonts w:asciiTheme="minorHAnsi" w:hAnsiTheme="minorHAnsi" w:cs="Arial"/>
          <w:bCs/>
          <w:snapToGrid w:val="0"/>
        </w:rPr>
        <w:t xml:space="preserve"> be considered equivalent for the purposes of substitution</w:t>
      </w:r>
      <w:r w:rsidR="00FE7C06" w:rsidRPr="000A3C7B">
        <w:rPr>
          <w:rFonts w:asciiTheme="minorHAnsi" w:hAnsiTheme="minorHAnsi" w:cs="Arial"/>
          <w:bCs/>
          <w:snapToGrid w:val="0"/>
        </w:rPr>
        <w:t xml:space="preserve"> (i.e. ‘a’ flagged)</w:t>
      </w:r>
      <w:r w:rsidRPr="000A3C7B">
        <w:rPr>
          <w:rFonts w:asciiTheme="minorHAnsi" w:hAnsiTheme="minorHAnsi" w:cs="Arial"/>
          <w:bCs/>
          <w:snapToGrid w:val="0"/>
        </w:rPr>
        <w:t xml:space="preserve"> </w:t>
      </w:r>
      <w:r w:rsidR="00756D41" w:rsidRPr="000A3C7B">
        <w:rPr>
          <w:rFonts w:asciiTheme="minorHAnsi" w:hAnsiTheme="minorHAnsi" w:cs="Arial"/>
          <w:bCs/>
          <w:snapToGrid w:val="0"/>
        </w:rPr>
        <w:t>due to differences in</w:t>
      </w:r>
      <w:r w:rsidR="002F799C" w:rsidRPr="000A3C7B">
        <w:rPr>
          <w:rFonts w:asciiTheme="minorHAnsi" w:hAnsiTheme="minorHAnsi" w:cs="Arial"/>
          <w:bCs/>
          <w:snapToGrid w:val="0"/>
        </w:rPr>
        <w:t xml:space="preserve"> the</w:t>
      </w:r>
      <w:r w:rsidR="00756D41" w:rsidRPr="000A3C7B">
        <w:rPr>
          <w:rFonts w:asciiTheme="minorHAnsi" w:hAnsiTheme="minorHAnsi" w:cs="Arial"/>
          <w:bCs/>
          <w:snapToGrid w:val="0"/>
        </w:rPr>
        <w:t xml:space="preserve"> </w:t>
      </w:r>
      <w:r w:rsidR="00444395" w:rsidRPr="000A3C7B">
        <w:rPr>
          <w:rFonts w:asciiTheme="minorHAnsi" w:hAnsiTheme="minorHAnsi" w:cs="Arial"/>
          <w:bCs/>
          <w:snapToGrid w:val="0"/>
        </w:rPr>
        <w:t>formulation</w:t>
      </w:r>
      <w:r w:rsidR="002F799C" w:rsidRPr="000A3C7B">
        <w:rPr>
          <w:rFonts w:asciiTheme="minorHAnsi" w:hAnsiTheme="minorHAnsi" w:cs="Arial"/>
          <w:bCs/>
          <w:snapToGrid w:val="0"/>
        </w:rPr>
        <w:t>s</w:t>
      </w:r>
      <w:r w:rsidR="00756D41" w:rsidRPr="000A3C7B">
        <w:rPr>
          <w:rFonts w:asciiTheme="minorHAnsi" w:hAnsiTheme="minorHAnsi" w:cs="Arial"/>
          <w:bCs/>
          <w:snapToGrid w:val="0"/>
        </w:rPr>
        <w:t>.</w:t>
      </w:r>
    </w:p>
    <w:p w:rsidR="007B72F7" w:rsidRPr="000A3C7B" w:rsidRDefault="007B72F7" w:rsidP="007B72F7">
      <w:pPr>
        <w:widowControl w:val="0"/>
        <w:numPr>
          <w:ilvl w:val="1"/>
          <w:numId w:val="5"/>
        </w:numPr>
        <w:spacing w:after="120"/>
        <w:jc w:val="both"/>
        <w:rPr>
          <w:rFonts w:asciiTheme="minorHAnsi" w:hAnsiTheme="minorHAnsi" w:cs="Arial"/>
          <w:bCs/>
          <w:snapToGrid w:val="0"/>
        </w:rPr>
      </w:pPr>
      <w:r w:rsidRPr="000A3C7B">
        <w:rPr>
          <w:rFonts w:asciiTheme="minorHAnsi" w:hAnsiTheme="minorHAnsi" w:cs="Arial"/>
          <w:bCs/>
          <w:snapToGrid w:val="0"/>
        </w:rPr>
        <w:t xml:space="preserve">The PBAC advised that </w:t>
      </w:r>
      <w:proofErr w:type="spellStart"/>
      <w:r w:rsidR="00756D41" w:rsidRPr="000A3C7B">
        <w:rPr>
          <w:rFonts w:asciiTheme="minorHAnsi" w:hAnsiTheme="minorHAnsi" w:cs="Arial"/>
          <w:bCs/>
          <w:snapToGrid w:val="0"/>
        </w:rPr>
        <w:t>riluzole</w:t>
      </w:r>
      <w:proofErr w:type="spellEnd"/>
      <w:r w:rsidR="00756D41" w:rsidRPr="000A3C7B">
        <w:rPr>
          <w:rFonts w:asciiTheme="minorHAnsi" w:hAnsiTheme="minorHAnsi" w:cs="Arial"/>
          <w:bCs/>
          <w:snapToGrid w:val="0"/>
        </w:rPr>
        <w:t xml:space="preserve"> liquid</w:t>
      </w:r>
      <w:r w:rsidRPr="000A3C7B">
        <w:rPr>
          <w:rFonts w:asciiTheme="minorHAnsi" w:hAnsiTheme="minorHAnsi" w:cs="Arial"/>
          <w:bCs/>
          <w:snapToGrid w:val="0"/>
        </w:rPr>
        <w:t xml:space="preserve"> is suitable for prescribing by nurse practitioners</w:t>
      </w:r>
      <w:r w:rsidR="00756D41" w:rsidRPr="000A3C7B">
        <w:rPr>
          <w:rFonts w:asciiTheme="minorHAnsi" w:hAnsiTheme="minorHAnsi" w:cs="Arial"/>
          <w:bCs/>
          <w:snapToGrid w:val="0"/>
        </w:rPr>
        <w:t xml:space="preserve">, under the same circumstances as </w:t>
      </w:r>
      <w:proofErr w:type="spellStart"/>
      <w:r w:rsidR="00756D41" w:rsidRPr="000A3C7B">
        <w:rPr>
          <w:rFonts w:asciiTheme="minorHAnsi" w:hAnsiTheme="minorHAnsi" w:cs="Arial"/>
          <w:bCs/>
          <w:snapToGrid w:val="0"/>
        </w:rPr>
        <w:t>riluzole</w:t>
      </w:r>
      <w:proofErr w:type="spellEnd"/>
      <w:r w:rsidR="00756D41" w:rsidRPr="000A3C7B">
        <w:rPr>
          <w:rFonts w:asciiTheme="minorHAnsi" w:hAnsiTheme="minorHAnsi" w:cs="Arial"/>
          <w:bCs/>
          <w:snapToGrid w:val="0"/>
        </w:rPr>
        <w:t xml:space="preserve"> tablets</w:t>
      </w:r>
      <w:r w:rsidRPr="000A3C7B">
        <w:rPr>
          <w:rFonts w:asciiTheme="minorHAnsi" w:hAnsiTheme="minorHAnsi" w:cs="Arial"/>
          <w:bCs/>
          <w:snapToGrid w:val="0"/>
        </w:rPr>
        <w:t xml:space="preserve">.  </w:t>
      </w:r>
    </w:p>
    <w:p w:rsidR="007B72F7" w:rsidRPr="000A3C7B" w:rsidRDefault="007B72F7" w:rsidP="00756D41">
      <w:pPr>
        <w:widowControl w:val="0"/>
        <w:numPr>
          <w:ilvl w:val="1"/>
          <w:numId w:val="5"/>
        </w:numPr>
        <w:spacing w:after="120"/>
        <w:jc w:val="both"/>
        <w:rPr>
          <w:rFonts w:asciiTheme="minorHAnsi" w:hAnsiTheme="minorHAnsi" w:cs="Arial"/>
          <w:bCs/>
          <w:snapToGrid w:val="0"/>
        </w:rPr>
      </w:pPr>
      <w:r w:rsidRPr="000A3C7B">
        <w:rPr>
          <w:rFonts w:asciiTheme="minorHAnsi" w:hAnsiTheme="minorHAnsi" w:cs="Arial"/>
          <w:bCs/>
          <w:snapToGrid w:val="0"/>
        </w:rPr>
        <w:t>The PBAC recommended that the Early Supply Rule should not apply</w:t>
      </w:r>
      <w:r w:rsidR="00756D41" w:rsidRPr="000A3C7B">
        <w:rPr>
          <w:rFonts w:asciiTheme="minorHAnsi" w:hAnsiTheme="minorHAnsi" w:cs="Arial"/>
          <w:bCs/>
          <w:snapToGrid w:val="0"/>
        </w:rPr>
        <w:t xml:space="preserve"> as </w:t>
      </w:r>
      <w:r w:rsidR="00184C82">
        <w:rPr>
          <w:rFonts w:asciiTheme="minorHAnsi" w:hAnsiTheme="minorHAnsi" w:cs="Arial"/>
          <w:bCs/>
          <w:snapToGrid w:val="0"/>
        </w:rPr>
        <w:t>it</w:t>
      </w:r>
      <w:r w:rsidR="00756D41" w:rsidRPr="000A3C7B">
        <w:rPr>
          <w:rFonts w:asciiTheme="minorHAnsi" w:hAnsiTheme="minorHAnsi" w:cs="Arial"/>
          <w:bCs/>
          <w:snapToGrid w:val="0"/>
        </w:rPr>
        <w:t xml:space="preserve"> has previously </w:t>
      </w:r>
      <w:r w:rsidR="00444395" w:rsidRPr="000A3C7B">
        <w:rPr>
          <w:rFonts w:asciiTheme="minorHAnsi" w:hAnsiTheme="minorHAnsi" w:cs="Arial"/>
          <w:bCs/>
          <w:snapToGrid w:val="0"/>
        </w:rPr>
        <w:t>been of the view</w:t>
      </w:r>
      <w:r w:rsidR="00756D41" w:rsidRPr="000A3C7B">
        <w:rPr>
          <w:rFonts w:asciiTheme="minorHAnsi" w:hAnsiTheme="minorHAnsi" w:cs="Arial"/>
          <w:bCs/>
          <w:snapToGrid w:val="0"/>
        </w:rPr>
        <w:t xml:space="preserve"> that oral liquid presentations should generally be exempt. </w:t>
      </w:r>
    </w:p>
    <w:p w:rsidR="00756D41" w:rsidRPr="000A3C7B" w:rsidRDefault="007B72F7" w:rsidP="00756D41">
      <w:pPr>
        <w:widowControl w:val="0"/>
        <w:numPr>
          <w:ilvl w:val="1"/>
          <w:numId w:val="5"/>
        </w:numPr>
        <w:spacing w:after="120"/>
        <w:jc w:val="both"/>
        <w:rPr>
          <w:rFonts w:asciiTheme="minorHAnsi" w:hAnsiTheme="minorHAnsi" w:cs="Arial"/>
          <w:b/>
          <w:bCs/>
          <w:snapToGrid w:val="0"/>
        </w:rPr>
      </w:pPr>
      <w:r w:rsidRPr="000A3C7B">
        <w:rPr>
          <w:rFonts w:asciiTheme="minorHAnsi" w:hAnsiTheme="minorHAnsi" w:cs="Arial"/>
          <w:bCs/>
          <w:snapToGrid w:val="0"/>
        </w:rPr>
        <w:t>The PBA</w:t>
      </w:r>
      <w:r w:rsidR="00756D41" w:rsidRPr="000A3C7B">
        <w:rPr>
          <w:rFonts w:asciiTheme="minorHAnsi" w:hAnsiTheme="minorHAnsi" w:cs="Arial"/>
          <w:bCs/>
          <w:snapToGrid w:val="0"/>
        </w:rPr>
        <w:t xml:space="preserve">C noted that this submission </w:t>
      </w:r>
      <w:r w:rsidRPr="000A3C7B">
        <w:rPr>
          <w:rFonts w:asciiTheme="minorHAnsi" w:hAnsiTheme="minorHAnsi" w:cs="Arial"/>
          <w:bCs/>
          <w:snapToGrid w:val="0"/>
        </w:rPr>
        <w:t>is not eligible for an Independent Review</w:t>
      </w:r>
      <w:r w:rsidR="00756D41" w:rsidRPr="000A3C7B">
        <w:rPr>
          <w:rFonts w:asciiTheme="minorHAnsi" w:hAnsiTheme="minorHAnsi" w:cs="Arial"/>
          <w:bCs/>
          <w:snapToGrid w:val="0"/>
        </w:rPr>
        <w:t xml:space="preserve"> as it received a positive recommendation</w:t>
      </w:r>
      <w:r w:rsidRPr="000A3C7B">
        <w:rPr>
          <w:rFonts w:asciiTheme="minorHAnsi" w:hAnsiTheme="minorHAnsi" w:cs="Arial"/>
          <w:bCs/>
          <w:snapToGrid w:val="0"/>
        </w:rPr>
        <w:t xml:space="preserve">. </w:t>
      </w:r>
    </w:p>
    <w:p w:rsidR="007913B7" w:rsidRDefault="007B72F7" w:rsidP="00F64E92">
      <w:pPr>
        <w:widowControl w:val="0"/>
        <w:spacing w:after="120"/>
        <w:jc w:val="both"/>
        <w:rPr>
          <w:rFonts w:asciiTheme="minorHAnsi" w:hAnsiTheme="minorHAnsi" w:cs="Arial"/>
          <w:b/>
          <w:bCs/>
          <w:snapToGrid w:val="0"/>
        </w:rPr>
      </w:pPr>
      <w:r w:rsidRPr="000A3C7B">
        <w:rPr>
          <w:rFonts w:asciiTheme="minorHAnsi" w:hAnsiTheme="minorHAnsi" w:cs="Arial"/>
          <w:b/>
          <w:bCs/>
          <w:snapToGrid w:val="0"/>
        </w:rPr>
        <w:t>Outcome:</w:t>
      </w:r>
      <w:r w:rsidR="00F64E92">
        <w:rPr>
          <w:rFonts w:asciiTheme="minorHAnsi" w:hAnsiTheme="minorHAnsi" w:cs="Arial"/>
          <w:b/>
          <w:bCs/>
          <w:snapToGrid w:val="0"/>
        </w:rPr>
        <w:t xml:space="preserve"> </w:t>
      </w:r>
    </w:p>
    <w:p w:rsidR="007B72F7" w:rsidRPr="000A3C7B" w:rsidRDefault="00756D41" w:rsidP="00F64E92">
      <w:pPr>
        <w:widowControl w:val="0"/>
        <w:spacing w:after="120"/>
        <w:jc w:val="both"/>
        <w:rPr>
          <w:rFonts w:asciiTheme="minorHAnsi" w:hAnsiTheme="minorHAnsi" w:cs="Arial"/>
          <w:bCs/>
          <w:snapToGrid w:val="0"/>
        </w:rPr>
      </w:pPr>
      <w:r w:rsidRPr="000A3C7B">
        <w:rPr>
          <w:rFonts w:asciiTheme="minorHAnsi" w:hAnsiTheme="minorHAnsi" w:cs="Arial"/>
          <w:bCs/>
          <w:snapToGrid w:val="0"/>
        </w:rPr>
        <w:t>Recommended</w:t>
      </w:r>
    </w:p>
    <w:p w:rsidR="007B72F7" w:rsidRPr="000A3C7B" w:rsidRDefault="007B72F7" w:rsidP="00756D41">
      <w:pPr>
        <w:widowControl w:val="0"/>
        <w:numPr>
          <w:ilvl w:val="0"/>
          <w:numId w:val="5"/>
        </w:numPr>
        <w:spacing w:before="240" w:after="120"/>
        <w:jc w:val="both"/>
        <w:outlineLvl w:val="0"/>
        <w:rPr>
          <w:rFonts w:asciiTheme="minorHAnsi" w:hAnsiTheme="minorHAnsi" w:cs="Arial"/>
          <w:b/>
          <w:bCs/>
          <w:i/>
          <w:snapToGrid w:val="0"/>
          <w:sz w:val="32"/>
          <w:lang w:val="en-GB"/>
        </w:rPr>
      </w:pPr>
      <w:r w:rsidRPr="000A3C7B">
        <w:rPr>
          <w:rFonts w:asciiTheme="minorHAnsi" w:hAnsiTheme="minorHAnsi" w:cs="Arial"/>
          <w:b/>
          <w:bCs/>
          <w:snapToGrid w:val="0"/>
          <w:sz w:val="32"/>
          <w:lang w:val="en-GB"/>
        </w:rPr>
        <w:t>Recommended listing</w:t>
      </w:r>
    </w:p>
    <w:p w:rsidR="007B72F7" w:rsidRPr="004422E3" w:rsidRDefault="007B72F7" w:rsidP="00756D41">
      <w:pPr>
        <w:widowControl w:val="0"/>
        <w:numPr>
          <w:ilvl w:val="1"/>
          <w:numId w:val="5"/>
        </w:numPr>
        <w:spacing w:after="120"/>
        <w:jc w:val="both"/>
        <w:rPr>
          <w:rFonts w:asciiTheme="minorHAnsi" w:hAnsiTheme="minorHAnsi" w:cs="Arial"/>
          <w:b/>
          <w:bCs/>
          <w:snapToGrid w:val="0"/>
        </w:rPr>
      </w:pPr>
      <w:r w:rsidRPr="00DC42CB">
        <w:rPr>
          <w:rFonts w:asciiTheme="minorHAnsi" w:hAnsiTheme="minorHAnsi" w:cs="Arial"/>
          <w:bCs/>
          <w:snapToGrid w:val="0"/>
        </w:rPr>
        <w:t>Add new item:</w:t>
      </w:r>
    </w:p>
    <w:p w:rsidR="007B72F7" w:rsidRPr="000A3C7B" w:rsidRDefault="007B72F7" w:rsidP="007B72F7">
      <w:pPr>
        <w:pStyle w:val="NoSpacing"/>
      </w:pPr>
    </w:p>
    <w:tbl>
      <w:tblPr>
        <w:tblW w:w="4915" w:type="pct"/>
        <w:tblLook w:val="0000" w:firstRow="0" w:lastRow="0" w:firstColumn="0" w:lastColumn="0" w:noHBand="0" w:noVBand="0"/>
      </w:tblPr>
      <w:tblGrid>
        <w:gridCol w:w="1916"/>
        <w:gridCol w:w="1350"/>
        <w:gridCol w:w="731"/>
        <w:gridCol w:w="880"/>
        <w:gridCol w:w="231"/>
        <w:gridCol w:w="1365"/>
        <w:gridCol w:w="1539"/>
        <w:gridCol w:w="852"/>
        <w:gridCol w:w="9"/>
      </w:tblGrid>
      <w:tr w:rsidR="00756D41" w:rsidRPr="004422E3" w:rsidTr="00756D41">
        <w:trPr>
          <w:cantSplit/>
          <w:trHeight w:val="465"/>
        </w:trPr>
        <w:tc>
          <w:tcPr>
            <w:tcW w:w="1841" w:type="pct"/>
            <w:gridSpan w:val="2"/>
            <w:tcBorders>
              <w:bottom w:val="single" w:sz="4" w:space="0" w:color="auto"/>
            </w:tcBorders>
          </w:tcPr>
          <w:p w:rsidR="00756D41" w:rsidRPr="004422E3" w:rsidRDefault="00756D41" w:rsidP="00864CFF">
            <w:pPr>
              <w:keepNext/>
              <w:spacing w:before="40" w:after="40"/>
              <w:jc w:val="both"/>
              <w:rPr>
                <w:rFonts w:ascii="Arial Narrow" w:hAnsi="Arial Narrow" w:cs="Arial"/>
                <w:b/>
                <w:sz w:val="20"/>
                <w:szCs w:val="20"/>
              </w:rPr>
            </w:pPr>
            <w:r w:rsidRPr="00DC42CB">
              <w:rPr>
                <w:rFonts w:ascii="Arial Narrow" w:hAnsi="Arial Narrow" w:cs="Arial"/>
                <w:b/>
                <w:sz w:val="20"/>
                <w:szCs w:val="20"/>
              </w:rPr>
              <w:t>Name, Restriction,</w:t>
            </w:r>
          </w:p>
          <w:p w:rsidR="00756D41" w:rsidRPr="004422E3" w:rsidRDefault="00756D41" w:rsidP="00864CFF">
            <w:pPr>
              <w:keepNext/>
              <w:spacing w:before="40" w:after="40"/>
              <w:jc w:val="both"/>
              <w:rPr>
                <w:rFonts w:ascii="Arial Narrow" w:hAnsi="Arial Narrow" w:cs="Arial"/>
                <w:b/>
                <w:sz w:val="20"/>
                <w:szCs w:val="20"/>
              </w:rPr>
            </w:pPr>
            <w:r w:rsidRPr="004422E3">
              <w:rPr>
                <w:rFonts w:ascii="Arial Narrow" w:hAnsi="Arial Narrow" w:cs="Arial"/>
                <w:b/>
                <w:sz w:val="20"/>
                <w:szCs w:val="20"/>
              </w:rPr>
              <w:t>Manner of administration and form</w:t>
            </w:r>
          </w:p>
        </w:tc>
        <w:tc>
          <w:tcPr>
            <w:tcW w:w="412" w:type="pct"/>
            <w:tcBorders>
              <w:bottom w:val="single" w:sz="4" w:space="0" w:color="auto"/>
            </w:tcBorders>
          </w:tcPr>
          <w:p w:rsidR="00756D41" w:rsidRPr="004422E3" w:rsidRDefault="00756D41" w:rsidP="00864CFF">
            <w:pPr>
              <w:keepNext/>
              <w:spacing w:before="40" w:after="40"/>
              <w:jc w:val="both"/>
              <w:rPr>
                <w:rFonts w:ascii="Arial Narrow" w:hAnsi="Arial Narrow" w:cs="Arial"/>
                <w:b/>
                <w:sz w:val="20"/>
                <w:szCs w:val="20"/>
              </w:rPr>
            </w:pPr>
            <w:r w:rsidRPr="004422E3">
              <w:rPr>
                <w:rFonts w:ascii="Arial Narrow" w:hAnsi="Arial Narrow" w:cs="Arial"/>
                <w:b/>
                <w:sz w:val="20"/>
                <w:szCs w:val="20"/>
              </w:rPr>
              <w:t>Max.</w:t>
            </w:r>
          </w:p>
          <w:p w:rsidR="00756D41" w:rsidRPr="004422E3" w:rsidRDefault="00756D41" w:rsidP="00864CFF">
            <w:pPr>
              <w:keepNext/>
              <w:spacing w:before="40" w:after="40"/>
              <w:jc w:val="both"/>
              <w:rPr>
                <w:rFonts w:ascii="Arial Narrow" w:hAnsi="Arial Narrow" w:cs="Arial"/>
                <w:b/>
                <w:sz w:val="20"/>
                <w:szCs w:val="20"/>
              </w:rPr>
            </w:pPr>
            <w:r w:rsidRPr="004422E3">
              <w:rPr>
                <w:rFonts w:ascii="Arial Narrow" w:hAnsi="Arial Narrow" w:cs="Arial"/>
                <w:b/>
                <w:sz w:val="20"/>
                <w:szCs w:val="20"/>
              </w:rPr>
              <w:t>Qty</w:t>
            </w:r>
          </w:p>
        </w:tc>
        <w:tc>
          <w:tcPr>
            <w:tcW w:w="496" w:type="pct"/>
            <w:tcBorders>
              <w:bottom w:val="single" w:sz="4" w:space="0" w:color="auto"/>
            </w:tcBorders>
          </w:tcPr>
          <w:p w:rsidR="00756D41" w:rsidRPr="004422E3" w:rsidRDefault="00756D41" w:rsidP="00864CFF">
            <w:pPr>
              <w:keepNext/>
              <w:spacing w:before="40" w:after="40"/>
              <w:jc w:val="both"/>
              <w:rPr>
                <w:rFonts w:ascii="Arial Narrow" w:hAnsi="Arial Narrow" w:cs="Arial"/>
                <w:b/>
                <w:sz w:val="20"/>
                <w:szCs w:val="20"/>
              </w:rPr>
            </w:pPr>
            <w:r w:rsidRPr="004422E3">
              <w:rPr>
                <w:rFonts w:ascii="Arial Narrow" w:hAnsi="Arial Narrow" w:cs="Arial"/>
                <w:b/>
                <w:sz w:val="20"/>
                <w:szCs w:val="20"/>
              </w:rPr>
              <w:t>№.of</w:t>
            </w:r>
          </w:p>
          <w:p w:rsidR="00756D41" w:rsidRPr="004422E3" w:rsidRDefault="00756D41" w:rsidP="00864CFF">
            <w:pPr>
              <w:keepNext/>
              <w:spacing w:before="40" w:after="40"/>
              <w:jc w:val="both"/>
              <w:rPr>
                <w:rFonts w:ascii="Arial Narrow" w:hAnsi="Arial Narrow" w:cs="Arial"/>
                <w:b/>
                <w:sz w:val="20"/>
                <w:szCs w:val="20"/>
              </w:rPr>
            </w:pPr>
            <w:r w:rsidRPr="004422E3">
              <w:rPr>
                <w:rFonts w:ascii="Arial Narrow" w:hAnsi="Arial Narrow" w:cs="Arial"/>
                <w:b/>
                <w:sz w:val="20"/>
                <w:szCs w:val="20"/>
              </w:rPr>
              <w:t>Rpts</w:t>
            </w:r>
          </w:p>
        </w:tc>
        <w:tc>
          <w:tcPr>
            <w:tcW w:w="130" w:type="pct"/>
            <w:tcBorders>
              <w:bottom w:val="single" w:sz="4" w:space="0" w:color="auto"/>
            </w:tcBorders>
          </w:tcPr>
          <w:p w:rsidR="00756D41" w:rsidRPr="004422E3" w:rsidRDefault="00756D41" w:rsidP="00864CFF">
            <w:pPr>
              <w:keepNext/>
              <w:spacing w:before="40" w:after="40"/>
              <w:jc w:val="both"/>
              <w:rPr>
                <w:rFonts w:ascii="Arial Narrow" w:hAnsi="Arial Narrow" w:cs="Arial"/>
                <w:b/>
                <w:sz w:val="20"/>
                <w:szCs w:val="20"/>
              </w:rPr>
            </w:pPr>
          </w:p>
        </w:tc>
        <w:tc>
          <w:tcPr>
            <w:tcW w:w="2121" w:type="pct"/>
            <w:gridSpan w:val="4"/>
            <w:tcBorders>
              <w:bottom w:val="single" w:sz="4" w:space="0" w:color="auto"/>
            </w:tcBorders>
          </w:tcPr>
          <w:p w:rsidR="00756D41" w:rsidRPr="000A3C7B" w:rsidRDefault="00756D41" w:rsidP="00864CFF">
            <w:pPr>
              <w:keepNext/>
              <w:spacing w:before="40" w:after="40"/>
              <w:jc w:val="both"/>
              <w:rPr>
                <w:rFonts w:ascii="Arial Narrow" w:hAnsi="Arial Narrow" w:cs="Arial"/>
                <w:b/>
                <w:sz w:val="20"/>
                <w:szCs w:val="20"/>
              </w:rPr>
            </w:pPr>
            <w:r w:rsidRPr="004422E3">
              <w:rPr>
                <w:rFonts w:ascii="Arial Narrow" w:hAnsi="Arial Narrow" w:cs="Arial"/>
                <w:b/>
                <w:sz w:val="20"/>
                <w:szCs w:val="20"/>
              </w:rPr>
              <w:t>Proprietary Name and Manufacturer</w:t>
            </w:r>
          </w:p>
        </w:tc>
      </w:tr>
      <w:tr w:rsidR="00756D41" w:rsidRPr="004422E3" w:rsidTr="00756D41">
        <w:trPr>
          <w:cantSplit/>
          <w:trHeight w:val="567"/>
        </w:trPr>
        <w:tc>
          <w:tcPr>
            <w:tcW w:w="1841" w:type="pct"/>
            <w:gridSpan w:val="2"/>
          </w:tcPr>
          <w:p w:rsidR="00756D41" w:rsidRPr="004422E3" w:rsidRDefault="00756D41" w:rsidP="00864CFF">
            <w:pPr>
              <w:keepNext/>
              <w:spacing w:before="40" w:after="40"/>
              <w:jc w:val="both"/>
              <w:rPr>
                <w:rFonts w:ascii="Arial Narrow" w:hAnsi="Arial Narrow" w:cs="Arial"/>
                <w:sz w:val="20"/>
                <w:szCs w:val="20"/>
              </w:rPr>
            </w:pPr>
            <w:r w:rsidRPr="004422E3">
              <w:rPr>
                <w:rFonts w:ascii="Arial Narrow" w:hAnsi="Arial Narrow" w:cs="Arial"/>
                <w:smallCaps/>
                <w:sz w:val="20"/>
                <w:szCs w:val="20"/>
              </w:rPr>
              <w:t>RILUZOLE</w:t>
            </w:r>
          </w:p>
          <w:p w:rsidR="00756D41" w:rsidRPr="004422E3" w:rsidRDefault="00756D41" w:rsidP="00864CFF">
            <w:pPr>
              <w:keepNext/>
              <w:spacing w:before="40" w:after="40"/>
              <w:jc w:val="both"/>
              <w:rPr>
                <w:rFonts w:ascii="Arial Narrow" w:hAnsi="Arial Narrow" w:cs="Arial"/>
                <w:sz w:val="20"/>
                <w:szCs w:val="20"/>
              </w:rPr>
            </w:pPr>
            <w:r w:rsidRPr="004422E3">
              <w:rPr>
                <w:rFonts w:ascii="Arial Narrow" w:hAnsi="Arial Narrow" w:cs="Arial"/>
                <w:sz w:val="20"/>
                <w:szCs w:val="20"/>
              </w:rPr>
              <w:t>50 mg/10 mL oral liquid, 300 mL</w:t>
            </w:r>
          </w:p>
        </w:tc>
        <w:tc>
          <w:tcPr>
            <w:tcW w:w="412" w:type="pct"/>
          </w:tcPr>
          <w:p w:rsidR="00756D41" w:rsidRPr="004422E3" w:rsidRDefault="00756D41" w:rsidP="00864CFF">
            <w:pPr>
              <w:keepNext/>
              <w:spacing w:before="40" w:after="40"/>
              <w:jc w:val="both"/>
              <w:rPr>
                <w:rFonts w:ascii="Arial Narrow" w:hAnsi="Arial Narrow" w:cs="Arial"/>
                <w:sz w:val="20"/>
                <w:szCs w:val="20"/>
              </w:rPr>
            </w:pPr>
          </w:p>
          <w:p w:rsidR="00756D41" w:rsidRPr="004422E3" w:rsidRDefault="00756D41" w:rsidP="00864CFF">
            <w:pPr>
              <w:keepNext/>
              <w:spacing w:before="40" w:after="40"/>
              <w:jc w:val="both"/>
              <w:rPr>
                <w:rFonts w:ascii="Arial Narrow" w:hAnsi="Arial Narrow" w:cs="Arial"/>
                <w:sz w:val="20"/>
                <w:szCs w:val="20"/>
              </w:rPr>
            </w:pPr>
            <w:r w:rsidRPr="004422E3">
              <w:rPr>
                <w:rFonts w:ascii="Arial Narrow" w:hAnsi="Arial Narrow" w:cs="Arial"/>
                <w:sz w:val="20"/>
                <w:szCs w:val="20"/>
              </w:rPr>
              <w:t>2</w:t>
            </w:r>
          </w:p>
        </w:tc>
        <w:tc>
          <w:tcPr>
            <w:tcW w:w="496" w:type="pct"/>
          </w:tcPr>
          <w:p w:rsidR="00756D41" w:rsidRPr="004422E3" w:rsidRDefault="00756D41" w:rsidP="00864CFF">
            <w:pPr>
              <w:keepNext/>
              <w:spacing w:before="40" w:after="40"/>
              <w:jc w:val="both"/>
              <w:rPr>
                <w:rFonts w:ascii="Arial Narrow" w:hAnsi="Arial Narrow" w:cs="Arial"/>
                <w:sz w:val="20"/>
                <w:szCs w:val="20"/>
              </w:rPr>
            </w:pPr>
          </w:p>
          <w:p w:rsidR="00756D41" w:rsidRPr="004422E3" w:rsidRDefault="00756D41" w:rsidP="00864CFF">
            <w:pPr>
              <w:keepNext/>
              <w:spacing w:before="40" w:after="40"/>
              <w:jc w:val="both"/>
              <w:rPr>
                <w:rFonts w:ascii="Arial Narrow" w:hAnsi="Arial Narrow" w:cs="Arial"/>
                <w:sz w:val="20"/>
                <w:szCs w:val="20"/>
              </w:rPr>
            </w:pPr>
            <w:r w:rsidRPr="004422E3">
              <w:rPr>
                <w:rFonts w:ascii="Arial Narrow" w:hAnsi="Arial Narrow" w:cs="Arial"/>
                <w:sz w:val="20"/>
                <w:szCs w:val="20"/>
              </w:rPr>
              <w:t>5</w:t>
            </w:r>
          </w:p>
        </w:tc>
        <w:tc>
          <w:tcPr>
            <w:tcW w:w="130" w:type="pct"/>
          </w:tcPr>
          <w:p w:rsidR="00756D41" w:rsidRPr="004422E3" w:rsidRDefault="00756D41" w:rsidP="00864CFF">
            <w:pPr>
              <w:keepNext/>
              <w:spacing w:before="40" w:after="40"/>
              <w:jc w:val="both"/>
              <w:rPr>
                <w:rFonts w:ascii="Arial Narrow" w:hAnsi="Arial Narrow" w:cs="Arial"/>
                <w:sz w:val="20"/>
                <w:szCs w:val="20"/>
              </w:rPr>
            </w:pPr>
          </w:p>
        </w:tc>
        <w:tc>
          <w:tcPr>
            <w:tcW w:w="769" w:type="pct"/>
          </w:tcPr>
          <w:p w:rsidR="00756D41" w:rsidRPr="004422E3" w:rsidRDefault="00756D41" w:rsidP="00864CFF">
            <w:pPr>
              <w:keepNext/>
              <w:spacing w:before="40" w:after="40"/>
              <w:jc w:val="both"/>
              <w:rPr>
                <w:rFonts w:ascii="Arial Narrow" w:hAnsi="Arial Narrow" w:cs="Arial"/>
                <w:sz w:val="20"/>
                <w:szCs w:val="20"/>
              </w:rPr>
            </w:pPr>
          </w:p>
          <w:p w:rsidR="00756D41" w:rsidRPr="004422E3" w:rsidRDefault="00756D41" w:rsidP="00864CFF">
            <w:pPr>
              <w:keepNext/>
              <w:spacing w:before="40" w:after="40"/>
              <w:jc w:val="both"/>
              <w:rPr>
                <w:rFonts w:ascii="Arial Narrow" w:hAnsi="Arial Narrow" w:cs="Arial"/>
                <w:sz w:val="20"/>
                <w:szCs w:val="20"/>
                <w:vertAlign w:val="superscript"/>
              </w:rPr>
            </w:pPr>
            <w:proofErr w:type="spellStart"/>
            <w:r w:rsidRPr="004422E3">
              <w:rPr>
                <w:rFonts w:ascii="Arial Narrow" w:hAnsi="Arial Narrow" w:cs="Arial"/>
                <w:sz w:val="20"/>
                <w:szCs w:val="20"/>
              </w:rPr>
              <w:t>Teglutik</w:t>
            </w:r>
            <w:proofErr w:type="spellEnd"/>
            <w:r w:rsidRPr="004422E3">
              <w:rPr>
                <w:rFonts w:ascii="Arial Narrow" w:hAnsi="Arial Narrow" w:cs="Arial"/>
                <w:sz w:val="20"/>
                <w:szCs w:val="20"/>
                <w:vertAlign w:val="superscript"/>
              </w:rPr>
              <w:t>®</w:t>
            </w:r>
          </w:p>
        </w:tc>
        <w:tc>
          <w:tcPr>
            <w:tcW w:w="1352" w:type="pct"/>
            <w:gridSpan w:val="3"/>
          </w:tcPr>
          <w:p w:rsidR="00756D41" w:rsidRPr="004422E3" w:rsidRDefault="00756D41" w:rsidP="00864CFF">
            <w:pPr>
              <w:keepNext/>
              <w:spacing w:before="40" w:after="40"/>
              <w:jc w:val="both"/>
              <w:rPr>
                <w:rFonts w:ascii="Arial Narrow" w:hAnsi="Arial Narrow" w:cs="Arial"/>
                <w:sz w:val="20"/>
                <w:szCs w:val="20"/>
              </w:rPr>
            </w:pPr>
          </w:p>
          <w:p w:rsidR="00756D41" w:rsidRPr="004422E3" w:rsidRDefault="00756D41" w:rsidP="00864CFF">
            <w:pPr>
              <w:keepNext/>
              <w:spacing w:before="40" w:after="40"/>
              <w:jc w:val="both"/>
              <w:rPr>
                <w:rFonts w:ascii="Arial Narrow" w:hAnsi="Arial Narrow" w:cs="Arial"/>
                <w:sz w:val="20"/>
                <w:szCs w:val="20"/>
              </w:rPr>
            </w:pPr>
            <w:proofErr w:type="spellStart"/>
            <w:r w:rsidRPr="004422E3">
              <w:rPr>
                <w:rFonts w:ascii="Arial Narrow" w:hAnsi="Arial Narrow" w:cs="Arial"/>
                <w:sz w:val="20"/>
                <w:szCs w:val="20"/>
              </w:rPr>
              <w:t>Seqirus</w:t>
            </w:r>
            <w:proofErr w:type="spellEnd"/>
            <w:r w:rsidRPr="004422E3">
              <w:rPr>
                <w:rFonts w:ascii="Arial Narrow" w:hAnsi="Arial Narrow" w:cs="Arial"/>
                <w:sz w:val="20"/>
                <w:szCs w:val="20"/>
              </w:rPr>
              <w:t xml:space="preserve"> (Australia) Pty Ltd</w:t>
            </w:r>
          </w:p>
        </w:tc>
      </w:tr>
      <w:tr w:rsidR="00756D41" w:rsidRPr="004422E3" w:rsidTr="00864CFF">
        <w:trPr>
          <w:gridAfter w:val="2"/>
          <w:wAfter w:w="485" w:type="pct"/>
          <w:cantSplit/>
          <w:trHeight w:val="360"/>
        </w:trPr>
        <w:tc>
          <w:tcPr>
            <w:tcW w:w="4515" w:type="pct"/>
            <w:gridSpan w:val="7"/>
            <w:tcBorders>
              <w:bottom w:val="single" w:sz="4" w:space="0" w:color="auto"/>
            </w:tcBorders>
          </w:tcPr>
          <w:p w:rsidR="00756D41" w:rsidRPr="004422E3" w:rsidRDefault="00756D41" w:rsidP="00864CFF">
            <w:pPr>
              <w:spacing w:before="40" w:after="40"/>
              <w:jc w:val="both"/>
              <w:rPr>
                <w:rFonts w:ascii="Arial Narrow" w:hAnsi="Arial Narrow" w:cs="Arial"/>
                <w:sz w:val="20"/>
                <w:szCs w:val="20"/>
              </w:rPr>
            </w:pPr>
          </w:p>
        </w:tc>
      </w:tr>
      <w:tr w:rsidR="00756D41" w:rsidRPr="004422E3" w:rsidTr="00864CFF">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756D41" w:rsidRPr="004422E3" w:rsidRDefault="00756D41" w:rsidP="00DF0FFC">
            <w:pPr>
              <w:keepNext/>
              <w:widowControl w:val="0"/>
              <w:spacing w:before="40" w:after="40"/>
              <w:jc w:val="both"/>
              <w:rPr>
                <w:rFonts w:ascii="Arial Narrow" w:hAnsi="Arial Narrow" w:cs="Arial"/>
                <w:b/>
                <w:sz w:val="20"/>
                <w:szCs w:val="20"/>
              </w:rPr>
            </w:pPr>
            <w:r w:rsidRPr="004422E3">
              <w:rPr>
                <w:rFonts w:ascii="Arial Narrow" w:hAnsi="Arial Narrow" w:cs="Arial"/>
                <w:b/>
                <w:sz w:val="20"/>
                <w:szCs w:val="20"/>
              </w:rPr>
              <w:lastRenderedPageBreak/>
              <w:t>Category / Program</w:t>
            </w:r>
          </w:p>
        </w:tc>
        <w:tc>
          <w:tcPr>
            <w:tcW w:w="3915" w:type="pct"/>
            <w:gridSpan w:val="7"/>
            <w:tcBorders>
              <w:top w:val="single" w:sz="4" w:space="0" w:color="auto"/>
              <w:left w:val="single" w:sz="4" w:space="0" w:color="auto"/>
              <w:bottom w:val="single" w:sz="4" w:space="0" w:color="auto"/>
              <w:right w:val="single" w:sz="4" w:space="0" w:color="auto"/>
            </w:tcBorders>
          </w:tcPr>
          <w:p w:rsidR="00756D41" w:rsidRPr="004422E3" w:rsidRDefault="00756D41" w:rsidP="00DF0FFC">
            <w:pPr>
              <w:keepNext/>
              <w:widowControl w:val="0"/>
              <w:spacing w:before="40" w:after="40"/>
              <w:rPr>
                <w:rFonts w:ascii="Arial Narrow" w:hAnsi="Arial Narrow" w:cs="Arial"/>
                <w:sz w:val="20"/>
                <w:szCs w:val="20"/>
              </w:rPr>
            </w:pPr>
            <w:r w:rsidRPr="004422E3">
              <w:rPr>
                <w:rFonts w:ascii="Arial Narrow" w:hAnsi="Arial Narrow" w:cs="Arial"/>
                <w:sz w:val="20"/>
                <w:szCs w:val="20"/>
              </w:rPr>
              <w:t>GENERAL – General Schedule (Code GE)</w:t>
            </w:r>
          </w:p>
        </w:tc>
      </w:tr>
      <w:tr w:rsidR="00756D41" w:rsidRPr="004422E3" w:rsidTr="00864CFF">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Prescriber type:</w:t>
            </w:r>
          </w:p>
        </w:tc>
        <w:tc>
          <w:tcPr>
            <w:tcW w:w="3915" w:type="pct"/>
            <w:gridSpan w:val="7"/>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1"/>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 xml:space="preserve">Dental  </w:t>
            </w:r>
            <w:r w:rsidRPr="00AD577D">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 xml:space="preserve">Medical Practitioners  </w:t>
            </w:r>
            <w:r w:rsidRPr="00AD577D">
              <w:rPr>
                <w:rFonts w:ascii="Arial Narrow" w:hAnsi="Arial Narrow" w:cs="Arial"/>
                <w:sz w:val="20"/>
                <w:szCs w:val="20"/>
              </w:rPr>
              <w:fldChar w:fldCharType="begin">
                <w:ffData>
                  <w:name w:val="Check3"/>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 xml:space="preserve">Nurse practitioners  </w:t>
            </w:r>
            <w:r w:rsidRPr="00AD577D">
              <w:rPr>
                <w:rFonts w:ascii="Arial Narrow" w:hAnsi="Arial Narrow" w:cs="Arial"/>
                <w:sz w:val="20"/>
                <w:szCs w:val="20"/>
              </w:rPr>
              <w:fldChar w:fldCharType="begin">
                <w:ffData>
                  <w:name w:val=""/>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Optometrist</w:t>
            </w:r>
            <w:r w:rsidRPr="004422E3">
              <w:rPr>
                <w:rFonts w:ascii="Arial Narrow" w:hAnsi="Arial Narrow" w:cs="Arial"/>
                <w:sz w:val="20"/>
                <w:szCs w:val="20"/>
              </w:rPr>
              <w:t>s</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5"/>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Midwives</w:t>
            </w:r>
          </w:p>
        </w:tc>
      </w:tr>
      <w:tr w:rsidR="00756D41" w:rsidRPr="004422E3" w:rsidTr="00864CFF">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Condition:</w:t>
            </w:r>
          </w:p>
        </w:tc>
        <w:tc>
          <w:tcPr>
            <w:tcW w:w="3915" w:type="pct"/>
            <w:gridSpan w:val="7"/>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Amyotrophic lateral sclerosis</w:t>
            </w:r>
          </w:p>
        </w:tc>
      </w:tr>
      <w:tr w:rsidR="00756D41" w:rsidRPr="004422E3" w:rsidTr="00864CFF">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PBS Indication:</w:t>
            </w:r>
          </w:p>
        </w:tc>
        <w:tc>
          <w:tcPr>
            <w:tcW w:w="3915" w:type="pct"/>
            <w:gridSpan w:val="7"/>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Amyotrophic lateral sclerosis</w:t>
            </w:r>
          </w:p>
        </w:tc>
      </w:tr>
      <w:tr w:rsidR="00756D41" w:rsidRPr="004422E3" w:rsidTr="00864CFF">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Treatment phase:</w:t>
            </w:r>
          </w:p>
        </w:tc>
        <w:tc>
          <w:tcPr>
            <w:tcW w:w="3915" w:type="pct"/>
            <w:gridSpan w:val="7"/>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Initial treatment</w:t>
            </w:r>
          </w:p>
        </w:tc>
      </w:tr>
      <w:tr w:rsidR="00756D41" w:rsidRPr="004422E3" w:rsidTr="00864CFF">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Restriction Level / Method:</w:t>
            </w:r>
          </w:p>
          <w:p w:rsidR="00756D41" w:rsidRPr="004422E3" w:rsidRDefault="00756D41" w:rsidP="00864CFF">
            <w:pPr>
              <w:spacing w:before="40" w:after="40"/>
              <w:rPr>
                <w:rFonts w:ascii="Arial Narrow" w:hAnsi="Arial Narrow" w:cs="Arial"/>
                <w:sz w:val="20"/>
                <w:szCs w:val="20"/>
              </w:rPr>
            </w:pPr>
          </w:p>
        </w:tc>
        <w:tc>
          <w:tcPr>
            <w:tcW w:w="3915" w:type="pct"/>
            <w:gridSpan w:val="7"/>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1"/>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Restricted benefit</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Authority Required - In Writing</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Authority Required - Telephone</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Authority Required – Emergency</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5"/>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Authority Required - Electronic</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5"/>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Streamlined</w:t>
            </w:r>
          </w:p>
        </w:tc>
      </w:tr>
      <w:tr w:rsidR="00756D41" w:rsidRPr="004422E3" w:rsidTr="00864CFF">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Clinical criteria:</w:t>
            </w:r>
          </w:p>
          <w:p w:rsidR="00756D41" w:rsidRPr="004422E3" w:rsidRDefault="00756D41" w:rsidP="00864CFF">
            <w:pPr>
              <w:spacing w:before="40" w:after="40"/>
              <w:jc w:val="both"/>
              <w:rPr>
                <w:rFonts w:ascii="Arial Narrow" w:hAnsi="Arial Narrow" w:cs="Arial"/>
                <w:sz w:val="20"/>
                <w:szCs w:val="20"/>
              </w:rPr>
            </w:pPr>
          </w:p>
        </w:tc>
        <w:tc>
          <w:tcPr>
            <w:tcW w:w="3915" w:type="pct"/>
            <w:gridSpan w:val="7"/>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The condition must be diagnosed by a neurologist,</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AND</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not have had the disease for more than 5 years,</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AND</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have at least 60 percent of predicted forced vital capacity within the 2 months before commencing therapy with this drug,</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AND</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be ambulatory; OR</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not be ambulatory, and must be able to either use upper limbs or to swallow,</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AND</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not have undergone a tracheostomy,</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AND</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not have experienced respiratory failure.</w:t>
            </w:r>
          </w:p>
        </w:tc>
      </w:tr>
      <w:tr w:rsidR="00756D41" w:rsidRPr="004422E3" w:rsidTr="00864CFF">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Prescriber Instructions</w:t>
            </w:r>
          </w:p>
        </w:tc>
        <w:tc>
          <w:tcPr>
            <w:tcW w:w="3915" w:type="pct"/>
            <w:gridSpan w:val="7"/>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The date of diagnosis and the date and results of spirometry (in terms of percent of predicted forced vital capacity) must be supplied with the initial authority application.</w:t>
            </w:r>
          </w:p>
        </w:tc>
      </w:tr>
      <w:tr w:rsidR="00756D41" w:rsidRPr="004422E3" w:rsidTr="00864CFF">
        <w:trPr>
          <w:gridAfter w:val="1"/>
          <w:wAfter w:w="5"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Administrative Advice</w:t>
            </w:r>
          </w:p>
          <w:p w:rsidR="00756D41" w:rsidRPr="004422E3" w:rsidRDefault="00756D41" w:rsidP="00864CFF">
            <w:pPr>
              <w:spacing w:before="40" w:after="40"/>
              <w:jc w:val="both"/>
              <w:rPr>
                <w:rFonts w:ascii="Arial Narrow" w:hAnsi="Arial Narrow" w:cs="Arial"/>
                <w:sz w:val="20"/>
                <w:szCs w:val="20"/>
              </w:rPr>
            </w:pPr>
          </w:p>
        </w:tc>
        <w:tc>
          <w:tcPr>
            <w:tcW w:w="3915" w:type="pct"/>
            <w:gridSpan w:val="7"/>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Continuing Therapy Only:</w:t>
            </w:r>
          </w:p>
          <w:p w:rsidR="00756D41" w:rsidRPr="004422E3" w:rsidRDefault="00756D41" w:rsidP="00864CFF">
            <w:pPr>
              <w:spacing w:before="40" w:after="40"/>
              <w:rPr>
                <w:rFonts w:ascii="Arial Narrow" w:hAnsi="Arial Narrow" w:cs="Arial"/>
                <w:sz w:val="20"/>
                <w:szCs w:val="20"/>
              </w:rPr>
            </w:pP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7B72F7" w:rsidRPr="000A3C7B" w:rsidRDefault="007B72F7" w:rsidP="007B72F7">
      <w:pPr>
        <w:pStyle w:val="NoSpacing"/>
      </w:pPr>
    </w:p>
    <w:tbl>
      <w:tblPr>
        <w:tblW w:w="4915" w:type="pct"/>
        <w:tblLook w:val="0000" w:firstRow="0" w:lastRow="0" w:firstColumn="0" w:lastColumn="0" w:noHBand="0" w:noVBand="0"/>
      </w:tblPr>
      <w:tblGrid>
        <w:gridCol w:w="1916"/>
        <w:gridCol w:w="6947"/>
      </w:tblGrid>
      <w:tr w:rsidR="00756D41" w:rsidRPr="004422E3" w:rsidTr="00864CFF">
        <w:trPr>
          <w:cantSplit/>
          <w:trHeight w:val="360"/>
        </w:trPr>
        <w:tc>
          <w:tcPr>
            <w:tcW w:w="1081"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DC42CB">
              <w:rPr>
                <w:rFonts w:ascii="Arial Narrow" w:hAnsi="Arial Narrow" w:cs="Arial"/>
                <w:b/>
                <w:sz w:val="20"/>
                <w:szCs w:val="20"/>
              </w:rPr>
              <w:t>Category / Program</w:t>
            </w:r>
          </w:p>
        </w:tc>
        <w:tc>
          <w:tcPr>
            <w:tcW w:w="3919"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GENERAL – General Schedule (Code GE)</w:t>
            </w:r>
          </w:p>
        </w:tc>
      </w:tr>
      <w:tr w:rsidR="00756D41" w:rsidRPr="004422E3" w:rsidTr="00864CFF">
        <w:trPr>
          <w:cantSplit/>
          <w:trHeight w:val="360"/>
        </w:trPr>
        <w:tc>
          <w:tcPr>
            <w:tcW w:w="1081"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Prescriber type:</w:t>
            </w:r>
          </w:p>
        </w:tc>
        <w:tc>
          <w:tcPr>
            <w:tcW w:w="3919"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1"/>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 xml:space="preserve">Dental  </w:t>
            </w:r>
            <w:r w:rsidRPr="00AD577D">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 xml:space="preserve">Medical Practitioners  </w:t>
            </w:r>
            <w:r w:rsidRPr="00AD577D">
              <w:rPr>
                <w:rFonts w:ascii="Arial Narrow" w:hAnsi="Arial Narrow" w:cs="Arial"/>
                <w:sz w:val="20"/>
                <w:szCs w:val="20"/>
              </w:rPr>
              <w:fldChar w:fldCharType="begin">
                <w:ffData>
                  <w:name w:val="Check3"/>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 xml:space="preserve">Nurse practitioners  </w:t>
            </w:r>
            <w:r w:rsidRPr="00AD577D">
              <w:rPr>
                <w:rFonts w:ascii="Arial Narrow" w:hAnsi="Arial Narrow" w:cs="Arial"/>
                <w:sz w:val="20"/>
                <w:szCs w:val="20"/>
              </w:rPr>
              <w:fldChar w:fldCharType="begin">
                <w:ffData>
                  <w:name w:val=""/>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Optometrists</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5"/>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Midwives</w:t>
            </w:r>
          </w:p>
        </w:tc>
      </w:tr>
      <w:tr w:rsidR="00756D41" w:rsidRPr="004422E3" w:rsidTr="00864CFF">
        <w:trPr>
          <w:cantSplit/>
          <w:trHeight w:val="360"/>
        </w:trPr>
        <w:tc>
          <w:tcPr>
            <w:tcW w:w="1081"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Condition:</w:t>
            </w:r>
          </w:p>
        </w:tc>
        <w:tc>
          <w:tcPr>
            <w:tcW w:w="3919"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Amyotrophic lateral sclerosis</w:t>
            </w:r>
          </w:p>
        </w:tc>
      </w:tr>
      <w:tr w:rsidR="00756D41" w:rsidRPr="004422E3" w:rsidTr="00864CFF">
        <w:trPr>
          <w:cantSplit/>
          <w:trHeight w:val="360"/>
        </w:trPr>
        <w:tc>
          <w:tcPr>
            <w:tcW w:w="1081"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PBS Indication:</w:t>
            </w:r>
          </w:p>
        </w:tc>
        <w:tc>
          <w:tcPr>
            <w:tcW w:w="3919"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Amyotrophic lateral sclerosis</w:t>
            </w:r>
          </w:p>
        </w:tc>
      </w:tr>
      <w:tr w:rsidR="00756D41" w:rsidRPr="004422E3" w:rsidTr="00864CFF">
        <w:trPr>
          <w:cantSplit/>
          <w:trHeight w:val="360"/>
        </w:trPr>
        <w:tc>
          <w:tcPr>
            <w:tcW w:w="1081"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Treatment phase:</w:t>
            </w:r>
          </w:p>
        </w:tc>
        <w:tc>
          <w:tcPr>
            <w:tcW w:w="3919"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Continuing treatment</w:t>
            </w:r>
          </w:p>
        </w:tc>
      </w:tr>
      <w:tr w:rsidR="00756D41" w:rsidRPr="004422E3" w:rsidTr="00864CFF">
        <w:trPr>
          <w:cantSplit/>
          <w:trHeight w:val="360"/>
        </w:trPr>
        <w:tc>
          <w:tcPr>
            <w:tcW w:w="1081"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lastRenderedPageBreak/>
              <w:t>Restriction Level / Method:</w:t>
            </w:r>
          </w:p>
          <w:p w:rsidR="00756D41" w:rsidRPr="004422E3" w:rsidRDefault="00756D41" w:rsidP="00864CFF">
            <w:pPr>
              <w:spacing w:before="40" w:after="40"/>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1"/>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Restricted benefit</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Authority Required - In Writing</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Authority Required - Telephone</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Authority Required – Emergency</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5"/>
                  <w:enabled/>
                  <w:calcOnExit w:val="0"/>
                  <w:checkBox>
                    <w:sizeAuto/>
                    <w:default w:val="1"/>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Authority Required - Electronic</w:t>
            </w:r>
          </w:p>
          <w:p w:rsidR="00756D41" w:rsidRPr="004422E3" w:rsidRDefault="00756D41" w:rsidP="00864CFF">
            <w:pPr>
              <w:spacing w:before="40" w:after="40"/>
              <w:rPr>
                <w:rFonts w:ascii="Arial Narrow" w:hAnsi="Arial Narrow" w:cs="Arial"/>
                <w:sz w:val="20"/>
                <w:szCs w:val="20"/>
              </w:rPr>
            </w:pPr>
            <w:r w:rsidRPr="00AD577D">
              <w:rPr>
                <w:rFonts w:ascii="Arial Narrow" w:hAnsi="Arial Narrow" w:cs="Arial"/>
                <w:sz w:val="20"/>
                <w:szCs w:val="20"/>
              </w:rPr>
              <w:fldChar w:fldCharType="begin">
                <w:ffData>
                  <w:name w:val="Check5"/>
                  <w:enabled/>
                  <w:calcOnExit w:val="0"/>
                  <w:checkBox>
                    <w:sizeAuto/>
                    <w:default w:val="0"/>
                  </w:checkBox>
                </w:ffData>
              </w:fldChar>
            </w:r>
            <w:r w:rsidRPr="004422E3">
              <w:rPr>
                <w:rFonts w:ascii="Arial Narrow" w:hAnsi="Arial Narrow" w:cs="Arial"/>
                <w:sz w:val="20"/>
                <w:szCs w:val="20"/>
              </w:rPr>
              <w:instrText xml:space="preserve"> FORMCHECKBOX </w:instrText>
            </w:r>
            <w:r w:rsidR="004F4384">
              <w:rPr>
                <w:rFonts w:ascii="Arial Narrow" w:hAnsi="Arial Narrow" w:cs="Arial"/>
                <w:sz w:val="20"/>
                <w:szCs w:val="20"/>
              </w:rPr>
            </w:r>
            <w:r w:rsidR="004F4384">
              <w:rPr>
                <w:rFonts w:ascii="Arial Narrow" w:hAnsi="Arial Narrow" w:cs="Arial"/>
                <w:sz w:val="20"/>
                <w:szCs w:val="20"/>
              </w:rPr>
              <w:fldChar w:fldCharType="separate"/>
            </w:r>
            <w:r w:rsidRPr="00AD577D">
              <w:rPr>
                <w:rFonts w:ascii="Arial Narrow" w:hAnsi="Arial Narrow" w:cs="Arial"/>
                <w:sz w:val="20"/>
                <w:szCs w:val="20"/>
              </w:rPr>
              <w:fldChar w:fldCharType="end"/>
            </w:r>
            <w:r w:rsidRPr="00DC42CB">
              <w:rPr>
                <w:rFonts w:ascii="Arial Narrow" w:hAnsi="Arial Narrow" w:cs="Arial"/>
                <w:sz w:val="20"/>
                <w:szCs w:val="20"/>
              </w:rPr>
              <w:t>Streamlined</w:t>
            </w:r>
          </w:p>
        </w:tc>
      </w:tr>
      <w:tr w:rsidR="00756D41" w:rsidRPr="004422E3" w:rsidTr="00864CFF">
        <w:trPr>
          <w:cantSplit/>
          <w:trHeight w:val="360"/>
        </w:trPr>
        <w:tc>
          <w:tcPr>
            <w:tcW w:w="1081"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Clinical criteria:</w:t>
            </w:r>
          </w:p>
          <w:p w:rsidR="00756D41" w:rsidRPr="004422E3" w:rsidRDefault="00756D41" w:rsidP="00864CFF">
            <w:pPr>
              <w:spacing w:before="40" w:after="40"/>
              <w:jc w:val="both"/>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 xml:space="preserve">Patient must have previously been issued with an authority prescription for this drug, </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AND</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be ambulatory; OR</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not be ambulatory, and must be able to either use upper limbs or to swallow,</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AND</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not have undergone a tracheostomy,</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AND</w:t>
            </w: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Patient must not have experienced respiratory failure.</w:t>
            </w:r>
          </w:p>
        </w:tc>
      </w:tr>
      <w:tr w:rsidR="00756D41" w:rsidRPr="004422E3" w:rsidTr="00864CFF">
        <w:trPr>
          <w:cantSplit/>
          <w:trHeight w:val="360"/>
        </w:trPr>
        <w:tc>
          <w:tcPr>
            <w:tcW w:w="1081"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jc w:val="both"/>
              <w:rPr>
                <w:rFonts w:ascii="Arial Narrow" w:hAnsi="Arial Narrow" w:cs="Arial"/>
                <w:b/>
                <w:sz w:val="20"/>
                <w:szCs w:val="20"/>
              </w:rPr>
            </w:pPr>
            <w:r w:rsidRPr="004422E3">
              <w:rPr>
                <w:rFonts w:ascii="Arial Narrow" w:hAnsi="Arial Narrow" w:cs="Arial"/>
                <w:b/>
                <w:sz w:val="20"/>
                <w:szCs w:val="20"/>
              </w:rPr>
              <w:t>Administrative Advice</w:t>
            </w:r>
          </w:p>
          <w:p w:rsidR="00756D41" w:rsidRPr="004422E3" w:rsidRDefault="00756D41" w:rsidP="00864CFF">
            <w:pPr>
              <w:spacing w:before="40" w:after="40"/>
              <w:jc w:val="both"/>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Continuing Therapy Only:</w:t>
            </w:r>
          </w:p>
          <w:p w:rsidR="00756D41" w:rsidRPr="004422E3" w:rsidRDefault="00756D41" w:rsidP="00864CFF">
            <w:pPr>
              <w:spacing w:before="40" w:after="40"/>
              <w:rPr>
                <w:rFonts w:ascii="Arial Narrow" w:hAnsi="Arial Narrow" w:cs="Arial"/>
                <w:sz w:val="20"/>
                <w:szCs w:val="20"/>
              </w:rPr>
            </w:pPr>
          </w:p>
          <w:p w:rsidR="00756D41" w:rsidRPr="004422E3" w:rsidRDefault="00756D41" w:rsidP="00864CFF">
            <w:pPr>
              <w:spacing w:before="40" w:after="40"/>
              <w:rPr>
                <w:rFonts w:ascii="Arial Narrow" w:hAnsi="Arial Narrow" w:cs="Arial"/>
                <w:sz w:val="20"/>
                <w:szCs w:val="20"/>
              </w:rPr>
            </w:pPr>
            <w:r w:rsidRPr="004422E3">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7913B7" w:rsidRPr="00C07617" w:rsidRDefault="007913B7" w:rsidP="007913B7">
      <w:pPr>
        <w:widowControl w:val="0"/>
        <w:numPr>
          <w:ilvl w:val="0"/>
          <w:numId w:val="5"/>
        </w:numPr>
        <w:spacing w:before="240" w:after="120"/>
        <w:jc w:val="both"/>
        <w:outlineLvl w:val="0"/>
        <w:rPr>
          <w:rFonts w:asciiTheme="minorHAnsi" w:hAnsiTheme="minorHAnsi"/>
          <w:b/>
          <w:sz w:val="32"/>
        </w:rPr>
      </w:pPr>
      <w:r w:rsidRPr="00C07617">
        <w:rPr>
          <w:rFonts w:asciiTheme="minorHAnsi" w:hAnsiTheme="minorHAnsi"/>
          <w:b/>
          <w:sz w:val="32"/>
        </w:rPr>
        <w:t>Context for Decision</w:t>
      </w:r>
    </w:p>
    <w:p w:rsidR="007913B7" w:rsidRPr="00C07617" w:rsidRDefault="007913B7" w:rsidP="00353211">
      <w:pPr>
        <w:ind w:left="720"/>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913B7" w:rsidRPr="00C07617" w:rsidRDefault="007913B7" w:rsidP="007913B7">
      <w:pPr>
        <w:widowControl w:val="0"/>
        <w:numPr>
          <w:ilvl w:val="0"/>
          <w:numId w:val="5"/>
        </w:numPr>
        <w:spacing w:before="240" w:after="120"/>
        <w:jc w:val="both"/>
        <w:outlineLvl w:val="0"/>
        <w:rPr>
          <w:rFonts w:asciiTheme="minorHAnsi" w:hAnsiTheme="minorHAnsi"/>
          <w:b/>
          <w:sz w:val="32"/>
        </w:rPr>
      </w:pPr>
      <w:r>
        <w:rPr>
          <w:rFonts w:asciiTheme="minorHAnsi" w:hAnsiTheme="minorHAnsi"/>
          <w:b/>
          <w:sz w:val="32"/>
        </w:rPr>
        <w:t>Sponsor’s Comment</w:t>
      </w:r>
    </w:p>
    <w:p w:rsidR="007913B7" w:rsidRPr="00C07617" w:rsidRDefault="007913B7" w:rsidP="00353211">
      <w:pPr>
        <w:spacing w:after="120"/>
        <w:ind w:firstLine="720"/>
        <w:jc w:val="both"/>
        <w:rPr>
          <w:rFonts w:asciiTheme="minorHAnsi" w:hAnsiTheme="minorHAnsi" w:cs="Arial"/>
          <w:bCs/>
        </w:rPr>
      </w:pPr>
      <w:r w:rsidRPr="00C07617">
        <w:rPr>
          <w:rFonts w:asciiTheme="minorHAnsi" w:hAnsiTheme="minorHAnsi" w:cs="Arial"/>
          <w:bCs/>
        </w:rPr>
        <w:t>The sponsor had no comment.</w:t>
      </w:r>
    </w:p>
    <w:p w:rsidR="007B72F7" w:rsidRPr="004422E3" w:rsidRDefault="007B72F7" w:rsidP="007B72F7">
      <w:pPr>
        <w:jc w:val="both"/>
        <w:rPr>
          <w:rFonts w:asciiTheme="minorHAnsi" w:hAnsiTheme="minorHAnsi"/>
          <w:sz w:val="22"/>
          <w:szCs w:val="22"/>
        </w:rPr>
      </w:pPr>
    </w:p>
    <w:sectPr w:rsidR="007B72F7" w:rsidRPr="004422E3"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24" w:rsidRDefault="00F24C24">
      <w:r>
        <w:separator/>
      </w:r>
    </w:p>
    <w:p w:rsidR="00F24C24" w:rsidRDefault="00F24C24"/>
  </w:endnote>
  <w:endnote w:type="continuationSeparator" w:id="0">
    <w:p w:rsidR="00F24C24" w:rsidRDefault="00F24C24">
      <w:r>
        <w:continuationSeparator/>
      </w:r>
    </w:p>
    <w:p w:rsidR="00F24C24" w:rsidRDefault="00F2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E221D" w:rsidTr="005A3173">
      <w:trPr>
        <w:trHeight w:val="151"/>
      </w:trPr>
      <w:tc>
        <w:tcPr>
          <w:tcW w:w="2250" w:type="pct"/>
          <w:tcBorders>
            <w:top w:val="nil"/>
            <w:left w:val="nil"/>
            <w:bottom w:val="single" w:sz="4" w:space="0" w:color="4F81BD"/>
            <w:right w:val="nil"/>
          </w:tcBorders>
        </w:tcPr>
        <w:p w:rsidR="006E221D" w:rsidRPr="005A3173" w:rsidRDefault="006E221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221D" w:rsidRPr="005A3173" w:rsidRDefault="006E221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221D" w:rsidRPr="005A3173" w:rsidRDefault="006E221D" w:rsidP="005A3173">
          <w:pPr>
            <w:pStyle w:val="Header"/>
            <w:spacing w:line="276" w:lineRule="auto"/>
            <w:rPr>
              <w:rFonts w:ascii="Calibri" w:eastAsia="MS Gothic" w:hAnsi="Calibri"/>
              <w:b/>
              <w:bCs/>
              <w:color w:val="4F81BD"/>
            </w:rPr>
          </w:pPr>
        </w:p>
      </w:tc>
    </w:tr>
    <w:tr w:rsidR="006E221D" w:rsidTr="005A3173">
      <w:trPr>
        <w:trHeight w:val="150"/>
      </w:trPr>
      <w:tc>
        <w:tcPr>
          <w:tcW w:w="2250" w:type="pct"/>
          <w:tcBorders>
            <w:top w:val="single" w:sz="4" w:space="0" w:color="4F81BD"/>
            <w:left w:val="nil"/>
            <w:bottom w:val="nil"/>
            <w:right w:val="nil"/>
          </w:tcBorders>
        </w:tcPr>
        <w:p w:rsidR="006E221D" w:rsidRPr="005A3173" w:rsidRDefault="006E221D" w:rsidP="005A3173">
          <w:pPr>
            <w:pStyle w:val="Header"/>
            <w:spacing w:line="276" w:lineRule="auto"/>
            <w:rPr>
              <w:rFonts w:ascii="Calibri" w:eastAsia="MS Gothic" w:hAnsi="Calibri"/>
              <w:b/>
              <w:bCs/>
              <w:color w:val="4F81BD"/>
            </w:rPr>
          </w:pPr>
        </w:p>
      </w:tc>
      <w:tc>
        <w:tcPr>
          <w:tcW w:w="0" w:type="auto"/>
          <w:vMerge/>
          <w:vAlign w:val="center"/>
          <w:hideMark/>
        </w:tcPr>
        <w:p w:rsidR="006E221D" w:rsidRPr="005A3173" w:rsidRDefault="006E221D"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221D" w:rsidRPr="005A3173" w:rsidRDefault="006E221D" w:rsidP="005A3173">
          <w:pPr>
            <w:pStyle w:val="Header"/>
            <w:spacing w:line="276" w:lineRule="auto"/>
            <w:rPr>
              <w:rFonts w:ascii="Calibri" w:eastAsia="MS Gothic" w:hAnsi="Calibri"/>
              <w:b/>
              <w:bCs/>
              <w:color w:val="4F81BD"/>
            </w:rPr>
          </w:pPr>
        </w:p>
      </w:tc>
    </w:tr>
  </w:tbl>
  <w:p w:rsidR="006E221D" w:rsidRDefault="006E221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21D" w:rsidRDefault="006E221D">
    <w:pPr>
      <w:pStyle w:val="Footer"/>
    </w:pPr>
  </w:p>
  <w:p w:rsidR="006E221D" w:rsidRDefault="006E221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1D" w:rsidRDefault="006E221D" w:rsidP="00EF44A0">
    <w:pPr>
      <w:pStyle w:val="Footer"/>
      <w:jc w:val="center"/>
      <w:rPr>
        <w:rFonts w:ascii="Arial" w:hAnsi="Arial" w:cs="Arial"/>
        <w:b/>
        <w:sz w:val="20"/>
        <w:szCs w:val="20"/>
      </w:rPr>
    </w:pPr>
  </w:p>
  <w:p w:rsidR="006E221D" w:rsidRPr="00FA2598" w:rsidRDefault="006E221D" w:rsidP="004B1F70">
    <w:pPr>
      <w:pStyle w:val="Footer"/>
      <w:ind w:left="360"/>
      <w:jc w:val="center"/>
      <w:rPr>
        <w:rFonts w:ascii="Calibri" w:hAnsi="Calibri" w:cs="Arial"/>
        <w:b/>
      </w:rPr>
    </w:pPr>
    <w:r w:rsidRPr="00FA2598">
      <w:rPr>
        <w:rFonts w:ascii="Calibri" w:hAnsi="Calibri" w:cs="Arial"/>
        <w:b/>
      </w:rPr>
      <w:fldChar w:fldCharType="begin"/>
    </w:r>
    <w:r w:rsidRPr="00FA2598">
      <w:rPr>
        <w:rFonts w:ascii="Calibri" w:hAnsi="Calibri" w:cs="Arial"/>
        <w:b/>
      </w:rPr>
      <w:instrText xml:space="preserve"> PAGE   \* MERGEFORMAT </w:instrText>
    </w:r>
    <w:r w:rsidRPr="00FA2598">
      <w:rPr>
        <w:rFonts w:ascii="Calibri" w:hAnsi="Calibri" w:cs="Arial"/>
        <w:b/>
      </w:rPr>
      <w:fldChar w:fldCharType="separate"/>
    </w:r>
    <w:r w:rsidR="004F4384">
      <w:rPr>
        <w:rFonts w:ascii="Calibri" w:hAnsi="Calibri" w:cs="Arial"/>
        <w:b/>
        <w:noProof/>
      </w:rPr>
      <w:t>11</w:t>
    </w:r>
    <w:r w:rsidRPr="00FA2598">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E221D" w:rsidTr="005A3173">
      <w:trPr>
        <w:trHeight w:val="151"/>
      </w:trPr>
      <w:tc>
        <w:tcPr>
          <w:tcW w:w="2250" w:type="pct"/>
          <w:tcBorders>
            <w:top w:val="nil"/>
            <w:left w:val="nil"/>
            <w:bottom w:val="single" w:sz="4" w:space="0" w:color="4F81BD"/>
            <w:right w:val="nil"/>
          </w:tcBorders>
        </w:tcPr>
        <w:p w:rsidR="006E221D" w:rsidRPr="005A3173" w:rsidRDefault="006E221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221D" w:rsidRPr="005A3173" w:rsidRDefault="006E221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221D" w:rsidRPr="005A3173" w:rsidRDefault="006E221D" w:rsidP="005A3173">
          <w:pPr>
            <w:pStyle w:val="Header"/>
            <w:spacing w:line="276" w:lineRule="auto"/>
            <w:rPr>
              <w:rFonts w:ascii="Calibri" w:eastAsia="MS Gothic" w:hAnsi="Calibri"/>
              <w:b/>
              <w:bCs/>
              <w:color w:val="4F81BD"/>
            </w:rPr>
          </w:pPr>
        </w:p>
      </w:tc>
    </w:tr>
    <w:tr w:rsidR="006E221D" w:rsidTr="005A3173">
      <w:trPr>
        <w:trHeight w:val="150"/>
      </w:trPr>
      <w:tc>
        <w:tcPr>
          <w:tcW w:w="2250" w:type="pct"/>
          <w:tcBorders>
            <w:top w:val="single" w:sz="4" w:space="0" w:color="4F81BD"/>
            <w:left w:val="nil"/>
            <w:bottom w:val="nil"/>
            <w:right w:val="nil"/>
          </w:tcBorders>
        </w:tcPr>
        <w:p w:rsidR="006E221D" w:rsidRPr="005A3173" w:rsidRDefault="006E221D" w:rsidP="005A3173">
          <w:pPr>
            <w:pStyle w:val="Header"/>
            <w:spacing w:line="276" w:lineRule="auto"/>
            <w:rPr>
              <w:rFonts w:ascii="Calibri" w:eastAsia="MS Gothic" w:hAnsi="Calibri"/>
              <w:b/>
              <w:bCs/>
              <w:color w:val="4F81BD"/>
            </w:rPr>
          </w:pPr>
        </w:p>
      </w:tc>
      <w:tc>
        <w:tcPr>
          <w:tcW w:w="0" w:type="auto"/>
          <w:vMerge/>
          <w:vAlign w:val="center"/>
          <w:hideMark/>
        </w:tcPr>
        <w:p w:rsidR="006E221D" w:rsidRPr="005A3173" w:rsidRDefault="006E221D"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221D" w:rsidRPr="005A3173" w:rsidRDefault="006E221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E221D" w:rsidTr="005A3173">
      <w:trPr>
        <w:trHeight w:val="151"/>
      </w:trPr>
      <w:tc>
        <w:tcPr>
          <w:tcW w:w="2250" w:type="pct"/>
          <w:tcBorders>
            <w:top w:val="nil"/>
            <w:left w:val="nil"/>
            <w:bottom w:val="single" w:sz="4" w:space="0" w:color="4F81BD"/>
            <w:right w:val="nil"/>
          </w:tcBorders>
        </w:tcPr>
        <w:p w:rsidR="006E221D" w:rsidRPr="005A3173" w:rsidRDefault="006E221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221D" w:rsidRPr="005A3173" w:rsidRDefault="006E221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221D" w:rsidRPr="005A3173" w:rsidRDefault="006E221D" w:rsidP="005A3173">
          <w:pPr>
            <w:pStyle w:val="Header"/>
            <w:spacing w:line="276" w:lineRule="auto"/>
            <w:rPr>
              <w:rFonts w:ascii="Calibri" w:eastAsia="MS Gothic" w:hAnsi="Calibri"/>
              <w:b/>
              <w:bCs/>
              <w:color w:val="4F81BD"/>
            </w:rPr>
          </w:pPr>
        </w:p>
      </w:tc>
    </w:tr>
    <w:tr w:rsidR="006E221D" w:rsidTr="005A3173">
      <w:trPr>
        <w:trHeight w:val="150"/>
      </w:trPr>
      <w:tc>
        <w:tcPr>
          <w:tcW w:w="2250" w:type="pct"/>
          <w:tcBorders>
            <w:top w:val="single" w:sz="4" w:space="0" w:color="4F81BD"/>
            <w:left w:val="nil"/>
            <w:bottom w:val="nil"/>
            <w:right w:val="nil"/>
          </w:tcBorders>
        </w:tcPr>
        <w:p w:rsidR="006E221D" w:rsidRPr="005A3173" w:rsidRDefault="006E221D" w:rsidP="005A3173">
          <w:pPr>
            <w:pStyle w:val="Header"/>
            <w:spacing w:line="276" w:lineRule="auto"/>
            <w:rPr>
              <w:rFonts w:ascii="Calibri" w:eastAsia="MS Gothic" w:hAnsi="Calibri"/>
              <w:b/>
              <w:bCs/>
              <w:color w:val="4F81BD"/>
            </w:rPr>
          </w:pPr>
        </w:p>
      </w:tc>
      <w:tc>
        <w:tcPr>
          <w:tcW w:w="0" w:type="auto"/>
          <w:vMerge/>
          <w:vAlign w:val="center"/>
          <w:hideMark/>
        </w:tcPr>
        <w:p w:rsidR="006E221D" w:rsidRPr="005A3173" w:rsidRDefault="006E221D"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221D" w:rsidRPr="005A3173" w:rsidRDefault="006E221D" w:rsidP="005A3173">
          <w:pPr>
            <w:pStyle w:val="Header"/>
            <w:spacing w:line="276" w:lineRule="auto"/>
            <w:rPr>
              <w:rFonts w:ascii="Calibri" w:eastAsia="MS Gothic" w:hAnsi="Calibri"/>
              <w:b/>
              <w:bCs/>
              <w:color w:val="4F81BD"/>
            </w:rPr>
          </w:pPr>
        </w:p>
      </w:tc>
    </w:tr>
  </w:tbl>
  <w:p w:rsidR="006E221D" w:rsidRPr="007C0F57" w:rsidRDefault="006E221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E221D" w:rsidRPr="007C0F57" w:rsidRDefault="006E221D" w:rsidP="007C0F57">
    <w:pPr>
      <w:pStyle w:val="Footer"/>
      <w:jc w:val="center"/>
      <w:rPr>
        <w:b/>
        <w:i/>
        <w:sz w:val="20"/>
        <w:szCs w:val="20"/>
      </w:rPr>
    </w:pPr>
    <w:r w:rsidRPr="007C0F57">
      <w:rPr>
        <w:b/>
        <w:i/>
        <w:sz w:val="20"/>
        <w:szCs w:val="20"/>
      </w:rPr>
      <w:t>Commercial-in-Confidence</w:t>
    </w:r>
  </w:p>
  <w:p w:rsidR="006E221D" w:rsidRDefault="006E22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24" w:rsidRDefault="00F24C24">
      <w:r>
        <w:separator/>
      </w:r>
    </w:p>
    <w:p w:rsidR="00F24C24" w:rsidRDefault="00F24C24"/>
  </w:footnote>
  <w:footnote w:type="continuationSeparator" w:id="0">
    <w:p w:rsidR="00F24C24" w:rsidRDefault="00F24C24">
      <w:r>
        <w:continuationSeparator/>
      </w:r>
    </w:p>
    <w:p w:rsidR="00F24C24" w:rsidRDefault="00F24C24"/>
  </w:footnote>
  <w:footnote w:id="1">
    <w:p w:rsidR="006E221D" w:rsidRPr="00FD36A7" w:rsidRDefault="006E221D">
      <w:pPr>
        <w:pStyle w:val="FootnoteText"/>
        <w:rPr>
          <w:rFonts w:ascii="Arial Narrow" w:hAnsi="Arial Narrow"/>
        </w:rPr>
      </w:pPr>
      <w:r w:rsidRPr="00FD36A7">
        <w:rPr>
          <w:rStyle w:val="FootnoteReference"/>
          <w:rFonts w:ascii="Arial Narrow" w:hAnsi="Arial Narrow"/>
        </w:rPr>
        <w:footnoteRef/>
      </w:r>
      <w:r w:rsidRPr="00FD36A7">
        <w:rPr>
          <w:rFonts w:ascii="Arial Narrow" w:hAnsi="Arial Narrow"/>
        </w:rPr>
        <w:t xml:space="preserve"> PBAC Guidelines: Section 5.4 Basis for any claim for the ‘rule of rescue’ procedural guidance, available online at </w:t>
      </w:r>
      <w:hyperlink r:id="rId1" w:history="1">
        <w:r w:rsidRPr="00FD36A7">
          <w:rPr>
            <w:rStyle w:val="Hyperlink"/>
            <w:rFonts w:ascii="Arial Narrow" w:hAnsi="Arial Narrow"/>
          </w:rPr>
          <w:t>PBAC website</w:t>
        </w:r>
      </w:hyperlink>
      <w:r w:rsidRPr="00FD36A7">
        <w:rPr>
          <w:rFonts w:ascii="Arial Narrow" w:hAnsi="Arial Narrow"/>
        </w:rPr>
        <w:t>.</w:t>
      </w:r>
    </w:p>
  </w:footnote>
  <w:footnote w:id="2">
    <w:p w:rsidR="006E221D" w:rsidRPr="008430F1" w:rsidRDefault="006E221D">
      <w:pPr>
        <w:pStyle w:val="FootnoteText"/>
        <w:rPr>
          <w:rFonts w:ascii="Arial Narrow" w:hAnsi="Arial Narrow"/>
        </w:rPr>
      </w:pPr>
      <w:r w:rsidRPr="008430F1">
        <w:rPr>
          <w:rStyle w:val="FootnoteReference"/>
          <w:rFonts w:ascii="Arial Narrow" w:hAnsi="Arial Narrow"/>
        </w:rPr>
        <w:footnoteRef/>
      </w:r>
      <w:r w:rsidRPr="008430F1">
        <w:rPr>
          <w:rFonts w:ascii="Arial Narrow" w:hAnsi="Arial Narrow"/>
        </w:rPr>
        <w:t xml:space="preserve"> </w:t>
      </w:r>
      <w:r>
        <w:rPr>
          <w:rFonts w:ascii="Arial Narrow" w:hAnsi="Arial Narrow"/>
        </w:rPr>
        <w:t>Source: Appendix 1a</w:t>
      </w:r>
      <w:r w:rsidRPr="008430F1">
        <w:rPr>
          <w:rFonts w:ascii="Arial Narrow" w:hAnsi="Arial Narrow"/>
        </w:rPr>
        <w:t xml:space="preserve"> to the submission, </w:t>
      </w:r>
      <w:r>
        <w:rPr>
          <w:rFonts w:ascii="Arial Narrow" w:hAnsi="Arial Narrow"/>
        </w:rPr>
        <w:t>Clinical Overview of study</w:t>
      </w:r>
      <w:r w:rsidRPr="008430F1">
        <w:rPr>
          <w:rFonts w:ascii="Arial Narrow" w:hAnsi="Arial Narrow"/>
        </w:rPr>
        <w:t xml:space="preserve"> CRO-PK-11-251</w:t>
      </w:r>
      <w:r>
        <w:rPr>
          <w:rFonts w:ascii="Arial Narrow" w:hAnsi="Arial Narrow"/>
        </w:rPr>
        <w:t>, Section 2.5.2.3 pp 17-21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E221D" w:rsidRPr="008E0D90" w:rsidTr="00A06225">
      <w:trPr>
        <w:trHeight w:val="151"/>
      </w:trPr>
      <w:tc>
        <w:tcPr>
          <w:tcW w:w="2389" w:type="pct"/>
          <w:tcBorders>
            <w:top w:val="nil"/>
            <w:left w:val="nil"/>
            <w:bottom w:val="single" w:sz="4" w:space="0" w:color="4F81BD"/>
            <w:right w:val="nil"/>
          </w:tcBorders>
        </w:tcPr>
        <w:p w:rsidR="006E221D" w:rsidRPr="00A06225" w:rsidRDefault="006E221D">
          <w:pPr>
            <w:pStyle w:val="Header"/>
            <w:spacing w:line="276" w:lineRule="auto"/>
            <w:rPr>
              <w:rFonts w:ascii="Cambria" w:eastAsia="MS Gothic" w:hAnsi="Cambria"/>
              <w:b/>
              <w:bCs/>
              <w:color w:val="4F81BD"/>
            </w:rPr>
          </w:pPr>
        </w:p>
      </w:tc>
      <w:tc>
        <w:tcPr>
          <w:tcW w:w="333" w:type="pct"/>
          <w:vMerge w:val="restart"/>
          <w:noWrap/>
          <w:vAlign w:val="center"/>
          <w:hideMark/>
        </w:tcPr>
        <w:p w:rsidR="006E221D" w:rsidRPr="00A06225" w:rsidRDefault="006E221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E221D" w:rsidRPr="00A06225" w:rsidRDefault="006E221D">
          <w:pPr>
            <w:pStyle w:val="Header"/>
            <w:spacing w:line="276" w:lineRule="auto"/>
            <w:rPr>
              <w:rFonts w:ascii="Cambria" w:eastAsia="MS Gothic" w:hAnsi="Cambria"/>
              <w:b/>
              <w:bCs/>
              <w:color w:val="4F81BD"/>
            </w:rPr>
          </w:pPr>
        </w:p>
      </w:tc>
    </w:tr>
    <w:tr w:rsidR="006E221D" w:rsidRPr="008E0D90" w:rsidTr="00A06225">
      <w:trPr>
        <w:trHeight w:val="150"/>
      </w:trPr>
      <w:tc>
        <w:tcPr>
          <w:tcW w:w="2389" w:type="pct"/>
          <w:tcBorders>
            <w:top w:val="single" w:sz="4" w:space="0" w:color="4F81BD"/>
            <w:left w:val="nil"/>
            <w:bottom w:val="nil"/>
            <w:right w:val="nil"/>
          </w:tcBorders>
        </w:tcPr>
        <w:p w:rsidR="006E221D" w:rsidRPr="00A06225" w:rsidRDefault="006E221D">
          <w:pPr>
            <w:pStyle w:val="Header"/>
            <w:spacing w:line="276" w:lineRule="auto"/>
            <w:rPr>
              <w:rFonts w:ascii="Cambria" w:eastAsia="MS Gothic" w:hAnsi="Cambria"/>
              <w:b/>
              <w:bCs/>
              <w:color w:val="4F81BD"/>
            </w:rPr>
          </w:pPr>
        </w:p>
      </w:tc>
      <w:tc>
        <w:tcPr>
          <w:tcW w:w="0" w:type="auto"/>
          <w:vMerge/>
          <w:vAlign w:val="center"/>
          <w:hideMark/>
        </w:tcPr>
        <w:p w:rsidR="006E221D" w:rsidRPr="00A06225" w:rsidRDefault="006E221D">
          <w:pPr>
            <w:rPr>
              <w:rFonts w:ascii="Cambria" w:hAnsi="Cambria"/>
              <w:color w:val="4F81BD"/>
              <w:sz w:val="22"/>
              <w:szCs w:val="22"/>
            </w:rPr>
          </w:pPr>
        </w:p>
      </w:tc>
      <w:tc>
        <w:tcPr>
          <w:tcW w:w="2278" w:type="pct"/>
          <w:tcBorders>
            <w:top w:val="single" w:sz="4" w:space="0" w:color="4F81BD"/>
            <w:left w:val="nil"/>
            <w:bottom w:val="nil"/>
            <w:right w:val="nil"/>
          </w:tcBorders>
        </w:tcPr>
        <w:p w:rsidR="006E221D" w:rsidRPr="00A06225" w:rsidRDefault="006E221D">
          <w:pPr>
            <w:pStyle w:val="Header"/>
            <w:spacing w:line="276" w:lineRule="auto"/>
            <w:rPr>
              <w:rFonts w:ascii="Cambria" w:eastAsia="MS Gothic" w:hAnsi="Cambria"/>
              <w:b/>
              <w:bCs/>
              <w:color w:val="4F81BD"/>
            </w:rPr>
          </w:pPr>
        </w:p>
      </w:tc>
    </w:tr>
  </w:tbl>
  <w:p w:rsidR="006E221D" w:rsidRDefault="006E221D">
    <w:pPr>
      <w:pStyle w:val="Header"/>
    </w:pPr>
  </w:p>
  <w:p w:rsidR="006E221D" w:rsidRDefault="006E22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1D" w:rsidRPr="00F64E92" w:rsidRDefault="006E221D" w:rsidP="004B1F70">
    <w:pPr>
      <w:pStyle w:val="Header"/>
      <w:ind w:left="360"/>
      <w:jc w:val="center"/>
      <w:rPr>
        <w:rFonts w:asciiTheme="minorHAnsi" w:hAnsiTheme="minorHAnsi" w:cs="Arial"/>
        <w:i/>
        <w:color w:val="808080"/>
      </w:rPr>
    </w:pPr>
    <w:r>
      <w:rPr>
        <w:rFonts w:asciiTheme="minorHAnsi" w:hAnsiTheme="minorHAnsi" w:cs="Arial"/>
        <w:i/>
        <w:color w:val="808080"/>
      </w:rPr>
      <w:t>Public Summary Documents</w:t>
    </w:r>
    <w:r w:rsidRPr="00F64E92">
      <w:rPr>
        <w:rFonts w:asciiTheme="minorHAnsi" w:hAnsiTheme="minorHAnsi" w:cs="Arial"/>
        <w:i/>
        <w:color w:val="808080"/>
      </w:rPr>
      <w:t xml:space="preserve"> – November 2018 PBAC Meeting</w:t>
    </w:r>
  </w:p>
  <w:p w:rsidR="006E221D" w:rsidRDefault="006E221D"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B7" w:rsidRDefault="00791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023897B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7"/>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7"/>
  </w:num>
  <w:num w:numId="15">
    <w:abstractNumId w:val="15"/>
  </w:num>
  <w:num w:numId="16">
    <w:abstractNumId w:val="16"/>
  </w:num>
  <w:num w:numId="17">
    <w:abstractNumId w:val="5"/>
  </w:num>
  <w:num w:numId="18">
    <w:abstractNumId w:val="2"/>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22E41"/>
    <w:rsid w:val="0002464A"/>
    <w:rsid w:val="0003106B"/>
    <w:rsid w:val="000421A1"/>
    <w:rsid w:val="0004240E"/>
    <w:rsid w:val="00045E26"/>
    <w:rsid w:val="000514B5"/>
    <w:rsid w:val="00060E64"/>
    <w:rsid w:val="00066755"/>
    <w:rsid w:val="00077143"/>
    <w:rsid w:val="00082169"/>
    <w:rsid w:val="000969AD"/>
    <w:rsid w:val="000A3C7B"/>
    <w:rsid w:val="000B558D"/>
    <w:rsid w:val="000C1AE3"/>
    <w:rsid w:val="000C6996"/>
    <w:rsid w:val="000D23BA"/>
    <w:rsid w:val="000E0D7A"/>
    <w:rsid w:val="000E681E"/>
    <w:rsid w:val="000F0003"/>
    <w:rsid w:val="000F4E6A"/>
    <w:rsid w:val="00104227"/>
    <w:rsid w:val="001107BF"/>
    <w:rsid w:val="00123FA3"/>
    <w:rsid w:val="0012417C"/>
    <w:rsid w:val="00141CD9"/>
    <w:rsid w:val="00142395"/>
    <w:rsid w:val="00142714"/>
    <w:rsid w:val="00144973"/>
    <w:rsid w:val="001452ED"/>
    <w:rsid w:val="00152B77"/>
    <w:rsid w:val="00153EE1"/>
    <w:rsid w:val="00163329"/>
    <w:rsid w:val="00164623"/>
    <w:rsid w:val="00165B64"/>
    <w:rsid w:val="00180713"/>
    <w:rsid w:val="001830CE"/>
    <w:rsid w:val="00184C82"/>
    <w:rsid w:val="0018643B"/>
    <w:rsid w:val="00196307"/>
    <w:rsid w:val="001A33EA"/>
    <w:rsid w:val="001A4359"/>
    <w:rsid w:val="001B017F"/>
    <w:rsid w:val="001B1DAF"/>
    <w:rsid w:val="001B2BBC"/>
    <w:rsid w:val="001B5129"/>
    <w:rsid w:val="001C0EF1"/>
    <w:rsid w:val="001C1195"/>
    <w:rsid w:val="001F1850"/>
    <w:rsid w:val="00203FAC"/>
    <w:rsid w:val="00213CFB"/>
    <w:rsid w:val="00217BE1"/>
    <w:rsid w:val="00247BD6"/>
    <w:rsid w:val="002528D5"/>
    <w:rsid w:val="00254819"/>
    <w:rsid w:val="0026522B"/>
    <w:rsid w:val="00271BA1"/>
    <w:rsid w:val="00272096"/>
    <w:rsid w:val="002762FA"/>
    <w:rsid w:val="00277505"/>
    <w:rsid w:val="00281870"/>
    <w:rsid w:val="002938ED"/>
    <w:rsid w:val="0029458F"/>
    <w:rsid w:val="002A104C"/>
    <w:rsid w:val="002A1162"/>
    <w:rsid w:val="002A4960"/>
    <w:rsid w:val="002B1AE6"/>
    <w:rsid w:val="002B1AFA"/>
    <w:rsid w:val="002B2B66"/>
    <w:rsid w:val="002B2DE8"/>
    <w:rsid w:val="002B30F8"/>
    <w:rsid w:val="002B5596"/>
    <w:rsid w:val="002C212F"/>
    <w:rsid w:val="002D4543"/>
    <w:rsid w:val="002D6026"/>
    <w:rsid w:val="002E3153"/>
    <w:rsid w:val="002E72CA"/>
    <w:rsid w:val="002F600D"/>
    <w:rsid w:val="002F6490"/>
    <w:rsid w:val="002F799C"/>
    <w:rsid w:val="00300AD6"/>
    <w:rsid w:val="00303C4A"/>
    <w:rsid w:val="00317C6C"/>
    <w:rsid w:val="00320AF7"/>
    <w:rsid w:val="00326E79"/>
    <w:rsid w:val="00332F7F"/>
    <w:rsid w:val="0033518A"/>
    <w:rsid w:val="003367EF"/>
    <w:rsid w:val="00341AE4"/>
    <w:rsid w:val="00345958"/>
    <w:rsid w:val="00353211"/>
    <w:rsid w:val="00355894"/>
    <w:rsid w:val="003621E8"/>
    <w:rsid w:val="00367785"/>
    <w:rsid w:val="003872CF"/>
    <w:rsid w:val="003960E3"/>
    <w:rsid w:val="0039782C"/>
    <w:rsid w:val="003A5B4A"/>
    <w:rsid w:val="003B23C5"/>
    <w:rsid w:val="003B2A75"/>
    <w:rsid w:val="003B6124"/>
    <w:rsid w:val="003C2FB5"/>
    <w:rsid w:val="003D4AC4"/>
    <w:rsid w:val="003D63B7"/>
    <w:rsid w:val="003E0C10"/>
    <w:rsid w:val="003E468B"/>
    <w:rsid w:val="003F07FB"/>
    <w:rsid w:val="003F3228"/>
    <w:rsid w:val="003F3B63"/>
    <w:rsid w:val="003F5C8C"/>
    <w:rsid w:val="0040563A"/>
    <w:rsid w:val="00414934"/>
    <w:rsid w:val="004201F5"/>
    <w:rsid w:val="004252EC"/>
    <w:rsid w:val="00427B66"/>
    <w:rsid w:val="004324B3"/>
    <w:rsid w:val="004422E3"/>
    <w:rsid w:val="00444395"/>
    <w:rsid w:val="004465BD"/>
    <w:rsid w:val="00453939"/>
    <w:rsid w:val="0045792C"/>
    <w:rsid w:val="00466ADA"/>
    <w:rsid w:val="004731B1"/>
    <w:rsid w:val="00476206"/>
    <w:rsid w:val="00476245"/>
    <w:rsid w:val="00483035"/>
    <w:rsid w:val="00483408"/>
    <w:rsid w:val="00485940"/>
    <w:rsid w:val="004A2484"/>
    <w:rsid w:val="004A5A85"/>
    <w:rsid w:val="004A71D1"/>
    <w:rsid w:val="004B1F70"/>
    <w:rsid w:val="004B5640"/>
    <w:rsid w:val="004B6C4F"/>
    <w:rsid w:val="004C1BD7"/>
    <w:rsid w:val="004C31FE"/>
    <w:rsid w:val="004C691D"/>
    <w:rsid w:val="004C6C07"/>
    <w:rsid w:val="004E333C"/>
    <w:rsid w:val="004E692D"/>
    <w:rsid w:val="004F4384"/>
    <w:rsid w:val="00501554"/>
    <w:rsid w:val="00514CD7"/>
    <w:rsid w:val="005319B2"/>
    <w:rsid w:val="00532402"/>
    <w:rsid w:val="00532C74"/>
    <w:rsid w:val="00534E2E"/>
    <w:rsid w:val="00541F3A"/>
    <w:rsid w:val="00544552"/>
    <w:rsid w:val="00566515"/>
    <w:rsid w:val="00576B4F"/>
    <w:rsid w:val="00577C4D"/>
    <w:rsid w:val="00581932"/>
    <w:rsid w:val="00587DCB"/>
    <w:rsid w:val="00591EFE"/>
    <w:rsid w:val="0059233B"/>
    <w:rsid w:val="005963BB"/>
    <w:rsid w:val="005A3173"/>
    <w:rsid w:val="005A3223"/>
    <w:rsid w:val="005A3DA3"/>
    <w:rsid w:val="005A52C4"/>
    <w:rsid w:val="005D03AB"/>
    <w:rsid w:val="005D5017"/>
    <w:rsid w:val="005E1333"/>
    <w:rsid w:val="005E2762"/>
    <w:rsid w:val="00601A91"/>
    <w:rsid w:val="00602BA3"/>
    <w:rsid w:val="006038BC"/>
    <w:rsid w:val="00606EED"/>
    <w:rsid w:val="0061194C"/>
    <w:rsid w:val="006129B5"/>
    <w:rsid w:val="00612E34"/>
    <w:rsid w:val="00614159"/>
    <w:rsid w:val="00615AC7"/>
    <w:rsid w:val="00617C00"/>
    <w:rsid w:val="006263BF"/>
    <w:rsid w:val="0062748A"/>
    <w:rsid w:val="00630A2C"/>
    <w:rsid w:val="00632035"/>
    <w:rsid w:val="0063682E"/>
    <w:rsid w:val="006436CD"/>
    <w:rsid w:val="006459E0"/>
    <w:rsid w:val="00651169"/>
    <w:rsid w:val="00653D69"/>
    <w:rsid w:val="00661EC9"/>
    <w:rsid w:val="006670BE"/>
    <w:rsid w:val="00670A76"/>
    <w:rsid w:val="006711AA"/>
    <w:rsid w:val="00672B57"/>
    <w:rsid w:val="00675622"/>
    <w:rsid w:val="0067747D"/>
    <w:rsid w:val="006906DB"/>
    <w:rsid w:val="006915C6"/>
    <w:rsid w:val="00691E6C"/>
    <w:rsid w:val="00696129"/>
    <w:rsid w:val="00697CF2"/>
    <w:rsid w:val="006A12A5"/>
    <w:rsid w:val="006B0D94"/>
    <w:rsid w:val="006B485D"/>
    <w:rsid w:val="006C708E"/>
    <w:rsid w:val="006D14E7"/>
    <w:rsid w:val="006D30EC"/>
    <w:rsid w:val="006D6493"/>
    <w:rsid w:val="006D6EC7"/>
    <w:rsid w:val="006E221D"/>
    <w:rsid w:val="006E440E"/>
    <w:rsid w:val="006F0B02"/>
    <w:rsid w:val="006F2234"/>
    <w:rsid w:val="006F5125"/>
    <w:rsid w:val="00702B6F"/>
    <w:rsid w:val="007060BA"/>
    <w:rsid w:val="0071340B"/>
    <w:rsid w:val="007174BB"/>
    <w:rsid w:val="0072025D"/>
    <w:rsid w:val="007211A9"/>
    <w:rsid w:val="007261B8"/>
    <w:rsid w:val="007353D3"/>
    <w:rsid w:val="00756D41"/>
    <w:rsid w:val="00761AE0"/>
    <w:rsid w:val="0076420C"/>
    <w:rsid w:val="007753C2"/>
    <w:rsid w:val="007838B8"/>
    <w:rsid w:val="00786335"/>
    <w:rsid w:val="007913B7"/>
    <w:rsid w:val="007A4BF0"/>
    <w:rsid w:val="007B72F7"/>
    <w:rsid w:val="007C0F57"/>
    <w:rsid w:val="007C40B6"/>
    <w:rsid w:val="007C5827"/>
    <w:rsid w:val="007C729F"/>
    <w:rsid w:val="007E1D28"/>
    <w:rsid w:val="007E63A7"/>
    <w:rsid w:val="007F025F"/>
    <w:rsid w:val="007F2641"/>
    <w:rsid w:val="007F3092"/>
    <w:rsid w:val="007F3A7D"/>
    <w:rsid w:val="007F7C36"/>
    <w:rsid w:val="00806796"/>
    <w:rsid w:val="008151D6"/>
    <w:rsid w:val="00826F6D"/>
    <w:rsid w:val="008306F3"/>
    <w:rsid w:val="00841CBF"/>
    <w:rsid w:val="008430F1"/>
    <w:rsid w:val="00856DDD"/>
    <w:rsid w:val="008575CC"/>
    <w:rsid w:val="00863E68"/>
    <w:rsid w:val="00864CFF"/>
    <w:rsid w:val="00882085"/>
    <w:rsid w:val="00883188"/>
    <w:rsid w:val="00895759"/>
    <w:rsid w:val="00897D58"/>
    <w:rsid w:val="00897F22"/>
    <w:rsid w:val="008A1956"/>
    <w:rsid w:val="008A4937"/>
    <w:rsid w:val="008A50F1"/>
    <w:rsid w:val="008A7FD1"/>
    <w:rsid w:val="008D1B5C"/>
    <w:rsid w:val="008D3C82"/>
    <w:rsid w:val="008D447E"/>
    <w:rsid w:val="008D7A41"/>
    <w:rsid w:val="008E012B"/>
    <w:rsid w:val="008E3680"/>
    <w:rsid w:val="008E5870"/>
    <w:rsid w:val="008E69D1"/>
    <w:rsid w:val="008F1434"/>
    <w:rsid w:val="008F7355"/>
    <w:rsid w:val="009067B7"/>
    <w:rsid w:val="009249DD"/>
    <w:rsid w:val="00925388"/>
    <w:rsid w:val="00930937"/>
    <w:rsid w:val="00933E6C"/>
    <w:rsid w:val="00934150"/>
    <w:rsid w:val="00937958"/>
    <w:rsid w:val="00942160"/>
    <w:rsid w:val="0095146F"/>
    <w:rsid w:val="009602C5"/>
    <w:rsid w:val="00962223"/>
    <w:rsid w:val="00966D0D"/>
    <w:rsid w:val="00974C21"/>
    <w:rsid w:val="009B0F67"/>
    <w:rsid w:val="009C703C"/>
    <w:rsid w:val="009C7A61"/>
    <w:rsid w:val="009D0CDF"/>
    <w:rsid w:val="009D3CAA"/>
    <w:rsid w:val="009E40E1"/>
    <w:rsid w:val="009E66F1"/>
    <w:rsid w:val="009F4E46"/>
    <w:rsid w:val="009F5B65"/>
    <w:rsid w:val="009F5F2E"/>
    <w:rsid w:val="00A01D8E"/>
    <w:rsid w:val="00A02044"/>
    <w:rsid w:val="00A06225"/>
    <w:rsid w:val="00A10982"/>
    <w:rsid w:val="00A128E6"/>
    <w:rsid w:val="00A34E6C"/>
    <w:rsid w:val="00A37C8D"/>
    <w:rsid w:val="00A5273B"/>
    <w:rsid w:val="00A53A9D"/>
    <w:rsid w:val="00A55FEE"/>
    <w:rsid w:val="00A62C1A"/>
    <w:rsid w:val="00A6426D"/>
    <w:rsid w:val="00A665C1"/>
    <w:rsid w:val="00A70622"/>
    <w:rsid w:val="00A70977"/>
    <w:rsid w:val="00A70FE8"/>
    <w:rsid w:val="00A728B5"/>
    <w:rsid w:val="00A77613"/>
    <w:rsid w:val="00A8390C"/>
    <w:rsid w:val="00A928BD"/>
    <w:rsid w:val="00AA1E5B"/>
    <w:rsid w:val="00AA2244"/>
    <w:rsid w:val="00AA4D1C"/>
    <w:rsid w:val="00AC193C"/>
    <w:rsid w:val="00AC5206"/>
    <w:rsid w:val="00AD053A"/>
    <w:rsid w:val="00AD055D"/>
    <w:rsid w:val="00AD577D"/>
    <w:rsid w:val="00AE11A5"/>
    <w:rsid w:val="00AE13E2"/>
    <w:rsid w:val="00AE22D3"/>
    <w:rsid w:val="00AE5856"/>
    <w:rsid w:val="00AF62DF"/>
    <w:rsid w:val="00AF68CC"/>
    <w:rsid w:val="00B06C33"/>
    <w:rsid w:val="00B1059E"/>
    <w:rsid w:val="00B176C8"/>
    <w:rsid w:val="00B205AA"/>
    <w:rsid w:val="00B22E84"/>
    <w:rsid w:val="00B25F75"/>
    <w:rsid w:val="00B26B3F"/>
    <w:rsid w:val="00B318E0"/>
    <w:rsid w:val="00B329C8"/>
    <w:rsid w:val="00B43E90"/>
    <w:rsid w:val="00B467DC"/>
    <w:rsid w:val="00B56118"/>
    <w:rsid w:val="00B6773F"/>
    <w:rsid w:val="00B801BA"/>
    <w:rsid w:val="00B84D5C"/>
    <w:rsid w:val="00B876CD"/>
    <w:rsid w:val="00BB69F5"/>
    <w:rsid w:val="00BB7EC3"/>
    <w:rsid w:val="00BC239C"/>
    <w:rsid w:val="00BC4B9A"/>
    <w:rsid w:val="00BD784C"/>
    <w:rsid w:val="00BE51EE"/>
    <w:rsid w:val="00BF4CB6"/>
    <w:rsid w:val="00C00DA7"/>
    <w:rsid w:val="00C11CCD"/>
    <w:rsid w:val="00C12768"/>
    <w:rsid w:val="00C27B58"/>
    <w:rsid w:val="00C328BD"/>
    <w:rsid w:val="00C35996"/>
    <w:rsid w:val="00C4747E"/>
    <w:rsid w:val="00C5342C"/>
    <w:rsid w:val="00C603D4"/>
    <w:rsid w:val="00C6256A"/>
    <w:rsid w:val="00C661AC"/>
    <w:rsid w:val="00C77891"/>
    <w:rsid w:val="00C812A5"/>
    <w:rsid w:val="00C91449"/>
    <w:rsid w:val="00C92D10"/>
    <w:rsid w:val="00C944C0"/>
    <w:rsid w:val="00CB1E7B"/>
    <w:rsid w:val="00CB5A45"/>
    <w:rsid w:val="00CD4DD3"/>
    <w:rsid w:val="00CE10C4"/>
    <w:rsid w:val="00CE27B5"/>
    <w:rsid w:val="00CF1A6C"/>
    <w:rsid w:val="00CF5BB1"/>
    <w:rsid w:val="00D0321E"/>
    <w:rsid w:val="00D1455A"/>
    <w:rsid w:val="00D31150"/>
    <w:rsid w:val="00D3138B"/>
    <w:rsid w:val="00D3280C"/>
    <w:rsid w:val="00D3406A"/>
    <w:rsid w:val="00D4572C"/>
    <w:rsid w:val="00D469B2"/>
    <w:rsid w:val="00D741EB"/>
    <w:rsid w:val="00D83605"/>
    <w:rsid w:val="00D84934"/>
    <w:rsid w:val="00D91271"/>
    <w:rsid w:val="00D919F5"/>
    <w:rsid w:val="00D94F03"/>
    <w:rsid w:val="00DA2CB5"/>
    <w:rsid w:val="00DA4BAC"/>
    <w:rsid w:val="00DA60D1"/>
    <w:rsid w:val="00DC42CB"/>
    <w:rsid w:val="00DC6240"/>
    <w:rsid w:val="00DE6D27"/>
    <w:rsid w:val="00DF0FFC"/>
    <w:rsid w:val="00DF217D"/>
    <w:rsid w:val="00DF26A7"/>
    <w:rsid w:val="00E03B2F"/>
    <w:rsid w:val="00E12016"/>
    <w:rsid w:val="00E15627"/>
    <w:rsid w:val="00E164B3"/>
    <w:rsid w:val="00E16910"/>
    <w:rsid w:val="00E24538"/>
    <w:rsid w:val="00E33289"/>
    <w:rsid w:val="00E33C89"/>
    <w:rsid w:val="00E41684"/>
    <w:rsid w:val="00E42BDB"/>
    <w:rsid w:val="00E42D43"/>
    <w:rsid w:val="00E57EEB"/>
    <w:rsid w:val="00E62D94"/>
    <w:rsid w:val="00E65E54"/>
    <w:rsid w:val="00E80155"/>
    <w:rsid w:val="00E81F28"/>
    <w:rsid w:val="00E848C0"/>
    <w:rsid w:val="00E91B96"/>
    <w:rsid w:val="00E941A1"/>
    <w:rsid w:val="00E95413"/>
    <w:rsid w:val="00E95CE3"/>
    <w:rsid w:val="00EA2825"/>
    <w:rsid w:val="00EB0B63"/>
    <w:rsid w:val="00EB1936"/>
    <w:rsid w:val="00EB5088"/>
    <w:rsid w:val="00ED1644"/>
    <w:rsid w:val="00ED2593"/>
    <w:rsid w:val="00ED71D2"/>
    <w:rsid w:val="00ED7D9C"/>
    <w:rsid w:val="00EF44A0"/>
    <w:rsid w:val="00EF4FED"/>
    <w:rsid w:val="00F050BD"/>
    <w:rsid w:val="00F05657"/>
    <w:rsid w:val="00F1167A"/>
    <w:rsid w:val="00F24C24"/>
    <w:rsid w:val="00F25578"/>
    <w:rsid w:val="00F258E5"/>
    <w:rsid w:val="00F300BC"/>
    <w:rsid w:val="00F3334E"/>
    <w:rsid w:val="00F36CCB"/>
    <w:rsid w:val="00F374E5"/>
    <w:rsid w:val="00F43AF2"/>
    <w:rsid w:val="00F5007E"/>
    <w:rsid w:val="00F50EC4"/>
    <w:rsid w:val="00F550CF"/>
    <w:rsid w:val="00F57A6D"/>
    <w:rsid w:val="00F638CC"/>
    <w:rsid w:val="00F64CC1"/>
    <w:rsid w:val="00F64E92"/>
    <w:rsid w:val="00F65393"/>
    <w:rsid w:val="00F72317"/>
    <w:rsid w:val="00F7246B"/>
    <w:rsid w:val="00F80475"/>
    <w:rsid w:val="00F8247A"/>
    <w:rsid w:val="00F96206"/>
    <w:rsid w:val="00F9629A"/>
    <w:rsid w:val="00F97EFC"/>
    <w:rsid w:val="00FA2598"/>
    <w:rsid w:val="00FA5883"/>
    <w:rsid w:val="00FA6055"/>
    <w:rsid w:val="00FB00D4"/>
    <w:rsid w:val="00FB322F"/>
    <w:rsid w:val="00FB442F"/>
    <w:rsid w:val="00FC1929"/>
    <w:rsid w:val="00FC5B46"/>
    <w:rsid w:val="00FD36A7"/>
    <w:rsid w:val="00FD6D8E"/>
    <w:rsid w:val="00FE0E94"/>
    <w:rsid w:val="00FE1BB0"/>
    <w:rsid w:val="00FE2FA7"/>
    <w:rsid w:val="00FE5471"/>
    <w:rsid w:val="00FE7C06"/>
    <w:rsid w:val="00FF00BD"/>
    <w:rsid w:val="00FF1ED4"/>
    <w:rsid w:val="00FF2801"/>
    <w:rsid w:val="00FF6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FA2598"/>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FA2598"/>
    <w:rPr>
      <w:rFonts w:asciiTheme="minorHAnsi" w:eastAsiaTheme="majorEastAsia" w:hAnsiTheme="minorHAnsi" w:cstheme="majorBidi"/>
      <w:b/>
      <w:i/>
      <w:sz w:val="28"/>
      <w:szCs w:val="28"/>
      <w:lang w:eastAsia="en-US"/>
    </w:rPr>
  </w:style>
  <w:style w:type="paragraph" w:styleId="FootnoteText">
    <w:name w:val="footnote text"/>
    <w:basedOn w:val="Normal"/>
    <w:link w:val="FootnoteTextChar"/>
    <w:rsid w:val="00FD36A7"/>
    <w:rPr>
      <w:sz w:val="20"/>
      <w:szCs w:val="20"/>
    </w:rPr>
  </w:style>
  <w:style w:type="character" w:customStyle="1" w:styleId="FootnoteTextChar">
    <w:name w:val="Footnote Text Char"/>
    <w:basedOn w:val="DefaultParagraphFont"/>
    <w:link w:val="FootnoteText"/>
    <w:rsid w:val="00FD36A7"/>
  </w:style>
  <w:style w:type="character" w:styleId="FootnoteReference">
    <w:name w:val="footnote reference"/>
    <w:basedOn w:val="DefaultParagraphFont"/>
    <w:rsid w:val="00FD36A7"/>
    <w:rPr>
      <w:vertAlign w:val="superscript"/>
    </w:rPr>
  </w:style>
  <w:style w:type="paragraph" w:customStyle="1" w:styleId="TableTextleftalign">
    <w:name w:val="Table Text left align"/>
    <w:basedOn w:val="TableTitlecentred"/>
    <w:link w:val="TableTextleftalignChar"/>
    <w:qFormat/>
    <w:rsid w:val="00303C4A"/>
    <w:pPr>
      <w:jc w:val="left"/>
    </w:pPr>
    <w:rPr>
      <w:b w:val="0"/>
      <w:szCs w:val="18"/>
    </w:rPr>
  </w:style>
  <w:style w:type="paragraph" w:customStyle="1" w:styleId="TableTextcentred">
    <w:name w:val="Table Text centred"/>
    <w:basedOn w:val="Normal"/>
    <w:link w:val="TableTextcentredChar"/>
    <w:qFormat/>
    <w:rsid w:val="00303C4A"/>
    <w:pPr>
      <w:jc w:val="center"/>
    </w:pPr>
    <w:rPr>
      <w:rFonts w:ascii="Calibri" w:hAnsi="Calibri"/>
      <w:sz w:val="18"/>
      <w:szCs w:val="18"/>
      <w:lang w:eastAsia="en-US"/>
    </w:rPr>
  </w:style>
  <w:style w:type="character" w:customStyle="1" w:styleId="TableTextcentredChar">
    <w:name w:val="Table Text centred Char"/>
    <w:basedOn w:val="DefaultParagraphFont"/>
    <w:link w:val="TableTextcentred"/>
    <w:rsid w:val="00303C4A"/>
    <w:rPr>
      <w:rFonts w:ascii="Calibri" w:hAnsi="Calibri"/>
      <w:sz w:val="18"/>
      <w:szCs w:val="18"/>
      <w:lang w:eastAsia="en-US"/>
    </w:rPr>
  </w:style>
  <w:style w:type="character" w:customStyle="1" w:styleId="TableTextleftalignChar">
    <w:name w:val="Table Text left align Char"/>
    <w:basedOn w:val="DefaultParagraphFont"/>
    <w:link w:val="TableTextleftalign"/>
    <w:rsid w:val="00303C4A"/>
    <w:rPr>
      <w:rFonts w:ascii="Calibri" w:hAnsi="Calibri"/>
      <w:sz w:val="18"/>
      <w:szCs w:val="18"/>
      <w:lang w:eastAsia="en-US"/>
    </w:rPr>
  </w:style>
  <w:style w:type="paragraph" w:customStyle="1" w:styleId="TableTitlecentred">
    <w:name w:val="Table Title centred"/>
    <w:basedOn w:val="Normal"/>
    <w:rsid w:val="00303C4A"/>
    <w:pPr>
      <w:jc w:val="center"/>
    </w:pPr>
    <w:rPr>
      <w:rFonts w:ascii="Calibri" w:hAnsi="Calibri"/>
      <w:b/>
      <w:sz w:val="18"/>
      <w:szCs w:val="20"/>
      <w:lang w:eastAsia="en-US"/>
    </w:rPr>
  </w:style>
  <w:style w:type="paragraph" w:styleId="Caption">
    <w:name w:val="caption"/>
    <w:basedOn w:val="Normal"/>
    <w:next w:val="Normal"/>
    <w:unhideWhenUsed/>
    <w:qFormat/>
    <w:rsid w:val="00303C4A"/>
    <w:pPr>
      <w:keepNext/>
    </w:pPr>
    <w:rPr>
      <w:rFonts w:ascii="Arial Narrow" w:hAnsi="Arial Narrow"/>
      <w:b/>
      <w:bCs/>
      <w:color w:val="000000" w:themeColor="text1"/>
      <w:sz w:val="20"/>
      <w:szCs w:val="20"/>
    </w:rPr>
  </w:style>
  <w:style w:type="table" w:customStyle="1" w:styleId="Submissionstandard2">
    <w:name w:val="Submission standard2"/>
    <w:basedOn w:val="TableNormal"/>
    <w:uiPriority w:val="99"/>
    <w:qFormat/>
    <w:rsid w:val="00AD053A"/>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ubmissionstandard8">
    <w:name w:val="Submission standard8"/>
    <w:basedOn w:val="TableNormal"/>
    <w:uiPriority w:val="99"/>
    <w:qFormat/>
    <w:rsid w:val="00123FA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bac.pbs.gov.au/section-5/5-4-basis-for-any-claim-for-the-rule-of-rescu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AA8E-0FF7-42B2-A5E2-12177CC2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4334</Words>
  <Characters>25624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2019-02-21T20:48:00Z</dcterms:created>
  <dcterms:modified xsi:type="dcterms:W3CDTF">2019-02-25T03:53:00Z</dcterms:modified>
</cp:coreProperties>
</file>