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D8D" w:rsidRPr="00F91DE5" w:rsidRDefault="0077436A" w:rsidP="00F91DE5">
      <w:pPr>
        <w:pStyle w:val="Heading1"/>
        <w:keepNext w:val="0"/>
        <w:keepLines w:val="0"/>
        <w:widowControl w:val="0"/>
        <w:spacing w:before="0" w:after="0"/>
        <w:ind w:left="720" w:hanging="720"/>
        <w:rPr>
          <w:b w:val="0"/>
          <w:caps/>
          <w:sz w:val="36"/>
        </w:rPr>
      </w:pPr>
      <w:bookmarkStart w:id="0" w:name="_GoBack"/>
      <w:bookmarkEnd w:id="0"/>
      <w:r w:rsidRPr="00F91DE5">
        <w:rPr>
          <w:caps/>
          <w:sz w:val="36"/>
        </w:rPr>
        <w:t>5.12</w:t>
      </w:r>
      <w:r w:rsidR="007A431F" w:rsidRPr="00F91DE5">
        <w:rPr>
          <w:caps/>
          <w:sz w:val="36"/>
        </w:rPr>
        <w:tab/>
        <w:t>ROMOSOZUMAB</w:t>
      </w:r>
      <w:r w:rsidR="00B60939" w:rsidRPr="00F91DE5">
        <w:rPr>
          <w:caps/>
          <w:sz w:val="36"/>
        </w:rPr>
        <w:t>,</w:t>
      </w:r>
      <w:r w:rsidR="00065568" w:rsidRPr="00F91DE5">
        <w:rPr>
          <w:caps/>
          <w:sz w:val="36"/>
        </w:rPr>
        <w:t xml:space="preserve"> </w:t>
      </w:r>
    </w:p>
    <w:p w:rsidR="00624D8D" w:rsidRDefault="00624D8D" w:rsidP="00F91DE5">
      <w:pPr>
        <w:ind w:left="720"/>
        <w:rPr>
          <w:b/>
          <w:sz w:val="36"/>
          <w:szCs w:val="36"/>
        </w:rPr>
      </w:pPr>
      <w:r>
        <w:rPr>
          <w:b/>
          <w:sz w:val="36"/>
          <w:szCs w:val="36"/>
        </w:rPr>
        <w:t xml:space="preserve">Injection </w:t>
      </w:r>
      <w:r w:rsidR="00065568" w:rsidRPr="00065568">
        <w:rPr>
          <w:b/>
          <w:sz w:val="36"/>
          <w:szCs w:val="36"/>
        </w:rPr>
        <w:t>105</w:t>
      </w:r>
      <w:r w:rsidR="00A03C7B">
        <w:rPr>
          <w:b/>
          <w:sz w:val="36"/>
          <w:szCs w:val="36"/>
        </w:rPr>
        <w:t xml:space="preserve"> </w:t>
      </w:r>
      <w:r w:rsidR="00065568" w:rsidRPr="00065568">
        <w:rPr>
          <w:b/>
          <w:sz w:val="36"/>
          <w:szCs w:val="36"/>
        </w:rPr>
        <w:t>mg</w:t>
      </w:r>
      <w:r>
        <w:rPr>
          <w:b/>
          <w:sz w:val="36"/>
          <w:szCs w:val="36"/>
        </w:rPr>
        <w:t xml:space="preserve"> in </w:t>
      </w:r>
      <w:r w:rsidR="00065568" w:rsidRPr="00065568">
        <w:rPr>
          <w:b/>
          <w:sz w:val="36"/>
          <w:szCs w:val="36"/>
        </w:rPr>
        <w:t>1.17</w:t>
      </w:r>
      <w:r w:rsidR="00A03C7B">
        <w:rPr>
          <w:b/>
          <w:sz w:val="36"/>
          <w:szCs w:val="36"/>
        </w:rPr>
        <w:t xml:space="preserve"> </w:t>
      </w:r>
      <w:r w:rsidR="00065568" w:rsidRPr="00065568">
        <w:rPr>
          <w:b/>
          <w:sz w:val="36"/>
          <w:szCs w:val="36"/>
        </w:rPr>
        <w:t xml:space="preserve">mL </w:t>
      </w:r>
      <w:r>
        <w:rPr>
          <w:b/>
          <w:sz w:val="36"/>
          <w:szCs w:val="36"/>
        </w:rPr>
        <w:t xml:space="preserve">pre-filled pen </w:t>
      </w:r>
    </w:p>
    <w:p w:rsidR="00B60939" w:rsidRPr="00C12C14" w:rsidRDefault="00065568" w:rsidP="00F91DE5">
      <w:pPr>
        <w:ind w:left="720"/>
        <w:rPr>
          <w:b/>
          <w:sz w:val="36"/>
          <w:szCs w:val="36"/>
        </w:rPr>
      </w:pPr>
      <w:r>
        <w:rPr>
          <w:b/>
          <w:sz w:val="36"/>
          <w:szCs w:val="36"/>
        </w:rPr>
        <w:t>Evenity</w:t>
      </w:r>
      <w:r w:rsidR="00B60939" w:rsidRPr="00995778">
        <w:rPr>
          <w:b/>
          <w:sz w:val="36"/>
          <w:szCs w:val="36"/>
        </w:rPr>
        <w:t>®</w:t>
      </w:r>
      <w:r w:rsidR="00B60939" w:rsidRPr="00C12C14">
        <w:rPr>
          <w:b/>
          <w:sz w:val="36"/>
          <w:szCs w:val="36"/>
        </w:rPr>
        <w:t xml:space="preserve">, </w:t>
      </w:r>
      <w:r>
        <w:rPr>
          <w:b/>
          <w:sz w:val="36"/>
          <w:szCs w:val="36"/>
        </w:rPr>
        <w:t>Amgen</w:t>
      </w:r>
    </w:p>
    <w:p w:rsidR="00B50DB8" w:rsidRPr="00995778" w:rsidRDefault="00B50DB8" w:rsidP="009A220F">
      <w:pPr>
        <w:pStyle w:val="PBACHeading1"/>
      </w:pPr>
      <w:bookmarkStart w:id="1" w:name="_Toc524518327"/>
      <w:r w:rsidRPr="00995778">
        <w:t>Purpose of Application</w:t>
      </w:r>
      <w:bookmarkEnd w:id="1"/>
    </w:p>
    <w:p w:rsidR="00A52E72" w:rsidRPr="00B455E3" w:rsidRDefault="00A52E72" w:rsidP="00F91DE5">
      <w:pPr>
        <w:pStyle w:val="ListParagraph"/>
        <w:spacing w:before="120"/>
      </w:pPr>
      <w:r w:rsidRPr="00B455E3">
        <w:t>The submission requested a Section 85 (Authority Required) PBS listing for romosozumab for the treatment of severe osteoporosis. The PBAC has not previously considered romosozumab for any indication.</w:t>
      </w:r>
    </w:p>
    <w:p w:rsidR="00C2778B" w:rsidRPr="00B455E3" w:rsidRDefault="009D6D6B" w:rsidP="00F91DE5">
      <w:pPr>
        <w:pStyle w:val="ListParagraph"/>
        <w:spacing w:before="120"/>
      </w:pPr>
      <w:r w:rsidRPr="00B455E3">
        <w:t>Listing was requested on a cost</w:t>
      </w:r>
      <w:r w:rsidR="000B503E" w:rsidRPr="00B455E3">
        <w:t>-</w:t>
      </w:r>
      <w:r w:rsidRPr="00B455E3">
        <w:t>minimisation basis compared to teriparatide and a cost-effectiveness basis compared to alendronate.</w:t>
      </w:r>
    </w:p>
    <w:p w:rsidR="009D6D6B" w:rsidRDefault="009D6D6B" w:rsidP="008B0C43">
      <w:pPr>
        <w:pStyle w:val="TableHeading0"/>
        <w:spacing w:after="0"/>
      </w:pPr>
      <w:r w:rsidRPr="004D29F5">
        <w:t xml:space="preserve">Table </w:t>
      </w:r>
      <w:r>
        <w:t>1</w:t>
      </w:r>
      <w:r w:rsidRPr="004D29F5">
        <w:t>: Key components of the clinical</w:t>
      </w:r>
      <w:r>
        <w:t xml:space="preserve"> issue addressed in the submission</w:t>
      </w:r>
    </w:p>
    <w:tbl>
      <w:tblPr>
        <w:tblStyle w:val="TableGrid"/>
        <w:tblW w:w="0" w:type="auto"/>
        <w:tblInd w:w="108" w:type="dxa"/>
        <w:tblLook w:val="04A0" w:firstRow="1" w:lastRow="0" w:firstColumn="1" w:lastColumn="0" w:noHBand="0" w:noVBand="1"/>
        <w:tblCaption w:val="Table 1: Key components of the clinical issue addressed in the submission"/>
      </w:tblPr>
      <w:tblGrid>
        <w:gridCol w:w="1577"/>
        <w:gridCol w:w="7332"/>
      </w:tblGrid>
      <w:tr w:rsidR="009D6D6B" w:rsidRPr="00C27EBB" w:rsidTr="00482178">
        <w:trPr>
          <w:cantSplit/>
          <w:tblHeader/>
        </w:trPr>
        <w:tc>
          <w:tcPr>
            <w:tcW w:w="1588" w:type="dxa"/>
            <w:shd w:val="clear" w:color="auto" w:fill="auto"/>
          </w:tcPr>
          <w:p w:rsidR="009D6D6B" w:rsidRPr="0093095E" w:rsidRDefault="009D6D6B" w:rsidP="00482178">
            <w:pPr>
              <w:pStyle w:val="TableText0"/>
              <w:keepNext w:val="0"/>
              <w:widowControl w:val="0"/>
              <w:spacing w:before="0" w:after="0"/>
              <w:rPr>
                <w:b/>
              </w:rPr>
            </w:pPr>
            <w:r w:rsidRPr="0093095E">
              <w:rPr>
                <w:b/>
              </w:rPr>
              <w:t>Component</w:t>
            </w:r>
          </w:p>
        </w:tc>
        <w:tc>
          <w:tcPr>
            <w:tcW w:w="7484" w:type="dxa"/>
            <w:shd w:val="clear" w:color="auto" w:fill="auto"/>
          </w:tcPr>
          <w:p w:rsidR="009D6D6B" w:rsidRPr="0093095E" w:rsidRDefault="009D6D6B" w:rsidP="00482178">
            <w:pPr>
              <w:pStyle w:val="TableText0"/>
              <w:keepNext w:val="0"/>
              <w:widowControl w:val="0"/>
              <w:spacing w:before="0" w:after="0"/>
              <w:rPr>
                <w:b/>
              </w:rPr>
            </w:pPr>
            <w:r w:rsidRPr="0093095E">
              <w:rPr>
                <w:b/>
              </w:rPr>
              <w:t>Description</w:t>
            </w:r>
          </w:p>
        </w:tc>
      </w:tr>
      <w:tr w:rsidR="009D6D6B" w:rsidRPr="00C27EBB" w:rsidTr="00482178">
        <w:trPr>
          <w:cantSplit/>
        </w:trPr>
        <w:tc>
          <w:tcPr>
            <w:tcW w:w="1588" w:type="dxa"/>
            <w:vAlign w:val="center"/>
          </w:tcPr>
          <w:p w:rsidR="009D6D6B" w:rsidRPr="00C27EBB" w:rsidRDefault="009D6D6B" w:rsidP="00482178">
            <w:pPr>
              <w:pStyle w:val="TableText0"/>
              <w:keepNext w:val="0"/>
              <w:widowControl w:val="0"/>
              <w:spacing w:before="0" w:after="0"/>
            </w:pPr>
            <w:r w:rsidRPr="00C27EBB">
              <w:t>Population</w:t>
            </w:r>
          </w:p>
        </w:tc>
        <w:tc>
          <w:tcPr>
            <w:tcW w:w="7484" w:type="dxa"/>
          </w:tcPr>
          <w:p w:rsidR="009D6D6B" w:rsidRPr="00BF2DC3" w:rsidRDefault="009D6D6B" w:rsidP="00482178">
            <w:pPr>
              <w:pStyle w:val="TableText0"/>
              <w:keepNext w:val="0"/>
              <w:widowControl w:val="0"/>
              <w:spacing w:before="0" w:after="0"/>
            </w:pPr>
            <w:r w:rsidRPr="002B2FB1">
              <w:t>Patients</w:t>
            </w:r>
            <w:r>
              <w:t xml:space="preserve"> with severe osteoporosis (multiple</w:t>
            </w:r>
            <w:r w:rsidRPr="002B2FB1">
              <w:t xml:space="preserve"> </w:t>
            </w:r>
            <w:r>
              <w:t xml:space="preserve">minimal trauma </w:t>
            </w:r>
            <w:r w:rsidRPr="002B2FB1">
              <w:t>fractures</w:t>
            </w:r>
            <w:r>
              <w:t>, at least one symptomatic fracture,</w:t>
            </w:r>
            <w:r w:rsidRPr="002B2FB1">
              <w:t xml:space="preserve"> and BMD T-score ≤ -3.0</w:t>
            </w:r>
            <w:r>
              <w:t>)</w:t>
            </w:r>
            <w:r w:rsidRPr="002B2FB1">
              <w:t>.</w:t>
            </w:r>
          </w:p>
        </w:tc>
      </w:tr>
      <w:tr w:rsidR="009D6D6B" w:rsidRPr="00C27EBB" w:rsidTr="00482178">
        <w:trPr>
          <w:cantSplit/>
        </w:trPr>
        <w:tc>
          <w:tcPr>
            <w:tcW w:w="1588" w:type="dxa"/>
            <w:vAlign w:val="center"/>
          </w:tcPr>
          <w:p w:rsidR="009D6D6B" w:rsidRPr="00C27EBB" w:rsidRDefault="009D6D6B" w:rsidP="00482178">
            <w:pPr>
              <w:pStyle w:val="TableText0"/>
              <w:keepNext w:val="0"/>
              <w:widowControl w:val="0"/>
              <w:spacing w:before="0" w:after="0"/>
              <w:rPr>
                <w:rFonts w:ascii="Times" w:eastAsia="Times New Roman" w:hAnsi="Times" w:cs="Times New Roman"/>
              </w:rPr>
            </w:pPr>
            <w:r w:rsidRPr="00C27EBB">
              <w:t>Intervention</w:t>
            </w:r>
          </w:p>
        </w:tc>
        <w:tc>
          <w:tcPr>
            <w:tcW w:w="7484" w:type="dxa"/>
          </w:tcPr>
          <w:p w:rsidR="009D6D6B" w:rsidRPr="002B2FB1" w:rsidRDefault="009D6D6B" w:rsidP="00482178">
            <w:pPr>
              <w:pStyle w:val="TableText0"/>
              <w:keepNext w:val="0"/>
              <w:widowControl w:val="0"/>
              <w:spacing w:before="0" w:after="0"/>
            </w:pPr>
            <w:r w:rsidRPr="002B2FB1">
              <w:t xml:space="preserve">Romosozumab, </w:t>
            </w:r>
            <w:r w:rsidR="008F74B0">
              <w:t>21</w:t>
            </w:r>
            <w:r>
              <w:t xml:space="preserve">0 mg monthly subcutaneous injection for 12 months </w:t>
            </w:r>
          </w:p>
        </w:tc>
      </w:tr>
      <w:tr w:rsidR="009D6D6B" w:rsidRPr="00C27EBB" w:rsidTr="00482178">
        <w:trPr>
          <w:cantSplit/>
        </w:trPr>
        <w:tc>
          <w:tcPr>
            <w:tcW w:w="1588" w:type="dxa"/>
            <w:vAlign w:val="center"/>
          </w:tcPr>
          <w:p w:rsidR="009D6D6B" w:rsidRPr="00C27EBB" w:rsidRDefault="009D6D6B" w:rsidP="00482178">
            <w:pPr>
              <w:pStyle w:val="TableText0"/>
              <w:keepNext w:val="0"/>
              <w:widowControl w:val="0"/>
              <w:spacing w:before="0" w:after="0"/>
              <w:rPr>
                <w:rFonts w:ascii="Times" w:eastAsia="Times New Roman" w:hAnsi="Times" w:cs="Times New Roman"/>
              </w:rPr>
            </w:pPr>
            <w:r w:rsidRPr="00C27EBB">
              <w:t>Comparator</w:t>
            </w:r>
          </w:p>
        </w:tc>
        <w:tc>
          <w:tcPr>
            <w:tcW w:w="7484" w:type="dxa"/>
          </w:tcPr>
          <w:p w:rsidR="009D6D6B" w:rsidRDefault="009D6D6B" w:rsidP="00482178">
            <w:pPr>
              <w:pStyle w:val="TableText0"/>
              <w:keepNext w:val="0"/>
              <w:widowControl w:val="0"/>
              <w:spacing w:before="0" w:after="0"/>
              <w:rPr>
                <w:rFonts w:eastAsia="Times New Roman" w:cs="Arial"/>
              </w:rPr>
            </w:pPr>
            <w:r>
              <w:rPr>
                <w:rFonts w:eastAsia="Times New Roman" w:cs="Arial"/>
              </w:rPr>
              <w:t>Teriparatide, 20 mg daily subcutaneous injection for 18 months</w:t>
            </w:r>
          </w:p>
          <w:p w:rsidR="009D6D6B" w:rsidRPr="00861A7F" w:rsidRDefault="009D6D6B" w:rsidP="00482178">
            <w:pPr>
              <w:pStyle w:val="TableText0"/>
              <w:keepNext w:val="0"/>
              <w:widowControl w:val="0"/>
              <w:spacing w:before="0" w:after="0"/>
              <w:rPr>
                <w:rFonts w:eastAsia="Times New Roman" w:cs="Arial"/>
              </w:rPr>
            </w:pPr>
            <w:r>
              <w:rPr>
                <w:rFonts w:eastAsia="Times New Roman" w:cs="Arial"/>
              </w:rPr>
              <w:t>Alendronate, 70 mg weekly oral tablet for long term therapy</w:t>
            </w:r>
          </w:p>
        </w:tc>
      </w:tr>
      <w:tr w:rsidR="009D6D6B" w:rsidRPr="00C27EBB" w:rsidTr="00482178">
        <w:trPr>
          <w:cantSplit/>
        </w:trPr>
        <w:tc>
          <w:tcPr>
            <w:tcW w:w="1588" w:type="dxa"/>
            <w:vAlign w:val="center"/>
          </w:tcPr>
          <w:p w:rsidR="009D6D6B" w:rsidRPr="00C27EBB" w:rsidRDefault="009D6D6B" w:rsidP="00482178">
            <w:pPr>
              <w:pStyle w:val="TableText0"/>
              <w:keepNext w:val="0"/>
              <w:widowControl w:val="0"/>
              <w:spacing w:before="0" w:after="0"/>
              <w:rPr>
                <w:rFonts w:ascii="Times" w:eastAsia="Times New Roman" w:hAnsi="Times" w:cs="Times New Roman"/>
              </w:rPr>
            </w:pPr>
            <w:r w:rsidRPr="00C27EBB">
              <w:t>Outcomes</w:t>
            </w:r>
          </w:p>
        </w:tc>
        <w:tc>
          <w:tcPr>
            <w:tcW w:w="7484" w:type="dxa"/>
          </w:tcPr>
          <w:p w:rsidR="009D6D6B" w:rsidRPr="00CE3B53" w:rsidRDefault="009D6D6B" w:rsidP="00482178">
            <w:pPr>
              <w:pStyle w:val="TableText0"/>
              <w:keepNext w:val="0"/>
              <w:widowControl w:val="0"/>
              <w:spacing w:before="0" w:after="0"/>
              <w:rPr>
                <w:rFonts w:eastAsia="Times New Roman" w:cs="Times New Roman"/>
              </w:rPr>
            </w:pPr>
            <w:r w:rsidRPr="002B2FB1">
              <w:rPr>
                <w:rFonts w:eastAsia="Times New Roman" w:cs="Times New Roman"/>
              </w:rPr>
              <w:t xml:space="preserve">Increased bone strength, prevention of osteoporosis-related fractures </w:t>
            </w:r>
          </w:p>
        </w:tc>
      </w:tr>
      <w:tr w:rsidR="009D6D6B" w:rsidRPr="00C27EBB" w:rsidTr="00482178">
        <w:trPr>
          <w:cantSplit/>
        </w:trPr>
        <w:tc>
          <w:tcPr>
            <w:tcW w:w="1588" w:type="dxa"/>
            <w:vAlign w:val="center"/>
          </w:tcPr>
          <w:p w:rsidR="009D6D6B" w:rsidRPr="00C27EBB" w:rsidRDefault="009D6D6B" w:rsidP="00482178">
            <w:pPr>
              <w:pStyle w:val="TableText0"/>
              <w:keepNext w:val="0"/>
              <w:widowControl w:val="0"/>
              <w:spacing w:before="0" w:after="0"/>
              <w:rPr>
                <w:rFonts w:ascii="Times" w:eastAsia="Times New Roman" w:hAnsi="Times" w:cs="Times New Roman"/>
              </w:rPr>
            </w:pPr>
            <w:r w:rsidRPr="00C27EBB">
              <w:t>Clinical claim</w:t>
            </w:r>
          </w:p>
        </w:tc>
        <w:tc>
          <w:tcPr>
            <w:tcW w:w="7484" w:type="dxa"/>
          </w:tcPr>
          <w:p w:rsidR="009D6D6B" w:rsidRDefault="009D6D6B" w:rsidP="00482178">
            <w:pPr>
              <w:pStyle w:val="TableText0"/>
              <w:keepNext w:val="0"/>
              <w:widowControl w:val="0"/>
              <w:spacing w:before="0" w:after="0"/>
            </w:pPr>
            <w:r>
              <w:t>Romosozumab is similar</w:t>
            </w:r>
            <w:r w:rsidRPr="00244217">
              <w:t xml:space="preserve"> in </w:t>
            </w:r>
            <w:r>
              <w:t xml:space="preserve">terms of efficacy and safety compared to teriparatide. </w:t>
            </w:r>
          </w:p>
          <w:p w:rsidR="009D6D6B" w:rsidRPr="00ED59CE" w:rsidRDefault="009D6D6B" w:rsidP="00843926">
            <w:pPr>
              <w:pStyle w:val="TableText0"/>
              <w:keepNext w:val="0"/>
              <w:widowControl w:val="0"/>
              <w:spacing w:before="0" w:after="0"/>
            </w:pPr>
            <w:r>
              <w:t>Romosozumab is superior</w:t>
            </w:r>
            <w:r w:rsidRPr="00244217">
              <w:t xml:space="preserve"> in </w:t>
            </w:r>
            <w:r>
              <w:t xml:space="preserve">terms of efficacy compared to alendronate. </w:t>
            </w:r>
            <w:r w:rsidRPr="00AF502E">
              <w:t>The submission did not specify a</w:t>
            </w:r>
            <w:r>
              <w:t xml:space="preserve"> comparative safety claim for romosozumab compared to alendronate. </w:t>
            </w:r>
          </w:p>
        </w:tc>
      </w:tr>
    </w:tbl>
    <w:p w:rsidR="004E43B2" w:rsidRPr="00882085" w:rsidRDefault="009D6D6B" w:rsidP="00995778">
      <w:pPr>
        <w:pStyle w:val="TableFooter"/>
      </w:pPr>
      <w:r>
        <w:t>Source: Table 1.1.1 (p 14) of the submission</w:t>
      </w:r>
    </w:p>
    <w:p w:rsidR="00B60939" w:rsidRPr="00995778" w:rsidRDefault="00B50DB8" w:rsidP="009A220F">
      <w:pPr>
        <w:pStyle w:val="PBACHeading1"/>
      </w:pPr>
      <w:bookmarkStart w:id="2" w:name="_Toc524518328"/>
      <w:r w:rsidRPr="00995778">
        <w:t>Requested listing</w:t>
      </w:r>
      <w:bookmarkEnd w:id="2"/>
    </w:p>
    <w:p w:rsidR="00843926" w:rsidRPr="00843926" w:rsidRDefault="00843926" w:rsidP="00F91DE5">
      <w:pPr>
        <w:pStyle w:val="ListParagraph"/>
        <w:spacing w:before="120"/>
        <w:rPr>
          <w:rFonts w:eastAsia="Calibri"/>
          <w:snapToGrid/>
        </w:rPr>
      </w:pPr>
      <w:r w:rsidRPr="00843926">
        <w:rPr>
          <w:rFonts w:eastAsia="Calibri"/>
          <w:snapToGrid/>
        </w:rPr>
        <w:t xml:space="preserve">The listing requested in the submission is outlined below. </w:t>
      </w: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34"/>
        <w:gridCol w:w="1022"/>
        <w:gridCol w:w="934"/>
        <w:gridCol w:w="1624"/>
        <w:gridCol w:w="1720"/>
      </w:tblGrid>
      <w:tr w:rsidR="009D6D6B" w:rsidRPr="007D2D5F" w:rsidTr="00482178">
        <w:tc>
          <w:tcPr>
            <w:tcW w:w="2802" w:type="dxa"/>
            <w:tcBorders>
              <w:top w:val="single" w:sz="4" w:space="0" w:color="auto"/>
              <w:left w:val="nil"/>
              <w:bottom w:val="single" w:sz="4" w:space="0" w:color="auto"/>
              <w:right w:val="nil"/>
            </w:tcBorders>
          </w:tcPr>
          <w:p w:rsidR="009D6D6B" w:rsidRPr="002C71CE" w:rsidRDefault="009D6D6B" w:rsidP="00995778">
            <w:pPr>
              <w:pStyle w:val="Tabletext"/>
              <w:rPr>
                <w:b/>
                <w:bCs/>
              </w:rPr>
            </w:pPr>
            <w:r w:rsidRPr="002C71CE">
              <w:rPr>
                <w:b/>
              </w:rPr>
              <w:t>Name, restriction, manner of administration, form</w:t>
            </w:r>
          </w:p>
        </w:tc>
        <w:tc>
          <w:tcPr>
            <w:tcW w:w="1134" w:type="dxa"/>
            <w:tcBorders>
              <w:top w:val="single" w:sz="4" w:space="0" w:color="auto"/>
              <w:left w:val="nil"/>
              <w:bottom w:val="single" w:sz="4" w:space="0" w:color="auto"/>
              <w:right w:val="nil"/>
            </w:tcBorders>
          </w:tcPr>
          <w:p w:rsidR="009D6D6B" w:rsidRPr="002C71CE" w:rsidRDefault="009D6D6B" w:rsidP="00995778">
            <w:pPr>
              <w:pStyle w:val="Tabletext"/>
              <w:jc w:val="center"/>
              <w:rPr>
                <w:b/>
                <w:bCs/>
              </w:rPr>
            </w:pPr>
            <w:r w:rsidRPr="002C71CE">
              <w:rPr>
                <w:b/>
              </w:rPr>
              <w:t>Maximum quantity (packs)</w:t>
            </w:r>
          </w:p>
        </w:tc>
        <w:tc>
          <w:tcPr>
            <w:tcW w:w="1022" w:type="dxa"/>
            <w:tcBorders>
              <w:top w:val="single" w:sz="4" w:space="0" w:color="auto"/>
              <w:left w:val="nil"/>
              <w:bottom w:val="single" w:sz="4" w:space="0" w:color="auto"/>
              <w:right w:val="nil"/>
            </w:tcBorders>
          </w:tcPr>
          <w:p w:rsidR="009D6D6B" w:rsidRPr="002C71CE" w:rsidRDefault="009D6D6B" w:rsidP="00995778">
            <w:pPr>
              <w:pStyle w:val="Tabletext"/>
              <w:jc w:val="center"/>
              <w:rPr>
                <w:b/>
                <w:bCs/>
              </w:rPr>
            </w:pPr>
            <w:r w:rsidRPr="002C71CE">
              <w:rPr>
                <w:b/>
              </w:rPr>
              <w:t>Maximum quantity (units)</w:t>
            </w:r>
          </w:p>
        </w:tc>
        <w:tc>
          <w:tcPr>
            <w:tcW w:w="0" w:type="auto"/>
            <w:tcBorders>
              <w:top w:val="single" w:sz="4" w:space="0" w:color="auto"/>
              <w:left w:val="nil"/>
              <w:bottom w:val="single" w:sz="4" w:space="0" w:color="auto"/>
              <w:right w:val="nil"/>
            </w:tcBorders>
          </w:tcPr>
          <w:p w:rsidR="009D6D6B" w:rsidRPr="002C71CE" w:rsidRDefault="009D6D6B" w:rsidP="00995778">
            <w:pPr>
              <w:pStyle w:val="Tabletext"/>
              <w:jc w:val="center"/>
              <w:rPr>
                <w:b/>
                <w:bCs/>
              </w:rPr>
            </w:pPr>
            <w:r w:rsidRPr="002C71CE">
              <w:rPr>
                <w:b/>
              </w:rPr>
              <w:t>No. of repeats</w:t>
            </w:r>
          </w:p>
        </w:tc>
        <w:tc>
          <w:tcPr>
            <w:tcW w:w="0" w:type="auto"/>
            <w:tcBorders>
              <w:top w:val="single" w:sz="4" w:space="0" w:color="auto"/>
              <w:left w:val="nil"/>
              <w:bottom w:val="single" w:sz="4" w:space="0" w:color="auto"/>
              <w:right w:val="nil"/>
            </w:tcBorders>
          </w:tcPr>
          <w:p w:rsidR="009D6D6B" w:rsidRPr="002C71CE" w:rsidRDefault="009D6D6B" w:rsidP="00995778">
            <w:pPr>
              <w:pStyle w:val="Tabletext"/>
              <w:jc w:val="center"/>
              <w:rPr>
                <w:b/>
                <w:bCs/>
              </w:rPr>
            </w:pPr>
            <w:r w:rsidRPr="002C71CE">
              <w:rPr>
                <w:b/>
              </w:rPr>
              <w:t>Dispensed price for maximum quantity</w:t>
            </w:r>
          </w:p>
        </w:tc>
        <w:tc>
          <w:tcPr>
            <w:tcW w:w="0" w:type="auto"/>
            <w:tcBorders>
              <w:left w:val="nil"/>
              <w:bottom w:val="single" w:sz="4" w:space="0" w:color="auto"/>
              <w:right w:val="nil"/>
            </w:tcBorders>
          </w:tcPr>
          <w:p w:rsidR="009D6D6B" w:rsidRPr="002C71CE" w:rsidRDefault="009D6D6B" w:rsidP="00995778">
            <w:pPr>
              <w:pStyle w:val="Tabletext"/>
              <w:rPr>
                <w:b/>
                <w:bCs/>
              </w:rPr>
            </w:pPr>
            <w:r w:rsidRPr="002C71CE">
              <w:rPr>
                <w:b/>
              </w:rPr>
              <w:t>Proprietary name and manufacturer</w:t>
            </w:r>
          </w:p>
        </w:tc>
      </w:tr>
      <w:tr w:rsidR="009D6D6B" w:rsidRPr="00DD620D" w:rsidTr="00482178">
        <w:trPr>
          <w:trHeight w:val="383"/>
        </w:trPr>
        <w:tc>
          <w:tcPr>
            <w:tcW w:w="2802" w:type="dxa"/>
            <w:tcBorders>
              <w:top w:val="single" w:sz="4" w:space="0" w:color="auto"/>
              <w:left w:val="nil"/>
              <w:bottom w:val="nil"/>
              <w:right w:val="nil"/>
            </w:tcBorders>
          </w:tcPr>
          <w:p w:rsidR="009D6D6B" w:rsidRPr="008C3522" w:rsidRDefault="009D6D6B" w:rsidP="00995778">
            <w:pPr>
              <w:pStyle w:val="Tabletext"/>
              <w:rPr>
                <w:strike/>
              </w:rPr>
            </w:pPr>
            <w:r w:rsidRPr="008C3522">
              <w:rPr>
                <w:strike/>
              </w:rPr>
              <w:t>Romosozumab, 105mg/1.17mL injection, 1.17 mL syringe</w:t>
            </w:r>
          </w:p>
        </w:tc>
        <w:tc>
          <w:tcPr>
            <w:tcW w:w="1134" w:type="dxa"/>
            <w:tcBorders>
              <w:top w:val="single" w:sz="4" w:space="0" w:color="auto"/>
              <w:left w:val="nil"/>
              <w:bottom w:val="nil"/>
              <w:right w:val="nil"/>
            </w:tcBorders>
            <w:vAlign w:val="center"/>
          </w:tcPr>
          <w:p w:rsidR="009D6D6B" w:rsidRPr="008C3522" w:rsidRDefault="009D6D6B" w:rsidP="00995778">
            <w:pPr>
              <w:pStyle w:val="Tabletext"/>
              <w:jc w:val="center"/>
              <w:rPr>
                <w:rFonts w:ascii="Times" w:hAnsi="Times"/>
                <w:strike/>
              </w:rPr>
            </w:pPr>
            <w:r w:rsidRPr="008C3522">
              <w:rPr>
                <w:strike/>
              </w:rPr>
              <w:t>1</w:t>
            </w:r>
          </w:p>
        </w:tc>
        <w:tc>
          <w:tcPr>
            <w:tcW w:w="1022" w:type="dxa"/>
            <w:tcBorders>
              <w:top w:val="single" w:sz="4" w:space="0" w:color="auto"/>
              <w:left w:val="nil"/>
              <w:bottom w:val="nil"/>
              <w:right w:val="nil"/>
            </w:tcBorders>
            <w:vAlign w:val="center"/>
          </w:tcPr>
          <w:p w:rsidR="009D6D6B" w:rsidRPr="008C3522" w:rsidRDefault="009D6D6B" w:rsidP="00995778">
            <w:pPr>
              <w:pStyle w:val="Tabletext"/>
              <w:jc w:val="center"/>
              <w:rPr>
                <w:rFonts w:ascii="Times" w:hAnsi="Times"/>
                <w:strike/>
              </w:rPr>
            </w:pPr>
            <w:r w:rsidRPr="008C3522">
              <w:rPr>
                <w:strike/>
              </w:rPr>
              <w:t>2</w:t>
            </w:r>
          </w:p>
        </w:tc>
        <w:tc>
          <w:tcPr>
            <w:tcW w:w="0" w:type="auto"/>
            <w:tcBorders>
              <w:top w:val="single" w:sz="4" w:space="0" w:color="auto"/>
              <w:left w:val="nil"/>
              <w:bottom w:val="nil"/>
              <w:right w:val="nil"/>
            </w:tcBorders>
            <w:vAlign w:val="center"/>
          </w:tcPr>
          <w:p w:rsidR="009D6D6B" w:rsidRPr="00B109C7" w:rsidRDefault="009D6D6B" w:rsidP="00995778">
            <w:pPr>
              <w:pStyle w:val="Tabletext"/>
              <w:jc w:val="center"/>
              <w:rPr>
                <w:rFonts w:ascii="Times" w:hAnsi="Times"/>
                <w:strike/>
              </w:rPr>
            </w:pPr>
            <w:r w:rsidRPr="00B109C7">
              <w:rPr>
                <w:strike/>
              </w:rPr>
              <w:t>5</w:t>
            </w:r>
          </w:p>
        </w:tc>
        <w:tc>
          <w:tcPr>
            <w:tcW w:w="0" w:type="auto"/>
            <w:tcBorders>
              <w:top w:val="single" w:sz="4" w:space="0" w:color="auto"/>
              <w:left w:val="nil"/>
              <w:bottom w:val="nil"/>
              <w:right w:val="nil"/>
            </w:tcBorders>
            <w:vAlign w:val="center"/>
          </w:tcPr>
          <w:p w:rsidR="009D6D6B" w:rsidRPr="00B109C7" w:rsidRDefault="009D6D6B" w:rsidP="00995778">
            <w:pPr>
              <w:pStyle w:val="Tabletext"/>
              <w:jc w:val="center"/>
              <w:rPr>
                <w:strike/>
              </w:rPr>
            </w:pPr>
            <w:r w:rsidRPr="00B109C7">
              <w:rPr>
                <w:strike/>
              </w:rPr>
              <w:t>$617.70</w:t>
            </w:r>
          </w:p>
          <w:p w:rsidR="009D6D6B" w:rsidRPr="00B109C7" w:rsidRDefault="009D6D6B" w:rsidP="00995778">
            <w:pPr>
              <w:pStyle w:val="Tabletext"/>
              <w:jc w:val="center"/>
              <w:rPr>
                <w:strike/>
              </w:rPr>
            </w:pPr>
            <w:r w:rsidRPr="00B109C7">
              <w:rPr>
                <w:strike/>
              </w:rPr>
              <w:t>(published price)</w:t>
            </w:r>
          </w:p>
        </w:tc>
        <w:tc>
          <w:tcPr>
            <w:tcW w:w="0" w:type="auto"/>
            <w:vMerge w:val="restart"/>
            <w:tcBorders>
              <w:left w:val="nil"/>
              <w:right w:val="nil"/>
            </w:tcBorders>
            <w:vAlign w:val="center"/>
          </w:tcPr>
          <w:p w:rsidR="009D6D6B" w:rsidRPr="00C46216" w:rsidRDefault="009D6D6B" w:rsidP="00995778">
            <w:pPr>
              <w:pStyle w:val="Tabletext"/>
              <w:jc w:val="center"/>
            </w:pPr>
            <w:r w:rsidRPr="00C46216">
              <w:t>Evenity</w:t>
            </w:r>
            <w:r w:rsidRPr="00C46216">
              <w:rPr>
                <w:vertAlign w:val="superscript"/>
              </w:rPr>
              <w:t>®</w:t>
            </w:r>
          </w:p>
          <w:p w:rsidR="009D6D6B" w:rsidRPr="00DD620D" w:rsidRDefault="009D6D6B" w:rsidP="00995778">
            <w:pPr>
              <w:pStyle w:val="Tabletext"/>
              <w:jc w:val="center"/>
              <w:rPr>
                <w:rFonts w:ascii="Times" w:hAnsi="Times"/>
              </w:rPr>
            </w:pPr>
            <w:r w:rsidRPr="00C46216">
              <w:t>Amgen</w:t>
            </w:r>
          </w:p>
        </w:tc>
      </w:tr>
      <w:tr w:rsidR="009D6D6B" w:rsidRPr="00DD620D" w:rsidTr="009D6D6B">
        <w:trPr>
          <w:trHeight w:val="383"/>
        </w:trPr>
        <w:tc>
          <w:tcPr>
            <w:tcW w:w="2802" w:type="dxa"/>
            <w:tcBorders>
              <w:top w:val="nil"/>
              <w:left w:val="nil"/>
              <w:bottom w:val="nil"/>
              <w:right w:val="nil"/>
            </w:tcBorders>
          </w:tcPr>
          <w:p w:rsidR="009D6D6B" w:rsidRPr="00DD620D" w:rsidRDefault="009D6D6B" w:rsidP="00995778">
            <w:pPr>
              <w:pStyle w:val="Tabletext"/>
            </w:pPr>
            <w:r w:rsidRPr="00DD620D">
              <w:t>Romosozumab</w:t>
            </w:r>
            <w:r>
              <w:t>, 105mg/1.17mL injection, 1.17 mL injection device</w:t>
            </w:r>
          </w:p>
        </w:tc>
        <w:tc>
          <w:tcPr>
            <w:tcW w:w="1134" w:type="dxa"/>
            <w:tcBorders>
              <w:top w:val="nil"/>
              <w:left w:val="nil"/>
              <w:bottom w:val="nil"/>
              <w:right w:val="nil"/>
            </w:tcBorders>
            <w:vAlign w:val="center"/>
          </w:tcPr>
          <w:p w:rsidR="009D6D6B" w:rsidRDefault="009D6D6B" w:rsidP="00995778">
            <w:pPr>
              <w:pStyle w:val="Tabletext"/>
              <w:jc w:val="center"/>
            </w:pPr>
            <w:r>
              <w:t>1</w:t>
            </w:r>
          </w:p>
        </w:tc>
        <w:tc>
          <w:tcPr>
            <w:tcW w:w="1022" w:type="dxa"/>
            <w:tcBorders>
              <w:top w:val="nil"/>
              <w:left w:val="nil"/>
              <w:bottom w:val="nil"/>
              <w:right w:val="nil"/>
            </w:tcBorders>
            <w:vAlign w:val="center"/>
          </w:tcPr>
          <w:p w:rsidR="009D6D6B" w:rsidRDefault="009D6D6B" w:rsidP="00995778">
            <w:pPr>
              <w:pStyle w:val="Tabletext"/>
              <w:jc w:val="center"/>
            </w:pPr>
            <w:r>
              <w:t>2</w:t>
            </w:r>
          </w:p>
        </w:tc>
        <w:tc>
          <w:tcPr>
            <w:tcW w:w="0" w:type="auto"/>
            <w:tcBorders>
              <w:top w:val="nil"/>
              <w:left w:val="nil"/>
              <w:bottom w:val="nil"/>
              <w:right w:val="nil"/>
            </w:tcBorders>
            <w:vAlign w:val="center"/>
          </w:tcPr>
          <w:p w:rsidR="009D6D6B" w:rsidRPr="00B109C7" w:rsidRDefault="009D6D6B" w:rsidP="00995778">
            <w:pPr>
              <w:pStyle w:val="Tabletext"/>
              <w:jc w:val="center"/>
            </w:pPr>
            <w:r w:rsidRPr="00B109C7">
              <w:t>5</w:t>
            </w:r>
          </w:p>
        </w:tc>
        <w:tc>
          <w:tcPr>
            <w:tcW w:w="0" w:type="auto"/>
            <w:tcBorders>
              <w:top w:val="nil"/>
              <w:left w:val="nil"/>
              <w:bottom w:val="nil"/>
              <w:right w:val="nil"/>
            </w:tcBorders>
            <w:vAlign w:val="center"/>
          </w:tcPr>
          <w:p w:rsidR="009D6D6B" w:rsidRPr="00B109C7" w:rsidRDefault="009D6D6B" w:rsidP="00995778">
            <w:pPr>
              <w:pStyle w:val="Tabletext"/>
              <w:jc w:val="center"/>
            </w:pPr>
            <w:r w:rsidRPr="00B109C7">
              <w:t>$</w:t>
            </w:r>
            <w:r w:rsidR="00DE4D50">
              <w:rPr>
                <w:noProof/>
                <w:color w:val="000000"/>
                <w:highlight w:val="black"/>
              </w:rPr>
              <w:t>'''''''''''''''</w:t>
            </w:r>
          </w:p>
          <w:p w:rsidR="009D6D6B" w:rsidRPr="00B109C7" w:rsidRDefault="009D6D6B" w:rsidP="00995778">
            <w:pPr>
              <w:pStyle w:val="Tabletext"/>
              <w:jc w:val="center"/>
            </w:pPr>
            <w:r w:rsidRPr="00B109C7">
              <w:t>(published price)</w:t>
            </w:r>
          </w:p>
        </w:tc>
        <w:tc>
          <w:tcPr>
            <w:tcW w:w="0" w:type="auto"/>
            <w:vMerge/>
            <w:tcBorders>
              <w:left w:val="nil"/>
              <w:bottom w:val="nil"/>
              <w:right w:val="nil"/>
            </w:tcBorders>
          </w:tcPr>
          <w:p w:rsidR="009D6D6B" w:rsidRPr="00DD620D" w:rsidRDefault="009D6D6B" w:rsidP="00995778">
            <w:pPr>
              <w:pStyle w:val="Tabletext"/>
            </w:pPr>
          </w:p>
        </w:tc>
      </w:tr>
    </w:tbl>
    <w:p w:rsidR="009D6D6B" w:rsidRDefault="009D6D6B" w:rsidP="00263F10">
      <w:pPr>
        <w:keepNext/>
        <w:keepLines/>
        <w:widowControl/>
        <w:rPr>
          <w:color w:val="3366FF"/>
        </w:rPr>
      </w:pPr>
    </w:p>
    <w:tbl>
      <w:tblPr>
        <w:tblW w:w="9072" w:type="dxa"/>
        <w:tblInd w:w="108" w:type="dxa"/>
        <w:tblLayout w:type="fixed"/>
        <w:tblLook w:val="0000" w:firstRow="0" w:lastRow="0" w:firstColumn="0" w:lastColumn="0" w:noHBand="0" w:noVBand="0"/>
      </w:tblPr>
      <w:tblGrid>
        <w:gridCol w:w="2155"/>
        <w:gridCol w:w="3742"/>
        <w:gridCol w:w="3175"/>
      </w:tblGrid>
      <w:tr w:rsidR="009D6D6B" w:rsidRPr="008B5656" w:rsidTr="00482178">
        <w:trPr>
          <w:cantSplit/>
          <w:trHeight w:val="308"/>
        </w:trPr>
        <w:tc>
          <w:tcPr>
            <w:tcW w:w="2155" w:type="dxa"/>
            <w:tcBorders>
              <w:top w:val="single" w:sz="4" w:space="0" w:color="auto"/>
              <w:left w:val="single" w:sz="4" w:space="0" w:color="auto"/>
              <w:bottom w:val="single" w:sz="4" w:space="0" w:color="auto"/>
              <w:right w:val="single" w:sz="4" w:space="0" w:color="auto"/>
            </w:tcBorders>
          </w:tcPr>
          <w:p w:rsidR="009D6D6B" w:rsidRPr="008B5656" w:rsidRDefault="009D6D6B" w:rsidP="00995778">
            <w:pPr>
              <w:keepNext/>
              <w:rPr>
                <w:rFonts w:ascii="Arial Narrow" w:hAnsi="Arial Narrow"/>
                <w:b/>
                <w:sz w:val="20"/>
                <w:szCs w:val="20"/>
              </w:rPr>
            </w:pPr>
            <w:r w:rsidRPr="008B5656">
              <w:rPr>
                <w:rFonts w:ascii="Arial Narrow" w:hAnsi="Arial Narrow"/>
                <w:b/>
                <w:sz w:val="20"/>
                <w:szCs w:val="20"/>
              </w:rPr>
              <w:t>Category / Program</w:t>
            </w:r>
          </w:p>
        </w:tc>
        <w:tc>
          <w:tcPr>
            <w:tcW w:w="6917" w:type="dxa"/>
            <w:gridSpan w:val="2"/>
            <w:tcBorders>
              <w:top w:val="single" w:sz="4" w:space="0" w:color="auto"/>
              <w:left w:val="single" w:sz="4" w:space="0" w:color="auto"/>
              <w:bottom w:val="single" w:sz="4" w:space="0" w:color="auto"/>
              <w:right w:val="single" w:sz="4" w:space="0" w:color="auto"/>
            </w:tcBorders>
          </w:tcPr>
          <w:p w:rsidR="009D6D6B" w:rsidRPr="008B5656" w:rsidRDefault="009D6D6B" w:rsidP="00995778">
            <w:pPr>
              <w:keepNext/>
              <w:rPr>
                <w:rFonts w:ascii="Arial Narrow" w:hAnsi="Arial Narrow"/>
                <w:sz w:val="20"/>
                <w:szCs w:val="20"/>
              </w:rPr>
            </w:pPr>
            <w:r w:rsidRPr="008B5656">
              <w:rPr>
                <w:rFonts w:ascii="Arial Narrow" w:hAnsi="Arial Narrow"/>
                <w:sz w:val="20"/>
                <w:szCs w:val="20"/>
              </w:rPr>
              <w:t>GENERAL – General Schedule (Code GE)</w:t>
            </w:r>
          </w:p>
        </w:tc>
      </w:tr>
      <w:tr w:rsidR="009D6D6B" w:rsidRPr="008B5656" w:rsidTr="00482178">
        <w:trPr>
          <w:cantSplit/>
          <w:trHeight w:val="360"/>
        </w:trPr>
        <w:tc>
          <w:tcPr>
            <w:tcW w:w="2155" w:type="dxa"/>
            <w:tcBorders>
              <w:top w:val="single" w:sz="4" w:space="0" w:color="auto"/>
              <w:left w:val="single" w:sz="4" w:space="0" w:color="auto"/>
              <w:bottom w:val="single" w:sz="4" w:space="0" w:color="auto"/>
              <w:right w:val="single" w:sz="4" w:space="0" w:color="auto"/>
            </w:tcBorders>
          </w:tcPr>
          <w:p w:rsidR="009D6D6B" w:rsidRPr="008B5656" w:rsidRDefault="009D6D6B" w:rsidP="00482178">
            <w:pPr>
              <w:rPr>
                <w:rFonts w:ascii="Arial Narrow" w:hAnsi="Arial Narrow"/>
                <w:b/>
                <w:sz w:val="20"/>
                <w:szCs w:val="20"/>
              </w:rPr>
            </w:pPr>
            <w:r w:rsidRPr="008B5656">
              <w:rPr>
                <w:rFonts w:ascii="Arial Narrow" w:hAnsi="Arial Narrow"/>
                <w:b/>
                <w:sz w:val="20"/>
                <w:szCs w:val="20"/>
              </w:rPr>
              <w:t>Prescriber type:</w:t>
            </w:r>
          </w:p>
        </w:tc>
        <w:tc>
          <w:tcPr>
            <w:tcW w:w="6917" w:type="dxa"/>
            <w:gridSpan w:val="2"/>
            <w:tcBorders>
              <w:top w:val="single" w:sz="4" w:space="0" w:color="auto"/>
              <w:left w:val="single" w:sz="4" w:space="0" w:color="auto"/>
              <w:bottom w:val="single" w:sz="4" w:space="0" w:color="auto"/>
              <w:right w:val="single" w:sz="4" w:space="0" w:color="auto"/>
            </w:tcBorders>
          </w:tcPr>
          <w:p w:rsidR="009D6D6B" w:rsidRPr="008B5656" w:rsidRDefault="00A975A7" w:rsidP="00482178">
            <w:pPr>
              <w:rPr>
                <w:rFonts w:ascii="Arial Narrow" w:hAnsi="Arial Narrow"/>
                <w:sz w:val="20"/>
                <w:szCs w:val="20"/>
              </w:rPr>
            </w:pPr>
            <w:r w:rsidRPr="008B5656">
              <w:rPr>
                <w:rFonts w:ascii="Arial Narrow" w:hAnsi="Arial Narrow"/>
                <w:sz w:val="20"/>
                <w:szCs w:val="20"/>
              </w:rPr>
              <w:fldChar w:fldCharType="begin">
                <w:ffData>
                  <w:name w:val="Check1"/>
                  <w:enabled/>
                  <w:calcOnExit w:val="0"/>
                  <w:checkBox>
                    <w:sizeAuto/>
                    <w:default w:val="0"/>
                  </w:checkBox>
                </w:ffData>
              </w:fldChar>
            </w:r>
            <w:r w:rsidR="009D6D6B" w:rsidRPr="008B5656">
              <w:rPr>
                <w:rFonts w:ascii="Arial Narrow" w:hAnsi="Arial Narrow"/>
                <w:sz w:val="20"/>
                <w:szCs w:val="20"/>
              </w:rPr>
              <w:instrText xml:space="preserve"> FORMCHECKBOX </w:instrText>
            </w:r>
            <w:r w:rsidR="007C2EC1">
              <w:rPr>
                <w:rFonts w:ascii="Arial Narrow" w:hAnsi="Arial Narrow"/>
                <w:sz w:val="20"/>
                <w:szCs w:val="20"/>
              </w:rPr>
            </w:r>
            <w:r w:rsidR="007C2EC1">
              <w:rPr>
                <w:rFonts w:ascii="Arial Narrow" w:hAnsi="Arial Narrow"/>
                <w:sz w:val="20"/>
                <w:szCs w:val="20"/>
              </w:rPr>
              <w:fldChar w:fldCharType="separate"/>
            </w:r>
            <w:r w:rsidRPr="008B5656">
              <w:rPr>
                <w:rFonts w:ascii="Arial Narrow" w:hAnsi="Arial Narrow"/>
                <w:sz w:val="20"/>
                <w:szCs w:val="20"/>
              </w:rPr>
              <w:fldChar w:fldCharType="end"/>
            </w:r>
            <w:r w:rsidR="009D6D6B" w:rsidRPr="008B5656">
              <w:rPr>
                <w:rFonts w:ascii="Arial Narrow" w:hAnsi="Arial Narrow"/>
                <w:sz w:val="20"/>
                <w:szCs w:val="20"/>
              </w:rPr>
              <w:t xml:space="preserve">Dental  </w:t>
            </w:r>
            <w:r w:rsidRPr="008B5656">
              <w:rPr>
                <w:rFonts w:ascii="Arial Narrow" w:hAnsi="Arial Narrow"/>
                <w:sz w:val="20"/>
                <w:szCs w:val="20"/>
              </w:rPr>
              <w:fldChar w:fldCharType="begin">
                <w:ffData>
                  <w:name w:val=""/>
                  <w:enabled/>
                  <w:calcOnExit w:val="0"/>
                  <w:checkBox>
                    <w:sizeAuto/>
                    <w:default w:val="1"/>
                  </w:checkBox>
                </w:ffData>
              </w:fldChar>
            </w:r>
            <w:r w:rsidR="009D6D6B" w:rsidRPr="008B5656">
              <w:rPr>
                <w:rFonts w:ascii="Arial Narrow" w:hAnsi="Arial Narrow"/>
                <w:sz w:val="20"/>
                <w:szCs w:val="20"/>
              </w:rPr>
              <w:instrText xml:space="preserve"> FORMCHECKBOX </w:instrText>
            </w:r>
            <w:r w:rsidR="007C2EC1">
              <w:rPr>
                <w:rFonts w:ascii="Arial Narrow" w:hAnsi="Arial Narrow"/>
                <w:sz w:val="20"/>
                <w:szCs w:val="20"/>
              </w:rPr>
            </w:r>
            <w:r w:rsidR="007C2EC1">
              <w:rPr>
                <w:rFonts w:ascii="Arial Narrow" w:hAnsi="Arial Narrow"/>
                <w:sz w:val="20"/>
                <w:szCs w:val="20"/>
              </w:rPr>
              <w:fldChar w:fldCharType="separate"/>
            </w:r>
            <w:r w:rsidRPr="008B5656">
              <w:rPr>
                <w:rFonts w:ascii="Arial Narrow" w:hAnsi="Arial Narrow"/>
                <w:sz w:val="20"/>
                <w:szCs w:val="20"/>
              </w:rPr>
              <w:fldChar w:fldCharType="end"/>
            </w:r>
            <w:r w:rsidR="009D6D6B" w:rsidRPr="008B5656">
              <w:rPr>
                <w:rFonts w:ascii="Arial Narrow" w:hAnsi="Arial Narrow"/>
                <w:sz w:val="20"/>
                <w:szCs w:val="20"/>
              </w:rPr>
              <w:t xml:space="preserve">Medical Practitioners  </w:t>
            </w:r>
            <w:r w:rsidRPr="008B5656">
              <w:rPr>
                <w:rFonts w:ascii="Arial Narrow" w:hAnsi="Arial Narrow"/>
                <w:sz w:val="20"/>
                <w:szCs w:val="20"/>
              </w:rPr>
              <w:fldChar w:fldCharType="begin">
                <w:ffData>
                  <w:name w:val=""/>
                  <w:enabled/>
                  <w:calcOnExit w:val="0"/>
                  <w:checkBox>
                    <w:sizeAuto/>
                    <w:default w:val="0"/>
                  </w:checkBox>
                </w:ffData>
              </w:fldChar>
            </w:r>
            <w:r w:rsidR="009D6D6B" w:rsidRPr="008B5656">
              <w:rPr>
                <w:rFonts w:ascii="Arial Narrow" w:hAnsi="Arial Narrow"/>
                <w:sz w:val="20"/>
                <w:szCs w:val="20"/>
              </w:rPr>
              <w:instrText xml:space="preserve"> FORMCHECKBOX </w:instrText>
            </w:r>
            <w:r w:rsidR="007C2EC1">
              <w:rPr>
                <w:rFonts w:ascii="Arial Narrow" w:hAnsi="Arial Narrow"/>
                <w:sz w:val="20"/>
                <w:szCs w:val="20"/>
              </w:rPr>
            </w:r>
            <w:r w:rsidR="007C2EC1">
              <w:rPr>
                <w:rFonts w:ascii="Arial Narrow" w:hAnsi="Arial Narrow"/>
                <w:sz w:val="20"/>
                <w:szCs w:val="20"/>
              </w:rPr>
              <w:fldChar w:fldCharType="separate"/>
            </w:r>
            <w:r w:rsidRPr="008B5656">
              <w:rPr>
                <w:rFonts w:ascii="Arial Narrow" w:hAnsi="Arial Narrow"/>
                <w:sz w:val="20"/>
                <w:szCs w:val="20"/>
              </w:rPr>
              <w:fldChar w:fldCharType="end"/>
            </w:r>
            <w:r w:rsidR="009D6D6B" w:rsidRPr="008B5656">
              <w:rPr>
                <w:rFonts w:ascii="Arial Narrow" w:hAnsi="Arial Narrow"/>
                <w:sz w:val="20"/>
                <w:szCs w:val="20"/>
              </w:rPr>
              <w:t xml:space="preserve">Nurse practitioners  </w:t>
            </w:r>
            <w:r w:rsidRPr="008B5656">
              <w:rPr>
                <w:rFonts w:ascii="Arial Narrow" w:hAnsi="Arial Narrow"/>
                <w:sz w:val="20"/>
                <w:szCs w:val="20"/>
              </w:rPr>
              <w:fldChar w:fldCharType="begin">
                <w:ffData>
                  <w:name w:val=""/>
                  <w:enabled/>
                  <w:calcOnExit w:val="0"/>
                  <w:checkBox>
                    <w:sizeAuto/>
                    <w:default w:val="0"/>
                  </w:checkBox>
                </w:ffData>
              </w:fldChar>
            </w:r>
            <w:r w:rsidR="009D6D6B" w:rsidRPr="008B5656">
              <w:rPr>
                <w:rFonts w:ascii="Arial Narrow" w:hAnsi="Arial Narrow"/>
                <w:sz w:val="20"/>
                <w:szCs w:val="20"/>
              </w:rPr>
              <w:instrText xml:space="preserve"> FORMCHECKBOX </w:instrText>
            </w:r>
            <w:r w:rsidR="007C2EC1">
              <w:rPr>
                <w:rFonts w:ascii="Arial Narrow" w:hAnsi="Arial Narrow"/>
                <w:sz w:val="20"/>
                <w:szCs w:val="20"/>
              </w:rPr>
            </w:r>
            <w:r w:rsidR="007C2EC1">
              <w:rPr>
                <w:rFonts w:ascii="Arial Narrow" w:hAnsi="Arial Narrow"/>
                <w:sz w:val="20"/>
                <w:szCs w:val="20"/>
              </w:rPr>
              <w:fldChar w:fldCharType="separate"/>
            </w:r>
            <w:r w:rsidRPr="008B5656">
              <w:rPr>
                <w:rFonts w:ascii="Arial Narrow" w:hAnsi="Arial Narrow"/>
                <w:sz w:val="20"/>
                <w:szCs w:val="20"/>
              </w:rPr>
              <w:fldChar w:fldCharType="end"/>
            </w:r>
            <w:r w:rsidR="009D6D6B" w:rsidRPr="008B5656">
              <w:rPr>
                <w:rFonts w:ascii="Arial Narrow" w:hAnsi="Arial Narrow"/>
                <w:sz w:val="20"/>
                <w:szCs w:val="20"/>
              </w:rPr>
              <w:t>Optometrists</w:t>
            </w:r>
          </w:p>
          <w:p w:rsidR="009D6D6B" w:rsidRPr="008B5656" w:rsidRDefault="00A975A7" w:rsidP="00482178">
            <w:pPr>
              <w:rPr>
                <w:rFonts w:ascii="Arial Narrow" w:hAnsi="Arial Narrow"/>
                <w:i/>
                <w:sz w:val="20"/>
                <w:szCs w:val="20"/>
              </w:rPr>
            </w:pPr>
            <w:r w:rsidRPr="008B5656">
              <w:rPr>
                <w:rFonts w:ascii="Arial Narrow" w:hAnsi="Arial Narrow"/>
                <w:sz w:val="20"/>
                <w:szCs w:val="20"/>
              </w:rPr>
              <w:fldChar w:fldCharType="begin">
                <w:ffData>
                  <w:name w:val="Check5"/>
                  <w:enabled/>
                  <w:calcOnExit w:val="0"/>
                  <w:checkBox>
                    <w:sizeAuto/>
                    <w:default w:val="0"/>
                  </w:checkBox>
                </w:ffData>
              </w:fldChar>
            </w:r>
            <w:r w:rsidR="009D6D6B" w:rsidRPr="008B5656">
              <w:rPr>
                <w:rFonts w:ascii="Arial Narrow" w:hAnsi="Arial Narrow"/>
                <w:sz w:val="20"/>
                <w:szCs w:val="20"/>
              </w:rPr>
              <w:instrText xml:space="preserve"> FORMCHECKBOX </w:instrText>
            </w:r>
            <w:r w:rsidR="007C2EC1">
              <w:rPr>
                <w:rFonts w:ascii="Arial Narrow" w:hAnsi="Arial Narrow"/>
                <w:sz w:val="20"/>
                <w:szCs w:val="20"/>
              </w:rPr>
            </w:r>
            <w:r w:rsidR="007C2EC1">
              <w:rPr>
                <w:rFonts w:ascii="Arial Narrow" w:hAnsi="Arial Narrow"/>
                <w:sz w:val="20"/>
                <w:szCs w:val="20"/>
              </w:rPr>
              <w:fldChar w:fldCharType="separate"/>
            </w:r>
            <w:r w:rsidRPr="008B5656">
              <w:rPr>
                <w:rFonts w:ascii="Arial Narrow" w:hAnsi="Arial Narrow"/>
                <w:sz w:val="20"/>
                <w:szCs w:val="20"/>
              </w:rPr>
              <w:fldChar w:fldCharType="end"/>
            </w:r>
            <w:r w:rsidR="009D6D6B" w:rsidRPr="008B5656">
              <w:rPr>
                <w:rFonts w:ascii="Arial Narrow" w:hAnsi="Arial Narrow"/>
                <w:sz w:val="20"/>
                <w:szCs w:val="20"/>
              </w:rPr>
              <w:t>Midwives</w:t>
            </w:r>
          </w:p>
        </w:tc>
      </w:tr>
      <w:tr w:rsidR="009D6D6B" w:rsidRPr="008B5656" w:rsidTr="00482178">
        <w:trPr>
          <w:cantSplit/>
          <w:trHeight w:val="221"/>
        </w:trPr>
        <w:tc>
          <w:tcPr>
            <w:tcW w:w="2155" w:type="dxa"/>
            <w:tcBorders>
              <w:top w:val="single" w:sz="4" w:space="0" w:color="auto"/>
              <w:left w:val="single" w:sz="4" w:space="0" w:color="auto"/>
              <w:bottom w:val="single" w:sz="4" w:space="0" w:color="auto"/>
              <w:right w:val="single" w:sz="4" w:space="0" w:color="auto"/>
            </w:tcBorders>
          </w:tcPr>
          <w:p w:rsidR="009D6D6B" w:rsidRPr="008B5656" w:rsidRDefault="009D6D6B" w:rsidP="00482178">
            <w:pPr>
              <w:rPr>
                <w:rFonts w:ascii="Arial Narrow" w:hAnsi="Arial Narrow"/>
                <w:b/>
                <w:sz w:val="20"/>
                <w:szCs w:val="20"/>
              </w:rPr>
            </w:pPr>
            <w:r w:rsidRPr="008B5656">
              <w:rPr>
                <w:rFonts w:ascii="Arial Narrow" w:hAnsi="Arial Narrow"/>
                <w:b/>
                <w:sz w:val="20"/>
                <w:szCs w:val="20"/>
              </w:rPr>
              <w:t>Condition:</w:t>
            </w:r>
          </w:p>
        </w:tc>
        <w:tc>
          <w:tcPr>
            <w:tcW w:w="6917" w:type="dxa"/>
            <w:gridSpan w:val="2"/>
            <w:tcBorders>
              <w:top w:val="single" w:sz="4" w:space="0" w:color="auto"/>
              <w:left w:val="single" w:sz="4" w:space="0" w:color="auto"/>
              <w:bottom w:val="single" w:sz="4" w:space="0" w:color="auto"/>
              <w:right w:val="single" w:sz="4" w:space="0" w:color="auto"/>
            </w:tcBorders>
          </w:tcPr>
          <w:p w:rsidR="009D6D6B" w:rsidRPr="008B5656" w:rsidRDefault="009D6D6B" w:rsidP="00482178">
            <w:pPr>
              <w:rPr>
                <w:rFonts w:ascii="Arial Narrow" w:hAnsi="Arial Narrow"/>
                <w:sz w:val="20"/>
                <w:szCs w:val="20"/>
              </w:rPr>
            </w:pPr>
            <w:r w:rsidRPr="008B5656">
              <w:rPr>
                <w:rFonts w:ascii="Arial Narrow" w:hAnsi="Arial Narrow"/>
                <w:sz w:val="20"/>
                <w:szCs w:val="20"/>
              </w:rPr>
              <w:t>Osteoporosis</w:t>
            </w:r>
          </w:p>
        </w:tc>
      </w:tr>
      <w:tr w:rsidR="009D6D6B" w:rsidRPr="008B5656" w:rsidTr="00482178">
        <w:trPr>
          <w:cantSplit/>
          <w:trHeight w:val="360"/>
        </w:trPr>
        <w:tc>
          <w:tcPr>
            <w:tcW w:w="2155" w:type="dxa"/>
            <w:tcBorders>
              <w:top w:val="single" w:sz="4" w:space="0" w:color="auto"/>
              <w:left w:val="single" w:sz="4" w:space="0" w:color="auto"/>
              <w:bottom w:val="single" w:sz="4" w:space="0" w:color="auto"/>
              <w:right w:val="single" w:sz="4" w:space="0" w:color="auto"/>
            </w:tcBorders>
          </w:tcPr>
          <w:p w:rsidR="009D6D6B" w:rsidRPr="008B5656" w:rsidRDefault="009D6D6B" w:rsidP="00482178">
            <w:pPr>
              <w:jc w:val="left"/>
              <w:rPr>
                <w:rFonts w:ascii="Arial Narrow" w:hAnsi="Arial Narrow"/>
                <w:b/>
                <w:sz w:val="20"/>
                <w:szCs w:val="20"/>
              </w:rPr>
            </w:pPr>
            <w:r w:rsidRPr="008B5656">
              <w:rPr>
                <w:rFonts w:ascii="Arial Narrow" w:hAnsi="Arial Narrow"/>
                <w:b/>
                <w:sz w:val="20"/>
                <w:szCs w:val="20"/>
              </w:rPr>
              <w:t>Restriction Level / Method:</w:t>
            </w:r>
          </w:p>
          <w:p w:rsidR="009D6D6B" w:rsidRPr="008B5656" w:rsidRDefault="009D6D6B" w:rsidP="00482178">
            <w:pPr>
              <w:rPr>
                <w:rFonts w:ascii="Arial Narrow" w:hAnsi="Arial Narrow"/>
                <w:sz w:val="20"/>
                <w:szCs w:val="20"/>
              </w:rPr>
            </w:pPr>
          </w:p>
        </w:tc>
        <w:tc>
          <w:tcPr>
            <w:tcW w:w="6917" w:type="dxa"/>
            <w:gridSpan w:val="2"/>
            <w:tcBorders>
              <w:top w:val="single" w:sz="4" w:space="0" w:color="auto"/>
              <w:left w:val="single" w:sz="4" w:space="0" w:color="auto"/>
              <w:bottom w:val="single" w:sz="4" w:space="0" w:color="auto"/>
              <w:right w:val="single" w:sz="4" w:space="0" w:color="auto"/>
            </w:tcBorders>
          </w:tcPr>
          <w:p w:rsidR="009D6D6B" w:rsidRPr="008B5656" w:rsidRDefault="00A975A7" w:rsidP="00482178">
            <w:pPr>
              <w:rPr>
                <w:rFonts w:ascii="Arial Narrow" w:hAnsi="Arial Narrow"/>
                <w:sz w:val="20"/>
                <w:szCs w:val="20"/>
              </w:rPr>
            </w:pPr>
            <w:r w:rsidRPr="008B5656">
              <w:rPr>
                <w:rFonts w:ascii="Arial Narrow" w:hAnsi="Arial Narrow"/>
                <w:sz w:val="20"/>
                <w:szCs w:val="20"/>
              </w:rPr>
              <w:fldChar w:fldCharType="begin">
                <w:ffData>
                  <w:name w:val="Check1"/>
                  <w:enabled/>
                  <w:calcOnExit w:val="0"/>
                  <w:checkBox>
                    <w:sizeAuto/>
                    <w:default w:val="0"/>
                  </w:checkBox>
                </w:ffData>
              </w:fldChar>
            </w:r>
            <w:r w:rsidR="009D6D6B" w:rsidRPr="008B5656">
              <w:rPr>
                <w:rFonts w:ascii="Arial Narrow" w:hAnsi="Arial Narrow"/>
                <w:sz w:val="20"/>
                <w:szCs w:val="20"/>
              </w:rPr>
              <w:instrText xml:space="preserve"> FORMCHECKBOX </w:instrText>
            </w:r>
            <w:r w:rsidR="007C2EC1">
              <w:rPr>
                <w:rFonts w:ascii="Arial Narrow" w:hAnsi="Arial Narrow"/>
                <w:sz w:val="20"/>
                <w:szCs w:val="20"/>
              </w:rPr>
            </w:r>
            <w:r w:rsidR="007C2EC1">
              <w:rPr>
                <w:rFonts w:ascii="Arial Narrow" w:hAnsi="Arial Narrow"/>
                <w:sz w:val="20"/>
                <w:szCs w:val="20"/>
              </w:rPr>
              <w:fldChar w:fldCharType="separate"/>
            </w:r>
            <w:r w:rsidRPr="008B5656">
              <w:rPr>
                <w:rFonts w:ascii="Arial Narrow" w:hAnsi="Arial Narrow"/>
                <w:sz w:val="20"/>
                <w:szCs w:val="20"/>
              </w:rPr>
              <w:fldChar w:fldCharType="end"/>
            </w:r>
            <w:r w:rsidR="009D6D6B" w:rsidRPr="008B5656">
              <w:rPr>
                <w:rFonts w:ascii="Arial Narrow" w:hAnsi="Arial Narrow"/>
                <w:sz w:val="20"/>
                <w:szCs w:val="20"/>
              </w:rPr>
              <w:t>Restricted benefit</w:t>
            </w:r>
          </w:p>
          <w:p w:rsidR="009D6D6B" w:rsidRPr="008B5656" w:rsidRDefault="00A975A7" w:rsidP="00482178">
            <w:pPr>
              <w:rPr>
                <w:rFonts w:ascii="Arial Narrow" w:hAnsi="Arial Narrow"/>
                <w:sz w:val="20"/>
                <w:szCs w:val="20"/>
              </w:rPr>
            </w:pPr>
            <w:r w:rsidRPr="008B5656">
              <w:rPr>
                <w:rFonts w:ascii="Arial Narrow" w:hAnsi="Arial Narrow"/>
                <w:sz w:val="20"/>
                <w:szCs w:val="20"/>
              </w:rPr>
              <w:fldChar w:fldCharType="begin">
                <w:ffData>
                  <w:name w:val=""/>
                  <w:enabled/>
                  <w:calcOnExit w:val="0"/>
                  <w:checkBox>
                    <w:sizeAuto/>
                    <w:default w:val="0"/>
                  </w:checkBox>
                </w:ffData>
              </w:fldChar>
            </w:r>
            <w:r w:rsidR="009D6D6B" w:rsidRPr="008B5656">
              <w:rPr>
                <w:rFonts w:ascii="Arial Narrow" w:hAnsi="Arial Narrow"/>
                <w:sz w:val="20"/>
                <w:szCs w:val="20"/>
              </w:rPr>
              <w:instrText xml:space="preserve"> FORMCHECKBOX </w:instrText>
            </w:r>
            <w:r w:rsidR="007C2EC1">
              <w:rPr>
                <w:rFonts w:ascii="Arial Narrow" w:hAnsi="Arial Narrow"/>
                <w:sz w:val="20"/>
                <w:szCs w:val="20"/>
              </w:rPr>
            </w:r>
            <w:r w:rsidR="007C2EC1">
              <w:rPr>
                <w:rFonts w:ascii="Arial Narrow" w:hAnsi="Arial Narrow"/>
                <w:sz w:val="20"/>
                <w:szCs w:val="20"/>
              </w:rPr>
              <w:fldChar w:fldCharType="separate"/>
            </w:r>
            <w:r w:rsidRPr="008B5656">
              <w:rPr>
                <w:rFonts w:ascii="Arial Narrow" w:hAnsi="Arial Narrow"/>
                <w:sz w:val="20"/>
                <w:szCs w:val="20"/>
              </w:rPr>
              <w:fldChar w:fldCharType="end"/>
            </w:r>
            <w:r w:rsidR="009D6D6B" w:rsidRPr="008B5656">
              <w:rPr>
                <w:rFonts w:ascii="Arial Narrow" w:hAnsi="Arial Narrow"/>
                <w:sz w:val="20"/>
                <w:szCs w:val="20"/>
              </w:rPr>
              <w:t>Authority Required - In Writing</w:t>
            </w:r>
          </w:p>
          <w:p w:rsidR="009D6D6B" w:rsidRPr="008B5656" w:rsidRDefault="00A975A7" w:rsidP="00482178">
            <w:pPr>
              <w:rPr>
                <w:rFonts w:ascii="Arial Narrow" w:hAnsi="Arial Narrow"/>
                <w:sz w:val="20"/>
                <w:szCs w:val="20"/>
              </w:rPr>
            </w:pPr>
            <w:r w:rsidRPr="008B5656">
              <w:rPr>
                <w:rFonts w:ascii="Arial Narrow" w:hAnsi="Arial Narrow"/>
                <w:sz w:val="20"/>
                <w:szCs w:val="20"/>
              </w:rPr>
              <w:fldChar w:fldCharType="begin">
                <w:ffData>
                  <w:name w:val="Check3"/>
                  <w:enabled/>
                  <w:calcOnExit w:val="0"/>
                  <w:checkBox>
                    <w:sizeAuto/>
                    <w:default w:val="1"/>
                  </w:checkBox>
                </w:ffData>
              </w:fldChar>
            </w:r>
            <w:r w:rsidR="009D6D6B" w:rsidRPr="008B5656">
              <w:rPr>
                <w:rFonts w:ascii="Arial Narrow" w:hAnsi="Arial Narrow"/>
                <w:sz w:val="20"/>
                <w:szCs w:val="20"/>
              </w:rPr>
              <w:instrText xml:space="preserve"> FORMCHECKBOX </w:instrText>
            </w:r>
            <w:r w:rsidR="007C2EC1">
              <w:rPr>
                <w:rFonts w:ascii="Arial Narrow" w:hAnsi="Arial Narrow"/>
                <w:sz w:val="20"/>
                <w:szCs w:val="20"/>
              </w:rPr>
            </w:r>
            <w:r w:rsidR="007C2EC1">
              <w:rPr>
                <w:rFonts w:ascii="Arial Narrow" w:hAnsi="Arial Narrow"/>
                <w:sz w:val="20"/>
                <w:szCs w:val="20"/>
              </w:rPr>
              <w:fldChar w:fldCharType="separate"/>
            </w:r>
            <w:r w:rsidRPr="008B5656">
              <w:rPr>
                <w:rFonts w:ascii="Arial Narrow" w:hAnsi="Arial Narrow"/>
                <w:sz w:val="20"/>
                <w:szCs w:val="20"/>
              </w:rPr>
              <w:fldChar w:fldCharType="end"/>
            </w:r>
            <w:r w:rsidR="009D6D6B" w:rsidRPr="008B5656">
              <w:rPr>
                <w:rFonts w:ascii="Arial Narrow" w:hAnsi="Arial Narrow"/>
                <w:sz w:val="20"/>
                <w:szCs w:val="20"/>
              </w:rPr>
              <w:t>Authority Required - Telephone</w:t>
            </w:r>
          </w:p>
          <w:p w:rsidR="009D6D6B" w:rsidRPr="008B5656" w:rsidRDefault="00A975A7" w:rsidP="00482178">
            <w:pPr>
              <w:rPr>
                <w:rFonts w:ascii="Arial Narrow" w:hAnsi="Arial Narrow"/>
                <w:sz w:val="20"/>
                <w:szCs w:val="20"/>
              </w:rPr>
            </w:pPr>
            <w:r w:rsidRPr="008B5656">
              <w:rPr>
                <w:rFonts w:ascii="Arial Narrow" w:hAnsi="Arial Narrow"/>
                <w:sz w:val="20"/>
                <w:szCs w:val="20"/>
              </w:rPr>
              <w:fldChar w:fldCharType="begin">
                <w:ffData>
                  <w:name w:val=""/>
                  <w:enabled/>
                  <w:calcOnExit w:val="0"/>
                  <w:checkBox>
                    <w:sizeAuto/>
                    <w:default w:val="1"/>
                  </w:checkBox>
                </w:ffData>
              </w:fldChar>
            </w:r>
            <w:r w:rsidR="009D6D6B" w:rsidRPr="008B5656">
              <w:rPr>
                <w:rFonts w:ascii="Arial Narrow" w:hAnsi="Arial Narrow"/>
                <w:sz w:val="20"/>
                <w:szCs w:val="20"/>
              </w:rPr>
              <w:instrText xml:space="preserve"> FORMCHECKBOX </w:instrText>
            </w:r>
            <w:r w:rsidR="007C2EC1">
              <w:rPr>
                <w:rFonts w:ascii="Arial Narrow" w:hAnsi="Arial Narrow"/>
                <w:sz w:val="20"/>
                <w:szCs w:val="20"/>
              </w:rPr>
            </w:r>
            <w:r w:rsidR="007C2EC1">
              <w:rPr>
                <w:rFonts w:ascii="Arial Narrow" w:hAnsi="Arial Narrow"/>
                <w:sz w:val="20"/>
                <w:szCs w:val="20"/>
              </w:rPr>
              <w:fldChar w:fldCharType="separate"/>
            </w:r>
            <w:r w:rsidRPr="008B5656">
              <w:rPr>
                <w:rFonts w:ascii="Arial Narrow" w:hAnsi="Arial Narrow"/>
                <w:sz w:val="20"/>
                <w:szCs w:val="20"/>
              </w:rPr>
              <w:fldChar w:fldCharType="end"/>
            </w:r>
            <w:r w:rsidR="009D6D6B" w:rsidRPr="008B5656">
              <w:rPr>
                <w:rFonts w:ascii="Arial Narrow" w:hAnsi="Arial Narrow"/>
                <w:sz w:val="20"/>
                <w:szCs w:val="20"/>
              </w:rPr>
              <w:t>Authority Required – Emergency</w:t>
            </w:r>
          </w:p>
          <w:p w:rsidR="009D6D6B" w:rsidRPr="008B5656" w:rsidRDefault="00A975A7" w:rsidP="00482178">
            <w:pPr>
              <w:rPr>
                <w:rFonts w:ascii="Arial Narrow" w:hAnsi="Arial Narrow"/>
                <w:sz w:val="20"/>
                <w:szCs w:val="20"/>
              </w:rPr>
            </w:pPr>
            <w:r w:rsidRPr="008B5656">
              <w:rPr>
                <w:rFonts w:ascii="Arial Narrow" w:hAnsi="Arial Narrow"/>
                <w:sz w:val="20"/>
                <w:szCs w:val="20"/>
              </w:rPr>
              <w:fldChar w:fldCharType="begin">
                <w:ffData>
                  <w:name w:val="Check5"/>
                  <w:enabled/>
                  <w:calcOnExit w:val="0"/>
                  <w:checkBox>
                    <w:sizeAuto/>
                    <w:default w:val="1"/>
                  </w:checkBox>
                </w:ffData>
              </w:fldChar>
            </w:r>
            <w:r w:rsidR="009D6D6B" w:rsidRPr="008B5656">
              <w:rPr>
                <w:rFonts w:ascii="Arial Narrow" w:hAnsi="Arial Narrow"/>
                <w:sz w:val="20"/>
                <w:szCs w:val="20"/>
              </w:rPr>
              <w:instrText xml:space="preserve"> FORMCHECKBOX </w:instrText>
            </w:r>
            <w:r w:rsidR="007C2EC1">
              <w:rPr>
                <w:rFonts w:ascii="Arial Narrow" w:hAnsi="Arial Narrow"/>
                <w:sz w:val="20"/>
                <w:szCs w:val="20"/>
              </w:rPr>
            </w:r>
            <w:r w:rsidR="007C2EC1">
              <w:rPr>
                <w:rFonts w:ascii="Arial Narrow" w:hAnsi="Arial Narrow"/>
                <w:sz w:val="20"/>
                <w:szCs w:val="20"/>
              </w:rPr>
              <w:fldChar w:fldCharType="separate"/>
            </w:r>
            <w:r w:rsidRPr="008B5656">
              <w:rPr>
                <w:rFonts w:ascii="Arial Narrow" w:hAnsi="Arial Narrow"/>
                <w:sz w:val="20"/>
                <w:szCs w:val="20"/>
              </w:rPr>
              <w:fldChar w:fldCharType="end"/>
            </w:r>
            <w:r w:rsidR="009D6D6B" w:rsidRPr="008B5656">
              <w:rPr>
                <w:rFonts w:ascii="Arial Narrow" w:hAnsi="Arial Narrow"/>
                <w:sz w:val="20"/>
                <w:szCs w:val="20"/>
              </w:rPr>
              <w:t>Authority Required - Electronic</w:t>
            </w:r>
          </w:p>
          <w:p w:rsidR="009D6D6B" w:rsidRPr="008B5656" w:rsidRDefault="00A975A7" w:rsidP="00482178">
            <w:pPr>
              <w:rPr>
                <w:rFonts w:ascii="Arial Narrow" w:hAnsi="Arial Narrow"/>
                <w:sz w:val="20"/>
                <w:szCs w:val="20"/>
              </w:rPr>
            </w:pPr>
            <w:r w:rsidRPr="008B5656">
              <w:rPr>
                <w:rFonts w:ascii="Arial Narrow" w:hAnsi="Arial Narrow"/>
                <w:sz w:val="20"/>
                <w:szCs w:val="20"/>
              </w:rPr>
              <w:fldChar w:fldCharType="begin">
                <w:ffData>
                  <w:name w:val=""/>
                  <w:enabled/>
                  <w:calcOnExit w:val="0"/>
                  <w:checkBox>
                    <w:sizeAuto/>
                    <w:default w:val="0"/>
                  </w:checkBox>
                </w:ffData>
              </w:fldChar>
            </w:r>
            <w:r w:rsidR="009D6D6B" w:rsidRPr="008B5656">
              <w:rPr>
                <w:rFonts w:ascii="Arial Narrow" w:hAnsi="Arial Narrow"/>
                <w:sz w:val="20"/>
                <w:szCs w:val="20"/>
              </w:rPr>
              <w:instrText xml:space="preserve"> FORMCHECKBOX </w:instrText>
            </w:r>
            <w:r w:rsidR="007C2EC1">
              <w:rPr>
                <w:rFonts w:ascii="Arial Narrow" w:hAnsi="Arial Narrow"/>
                <w:sz w:val="20"/>
                <w:szCs w:val="20"/>
              </w:rPr>
            </w:r>
            <w:r w:rsidR="007C2EC1">
              <w:rPr>
                <w:rFonts w:ascii="Arial Narrow" w:hAnsi="Arial Narrow"/>
                <w:sz w:val="20"/>
                <w:szCs w:val="20"/>
              </w:rPr>
              <w:fldChar w:fldCharType="separate"/>
            </w:r>
            <w:r w:rsidRPr="008B5656">
              <w:rPr>
                <w:rFonts w:ascii="Arial Narrow" w:hAnsi="Arial Narrow"/>
                <w:sz w:val="20"/>
                <w:szCs w:val="20"/>
              </w:rPr>
              <w:fldChar w:fldCharType="end"/>
            </w:r>
            <w:r w:rsidR="009D6D6B" w:rsidRPr="008B5656">
              <w:rPr>
                <w:rFonts w:ascii="Arial Narrow" w:hAnsi="Arial Narrow"/>
                <w:sz w:val="20"/>
                <w:szCs w:val="20"/>
              </w:rPr>
              <w:t>Streamlined</w:t>
            </w:r>
          </w:p>
        </w:tc>
      </w:tr>
      <w:tr w:rsidR="009D6D6B" w:rsidRPr="008B5656" w:rsidTr="00482178">
        <w:trPr>
          <w:cantSplit/>
          <w:trHeight w:val="265"/>
        </w:trPr>
        <w:tc>
          <w:tcPr>
            <w:tcW w:w="2155" w:type="dxa"/>
            <w:tcBorders>
              <w:top w:val="single" w:sz="4" w:space="0" w:color="auto"/>
              <w:left w:val="single" w:sz="4" w:space="0" w:color="auto"/>
              <w:bottom w:val="single" w:sz="4" w:space="0" w:color="auto"/>
              <w:right w:val="single" w:sz="4" w:space="0" w:color="auto"/>
            </w:tcBorders>
          </w:tcPr>
          <w:p w:rsidR="009D6D6B" w:rsidRPr="008B5656" w:rsidRDefault="009D6D6B" w:rsidP="00482178">
            <w:pPr>
              <w:rPr>
                <w:rFonts w:ascii="Arial Narrow" w:hAnsi="Arial Narrow"/>
                <w:b/>
                <w:sz w:val="20"/>
                <w:szCs w:val="20"/>
              </w:rPr>
            </w:pPr>
            <w:r>
              <w:rPr>
                <w:rFonts w:ascii="Arial Narrow" w:hAnsi="Arial Narrow"/>
                <w:b/>
                <w:sz w:val="20"/>
                <w:szCs w:val="20"/>
              </w:rPr>
              <w:t>Treatment phase</w:t>
            </w:r>
          </w:p>
        </w:tc>
        <w:tc>
          <w:tcPr>
            <w:tcW w:w="6917" w:type="dxa"/>
            <w:gridSpan w:val="2"/>
            <w:tcBorders>
              <w:top w:val="single" w:sz="4" w:space="0" w:color="auto"/>
              <w:left w:val="single" w:sz="4" w:space="0" w:color="auto"/>
              <w:bottom w:val="single" w:sz="4" w:space="0" w:color="auto"/>
              <w:right w:val="single" w:sz="4" w:space="0" w:color="auto"/>
            </w:tcBorders>
          </w:tcPr>
          <w:p w:rsidR="009D6D6B" w:rsidRPr="008B5656" w:rsidRDefault="009D6D6B" w:rsidP="00482178">
            <w:pPr>
              <w:tabs>
                <w:tab w:val="num" w:pos="720"/>
              </w:tabs>
              <w:rPr>
                <w:rFonts w:ascii="Arial Narrow" w:hAnsi="Arial Narrow"/>
                <w:sz w:val="20"/>
                <w:szCs w:val="20"/>
              </w:rPr>
            </w:pPr>
            <w:r>
              <w:rPr>
                <w:rFonts w:ascii="Arial Narrow" w:hAnsi="Arial Narrow"/>
                <w:sz w:val="20"/>
                <w:szCs w:val="20"/>
              </w:rPr>
              <w:t>Initial treatment</w:t>
            </w:r>
          </w:p>
        </w:tc>
      </w:tr>
      <w:tr w:rsidR="009D6D6B" w:rsidRPr="008B5656" w:rsidTr="00482178">
        <w:trPr>
          <w:cantSplit/>
          <w:trHeight w:val="360"/>
        </w:trPr>
        <w:tc>
          <w:tcPr>
            <w:tcW w:w="2155" w:type="dxa"/>
            <w:tcBorders>
              <w:top w:val="single" w:sz="4" w:space="0" w:color="auto"/>
              <w:left w:val="single" w:sz="4" w:space="0" w:color="auto"/>
              <w:bottom w:val="single" w:sz="4" w:space="0" w:color="auto"/>
              <w:right w:val="single" w:sz="4" w:space="0" w:color="auto"/>
            </w:tcBorders>
          </w:tcPr>
          <w:p w:rsidR="009D6D6B" w:rsidRPr="008B5656" w:rsidRDefault="009D6D6B" w:rsidP="00482178">
            <w:pPr>
              <w:rPr>
                <w:rFonts w:ascii="Arial Narrow" w:hAnsi="Arial Narrow"/>
                <w:b/>
                <w:sz w:val="20"/>
                <w:szCs w:val="20"/>
              </w:rPr>
            </w:pPr>
            <w:r w:rsidRPr="008B5656">
              <w:rPr>
                <w:rFonts w:ascii="Arial Narrow" w:hAnsi="Arial Narrow"/>
                <w:b/>
                <w:sz w:val="20"/>
                <w:szCs w:val="20"/>
              </w:rPr>
              <w:lastRenderedPageBreak/>
              <w:t>Treatment criteria</w:t>
            </w:r>
          </w:p>
        </w:tc>
        <w:tc>
          <w:tcPr>
            <w:tcW w:w="6917" w:type="dxa"/>
            <w:gridSpan w:val="2"/>
            <w:tcBorders>
              <w:top w:val="single" w:sz="4" w:space="0" w:color="auto"/>
              <w:left w:val="single" w:sz="4" w:space="0" w:color="auto"/>
              <w:bottom w:val="single" w:sz="4" w:space="0" w:color="auto"/>
              <w:right w:val="single" w:sz="4" w:space="0" w:color="auto"/>
            </w:tcBorders>
          </w:tcPr>
          <w:p w:rsidR="009D6D6B" w:rsidRPr="008B5656" w:rsidRDefault="009D6D6B" w:rsidP="00482178">
            <w:pPr>
              <w:tabs>
                <w:tab w:val="num" w:pos="720"/>
              </w:tabs>
              <w:rPr>
                <w:rFonts w:ascii="Arial Narrow" w:hAnsi="Arial Narrow"/>
                <w:sz w:val="20"/>
                <w:szCs w:val="20"/>
              </w:rPr>
            </w:pPr>
            <w:r w:rsidRPr="008B5656">
              <w:rPr>
                <w:rFonts w:ascii="Arial Narrow" w:hAnsi="Arial Narrow"/>
                <w:sz w:val="20"/>
                <w:szCs w:val="20"/>
              </w:rPr>
              <w:t>Must be treated by or in consultation with a Specialist; OR</w:t>
            </w:r>
          </w:p>
          <w:p w:rsidR="009D6D6B" w:rsidRPr="008B5656" w:rsidRDefault="009D6D6B" w:rsidP="00482178">
            <w:pPr>
              <w:tabs>
                <w:tab w:val="num" w:pos="720"/>
              </w:tabs>
              <w:rPr>
                <w:rFonts w:ascii="Arial Narrow" w:hAnsi="Arial Narrow"/>
                <w:b/>
                <w:sz w:val="20"/>
                <w:szCs w:val="20"/>
              </w:rPr>
            </w:pPr>
            <w:r w:rsidRPr="008B5656">
              <w:rPr>
                <w:rFonts w:ascii="Arial Narrow" w:hAnsi="Arial Narrow"/>
                <w:sz w:val="20"/>
                <w:szCs w:val="20"/>
              </w:rPr>
              <w:t>Must be treated by or in consultation with a Consultant Physician</w:t>
            </w:r>
          </w:p>
        </w:tc>
      </w:tr>
      <w:tr w:rsidR="009D6D6B" w:rsidRPr="008B5656" w:rsidTr="00482178">
        <w:trPr>
          <w:cantSplit/>
          <w:trHeight w:val="360"/>
        </w:trPr>
        <w:tc>
          <w:tcPr>
            <w:tcW w:w="2155" w:type="dxa"/>
            <w:vMerge w:val="restart"/>
            <w:tcBorders>
              <w:top w:val="single" w:sz="4" w:space="0" w:color="auto"/>
              <w:left w:val="single" w:sz="4" w:space="0" w:color="auto"/>
              <w:right w:val="single" w:sz="4" w:space="0" w:color="auto"/>
            </w:tcBorders>
          </w:tcPr>
          <w:p w:rsidR="009D6D6B" w:rsidRPr="008B5656" w:rsidRDefault="009D6D6B" w:rsidP="00482178">
            <w:pPr>
              <w:rPr>
                <w:rFonts w:ascii="Arial Narrow" w:hAnsi="Arial Narrow"/>
                <w:b/>
                <w:sz w:val="20"/>
                <w:szCs w:val="20"/>
              </w:rPr>
            </w:pPr>
            <w:r w:rsidRPr="008B5656">
              <w:rPr>
                <w:rFonts w:ascii="Arial Narrow" w:hAnsi="Arial Narrow"/>
                <w:b/>
                <w:sz w:val="20"/>
                <w:szCs w:val="20"/>
              </w:rPr>
              <w:t>Clinical criteria</w:t>
            </w:r>
          </w:p>
        </w:tc>
        <w:tc>
          <w:tcPr>
            <w:tcW w:w="3742" w:type="dxa"/>
            <w:tcBorders>
              <w:top w:val="single" w:sz="4" w:space="0" w:color="auto"/>
              <w:left w:val="single" w:sz="4" w:space="0" w:color="auto"/>
              <w:bottom w:val="single" w:sz="4" w:space="0" w:color="auto"/>
              <w:right w:val="single" w:sz="4" w:space="0" w:color="auto"/>
            </w:tcBorders>
          </w:tcPr>
          <w:p w:rsidR="009D6D6B" w:rsidRPr="008B5656" w:rsidRDefault="009309D7" w:rsidP="00482178">
            <w:pPr>
              <w:tabs>
                <w:tab w:val="num" w:pos="720"/>
              </w:tabs>
              <w:jc w:val="center"/>
              <w:rPr>
                <w:rFonts w:ascii="Arial Narrow" w:hAnsi="Arial Narrow"/>
                <w:b/>
                <w:sz w:val="20"/>
                <w:szCs w:val="20"/>
              </w:rPr>
            </w:pPr>
            <w:r>
              <w:rPr>
                <w:rFonts w:ascii="Arial Narrow" w:hAnsi="Arial Narrow"/>
                <w:b/>
                <w:sz w:val="20"/>
                <w:szCs w:val="20"/>
              </w:rPr>
              <w:t>L</w:t>
            </w:r>
            <w:r w:rsidR="00206E70">
              <w:rPr>
                <w:rFonts w:ascii="Arial Narrow" w:hAnsi="Arial Narrow"/>
                <w:b/>
                <w:sz w:val="20"/>
                <w:szCs w:val="20"/>
              </w:rPr>
              <w:t xml:space="preserve">isting for later-line treatment </w:t>
            </w:r>
          </w:p>
          <w:p w:rsidR="009D6D6B" w:rsidRPr="008B5656" w:rsidRDefault="009D6D6B" w:rsidP="00482178">
            <w:pPr>
              <w:tabs>
                <w:tab w:val="num" w:pos="720"/>
              </w:tabs>
              <w:rPr>
                <w:rFonts w:ascii="Arial Narrow" w:hAnsi="Arial Narrow"/>
                <w:sz w:val="20"/>
                <w:szCs w:val="20"/>
              </w:rPr>
            </w:pPr>
            <w:r w:rsidRPr="008B5656">
              <w:rPr>
                <w:rFonts w:ascii="Arial Narrow" w:hAnsi="Arial Narrow"/>
                <w:sz w:val="20"/>
                <w:szCs w:val="20"/>
              </w:rPr>
              <w:t>Patient must be at very high risk of fracture</w:t>
            </w:r>
          </w:p>
          <w:p w:rsidR="009D6D6B" w:rsidRPr="008B5656" w:rsidRDefault="009D6D6B" w:rsidP="00482178">
            <w:pPr>
              <w:tabs>
                <w:tab w:val="num" w:pos="720"/>
              </w:tabs>
              <w:rPr>
                <w:rFonts w:ascii="Arial Narrow" w:hAnsi="Arial Narrow"/>
                <w:sz w:val="20"/>
                <w:szCs w:val="20"/>
              </w:rPr>
            </w:pPr>
            <w:r w:rsidRPr="008B5656">
              <w:rPr>
                <w:rFonts w:ascii="Arial Narrow" w:hAnsi="Arial Narrow"/>
                <w:sz w:val="20"/>
                <w:szCs w:val="20"/>
              </w:rPr>
              <w:t>AND</w:t>
            </w:r>
            <w:r w:rsidRPr="008B5656">
              <w:rPr>
                <w:rFonts w:ascii="Arial Narrow" w:hAnsi="Arial Narrow"/>
                <w:sz w:val="20"/>
                <w:szCs w:val="20"/>
              </w:rPr>
              <w:br/>
              <w:t>Patient must have a bone mineral density (BMD) T-score of -3.0 or less</w:t>
            </w:r>
          </w:p>
          <w:p w:rsidR="009D6D6B" w:rsidRPr="008B5656" w:rsidRDefault="009D6D6B" w:rsidP="00482178">
            <w:pPr>
              <w:tabs>
                <w:tab w:val="num" w:pos="720"/>
              </w:tabs>
              <w:rPr>
                <w:rFonts w:ascii="Arial Narrow" w:hAnsi="Arial Narrow"/>
                <w:sz w:val="20"/>
                <w:szCs w:val="20"/>
              </w:rPr>
            </w:pPr>
            <w:r w:rsidRPr="008B5656">
              <w:rPr>
                <w:rFonts w:ascii="Arial Narrow" w:hAnsi="Arial Narrow"/>
                <w:sz w:val="20"/>
                <w:szCs w:val="20"/>
              </w:rPr>
              <w:t>AND</w:t>
            </w:r>
          </w:p>
          <w:p w:rsidR="009D6D6B" w:rsidRPr="008B5656" w:rsidRDefault="009D6D6B" w:rsidP="00482178">
            <w:pPr>
              <w:tabs>
                <w:tab w:val="num" w:pos="720"/>
              </w:tabs>
              <w:rPr>
                <w:rFonts w:ascii="Arial Narrow" w:hAnsi="Arial Narrow"/>
                <w:sz w:val="20"/>
                <w:szCs w:val="20"/>
              </w:rPr>
            </w:pPr>
            <w:r w:rsidRPr="008B5656">
              <w:rPr>
                <w:rFonts w:ascii="Arial Narrow" w:hAnsi="Arial Narrow"/>
                <w:sz w:val="20"/>
                <w:szCs w:val="20"/>
              </w:rPr>
              <w:t>Patient must have had 2 or more minimal trauma fractures</w:t>
            </w:r>
          </w:p>
          <w:p w:rsidR="009D6D6B" w:rsidRPr="008B5656" w:rsidRDefault="009D6D6B" w:rsidP="00482178">
            <w:pPr>
              <w:tabs>
                <w:tab w:val="num" w:pos="720"/>
              </w:tabs>
              <w:rPr>
                <w:rFonts w:ascii="Arial Narrow" w:hAnsi="Arial Narrow"/>
                <w:sz w:val="20"/>
                <w:szCs w:val="20"/>
              </w:rPr>
            </w:pPr>
            <w:r w:rsidRPr="008B5656">
              <w:rPr>
                <w:rFonts w:ascii="Arial Narrow" w:hAnsi="Arial Narrow"/>
                <w:sz w:val="20"/>
                <w:szCs w:val="20"/>
              </w:rPr>
              <w:t>AND</w:t>
            </w:r>
          </w:p>
          <w:p w:rsidR="009D6D6B" w:rsidRPr="008B5656" w:rsidRDefault="009D6D6B" w:rsidP="00482178">
            <w:pPr>
              <w:tabs>
                <w:tab w:val="num" w:pos="720"/>
              </w:tabs>
              <w:rPr>
                <w:rFonts w:ascii="Arial Narrow" w:hAnsi="Arial Narrow"/>
                <w:sz w:val="20"/>
                <w:szCs w:val="20"/>
              </w:rPr>
            </w:pPr>
            <w:r w:rsidRPr="008B5656">
              <w:rPr>
                <w:rFonts w:ascii="Arial Narrow" w:hAnsi="Arial Narrow"/>
                <w:sz w:val="20"/>
                <w:szCs w:val="20"/>
              </w:rPr>
              <w:t>Patient must have experienced at least 1 symptomatic new fracture after at least 12 months continuous therapy with an anti-resorptive agent at adequate doses</w:t>
            </w:r>
          </w:p>
          <w:p w:rsidR="009D6D6B" w:rsidRPr="008B5656" w:rsidRDefault="009D6D6B" w:rsidP="00482178">
            <w:pPr>
              <w:tabs>
                <w:tab w:val="num" w:pos="720"/>
              </w:tabs>
              <w:rPr>
                <w:rFonts w:ascii="Arial Narrow" w:hAnsi="Arial Narrow"/>
                <w:sz w:val="20"/>
                <w:szCs w:val="20"/>
              </w:rPr>
            </w:pPr>
            <w:r w:rsidRPr="008B5656">
              <w:rPr>
                <w:rFonts w:ascii="Arial Narrow" w:hAnsi="Arial Narrow"/>
                <w:sz w:val="20"/>
                <w:szCs w:val="20"/>
              </w:rPr>
              <w:t>AND</w:t>
            </w:r>
          </w:p>
          <w:p w:rsidR="009D6D6B" w:rsidRPr="008B5656" w:rsidRDefault="009D6D6B" w:rsidP="00482178">
            <w:pPr>
              <w:tabs>
                <w:tab w:val="num" w:pos="720"/>
              </w:tabs>
              <w:rPr>
                <w:rFonts w:ascii="Arial Narrow" w:hAnsi="Arial Narrow"/>
                <w:sz w:val="20"/>
                <w:szCs w:val="20"/>
              </w:rPr>
            </w:pPr>
            <w:r w:rsidRPr="008B5656">
              <w:rPr>
                <w:rFonts w:ascii="Arial Narrow" w:hAnsi="Arial Narrow"/>
                <w:sz w:val="20"/>
                <w:szCs w:val="20"/>
              </w:rPr>
              <w:t>The treatment must be the sole PBS-subsidised agent</w:t>
            </w:r>
          </w:p>
        </w:tc>
        <w:tc>
          <w:tcPr>
            <w:tcW w:w="3175" w:type="dxa"/>
            <w:tcBorders>
              <w:top w:val="single" w:sz="4" w:space="0" w:color="auto"/>
              <w:left w:val="single" w:sz="4" w:space="0" w:color="auto"/>
              <w:bottom w:val="single" w:sz="4" w:space="0" w:color="auto"/>
              <w:right w:val="single" w:sz="4" w:space="0" w:color="auto"/>
            </w:tcBorders>
          </w:tcPr>
          <w:p w:rsidR="009D6D6B" w:rsidRPr="008B5656" w:rsidRDefault="009309D7" w:rsidP="00482178">
            <w:pPr>
              <w:tabs>
                <w:tab w:val="num" w:pos="720"/>
              </w:tabs>
              <w:jc w:val="center"/>
              <w:rPr>
                <w:rFonts w:ascii="Arial Narrow" w:hAnsi="Arial Narrow"/>
                <w:b/>
                <w:sz w:val="20"/>
                <w:szCs w:val="20"/>
              </w:rPr>
            </w:pPr>
            <w:r>
              <w:rPr>
                <w:rFonts w:ascii="Arial Narrow" w:hAnsi="Arial Narrow"/>
                <w:b/>
                <w:sz w:val="20"/>
                <w:szCs w:val="20"/>
              </w:rPr>
              <w:t>A</w:t>
            </w:r>
            <w:r w:rsidR="00A05C20">
              <w:rPr>
                <w:rFonts w:ascii="Arial Narrow" w:hAnsi="Arial Narrow"/>
                <w:b/>
                <w:sz w:val="20"/>
                <w:szCs w:val="20"/>
              </w:rPr>
              <w:t>dditional</w:t>
            </w:r>
            <w:r w:rsidR="00206E70">
              <w:rPr>
                <w:rFonts w:ascii="Arial Narrow" w:hAnsi="Arial Narrow"/>
                <w:b/>
                <w:sz w:val="20"/>
                <w:szCs w:val="20"/>
              </w:rPr>
              <w:t xml:space="preserve"> population </w:t>
            </w:r>
            <w:r>
              <w:rPr>
                <w:rFonts w:ascii="Arial Narrow" w:hAnsi="Arial Narrow"/>
                <w:b/>
                <w:sz w:val="20"/>
                <w:szCs w:val="20"/>
              </w:rPr>
              <w:t>(first-line)</w:t>
            </w:r>
          </w:p>
          <w:p w:rsidR="009D6D6B" w:rsidRPr="008B5656" w:rsidRDefault="009D6D6B" w:rsidP="00482178">
            <w:pPr>
              <w:tabs>
                <w:tab w:val="num" w:pos="720"/>
              </w:tabs>
              <w:rPr>
                <w:rFonts w:ascii="Arial Narrow" w:hAnsi="Arial Narrow"/>
                <w:sz w:val="20"/>
                <w:szCs w:val="20"/>
              </w:rPr>
            </w:pPr>
            <w:r w:rsidRPr="008B5656">
              <w:rPr>
                <w:rFonts w:ascii="Arial Narrow" w:hAnsi="Arial Narrow"/>
                <w:sz w:val="20"/>
                <w:szCs w:val="20"/>
              </w:rPr>
              <w:t>Patient must be at very high risk of fracture</w:t>
            </w:r>
          </w:p>
          <w:p w:rsidR="009D6D6B" w:rsidRPr="008B5656" w:rsidRDefault="009D6D6B" w:rsidP="00482178">
            <w:pPr>
              <w:tabs>
                <w:tab w:val="num" w:pos="720"/>
              </w:tabs>
              <w:rPr>
                <w:rFonts w:ascii="Arial Narrow" w:hAnsi="Arial Narrow"/>
                <w:sz w:val="20"/>
                <w:szCs w:val="20"/>
              </w:rPr>
            </w:pPr>
            <w:r w:rsidRPr="008B5656">
              <w:rPr>
                <w:rFonts w:ascii="Arial Narrow" w:hAnsi="Arial Narrow"/>
                <w:sz w:val="20"/>
                <w:szCs w:val="20"/>
              </w:rPr>
              <w:t>AND</w:t>
            </w:r>
            <w:r w:rsidRPr="008B5656">
              <w:rPr>
                <w:rFonts w:ascii="Arial Narrow" w:hAnsi="Arial Narrow"/>
                <w:sz w:val="20"/>
                <w:szCs w:val="20"/>
              </w:rPr>
              <w:br/>
              <w:t>Patient must have a bone mineral density (BMD) T-score of -3.0 or less</w:t>
            </w:r>
          </w:p>
          <w:p w:rsidR="009D6D6B" w:rsidRPr="008B5656" w:rsidRDefault="009D6D6B" w:rsidP="00482178">
            <w:pPr>
              <w:tabs>
                <w:tab w:val="num" w:pos="720"/>
              </w:tabs>
              <w:rPr>
                <w:rFonts w:ascii="Arial Narrow" w:hAnsi="Arial Narrow"/>
                <w:sz w:val="20"/>
                <w:szCs w:val="20"/>
              </w:rPr>
            </w:pPr>
            <w:r w:rsidRPr="008B5656">
              <w:rPr>
                <w:rFonts w:ascii="Arial Narrow" w:hAnsi="Arial Narrow"/>
                <w:sz w:val="20"/>
                <w:szCs w:val="20"/>
              </w:rPr>
              <w:t>AND</w:t>
            </w:r>
          </w:p>
          <w:p w:rsidR="009D6D6B" w:rsidRPr="008B5656" w:rsidRDefault="009D6D6B" w:rsidP="00482178">
            <w:pPr>
              <w:tabs>
                <w:tab w:val="num" w:pos="720"/>
              </w:tabs>
              <w:rPr>
                <w:rFonts w:ascii="Arial Narrow" w:hAnsi="Arial Narrow"/>
                <w:sz w:val="20"/>
                <w:szCs w:val="20"/>
              </w:rPr>
            </w:pPr>
            <w:r w:rsidRPr="008B5656">
              <w:rPr>
                <w:rFonts w:ascii="Arial Narrow" w:hAnsi="Arial Narrow"/>
                <w:sz w:val="20"/>
                <w:szCs w:val="20"/>
              </w:rPr>
              <w:t>Patient must have had 2 or more minimal trauma fractures</w:t>
            </w:r>
          </w:p>
          <w:p w:rsidR="009D6D6B" w:rsidRPr="008B5656" w:rsidRDefault="009D6D6B" w:rsidP="00482178">
            <w:pPr>
              <w:tabs>
                <w:tab w:val="num" w:pos="720"/>
              </w:tabs>
              <w:rPr>
                <w:rFonts w:ascii="Arial Narrow" w:hAnsi="Arial Narrow"/>
                <w:sz w:val="20"/>
                <w:szCs w:val="20"/>
              </w:rPr>
            </w:pPr>
            <w:r w:rsidRPr="008B5656">
              <w:rPr>
                <w:rFonts w:ascii="Arial Narrow" w:hAnsi="Arial Narrow"/>
                <w:sz w:val="20"/>
                <w:szCs w:val="20"/>
              </w:rPr>
              <w:t>AND</w:t>
            </w:r>
          </w:p>
          <w:p w:rsidR="009D6D6B" w:rsidRPr="008B5656" w:rsidRDefault="009D6D6B" w:rsidP="00482178">
            <w:pPr>
              <w:tabs>
                <w:tab w:val="num" w:pos="720"/>
              </w:tabs>
              <w:rPr>
                <w:rFonts w:ascii="Arial Narrow" w:hAnsi="Arial Narrow"/>
                <w:sz w:val="20"/>
                <w:szCs w:val="20"/>
              </w:rPr>
            </w:pPr>
            <w:r w:rsidRPr="008B5656">
              <w:rPr>
                <w:rFonts w:ascii="Arial Narrow" w:hAnsi="Arial Narrow"/>
                <w:sz w:val="20"/>
                <w:szCs w:val="20"/>
              </w:rPr>
              <w:t>Patient must have experienced at least 1 symptomatic fracture</w:t>
            </w:r>
          </w:p>
          <w:p w:rsidR="009D6D6B" w:rsidRPr="008B5656" w:rsidRDefault="009D6D6B" w:rsidP="00482178">
            <w:pPr>
              <w:tabs>
                <w:tab w:val="num" w:pos="720"/>
              </w:tabs>
              <w:rPr>
                <w:rFonts w:ascii="Arial Narrow" w:hAnsi="Arial Narrow"/>
                <w:sz w:val="20"/>
                <w:szCs w:val="20"/>
              </w:rPr>
            </w:pPr>
            <w:r w:rsidRPr="008B5656">
              <w:rPr>
                <w:rFonts w:ascii="Arial Narrow" w:hAnsi="Arial Narrow"/>
                <w:sz w:val="20"/>
                <w:szCs w:val="20"/>
              </w:rPr>
              <w:t>AND</w:t>
            </w:r>
          </w:p>
          <w:p w:rsidR="009D6D6B" w:rsidRPr="008B5656" w:rsidRDefault="009D6D6B" w:rsidP="00482178">
            <w:pPr>
              <w:tabs>
                <w:tab w:val="num" w:pos="720"/>
              </w:tabs>
              <w:rPr>
                <w:rFonts w:ascii="Arial Narrow" w:hAnsi="Arial Narrow"/>
                <w:sz w:val="20"/>
                <w:szCs w:val="20"/>
              </w:rPr>
            </w:pPr>
            <w:r w:rsidRPr="008B5656">
              <w:rPr>
                <w:rFonts w:ascii="Arial Narrow" w:hAnsi="Arial Narrow"/>
                <w:sz w:val="20"/>
                <w:szCs w:val="20"/>
              </w:rPr>
              <w:t>The treatment must be the sole PBS-subsidised agent</w:t>
            </w:r>
          </w:p>
        </w:tc>
      </w:tr>
      <w:tr w:rsidR="009D6D6B" w:rsidRPr="008B5656" w:rsidTr="00482178">
        <w:trPr>
          <w:cantSplit/>
          <w:trHeight w:val="360"/>
        </w:trPr>
        <w:tc>
          <w:tcPr>
            <w:tcW w:w="2155" w:type="dxa"/>
            <w:vMerge/>
            <w:tcBorders>
              <w:left w:val="single" w:sz="4" w:space="0" w:color="auto"/>
              <w:bottom w:val="single" w:sz="4" w:space="0" w:color="auto"/>
              <w:right w:val="single" w:sz="4" w:space="0" w:color="auto"/>
            </w:tcBorders>
          </w:tcPr>
          <w:p w:rsidR="009D6D6B" w:rsidRPr="008B5656" w:rsidRDefault="009D6D6B" w:rsidP="00482178">
            <w:pPr>
              <w:rPr>
                <w:rFonts w:ascii="Arial Narrow" w:hAnsi="Arial Narrow"/>
                <w:b/>
                <w:sz w:val="20"/>
                <w:szCs w:val="20"/>
              </w:rPr>
            </w:pPr>
          </w:p>
        </w:tc>
        <w:tc>
          <w:tcPr>
            <w:tcW w:w="6917" w:type="dxa"/>
            <w:gridSpan w:val="2"/>
            <w:tcBorders>
              <w:top w:val="single" w:sz="4" w:space="0" w:color="auto"/>
              <w:left w:val="single" w:sz="4" w:space="0" w:color="auto"/>
              <w:bottom w:val="single" w:sz="4" w:space="0" w:color="auto"/>
              <w:right w:val="single" w:sz="4" w:space="0" w:color="auto"/>
            </w:tcBorders>
            <w:shd w:val="clear" w:color="auto" w:fill="auto"/>
          </w:tcPr>
          <w:p w:rsidR="009D6D6B" w:rsidRPr="008B5656" w:rsidRDefault="009D6D6B" w:rsidP="00482178">
            <w:pPr>
              <w:rPr>
                <w:rFonts w:ascii="Arial Narrow" w:hAnsi="Arial Narrow"/>
                <w:sz w:val="20"/>
                <w:szCs w:val="20"/>
              </w:rPr>
            </w:pPr>
            <w:r w:rsidRPr="008B5656">
              <w:rPr>
                <w:rFonts w:ascii="Arial Narrow" w:hAnsi="Arial Narrow"/>
                <w:sz w:val="20"/>
                <w:szCs w:val="20"/>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p w:rsidR="009D6D6B" w:rsidRPr="008B5656" w:rsidRDefault="009D6D6B" w:rsidP="00482178">
            <w:pPr>
              <w:rPr>
                <w:rFonts w:ascii="Arial Narrow" w:hAnsi="Arial Narrow"/>
                <w:sz w:val="20"/>
                <w:szCs w:val="20"/>
              </w:rPr>
            </w:pPr>
          </w:p>
          <w:p w:rsidR="009D6D6B" w:rsidRPr="008B5656" w:rsidRDefault="009D6D6B" w:rsidP="00482178">
            <w:pPr>
              <w:rPr>
                <w:rFonts w:ascii="Arial Narrow" w:hAnsi="Arial Narrow"/>
                <w:sz w:val="20"/>
                <w:szCs w:val="20"/>
              </w:rPr>
            </w:pPr>
            <w:r w:rsidRPr="008B5656">
              <w:rPr>
                <w:rFonts w:ascii="Arial Narrow" w:hAnsi="Arial Narrow"/>
                <w:sz w:val="20"/>
                <w:szCs w:val="20"/>
              </w:rPr>
              <w:t xml:space="preserve">If treatment with anti-resorptive therapy is contraindicated according to the relevant TGA-approved Product Information, details of the contraindication must be documented in the patient's medical record at the time treatment with </w:t>
            </w:r>
            <w:r>
              <w:rPr>
                <w:rFonts w:ascii="Arial Narrow" w:hAnsi="Arial Narrow"/>
                <w:sz w:val="20"/>
                <w:szCs w:val="20"/>
              </w:rPr>
              <w:t>romosozumab</w:t>
            </w:r>
            <w:r w:rsidRPr="008B5656">
              <w:rPr>
                <w:rFonts w:ascii="Arial Narrow" w:hAnsi="Arial Narrow"/>
                <w:sz w:val="20"/>
                <w:szCs w:val="20"/>
              </w:rPr>
              <w:t xml:space="preserve"> is initiated.</w:t>
            </w:r>
          </w:p>
          <w:p w:rsidR="009D6D6B" w:rsidRPr="008B5656" w:rsidRDefault="009D6D6B" w:rsidP="00482178">
            <w:pPr>
              <w:rPr>
                <w:rFonts w:ascii="Arial Narrow" w:hAnsi="Arial Narrow"/>
                <w:sz w:val="20"/>
                <w:szCs w:val="20"/>
              </w:rPr>
            </w:pPr>
          </w:p>
          <w:p w:rsidR="009D6D6B" w:rsidRDefault="009D6D6B" w:rsidP="00482178">
            <w:pPr>
              <w:rPr>
                <w:rFonts w:ascii="Arial Narrow" w:hAnsi="Arial Narrow"/>
                <w:sz w:val="20"/>
                <w:szCs w:val="20"/>
              </w:rPr>
            </w:pPr>
            <w:r w:rsidRPr="008B5656">
              <w:rPr>
                <w:rFonts w:ascii="Arial Narrow" w:hAnsi="Arial Narrow"/>
                <w:sz w:val="20"/>
                <w:szCs w:val="20"/>
              </w:rPr>
              <w:t>If an intolerance of a severity necessitating permanent treatment withdrawal develops during the relevant period of use of one anti-resorptive agent, alternate anti-resorptive agents must be trialled so that the patient achieves the minimum requirement of 12 months continuous therapy.</w:t>
            </w:r>
            <w:r>
              <w:rPr>
                <w:rFonts w:ascii="Arial Narrow" w:hAnsi="Arial Narrow"/>
                <w:sz w:val="20"/>
                <w:szCs w:val="20"/>
              </w:rPr>
              <w:t xml:space="preserve"> </w:t>
            </w:r>
            <w:r w:rsidRPr="008B5656">
              <w:rPr>
                <w:rFonts w:ascii="Arial Narrow" w:hAnsi="Arial Narrow"/>
                <w:sz w:val="20"/>
                <w:szCs w:val="20"/>
              </w:rPr>
              <w:t xml:space="preserve"> Details must be documented in the patient's medical record at the time treatment with </w:t>
            </w:r>
            <w:r>
              <w:rPr>
                <w:rFonts w:ascii="Arial Narrow" w:hAnsi="Arial Narrow"/>
                <w:sz w:val="20"/>
                <w:szCs w:val="20"/>
              </w:rPr>
              <w:t>romosozumab</w:t>
            </w:r>
            <w:r w:rsidRPr="008B5656">
              <w:rPr>
                <w:rFonts w:ascii="Arial Narrow" w:hAnsi="Arial Narrow"/>
                <w:sz w:val="20"/>
                <w:szCs w:val="20"/>
              </w:rPr>
              <w:t xml:space="preserve"> is initiated.</w:t>
            </w:r>
          </w:p>
          <w:p w:rsidR="009D6D6B" w:rsidRPr="008B5656" w:rsidRDefault="009D6D6B" w:rsidP="00482178">
            <w:pPr>
              <w:rPr>
                <w:rFonts w:ascii="Arial Narrow" w:hAnsi="Arial Narrow"/>
                <w:sz w:val="20"/>
                <w:szCs w:val="20"/>
              </w:rPr>
            </w:pPr>
          </w:p>
          <w:p w:rsidR="009D6D6B" w:rsidRPr="008B5656" w:rsidRDefault="009D6D6B" w:rsidP="00482178">
            <w:pPr>
              <w:rPr>
                <w:rFonts w:ascii="Arial Narrow" w:hAnsi="Arial Narrow"/>
                <w:sz w:val="20"/>
                <w:szCs w:val="20"/>
              </w:rPr>
            </w:pPr>
            <w:r w:rsidRPr="008B5656">
              <w:rPr>
                <w:rFonts w:ascii="Arial Narrow" w:hAnsi="Arial Narrow"/>
                <w:sz w:val="20"/>
                <w:szCs w:val="20"/>
              </w:rPr>
              <w:t>Anti-resorptive therapies for osteoporosis and their adequate doses which will be accepted for the purposes of administering this restriction are alendronate sodium 10 mg per day or 70 mg once weekly, risedronate sodium 5 mg per day or 35 mg once weekly or 150 mg once monthly, raloxifene hydrochloride 60 mg per day (women only), denosumab 60 mg once every 6 months and zoledronic acid 5 mg per annum.</w:t>
            </w:r>
          </w:p>
          <w:p w:rsidR="009D6D6B" w:rsidRPr="008B5656" w:rsidRDefault="009D6D6B" w:rsidP="00482178">
            <w:pPr>
              <w:rPr>
                <w:rFonts w:ascii="Arial Narrow" w:hAnsi="Arial Narrow"/>
                <w:sz w:val="20"/>
                <w:szCs w:val="20"/>
              </w:rPr>
            </w:pPr>
          </w:p>
          <w:p w:rsidR="009D6D6B" w:rsidRPr="008B5656" w:rsidRDefault="009D6D6B" w:rsidP="00482178">
            <w:pPr>
              <w:rPr>
                <w:rFonts w:ascii="Arial Narrow" w:hAnsi="Arial Narrow"/>
                <w:sz w:val="20"/>
                <w:szCs w:val="20"/>
              </w:rPr>
            </w:pPr>
            <w:r w:rsidRPr="008B5656">
              <w:rPr>
                <w:rFonts w:ascii="Arial Narrow" w:hAnsi="Arial Narrow"/>
                <w:sz w:val="20"/>
                <w:szCs w:val="20"/>
              </w:rPr>
              <w:t>Details of prior anti-resorptive therapy, fracture history including the date(s), site(s), the symptoms associated with the fracture(s) which developed after at least 12 months continuous anti-resorptive therapy and the score of the qualifying BMD measurement must be provided at the time of application.</w:t>
            </w:r>
          </w:p>
          <w:p w:rsidR="009D6D6B" w:rsidRDefault="009D6D6B" w:rsidP="00482178">
            <w:pPr>
              <w:rPr>
                <w:rFonts w:ascii="Arial Narrow" w:hAnsi="Arial Narrow"/>
                <w:sz w:val="20"/>
                <w:szCs w:val="20"/>
              </w:rPr>
            </w:pPr>
          </w:p>
          <w:p w:rsidR="009D6D6B" w:rsidRPr="008B5656" w:rsidRDefault="009D6D6B" w:rsidP="00482178">
            <w:pPr>
              <w:rPr>
                <w:rFonts w:ascii="Arial Narrow" w:hAnsi="Arial Narrow"/>
                <w:sz w:val="20"/>
                <w:szCs w:val="20"/>
                <w:u w:val="single"/>
              </w:rPr>
            </w:pPr>
            <w:r w:rsidRPr="008B5656">
              <w:rPr>
                <w:rFonts w:ascii="Arial Narrow" w:hAnsi="Arial Narrow"/>
                <w:sz w:val="20"/>
                <w:szCs w:val="20"/>
                <w:u w:val="single"/>
              </w:rPr>
              <w:t>Note</w:t>
            </w:r>
          </w:p>
          <w:p w:rsidR="009D6D6B" w:rsidRPr="008B5656" w:rsidRDefault="009D6D6B" w:rsidP="00482178">
            <w:pPr>
              <w:rPr>
                <w:rFonts w:ascii="Arial Narrow" w:hAnsi="Arial Narrow"/>
                <w:sz w:val="20"/>
                <w:szCs w:val="20"/>
              </w:rPr>
            </w:pPr>
            <w:r w:rsidRPr="008B5656">
              <w:rPr>
                <w:rFonts w:ascii="Arial Narrow" w:hAnsi="Arial Narrow"/>
                <w:sz w:val="20"/>
                <w:szCs w:val="20"/>
              </w:rPr>
              <w:t>Details of accepted toxicities including severity can be found on the Department of Human Services website at www.humanservices.gov.au.</w:t>
            </w:r>
          </w:p>
        </w:tc>
      </w:tr>
    </w:tbl>
    <w:p w:rsidR="0032649A" w:rsidRPr="00F60002" w:rsidRDefault="008C3522" w:rsidP="00F91DE5">
      <w:pPr>
        <w:pStyle w:val="ListParagraph"/>
        <w:spacing w:before="120"/>
      </w:pPr>
      <w:r w:rsidRPr="00F60002">
        <w:t xml:space="preserve">The </w:t>
      </w:r>
      <w:r w:rsidR="000D161C" w:rsidRPr="00F60002">
        <w:t>Pre-Sub-Committee Response (</w:t>
      </w:r>
      <w:r w:rsidRPr="00F60002">
        <w:t xml:space="preserve">PSCR) stated that </w:t>
      </w:r>
      <w:r w:rsidR="007908B0" w:rsidRPr="00F60002">
        <w:t xml:space="preserve">PBS-listing was </w:t>
      </w:r>
      <w:r w:rsidR="000A413A" w:rsidRPr="00F60002">
        <w:t xml:space="preserve">no longer being </w:t>
      </w:r>
      <w:r w:rsidR="007908B0" w:rsidRPr="00F60002">
        <w:t xml:space="preserve">sought for </w:t>
      </w:r>
      <w:r w:rsidRPr="00F60002">
        <w:t xml:space="preserve">the </w:t>
      </w:r>
      <w:r w:rsidR="000A413A" w:rsidRPr="00F60002">
        <w:t>syringe</w:t>
      </w:r>
      <w:r w:rsidRPr="00F60002">
        <w:t xml:space="preserve"> presentation</w:t>
      </w:r>
      <w:r w:rsidR="000A413A" w:rsidRPr="00F60002">
        <w:t xml:space="preserve"> (i.e. PBS-listing was only sought for the auto-injector)</w:t>
      </w:r>
      <w:r w:rsidRPr="00F60002">
        <w:t xml:space="preserve">. </w:t>
      </w:r>
    </w:p>
    <w:p w:rsidR="009D6D6B" w:rsidRPr="009D6D6B" w:rsidRDefault="009D6D6B" w:rsidP="00F91DE5">
      <w:pPr>
        <w:pStyle w:val="ListParagraph"/>
        <w:spacing w:before="120"/>
      </w:pPr>
      <w:r w:rsidRPr="009D6D6B">
        <w:t>The submission stated that teriparatide is currently subject to a special pricing arrangement</w:t>
      </w:r>
      <w:r w:rsidR="000B503E">
        <w:t xml:space="preserve"> (SPA)</w:t>
      </w:r>
      <w:r w:rsidRPr="009D6D6B">
        <w:t xml:space="preserve"> and noted that a</w:t>
      </w:r>
      <w:r w:rsidR="000B503E">
        <w:t xml:space="preserve">n </w:t>
      </w:r>
      <w:r w:rsidR="00E833AB">
        <w:t>SPA</w:t>
      </w:r>
      <w:r w:rsidR="00E833AB" w:rsidRPr="009D6D6B">
        <w:t xml:space="preserve"> would</w:t>
      </w:r>
      <w:r w:rsidRPr="009D6D6B">
        <w:t xml:space="preserve"> also be required for romosozumab</w:t>
      </w:r>
      <w:r>
        <w:t xml:space="preserve">. </w:t>
      </w:r>
    </w:p>
    <w:p w:rsidR="001D25DD" w:rsidRDefault="00674D77" w:rsidP="00F91DE5">
      <w:pPr>
        <w:pStyle w:val="ListParagraph"/>
        <w:spacing w:before="120"/>
      </w:pPr>
      <w:r>
        <w:lastRenderedPageBreak/>
        <w:t xml:space="preserve">The submission requested listing in two population groups: a later-line population; and an </w:t>
      </w:r>
      <w:r w:rsidRPr="00843926">
        <w:t>“additional population”.</w:t>
      </w:r>
      <w:r>
        <w:t xml:space="preserve"> </w:t>
      </w:r>
      <w:r w:rsidR="001D25DD" w:rsidRPr="001D25DD">
        <w:t>The proposed PBS restriction</w:t>
      </w:r>
      <w:r w:rsidR="00206E70">
        <w:t xml:space="preserve"> for later-line treatment</w:t>
      </w:r>
      <w:r w:rsidR="001D25DD" w:rsidRPr="001D25DD">
        <w:t xml:space="preserve"> is broadly consistent with the current PBS listing of teriparatide which limits treatment to patients with severe osteoporosis who have experienced a prior symptomatic fracture while receiving anti-resorptive therapy. The proposed </w:t>
      </w:r>
      <w:r w:rsidR="008A0404">
        <w:t>“</w:t>
      </w:r>
      <w:r w:rsidR="00A05C20">
        <w:t>additional</w:t>
      </w:r>
      <w:r w:rsidR="00206E70">
        <w:t xml:space="preserve"> population</w:t>
      </w:r>
      <w:r w:rsidR="008A0404">
        <w:t>”</w:t>
      </w:r>
      <w:r w:rsidR="001D25DD" w:rsidRPr="001D25DD">
        <w:t xml:space="preserve"> PBS restriction removes the requirement for patients to have prior anti-resorptive therapy and therefore allows treatment of a </w:t>
      </w:r>
      <w:r w:rsidR="001D25DD" w:rsidRPr="00F60002">
        <w:t>broader population and permits romosozumab to be used as an initial treatment option.</w:t>
      </w:r>
      <w:r w:rsidR="004B36D2" w:rsidRPr="00F60002">
        <w:t xml:space="preserve"> </w:t>
      </w:r>
      <w:r w:rsidR="005A105B" w:rsidRPr="00F60002">
        <w:t xml:space="preserve">The ESC noted that the proposed </w:t>
      </w:r>
      <w:r w:rsidR="00A05C20" w:rsidRPr="00F60002">
        <w:t>additional</w:t>
      </w:r>
      <w:r w:rsidR="004F3135" w:rsidRPr="00F60002">
        <w:t xml:space="preserve"> population</w:t>
      </w:r>
      <w:r w:rsidR="005A105B" w:rsidRPr="00F60002">
        <w:t xml:space="preserve"> restriction implicitly includes </w:t>
      </w:r>
      <w:r w:rsidR="00F65488" w:rsidRPr="00F60002">
        <w:t>many of the</w:t>
      </w:r>
      <w:r w:rsidR="005A105B" w:rsidRPr="00F60002">
        <w:t xml:space="preserve"> patients wh</w:t>
      </w:r>
      <w:r w:rsidR="00F61216" w:rsidRPr="00F60002">
        <w:t>o</w:t>
      </w:r>
      <w:r w:rsidR="005A105B" w:rsidRPr="00F60002">
        <w:t xml:space="preserve"> would be eligible for treatment with romosozumab under the</w:t>
      </w:r>
      <w:r w:rsidR="004F3135" w:rsidRPr="00F60002">
        <w:t xml:space="preserve"> requested</w:t>
      </w:r>
      <w:r w:rsidR="005A105B" w:rsidRPr="00F60002">
        <w:t xml:space="preserve"> </w:t>
      </w:r>
      <w:r w:rsidR="004F3135" w:rsidRPr="00F60002">
        <w:t>later-line treatment</w:t>
      </w:r>
      <w:r w:rsidR="005A105B" w:rsidRPr="00F60002">
        <w:t xml:space="preserve"> restriction.</w:t>
      </w:r>
      <w:r w:rsidR="005A105B">
        <w:rPr>
          <w:i/>
        </w:rPr>
        <w:t xml:space="preserve"> </w:t>
      </w:r>
      <w:r w:rsidR="004B36D2">
        <w:t xml:space="preserve"> </w:t>
      </w:r>
    </w:p>
    <w:p w:rsidR="007C242F" w:rsidRDefault="007C242F" w:rsidP="00F91DE5">
      <w:pPr>
        <w:pStyle w:val="ListParagraph"/>
        <w:spacing w:before="120"/>
      </w:pPr>
      <w:r>
        <w:t>The pre-PBAC response requested the PBAC to focus on the proposal to list romosozumab as an option for severe osteoporosis patients who sustain a fracture whilst on anti</w:t>
      </w:r>
      <w:r w:rsidR="00B3484E">
        <w:t>-</w:t>
      </w:r>
      <w:r>
        <w:t>resorptive treatment i.e., the ‘later-line’ population. The sponsor considered the evidence presented supported a claim of non-inferiority v</w:t>
      </w:r>
      <w:r w:rsidR="008B49C5">
        <w:t>ersu</w:t>
      </w:r>
      <w:r>
        <w:t>s the relevant comparator, teripar</w:t>
      </w:r>
      <w:r w:rsidR="00B3484E">
        <w:t>a</w:t>
      </w:r>
      <w:r>
        <w:t xml:space="preserve">tide, in this patient population. </w:t>
      </w:r>
    </w:p>
    <w:p w:rsidR="007908B0" w:rsidRPr="007908B0" w:rsidRDefault="001D25DD" w:rsidP="00F91DE5">
      <w:pPr>
        <w:pStyle w:val="ListParagraph"/>
        <w:spacing w:before="120"/>
      </w:pPr>
      <w:r w:rsidRPr="00B455E3">
        <w:t>The submission did not propose a lifetime limit on the use of romo</w:t>
      </w:r>
      <w:r w:rsidR="00297BB6">
        <w:t>so</w:t>
      </w:r>
      <w:r w:rsidRPr="00B455E3">
        <w:t>zumab on the PBS. This is inconsistent with the current listing for teriparatide which is limited to</w:t>
      </w:r>
      <w:r w:rsidR="00254C24" w:rsidRPr="00B455E3">
        <w:t xml:space="preserve"> a lifetime maximum of</w:t>
      </w:r>
      <w:r w:rsidRPr="00B455E3">
        <w:t xml:space="preserve"> 18 months</w:t>
      </w:r>
      <w:r w:rsidR="00254C24" w:rsidRPr="00B455E3">
        <w:t xml:space="preserve"> therapy</w:t>
      </w:r>
      <w:r w:rsidRPr="00B455E3">
        <w:t>. This is also inconsistent with the available clinical data, economic evaluation and budget impact estimates which are all based on a single 12 month treatment course of romosozumab</w:t>
      </w:r>
      <w:r w:rsidR="0021330E" w:rsidRPr="00B455E3">
        <w:t>.</w:t>
      </w:r>
      <w:r w:rsidR="00F1746E" w:rsidRPr="00B455E3">
        <w:t xml:space="preserve"> </w:t>
      </w:r>
      <w:r w:rsidR="00B3518F" w:rsidRPr="00F60002">
        <w:t xml:space="preserve">The PSCR indicated that the sponsor was agreeable to limiting the PBS-subsidised use of romosozumab to a maximum of 12 months. </w:t>
      </w:r>
      <w:r w:rsidR="007908B0" w:rsidRPr="00F60002">
        <w:t xml:space="preserve">The ESC </w:t>
      </w:r>
      <w:r w:rsidR="00874991">
        <w:t xml:space="preserve">and PBAC </w:t>
      </w:r>
      <w:r w:rsidR="007908B0" w:rsidRPr="00F60002">
        <w:t xml:space="preserve">considered </w:t>
      </w:r>
      <w:r w:rsidR="005F4D50">
        <w:t xml:space="preserve">a maximum of 12 months per lifetime </w:t>
      </w:r>
      <w:r w:rsidR="007908B0" w:rsidRPr="00F60002">
        <w:t>was appropriate given there is limited clinical data on use of romosozumab beyond 12 months.</w:t>
      </w:r>
    </w:p>
    <w:p w:rsidR="004E43B2" w:rsidRPr="00F60002" w:rsidRDefault="0074248F" w:rsidP="00F91DE5">
      <w:pPr>
        <w:pStyle w:val="ListParagraph"/>
        <w:spacing w:before="120"/>
      </w:pPr>
      <w:r>
        <w:t>T</w:t>
      </w:r>
      <w:r w:rsidRPr="00B455E3">
        <w:t>he proposed restrictions do not prohibit the sequential use of romosozumab and teriparatide over a patient lifetime</w:t>
      </w:r>
      <w:r>
        <w:t>.</w:t>
      </w:r>
      <w:r w:rsidRPr="00F60002">
        <w:t xml:space="preserve"> </w:t>
      </w:r>
      <w:r w:rsidR="00B3518F" w:rsidRPr="00F60002">
        <w:t xml:space="preserve">The PSCR requested that the romosozumab restriction allow for use in patients who </w:t>
      </w:r>
      <w:r w:rsidR="007908B0" w:rsidRPr="00F60002">
        <w:t xml:space="preserve">trial teriparatide but </w:t>
      </w:r>
      <w:r w:rsidR="00B3518F" w:rsidRPr="00F60002">
        <w:t>are intolerant</w:t>
      </w:r>
      <w:r w:rsidR="007908B0" w:rsidRPr="00F60002">
        <w:t xml:space="preserve"> (e.g. sequential use of romosozumab and teriparatide should be permitted in patients who need to discontinue </w:t>
      </w:r>
      <w:r w:rsidR="000A413A" w:rsidRPr="00F60002">
        <w:t xml:space="preserve">one of the agents </w:t>
      </w:r>
      <w:r w:rsidR="007908B0" w:rsidRPr="00F60002">
        <w:t>due to adverse events)</w:t>
      </w:r>
      <w:r w:rsidR="00B3518F" w:rsidRPr="00F60002">
        <w:t>.</w:t>
      </w:r>
      <w:r w:rsidR="00D72053" w:rsidRPr="00F60002">
        <w:t xml:space="preserve"> </w:t>
      </w:r>
      <w:r>
        <w:t xml:space="preserve">The PBAC considered the financial implications of allowing sequential use </w:t>
      </w:r>
      <w:r w:rsidR="00475812">
        <w:t>to be uncertain.</w:t>
      </w:r>
      <w:r>
        <w:t xml:space="preserve"> </w:t>
      </w:r>
    </w:p>
    <w:p w:rsidR="00B50DB8" w:rsidRPr="00407F2D" w:rsidRDefault="00B50DB8" w:rsidP="009A220F">
      <w:pPr>
        <w:pStyle w:val="PBACHeading1"/>
      </w:pPr>
      <w:bookmarkStart w:id="3" w:name="_Toc524518329"/>
      <w:r w:rsidRPr="00407F2D">
        <w:t>Background</w:t>
      </w:r>
      <w:bookmarkEnd w:id="3"/>
    </w:p>
    <w:p w:rsidR="00B60939" w:rsidRPr="00995778" w:rsidRDefault="00591957" w:rsidP="00F91DE5">
      <w:pPr>
        <w:pStyle w:val="Heading2"/>
      </w:pPr>
      <w:r w:rsidRPr="00995778">
        <w:t>Registration status</w:t>
      </w:r>
    </w:p>
    <w:p w:rsidR="001D25DD" w:rsidRDefault="001D25DD" w:rsidP="00F91DE5">
      <w:pPr>
        <w:pStyle w:val="ListParagraph"/>
        <w:spacing w:before="120"/>
      </w:pPr>
      <w:r>
        <w:t>Romosozumab was submitted under the TGA/PBAC parallel process with a proposed indication for the:</w:t>
      </w:r>
    </w:p>
    <w:p w:rsidR="001D25DD" w:rsidRDefault="001D25DD" w:rsidP="00F91DE5">
      <w:pPr>
        <w:pStyle w:val="ListParagraph"/>
        <w:numPr>
          <w:ilvl w:val="0"/>
          <w:numId w:val="9"/>
        </w:numPr>
        <w:spacing w:before="120"/>
      </w:pPr>
      <w:r>
        <w:t>treatment of primary osteoporosis in postmenopausal women at increased risk of fracture. Romosozumab reduces the risk of vertebral, clinical, and nonvertebral fractures.</w:t>
      </w:r>
    </w:p>
    <w:p w:rsidR="0067716E" w:rsidRPr="00F60002" w:rsidRDefault="001D25DD" w:rsidP="00F91DE5">
      <w:pPr>
        <w:pStyle w:val="ListParagraph"/>
        <w:numPr>
          <w:ilvl w:val="0"/>
          <w:numId w:val="9"/>
        </w:numPr>
        <w:spacing w:before="120"/>
      </w:pPr>
      <w:r>
        <w:lastRenderedPageBreak/>
        <w:t xml:space="preserve">treatment of primary osteoporosis in men at increased risk of fracture. </w:t>
      </w:r>
      <w:r w:rsidRPr="00F60002">
        <w:t>Romosozumab increases bone mass.</w:t>
      </w:r>
    </w:p>
    <w:p w:rsidR="0057020D" w:rsidRDefault="0067716E" w:rsidP="009A220F">
      <w:pPr>
        <w:pStyle w:val="ListParagraph"/>
      </w:pPr>
      <w:r w:rsidRPr="0067716E">
        <w:t xml:space="preserve">The TGA Delegate’s Overview was available at </w:t>
      </w:r>
      <w:r>
        <w:t xml:space="preserve">the </w:t>
      </w:r>
      <w:r w:rsidRPr="0067716E">
        <w:t xml:space="preserve">time of </w:t>
      </w:r>
      <w:r>
        <w:t xml:space="preserve">the ESC meeting and the minutes from consideration by Advisory Committee on Medicines </w:t>
      </w:r>
      <w:r w:rsidR="009848B8">
        <w:t xml:space="preserve">(ACM) </w:t>
      </w:r>
      <w:r>
        <w:t xml:space="preserve">were available at the time of the PBAC meeting.  </w:t>
      </w:r>
    </w:p>
    <w:p w:rsidR="00B350BA" w:rsidRPr="00DE4D50" w:rsidRDefault="0057020D" w:rsidP="00F91DE5">
      <w:pPr>
        <w:pStyle w:val="ListParagraph"/>
        <w:spacing w:before="120"/>
      </w:pPr>
      <w:r w:rsidRPr="00F60002">
        <w:t xml:space="preserve">The Delegate’s Overview stated </w:t>
      </w:r>
      <w:r w:rsidR="00DE4D50">
        <w:rPr>
          <w:noProof/>
          <w:color w:val="000000"/>
          <w:highlight w:val="black"/>
        </w:rPr>
        <w:t>'''''' ''''''' ''''''''' '' '''''' ''''''''''''''''''' ''' ''''''''''''''''''''''''' '''''''''''''' '''''' ''''''''''''''''' '''''' ''''''''''''''''''''''' ''''''' '''''''''''''''''' '''''''''''''''''' ''''''''''' '''' '''''' ''''' '''''''' ''''''' '''''''''''''' '''''''''''''' ''' '''''''''''''''''''''' ''''' '''''''''''''''''''''''' '''''''' '''''' ''''''' ''''' '''''''''''''''''''''''''' ''''''''''''''''' ''''''''''' ''''''''''' ''''''''''''' '''' ''''''' '''''''''''''''''' ''''''''''''''''' ''''''''''''''''' '''''''''' '''''''''''''''' '''' ''''''' ''''''''''''' ''''''' ''''''' '''''''''' '''''''''''''' '''' '''''''' ''''''''''''''''''' ''''' ''''''''''' ''''''''''''''''''''''''' '''''''' ''''''' ''''''''' ''''' ''''''''' ''''''''' '''''''''''' ''''''' '''''''''''''' '''' '''''''' '''''''''' ''''''''''' ''''' '''''''' ''''''''''''''''''''' '''''' '''''''' '''''''''</w:t>
      </w:r>
    </w:p>
    <w:p w:rsidR="00B350BA" w:rsidRPr="00DE4D50" w:rsidRDefault="009848B8" w:rsidP="00F91DE5">
      <w:pPr>
        <w:pStyle w:val="ListParagraph"/>
        <w:spacing w:before="120"/>
      </w:pPr>
      <w:r w:rsidRPr="00B350BA">
        <w:t xml:space="preserve">The ACM </w:t>
      </w:r>
      <w:r w:rsidR="00B350BA" w:rsidRPr="00C12AE4">
        <w:t xml:space="preserve">considered </w:t>
      </w:r>
      <w:r w:rsidR="00B350BA" w:rsidRPr="00030516">
        <w:t xml:space="preserve">romosozumab </w:t>
      </w:r>
      <w:r w:rsidR="00DE4D50">
        <w:rPr>
          <w:noProof/>
          <w:color w:val="000000"/>
          <w:highlight w:val="black"/>
        </w:rPr>
        <w:t xml:space="preserve">'''' '''''''' ''''' '''''''''''' '''''''''''''''' '''''''''''''''''''''' ''''''''''''' '''''' '''''' '''''''''''''''''' ''''''''''''''''' '''''''''''''''''' ''''''''''''''''' '''' ''''''''''''''''' '''''' ''''''' ''''''''''''''''' ''''' '''''''''''''''''''''''' '''' ''''''''''''''''''''''''''''''''' ''''''''''''' '''' ''''''''' '''''' '''' ''''''''''''''' '''''''''''''''''''' '''' '''''''''''''''' ''''''''''' ''''''''' '''' ''''''''' '''''''' ''''''''''''''''''''''' '''' '''''''' '''''' '''' ''''''''''''''''''' ''''''' ''''''''' '''''''' '''' ''''''' '''''''''''''' '''''''' ''' ''''''''''''''''''' '''''''''''' '''''''''' '''' ''''''''''''' '''''''''''''''''''''''''' ''''''' ''''' ''' '''''''''''''''''' '''' ''''''''''''''''''''''' </w:t>
      </w:r>
    </w:p>
    <w:p w:rsidR="008B68ED" w:rsidRPr="00995778" w:rsidRDefault="008B68ED" w:rsidP="00F91DE5">
      <w:pPr>
        <w:pStyle w:val="ListParagraph"/>
        <w:spacing w:before="120"/>
      </w:pPr>
      <w:r w:rsidRPr="00995778">
        <w:t xml:space="preserve">Subsequent to the ACM meeting, the TGA Delegate indicated </w:t>
      </w:r>
      <w:r w:rsidR="00DE4D50">
        <w:rPr>
          <w:noProof/>
          <w:color w:val="000000"/>
          <w:highlight w:val="black"/>
        </w:rPr>
        <w:t>'''''''' '''''''''' ''''''''''''''''''''' ''''' ''''''''''''''''' ''''''''''''''''''''''''' '''''' ''''''''''''''''''''''' '''''''''''' ''''''' '''''''''' '''''''''''''''''' '''''''''''''''''''' ''' ''''''''''' ''''''''' ''''' '''''''''''' ''''''''''' ''''''''''''''''''''''''''''' '''''''' '''''''' '''''''''''''''''' '''''''''''' ''''''' ''''''''''''''' ''''' '''''' ''''''''''' '''''''''''' '''''''' '''''''''''''''''''' ''''' ''''''' '''''''''''''''''''' '''' ''''''''''''''''''''''''' '''' ''''''''''' ''''''''''''''' '''' '''''' '''''''' '''''''''''''''' '''''' '''''''''''''''''' ''''' '''''''''''''''''' ''''''''''''''''''''''' ''''' ''''''' ''''''''''''''''' '''''''''''''''''' '''''''''''''' ''''''' '''''' '''''''''' ''''''' '''''''''' '''''''''''''''''''''''''''' ''''''' ''' '''''''' '''''''''''''''''''''''' ''''' ''''''''''' ''''''''''''''''''''' '''''''''''''''''''''''''''''''''' '''''' '''''''''' ''''''''''''''''''''' '''''' ''''''''''''''''''''''' '''''''''''' ''''' ''''''''''</w:t>
      </w:r>
      <w:r w:rsidR="001E2750" w:rsidRPr="00995778">
        <w:t xml:space="preserve">  </w:t>
      </w:r>
    </w:p>
    <w:p w:rsidR="00252A6F" w:rsidRDefault="001D25DD" w:rsidP="00F91DE5">
      <w:pPr>
        <w:pStyle w:val="ListParagraph"/>
        <w:spacing w:before="120"/>
      </w:pPr>
      <w:r w:rsidRPr="00B455E3">
        <w:t>A</w:t>
      </w:r>
      <w:r w:rsidR="006B4A8F">
        <w:t>n initial</w:t>
      </w:r>
      <w:r w:rsidRPr="00B455E3">
        <w:t xml:space="preserve"> marketing application for romosozumab </w:t>
      </w:r>
      <w:r w:rsidR="00135E67" w:rsidRPr="00B455E3">
        <w:t xml:space="preserve">rejected by the </w:t>
      </w:r>
      <w:r w:rsidR="00D952E6" w:rsidRPr="00B455E3">
        <w:t>FDA due to data becoming available during the assessment period indicating an imbalance in serious cardiovascular events associated with romosozumab treatment.</w:t>
      </w:r>
      <w:r w:rsidR="00844EC0">
        <w:t xml:space="preserve"> The submission stated that the FDA application was lodged prior to the reporting of the ARCH trial</w:t>
      </w:r>
      <w:r w:rsidR="00252A6F">
        <w:t>.</w:t>
      </w:r>
    </w:p>
    <w:p w:rsidR="00787DCF" w:rsidRPr="00995778" w:rsidRDefault="00787DCF" w:rsidP="00F91DE5">
      <w:pPr>
        <w:widowControl/>
        <w:spacing w:before="120" w:after="120"/>
        <w:ind w:firstLine="720"/>
        <w:rPr>
          <w:i/>
        </w:rPr>
      </w:pPr>
      <w:r w:rsidRPr="00787DCF">
        <w:rPr>
          <w:i/>
        </w:rPr>
        <w:t>For more detail on the PBAC’s view, see Section 7 PBAC outcome.</w:t>
      </w:r>
    </w:p>
    <w:p w:rsidR="00B50DB8" w:rsidRPr="00407F2D" w:rsidRDefault="00203181" w:rsidP="009A220F">
      <w:pPr>
        <w:pStyle w:val="PBACHeading1"/>
      </w:pPr>
      <w:bookmarkStart w:id="4" w:name="_Toc524518330"/>
      <w:r>
        <w:t xml:space="preserve">Population and </w:t>
      </w:r>
      <w:r w:rsidR="008E0D3C">
        <w:t>d</w:t>
      </w:r>
      <w:r>
        <w:t>isease</w:t>
      </w:r>
      <w:bookmarkEnd w:id="4"/>
    </w:p>
    <w:p w:rsidR="00D952E6" w:rsidRDefault="00D952E6" w:rsidP="00F91DE5">
      <w:pPr>
        <w:pStyle w:val="ListParagraph"/>
        <w:spacing w:before="120"/>
      </w:pPr>
      <w:r w:rsidRPr="00D952E6">
        <w:t>Osteoporosis is a condition which occurs when the bones lose minerals more quickly than the body can replace them leading to enhanced bone fragility (due to reduced bone mass and micro-architectural deterioration of bone tissue) and a consequent increase in fracture risk. Loss of bone strength occurs gradually over many years and usually shows no symptoms. The most common fractures occur at the hip, spine and wrist and can lead to increased mortality, long-lasting pain, reduced mobility and disability.</w:t>
      </w:r>
    </w:p>
    <w:p w:rsidR="00547D25" w:rsidRPr="006A03EA" w:rsidRDefault="00A954F8" w:rsidP="00F91DE5">
      <w:pPr>
        <w:pStyle w:val="ListParagraph"/>
        <w:spacing w:before="120"/>
      </w:pPr>
      <w:r w:rsidRPr="006A03EA">
        <w:lastRenderedPageBreak/>
        <w:t xml:space="preserve">The ESC </w:t>
      </w:r>
      <w:r w:rsidR="00547D25" w:rsidRPr="006A03EA">
        <w:t xml:space="preserve">noted that romosozumab is an anti-sclerostin monoclonal antibody </w:t>
      </w:r>
      <w:r w:rsidR="00DB6D9A" w:rsidRPr="006A03EA">
        <w:t>and</w:t>
      </w:r>
      <w:r w:rsidR="00547D25" w:rsidRPr="006A03EA">
        <w:t xml:space="preserve"> increases bone </w:t>
      </w:r>
      <w:r w:rsidR="00DB6D9A" w:rsidRPr="006A03EA">
        <w:t>formation that is an anabolic medication</w:t>
      </w:r>
      <w:r w:rsidR="00547D25" w:rsidRPr="006A03EA">
        <w:t xml:space="preserve">. </w:t>
      </w:r>
      <w:r w:rsidR="00DB6D9A" w:rsidRPr="006A03EA">
        <w:t>T</w:t>
      </w:r>
      <w:r w:rsidR="00547D25" w:rsidRPr="006A03EA">
        <w:t>eriparatide is</w:t>
      </w:r>
      <w:r w:rsidR="00DB6D9A" w:rsidRPr="006A03EA">
        <w:t xml:space="preserve"> also anabolic in action but does so as</w:t>
      </w:r>
      <w:r w:rsidR="00547D25" w:rsidRPr="006A03EA">
        <w:t xml:space="preserve"> a parathyroid hormone </w:t>
      </w:r>
      <w:r w:rsidR="000C2C5A">
        <w:t xml:space="preserve">analogue </w:t>
      </w:r>
      <w:r w:rsidR="002B44DD" w:rsidRPr="006A03EA">
        <w:t xml:space="preserve">which </w:t>
      </w:r>
      <w:r w:rsidR="00DB6D9A" w:rsidRPr="006A03EA">
        <w:t>increases bone formation. D</w:t>
      </w:r>
      <w:r w:rsidR="00547D25" w:rsidRPr="006A03EA">
        <w:t>enosumab is a</w:t>
      </w:r>
      <w:r w:rsidR="000A413A" w:rsidRPr="006A03EA">
        <w:t>n</w:t>
      </w:r>
      <w:r w:rsidR="00547D25" w:rsidRPr="006A03EA">
        <w:t xml:space="preserve"> anti-receptor activator of nuclear factor kappa-Β ligand (RANKL)</w:t>
      </w:r>
      <w:r w:rsidR="00844EC0" w:rsidRPr="006A03EA">
        <w:t xml:space="preserve"> and decreases bone resorption</w:t>
      </w:r>
      <w:r w:rsidR="000C2C5A">
        <w:t xml:space="preserve"> and </w:t>
      </w:r>
      <w:r w:rsidR="00547D25" w:rsidRPr="006A03EA">
        <w:t xml:space="preserve">the bisphosphonates (e.g. alendronate) decrease bone resorption. </w:t>
      </w:r>
    </w:p>
    <w:p w:rsidR="00D952E6" w:rsidRPr="00D952E6" w:rsidRDefault="00D952E6" w:rsidP="00F91DE5">
      <w:pPr>
        <w:pStyle w:val="ListParagraph"/>
        <w:spacing w:before="120"/>
      </w:pPr>
      <w:r w:rsidRPr="00D952E6">
        <w:t>The target population for romosozumab is patients with severe osteoporosis, which the submission defined as patients with multiple minimal trauma fractures, with at least one symptomatic fracture, and a</w:t>
      </w:r>
      <w:r w:rsidR="002204B0">
        <w:t xml:space="preserve"> bone mineral density</w:t>
      </w:r>
      <w:r w:rsidRPr="00D952E6">
        <w:t xml:space="preserve"> </w:t>
      </w:r>
      <w:r w:rsidR="002204B0">
        <w:t>(</w:t>
      </w:r>
      <w:r w:rsidRPr="00D952E6">
        <w:t>BMD</w:t>
      </w:r>
      <w:r w:rsidR="002204B0">
        <w:t>)</w:t>
      </w:r>
      <w:r w:rsidRPr="00D952E6">
        <w:t xml:space="preserve"> T-score </w:t>
      </w:r>
      <w:r w:rsidR="000C2C5A" w:rsidRPr="00C529AD">
        <w:t>≤</w:t>
      </w:r>
      <w:r w:rsidRPr="00D952E6">
        <w:t xml:space="preserve"> </w:t>
      </w:r>
      <w:r w:rsidR="000C2C5A">
        <w:t xml:space="preserve">minus </w:t>
      </w:r>
      <w:r w:rsidRPr="00D952E6">
        <w:t>3.0. The submission identified this population as a group with high clinical need given their high risk of additional fractures.</w:t>
      </w:r>
    </w:p>
    <w:p w:rsidR="00E55BB5" w:rsidRDefault="00D952E6" w:rsidP="00F91DE5">
      <w:pPr>
        <w:pStyle w:val="ListParagraph"/>
        <w:spacing w:before="120"/>
      </w:pPr>
      <w:r>
        <w:t>The submission</w:t>
      </w:r>
      <w:r w:rsidRPr="00D952E6">
        <w:t xml:space="preserve"> positioned romosozumab as initial treatment for patients with severe osteoporosis prior to anti-re</w:t>
      </w:r>
      <w:r>
        <w:t>sorptive therapy</w:t>
      </w:r>
      <w:r w:rsidR="00F65488">
        <w:t xml:space="preserve"> (referred to as the “additional population”)</w:t>
      </w:r>
      <w:r>
        <w:t>. The submission</w:t>
      </w:r>
      <w:r w:rsidRPr="00D952E6">
        <w:t xml:space="preserve"> also positioned romosozumab as an alternative to teriparatide for subsequent treatment of patients who develop severe osteoporosis while receiving anti-resorptive therap</w:t>
      </w:r>
      <w:r>
        <w:t>y</w:t>
      </w:r>
      <w:r w:rsidR="00F65488">
        <w:t xml:space="preserve"> (referred to as the “later-line” population)</w:t>
      </w:r>
      <w:r>
        <w:t>. In both settings, the submission</w:t>
      </w:r>
      <w:r w:rsidRPr="00D952E6">
        <w:t xml:space="preserve"> indicated that treatment with an anabolic agent should be followed-up with anti-resorptive therapy to maintain improvements in bone strength.</w:t>
      </w:r>
    </w:p>
    <w:p w:rsidR="005908ED" w:rsidRPr="005908ED" w:rsidRDefault="005908ED" w:rsidP="00F91DE5">
      <w:pPr>
        <w:pStyle w:val="BodyText"/>
        <w:spacing w:before="120" w:after="120"/>
        <w:ind w:firstLine="720"/>
        <w:rPr>
          <w:i/>
        </w:rPr>
      </w:pPr>
      <w:r w:rsidRPr="005908ED">
        <w:rPr>
          <w:i/>
        </w:rPr>
        <w:t>For more detail on the PBAC’s view, see Section 7 PBAC outcome.</w:t>
      </w:r>
    </w:p>
    <w:p w:rsidR="00B50DB8" w:rsidRPr="00407F2D" w:rsidRDefault="00B50DB8" w:rsidP="009A220F">
      <w:pPr>
        <w:pStyle w:val="PBACHeading1"/>
      </w:pPr>
      <w:bookmarkStart w:id="5" w:name="_Toc524518331"/>
      <w:r w:rsidRPr="00407F2D">
        <w:t>Comparator</w:t>
      </w:r>
      <w:bookmarkEnd w:id="5"/>
    </w:p>
    <w:p w:rsidR="00D952E6" w:rsidRPr="00B455E3" w:rsidRDefault="00D952E6" w:rsidP="00F91DE5">
      <w:pPr>
        <w:pStyle w:val="ListParagraph"/>
        <w:spacing w:before="120"/>
      </w:pPr>
      <w:r w:rsidRPr="00B455E3">
        <w:t>The submission nominated teriparatide as the main comparator. This was appropriate</w:t>
      </w:r>
      <w:r w:rsidR="004E1B4D">
        <w:t xml:space="preserve"> for the later-line population</w:t>
      </w:r>
      <w:r w:rsidRPr="00B455E3">
        <w:t>.</w:t>
      </w:r>
    </w:p>
    <w:p w:rsidR="005310E6" w:rsidRPr="005310E6" w:rsidRDefault="00D952E6" w:rsidP="00F91DE5">
      <w:pPr>
        <w:pStyle w:val="ListParagraph"/>
        <w:spacing w:before="120"/>
      </w:pPr>
      <w:r w:rsidRPr="00B455E3">
        <w:t>The submission nominated alendron</w:t>
      </w:r>
      <w:r w:rsidR="000866B4" w:rsidRPr="00B455E3">
        <w:t xml:space="preserve">ate (as a proxy for other anti-resorptive therapies) as a secondary comparator. </w:t>
      </w:r>
      <w:r w:rsidR="00ED0D07" w:rsidRPr="00B455E3">
        <w:t xml:space="preserve">Denosumab is currently the most widely used treatment for osteoporosis on the PBS and is the most likely anti-resorptive therapy to be replaced in practice. Denosumab was listed on a cost minimisation basis compared to zoledronic acid which in turn was listed on a cost minimisation basis compared to alendronate (PBS therapeutic relativity sheets, May 2018). Therefore, </w:t>
      </w:r>
      <w:r w:rsidR="00AE5A74" w:rsidRPr="0055621B">
        <w:t>the evaluation considered that</w:t>
      </w:r>
      <w:r w:rsidR="00AE5A74">
        <w:rPr>
          <w:i/>
        </w:rPr>
        <w:t xml:space="preserve"> </w:t>
      </w:r>
      <w:r w:rsidR="00ED0D07" w:rsidRPr="00B455E3">
        <w:t>alendronate may be an appropriate comparator under these circumstances.</w:t>
      </w:r>
      <w:r w:rsidR="00153E58">
        <w:rPr>
          <w:i/>
        </w:rPr>
        <w:t xml:space="preserve"> </w:t>
      </w:r>
    </w:p>
    <w:p w:rsidR="005310E6" w:rsidRPr="00F60002" w:rsidRDefault="00AE5A74" w:rsidP="00F91DE5">
      <w:pPr>
        <w:pStyle w:val="ListParagraph"/>
        <w:spacing w:before="120"/>
      </w:pPr>
      <w:r w:rsidRPr="00F60002">
        <w:t>However, t</w:t>
      </w:r>
      <w:r w:rsidR="00153E58" w:rsidRPr="00F60002">
        <w:t xml:space="preserve">he ESC considered that comparative evidence against denosumab would also </w:t>
      </w:r>
      <w:r w:rsidR="00A05AE6" w:rsidRPr="00F60002">
        <w:t>be informative</w:t>
      </w:r>
      <w:r w:rsidRPr="00F60002">
        <w:t xml:space="preserve"> given it is the therapy most likely to be replaced in clinical practice</w:t>
      </w:r>
      <w:r w:rsidR="0079266F">
        <w:t xml:space="preserve"> for the additional patient population</w:t>
      </w:r>
      <w:r w:rsidR="00153E58" w:rsidRPr="00F60002">
        <w:t xml:space="preserve">. </w:t>
      </w:r>
    </w:p>
    <w:p w:rsidR="005310E6" w:rsidRDefault="005310E6" w:rsidP="00F91DE5">
      <w:pPr>
        <w:pStyle w:val="ListParagraph"/>
        <w:spacing w:before="120"/>
      </w:pPr>
      <w:r w:rsidRPr="00F60002">
        <w:t>The ESC recalled the PBAC’s July 2010 recommendation of denosumab,</w:t>
      </w:r>
      <w:r w:rsidR="0032649A" w:rsidRPr="00F60002">
        <w:t xml:space="preserve"> which was list</w:t>
      </w:r>
      <w:r w:rsidR="000A413A" w:rsidRPr="00F60002">
        <w:t>ed</w:t>
      </w:r>
      <w:r w:rsidR="0032649A" w:rsidRPr="00F60002">
        <w:t xml:space="preserve"> on a cost minimisation basis compared with zoledronic acid. </w:t>
      </w:r>
      <w:r w:rsidR="002B44DD" w:rsidRPr="00F60002">
        <w:t>T</w:t>
      </w:r>
      <w:r w:rsidRPr="00F60002">
        <w:t>he denosumab submission</w:t>
      </w:r>
      <w:r w:rsidR="002B44DD" w:rsidRPr="00F60002">
        <w:t xml:space="preserve"> had claimed</w:t>
      </w:r>
      <w:r w:rsidR="0032649A" w:rsidRPr="00F60002">
        <w:t xml:space="preserve"> </w:t>
      </w:r>
      <w:r w:rsidRPr="00F60002">
        <w:t xml:space="preserve">that denosumab was associated with a reduction in the incidence of vertebral fractures and an improvement in persistence relative to a mixed comparator comprised of alendronate, risedronate, zoledronic acid and strontium </w:t>
      </w:r>
      <w:r w:rsidRPr="00F60002">
        <w:lastRenderedPageBreak/>
        <w:t>ranelate</w:t>
      </w:r>
      <w:r w:rsidR="002B44DD" w:rsidRPr="00F60002">
        <w:t>;</w:t>
      </w:r>
      <w:r w:rsidRPr="00F60002">
        <w:t xml:space="preserve"> </w:t>
      </w:r>
      <w:r w:rsidR="000A413A" w:rsidRPr="00F60002">
        <w:t>t</w:t>
      </w:r>
      <w:r w:rsidR="002B44DD" w:rsidRPr="00F60002">
        <w:t>he July 2010 PBAC did not accept this claim. Wit</w:t>
      </w:r>
      <w:r w:rsidRPr="00F60002">
        <w:t xml:space="preserve">h regard to the analyses versus alendronate, the July 2010 PBAC noted that denosumab treatment was associated with a small but statistically significant increase in BMD compared to alendronate (approximately 1% in absolute terms at all measured locations) after 12 months of treatment. </w:t>
      </w:r>
      <w:r w:rsidR="000A413A" w:rsidRPr="00F60002">
        <w:t xml:space="preserve">However, the PBAC considered that the clinical importance of this difference in BMD outcomes was unclear. </w:t>
      </w:r>
      <w:r w:rsidRPr="00F60002">
        <w:t xml:space="preserve">Further, the submission noted that denosumab was associated with a numerically greater </w:t>
      </w:r>
      <w:r w:rsidR="0032649A" w:rsidRPr="00F60002">
        <w:t xml:space="preserve">(but not statistically significant) </w:t>
      </w:r>
      <w:r w:rsidRPr="00F60002">
        <w:t xml:space="preserve">reduction in clinical vertebral fractures in the total population analysis (RR 0.60, 95% CI 0.34, 1.04). </w:t>
      </w:r>
      <w:r w:rsidR="0032649A" w:rsidRPr="00F60002">
        <w:t>(Denosumab Public summary Document, July 2010).</w:t>
      </w:r>
    </w:p>
    <w:p w:rsidR="005908ED" w:rsidRPr="005908ED" w:rsidRDefault="005908ED" w:rsidP="00F91DE5">
      <w:pPr>
        <w:pStyle w:val="BodyText"/>
        <w:spacing w:before="120" w:after="120"/>
        <w:ind w:firstLine="720"/>
        <w:rPr>
          <w:i/>
        </w:rPr>
      </w:pPr>
      <w:r w:rsidRPr="005908ED">
        <w:rPr>
          <w:i/>
        </w:rPr>
        <w:t>For more detail on the PBAC’s view, see Section 7 PBAC outcome.</w:t>
      </w:r>
    </w:p>
    <w:p w:rsidR="00B50DB8" w:rsidRPr="00407F2D" w:rsidRDefault="00BD6CF3" w:rsidP="009A220F">
      <w:pPr>
        <w:pStyle w:val="PBACHeading1"/>
      </w:pPr>
      <w:bookmarkStart w:id="6" w:name="_Toc524518332"/>
      <w:r>
        <w:t>C</w:t>
      </w:r>
      <w:r w:rsidR="00B50DB8" w:rsidRPr="00407F2D">
        <w:t>onsideration of the evidence</w:t>
      </w:r>
      <w:bookmarkEnd w:id="6"/>
    </w:p>
    <w:p w:rsidR="00F60002" w:rsidRDefault="00F60002" w:rsidP="00F91DE5">
      <w:pPr>
        <w:pStyle w:val="Heading2"/>
      </w:pPr>
      <w:bookmarkStart w:id="7" w:name="_Toc524518333"/>
      <w:r>
        <w:t>Sponsor hearing</w:t>
      </w:r>
    </w:p>
    <w:p w:rsidR="00995041" w:rsidRDefault="00F60002" w:rsidP="00F91DE5">
      <w:pPr>
        <w:pStyle w:val="ListParagraph"/>
        <w:spacing w:before="120"/>
      </w:pPr>
      <w:r w:rsidRPr="00D87641">
        <w:t xml:space="preserve">The </w:t>
      </w:r>
      <w:r w:rsidR="00C529AD" w:rsidRPr="00D87641">
        <w:t xml:space="preserve">sponsor requested a hearing for this item. </w:t>
      </w:r>
      <w:r w:rsidR="00F16EBC">
        <w:t xml:space="preserve">The clinician </w:t>
      </w:r>
      <w:r w:rsidR="004E1B4D">
        <w:t xml:space="preserve">outlined the trial data and </w:t>
      </w:r>
      <w:r w:rsidR="00F16EBC">
        <w:t>indicated the benefits of romosozumab include better efficacy</w:t>
      </w:r>
      <w:r w:rsidR="00041A25">
        <w:t xml:space="preserve"> compared to alendronate and a </w:t>
      </w:r>
      <w:r w:rsidR="00F16EBC">
        <w:t>different mechanism of action and reduced frequency of injections</w:t>
      </w:r>
      <w:r w:rsidR="00041A25">
        <w:t xml:space="preserve"> compared to teripar</w:t>
      </w:r>
      <w:r w:rsidR="00B3484E">
        <w:t>a</w:t>
      </w:r>
      <w:r w:rsidR="00041A25">
        <w:t>tide</w:t>
      </w:r>
      <w:r w:rsidR="00F16EBC">
        <w:t>.</w:t>
      </w:r>
      <w:r w:rsidR="00995041">
        <w:t xml:space="preserve"> The clinician </w:t>
      </w:r>
      <w:r w:rsidR="000E1ABB">
        <w:t xml:space="preserve">would prefer to use </w:t>
      </w:r>
      <w:r w:rsidR="00995041">
        <w:t>romosozumab</w:t>
      </w:r>
      <w:r w:rsidR="000E1ABB">
        <w:t xml:space="preserve"> first-line in patients at high-</w:t>
      </w:r>
      <w:r w:rsidR="00995041">
        <w:t xml:space="preserve">risk of fracture because </w:t>
      </w:r>
      <w:r w:rsidR="000E1ABB">
        <w:t xml:space="preserve">its mechanism of action promotes </w:t>
      </w:r>
      <w:r w:rsidR="00995041">
        <w:t xml:space="preserve">bone formation. </w:t>
      </w:r>
      <w:r w:rsidR="000E1ABB">
        <w:t xml:space="preserve">The clinician noted studies were underway assessing the efficacy and safety of a second course of romosozumab. </w:t>
      </w:r>
    </w:p>
    <w:p w:rsidR="00F60002" w:rsidRDefault="00F60002" w:rsidP="00F91DE5">
      <w:pPr>
        <w:pStyle w:val="Heading2"/>
      </w:pPr>
      <w:r>
        <w:t xml:space="preserve">Consumer comments </w:t>
      </w:r>
    </w:p>
    <w:p w:rsidR="00F60002" w:rsidRDefault="00F60002" w:rsidP="00F91DE5">
      <w:pPr>
        <w:pStyle w:val="ListParagraph"/>
        <w:spacing w:before="120"/>
      </w:pPr>
      <w:r>
        <w:t xml:space="preserve">The </w:t>
      </w:r>
      <w:r w:rsidR="00C529AD">
        <w:t xml:space="preserve">PBAC noted and welcomed the input received </w:t>
      </w:r>
      <w:r w:rsidR="002530D1">
        <w:t xml:space="preserve">from one health professional </w:t>
      </w:r>
      <w:r w:rsidR="00C529AD">
        <w:t xml:space="preserve">via the Consumer Comments facility on the PBS website. </w:t>
      </w:r>
      <w:r w:rsidR="0030312B">
        <w:t xml:space="preserve">The health professional considered the benefits of romosozumab include its </w:t>
      </w:r>
      <w:r w:rsidR="00041A25">
        <w:t>good ev</w:t>
      </w:r>
      <w:r w:rsidR="0030312B">
        <w:t xml:space="preserve">idence of efficacy and a different mechanism of action. </w:t>
      </w:r>
    </w:p>
    <w:p w:rsidR="006A03EA" w:rsidRDefault="006A03EA" w:rsidP="00F91DE5">
      <w:pPr>
        <w:pStyle w:val="ListParagraph"/>
        <w:spacing w:before="120"/>
      </w:pPr>
      <w:r>
        <w:t xml:space="preserve">The PBAC noted the letters of support provided by </w:t>
      </w:r>
      <w:r w:rsidRPr="006B2A71">
        <w:t xml:space="preserve">Therapeutics Committee of the Australian </w:t>
      </w:r>
      <w:r>
        <w:t xml:space="preserve">and </w:t>
      </w:r>
      <w:r w:rsidRPr="006B2A71">
        <w:t xml:space="preserve">New Zealand Bone </w:t>
      </w:r>
      <w:r>
        <w:t xml:space="preserve">and </w:t>
      </w:r>
      <w:r w:rsidRPr="006B2A71">
        <w:t>Mineral Society (ANZBMS) and Osteoporosis Australia</w:t>
      </w:r>
      <w:r>
        <w:t xml:space="preserve">. </w:t>
      </w:r>
      <w:r w:rsidR="00B46B8E">
        <w:t>Both groups consider romosozumab is an advance in the treatment of osteoporosis, providing clinicians and patients with an effective treatment option that has a different mechanism of action and reduced injection burden</w:t>
      </w:r>
      <w:r w:rsidR="00B604DE">
        <w:t xml:space="preserve"> compared to</w:t>
      </w:r>
      <w:r w:rsidR="0031367A">
        <w:t xml:space="preserve"> teriparatide</w:t>
      </w:r>
      <w:r w:rsidR="00B46B8E">
        <w:t xml:space="preserve">. The ANZBMS consider the cardiovascular adverse event profile to be a concern but are of the opinion </w:t>
      </w:r>
      <w:r w:rsidR="0079266F">
        <w:t xml:space="preserve">that the risk can be managed </w:t>
      </w:r>
      <w:r w:rsidR="00B46B8E">
        <w:t xml:space="preserve">in clinical practice. </w:t>
      </w:r>
    </w:p>
    <w:p w:rsidR="00B60939" w:rsidRPr="00C9624D" w:rsidRDefault="00B60939" w:rsidP="00F91DE5">
      <w:pPr>
        <w:pStyle w:val="Heading2"/>
      </w:pPr>
      <w:r w:rsidRPr="00C9624D">
        <w:t>Clinical trials</w:t>
      </w:r>
      <w:bookmarkEnd w:id="7"/>
    </w:p>
    <w:p w:rsidR="00B30BA0" w:rsidRDefault="00B30BA0" w:rsidP="00F91DE5">
      <w:pPr>
        <w:pStyle w:val="ListParagraph"/>
        <w:spacing w:before="120"/>
      </w:pPr>
      <w:r>
        <w:t>The submission was based on a series of direct and indirect comparisons between romosozumab and nominated comparators:</w:t>
      </w:r>
    </w:p>
    <w:p w:rsidR="00B30BA0" w:rsidRDefault="00B30BA0" w:rsidP="00F91DE5">
      <w:pPr>
        <w:pStyle w:val="ListParagraph"/>
        <w:numPr>
          <w:ilvl w:val="0"/>
          <w:numId w:val="3"/>
        </w:numPr>
        <w:spacing w:before="120"/>
      </w:pPr>
      <w:r>
        <w:t>A direct comparison of BMD outcomes with romosozumab versus teriparatide in postmenopausal women with osteoporosis who were previously treated with anti-resorptive therapy (STRUCTURE).</w:t>
      </w:r>
    </w:p>
    <w:p w:rsidR="00B30BA0" w:rsidRDefault="00B30BA0" w:rsidP="00F91DE5">
      <w:pPr>
        <w:pStyle w:val="ListParagraph"/>
        <w:numPr>
          <w:ilvl w:val="0"/>
          <w:numId w:val="3"/>
        </w:numPr>
        <w:spacing w:before="120"/>
      </w:pPr>
      <w:r>
        <w:lastRenderedPageBreak/>
        <w:t xml:space="preserve">An indirect comparison of fracture outcomes with romosozumab (FRAME) versus teriparatide (GHAC, ACTIVE) using placebo as the common comparator in postmenopausal women with osteoporosis who were predominantly naïve to anti-resorptive therapy. </w:t>
      </w:r>
    </w:p>
    <w:p w:rsidR="00A05AE6" w:rsidRDefault="00B30BA0" w:rsidP="00F91DE5">
      <w:pPr>
        <w:pStyle w:val="ListParagraph"/>
        <w:numPr>
          <w:ilvl w:val="0"/>
          <w:numId w:val="3"/>
        </w:numPr>
        <w:spacing w:before="120"/>
      </w:pPr>
      <w:r>
        <w:t>A direct comparison of fracture outcomes with romosozumab versus alendronate in postmenopausal women with osteoporosis who were predominantly naïve to anti-resorptive therapy (ARCH).</w:t>
      </w:r>
    </w:p>
    <w:p w:rsidR="00B30BA0" w:rsidRDefault="00B30BA0" w:rsidP="00F91DE5">
      <w:pPr>
        <w:pStyle w:val="ListParagraph"/>
        <w:spacing w:before="120"/>
      </w:pPr>
      <w:r>
        <w:t xml:space="preserve">The submission presented a supportive analysis of BMD outcomes with romosozumab versus placebo in men with osteoporosis (BRIDGE) and a </w:t>
      </w:r>
      <w:r w:rsidRPr="00B30BA0">
        <w:t>supportive non-inferiority analysis of BMD outcomes with the marketed formulation of romosozumab compared to the</w:t>
      </w:r>
      <w:r w:rsidR="00C6201C">
        <w:t xml:space="preserve"> trial</w:t>
      </w:r>
      <w:r w:rsidRPr="00B30BA0">
        <w:t xml:space="preserve"> formulation (Study 156</w:t>
      </w:r>
      <w:r w:rsidR="00C6201C">
        <w:t>).</w:t>
      </w:r>
    </w:p>
    <w:p w:rsidR="00862502" w:rsidRPr="00B455E3" w:rsidRDefault="00C6201C" w:rsidP="00F91DE5">
      <w:pPr>
        <w:pStyle w:val="ListParagraph"/>
        <w:spacing w:before="120"/>
      </w:pPr>
      <w:r w:rsidRPr="00B455E3">
        <w:t>During the evaluation an additional Phase 2 dose ranging study</w:t>
      </w:r>
      <w:r w:rsidR="009B5BF1" w:rsidRPr="00B455E3">
        <w:t xml:space="preserve"> (Study 326)</w:t>
      </w:r>
      <w:r w:rsidRPr="00B455E3">
        <w:t xml:space="preserve"> comparing BMD outcomes with romosozumab, alendronate, teriparatide and placebo was considered as supportive evidence as it provided the only clinical data on longer term treatment with romosozumab, data on maintenance of treatment effect without ongoing anti-resorptive therapy and data on re-treatment with romosozumab after discontinuation.</w:t>
      </w:r>
    </w:p>
    <w:p w:rsidR="00E84E30" w:rsidRDefault="00A73134" w:rsidP="00F91DE5">
      <w:pPr>
        <w:pStyle w:val="ListParagraph"/>
        <w:spacing w:before="120"/>
        <w:rPr>
          <w:snapToGrid/>
          <w:lang w:val="en-US" w:eastAsia="en-AU"/>
        </w:rPr>
      </w:pPr>
      <w:r>
        <w:rPr>
          <w:snapToGrid/>
          <w:lang w:val="en-US" w:eastAsia="en-AU"/>
        </w:rPr>
        <w:t>Details of the trials presented in the submission ar</w:t>
      </w:r>
      <w:r w:rsidR="00E84E30">
        <w:rPr>
          <w:snapToGrid/>
          <w:lang w:val="en-US" w:eastAsia="en-AU"/>
        </w:rPr>
        <w:t>e provided in the table below.</w:t>
      </w:r>
    </w:p>
    <w:p w:rsidR="00C6201C" w:rsidRPr="00E84E30" w:rsidRDefault="00E84E30" w:rsidP="00E84E30">
      <w:pPr>
        <w:rPr>
          <w:snapToGrid/>
          <w:lang w:val="en-US" w:eastAsia="en-AU"/>
        </w:rPr>
      </w:pPr>
      <w:r>
        <w:rPr>
          <w:snapToGrid/>
          <w:lang w:val="en-US" w:eastAsia="en-AU"/>
        </w:rPr>
        <w:br w:type="page"/>
      </w:r>
    </w:p>
    <w:p w:rsidR="00C6201C" w:rsidRPr="00C6201C" w:rsidRDefault="00C6201C" w:rsidP="008B0C43">
      <w:pPr>
        <w:pStyle w:val="TableHeading0"/>
        <w:spacing w:after="0"/>
      </w:pPr>
      <w:r w:rsidRPr="00C6201C">
        <w:rPr>
          <w:rStyle w:val="CommentReference"/>
          <w:b/>
          <w:szCs w:val="22"/>
        </w:rPr>
        <w:lastRenderedPageBreak/>
        <w:t>Table 2: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724"/>
        <w:gridCol w:w="4487"/>
        <w:gridCol w:w="2806"/>
      </w:tblGrid>
      <w:tr w:rsidR="00C6201C" w:rsidRPr="00B41614" w:rsidTr="00482178">
        <w:trPr>
          <w:tblHeader/>
        </w:trPr>
        <w:tc>
          <w:tcPr>
            <w:tcW w:w="956" w:type="pct"/>
            <w:tcBorders>
              <w:bottom w:val="single" w:sz="4" w:space="0" w:color="auto"/>
            </w:tcBorders>
            <w:vAlign w:val="center"/>
          </w:tcPr>
          <w:p w:rsidR="00C6201C" w:rsidRPr="00B41614" w:rsidRDefault="00C6201C" w:rsidP="00482178">
            <w:pPr>
              <w:pStyle w:val="Tabletext"/>
              <w:rPr>
                <w:b/>
              </w:rPr>
            </w:pPr>
            <w:r w:rsidRPr="00B41614">
              <w:rPr>
                <w:b/>
              </w:rPr>
              <w:t>Trial ID</w:t>
            </w:r>
          </w:p>
        </w:tc>
        <w:tc>
          <w:tcPr>
            <w:tcW w:w="2488" w:type="pct"/>
            <w:tcBorders>
              <w:bottom w:val="single" w:sz="4" w:space="0" w:color="auto"/>
            </w:tcBorders>
            <w:vAlign w:val="center"/>
          </w:tcPr>
          <w:p w:rsidR="00C6201C" w:rsidRPr="00B41614" w:rsidRDefault="00C6201C" w:rsidP="00482178">
            <w:pPr>
              <w:pStyle w:val="Tabletext"/>
              <w:jc w:val="center"/>
              <w:rPr>
                <w:b/>
              </w:rPr>
            </w:pPr>
            <w:r w:rsidRPr="00B41614">
              <w:rPr>
                <w:b/>
              </w:rPr>
              <w:t>Protocol title/ Publication title</w:t>
            </w:r>
          </w:p>
        </w:tc>
        <w:tc>
          <w:tcPr>
            <w:tcW w:w="1556" w:type="pct"/>
            <w:tcBorders>
              <w:bottom w:val="single" w:sz="4" w:space="0" w:color="auto"/>
            </w:tcBorders>
            <w:vAlign w:val="center"/>
          </w:tcPr>
          <w:p w:rsidR="00C6201C" w:rsidRPr="00B41614" w:rsidRDefault="00C6201C" w:rsidP="00482178">
            <w:pPr>
              <w:pStyle w:val="Tabletext"/>
              <w:jc w:val="center"/>
              <w:rPr>
                <w:b/>
              </w:rPr>
            </w:pPr>
            <w:r w:rsidRPr="00B41614">
              <w:rPr>
                <w:b/>
              </w:rPr>
              <w:t>Publication citation</w:t>
            </w:r>
          </w:p>
        </w:tc>
      </w:tr>
      <w:tr w:rsidR="00C6201C" w:rsidRPr="00CB38A8" w:rsidTr="00482178">
        <w:tc>
          <w:tcPr>
            <w:tcW w:w="956" w:type="pct"/>
            <w:vMerge w:val="restart"/>
            <w:tcBorders>
              <w:top w:val="single" w:sz="4" w:space="0" w:color="auto"/>
              <w:left w:val="single" w:sz="4" w:space="0" w:color="auto"/>
              <w:right w:val="single" w:sz="4" w:space="0" w:color="auto"/>
            </w:tcBorders>
            <w:vAlign w:val="center"/>
          </w:tcPr>
          <w:p w:rsidR="00C6201C" w:rsidRPr="00D45D75" w:rsidRDefault="00C6201C" w:rsidP="00482178">
            <w:pPr>
              <w:pStyle w:val="Tabletext"/>
            </w:pPr>
            <w:r>
              <w:t>ARCH</w:t>
            </w:r>
          </w:p>
        </w:tc>
        <w:tc>
          <w:tcPr>
            <w:tcW w:w="2488" w:type="pct"/>
            <w:tcBorders>
              <w:top w:val="single" w:sz="4" w:space="0" w:color="auto"/>
              <w:left w:val="single" w:sz="4" w:space="0" w:color="auto"/>
              <w:bottom w:val="single" w:sz="4" w:space="0" w:color="auto"/>
              <w:right w:val="single" w:sz="4" w:space="0" w:color="auto"/>
            </w:tcBorders>
            <w:vAlign w:val="center"/>
          </w:tcPr>
          <w:p w:rsidR="00C6201C" w:rsidRDefault="00C6201C" w:rsidP="00482178">
            <w:pPr>
              <w:pStyle w:val="Tabletext"/>
              <w:rPr>
                <w:szCs w:val="18"/>
              </w:rPr>
            </w:pPr>
            <w:r>
              <w:rPr>
                <w:szCs w:val="18"/>
              </w:rPr>
              <w:t xml:space="preserve">Amgen clinical study report (2017). </w:t>
            </w:r>
            <w:r w:rsidRPr="006E6D44">
              <w:rPr>
                <w:szCs w:val="18"/>
              </w:rPr>
              <w:t>A Multicenter, International, Randomized, Double-blind, Alendronate-controlled Study to Determine the Efficacy and Safety of Romosozumab in the Treatment of Postmenopausal Women With Osteoporosis</w:t>
            </w:r>
          </w:p>
        </w:tc>
        <w:tc>
          <w:tcPr>
            <w:tcW w:w="1556" w:type="pct"/>
            <w:tcBorders>
              <w:top w:val="single" w:sz="4" w:space="0" w:color="auto"/>
              <w:left w:val="single" w:sz="4" w:space="0" w:color="auto"/>
              <w:bottom w:val="single" w:sz="4" w:space="0" w:color="auto"/>
              <w:right w:val="single" w:sz="4" w:space="0" w:color="auto"/>
            </w:tcBorders>
            <w:vAlign w:val="center"/>
          </w:tcPr>
          <w:p w:rsidR="00C6201C" w:rsidRDefault="00C6201C" w:rsidP="00482178">
            <w:pPr>
              <w:pStyle w:val="Tabletext"/>
            </w:pPr>
            <w:r>
              <w:t>Internal study report</w:t>
            </w:r>
          </w:p>
        </w:tc>
      </w:tr>
      <w:tr w:rsidR="00C6201C" w:rsidRPr="00CB38A8" w:rsidTr="00482178">
        <w:tc>
          <w:tcPr>
            <w:tcW w:w="956" w:type="pct"/>
            <w:vMerge/>
            <w:tcBorders>
              <w:left w:val="single" w:sz="4" w:space="0" w:color="auto"/>
              <w:right w:val="single" w:sz="4" w:space="0" w:color="auto"/>
            </w:tcBorders>
            <w:vAlign w:val="center"/>
          </w:tcPr>
          <w:p w:rsidR="00C6201C" w:rsidRDefault="00C6201C" w:rsidP="00482178">
            <w:pPr>
              <w:pStyle w:val="Tabletext"/>
            </w:pPr>
          </w:p>
        </w:tc>
        <w:tc>
          <w:tcPr>
            <w:tcW w:w="2488" w:type="pct"/>
            <w:tcBorders>
              <w:top w:val="single" w:sz="4" w:space="0" w:color="auto"/>
              <w:left w:val="single" w:sz="4" w:space="0" w:color="auto"/>
              <w:bottom w:val="single" w:sz="4" w:space="0" w:color="auto"/>
              <w:right w:val="single" w:sz="4" w:space="0" w:color="auto"/>
            </w:tcBorders>
            <w:vAlign w:val="center"/>
          </w:tcPr>
          <w:p w:rsidR="00C6201C" w:rsidRDefault="00C6201C" w:rsidP="00482178">
            <w:pPr>
              <w:pStyle w:val="Tabletext"/>
              <w:rPr>
                <w:szCs w:val="18"/>
              </w:rPr>
            </w:pPr>
            <w:r w:rsidRPr="006E6D44">
              <w:rPr>
                <w:szCs w:val="18"/>
              </w:rPr>
              <w:t>Saag K et al</w:t>
            </w:r>
            <w:r>
              <w:rPr>
                <w:szCs w:val="18"/>
              </w:rPr>
              <w:t xml:space="preserve"> (2017)</w:t>
            </w:r>
            <w:r w:rsidRPr="006E6D44">
              <w:rPr>
                <w:szCs w:val="18"/>
              </w:rPr>
              <w:t xml:space="preserve">. Romosozumab or Alendronate for Fracture Prevention in Women with Osteoporosis. </w:t>
            </w:r>
          </w:p>
        </w:tc>
        <w:tc>
          <w:tcPr>
            <w:tcW w:w="1556" w:type="pct"/>
            <w:tcBorders>
              <w:top w:val="single" w:sz="4" w:space="0" w:color="auto"/>
              <w:left w:val="single" w:sz="4" w:space="0" w:color="auto"/>
              <w:bottom w:val="single" w:sz="4" w:space="0" w:color="auto"/>
              <w:right w:val="single" w:sz="4" w:space="0" w:color="auto"/>
            </w:tcBorders>
            <w:vAlign w:val="center"/>
          </w:tcPr>
          <w:p w:rsidR="00C6201C" w:rsidRDefault="00C6201C" w:rsidP="00482178">
            <w:pPr>
              <w:pStyle w:val="Tabletext"/>
            </w:pPr>
            <w:r w:rsidRPr="006E6D44">
              <w:rPr>
                <w:szCs w:val="18"/>
              </w:rPr>
              <w:t>N</w:t>
            </w:r>
            <w:r>
              <w:rPr>
                <w:szCs w:val="18"/>
              </w:rPr>
              <w:t>ew</w:t>
            </w:r>
            <w:r w:rsidRPr="006E6D44">
              <w:rPr>
                <w:szCs w:val="18"/>
              </w:rPr>
              <w:t xml:space="preserve"> Engl</w:t>
            </w:r>
            <w:r>
              <w:rPr>
                <w:szCs w:val="18"/>
              </w:rPr>
              <w:t>and</w:t>
            </w:r>
            <w:r w:rsidRPr="006E6D44">
              <w:rPr>
                <w:szCs w:val="18"/>
              </w:rPr>
              <w:t xml:space="preserve"> J</w:t>
            </w:r>
            <w:r>
              <w:rPr>
                <w:szCs w:val="18"/>
              </w:rPr>
              <w:t>ournal of</w:t>
            </w:r>
            <w:r w:rsidRPr="006E6D44">
              <w:rPr>
                <w:szCs w:val="18"/>
              </w:rPr>
              <w:t xml:space="preserve"> Med</w:t>
            </w:r>
            <w:r>
              <w:rPr>
                <w:szCs w:val="18"/>
              </w:rPr>
              <w:t xml:space="preserve">icine </w:t>
            </w:r>
            <w:r w:rsidRPr="006E6D44">
              <w:rPr>
                <w:szCs w:val="18"/>
              </w:rPr>
              <w:t>377:</w:t>
            </w:r>
            <w:r>
              <w:rPr>
                <w:szCs w:val="18"/>
              </w:rPr>
              <w:t xml:space="preserve"> 1417-1427</w:t>
            </w:r>
          </w:p>
        </w:tc>
      </w:tr>
      <w:tr w:rsidR="00C6201C" w:rsidRPr="00CB38A8" w:rsidTr="00482178">
        <w:tc>
          <w:tcPr>
            <w:tcW w:w="956" w:type="pct"/>
            <w:vMerge w:val="restart"/>
            <w:tcBorders>
              <w:left w:val="single" w:sz="4" w:space="0" w:color="auto"/>
              <w:right w:val="single" w:sz="4" w:space="0" w:color="auto"/>
            </w:tcBorders>
            <w:vAlign w:val="center"/>
          </w:tcPr>
          <w:p w:rsidR="00C6201C" w:rsidRDefault="00C6201C" w:rsidP="00482178">
            <w:pPr>
              <w:pStyle w:val="Tabletext"/>
            </w:pPr>
            <w:r>
              <w:t>BRIDGE</w:t>
            </w:r>
          </w:p>
        </w:tc>
        <w:tc>
          <w:tcPr>
            <w:tcW w:w="2488" w:type="pct"/>
            <w:tcBorders>
              <w:top w:val="single" w:sz="4" w:space="0" w:color="auto"/>
              <w:left w:val="single" w:sz="4" w:space="0" w:color="auto"/>
              <w:bottom w:val="single" w:sz="4" w:space="0" w:color="auto"/>
              <w:right w:val="single" w:sz="4" w:space="0" w:color="auto"/>
            </w:tcBorders>
            <w:vAlign w:val="center"/>
          </w:tcPr>
          <w:p w:rsidR="00C6201C" w:rsidRPr="006E6D44" w:rsidRDefault="00C6201C" w:rsidP="00482178">
            <w:pPr>
              <w:pStyle w:val="Tabletext"/>
              <w:rPr>
                <w:szCs w:val="18"/>
              </w:rPr>
            </w:pPr>
            <w:r>
              <w:rPr>
                <w:szCs w:val="18"/>
              </w:rPr>
              <w:t xml:space="preserve">Amgen clinical study report (2016). </w:t>
            </w:r>
            <w:r w:rsidRPr="00CE7538">
              <w:rPr>
                <w:szCs w:val="18"/>
              </w:rPr>
              <w:t>A Multicenter, Randomized, Double-blind, Placebo-controlled Study to Compare the Efficacy and Safety of Romosozumab With Placebo in Men With Osteoporosis</w:t>
            </w:r>
          </w:p>
        </w:tc>
        <w:tc>
          <w:tcPr>
            <w:tcW w:w="1556" w:type="pct"/>
            <w:tcBorders>
              <w:top w:val="single" w:sz="4" w:space="0" w:color="auto"/>
              <w:left w:val="single" w:sz="4" w:space="0" w:color="auto"/>
              <w:bottom w:val="single" w:sz="4" w:space="0" w:color="auto"/>
              <w:right w:val="single" w:sz="4" w:space="0" w:color="auto"/>
            </w:tcBorders>
            <w:vAlign w:val="center"/>
          </w:tcPr>
          <w:p w:rsidR="00C6201C" w:rsidRPr="006E6D44" w:rsidRDefault="00C6201C" w:rsidP="00482178">
            <w:pPr>
              <w:pStyle w:val="Tabletext"/>
              <w:rPr>
                <w:szCs w:val="18"/>
              </w:rPr>
            </w:pPr>
            <w:r>
              <w:t>Internal study report</w:t>
            </w:r>
          </w:p>
        </w:tc>
      </w:tr>
      <w:tr w:rsidR="00C6201C" w:rsidRPr="00CB38A8" w:rsidTr="00482178">
        <w:tc>
          <w:tcPr>
            <w:tcW w:w="956" w:type="pct"/>
            <w:vMerge/>
            <w:tcBorders>
              <w:left w:val="single" w:sz="4" w:space="0" w:color="auto"/>
              <w:right w:val="single" w:sz="4" w:space="0" w:color="auto"/>
            </w:tcBorders>
            <w:vAlign w:val="center"/>
          </w:tcPr>
          <w:p w:rsidR="00C6201C" w:rsidRDefault="00C6201C" w:rsidP="00482178">
            <w:pPr>
              <w:pStyle w:val="Tabletext"/>
            </w:pPr>
          </w:p>
        </w:tc>
        <w:tc>
          <w:tcPr>
            <w:tcW w:w="2488" w:type="pct"/>
            <w:tcBorders>
              <w:top w:val="single" w:sz="4" w:space="0" w:color="auto"/>
              <w:left w:val="single" w:sz="4" w:space="0" w:color="auto"/>
              <w:bottom w:val="single" w:sz="4" w:space="0" w:color="auto"/>
              <w:right w:val="single" w:sz="4" w:space="0" w:color="auto"/>
            </w:tcBorders>
            <w:vAlign w:val="center"/>
          </w:tcPr>
          <w:p w:rsidR="00C6201C" w:rsidRPr="00FB3F95" w:rsidRDefault="00C6201C" w:rsidP="00482178">
            <w:pPr>
              <w:pStyle w:val="Tabletext"/>
              <w:rPr>
                <w:szCs w:val="18"/>
              </w:rPr>
            </w:pPr>
            <w:r w:rsidRPr="00FB3F95">
              <w:rPr>
                <w:szCs w:val="18"/>
              </w:rPr>
              <w:t>Lewiecki EM et al (2018). A Phase 3 Randomized Placebo-controlled Trial to Evaluate Efficacy and Safety of Romosozumab in Men With Osteoporosis</w:t>
            </w:r>
          </w:p>
        </w:tc>
        <w:tc>
          <w:tcPr>
            <w:tcW w:w="1556" w:type="pct"/>
            <w:tcBorders>
              <w:top w:val="single" w:sz="4" w:space="0" w:color="auto"/>
              <w:left w:val="single" w:sz="4" w:space="0" w:color="auto"/>
              <w:bottom w:val="single" w:sz="4" w:space="0" w:color="auto"/>
              <w:right w:val="single" w:sz="4" w:space="0" w:color="auto"/>
            </w:tcBorders>
            <w:vAlign w:val="center"/>
          </w:tcPr>
          <w:p w:rsidR="00C6201C" w:rsidRPr="00AA4B63" w:rsidRDefault="00C6201C" w:rsidP="00482178">
            <w:pPr>
              <w:pStyle w:val="Tabletext"/>
              <w:rPr>
                <w:i/>
              </w:rPr>
            </w:pPr>
            <w:r w:rsidRPr="00AA4B63">
              <w:rPr>
                <w:i/>
              </w:rPr>
              <w:t>The Journal of Clinical Endocrinology &amp; Metabolism</w:t>
            </w:r>
            <w:r>
              <w:rPr>
                <w:i/>
              </w:rPr>
              <w:t xml:space="preserve"> DOI 10.1210/</w:t>
            </w:r>
            <w:r w:rsidRPr="00AA4B63">
              <w:rPr>
                <w:i/>
              </w:rPr>
              <w:t>jc.2017-02163</w:t>
            </w:r>
          </w:p>
        </w:tc>
      </w:tr>
      <w:tr w:rsidR="00C6201C" w:rsidRPr="00CB38A8" w:rsidTr="00482178">
        <w:tc>
          <w:tcPr>
            <w:tcW w:w="956" w:type="pct"/>
            <w:vMerge w:val="restart"/>
            <w:tcBorders>
              <w:left w:val="single" w:sz="4" w:space="0" w:color="auto"/>
              <w:right w:val="single" w:sz="4" w:space="0" w:color="auto"/>
            </w:tcBorders>
            <w:vAlign w:val="center"/>
          </w:tcPr>
          <w:p w:rsidR="00C6201C" w:rsidRDefault="00C6201C" w:rsidP="00482178">
            <w:pPr>
              <w:pStyle w:val="Tabletext"/>
            </w:pPr>
            <w:r>
              <w:t>FRAME</w:t>
            </w:r>
          </w:p>
        </w:tc>
        <w:tc>
          <w:tcPr>
            <w:tcW w:w="2488" w:type="pct"/>
            <w:tcBorders>
              <w:top w:val="single" w:sz="4" w:space="0" w:color="auto"/>
              <w:left w:val="single" w:sz="4" w:space="0" w:color="auto"/>
              <w:bottom w:val="single" w:sz="4" w:space="0" w:color="auto"/>
              <w:right w:val="single" w:sz="4" w:space="0" w:color="auto"/>
            </w:tcBorders>
            <w:vAlign w:val="center"/>
          </w:tcPr>
          <w:p w:rsidR="00C6201C" w:rsidRPr="00EB0A14" w:rsidRDefault="00C6201C" w:rsidP="00482178">
            <w:pPr>
              <w:pStyle w:val="Tabletext"/>
              <w:rPr>
                <w:szCs w:val="18"/>
              </w:rPr>
            </w:pPr>
            <w:r>
              <w:rPr>
                <w:szCs w:val="18"/>
              </w:rPr>
              <w:t xml:space="preserve">Amgen clinical study report (2017). </w:t>
            </w:r>
            <w:r w:rsidRPr="00EB0A14">
              <w:rPr>
                <w:szCs w:val="18"/>
              </w:rPr>
              <w:t>A Multicenter, International, Randomized, Double-blind, Placebo-controlled, Parallel-group Study to Assess the Efficacy and Safety of Romosozumab Treatment in Postmenopausal Women With Osteoporosis</w:t>
            </w:r>
          </w:p>
        </w:tc>
        <w:tc>
          <w:tcPr>
            <w:tcW w:w="1556" w:type="pct"/>
            <w:tcBorders>
              <w:top w:val="single" w:sz="4" w:space="0" w:color="auto"/>
              <w:left w:val="single" w:sz="4" w:space="0" w:color="auto"/>
              <w:bottom w:val="single" w:sz="4" w:space="0" w:color="auto"/>
              <w:right w:val="single" w:sz="4" w:space="0" w:color="auto"/>
            </w:tcBorders>
            <w:vAlign w:val="center"/>
          </w:tcPr>
          <w:p w:rsidR="00C6201C" w:rsidRPr="00EB0A14" w:rsidRDefault="00C6201C" w:rsidP="00482178">
            <w:pPr>
              <w:pStyle w:val="Tabletext"/>
            </w:pPr>
            <w:r>
              <w:t>Internal study report</w:t>
            </w:r>
          </w:p>
        </w:tc>
      </w:tr>
      <w:tr w:rsidR="00C6201C" w:rsidRPr="00CB38A8" w:rsidTr="00482178">
        <w:tc>
          <w:tcPr>
            <w:tcW w:w="956" w:type="pct"/>
            <w:vMerge/>
            <w:tcBorders>
              <w:left w:val="single" w:sz="4" w:space="0" w:color="auto"/>
              <w:right w:val="single" w:sz="4" w:space="0" w:color="auto"/>
            </w:tcBorders>
            <w:vAlign w:val="center"/>
          </w:tcPr>
          <w:p w:rsidR="00C6201C" w:rsidRDefault="00C6201C" w:rsidP="00482178">
            <w:pPr>
              <w:pStyle w:val="Tabletext"/>
            </w:pPr>
          </w:p>
        </w:tc>
        <w:tc>
          <w:tcPr>
            <w:tcW w:w="2488" w:type="pct"/>
            <w:tcBorders>
              <w:top w:val="single" w:sz="4" w:space="0" w:color="auto"/>
              <w:left w:val="single" w:sz="4" w:space="0" w:color="auto"/>
              <w:bottom w:val="single" w:sz="4" w:space="0" w:color="auto"/>
              <w:right w:val="single" w:sz="4" w:space="0" w:color="auto"/>
            </w:tcBorders>
            <w:vAlign w:val="center"/>
          </w:tcPr>
          <w:p w:rsidR="00C6201C" w:rsidRDefault="00C6201C" w:rsidP="00482178">
            <w:pPr>
              <w:pStyle w:val="Tabletext"/>
              <w:rPr>
                <w:szCs w:val="18"/>
              </w:rPr>
            </w:pPr>
            <w:r w:rsidRPr="00EB0A14">
              <w:rPr>
                <w:szCs w:val="18"/>
              </w:rPr>
              <w:t>Cosman F et al</w:t>
            </w:r>
            <w:r>
              <w:rPr>
                <w:szCs w:val="18"/>
              </w:rPr>
              <w:t xml:space="preserve"> (2016)</w:t>
            </w:r>
            <w:r w:rsidRPr="00EB0A14">
              <w:rPr>
                <w:szCs w:val="18"/>
              </w:rPr>
              <w:t xml:space="preserve">. Romosozumab Treatment in Postmenopausal Women with Osteoporosis. </w:t>
            </w:r>
          </w:p>
        </w:tc>
        <w:tc>
          <w:tcPr>
            <w:tcW w:w="1556" w:type="pct"/>
            <w:tcBorders>
              <w:top w:val="single" w:sz="4" w:space="0" w:color="auto"/>
              <w:left w:val="single" w:sz="4" w:space="0" w:color="auto"/>
              <w:bottom w:val="single" w:sz="4" w:space="0" w:color="auto"/>
              <w:right w:val="single" w:sz="4" w:space="0" w:color="auto"/>
            </w:tcBorders>
            <w:vAlign w:val="center"/>
          </w:tcPr>
          <w:p w:rsidR="00C6201C" w:rsidRDefault="00C6201C" w:rsidP="00482178">
            <w:pPr>
              <w:pStyle w:val="Tabletext"/>
            </w:pPr>
            <w:r w:rsidRPr="00EB0A14">
              <w:rPr>
                <w:szCs w:val="18"/>
              </w:rPr>
              <w:t>N</w:t>
            </w:r>
            <w:r>
              <w:rPr>
                <w:szCs w:val="18"/>
              </w:rPr>
              <w:t>ew</w:t>
            </w:r>
            <w:r w:rsidRPr="00EB0A14">
              <w:rPr>
                <w:szCs w:val="18"/>
              </w:rPr>
              <w:t xml:space="preserve"> Engl</w:t>
            </w:r>
            <w:r>
              <w:rPr>
                <w:szCs w:val="18"/>
              </w:rPr>
              <w:t>and</w:t>
            </w:r>
            <w:r w:rsidRPr="00EB0A14">
              <w:rPr>
                <w:szCs w:val="18"/>
              </w:rPr>
              <w:t xml:space="preserve"> J</w:t>
            </w:r>
            <w:r>
              <w:rPr>
                <w:szCs w:val="18"/>
              </w:rPr>
              <w:t>ournal of</w:t>
            </w:r>
            <w:r w:rsidRPr="00EB0A14">
              <w:rPr>
                <w:szCs w:val="18"/>
              </w:rPr>
              <w:t xml:space="preserve"> Med</w:t>
            </w:r>
            <w:r>
              <w:rPr>
                <w:szCs w:val="18"/>
              </w:rPr>
              <w:t xml:space="preserve">icine </w:t>
            </w:r>
            <w:r w:rsidRPr="00EB0A14">
              <w:rPr>
                <w:szCs w:val="18"/>
              </w:rPr>
              <w:t>375:</w:t>
            </w:r>
            <w:r>
              <w:rPr>
                <w:szCs w:val="18"/>
              </w:rPr>
              <w:t xml:space="preserve"> </w:t>
            </w:r>
            <w:r w:rsidRPr="00EB0A14">
              <w:rPr>
                <w:szCs w:val="18"/>
              </w:rPr>
              <w:t>1532-</w:t>
            </w:r>
            <w:r>
              <w:rPr>
                <w:szCs w:val="18"/>
              </w:rPr>
              <w:t>1543</w:t>
            </w:r>
          </w:p>
        </w:tc>
      </w:tr>
      <w:tr w:rsidR="00C6201C" w:rsidRPr="00CB38A8" w:rsidTr="00482178">
        <w:tc>
          <w:tcPr>
            <w:tcW w:w="956" w:type="pct"/>
            <w:vMerge/>
            <w:tcBorders>
              <w:left w:val="single" w:sz="4" w:space="0" w:color="auto"/>
              <w:right w:val="single" w:sz="4" w:space="0" w:color="auto"/>
            </w:tcBorders>
            <w:vAlign w:val="center"/>
          </w:tcPr>
          <w:p w:rsidR="00C6201C" w:rsidRDefault="00C6201C" w:rsidP="00482178">
            <w:pPr>
              <w:pStyle w:val="Tabletext"/>
            </w:pPr>
          </w:p>
        </w:tc>
        <w:tc>
          <w:tcPr>
            <w:tcW w:w="2488" w:type="pct"/>
            <w:tcBorders>
              <w:top w:val="single" w:sz="4" w:space="0" w:color="auto"/>
              <w:left w:val="single" w:sz="4" w:space="0" w:color="auto"/>
              <w:bottom w:val="single" w:sz="4" w:space="0" w:color="auto"/>
              <w:right w:val="single" w:sz="4" w:space="0" w:color="auto"/>
            </w:tcBorders>
            <w:vAlign w:val="center"/>
          </w:tcPr>
          <w:p w:rsidR="00C6201C" w:rsidRPr="00EB0A14" w:rsidRDefault="00C6201C" w:rsidP="00482178">
            <w:pPr>
              <w:pStyle w:val="Tabletext"/>
              <w:rPr>
                <w:szCs w:val="18"/>
              </w:rPr>
            </w:pPr>
            <w:r w:rsidRPr="00EB0A14">
              <w:rPr>
                <w:szCs w:val="18"/>
              </w:rPr>
              <w:t>Cosman F et al</w:t>
            </w:r>
            <w:r>
              <w:rPr>
                <w:szCs w:val="18"/>
              </w:rPr>
              <w:t xml:space="preserve"> (2018)</w:t>
            </w:r>
            <w:r w:rsidRPr="00EB0A14">
              <w:rPr>
                <w:szCs w:val="18"/>
              </w:rPr>
              <w:t>.</w:t>
            </w:r>
            <w:r>
              <w:rPr>
                <w:szCs w:val="18"/>
              </w:rPr>
              <w:t xml:space="preserve"> </w:t>
            </w:r>
            <w:r w:rsidRPr="00EB0A14">
              <w:rPr>
                <w:szCs w:val="18"/>
              </w:rPr>
              <w:t>FRAME Study: The Foundation Effect of Building Bone With 1 Year of Romosozumab</w:t>
            </w:r>
          </w:p>
          <w:p w:rsidR="00C6201C" w:rsidRPr="00EB0A14" w:rsidRDefault="00C6201C" w:rsidP="00482178">
            <w:pPr>
              <w:pStyle w:val="Tabletext"/>
              <w:rPr>
                <w:szCs w:val="18"/>
              </w:rPr>
            </w:pPr>
            <w:r w:rsidRPr="00EB0A14">
              <w:rPr>
                <w:szCs w:val="18"/>
              </w:rPr>
              <w:t>Leads to Continued Lower Fracture Risk After Transition to Denosumab</w:t>
            </w:r>
          </w:p>
        </w:tc>
        <w:tc>
          <w:tcPr>
            <w:tcW w:w="1556" w:type="pct"/>
            <w:tcBorders>
              <w:top w:val="single" w:sz="4" w:space="0" w:color="auto"/>
              <w:left w:val="single" w:sz="4" w:space="0" w:color="auto"/>
              <w:bottom w:val="single" w:sz="4" w:space="0" w:color="auto"/>
              <w:right w:val="single" w:sz="4" w:space="0" w:color="auto"/>
            </w:tcBorders>
            <w:vAlign w:val="center"/>
          </w:tcPr>
          <w:p w:rsidR="00C6201C" w:rsidRPr="00EB0A14" w:rsidRDefault="00C6201C" w:rsidP="00482178">
            <w:pPr>
              <w:pStyle w:val="Tabletext"/>
              <w:rPr>
                <w:szCs w:val="18"/>
              </w:rPr>
            </w:pPr>
            <w:r w:rsidRPr="00EB0A14">
              <w:rPr>
                <w:szCs w:val="18"/>
              </w:rPr>
              <w:t>Journal of Bone and Mineral Research</w:t>
            </w:r>
            <w:r>
              <w:rPr>
                <w:szCs w:val="18"/>
              </w:rPr>
              <w:t xml:space="preserve"> </w:t>
            </w:r>
            <w:r w:rsidRPr="00EB0A14">
              <w:rPr>
                <w:szCs w:val="18"/>
              </w:rPr>
              <w:t>DOI 10.1002/jbmr.3427</w:t>
            </w:r>
          </w:p>
        </w:tc>
      </w:tr>
      <w:tr w:rsidR="00C6201C" w:rsidRPr="00CB38A8" w:rsidTr="00482178">
        <w:tc>
          <w:tcPr>
            <w:tcW w:w="956" w:type="pct"/>
            <w:vMerge w:val="restart"/>
            <w:tcBorders>
              <w:left w:val="single" w:sz="4" w:space="0" w:color="auto"/>
              <w:right w:val="single" w:sz="4" w:space="0" w:color="auto"/>
            </w:tcBorders>
            <w:vAlign w:val="center"/>
          </w:tcPr>
          <w:p w:rsidR="00C6201C" w:rsidRDefault="00C6201C" w:rsidP="00482178">
            <w:pPr>
              <w:pStyle w:val="Tabletext"/>
            </w:pPr>
            <w:r>
              <w:t>STRUCTURE</w:t>
            </w:r>
          </w:p>
        </w:tc>
        <w:tc>
          <w:tcPr>
            <w:tcW w:w="2488" w:type="pct"/>
            <w:tcBorders>
              <w:top w:val="single" w:sz="4" w:space="0" w:color="auto"/>
              <w:left w:val="single" w:sz="4" w:space="0" w:color="auto"/>
              <w:bottom w:val="single" w:sz="4" w:space="0" w:color="auto"/>
              <w:right w:val="single" w:sz="4" w:space="0" w:color="auto"/>
            </w:tcBorders>
            <w:vAlign w:val="center"/>
          </w:tcPr>
          <w:p w:rsidR="00C6201C" w:rsidRPr="00EB0A14" w:rsidRDefault="00C6201C" w:rsidP="00482178">
            <w:pPr>
              <w:pStyle w:val="Tabletext"/>
              <w:rPr>
                <w:szCs w:val="18"/>
              </w:rPr>
            </w:pPr>
            <w:r>
              <w:rPr>
                <w:szCs w:val="18"/>
              </w:rPr>
              <w:t xml:space="preserve">Amgen clinical study report (2015). </w:t>
            </w:r>
            <w:r w:rsidRPr="007A649A">
              <w:rPr>
                <w:szCs w:val="18"/>
              </w:rPr>
              <w:t>An Open-label, Randomized, Teriparatide-controlled Study to Evaluate the Effect of Treatment With Romosozumab in Postmenopausal Women With Osteoporosis Previously Treated With Bisphosphonate Therapy</w:t>
            </w:r>
          </w:p>
        </w:tc>
        <w:tc>
          <w:tcPr>
            <w:tcW w:w="1556" w:type="pct"/>
            <w:tcBorders>
              <w:top w:val="single" w:sz="4" w:space="0" w:color="auto"/>
              <w:left w:val="single" w:sz="4" w:space="0" w:color="auto"/>
              <w:bottom w:val="single" w:sz="4" w:space="0" w:color="auto"/>
              <w:right w:val="single" w:sz="4" w:space="0" w:color="auto"/>
            </w:tcBorders>
            <w:vAlign w:val="center"/>
          </w:tcPr>
          <w:p w:rsidR="00C6201C" w:rsidRPr="00EB0A14" w:rsidRDefault="00C6201C" w:rsidP="00482178">
            <w:pPr>
              <w:pStyle w:val="Tabletext"/>
              <w:rPr>
                <w:szCs w:val="18"/>
              </w:rPr>
            </w:pPr>
            <w:r>
              <w:t>Internal study report</w:t>
            </w:r>
          </w:p>
        </w:tc>
      </w:tr>
      <w:tr w:rsidR="00C6201C" w:rsidRPr="00CB38A8" w:rsidTr="00482178">
        <w:tc>
          <w:tcPr>
            <w:tcW w:w="956" w:type="pct"/>
            <w:vMerge/>
            <w:tcBorders>
              <w:left w:val="single" w:sz="4" w:space="0" w:color="auto"/>
              <w:right w:val="single" w:sz="4" w:space="0" w:color="auto"/>
            </w:tcBorders>
            <w:vAlign w:val="center"/>
          </w:tcPr>
          <w:p w:rsidR="00C6201C" w:rsidRDefault="00C6201C" w:rsidP="00482178">
            <w:pPr>
              <w:pStyle w:val="Tabletext"/>
            </w:pPr>
          </w:p>
        </w:tc>
        <w:tc>
          <w:tcPr>
            <w:tcW w:w="2488" w:type="pct"/>
            <w:tcBorders>
              <w:top w:val="single" w:sz="4" w:space="0" w:color="auto"/>
              <w:left w:val="single" w:sz="4" w:space="0" w:color="auto"/>
              <w:bottom w:val="single" w:sz="4" w:space="0" w:color="auto"/>
              <w:right w:val="single" w:sz="4" w:space="0" w:color="auto"/>
            </w:tcBorders>
            <w:vAlign w:val="center"/>
          </w:tcPr>
          <w:p w:rsidR="00C6201C" w:rsidRDefault="00C6201C" w:rsidP="00482178">
            <w:pPr>
              <w:pStyle w:val="Tabletext"/>
              <w:rPr>
                <w:szCs w:val="18"/>
              </w:rPr>
            </w:pPr>
            <w:r w:rsidRPr="007A649A">
              <w:rPr>
                <w:szCs w:val="18"/>
              </w:rPr>
              <w:t>Langdahl B et al</w:t>
            </w:r>
            <w:r>
              <w:rPr>
                <w:szCs w:val="18"/>
              </w:rPr>
              <w:t xml:space="preserve"> (2017)</w:t>
            </w:r>
            <w:r w:rsidRPr="007A649A">
              <w:rPr>
                <w:szCs w:val="18"/>
              </w:rPr>
              <w:t xml:space="preserve">. Romosozumab (sclerostin monoclonal antibody) versus teriparatide in postmenopausal women with osteoporosis transitioning from oral bisphosphonate therapy: a randomised, open-label, phase 3 trial.  </w:t>
            </w:r>
          </w:p>
        </w:tc>
        <w:tc>
          <w:tcPr>
            <w:tcW w:w="1556" w:type="pct"/>
            <w:tcBorders>
              <w:top w:val="single" w:sz="4" w:space="0" w:color="auto"/>
              <w:left w:val="single" w:sz="4" w:space="0" w:color="auto"/>
              <w:bottom w:val="single" w:sz="4" w:space="0" w:color="auto"/>
              <w:right w:val="single" w:sz="4" w:space="0" w:color="auto"/>
            </w:tcBorders>
            <w:vAlign w:val="center"/>
          </w:tcPr>
          <w:p w:rsidR="00C6201C" w:rsidRDefault="00C6201C" w:rsidP="00482178">
            <w:pPr>
              <w:pStyle w:val="Tabletext"/>
            </w:pPr>
            <w:r>
              <w:rPr>
                <w:szCs w:val="18"/>
              </w:rPr>
              <w:t xml:space="preserve">Lancet </w:t>
            </w:r>
            <w:r w:rsidRPr="007A649A">
              <w:rPr>
                <w:szCs w:val="18"/>
              </w:rPr>
              <w:t>390: 1585–</w:t>
            </w:r>
            <w:r>
              <w:rPr>
                <w:szCs w:val="18"/>
              </w:rPr>
              <w:t>1594</w:t>
            </w:r>
          </w:p>
        </w:tc>
      </w:tr>
      <w:tr w:rsidR="00C6201C" w:rsidRPr="00CB38A8" w:rsidTr="00482178">
        <w:tc>
          <w:tcPr>
            <w:tcW w:w="956" w:type="pct"/>
            <w:tcBorders>
              <w:top w:val="single" w:sz="4" w:space="0" w:color="auto"/>
              <w:left w:val="single" w:sz="4" w:space="0" w:color="auto"/>
              <w:right w:val="single" w:sz="4" w:space="0" w:color="auto"/>
            </w:tcBorders>
            <w:vAlign w:val="center"/>
          </w:tcPr>
          <w:p w:rsidR="00C6201C" w:rsidRPr="00D45D75" w:rsidRDefault="00C6201C" w:rsidP="00482178">
            <w:pPr>
              <w:pStyle w:val="Tabletext"/>
            </w:pPr>
            <w:r>
              <w:t>Study 156</w:t>
            </w:r>
          </w:p>
        </w:tc>
        <w:tc>
          <w:tcPr>
            <w:tcW w:w="2488" w:type="pct"/>
            <w:tcBorders>
              <w:top w:val="single" w:sz="4" w:space="0" w:color="auto"/>
              <w:left w:val="single" w:sz="4" w:space="0" w:color="auto"/>
              <w:bottom w:val="single" w:sz="4" w:space="0" w:color="auto"/>
              <w:right w:val="single" w:sz="4" w:space="0" w:color="auto"/>
            </w:tcBorders>
            <w:vAlign w:val="center"/>
          </w:tcPr>
          <w:p w:rsidR="00C6201C" w:rsidRPr="00514FEA" w:rsidRDefault="00C6201C" w:rsidP="00482178">
            <w:pPr>
              <w:pStyle w:val="Tabletext"/>
              <w:rPr>
                <w:szCs w:val="18"/>
              </w:rPr>
            </w:pPr>
            <w:r>
              <w:rPr>
                <w:szCs w:val="18"/>
              </w:rPr>
              <w:t xml:space="preserve">Amgen clinical study report (2015). </w:t>
            </w:r>
            <w:r w:rsidRPr="00514FEA">
              <w:rPr>
                <w:szCs w:val="18"/>
              </w:rPr>
              <w:t>A Multicenter, Randomized, Multiple-dose Phase 3 Study to</w:t>
            </w:r>
          </w:p>
          <w:p w:rsidR="00C6201C" w:rsidRPr="00514FEA" w:rsidRDefault="00C6201C" w:rsidP="00482178">
            <w:pPr>
              <w:pStyle w:val="Tabletext"/>
              <w:rPr>
                <w:szCs w:val="18"/>
              </w:rPr>
            </w:pPr>
            <w:r w:rsidRPr="00514FEA">
              <w:rPr>
                <w:szCs w:val="18"/>
              </w:rPr>
              <w:t>Evaluate the Noninferiority of Romosozumab at a</w:t>
            </w:r>
          </w:p>
          <w:p w:rsidR="00C6201C" w:rsidRPr="00514FEA" w:rsidRDefault="00C6201C" w:rsidP="00482178">
            <w:pPr>
              <w:pStyle w:val="Tabletext"/>
              <w:rPr>
                <w:szCs w:val="18"/>
              </w:rPr>
            </w:pPr>
            <w:r w:rsidRPr="00514FEA">
              <w:rPr>
                <w:szCs w:val="18"/>
              </w:rPr>
              <w:t>90 mg/mL Concentration Compared With a 70 mg/mL</w:t>
            </w:r>
          </w:p>
          <w:p w:rsidR="00C6201C" w:rsidRPr="00514FEA" w:rsidRDefault="00C6201C" w:rsidP="00482178">
            <w:pPr>
              <w:pStyle w:val="Tabletext"/>
              <w:rPr>
                <w:szCs w:val="18"/>
              </w:rPr>
            </w:pPr>
            <w:r w:rsidRPr="00514FEA">
              <w:rPr>
                <w:szCs w:val="18"/>
              </w:rPr>
              <w:t>Concentration in Postmenopausal Women With</w:t>
            </w:r>
          </w:p>
          <w:p w:rsidR="00C6201C" w:rsidRDefault="00C6201C" w:rsidP="00482178">
            <w:pPr>
              <w:pStyle w:val="Tabletext"/>
              <w:rPr>
                <w:szCs w:val="18"/>
              </w:rPr>
            </w:pPr>
            <w:r w:rsidRPr="00514FEA">
              <w:rPr>
                <w:szCs w:val="18"/>
              </w:rPr>
              <w:t>Osteoporosis</w:t>
            </w:r>
          </w:p>
        </w:tc>
        <w:tc>
          <w:tcPr>
            <w:tcW w:w="1556" w:type="pct"/>
            <w:tcBorders>
              <w:top w:val="single" w:sz="4" w:space="0" w:color="auto"/>
              <w:left w:val="single" w:sz="4" w:space="0" w:color="auto"/>
              <w:bottom w:val="single" w:sz="4" w:space="0" w:color="auto"/>
              <w:right w:val="single" w:sz="4" w:space="0" w:color="auto"/>
            </w:tcBorders>
            <w:vAlign w:val="center"/>
          </w:tcPr>
          <w:p w:rsidR="00C6201C" w:rsidRDefault="00C6201C" w:rsidP="00482178">
            <w:pPr>
              <w:pStyle w:val="Tabletext"/>
            </w:pPr>
            <w:r>
              <w:t>Internal study report</w:t>
            </w:r>
          </w:p>
        </w:tc>
      </w:tr>
      <w:tr w:rsidR="00C6201C" w:rsidRPr="00CB38A8" w:rsidTr="00482178">
        <w:tc>
          <w:tcPr>
            <w:tcW w:w="956" w:type="pct"/>
            <w:vMerge w:val="restart"/>
            <w:tcBorders>
              <w:top w:val="single" w:sz="4" w:space="0" w:color="auto"/>
              <w:left w:val="single" w:sz="4" w:space="0" w:color="auto"/>
              <w:right w:val="single" w:sz="4" w:space="0" w:color="auto"/>
            </w:tcBorders>
            <w:vAlign w:val="center"/>
          </w:tcPr>
          <w:p w:rsidR="00C6201C" w:rsidRPr="00D45D75" w:rsidRDefault="00C6201C" w:rsidP="00482178">
            <w:pPr>
              <w:pStyle w:val="Tabletext"/>
            </w:pPr>
            <w:r>
              <w:t>Study 326</w:t>
            </w:r>
          </w:p>
        </w:tc>
        <w:tc>
          <w:tcPr>
            <w:tcW w:w="2488" w:type="pct"/>
            <w:tcBorders>
              <w:top w:val="single" w:sz="4" w:space="0" w:color="auto"/>
              <w:left w:val="single" w:sz="4" w:space="0" w:color="auto"/>
              <w:bottom w:val="single" w:sz="4" w:space="0" w:color="auto"/>
              <w:right w:val="single" w:sz="4" w:space="0" w:color="auto"/>
            </w:tcBorders>
            <w:vAlign w:val="center"/>
          </w:tcPr>
          <w:p w:rsidR="00C6201C" w:rsidRPr="00D45D75" w:rsidRDefault="00C6201C" w:rsidP="00482178">
            <w:pPr>
              <w:pStyle w:val="Tabletext"/>
              <w:rPr>
                <w:szCs w:val="18"/>
                <w:lang w:eastAsia="en-AU"/>
              </w:rPr>
            </w:pPr>
            <w:r>
              <w:rPr>
                <w:szCs w:val="18"/>
              </w:rPr>
              <w:t xml:space="preserve">Amgen clinical study report (2016). </w:t>
            </w:r>
            <w:r w:rsidRPr="00DB619B">
              <w:rPr>
                <w:szCs w:val="18"/>
              </w:rPr>
              <w:t>A Randomized, Placebo-controlled, Multi-dose Phase 2 Study to Determine the Efficacy, Safety and Tolerability of AMG 785 in the Treatment of Postmenopausal Women With Low Bone Mineral Density</w:t>
            </w:r>
          </w:p>
        </w:tc>
        <w:tc>
          <w:tcPr>
            <w:tcW w:w="1556" w:type="pct"/>
            <w:tcBorders>
              <w:top w:val="single" w:sz="4" w:space="0" w:color="auto"/>
              <w:left w:val="single" w:sz="4" w:space="0" w:color="auto"/>
              <w:bottom w:val="single" w:sz="4" w:space="0" w:color="auto"/>
              <w:right w:val="single" w:sz="4" w:space="0" w:color="auto"/>
            </w:tcBorders>
            <w:vAlign w:val="center"/>
          </w:tcPr>
          <w:p w:rsidR="00C6201C" w:rsidRPr="00585B69" w:rsidRDefault="00C6201C" w:rsidP="00482178">
            <w:pPr>
              <w:pStyle w:val="Tabletext"/>
            </w:pPr>
            <w:r>
              <w:t xml:space="preserve">Internal study report </w:t>
            </w:r>
          </w:p>
        </w:tc>
      </w:tr>
      <w:tr w:rsidR="00C6201C" w:rsidRPr="00CB38A8" w:rsidTr="00482178">
        <w:tc>
          <w:tcPr>
            <w:tcW w:w="956" w:type="pct"/>
            <w:vMerge/>
            <w:tcBorders>
              <w:left w:val="single" w:sz="4" w:space="0" w:color="auto"/>
              <w:right w:val="single" w:sz="4" w:space="0" w:color="auto"/>
            </w:tcBorders>
            <w:vAlign w:val="center"/>
          </w:tcPr>
          <w:p w:rsidR="00C6201C" w:rsidRPr="00D45D75" w:rsidRDefault="00C6201C" w:rsidP="00482178">
            <w:pPr>
              <w:pStyle w:val="Tabletext"/>
            </w:pPr>
          </w:p>
        </w:tc>
        <w:tc>
          <w:tcPr>
            <w:tcW w:w="2488" w:type="pct"/>
            <w:tcBorders>
              <w:top w:val="single" w:sz="4" w:space="0" w:color="auto"/>
              <w:left w:val="single" w:sz="4" w:space="0" w:color="auto"/>
              <w:bottom w:val="single" w:sz="4" w:space="0" w:color="auto"/>
              <w:right w:val="single" w:sz="4" w:space="0" w:color="auto"/>
            </w:tcBorders>
            <w:vAlign w:val="center"/>
          </w:tcPr>
          <w:p w:rsidR="00C6201C" w:rsidRPr="00D45D75" w:rsidRDefault="00C6201C" w:rsidP="00482178">
            <w:pPr>
              <w:pStyle w:val="Tabletext"/>
              <w:rPr>
                <w:szCs w:val="18"/>
                <w:lang w:eastAsia="en-AU"/>
              </w:rPr>
            </w:pPr>
            <w:r w:rsidRPr="00DB619B">
              <w:rPr>
                <w:szCs w:val="18"/>
                <w:lang w:eastAsia="en-AU"/>
              </w:rPr>
              <w:t>McClung M et al</w:t>
            </w:r>
            <w:r>
              <w:rPr>
                <w:szCs w:val="18"/>
                <w:lang w:eastAsia="en-AU"/>
              </w:rPr>
              <w:t xml:space="preserve"> (2014).</w:t>
            </w:r>
            <w:r w:rsidRPr="00DB619B">
              <w:rPr>
                <w:szCs w:val="18"/>
                <w:lang w:eastAsia="en-AU"/>
              </w:rPr>
              <w:t xml:space="preserve"> Romosozumab in Postmenopausal Women with Low Bone Mineral Density. </w:t>
            </w:r>
          </w:p>
        </w:tc>
        <w:tc>
          <w:tcPr>
            <w:tcW w:w="1556" w:type="pct"/>
            <w:tcBorders>
              <w:top w:val="single" w:sz="4" w:space="0" w:color="auto"/>
              <w:left w:val="single" w:sz="4" w:space="0" w:color="auto"/>
              <w:bottom w:val="single" w:sz="4" w:space="0" w:color="auto"/>
              <w:right w:val="single" w:sz="4" w:space="0" w:color="auto"/>
            </w:tcBorders>
            <w:vAlign w:val="center"/>
          </w:tcPr>
          <w:p w:rsidR="00C6201C" w:rsidRPr="00D45D75" w:rsidRDefault="00C6201C" w:rsidP="00482178">
            <w:pPr>
              <w:pStyle w:val="Tabletext"/>
              <w:rPr>
                <w:szCs w:val="18"/>
                <w:lang w:eastAsia="en-AU"/>
              </w:rPr>
            </w:pPr>
            <w:r w:rsidRPr="00DB619B">
              <w:rPr>
                <w:szCs w:val="18"/>
                <w:lang w:eastAsia="en-AU"/>
              </w:rPr>
              <w:t>N</w:t>
            </w:r>
            <w:r>
              <w:rPr>
                <w:szCs w:val="18"/>
                <w:lang w:eastAsia="en-AU"/>
              </w:rPr>
              <w:t>ew</w:t>
            </w:r>
            <w:r w:rsidRPr="00DB619B">
              <w:rPr>
                <w:szCs w:val="18"/>
                <w:lang w:eastAsia="en-AU"/>
              </w:rPr>
              <w:t xml:space="preserve"> Engl</w:t>
            </w:r>
            <w:r>
              <w:rPr>
                <w:szCs w:val="18"/>
                <w:lang w:eastAsia="en-AU"/>
              </w:rPr>
              <w:t>and</w:t>
            </w:r>
            <w:r w:rsidRPr="00DB619B">
              <w:rPr>
                <w:szCs w:val="18"/>
                <w:lang w:eastAsia="en-AU"/>
              </w:rPr>
              <w:t xml:space="preserve"> J</w:t>
            </w:r>
            <w:r>
              <w:rPr>
                <w:szCs w:val="18"/>
                <w:lang w:eastAsia="en-AU"/>
              </w:rPr>
              <w:t>ournal of</w:t>
            </w:r>
            <w:r w:rsidRPr="00DB619B">
              <w:rPr>
                <w:szCs w:val="18"/>
                <w:lang w:eastAsia="en-AU"/>
              </w:rPr>
              <w:t xml:space="preserve"> Med</w:t>
            </w:r>
            <w:r>
              <w:rPr>
                <w:szCs w:val="18"/>
                <w:lang w:eastAsia="en-AU"/>
              </w:rPr>
              <w:t xml:space="preserve">icine </w:t>
            </w:r>
            <w:r w:rsidRPr="00DB619B">
              <w:rPr>
                <w:szCs w:val="18"/>
                <w:lang w:eastAsia="en-AU"/>
              </w:rPr>
              <w:t>370:</w:t>
            </w:r>
            <w:r>
              <w:rPr>
                <w:szCs w:val="18"/>
                <w:lang w:eastAsia="en-AU"/>
              </w:rPr>
              <w:t xml:space="preserve"> 412-420</w:t>
            </w:r>
          </w:p>
        </w:tc>
      </w:tr>
      <w:tr w:rsidR="00C6201C" w:rsidRPr="00CB38A8" w:rsidTr="00482178">
        <w:tc>
          <w:tcPr>
            <w:tcW w:w="956" w:type="pct"/>
            <w:vMerge/>
            <w:tcBorders>
              <w:left w:val="single" w:sz="4" w:space="0" w:color="auto"/>
              <w:bottom w:val="single" w:sz="4" w:space="0" w:color="auto"/>
              <w:right w:val="single" w:sz="4" w:space="0" w:color="auto"/>
            </w:tcBorders>
            <w:vAlign w:val="center"/>
          </w:tcPr>
          <w:p w:rsidR="00C6201C" w:rsidRPr="00D45D75" w:rsidRDefault="00C6201C" w:rsidP="00482178">
            <w:pPr>
              <w:pStyle w:val="Tabletext"/>
            </w:pPr>
          </w:p>
        </w:tc>
        <w:tc>
          <w:tcPr>
            <w:tcW w:w="2488" w:type="pct"/>
            <w:tcBorders>
              <w:top w:val="single" w:sz="4" w:space="0" w:color="auto"/>
              <w:left w:val="single" w:sz="4" w:space="0" w:color="auto"/>
              <w:bottom w:val="single" w:sz="4" w:space="0" w:color="auto"/>
              <w:right w:val="single" w:sz="4" w:space="0" w:color="auto"/>
            </w:tcBorders>
            <w:vAlign w:val="center"/>
          </w:tcPr>
          <w:p w:rsidR="00C6201C" w:rsidRPr="00585B69" w:rsidRDefault="00C6201C" w:rsidP="00482178">
            <w:pPr>
              <w:pStyle w:val="Tabletext"/>
              <w:rPr>
                <w:szCs w:val="18"/>
                <w:lang w:eastAsia="en-AU"/>
              </w:rPr>
            </w:pPr>
            <w:r w:rsidRPr="00585B69">
              <w:rPr>
                <w:szCs w:val="18"/>
                <w:lang w:eastAsia="en-AU"/>
              </w:rPr>
              <w:t>McClung M et al (2018). Effects of 24 Months of Treatment With Romosozumab Followed by 12 Months of Denosumab or Placebo in Postmenopausal Women With Low Bone Mineral Density: A Randomized, Double-Blind, Phase 2, Parallel Group Study</w:t>
            </w:r>
          </w:p>
        </w:tc>
        <w:tc>
          <w:tcPr>
            <w:tcW w:w="1556" w:type="pct"/>
            <w:tcBorders>
              <w:top w:val="single" w:sz="4" w:space="0" w:color="auto"/>
              <w:left w:val="single" w:sz="4" w:space="0" w:color="auto"/>
              <w:bottom w:val="single" w:sz="4" w:space="0" w:color="auto"/>
              <w:right w:val="single" w:sz="4" w:space="0" w:color="auto"/>
            </w:tcBorders>
            <w:vAlign w:val="center"/>
          </w:tcPr>
          <w:p w:rsidR="00C6201C" w:rsidRPr="00585B69" w:rsidRDefault="00C6201C" w:rsidP="00482178">
            <w:pPr>
              <w:pStyle w:val="Tabletext"/>
              <w:rPr>
                <w:szCs w:val="18"/>
                <w:lang w:eastAsia="en-AU"/>
              </w:rPr>
            </w:pPr>
            <w:r w:rsidRPr="00585B69">
              <w:rPr>
                <w:szCs w:val="18"/>
                <w:lang w:eastAsia="en-AU"/>
              </w:rPr>
              <w:t>Journal of Bone and Mineral Research 33: 1-10</w:t>
            </w:r>
          </w:p>
        </w:tc>
      </w:tr>
      <w:tr w:rsidR="00C6201C" w:rsidRPr="00CB38A8" w:rsidTr="00482178">
        <w:tc>
          <w:tcPr>
            <w:tcW w:w="956" w:type="pct"/>
            <w:vMerge w:val="restart"/>
            <w:tcBorders>
              <w:top w:val="single" w:sz="4" w:space="0" w:color="auto"/>
              <w:left w:val="single" w:sz="4" w:space="0" w:color="auto"/>
              <w:right w:val="single" w:sz="4" w:space="0" w:color="auto"/>
            </w:tcBorders>
            <w:vAlign w:val="center"/>
          </w:tcPr>
          <w:p w:rsidR="00C6201C" w:rsidRPr="00D45D75" w:rsidRDefault="00C6201C" w:rsidP="00482178">
            <w:pPr>
              <w:pStyle w:val="Tabletext"/>
            </w:pPr>
            <w:r>
              <w:lastRenderedPageBreak/>
              <w:t>GHAC</w:t>
            </w:r>
          </w:p>
        </w:tc>
        <w:tc>
          <w:tcPr>
            <w:tcW w:w="2488" w:type="pct"/>
            <w:tcBorders>
              <w:top w:val="single" w:sz="4" w:space="0" w:color="auto"/>
              <w:left w:val="single" w:sz="4" w:space="0" w:color="auto"/>
              <w:bottom w:val="single" w:sz="4" w:space="0" w:color="auto"/>
              <w:right w:val="single" w:sz="4" w:space="0" w:color="auto"/>
            </w:tcBorders>
            <w:vAlign w:val="center"/>
          </w:tcPr>
          <w:p w:rsidR="00C6201C" w:rsidRPr="00D45D75" w:rsidRDefault="00C6201C" w:rsidP="00482178">
            <w:pPr>
              <w:pStyle w:val="Tabletext"/>
              <w:rPr>
                <w:szCs w:val="18"/>
                <w:lang w:eastAsia="en-AU"/>
              </w:rPr>
            </w:pPr>
            <w:r w:rsidRPr="007A649A">
              <w:rPr>
                <w:szCs w:val="18"/>
                <w:lang w:eastAsia="en-AU"/>
              </w:rPr>
              <w:t>Neer et al</w:t>
            </w:r>
            <w:r>
              <w:rPr>
                <w:szCs w:val="18"/>
                <w:lang w:eastAsia="en-AU"/>
              </w:rPr>
              <w:t xml:space="preserve"> (2001)</w:t>
            </w:r>
            <w:r w:rsidRPr="007A649A">
              <w:rPr>
                <w:szCs w:val="18"/>
                <w:lang w:eastAsia="en-AU"/>
              </w:rPr>
              <w:t xml:space="preserve">. Effect of parathyroid hormone (1-34) on fractures and bone mineral density in postmenopausal women with osteoporosis.  </w:t>
            </w:r>
          </w:p>
        </w:tc>
        <w:tc>
          <w:tcPr>
            <w:tcW w:w="1556" w:type="pct"/>
            <w:tcBorders>
              <w:top w:val="single" w:sz="4" w:space="0" w:color="auto"/>
              <w:left w:val="single" w:sz="4" w:space="0" w:color="auto"/>
              <w:bottom w:val="single" w:sz="4" w:space="0" w:color="auto"/>
              <w:right w:val="single" w:sz="4" w:space="0" w:color="auto"/>
            </w:tcBorders>
            <w:vAlign w:val="center"/>
          </w:tcPr>
          <w:p w:rsidR="00C6201C" w:rsidRPr="00D45D75" w:rsidRDefault="00C6201C" w:rsidP="00482178">
            <w:pPr>
              <w:pStyle w:val="Tabletext"/>
              <w:rPr>
                <w:szCs w:val="18"/>
                <w:lang w:eastAsia="en-AU"/>
              </w:rPr>
            </w:pPr>
            <w:r w:rsidRPr="007A649A">
              <w:rPr>
                <w:szCs w:val="18"/>
                <w:lang w:eastAsia="en-AU"/>
              </w:rPr>
              <w:t>N</w:t>
            </w:r>
            <w:r>
              <w:rPr>
                <w:szCs w:val="18"/>
                <w:lang w:eastAsia="en-AU"/>
              </w:rPr>
              <w:t>ew</w:t>
            </w:r>
            <w:r w:rsidRPr="007A649A">
              <w:rPr>
                <w:szCs w:val="18"/>
                <w:lang w:eastAsia="en-AU"/>
              </w:rPr>
              <w:t xml:space="preserve"> Engl</w:t>
            </w:r>
            <w:r>
              <w:rPr>
                <w:szCs w:val="18"/>
                <w:lang w:eastAsia="en-AU"/>
              </w:rPr>
              <w:t>and</w:t>
            </w:r>
            <w:r w:rsidRPr="007A649A">
              <w:rPr>
                <w:szCs w:val="18"/>
                <w:lang w:eastAsia="en-AU"/>
              </w:rPr>
              <w:t xml:space="preserve"> J</w:t>
            </w:r>
            <w:r>
              <w:rPr>
                <w:szCs w:val="18"/>
                <w:lang w:eastAsia="en-AU"/>
              </w:rPr>
              <w:t>ournal of</w:t>
            </w:r>
            <w:r w:rsidRPr="007A649A">
              <w:rPr>
                <w:szCs w:val="18"/>
                <w:lang w:eastAsia="en-AU"/>
              </w:rPr>
              <w:t xml:space="preserve"> Med</w:t>
            </w:r>
            <w:r>
              <w:rPr>
                <w:szCs w:val="18"/>
                <w:lang w:eastAsia="en-AU"/>
              </w:rPr>
              <w:t xml:space="preserve">icine </w:t>
            </w:r>
            <w:r w:rsidRPr="007A649A">
              <w:rPr>
                <w:szCs w:val="18"/>
                <w:lang w:eastAsia="en-AU"/>
              </w:rPr>
              <w:t>344: 1434-</w:t>
            </w:r>
            <w:r>
              <w:rPr>
                <w:szCs w:val="18"/>
                <w:lang w:eastAsia="en-AU"/>
              </w:rPr>
              <w:t>1441</w:t>
            </w:r>
          </w:p>
        </w:tc>
      </w:tr>
      <w:tr w:rsidR="00C6201C" w:rsidRPr="00CB38A8" w:rsidTr="00482178">
        <w:tc>
          <w:tcPr>
            <w:tcW w:w="956" w:type="pct"/>
            <w:vMerge/>
            <w:tcBorders>
              <w:left w:val="single" w:sz="4" w:space="0" w:color="auto"/>
              <w:bottom w:val="single" w:sz="4" w:space="0" w:color="auto"/>
              <w:right w:val="single" w:sz="4" w:space="0" w:color="auto"/>
            </w:tcBorders>
            <w:vAlign w:val="center"/>
          </w:tcPr>
          <w:p w:rsidR="00C6201C" w:rsidRPr="00D45D75" w:rsidRDefault="00C6201C" w:rsidP="00482178">
            <w:pPr>
              <w:pStyle w:val="Tabletext"/>
            </w:pPr>
          </w:p>
        </w:tc>
        <w:tc>
          <w:tcPr>
            <w:tcW w:w="2488" w:type="pct"/>
            <w:tcBorders>
              <w:top w:val="single" w:sz="4" w:space="0" w:color="auto"/>
              <w:left w:val="single" w:sz="4" w:space="0" w:color="auto"/>
              <w:bottom w:val="single" w:sz="4" w:space="0" w:color="auto"/>
              <w:right w:val="single" w:sz="4" w:space="0" w:color="auto"/>
            </w:tcBorders>
            <w:vAlign w:val="center"/>
          </w:tcPr>
          <w:p w:rsidR="00C6201C" w:rsidRPr="00D45D75" w:rsidRDefault="00C6201C" w:rsidP="00482178">
            <w:pPr>
              <w:pStyle w:val="Tabletext"/>
              <w:rPr>
                <w:szCs w:val="18"/>
                <w:lang w:eastAsia="en-AU"/>
              </w:rPr>
            </w:pPr>
            <w:r w:rsidRPr="007A649A">
              <w:rPr>
                <w:szCs w:val="18"/>
                <w:lang w:eastAsia="en-AU"/>
              </w:rPr>
              <w:t>Gallagher JC et al</w:t>
            </w:r>
            <w:r>
              <w:rPr>
                <w:szCs w:val="18"/>
                <w:lang w:eastAsia="en-AU"/>
              </w:rPr>
              <w:t xml:space="preserve"> (2005)</w:t>
            </w:r>
            <w:r w:rsidRPr="007A649A">
              <w:rPr>
                <w:szCs w:val="18"/>
                <w:lang w:eastAsia="en-AU"/>
              </w:rPr>
              <w:t xml:space="preserve">. Teriparatide Reduces the Fracture Risk Associated with Increasing Number and Severity of Osteoporotic Fractures. </w:t>
            </w:r>
          </w:p>
        </w:tc>
        <w:tc>
          <w:tcPr>
            <w:tcW w:w="1556" w:type="pct"/>
            <w:tcBorders>
              <w:top w:val="single" w:sz="4" w:space="0" w:color="auto"/>
              <w:left w:val="single" w:sz="4" w:space="0" w:color="auto"/>
              <w:bottom w:val="single" w:sz="4" w:space="0" w:color="auto"/>
              <w:right w:val="single" w:sz="4" w:space="0" w:color="auto"/>
            </w:tcBorders>
            <w:vAlign w:val="center"/>
          </w:tcPr>
          <w:p w:rsidR="00C6201C" w:rsidRPr="00D45D75" w:rsidRDefault="00C6201C" w:rsidP="00482178">
            <w:pPr>
              <w:pStyle w:val="Tabletext"/>
              <w:rPr>
                <w:szCs w:val="18"/>
                <w:lang w:eastAsia="en-AU"/>
              </w:rPr>
            </w:pPr>
            <w:r>
              <w:rPr>
                <w:szCs w:val="18"/>
                <w:lang w:eastAsia="en-AU"/>
              </w:rPr>
              <w:t xml:space="preserve">The </w:t>
            </w:r>
            <w:r w:rsidRPr="007A649A">
              <w:rPr>
                <w:szCs w:val="18"/>
                <w:lang w:eastAsia="en-AU"/>
              </w:rPr>
              <w:t>J</w:t>
            </w:r>
            <w:r>
              <w:rPr>
                <w:szCs w:val="18"/>
                <w:lang w:eastAsia="en-AU"/>
              </w:rPr>
              <w:t>ournal of</w:t>
            </w:r>
            <w:r w:rsidRPr="007A649A">
              <w:rPr>
                <w:szCs w:val="18"/>
                <w:lang w:eastAsia="en-AU"/>
              </w:rPr>
              <w:t xml:space="preserve"> Clin</w:t>
            </w:r>
            <w:r>
              <w:rPr>
                <w:szCs w:val="18"/>
                <w:lang w:eastAsia="en-AU"/>
              </w:rPr>
              <w:t>ical</w:t>
            </w:r>
            <w:r w:rsidRPr="007A649A">
              <w:rPr>
                <w:szCs w:val="18"/>
                <w:lang w:eastAsia="en-AU"/>
              </w:rPr>
              <w:t xml:space="preserve"> Endocrinol</w:t>
            </w:r>
            <w:r>
              <w:rPr>
                <w:szCs w:val="18"/>
                <w:lang w:eastAsia="en-AU"/>
              </w:rPr>
              <w:t>ogy &amp;</w:t>
            </w:r>
            <w:r w:rsidRPr="007A649A">
              <w:rPr>
                <w:szCs w:val="18"/>
                <w:lang w:eastAsia="en-AU"/>
              </w:rPr>
              <w:t xml:space="preserve"> Metab</w:t>
            </w:r>
            <w:r>
              <w:rPr>
                <w:szCs w:val="18"/>
                <w:lang w:eastAsia="en-AU"/>
              </w:rPr>
              <w:t xml:space="preserve">olism 90: </w:t>
            </w:r>
            <w:r w:rsidRPr="007A649A">
              <w:rPr>
                <w:szCs w:val="18"/>
                <w:lang w:eastAsia="en-AU"/>
              </w:rPr>
              <w:t>1583–</w:t>
            </w:r>
            <w:r>
              <w:rPr>
                <w:szCs w:val="18"/>
                <w:lang w:eastAsia="en-AU"/>
              </w:rPr>
              <w:t>1587</w:t>
            </w:r>
          </w:p>
        </w:tc>
      </w:tr>
      <w:tr w:rsidR="00C6201C" w:rsidRPr="00CB38A8" w:rsidTr="00482178">
        <w:tc>
          <w:tcPr>
            <w:tcW w:w="956" w:type="pct"/>
            <w:tcBorders>
              <w:top w:val="single" w:sz="4" w:space="0" w:color="auto"/>
              <w:left w:val="single" w:sz="4" w:space="0" w:color="auto"/>
              <w:bottom w:val="single" w:sz="4" w:space="0" w:color="auto"/>
              <w:right w:val="single" w:sz="4" w:space="0" w:color="auto"/>
            </w:tcBorders>
            <w:vAlign w:val="center"/>
          </w:tcPr>
          <w:p w:rsidR="00C6201C" w:rsidRPr="00D45D75" w:rsidRDefault="00C6201C" w:rsidP="00482178">
            <w:pPr>
              <w:pStyle w:val="Tabletext"/>
            </w:pPr>
            <w:r>
              <w:t>ACTIVE</w:t>
            </w:r>
          </w:p>
        </w:tc>
        <w:tc>
          <w:tcPr>
            <w:tcW w:w="2488" w:type="pct"/>
            <w:tcBorders>
              <w:top w:val="single" w:sz="4" w:space="0" w:color="auto"/>
              <w:left w:val="single" w:sz="4" w:space="0" w:color="auto"/>
              <w:bottom w:val="single" w:sz="4" w:space="0" w:color="auto"/>
              <w:right w:val="single" w:sz="4" w:space="0" w:color="auto"/>
            </w:tcBorders>
            <w:vAlign w:val="center"/>
          </w:tcPr>
          <w:p w:rsidR="00C6201C" w:rsidRPr="00D45D75" w:rsidRDefault="00C6201C" w:rsidP="00482178">
            <w:pPr>
              <w:pStyle w:val="Tabletext"/>
              <w:rPr>
                <w:szCs w:val="18"/>
                <w:lang w:eastAsia="en-AU"/>
              </w:rPr>
            </w:pPr>
            <w:r w:rsidRPr="00874582">
              <w:rPr>
                <w:szCs w:val="18"/>
                <w:lang w:eastAsia="en-AU"/>
              </w:rPr>
              <w:t>Miller P et al</w:t>
            </w:r>
            <w:r>
              <w:rPr>
                <w:szCs w:val="18"/>
                <w:lang w:eastAsia="en-AU"/>
              </w:rPr>
              <w:t xml:space="preserve"> (2016)</w:t>
            </w:r>
            <w:r w:rsidRPr="00874582">
              <w:rPr>
                <w:szCs w:val="18"/>
                <w:lang w:eastAsia="en-AU"/>
              </w:rPr>
              <w:t xml:space="preserve">. Effect of Abaloparatide vs Placebo on New Vertebral Fractures in Postmenopausal Women With Osteoporosis A Randomized Clinical Trial. </w:t>
            </w:r>
          </w:p>
        </w:tc>
        <w:tc>
          <w:tcPr>
            <w:tcW w:w="1556" w:type="pct"/>
            <w:tcBorders>
              <w:top w:val="single" w:sz="4" w:space="0" w:color="auto"/>
              <w:left w:val="single" w:sz="4" w:space="0" w:color="auto"/>
              <w:bottom w:val="single" w:sz="4" w:space="0" w:color="auto"/>
              <w:right w:val="single" w:sz="4" w:space="0" w:color="auto"/>
            </w:tcBorders>
            <w:vAlign w:val="center"/>
          </w:tcPr>
          <w:p w:rsidR="00C6201C" w:rsidRPr="00D45D75" w:rsidRDefault="00C6201C" w:rsidP="00482178">
            <w:pPr>
              <w:pStyle w:val="Tabletext"/>
              <w:rPr>
                <w:szCs w:val="18"/>
                <w:lang w:eastAsia="en-AU"/>
              </w:rPr>
            </w:pPr>
            <w:r>
              <w:rPr>
                <w:szCs w:val="18"/>
                <w:lang w:eastAsia="en-AU"/>
              </w:rPr>
              <w:t>JAMA 316:722-733</w:t>
            </w:r>
          </w:p>
        </w:tc>
      </w:tr>
    </w:tbl>
    <w:p w:rsidR="00C6201C" w:rsidRPr="00B1011F" w:rsidRDefault="00C6201C" w:rsidP="00C6201C">
      <w:pPr>
        <w:pStyle w:val="TableFooter"/>
        <w:rPr>
          <w:sz w:val="20"/>
        </w:rPr>
      </w:pPr>
      <w:r>
        <w:t>Source: Table 2.2-1 (p 26-27), Table 2.2-4 (p 29) of the submission</w:t>
      </w:r>
    </w:p>
    <w:p w:rsidR="007F1017" w:rsidRDefault="008F120A" w:rsidP="00F91DE5">
      <w:pPr>
        <w:pStyle w:val="ListParagraph"/>
        <w:spacing w:before="120"/>
      </w:pPr>
      <w:r w:rsidRPr="00B50DB8">
        <w:t>Th</w:t>
      </w:r>
      <w:r w:rsidR="00C6201C">
        <w:t>e key features of the included trials</w:t>
      </w:r>
      <w:r w:rsidRPr="00B50DB8">
        <w:t xml:space="preserve"> are summarised in the table below.  </w:t>
      </w:r>
    </w:p>
    <w:p w:rsidR="007F1017" w:rsidRPr="00E2771E" w:rsidRDefault="00C6201C" w:rsidP="00CC6907">
      <w:pPr>
        <w:keepNext/>
        <w:keepLines/>
        <w:rPr>
          <w:rStyle w:val="CommentReference"/>
        </w:rPr>
      </w:pPr>
      <w:r>
        <w:rPr>
          <w:rStyle w:val="CommentReference"/>
        </w:rPr>
        <w:t>Table 3</w:t>
      </w:r>
      <w:r w:rsidR="007F1017" w:rsidRPr="00E2771E">
        <w:rPr>
          <w:rStyle w:val="CommentReference"/>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1282"/>
        <w:gridCol w:w="840"/>
        <w:gridCol w:w="1410"/>
        <w:gridCol w:w="1120"/>
        <w:gridCol w:w="1546"/>
        <w:gridCol w:w="1122"/>
        <w:gridCol w:w="1697"/>
      </w:tblGrid>
      <w:tr w:rsidR="00B41614" w:rsidRPr="00B41614" w:rsidTr="002A1FCC">
        <w:tc>
          <w:tcPr>
            <w:tcW w:w="711" w:type="pct"/>
            <w:shd w:val="clear" w:color="auto" w:fill="auto"/>
            <w:vAlign w:val="center"/>
          </w:tcPr>
          <w:p w:rsidR="007F1017" w:rsidRPr="00B41614" w:rsidRDefault="007F1017" w:rsidP="00CC6907">
            <w:pPr>
              <w:pStyle w:val="Tabletext"/>
              <w:keepNext/>
              <w:keepLines/>
              <w:rPr>
                <w:b/>
                <w:lang w:val="en-US"/>
              </w:rPr>
            </w:pPr>
            <w:r w:rsidRPr="00B41614">
              <w:rPr>
                <w:b/>
                <w:lang w:val="en-US"/>
              </w:rPr>
              <w:t>Trial</w:t>
            </w:r>
          </w:p>
        </w:tc>
        <w:tc>
          <w:tcPr>
            <w:tcW w:w="466" w:type="pct"/>
            <w:shd w:val="clear" w:color="auto" w:fill="auto"/>
            <w:vAlign w:val="center"/>
          </w:tcPr>
          <w:p w:rsidR="007F1017" w:rsidRPr="00B41614" w:rsidRDefault="007F1017" w:rsidP="00CC6907">
            <w:pPr>
              <w:pStyle w:val="Tabletext"/>
              <w:keepNext/>
              <w:keepLines/>
              <w:jc w:val="center"/>
              <w:rPr>
                <w:b/>
                <w:lang w:val="en-US"/>
              </w:rPr>
            </w:pPr>
            <w:r w:rsidRPr="00B41614">
              <w:rPr>
                <w:b/>
                <w:lang w:val="en-US"/>
              </w:rPr>
              <w:t>N</w:t>
            </w:r>
          </w:p>
        </w:tc>
        <w:tc>
          <w:tcPr>
            <w:tcW w:w="782" w:type="pct"/>
            <w:shd w:val="clear" w:color="auto" w:fill="auto"/>
            <w:vAlign w:val="center"/>
          </w:tcPr>
          <w:p w:rsidR="007F1017" w:rsidRPr="00B41614" w:rsidRDefault="007F1017" w:rsidP="00CC6907">
            <w:pPr>
              <w:pStyle w:val="Tabletext"/>
              <w:keepNext/>
              <w:keepLines/>
              <w:jc w:val="center"/>
              <w:rPr>
                <w:b/>
                <w:lang w:val="en-US"/>
              </w:rPr>
            </w:pPr>
            <w:r w:rsidRPr="00B41614">
              <w:rPr>
                <w:b/>
                <w:lang w:val="en-US"/>
              </w:rPr>
              <w:t>Design/ duration</w:t>
            </w:r>
          </w:p>
        </w:tc>
        <w:tc>
          <w:tcPr>
            <w:tcW w:w="621" w:type="pct"/>
            <w:shd w:val="clear" w:color="auto" w:fill="auto"/>
            <w:vAlign w:val="center"/>
          </w:tcPr>
          <w:p w:rsidR="007F1017" w:rsidRPr="00B41614" w:rsidRDefault="007F1017" w:rsidP="00CC6907">
            <w:pPr>
              <w:pStyle w:val="Tabletext"/>
              <w:keepNext/>
              <w:keepLines/>
              <w:jc w:val="center"/>
              <w:rPr>
                <w:b/>
                <w:lang w:val="en-US"/>
              </w:rPr>
            </w:pPr>
            <w:r w:rsidRPr="00B41614">
              <w:rPr>
                <w:b/>
                <w:lang w:val="en-US"/>
              </w:rPr>
              <w:t>Risk of bias</w:t>
            </w:r>
          </w:p>
        </w:tc>
        <w:tc>
          <w:tcPr>
            <w:tcW w:w="857" w:type="pct"/>
            <w:shd w:val="clear" w:color="auto" w:fill="auto"/>
            <w:vAlign w:val="center"/>
          </w:tcPr>
          <w:p w:rsidR="007F1017" w:rsidRPr="00B41614" w:rsidRDefault="007F1017" w:rsidP="00CC6907">
            <w:pPr>
              <w:pStyle w:val="Tabletext"/>
              <w:keepNext/>
              <w:keepLines/>
              <w:jc w:val="center"/>
              <w:rPr>
                <w:b/>
                <w:lang w:val="en-US"/>
              </w:rPr>
            </w:pPr>
            <w:r w:rsidRPr="00B41614">
              <w:rPr>
                <w:b/>
                <w:lang w:val="en-US"/>
              </w:rPr>
              <w:t>Patient population</w:t>
            </w:r>
          </w:p>
        </w:tc>
        <w:tc>
          <w:tcPr>
            <w:tcW w:w="622" w:type="pct"/>
            <w:shd w:val="clear" w:color="auto" w:fill="auto"/>
            <w:vAlign w:val="center"/>
          </w:tcPr>
          <w:p w:rsidR="007F1017" w:rsidRPr="00B41614" w:rsidRDefault="007F1017" w:rsidP="00CC6907">
            <w:pPr>
              <w:pStyle w:val="Tabletext"/>
              <w:keepNext/>
              <w:keepLines/>
              <w:jc w:val="center"/>
              <w:rPr>
                <w:b/>
                <w:lang w:val="en-US"/>
              </w:rPr>
            </w:pPr>
            <w:r w:rsidRPr="00B41614">
              <w:rPr>
                <w:b/>
                <w:lang w:val="en-US"/>
              </w:rPr>
              <w:t>Outcome(s)</w:t>
            </w:r>
          </w:p>
        </w:tc>
        <w:tc>
          <w:tcPr>
            <w:tcW w:w="941" w:type="pct"/>
            <w:shd w:val="clear" w:color="auto" w:fill="auto"/>
            <w:vAlign w:val="center"/>
          </w:tcPr>
          <w:p w:rsidR="007F1017" w:rsidRPr="00B41614" w:rsidRDefault="007F1017" w:rsidP="00CC6907">
            <w:pPr>
              <w:pStyle w:val="Tabletext"/>
              <w:keepNext/>
              <w:keepLines/>
              <w:jc w:val="center"/>
              <w:rPr>
                <w:b/>
                <w:lang w:val="en-US"/>
              </w:rPr>
            </w:pPr>
            <w:r w:rsidRPr="00B41614">
              <w:rPr>
                <w:b/>
                <w:lang w:val="en-US"/>
              </w:rPr>
              <w:t>Use in modelled evaluation</w:t>
            </w:r>
          </w:p>
        </w:tc>
      </w:tr>
      <w:tr w:rsidR="007F1017" w:rsidRPr="00E2771E" w:rsidTr="00B41614">
        <w:tc>
          <w:tcPr>
            <w:tcW w:w="5000" w:type="pct"/>
            <w:gridSpan w:val="7"/>
            <w:shd w:val="clear" w:color="auto" w:fill="auto"/>
            <w:vAlign w:val="center"/>
          </w:tcPr>
          <w:p w:rsidR="007F1017" w:rsidRPr="00B41614" w:rsidRDefault="00C6201C" w:rsidP="00CC6907">
            <w:pPr>
              <w:pStyle w:val="Tabletext"/>
              <w:keepNext/>
              <w:keepLines/>
              <w:rPr>
                <w:b/>
                <w:lang w:val="en-US"/>
              </w:rPr>
            </w:pPr>
            <w:r>
              <w:rPr>
                <w:b/>
                <w:lang w:val="en-US"/>
              </w:rPr>
              <w:t>Romosozumab vs. teriparatide</w:t>
            </w:r>
          </w:p>
        </w:tc>
      </w:tr>
      <w:tr w:rsidR="00B41614" w:rsidRPr="00E2771E" w:rsidTr="002A1FCC">
        <w:tc>
          <w:tcPr>
            <w:tcW w:w="711" w:type="pct"/>
            <w:shd w:val="clear" w:color="auto" w:fill="auto"/>
            <w:vAlign w:val="center"/>
          </w:tcPr>
          <w:p w:rsidR="007F1017" w:rsidRPr="00E2771E" w:rsidRDefault="00C6201C" w:rsidP="00CC6907">
            <w:pPr>
              <w:pStyle w:val="Tabletext"/>
              <w:keepNext/>
              <w:keepLines/>
              <w:rPr>
                <w:lang w:val="en-US"/>
              </w:rPr>
            </w:pPr>
            <w:r>
              <w:rPr>
                <w:lang w:val="en-US"/>
              </w:rPr>
              <w:t>STRUCTURE</w:t>
            </w:r>
          </w:p>
        </w:tc>
        <w:tc>
          <w:tcPr>
            <w:tcW w:w="466" w:type="pct"/>
            <w:shd w:val="clear" w:color="auto" w:fill="auto"/>
            <w:vAlign w:val="center"/>
          </w:tcPr>
          <w:p w:rsidR="007F1017" w:rsidRPr="00E2771E" w:rsidRDefault="00C6201C" w:rsidP="00CC6907">
            <w:pPr>
              <w:pStyle w:val="Tabletext"/>
              <w:keepNext/>
              <w:keepLines/>
              <w:jc w:val="center"/>
              <w:rPr>
                <w:lang w:val="en-US"/>
              </w:rPr>
            </w:pPr>
            <w:r>
              <w:rPr>
                <w:lang w:val="en-US"/>
              </w:rPr>
              <w:t>436</w:t>
            </w:r>
          </w:p>
        </w:tc>
        <w:tc>
          <w:tcPr>
            <w:tcW w:w="782" w:type="pct"/>
            <w:shd w:val="clear" w:color="auto" w:fill="auto"/>
            <w:vAlign w:val="center"/>
          </w:tcPr>
          <w:p w:rsidR="007F1017" w:rsidRPr="00E2771E" w:rsidRDefault="005C36E6" w:rsidP="00CC6907">
            <w:pPr>
              <w:pStyle w:val="Tabletext"/>
              <w:keepNext/>
              <w:keepLines/>
              <w:jc w:val="center"/>
              <w:rPr>
                <w:lang w:val="en-US"/>
              </w:rPr>
            </w:pPr>
            <w:r>
              <w:rPr>
                <w:lang w:val="en-US"/>
              </w:rPr>
              <w:t>MC, R, OL, AC</w:t>
            </w:r>
          </w:p>
          <w:p w:rsidR="007F1017" w:rsidRPr="00E2771E" w:rsidRDefault="005C36E6" w:rsidP="00CC6907">
            <w:pPr>
              <w:pStyle w:val="Tabletext"/>
              <w:keepNext/>
              <w:keepLines/>
              <w:jc w:val="center"/>
              <w:rPr>
                <w:lang w:val="en-US"/>
              </w:rPr>
            </w:pPr>
            <w:r>
              <w:rPr>
                <w:lang w:val="en-US"/>
              </w:rPr>
              <w:t>12</w:t>
            </w:r>
            <w:r w:rsidR="007F1017" w:rsidRPr="00E2771E">
              <w:rPr>
                <w:lang w:val="en-US"/>
              </w:rPr>
              <w:t xml:space="preserve"> m</w:t>
            </w:r>
            <w:r>
              <w:rPr>
                <w:lang w:val="en-US"/>
              </w:rPr>
              <w:t>on</w:t>
            </w:r>
            <w:r w:rsidR="007F1017" w:rsidRPr="00E2771E">
              <w:rPr>
                <w:lang w:val="en-US"/>
              </w:rPr>
              <w:t>ths</w:t>
            </w:r>
          </w:p>
        </w:tc>
        <w:tc>
          <w:tcPr>
            <w:tcW w:w="621" w:type="pct"/>
            <w:shd w:val="clear" w:color="auto" w:fill="auto"/>
            <w:vAlign w:val="center"/>
          </w:tcPr>
          <w:p w:rsidR="007F1017" w:rsidRPr="00E2771E" w:rsidRDefault="005C36E6" w:rsidP="00CC6907">
            <w:pPr>
              <w:pStyle w:val="Tabletext"/>
              <w:keepNext/>
              <w:keepLines/>
              <w:jc w:val="center"/>
              <w:rPr>
                <w:lang w:val="en-US"/>
              </w:rPr>
            </w:pPr>
            <w:r>
              <w:rPr>
                <w:lang w:val="en-US"/>
              </w:rPr>
              <w:t>Unclear</w:t>
            </w:r>
          </w:p>
        </w:tc>
        <w:tc>
          <w:tcPr>
            <w:tcW w:w="857" w:type="pct"/>
            <w:shd w:val="clear" w:color="auto" w:fill="auto"/>
            <w:vAlign w:val="center"/>
          </w:tcPr>
          <w:p w:rsidR="007F1017" w:rsidRPr="00E2771E" w:rsidRDefault="005C36E6" w:rsidP="00CC6907">
            <w:pPr>
              <w:pStyle w:val="Tabletext"/>
              <w:keepNext/>
              <w:keepLines/>
              <w:jc w:val="center"/>
              <w:rPr>
                <w:lang w:val="en-US"/>
              </w:rPr>
            </w:pPr>
            <w:r>
              <w:rPr>
                <w:lang w:val="en-US"/>
              </w:rPr>
              <w:t>PMO with prior treatment</w:t>
            </w:r>
          </w:p>
        </w:tc>
        <w:tc>
          <w:tcPr>
            <w:tcW w:w="622" w:type="pct"/>
            <w:shd w:val="clear" w:color="auto" w:fill="auto"/>
            <w:vAlign w:val="center"/>
          </w:tcPr>
          <w:p w:rsidR="007F1017" w:rsidRPr="00E2771E" w:rsidRDefault="005C36E6" w:rsidP="00CC6907">
            <w:pPr>
              <w:pStyle w:val="Tabletext"/>
              <w:keepNext/>
              <w:keepLines/>
              <w:jc w:val="center"/>
              <w:rPr>
                <w:lang w:val="en-US"/>
              </w:rPr>
            </w:pPr>
            <w:r>
              <w:rPr>
                <w:lang w:val="en-US"/>
              </w:rPr>
              <w:t>BMD</w:t>
            </w:r>
          </w:p>
        </w:tc>
        <w:tc>
          <w:tcPr>
            <w:tcW w:w="941" w:type="pct"/>
            <w:shd w:val="clear" w:color="auto" w:fill="auto"/>
            <w:vAlign w:val="center"/>
          </w:tcPr>
          <w:p w:rsidR="007F1017" w:rsidRPr="00E2771E" w:rsidRDefault="007F1017" w:rsidP="00CC6907">
            <w:pPr>
              <w:pStyle w:val="Tabletext"/>
              <w:keepNext/>
              <w:keepLines/>
              <w:jc w:val="center"/>
              <w:rPr>
                <w:lang w:val="en-US"/>
              </w:rPr>
            </w:pPr>
            <w:r w:rsidRPr="00E2771E">
              <w:rPr>
                <w:lang w:val="en-US"/>
              </w:rPr>
              <w:t>Not used</w:t>
            </w:r>
          </w:p>
        </w:tc>
      </w:tr>
      <w:tr w:rsidR="005C36E6" w:rsidRPr="00E2771E" w:rsidTr="005C36E6">
        <w:tc>
          <w:tcPr>
            <w:tcW w:w="5000" w:type="pct"/>
            <w:gridSpan w:val="7"/>
            <w:shd w:val="clear" w:color="auto" w:fill="auto"/>
            <w:vAlign w:val="center"/>
          </w:tcPr>
          <w:p w:rsidR="005C36E6" w:rsidRPr="005C36E6" w:rsidRDefault="005C36E6" w:rsidP="00CC6907">
            <w:pPr>
              <w:pStyle w:val="Tabletext"/>
              <w:keepNext/>
              <w:keepLines/>
              <w:rPr>
                <w:b/>
                <w:lang w:val="en-US"/>
              </w:rPr>
            </w:pPr>
            <w:r w:rsidRPr="005C36E6">
              <w:rPr>
                <w:b/>
                <w:lang w:val="en-US"/>
              </w:rPr>
              <w:t>Romosozumab</w:t>
            </w:r>
            <w:r>
              <w:rPr>
                <w:b/>
                <w:lang w:val="en-US"/>
              </w:rPr>
              <w:t xml:space="preserve"> followed by alendronate</w:t>
            </w:r>
            <w:r w:rsidRPr="005C36E6">
              <w:rPr>
                <w:b/>
                <w:lang w:val="en-US"/>
              </w:rPr>
              <w:t xml:space="preserve"> vs. alendronate</w:t>
            </w:r>
            <w:r>
              <w:rPr>
                <w:b/>
                <w:lang w:val="en-US"/>
              </w:rPr>
              <w:t xml:space="preserve"> followed by alendronate</w:t>
            </w:r>
          </w:p>
        </w:tc>
      </w:tr>
      <w:tr w:rsidR="00B41614" w:rsidRPr="00E2771E" w:rsidTr="002A1FCC">
        <w:tc>
          <w:tcPr>
            <w:tcW w:w="711" w:type="pct"/>
            <w:shd w:val="clear" w:color="auto" w:fill="auto"/>
            <w:vAlign w:val="center"/>
          </w:tcPr>
          <w:p w:rsidR="007F1017" w:rsidRPr="00E2771E" w:rsidRDefault="005C36E6" w:rsidP="00CC6907">
            <w:pPr>
              <w:pStyle w:val="Tabletext"/>
              <w:keepNext/>
              <w:keepLines/>
              <w:rPr>
                <w:lang w:val="en-US"/>
              </w:rPr>
            </w:pPr>
            <w:r>
              <w:rPr>
                <w:lang w:val="en-US"/>
              </w:rPr>
              <w:t>ARCH</w:t>
            </w:r>
          </w:p>
        </w:tc>
        <w:tc>
          <w:tcPr>
            <w:tcW w:w="466" w:type="pct"/>
            <w:shd w:val="clear" w:color="auto" w:fill="auto"/>
            <w:vAlign w:val="center"/>
          </w:tcPr>
          <w:p w:rsidR="007F1017" w:rsidRPr="00E2771E" w:rsidRDefault="005C36E6" w:rsidP="00CC6907">
            <w:pPr>
              <w:pStyle w:val="Tabletext"/>
              <w:keepNext/>
              <w:keepLines/>
              <w:jc w:val="center"/>
              <w:rPr>
                <w:lang w:val="en-US"/>
              </w:rPr>
            </w:pPr>
            <w:r>
              <w:rPr>
                <w:lang w:val="en-US"/>
              </w:rPr>
              <w:t>4,093</w:t>
            </w:r>
          </w:p>
        </w:tc>
        <w:tc>
          <w:tcPr>
            <w:tcW w:w="782" w:type="pct"/>
            <w:shd w:val="clear" w:color="auto" w:fill="auto"/>
            <w:vAlign w:val="center"/>
          </w:tcPr>
          <w:p w:rsidR="002A1FCC" w:rsidRDefault="00D34AD9" w:rsidP="00CC6907">
            <w:pPr>
              <w:pStyle w:val="Tabletext"/>
              <w:keepNext/>
              <w:keepLines/>
              <w:jc w:val="center"/>
              <w:rPr>
                <w:lang w:val="en-US"/>
              </w:rPr>
            </w:pPr>
            <w:r>
              <w:rPr>
                <w:lang w:val="en-US"/>
              </w:rPr>
              <w:t>MC, R</w:t>
            </w:r>
            <w:r w:rsidR="005C36E6">
              <w:rPr>
                <w:lang w:val="en-US"/>
              </w:rPr>
              <w:t>, AC</w:t>
            </w:r>
          </w:p>
          <w:p w:rsidR="00D34AD9" w:rsidRDefault="00D34AD9" w:rsidP="00CC6907">
            <w:pPr>
              <w:pStyle w:val="Tabletext"/>
              <w:keepNext/>
              <w:keepLines/>
              <w:jc w:val="center"/>
              <w:rPr>
                <w:lang w:val="en-US"/>
              </w:rPr>
            </w:pPr>
            <w:r>
              <w:rPr>
                <w:lang w:val="en-US"/>
              </w:rPr>
              <w:t>First year: DB</w:t>
            </w:r>
          </w:p>
          <w:p w:rsidR="00D34AD9" w:rsidRDefault="00D34AD9" w:rsidP="00CC6907">
            <w:pPr>
              <w:pStyle w:val="Tabletext"/>
              <w:keepNext/>
              <w:keepLines/>
              <w:jc w:val="center"/>
              <w:rPr>
                <w:lang w:val="en-US"/>
              </w:rPr>
            </w:pPr>
            <w:r>
              <w:rPr>
                <w:lang w:val="en-US"/>
              </w:rPr>
              <w:t>Later years: OL</w:t>
            </w:r>
          </w:p>
          <w:p w:rsidR="007F1017" w:rsidRPr="00E2771E" w:rsidRDefault="00F627B5" w:rsidP="00CC6907">
            <w:pPr>
              <w:pStyle w:val="Tabletext"/>
              <w:keepNext/>
              <w:keepLines/>
              <w:jc w:val="center"/>
              <w:rPr>
                <w:lang w:val="en-US"/>
              </w:rPr>
            </w:pPr>
            <w:r>
              <w:rPr>
                <w:lang w:val="en-US"/>
              </w:rPr>
              <w:t xml:space="preserve">Median 33 months </w:t>
            </w:r>
          </w:p>
        </w:tc>
        <w:tc>
          <w:tcPr>
            <w:tcW w:w="621" w:type="pct"/>
            <w:shd w:val="clear" w:color="auto" w:fill="auto"/>
            <w:vAlign w:val="center"/>
          </w:tcPr>
          <w:p w:rsidR="007F1017" w:rsidRPr="00E2771E" w:rsidRDefault="005C36E6" w:rsidP="00CC6907">
            <w:pPr>
              <w:pStyle w:val="Tabletext"/>
              <w:keepNext/>
              <w:keepLines/>
              <w:jc w:val="center"/>
              <w:rPr>
                <w:lang w:val="en-US"/>
              </w:rPr>
            </w:pPr>
            <w:r>
              <w:rPr>
                <w:lang w:val="en-US"/>
              </w:rPr>
              <w:t>Low</w:t>
            </w:r>
          </w:p>
        </w:tc>
        <w:tc>
          <w:tcPr>
            <w:tcW w:w="857" w:type="pct"/>
            <w:shd w:val="clear" w:color="auto" w:fill="auto"/>
            <w:vAlign w:val="center"/>
          </w:tcPr>
          <w:p w:rsidR="007F1017" w:rsidRPr="00E2771E" w:rsidRDefault="002A1FCC" w:rsidP="00CC6907">
            <w:pPr>
              <w:pStyle w:val="Tabletext"/>
              <w:keepNext/>
              <w:keepLines/>
              <w:jc w:val="center"/>
              <w:rPr>
                <w:lang w:val="en-US"/>
              </w:rPr>
            </w:pPr>
            <w:r>
              <w:rPr>
                <w:lang w:val="en-US"/>
              </w:rPr>
              <w:t>PMO with prevalent fracture</w:t>
            </w:r>
          </w:p>
        </w:tc>
        <w:tc>
          <w:tcPr>
            <w:tcW w:w="622" w:type="pct"/>
            <w:shd w:val="clear" w:color="auto" w:fill="auto"/>
            <w:vAlign w:val="center"/>
          </w:tcPr>
          <w:p w:rsidR="007F1017" w:rsidRPr="00E2771E" w:rsidRDefault="002A1FCC" w:rsidP="00CC6907">
            <w:pPr>
              <w:pStyle w:val="Tabletext"/>
              <w:keepNext/>
              <w:keepLines/>
              <w:jc w:val="center"/>
              <w:rPr>
                <w:lang w:val="en-US"/>
              </w:rPr>
            </w:pPr>
            <w:r>
              <w:rPr>
                <w:lang w:val="en-US"/>
              </w:rPr>
              <w:t>Fractures</w:t>
            </w:r>
          </w:p>
        </w:tc>
        <w:tc>
          <w:tcPr>
            <w:tcW w:w="941" w:type="pct"/>
            <w:shd w:val="clear" w:color="auto" w:fill="auto"/>
            <w:vAlign w:val="center"/>
          </w:tcPr>
          <w:p w:rsidR="007F1017" w:rsidRPr="00E2771E" w:rsidRDefault="002A1FCC" w:rsidP="00CC6907">
            <w:pPr>
              <w:pStyle w:val="Tabletext"/>
              <w:keepNext/>
              <w:keepLines/>
              <w:jc w:val="center"/>
              <w:rPr>
                <w:lang w:val="en-US"/>
              </w:rPr>
            </w:pPr>
            <w:r>
              <w:rPr>
                <w:lang w:val="en-US"/>
              </w:rPr>
              <w:t>Patient characteristics, fracture risk, treatment efficacy, incidence of cardiovascular events</w:t>
            </w:r>
          </w:p>
        </w:tc>
      </w:tr>
      <w:tr w:rsidR="002A1FCC" w:rsidRPr="00E2771E" w:rsidTr="002A1FCC">
        <w:tc>
          <w:tcPr>
            <w:tcW w:w="5000" w:type="pct"/>
            <w:gridSpan w:val="7"/>
            <w:shd w:val="clear" w:color="auto" w:fill="auto"/>
            <w:vAlign w:val="center"/>
          </w:tcPr>
          <w:p w:rsidR="002A1FCC" w:rsidRPr="00E2771E" w:rsidRDefault="002A1FCC" w:rsidP="00CC6907">
            <w:pPr>
              <w:pStyle w:val="Tabletext"/>
              <w:keepNext/>
              <w:keepLines/>
              <w:rPr>
                <w:lang w:val="en-US"/>
              </w:rPr>
            </w:pPr>
            <w:r w:rsidRPr="005C36E6">
              <w:rPr>
                <w:b/>
                <w:lang w:val="en-US"/>
              </w:rPr>
              <w:t>Romosozumab</w:t>
            </w:r>
            <w:r>
              <w:rPr>
                <w:b/>
                <w:lang w:val="en-US"/>
              </w:rPr>
              <w:t xml:space="preserve"> followed by denosumab vs. placebo followed by denosumab</w:t>
            </w:r>
          </w:p>
        </w:tc>
      </w:tr>
      <w:tr w:rsidR="002A1FCC" w:rsidRPr="00E2771E" w:rsidTr="002A1FCC">
        <w:tc>
          <w:tcPr>
            <w:tcW w:w="711" w:type="pct"/>
            <w:shd w:val="clear" w:color="auto" w:fill="auto"/>
            <w:vAlign w:val="center"/>
          </w:tcPr>
          <w:p w:rsidR="002A1FCC" w:rsidRPr="00E2771E" w:rsidRDefault="002A1FCC" w:rsidP="00CC6907">
            <w:pPr>
              <w:pStyle w:val="Tabletext"/>
              <w:keepNext/>
              <w:keepLines/>
              <w:rPr>
                <w:lang w:val="en-US"/>
              </w:rPr>
            </w:pPr>
            <w:r>
              <w:rPr>
                <w:lang w:val="en-US"/>
              </w:rPr>
              <w:t>FRAME</w:t>
            </w:r>
          </w:p>
        </w:tc>
        <w:tc>
          <w:tcPr>
            <w:tcW w:w="466" w:type="pct"/>
            <w:shd w:val="clear" w:color="auto" w:fill="auto"/>
            <w:vAlign w:val="center"/>
          </w:tcPr>
          <w:p w:rsidR="002A1FCC" w:rsidRPr="00E2771E" w:rsidRDefault="002A1FCC" w:rsidP="00CC6907">
            <w:pPr>
              <w:pStyle w:val="Tabletext"/>
              <w:keepNext/>
              <w:keepLines/>
              <w:jc w:val="center"/>
              <w:rPr>
                <w:lang w:val="en-US"/>
              </w:rPr>
            </w:pPr>
            <w:r>
              <w:rPr>
                <w:lang w:val="en-US"/>
              </w:rPr>
              <w:t>7,180</w:t>
            </w:r>
          </w:p>
        </w:tc>
        <w:tc>
          <w:tcPr>
            <w:tcW w:w="782" w:type="pct"/>
            <w:shd w:val="clear" w:color="auto" w:fill="auto"/>
            <w:vAlign w:val="center"/>
          </w:tcPr>
          <w:p w:rsidR="002A1FCC" w:rsidRDefault="00D34AD9" w:rsidP="00CC6907">
            <w:pPr>
              <w:pStyle w:val="Tabletext"/>
              <w:keepNext/>
              <w:keepLines/>
              <w:jc w:val="center"/>
              <w:rPr>
                <w:lang w:val="en-US"/>
              </w:rPr>
            </w:pPr>
            <w:r>
              <w:rPr>
                <w:lang w:val="en-US"/>
              </w:rPr>
              <w:t>MC, R</w:t>
            </w:r>
            <w:r w:rsidR="002A1FCC">
              <w:rPr>
                <w:lang w:val="en-US"/>
              </w:rPr>
              <w:t>, PC</w:t>
            </w:r>
          </w:p>
          <w:p w:rsidR="00D34AD9" w:rsidRDefault="00D34AD9" w:rsidP="00CC6907">
            <w:pPr>
              <w:pStyle w:val="Tabletext"/>
              <w:keepNext/>
              <w:keepLines/>
              <w:jc w:val="center"/>
              <w:rPr>
                <w:lang w:val="en-US"/>
              </w:rPr>
            </w:pPr>
            <w:r>
              <w:rPr>
                <w:lang w:val="en-US"/>
              </w:rPr>
              <w:t>First year: DB</w:t>
            </w:r>
          </w:p>
          <w:p w:rsidR="00D34AD9" w:rsidRDefault="00D34AD9" w:rsidP="00CC6907">
            <w:pPr>
              <w:pStyle w:val="Tabletext"/>
              <w:keepNext/>
              <w:keepLines/>
              <w:jc w:val="center"/>
              <w:rPr>
                <w:lang w:val="en-US"/>
              </w:rPr>
            </w:pPr>
            <w:r>
              <w:rPr>
                <w:lang w:val="en-US"/>
              </w:rPr>
              <w:t>Later years: OL</w:t>
            </w:r>
          </w:p>
          <w:p w:rsidR="002A1FCC" w:rsidRPr="00E2771E" w:rsidRDefault="002A1FCC" w:rsidP="00CC6907">
            <w:pPr>
              <w:pStyle w:val="Tabletext"/>
              <w:keepNext/>
              <w:keepLines/>
              <w:jc w:val="center"/>
              <w:rPr>
                <w:lang w:val="en-US"/>
              </w:rPr>
            </w:pPr>
            <w:r>
              <w:rPr>
                <w:lang w:val="en-US"/>
              </w:rPr>
              <w:t>3 years</w:t>
            </w:r>
          </w:p>
        </w:tc>
        <w:tc>
          <w:tcPr>
            <w:tcW w:w="621" w:type="pct"/>
            <w:shd w:val="clear" w:color="auto" w:fill="auto"/>
            <w:vAlign w:val="center"/>
          </w:tcPr>
          <w:p w:rsidR="002A1FCC" w:rsidRPr="00E2771E" w:rsidRDefault="002A1FCC" w:rsidP="00CC6907">
            <w:pPr>
              <w:pStyle w:val="Tabletext"/>
              <w:keepNext/>
              <w:keepLines/>
              <w:jc w:val="center"/>
              <w:rPr>
                <w:lang w:val="en-US"/>
              </w:rPr>
            </w:pPr>
            <w:r>
              <w:rPr>
                <w:lang w:val="en-US"/>
              </w:rPr>
              <w:t>Low</w:t>
            </w:r>
          </w:p>
        </w:tc>
        <w:tc>
          <w:tcPr>
            <w:tcW w:w="857" w:type="pct"/>
            <w:shd w:val="clear" w:color="auto" w:fill="auto"/>
            <w:vAlign w:val="center"/>
          </w:tcPr>
          <w:p w:rsidR="002A1FCC" w:rsidRPr="00E2771E" w:rsidRDefault="002A1FCC" w:rsidP="00CC6907">
            <w:pPr>
              <w:pStyle w:val="Tabletext"/>
              <w:keepNext/>
              <w:keepLines/>
              <w:jc w:val="center"/>
              <w:rPr>
                <w:lang w:val="en-US"/>
              </w:rPr>
            </w:pPr>
            <w:r>
              <w:rPr>
                <w:lang w:val="en-US"/>
              </w:rPr>
              <w:t>PMO</w:t>
            </w:r>
          </w:p>
        </w:tc>
        <w:tc>
          <w:tcPr>
            <w:tcW w:w="622" w:type="pct"/>
            <w:shd w:val="clear" w:color="auto" w:fill="auto"/>
            <w:vAlign w:val="center"/>
          </w:tcPr>
          <w:p w:rsidR="002A1FCC" w:rsidRPr="00E2771E" w:rsidRDefault="002A1FCC" w:rsidP="00CC6907">
            <w:pPr>
              <w:pStyle w:val="Tabletext"/>
              <w:keepNext/>
              <w:keepLines/>
              <w:jc w:val="center"/>
              <w:rPr>
                <w:lang w:val="en-US"/>
              </w:rPr>
            </w:pPr>
            <w:r>
              <w:rPr>
                <w:lang w:val="en-US"/>
              </w:rPr>
              <w:t>Fractures</w:t>
            </w:r>
          </w:p>
        </w:tc>
        <w:tc>
          <w:tcPr>
            <w:tcW w:w="941" w:type="pct"/>
            <w:shd w:val="clear" w:color="auto" w:fill="auto"/>
            <w:vAlign w:val="center"/>
          </w:tcPr>
          <w:p w:rsidR="002A1FCC" w:rsidRPr="00E2771E" w:rsidRDefault="002A1FCC" w:rsidP="00CC6907">
            <w:pPr>
              <w:pStyle w:val="Tabletext"/>
              <w:keepNext/>
              <w:keepLines/>
              <w:jc w:val="center"/>
              <w:rPr>
                <w:lang w:val="en-US"/>
              </w:rPr>
            </w:pPr>
            <w:r>
              <w:rPr>
                <w:lang w:val="en-US"/>
              </w:rPr>
              <w:t>Not used</w:t>
            </w:r>
          </w:p>
        </w:tc>
      </w:tr>
      <w:tr w:rsidR="002A1FCC" w:rsidRPr="00E2771E" w:rsidTr="002A1FCC">
        <w:tc>
          <w:tcPr>
            <w:tcW w:w="5000" w:type="pct"/>
            <w:gridSpan w:val="7"/>
            <w:shd w:val="clear" w:color="auto" w:fill="auto"/>
            <w:vAlign w:val="center"/>
          </w:tcPr>
          <w:p w:rsidR="002A1FCC" w:rsidRPr="002A1FCC" w:rsidRDefault="002A1FCC" w:rsidP="00CC6907">
            <w:pPr>
              <w:pStyle w:val="Tabletext"/>
              <w:keepNext/>
              <w:keepLines/>
              <w:rPr>
                <w:b/>
                <w:lang w:val="en-US"/>
              </w:rPr>
            </w:pPr>
            <w:r w:rsidRPr="002A1FCC">
              <w:rPr>
                <w:b/>
                <w:lang w:val="en-US"/>
              </w:rPr>
              <w:t>Teriparatide vs. placebo</w:t>
            </w:r>
          </w:p>
        </w:tc>
      </w:tr>
      <w:tr w:rsidR="002A1FCC" w:rsidRPr="00E2771E" w:rsidTr="002A1FCC">
        <w:tc>
          <w:tcPr>
            <w:tcW w:w="711" w:type="pct"/>
            <w:shd w:val="clear" w:color="auto" w:fill="auto"/>
            <w:vAlign w:val="center"/>
          </w:tcPr>
          <w:p w:rsidR="002A1FCC" w:rsidRPr="00E2771E" w:rsidRDefault="00D34AD9" w:rsidP="00CC6907">
            <w:pPr>
              <w:pStyle w:val="Tabletext"/>
              <w:keepNext/>
              <w:keepLines/>
              <w:rPr>
                <w:lang w:val="en-US"/>
              </w:rPr>
            </w:pPr>
            <w:r>
              <w:rPr>
                <w:lang w:val="en-US"/>
              </w:rPr>
              <w:t>GHAC</w:t>
            </w:r>
          </w:p>
        </w:tc>
        <w:tc>
          <w:tcPr>
            <w:tcW w:w="466" w:type="pct"/>
            <w:shd w:val="clear" w:color="auto" w:fill="auto"/>
            <w:vAlign w:val="center"/>
          </w:tcPr>
          <w:p w:rsidR="002A1FCC" w:rsidRPr="00E2771E" w:rsidRDefault="00D34AD9" w:rsidP="00CC6907">
            <w:pPr>
              <w:pStyle w:val="Tabletext"/>
              <w:keepNext/>
              <w:keepLines/>
              <w:jc w:val="center"/>
              <w:rPr>
                <w:lang w:val="en-US"/>
              </w:rPr>
            </w:pPr>
            <w:r>
              <w:rPr>
                <w:lang w:val="en-US"/>
              </w:rPr>
              <w:t>1,637</w:t>
            </w:r>
          </w:p>
        </w:tc>
        <w:tc>
          <w:tcPr>
            <w:tcW w:w="782" w:type="pct"/>
            <w:shd w:val="clear" w:color="auto" w:fill="auto"/>
            <w:vAlign w:val="center"/>
          </w:tcPr>
          <w:p w:rsidR="002A1FCC" w:rsidRDefault="00D34AD9" w:rsidP="00CC6907">
            <w:pPr>
              <w:pStyle w:val="Tabletext"/>
              <w:keepNext/>
              <w:keepLines/>
              <w:jc w:val="center"/>
              <w:rPr>
                <w:lang w:val="en-US"/>
              </w:rPr>
            </w:pPr>
            <w:r>
              <w:rPr>
                <w:lang w:val="en-US"/>
              </w:rPr>
              <w:t>MC, R, DB, PC</w:t>
            </w:r>
          </w:p>
          <w:p w:rsidR="00D34AD9" w:rsidRPr="00D34AD9" w:rsidRDefault="00D34AD9" w:rsidP="00CC6907">
            <w:pPr>
              <w:pStyle w:val="Tabletext"/>
              <w:keepNext/>
              <w:keepLines/>
              <w:jc w:val="center"/>
              <w:rPr>
                <w:vertAlign w:val="superscript"/>
                <w:lang w:val="en-US"/>
              </w:rPr>
            </w:pPr>
            <w:r>
              <w:rPr>
                <w:lang w:val="en-US"/>
              </w:rPr>
              <w:t>Median 19 months</w:t>
            </w:r>
            <w:r>
              <w:rPr>
                <w:vertAlign w:val="superscript"/>
                <w:lang w:val="en-US"/>
              </w:rPr>
              <w:t>a</w:t>
            </w:r>
          </w:p>
        </w:tc>
        <w:tc>
          <w:tcPr>
            <w:tcW w:w="621" w:type="pct"/>
            <w:shd w:val="clear" w:color="auto" w:fill="auto"/>
            <w:vAlign w:val="center"/>
          </w:tcPr>
          <w:p w:rsidR="002A1FCC" w:rsidRPr="00E2771E" w:rsidRDefault="00D34AD9" w:rsidP="00CC6907">
            <w:pPr>
              <w:pStyle w:val="Tabletext"/>
              <w:keepNext/>
              <w:keepLines/>
              <w:jc w:val="center"/>
              <w:rPr>
                <w:lang w:val="en-US"/>
              </w:rPr>
            </w:pPr>
            <w:r>
              <w:rPr>
                <w:lang w:val="en-US"/>
              </w:rPr>
              <w:t>Unclear</w:t>
            </w:r>
          </w:p>
        </w:tc>
        <w:tc>
          <w:tcPr>
            <w:tcW w:w="857" w:type="pct"/>
            <w:shd w:val="clear" w:color="auto" w:fill="auto"/>
            <w:vAlign w:val="center"/>
          </w:tcPr>
          <w:p w:rsidR="002A1FCC" w:rsidRPr="00E2771E" w:rsidRDefault="00D34AD9" w:rsidP="00CC6907">
            <w:pPr>
              <w:pStyle w:val="Tabletext"/>
              <w:keepNext/>
              <w:keepLines/>
              <w:jc w:val="center"/>
              <w:rPr>
                <w:lang w:val="en-US"/>
              </w:rPr>
            </w:pPr>
            <w:r>
              <w:rPr>
                <w:lang w:val="en-US"/>
              </w:rPr>
              <w:t>PMO with prevalent fracture</w:t>
            </w:r>
          </w:p>
        </w:tc>
        <w:tc>
          <w:tcPr>
            <w:tcW w:w="622" w:type="pct"/>
            <w:shd w:val="clear" w:color="auto" w:fill="auto"/>
            <w:vAlign w:val="center"/>
          </w:tcPr>
          <w:p w:rsidR="002A1FCC" w:rsidRPr="00E2771E" w:rsidRDefault="00D34AD9" w:rsidP="00CC6907">
            <w:pPr>
              <w:pStyle w:val="Tabletext"/>
              <w:keepNext/>
              <w:keepLines/>
              <w:jc w:val="center"/>
              <w:rPr>
                <w:lang w:val="en-US"/>
              </w:rPr>
            </w:pPr>
            <w:r>
              <w:rPr>
                <w:lang w:val="en-US"/>
              </w:rPr>
              <w:t>Fractures</w:t>
            </w:r>
          </w:p>
        </w:tc>
        <w:tc>
          <w:tcPr>
            <w:tcW w:w="941" w:type="pct"/>
            <w:shd w:val="clear" w:color="auto" w:fill="auto"/>
            <w:vAlign w:val="center"/>
          </w:tcPr>
          <w:p w:rsidR="002A1FCC" w:rsidRPr="00E2771E" w:rsidRDefault="00D34AD9" w:rsidP="00CC6907">
            <w:pPr>
              <w:pStyle w:val="Tabletext"/>
              <w:keepNext/>
              <w:keepLines/>
              <w:jc w:val="center"/>
              <w:rPr>
                <w:lang w:val="en-US"/>
              </w:rPr>
            </w:pPr>
            <w:r>
              <w:rPr>
                <w:lang w:val="en-US"/>
              </w:rPr>
              <w:t>Not used</w:t>
            </w:r>
          </w:p>
        </w:tc>
      </w:tr>
      <w:tr w:rsidR="002A1FCC" w:rsidRPr="00E2771E" w:rsidTr="002A1FCC">
        <w:tc>
          <w:tcPr>
            <w:tcW w:w="711" w:type="pct"/>
            <w:shd w:val="clear" w:color="auto" w:fill="auto"/>
            <w:vAlign w:val="center"/>
          </w:tcPr>
          <w:p w:rsidR="002A1FCC" w:rsidRPr="00E2771E" w:rsidRDefault="00D34AD9" w:rsidP="00CC6907">
            <w:pPr>
              <w:pStyle w:val="Tabletext"/>
              <w:keepNext/>
              <w:keepLines/>
              <w:rPr>
                <w:lang w:val="en-US"/>
              </w:rPr>
            </w:pPr>
            <w:r>
              <w:rPr>
                <w:lang w:val="en-US"/>
              </w:rPr>
              <w:t>ACTIVE</w:t>
            </w:r>
          </w:p>
        </w:tc>
        <w:tc>
          <w:tcPr>
            <w:tcW w:w="466" w:type="pct"/>
            <w:shd w:val="clear" w:color="auto" w:fill="auto"/>
            <w:vAlign w:val="center"/>
          </w:tcPr>
          <w:p w:rsidR="002A1FCC" w:rsidRPr="00E2771E" w:rsidRDefault="00D34AD9" w:rsidP="00CC6907">
            <w:pPr>
              <w:pStyle w:val="Tabletext"/>
              <w:keepNext/>
              <w:keepLines/>
              <w:jc w:val="center"/>
              <w:rPr>
                <w:lang w:val="en-US"/>
              </w:rPr>
            </w:pPr>
            <w:r>
              <w:rPr>
                <w:lang w:val="en-US"/>
              </w:rPr>
              <w:t>2,463</w:t>
            </w:r>
          </w:p>
        </w:tc>
        <w:tc>
          <w:tcPr>
            <w:tcW w:w="782" w:type="pct"/>
            <w:shd w:val="clear" w:color="auto" w:fill="auto"/>
            <w:vAlign w:val="center"/>
          </w:tcPr>
          <w:p w:rsidR="002A1FCC" w:rsidRDefault="00D34AD9" w:rsidP="00CC6907">
            <w:pPr>
              <w:pStyle w:val="Tabletext"/>
              <w:keepNext/>
              <w:keepLines/>
              <w:jc w:val="center"/>
              <w:rPr>
                <w:lang w:val="en-US"/>
              </w:rPr>
            </w:pPr>
            <w:r>
              <w:rPr>
                <w:lang w:val="en-US"/>
              </w:rPr>
              <w:t>MC, R, PC, AC</w:t>
            </w:r>
          </w:p>
          <w:p w:rsidR="009B3372" w:rsidRDefault="009B3372" w:rsidP="00CC6907">
            <w:pPr>
              <w:pStyle w:val="Tabletext"/>
              <w:keepNext/>
              <w:keepLines/>
              <w:jc w:val="center"/>
              <w:rPr>
                <w:lang w:val="en-US"/>
              </w:rPr>
            </w:pPr>
            <w:r>
              <w:rPr>
                <w:lang w:val="en-US"/>
              </w:rPr>
              <w:t>Aba vs Pbo: DB</w:t>
            </w:r>
          </w:p>
          <w:p w:rsidR="00D34AD9" w:rsidRPr="00E2771E" w:rsidRDefault="009B3372" w:rsidP="00CC6907">
            <w:pPr>
              <w:pStyle w:val="Tabletext"/>
              <w:keepNext/>
              <w:keepLines/>
              <w:jc w:val="center"/>
              <w:rPr>
                <w:lang w:val="en-US"/>
              </w:rPr>
            </w:pPr>
            <w:r>
              <w:rPr>
                <w:lang w:val="en-US"/>
              </w:rPr>
              <w:t xml:space="preserve">Teri: OL </w:t>
            </w:r>
            <w:r>
              <w:rPr>
                <w:lang w:val="en-US"/>
              </w:rPr>
              <w:br/>
            </w:r>
            <w:r w:rsidR="00D34AD9">
              <w:rPr>
                <w:lang w:val="en-US"/>
              </w:rPr>
              <w:t>18 months</w:t>
            </w:r>
          </w:p>
        </w:tc>
        <w:tc>
          <w:tcPr>
            <w:tcW w:w="621" w:type="pct"/>
            <w:shd w:val="clear" w:color="auto" w:fill="auto"/>
            <w:vAlign w:val="center"/>
          </w:tcPr>
          <w:p w:rsidR="002A1FCC" w:rsidRPr="00E2771E" w:rsidRDefault="00D34AD9" w:rsidP="00CC6907">
            <w:pPr>
              <w:pStyle w:val="Tabletext"/>
              <w:keepNext/>
              <w:keepLines/>
              <w:jc w:val="center"/>
              <w:rPr>
                <w:lang w:val="en-US"/>
              </w:rPr>
            </w:pPr>
            <w:r>
              <w:rPr>
                <w:lang w:val="en-US"/>
              </w:rPr>
              <w:t>Unclear</w:t>
            </w:r>
          </w:p>
        </w:tc>
        <w:tc>
          <w:tcPr>
            <w:tcW w:w="857" w:type="pct"/>
            <w:shd w:val="clear" w:color="auto" w:fill="auto"/>
            <w:vAlign w:val="center"/>
          </w:tcPr>
          <w:p w:rsidR="002A1FCC" w:rsidRPr="00E2771E" w:rsidRDefault="00D34AD9" w:rsidP="00CC6907">
            <w:pPr>
              <w:pStyle w:val="Tabletext"/>
              <w:keepNext/>
              <w:keepLines/>
              <w:jc w:val="center"/>
              <w:rPr>
                <w:lang w:val="en-US"/>
              </w:rPr>
            </w:pPr>
            <w:r>
              <w:rPr>
                <w:lang w:val="en-US"/>
              </w:rPr>
              <w:t>PMO</w:t>
            </w:r>
          </w:p>
        </w:tc>
        <w:tc>
          <w:tcPr>
            <w:tcW w:w="622" w:type="pct"/>
            <w:shd w:val="clear" w:color="auto" w:fill="auto"/>
            <w:vAlign w:val="center"/>
          </w:tcPr>
          <w:p w:rsidR="002A1FCC" w:rsidRPr="00E2771E" w:rsidRDefault="00D34AD9" w:rsidP="00CC6907">
            <w:pPr>
              <w:pStyle w:val="Tabletext"/>
              <w:keepNext/>
              <w:keepLines/>
              <w:jc w:val="center"/>
              <w:rPr>
                <w:lang w:val="en-US"/>
              </w:rPr>
            </w:pPr>
            <w:r>
              <w:rPr>
                <w:lang w:val="en-US"/>
              </w:rPr>
              <w:t>Fractures</w:t>
            </w:r>
          </w:p>
        </w:tc>
        <w:tc>
          <w:tcPr>
            <w:tcW w:w="941" w:type="pct"/>
            <w:shd w:val="clear" w:color="auto" w:fill="auto"/>
            <w:vAlign w:val="center"/>
          </w:tcPr>
          <w:p w:rsidR="002A1FCC" w:rsidRPr="00E2771E" w:rsidRDefault="00D34AD9" w:rsidP="00CC6907">
            <w:pPr>
              <w:pStyle w:val="Tabletext"/>
              <w:keepNext/>
              <w:keepLines/>
              <w:jc w:val="center"/>
              <w:rPr>
                <w:lang w:val="en-US"/>
              </w:rPr>
            </w:pPr>
            <w:r>
              <w:rPr>
                <w:lang w:val="en-US"/>
              </w:rPr>
              <w:t>Not used</w:t>
            </w:r>
          </w:p>
        </w:tc>
      </w:tr>
      <w:tr w:rsidR="002A1FCC" w:rsidRPr="00E2771E" w:rsidTr="002A1FCC">
        <w:tc>
          <w:tcPr>
            <w:tcW w:w="711" w:type="pct"/>
            <w:shd w:val="clear" w:color="auto" w:fill="auto"/>
            <w:vAlign w:val="center"/>
          </w:tcPr>
          <w:p w:rsidR="002A1FCC" w:rsidRPr="00E2771E" w:rsidRDefault="002A1FCC" w:rsidP="00CC6907">
            <w:pPr>
              <w:pStyle w:val="Tabletext"/>
              <w:keepNext/>
              <w:keepLines/>
              <w:rPr>
                <w:lang w:val="en-US"/>
              </w:rPr>
            </w:pPr>
            <w:r w:rsidRPr="00E2771E">
              <w:rPr>
                <w:lang w:val="en-US"/>
              </w:rPr>
              <w:t>Meta-analysis</w:t>
            </w:r>
          </w:p>
        </w:tc>
        <w:tc>
          <w:tcPr>
            <w:tcW w:w="466" w:type="pct"/>
            <w:shd w:val="clear" w:color="auto" w:fill="auto"/>
            <w:vAlign w:val="center"/>
          </w:tcPr>
          <w:p w:rsidR="002A1FCC" w:rsidRPr="00E2771E" w:rsidRDefault="00D34AD9" w:rsidP="00CC6907">
            <w:pPr>
              <w:pStyle w:val="Tabletext"/>
              <w:keepNext/>
              <w:keepLines/>
              <w:jc w:val="center"/>
              <w:rPr>
                <w:lang w:val="en-US"/>
              </w:rPr>
            </w:pPr>
            <w:r>
              <w:rPr>
                <w:lang w:val="en-US"/>
              </w:rPr>
              <w:t>2,724</w:t>
            </w:r>
          </w:p>
        </w:tc>
        <w:tc>
          <w:tcPr>
            <w:tcW w:w="2882" w:type="pct"/>
            <w:gridSpan w:val="4"/>
            <w:shd w:val="clear" w:color="auto" w:fill="auto"/>
            <w:vAlign w:val="center"/>
          </w:tcPr>
          <w:p w:rsidR="002A1FCC" w:rsidRPr="00E2771E" w:rsidRDefault="00D34AD9" w:rsidP="00CC6907">
            <w:pPr>
              <w:pStyle w:val="Tabletext"/>
              <w:keepNext/>
              <w:keepLines/>
              <w:jc w:val="center"/>
              <w:rPr>
                <w:lang w:val="en-US"/>
              </w:rPr>
            </w:pPr>
            <w:r>
              <w:rPr>
                <w:lang w:val="en-US"/>
              </w:rPr>
              <w:t>Included vertebral fractures and non-vertebral fractures from the teriparatide 20mcg and placebo arms of the GHAC and ACTIVE trials</w:t>
            </w:r>
          </w:p>
        </w:tc>
        <w:tc>
          <w:tcPr>
            <w:tcW w:w="941" w:type="pct"/>
            <w:shd w:val="clear" w:color="auto" w:fill="auto"/>
            <w:vAlign w:val="center"/>
          </w:tcPr>
          <w:p w:rsidR="002A1FCC" w:rsidRPr="00E2771E" w:rsidRDefault="00D34AD9" w:rsidP="00CC6907">
            <w:pPr>
              <w:pStyle w:val="Tabletext"/>
              <w:keepNext/>
              <w:keepLines/>
              <w:jc w:val="center"/>
              <w:rPr>
                <w:lang w:val="en-US"/>
              </w:rPr>
            </w:pPr>
            <w:r>
              <w:rPr>
                <w:lang w:val="en-US"/>
              </w:rPr>
              <w:t>Not used</w:t>
            </w:r>
          </w:p>
        </w:tc>
      </w:tr>
    </w:tbl>
    <w:p w:rsidR="005C36E6" w:rsidRPr="005C36E6" w:rsidRDefault="005C36E6" w:rsidP="00CC6907">
      <w:pPr>
        <w:pStyle w:val="TableFooter"/>
        <w:keepNext/>
        <w:keepLines/>
        <w:rPr>
          <w:sz w:val="20"/>
        </w:rPr>
      </w:pPr>
      <w:r>
        <w:t xml:space="preserve">Source: </w:t>
      </w:r>
      <w:r w:rsidRPr="005C36E6">
        <w:t>Table 2.3-1 (p 31), Tabl</w:t>
      </w:r>
      <w:r>
        <w:t xml:space="preserve">e 2.3-2 (p 32), </w:t>
      </w:r>
      <w:r w:rsidRPr="005C36E6">
        <w:t>Table 2.4-1 (p 37), Table 2.4-2 (p 38), Table 2.4-3 (p 40-45), Table 2.4-4 (p 46-47) of the submission; p 1-6 Appendix 1 of the submission</w:t>
      </w:r>
    </w:p>
    <w:p w:rsidR="007F1017" w:rsidRDefault="005C36E6" w:rsidP="00CC6907">
      <w:pPr>
        <w:pStyle w:val="TableFooter"/>
        <w:keepNext/>
        <w:keepLines/>
      </w:pPr>
      <w:r>
        <w:t xml:space="preserve">Abbreviations; </w:t>
      </w:r>
      <w:r w:rsidR="009B3372">
        <w:t xml:space="preserve">Aba, abaloparatide; </w:t>
      </w:r>
      <w:r>
        <w:t>AC, active-controlled; DB, double blind; MC, multi-centre; OL, open label;</w:t>
      </w:r>
      <w:r w:rsidR="009B3372">
        <w:t xml:space="preserve"> Pbo, placebo;</w:t>
      </w:r>
      <w:r>
        <w:t xml:space="preserve"> PMO, postmenopausal osteoporosis; R, randomised</w:t>
      </w:r>
      <w:r w:rsidR="009B3372">
        <w:t>; Teri, teriparatide</w:t>
      </w:r>
    </w:p>
    <w:p w:rsidR="00D34AD9" w:rsidRPr="00D34AD9" w:rsidRDefault="00D34AD9" w:rsidP="00CC6907">
      <w:pPr>
        <w:pStyle w:val="TableFooter"/>
        <w:keepNext/>
        <w:keepLines/>
      </w:pPr>
      <w:r>
        <w:rPr>
          <w:vertAlign w:val="superscript"/>
        </w:rPr>
        <w:t>a</w:t>
      </w:r>
      <w:r>
        <w:t xml:space="preserve"> Trial stopped prematurely </w:t>
      </w:r>
      <w:r w:rsidRPr="00D34AD9">
        <w:t>due to the potential risk of osteosarcoma identified in animal studies</w:t>
      </w:r>
    </w:p>
    <w:p w:rsidR="002B44DD" w:rsidRPr="00C529AD" w:rsidRDefault="002B44DD" w:rsidP="00F91DE5">
      <w:pPr>
        <w:pStyle w:val="ListParagraph"/>
        <w:spacing w:before="120"/>
      </w:pPr>
      <w:r w:rsidRPr="00C529AD">
        <w:t xml:space="preserve">The ESC noted that none of the populations in the key trials exactly matched the requested PBS populations. The trials had less severe disease both in terms of BMD T scores (BMD T score ≤ </w:t>
      </w:r>
      <w:r w:rsidR="000C2C5A">
        <w:t xml:space="preserve">minus </w:t>
      </w:r>
      <w:r w:rsidRPr="00C529AD">
        <w:t>2.50 in the trials versus ≤</w:t>
      </w:r>
      <w:r w:rsidR="000C2C5A">
        <w:t xml:space="preserve"> minus </w:t>
      </w:r>
      <w:r w:rsidRPr="00C529AD">
        <w:t xml:space="preserve">3.0 in the proposed PBS populations) and fracture history compared to the requested PBS populations. </w:t>
      </w:r>
    </w:p>
    <w:p w:rsidR="00241C5C" w:rsidRDefault="00241C5C">
      <w:pPr>
        <w:widowControl/>
        <w:jc w:val="left"/>
        <w:rPr>
          <w:b/>
          <w:i/>
          <w:sz w:val="28"/>
          <w:szCs w:val="28"/>
        </w:rPr>
      </w:pPr>
      <w:bookmarkStart w:id="8" w:name="_Toc524518334"/>
      <w:r>
        <w:br w:type="page"/>
      </w:r>
    </w:p>
    <w:p w:rsidR="00B60939" w:rsidRPr="00C9624D" w:rsidRDefault="00B60939" w:rsidP="00F91DE5">
      <w:pPr>
        <w:pStyle w:val="Heading2"/>
      </w:pPr>
      <w:r w:rsidRPr="00C9624D">
        <w:lastRenderedPageBreak/>
        <w:t>Comparative effectiveness</w:t>
      </w:r>
      <w:bookmarkEnd w:id="8"/>
    </w:p>
    <w:p w:rsidR="00B60939" w:rsidRPr="00534E79" w:rsidRDefault="00534E79" w:rsidP="00F91DE5">
      <w:pPr>
        <w:spacing w:before="120" w:after="120"/>
        <w:rPr>
          <w:u w:val="single"/>
        </w:rPr>
      </w:pPr>
      <w:r>
        <w:rPr>
          <w:u w:val="single"/>
        </w:rPr>
        <w:t xml:space="preserve">Romosozumab </w:t>
      </w:r>
      <w:r w:rsidRPr="00534E79">
        <w:rPr>
          <w:u w:val="single"/>
        </w:rPr>
        <w:t>versus teriparatide</w:t>
      </w:r>
    </w:p>
    <w:p w:rsidR="009B3372" w:rsidRDefault="009B3372" w:rsidP="00F91DE5">
      <w:pPr>
        <w:pStyle w:val="ListParagraph"/>
        <w:spacing w:before="120"/>
      </w:pPr>
      <w:r w:rsidRPr="009B3372">
        <w:t xml:space="preserve">Key BMD </w:t>
      </w:r>
      <w:r w:rsidR="00E217BE">
        <w:t>outcomes reported with romosozumab versus teriparatide in the</w:t>
      </w:r>
      <w:r w:rsidRPr="009B3372">
        <w:t xml:space="preserve"> STRUCTURE trial are summarised in the table below</w:t>
      </w:r>
      <w:r w:rsidR="002204B0">
        <w:t>.</w:t>
      </w:r>
    </w:p>
    <w:p w:rsidR="00E217BE" w:rsidRPr="00322751" w:rsidRDefault="00E217BE" w:rsidP="00CC6907">
      <w:pPr>
        <w:pStyle w:val="TableHeading0"/>
        <w:keepLines/>
        <w:spacing w:after="0"/>
      </w:pPr>
      <w:r>
        <w:t>Table 4: BMD outcomes with romosozumab and teriparatide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4: BMD outcomes with romosozumab and teriparatide"/>
      </w:tblPr>
      <w:tblGrid>
        <w:gridCol w:w="1638"/>
        <w:gridCol w:w="2940"/>
        <w:gridCol w:w="2941"/>
        <w:gridCol w:w="1570"/>
      </w:tblGrid>
      <w:tr w:rsidR="00E217BE" w:rsidRPr="00322751" w:rsidTr="00482178">
        <w:trPr>
          <w:trHeight w:val="43"/>
          <w:tblHeader/>
        </w:trPr>
        <w:tc>
          <w:tcPr>
            <w:tcW w:w="1638" w:type="dxa"/>
            <w:vAlign w:val="center"/>
          </w:tcPr>
          <w:p w:rsidR="00E217BE" w:rsidRPr="00322751" w:rsidRDefault="00E217BE" w:rsidP="00CC6907">
            <w:pPr>
              <w:keepNext/>
              <w:keepLines/>
              <w:rPr>
                <w:rFonts w:ascii="Arial Narrow" w:hAnsi="Arial Narrow"/>
                <w:b/>
                <w:sz w:val="20"/>
                <w:szCs w:val="20"/>
              </w:rPr>
            </w:pPr>
            <w:r>
              <w:rPr>
                <w:rFonts w:ascii="Arial Narrow" w:hAnsi="Arial Narrow"/>
                <w:b/>
                <w:sz w:val="20"/>
                <w:szCs w:val="20"/>
              </w:rPr>
              <w:t>Location</w:t>
            </w:r>
          </w:p>
        </w:tc>
        <w:tc>
          <w:tcPr>
            <w:tcW w:w="2940" w:type="dxa"/>
            <w:vAlign w:val="center"/>
          </w:tcPr>
          <w:p w:rsidR="00E217BE" w:rsidRPr="00322751" w:rsidRDefault="00E217BE" w:rsidP="00CC6907">
            <w:pPr>
              <w:keepNext/>
              <w:keepLines/>
              <w:jc w:val="center"/>
              <w:rPr>
                <w:rFonts w:ascii="Arial Narrow" w:hAnsi="Arial Narrow"/>
                <w:b/>
                <w:sz w:val="20"/>
                <w:szCs w:val="20"/>
              </w:rPr>
            </w:pPr>
            <w:r>
              <w:rPr>
                <w:rFonts w:ascii="Arial Narrow" w:hAnsi="Arial Narrow"/>
                <w:b/>
                <w:sz w:val="20"/>
                <w:szCs w:val="20"/>
              </w:rPr>
              <w:t>Romosozumab (N = 218)</w:t>
            </w:r>
          </w:p>
        </w:tc>
        <w:tc>
          <w:tcPr>
            <w:tcW w:w="2941" w:type="dxa"/>
            <w:vAlign w:val="center"/>
          </w:tcPr>
          <w:p w:rsidR="00E217BE" w:rsidRPr="00322751" w:rsidRDefault="00E217BE" w:rsidP="00CC6907">
            <w:pPr>
              <w:keepNext/>
              <w:keepLines/>
              <w:jc w:val="center"/>
              <w:rPr>
                <w:rFonts w:ascii="Arial Narrow" w:hAnsi="Arial Narrow"/>
                <w:b/>
                <w:sz w:val="20"/>
                <w:szCs w:val="20"/>
              </w:rPr>
            </w:pPr>
            <w:r>
              <w:rPr>
                <w:rFonts w:ascii="Arial Narrow" w:hAnsi="Arial Narrow"/>
                <w:b/>
                <w:sz w:val="20"/>
                <w:szCs w:val="20"/>
              </w:rPr>
              <w:t>Teriparatide (N = 218)</w:t>
            </w:r>
          </w:p>
        </w:tc>
        <w:tc>
          <w:tcPr>
            <w:tcW w:w="1570" w:type="dxa"/>
            <w:vAlign w:val="center"/>
          </w:tcPr>
          <w:p w:rsidR="00E217BE" w:rsidRPr="00322751" w:rsidRDefault="00E217BE" w:rsidP="00CC6907">
            <w:pPr>
              <w:keepNext/>
              <w:keepLines/>
              <w:jc w:val="center"/>
              <w:rPr>
                <w:rFonts w:ascii="Arial Narrow" w:hAnsi="Arial Narrow"/>
                <w:b/>
                <w:sz w:val="20"/>
                <w:szCs w:val="20"/>
              </w:rPr>
            </w:pPr>
            <w:r>
              <w:rPr>
                <w:rFonts w:ascii="Arial Narrow" w:hAnsi="Arial Narrow"/>
                <w:b/>
                <w:sz w:val="20"/>
                <w:szCs w:val="20"/>
              </w:rPr>
              <w:t xml:space="preserve">Difference </w:t>
            </w:r>
          </w:p>
        </w:tc>
      </w:tr>
      <w:tr w:rsidR="00E217BE" w:rsidRPr="00322751" w:rsidTr="00482178">
        <w:tc>
          <w:tcPr>
            <w:tcW w:w="9089" w:type="dxa"/>
            <w:gridSpan w:val="4"/>
            <w:vAlign w:val="center"/>
          </w:tcPr>
          <w:p w:rsidR="00E217BE" w:rsidRPr="00577005" w:rsidRDefault="00E217BE" w:rsidP="00CC6907">
            <w:pPr>
              <w:keepNext/>
              <w:keepLines/>
              <w:rPr>
                <w:rFonts w:ascii="Arial Narrow" w:hAnsi="Arial Narrow"/>
                <w:b/>
                <w:sz w:val="20"/>
                <w:szCs w:val="20"/>
              </w:rPr>
            </w:pPr>
            <w:r>
              <w:rPr>
                <w:rFonts w:ascii="Arial Narrow" w:hAnsi="Arial Narrow"/>
                <w:b/>
                <w:sz w:val="20"/>
                <w:szCs w:val="20"/>
              </w:rPr>
              <w:t>Baseline</w:t>
            </w:r>
            <w:r w:rsidRPr="00322751">
              <w:rPr>
                <w:rFonts w:ascii="Arial Narrow" w:hAnsi="Arial Narrow"/>
                <w:b/>
                <w:sz w:val="20"/>
                <w:szCs w:val="20"/>
              </w:rPr>
              <w:t xml:space="preserve"> BMD</w:t>
            </w:r>
            <w:r>
              <w:rPr>
                <w:rFonts w:ascii="Arial Narrow" w:hAnsi="Arial Narrow"/>
                <w:b/>
                <w:sz w:val="20"/>
                <w:szCs w:val="20"/>
              </w:rPr>
              <w:t xml:space="preserve"> T-score, mean</w:t>
            </w:r>
            <w:r w:rsidRPr="00322751">
              <w:rPr>
                <w:rFonts w:ascii="Arial Narrow" w:hAnsi="Arial Narrow"/>
                <w:b/>
                <w:sz w:val="20"/>
                <w:szCs w:val="20"/>
              </w:rPr>
              <w:t xml:space="preserve"> (SD)</w:t>
            </w:r>
          </w:p>
        </w:tc>
      </w:tr>
      <w:tr w:rsidR="00E217BE" w:rsidRPr="00322751" w:rsidTr="00482178">
        <w:tc>
          <w:tcPr>
            <w:tcW w:w="1638" w:type="dxa"/>
            <w:vAlign w:val="center"/>
          </w:tcPr>
          <w:p w:rsidR="00E217BE" w:rsidRPr="00322751" w:rsidRDefault="00E217BE" w:rsidP="00CC6907">
            <w:pPr>
              <w:keepNext/>
              <w:keepLines/>
              <w:jc w:val="left"/>
              <w:rPr>
                <w:rFonts w:ascii="Arial Narrow" w:hAnsi="Arial Narrow"/>
                <w:sz w:val="20"/>
                <w:szCs w:val="20"/>
              </w:rPr>
            </w:pPr>
            <w:r>
              <w:rPr>
                <w:rFonts w:ascii="Arial Narrow" w:hAnsi="Arial Narrow"/>
                <w:sz w:val="20"/>
                <w:szCs w:val="20"/>
              </w:rPr>
              <w:t xml:space="preserve">Total hip </w:t>
            </w:r>
          </w:p>
        </w:tc>
        <w:tc>
          <w:tcPr>
            <w:tcW w:w="2940" w:type="dxa"/>
            <w:vAlign w:val="center"/>
          </w:tcPr>
          <w:p w:rsidR="00E217BE" w:rsidRPr="00322751" w:rsidRDefault="00E217BE" w:rsidP="00CC6907">
            <w:pPr>
              <w:keepNext/>
              <w:keepLines/>
              <w:jc w:val="center"/>
              <w:rPr>
                <w:rFonts w:ascii="Arial Narrow" w:hAnsi="Arial Narrow"/>
                <w:sz w:val="20"/>
                <w:szCs w:val="20"/>
              </w:rPr>
            </w:pPr>
            <w:r>
              <w:rPr>
                <w:rFonts w:ascii="Arial Narrow" w:hAnsi="Arial Narrow"/>
                <w:sz w:val="20"/>
                <w:szCs w:val="20"/>
              </w:rPr>
              <w:t>-2.27 (0.75)</w:t>
            </w:r>
          </w:p>
        </w:tc>
        <w:tc>
          <w:tcPr>
            <w:tcW w:w="2941" w:type="dxa"/>
            <w:vAlign w:val="center"/>
          </w:tcPr>
          <w:p w:rsidR="00E217BE" w:rsidRPr="00322751" w:rsidRDefault="00E217BE" w:rsidP="00CC6907">
            <w:pPr>
              <w:keepNext/>
              <w:keepLines/>
              <w:jc w:val="center"/>
              <w:rPr>
                <w:rFonts w:ascii="Arial Narrow" w:hAnsi="Arial Narrow"/>
                <w:sz w:val="20"/>
                <w:szCs w:val="20"/>
              </w:rPr>
            </w:pPr>
            <w:r>
              <w:rPr>
                <w:rFonts w:ascii="Arial Narrow" w:hAnsi="Arial Narrow"/>
                <w:sz w:val="20"/>
                <w:szCs w:val="20"/>
              </w:rPr>
              <w:t>-2.21 (0.72)</w:t>
            </w:r>
          </w:p>
        </w:tc>
        <w:tc>
          <w:tcPr>
            <w:tcW w:w="1570" w:type="dxa"/>
            <w:vAlign w:val="center"/>
          </w:tcPr>
          <w:p w:rsidR="00E217BE" w:rsidRPr="00322751" w:rsidRDefault="00E217BE" w:rsidP="00CC6907">
            <w:pPr>
              <w:keepNext/>
              <w:keepLines/>
              <w:jc w:val="center"/>
              <w:rPr>
                <w:rFonts w:ascii="Arial Narrow" w:hAnsi="Arial Narrow"/>
                <w:sz w:val="20"/>
                <w:szCs w:val="20"/>
              </w:rPr>
            </w:pPr>
            <w:r>
              <w:rPr>
                <w:rFonts w:ascii="Arial Narrow" w:hAnsi="Arial Narrow"/>
                <w:sz w:val="20"/>
                <w:szCs w:val="20"/>
              </w:rPr>
              <w:t>-</w:t>
            </w:r>
          </w:p>
        </w:tc>
      </w:tr>
      <w:tr w:rsidR="00E217BE" w:rsidRPr="00322751" w:rsidTr="00482178">
        <w:tc>
          <w:tcPr>
            <w:tcW w:w="1638" w:type="dxa"/>
            <w:vAlign w:val="center"/>
          </w:tcPr>
          <w:p w:rsidR="00E217BE" w:rsidRDefault="00E217BE" w:rsidP="00CC6907">
            <w:pPr>
              <w:keepNext/>
              <w:keepLines/>
              <w:jc w:val="left"/>
              <w:rPr>
                <w:rFonts w:ascii="Arial Narrow" w:hAnsi="Arial Narrow"/>
                <w:sz w:val="20"/>
                <w:szCs w:val="20"/>
              </w:rPr>
            </w:pPr>
            <w:r>
              <w:rPr>
                <w:rFonts w:ascii="Arial Narrow" w:hAnsi="Arial Narrow"/>
                <w:sz w:val="20"/>
                <w:szCs w:val="20"/>
              </w:rPr>
              <w:t>Femoral neck</w:t>
            </w:r>
          </w:p>
        </w:tc>
        <w:tc>
          <w:tcPr>
            <w:tcW w:w="2940" w:type="dxa"/>
          </w:tcPr>
          <w:p w:rsidR="00E217BE" w:rsidRPr="00322751" w:rsidRDefault="00E217BE" w:rsidP="00CC6907">
            <w:pPr>
              <w:keepNext/>
              <w:keepLines/>
              <w:jc w:val="center"/>
              <w:rPr>
                <w:rFonts w:ascii="Arial Narrow" w:hAnsi="Arial Narrow"/>
                <w:sz w:val="20"/>
                <w:szCs w:val="20"/>
              </w:rPr>
            </w:pPr>
            <w:r>
              <w:rPr>
                <w:rFonts w:ascii="Arial Narrow" w:hAnsi="Arial Narrow"/>
                <w:sz w:val="20"/>
                <w:szCs w:val="20"/>
              </w:rPr>
              <w:t>-2.49 (0.67)</w:t>
            </w:r>
          </w:p>
        </w:tc>
        <w:tc>
          <w:tcPr>
            <w:tcW w:w="2941" w:type="dxa"/>
          </w:tcPr>
          <w:p w:rsidR="00E217BE" w:rsidRPr="00322751" w:rsidRDefault="00E217BE" w:rsidP="00CC6907">
            <w:pPr>
              <w:keepNext/>
              <w:keepLines/>
              <w:jc w:val="center"/>
              <w:rPr>
                <w:rFonts w:ascii="Arial Narrow" w:hAnsi="Arial Narrow"/>
                <w:sz w:val="20"/>
                <w:szCs w:val="20"/>
              </w:rPr>
            </w:pPr>
            <w:r>
              <w:rPr>
                <w:rFonts w:ascii="Arial Narrow" w:hAnsi="Arial Narrow"/>
                <w:sz w:val="20"/>
                <w:szCs w:val="20"/>
              </w:rPr>
              <w:t>-2.43 (0.66)</w:t>
            </w:r>
          </w:p>
        </w:tc>
        <w:tc>
          <w:tcPr>
            <w:tcW w:w="1570" w:type="dxa"/>
          </w:tcPr>
          <w:p w:rsidR="00E217BE" w:rsidRPr="00322751" w:rsidRDefault="00E217BE" w:rsidP="00CC6907">
            <w:pPr>
              <w:keepNext/>
              <w:keepLines/>
              <w:jc w:val="center"/>
              <w:rPr>
                <w:rFonts w:ascii="Arial Narrow" w:hAnsi="Arial Narrow"/>
                <w:sz w:val="20"/>
                <w:szCs w:val="20"/>
              </w:rPr>
            </w:pPr>
            <w:r>
              <w:rPr>
                <w:rFonts w:ascii="Arial Narrow" w:hAnsi="Arial Narrow"/>
                <w:sz w:val="20"/>
                <w:szCs w:val="20"/>
              </w:rPr>
              <w:t>-</w:t>
            </w:r>
          </w:p>
        </w:tc>
      </w:tr>
      <w:tr w:rsidR="00E217BE" w:rsidRPr="00322751" w:rsidTr="00482178">
        <w:tc>
          <w:tcPr>
            <w:tcW w:w="1638" w:type="dxa"/>
            <w:vAlign w:val="center"/>
          </w:tcPr>
          <w:p w:rsidR="00E217BE" w:rsidRDefault="00E217BE" w:rsidP="00CC6907">
            <w:pPr>
              <w:keepNext/>
              <w:keepLines/>
              <w:jc w:val="left"/>
              <w:rPr>
                <w:rFonts w:ascii="Arial Narrow" w:hAnsi="Arial Narrow"/>
                <w:sz w:val="20"/>
                <w:szCs w:val="20"/>
              </w:rPr>
            </w:pPr>
            <w:r>
              <w:rPr>
                <w:rFonts w:ascii="Arial Narrow" w:hAnsi="Arial Narrow"/>
                <w:sz w:val="20"/>
                <w:szCs w:val="20"/>
              </w:rPr>
              <w:t>Lumbar spine</w:t>
            </w:r>
          </w:p>
        </w:tc>
        <w:tc>
          <w:tcPr>
            <w:tcW w:w="2940" w:type="dxa"/>
          </w:tcPr>
          <w:p w:rsidR="00E217BE" w:rsidRPr="00322751" w:rsidRDefault="00E217BE" w:rsidP="00CC6907">
            <w:pPr>
              <w:keepNext/>
              <w:keepLines/>
              <w:jc w:val="center"/>
              <w:rPr>
                <w:rFonts w:ascii="Arial Narrow" w:hAnsi="Arial Narrow"/>
                <w:sz w:val="20"/>
                <w:szCs w:val="20"/>
              </w:rPr>
            </w:pPr>
            <w:r>
              <w:rPr>
                <w:rFonts w:ascii="Arial Narrow" w:hAnsi="Arial Narrow"/>
                <w:sz w:val="20"/>
                <w:szCs w:val="20"/>
              </w:rPr>
              <w:t>-2.83 (1.10)</w:t>
            </w:r>
          </w:p>
        </w:tc>
        <w:tc>
          <w:tcPr>
            <w:tcW w:w="2941" w:type="dxa"/>
          </w:tcPr>
          <w:p w:rsidR="00E217BE" w:rsidRPr="00322751" w:rsidRDefault="00E217BE" w:rsidP="00CC6907">
            <w:pPr>
              <w:keepNext/>
              <w:keepLines/>
              <w:jc w:val="center"/>
              <w:rPr>
                <w:rFonts w:ascii="Arial Narrow" w:hAnsi="Arial Narrow"/>
                <w:sz w:val="20"/>
                <w:szCs w:val="20"/>
              </w:rPr>
            </w:pPr>
            <w:r>
              <w:rPr>
                <w:rFonts w:ascii="Arial Narrow" w:hAnsi="Arial Narrow"/>
                <w:sz w:val="20"/>
                <w:szCs w:val="20"/>
              </w:rPr>
              <w:t>-2.87 (1.04)</w:t>
            </w:r>
          </w:p>
        </w:tc>
        <w:tc>
          <w:tcPr>
            <w:tcW w:w="1570" w:type="dxa"/>
          </w:tcPr>
          <w:p w:rsidR="00E217BE" w:rsidRPr="00322751" w:rsidRDefault="00E217BE" w:rsidP="00CC6907">
            <w:pPr>
              <w:keepNext/>
              <w:keepLines/>
              <w:jc w:val="center"/>
              <w:rPr>
                <w:rFonts w:ascii="Arial Narrow" w:hAnsi="Arial Narrow"/>
                <w:sz w:val="20"/>
                <w:szCs w:val="20"/>
              </w:rPr>
            </w:pPr>
            <w:r>
              <w:rPr>
                <w:rFonts w:ascii="Arial Narrow" w:hAnsi="Arial Narrow"/>
                <w:sz w:val="20"/>
                <w:szCs w:val="20"/>
              </w:rPr>
              <w:t>-</w:t>
            </w:r>
          </w:p>
        </w:tc>
      </w:tr>
      <w:tr w:rsidR="00E217BE" w:rsidRPr="00322751" w:rsidTr="00482178">
        <w:tc>
          <w:tcPr>
            <w:tcW w:w="9089" w:type="dxa"/>
            <w:gridSpan w:val="4"/>
            <w:vAlign w:val="center"/>
          </w:tcPr>
          <w:p w:rsidR="00E217BE" w:rsidRPr="00E5246D" w:rsidRDefault="00E217BE" w:rsidP="00CC6907">
            <w:pPr>
              <w:keepNext/>
              <w:keepLines/>
              <w:jc w:val="left"/>
              <w:rPr>
                <w:rFonts w:ascii="Arial Narrow" w:hAnsi="Arial Narrow"/>
                <w:b/>
                <w:sz w:val="20"/>
                <w:szCs w:val="20"/>
              </w:rPr>
            </w:pPr>
            <w:r w:rsidRPr="00E5246D">
              <w:rPr>
                <w:rFonts w:ascii="Arial Narrow" w:hAnsi="Arial Narrow"/>
                <w:b/>
                <w:sz w:val="20"/>
                <w:szCs w:val="20"/>
              </w:rPr>
              <w:t>Relative change from baseline to Month 12, LSM (95% CI)</w:t>
            </w:r>
          </w:p>
        </w:tc>
      </w:tr>
      <w:tr w:rsidR="00E217BE" w:rsidRPr="00322751" w:rsidTr="00482178">
        <w:tc>
          <w:tcPr>
            <w:tcW w:w="1638" w:type="dxa"/>
            <w:vAlign w:val="center"/>
          </w:tcPr>
          <w:p w:rsidR="00E217BE" w:rsidRDefault="00E217BE" w:rsidP="00CC6907">
            <w:pPr>
              <w:keepNext/>
              <w:keepLines/>
              <w:jc w:val="left"/>
              <w:rPr>
                <w:rFonts w:ascii="Arial Narrow" w:hAnsi="Arial Narrow"/>
                <w:sz w:val="20"/>
                <w:szCs w:val="20"/>
              </w:rPr>
            </w:pPr>
            <w:r>
              <w:rPr>
                <w:rFonts w:ascii="Arial Narrow" w:hAnsi="Arial Narrow"/>
                <w:sz w:val="20"/>
                <w:szCs w:val="20"/>
              </w:rPr>
              <w:t xml:space="preserve">Total hip </w:t>
            </w:r>
          </w:p>
        </w:tc>
        <w:tc>
          <w:tcPr>
            <w:tcW w:w="2940" w:type="dxa"/>
            <w:vAlign w:val="center"/>
          </w:tcPr>
          <w:p w:rsidR="00E217BE" w:rsidRPr="00322751" w:rsidRDefault="00E217BE" w:rsidP="00CC6907">
            <w:pPr>
              <w:keepNext/>
              <w:keepLines/>
              <w:jc w:val="center"/>
              <w:rPr>
                <w:rFonts w:ascii="Arial Narrow" w:hAnsi="Arial Narrow"/>
                <w:sz w:val="20"/>
                <w:szCs w:val="20"/>
              </w:rPr>
            </w:pPr>
            <w:r w:rsidRPr="007A4577">
              <w:rPr>
                <w:rFonts w:ascii="Arial Narrow" w:hAnsi="Arial Narrow"/>
                <w:sz w:val="20"/>
                <w:szCs w:val="20"/>
              </w:rPr>
              <w:t>2.6</w:t>
            </w:r>
            <w:r>
              <w:rPr>
                <w:rFonts w:ascii="Arial Narrow" w:hAnsi="Arial Narrow"/>
                <w:sz w:val="20"/>
                <w:szCs w:val="20"/>
              </w:rPr>
              <w:t>%</w:t>
            </w:r>
            <w:r w:rsidRPr="007A4577">
              <w:rPr>
                <w:rFonts w:ascii="Arial Narrow" w:hAnsi="Arial Narrow"/>
                <w:sz w:val="20"/>
                <w:szCs w:val="20"/>
              </w:rPr>
              <w:t xml:space="preserve"> (2.2, 3.0)</w:t>
            </w:r>
          </w:p>
        </w:tc>
        <w:tc>
          <w:tcPr>
            <w:tcW w:w="2941" w:type="dxa"/>
            <w:vAlign w:val="center"/>
          </w:tcPr>
          <w:p w:rsidR="00E217BE" w:rsidRPr="00322751" w:rsidRDefault="00E217BE" w:rsidP="00CC6907">
            <w:pPr>
              <w:keepNext/>
              <w:keepLines/>
              <w:jc w:val="center"/>
              <w:rPr>
                <w:rFonts w:ascii="Arial Narrow" w:hAnsi="Arial Narrow"/>
                <w:sz w:val="20"/>
                <w:szCs w:val="20"/>
              </w:rPr>
            </w:pPr>
            <w:r w:rsidRPr="007A4577">
              <w:rPr>
                <w:rFonts w:ascii="Arial Narrow" w:hAnsi="Arial Narrow"/>
                <w:sz w:val="20"/>
                <w:szCs w:val="20"/>
              </w:rPr>
              <w:t>-0.6</w:t>
            </w:r>
            <w:r>
              <w:rPr>
                <w:rFonts w:ascii="Arial Narrow" w:hAnsi="Arial Narrow"/>
                <w:sz w:val="20"/>
                <w:szCs w:val="20"/>
              </w:rPr>
              <w:t>%</w:t>
            </w:r>
            <w:r w:rsidRPr="007A4577">
              <w:rPr>
                <w:rFonts w:ascii="Arial Narrow" w:hAnsi="Arial Narrow"/>
                <w:sz w:val="20"/>
                <w:szCs w:val="20"/>
              </w:rPr>
              <w:t xml:space="preserve"> (-1.0, -0.2)</w:t>
            </w:r>
          </w:p>
        </w:tc>
        <w:tc>
          <w:tcPr>
            <w:tcW w:w="1570" w:type="dxa"/>
            <w:vAlign w:val="center"/>
          </w:tcPr>
          <w:p w:rsidR="00E217BE" w:rsidRDefault="00E217BE" w:rsidP="00CC6907">
            <w:pPr>
              <w:keepNext/>
              <w:keepLines/>
              <w:jc w:val="center"/>
              <w:rPr>
                <w:rFonts w:ascii="Arial Narrow" w:hAnsi="Arial Narrow"/>
                <w:sz w:val="20"/>
                <w:szCs w:val="20"/>
              </w:rPr>
            </w:pPr>
            <w:r w:rsidRPr="007A4577">
              <w:rPr>
                <w:rFonts w:ascii="Arial Narrow" w:hAnsi="Arial Narrow"/>
                <w:sz w:val="20"/>
                <w:szCs w:val="20"/>
              </w:rPr>
              <w:t>3.2</w:t>
            </w:r>
            <w:r>
              <w:rPr>
                <w:rFonts w:ascii="Arial Narrow" w:hAnsi="Arial Narrow"/>
                <w:sz w:val="20"/>
                <w:szCs w:val="20"/>
              </w:rPr>
              <w:t>%</w:t>
            </w:r>
            <w:r w:rsidRPr="007A4577">
              <w:rPr>
                <w:rFonts w:ascii="Arial Narrow" w:hAnsi="Arial Narrow"/>
                <w:sz w:val="20"/>
                <w:szCs w:val="20"/>
              </w:rPr>
              <w:t xml:space="preserve"> (2.7, 3.8)</w:t>
            </w:r>
          </w:p>
        </w:tc>
      </w:tr>
      <w:tr w:rsidR="00E217BE" w:rsidRPr="00322751" w:rsidTr="00482178">
        <w:tc>
          <w:tcPr>
            <w:tcW w:w="1638" w:type="dxa"/>
            <w:vAlign w:val="center"/>
          </w:tcPr>
          <w:p w:rsidR="00E217BE" w:rsidRDefault="00E217BE" w:rsidP="00CC6907">
            <w:pPr>
              <w:keepNext/>
              <w:keepLines/>
              <w:jc w:val="left"/>
              <w:rPr>
                <w:rFonts w:ascii="Arial Narrow" w:hAnsi="Arial Narrow"/>
                <w:sz w:val="20"/>
                <w:szCs w:val="20"/>
              </w:rPr>
            </w:pPr>
            <w:r>
              <w:rPr>
                <w:rFonts w:ascii="Arial Narrow" w:hAnsi="Arial Narrow"/>
                <w:sz w:val="20"/>
                <w:szCs w:val="20"/>
              </w:rPr>
              <w:t>Femoral neck</w:t>
            </w:r>
          </w:p>
        </w:tc>
        <w:tc>
          <w:tcPr>
            <w:tcW w:w="2940" w:type="dxa"/>
          </w:tcPr>
          <w:p w:rsidR="00E217BE" w:rsidRPr="00322751" w:rsidRDefault="00E217BE" w:rsidP="00CC6907">
            <w:pPr>
              <w:keepNext/>
              <w:keepLines/>
              <w:jc w:val="center"/>
              <w:rPr>
                <w:rFonts w:ascii="Arial Narrow" w:hAnsi="Arial Narrow"/>
                <w:sz w:val="20"/>
                <w:szCs w:val="20"/>
              </w:rPr>
            </w:pPr>
            <w:r w:rsidRPr="00AC140B">
              <w:rPr>
                <w:rFonts w:ascii="Arial Narrow" w:hAnsi="Arial Narrow"/>
                <w:sz w:val="20"/>
                <w:szCs w:val="20"/>
              </w:rPr>
              <w:t>3.2</w:t>
            </w:r>
            <w:r>
              <w:rPr>
                <w:rFonts w:ascii="Arial Narrow" w:hAnsi="Arial Narrow"/>
                <w:sz w:val="20"/>
                <w:szCs w:val="20"/>
              </w:rPr>
              <w:t>%</w:t>
            </w:r>
            <w:r w:rsidRPr="00AC140B">
              <w:rPr>
                <w:rFonts w:ascii="Arial Narrow" w:hAnsi="Arial Narrow"/>
                <w:sz w:val="20"/>
                <w:szCs w:val="20"/>
              </w:rPr>
              <w:t xml:space="preserve"> (2.6, 3.8)</w:t>
            </w:r>
          </w:p>
        </w:tc>
        <w:tc>
          <w:tcPr>
            <w:tcW w:w="2941" w:type="dxa"/>
          </w:tcPr>
          <w:p w:rsidR="00E217BE" w:rsidRPr="00322751" w:rsidRDefault="00E217BE" w:rsidP="00CC6907">
            <w:pPr>
              <w:keepNext/>
              <w:keepLines/>
              <w:jc w:val="center"/>
              <w:rPr>
                <w:rFonts w:ascii="Arial Narrow" w:hAnsi="Arial Narrow"/>
                <w:sz w:val="20"/>
                <w:szCs w:val="20"/>
              </w:rPr>
            </w:pPr>
            <w:r w:rsidRPr="00AC140B">
              <w:rPr>
                <w:rFonts w:ascii="Arial Narrow" w:hAnsi="Arial Narrow"/>
                <w:sz w:val="20"/>
                <w:szCs w:val="20"/>
              </w:rPr>
              <w:t>-0.2</w:t>
            </w:r>
            <w:r>
              <w:rPr>
                <w:rFonts w:ascii="Arial Narrow" w:hAnsi="Arial Narrow"/>
                <w:sz w:val="20"/>
                <w:szCs w:val="20"/>
              </w:rPr>
              <w:t>%</w:t>
            </w:r>
            <w:r w:rsidRPr="00AC140B">
              <w:rPr>
                <w:rFonts w:ascii="Arial Narrow" w:hAnsi="Arial Narrow"/>
                <w:sz w:val="20"/>
                <w:szCs w:val="20"/>
              </w:rPr>
              <w:t xml:space="preserve"> (-0.8, 0.4)</w:t>
            </w:r>
          </w:p>
        </w:tc>
        <w:tc>
          <w:tcPr>
            <w:tcW w:w="1570" w:type="dxa"/>
          </w:tcPr>
          <w:p w:rsidR="00E217BE" w:rsidRDefault="00E217BE" w:rsidP="00CC6907">
            <w:pPr>
              <w:keepNext/>
              <w:keepLines/>
              <w:jc w:val="center"/>
              <w:rPr>
                <w:rFonts w:ascii="Arial Narrow" w:hAnsi="Arial Narrow"/>
                <w:sz w:val="20"/>
                <w:szCs w:val="20"/>
              </w:rPr>
            </w:pPr>
            <w:r w:rsidRPr="00AC140B">
              <w:rPr>
                <w:rFonts w:ascii="Arial Narrow" w:hAnsi="Arial Narrow"/>
                <w:sz w:val="20"/>
                <w:szCs w:val="20"/>
              </w:rPr>
              <w:t>3.4</w:t>
            </w:r>
            <w:r>
              <w:rPr>
                <w:rFonts w:ascii="Arial Narrow" w:hAnsi="Arial Narrow"/>
                <w:sz w:val="20"/>
                <w:szCs w:val="20"/>
              </w:rPr>
              <w:t>%</w:t>
            </w:r>
            <w:r w:rsidRPr="00AC140B">
              <w:rPr>
                <w:rFonts w:ascii="Arial Narrow" w:hAnsi="Arial Narrow"/>
                <w:sz w:val="20"/>
                <w:szCs w:val="20"/>
              </w:rPr>
              <w:t xml:space="preserve"> (2.6, 4.2)</w:t>
            </w:r>
          </w:p>
        </w:tc>
      </w:tr>
      <w:tr w:rsidR="00E217BE" w:rsidRPr="00322751" w:rsidTr="00482178">
        <w:tc>
          <w:tcPr>
            <w:tcW w:w="1638" w:type="dxa"/>
            <w:vAlign w:val="center"/>
          </w:tcPr>
          <w:p w:rsidR="00E217BE" w:rsidRDefault="00E217BE" w:rsidP="00CC6907">
            <w:pPr>
              <w:keepNext/>
              <w:keepLines/>
              <w:jc w:val="left"/>
              <w:rPr>
                <w:rFonts w:ascii="Arial Narrow" w:hAnsi="Arial Narrow"/>
                <w:sz w:val="20"/>
                <w:szCs w:val="20"/>
              </w:rPr>
            </w:pPr>
            <w:r>
              <w:rPr>
                <w:rFonts w:ascii="Arial Narrow" w:hAnsi="Arial Narrow"/>
                <w:sz w:val="20"/>
                <w:szCs w:val="20"/>
              </w:rPr>
              <w:t>Lumbar spine</w:t>
            </w:r>
          </w:p>
        </w:tc>
        <w:tc>
          <w:tcPr>
            <w:tcW w:w="2940" w:type="dxa"/>
          </w:tcPr>
          <w:p w:rsidR="00E217BE" w:rsidRPr="00322751" w:rsidRDefault="00E217BE" w:rsidP="00CC6907">
            <w:pPr>
              <w:keepNext/>
              <w:keepLines/>
              <w:jc w:val="center"/>
              <w:rPr>
                <w:rFonts w:ascii="Arial Narrow" w:hAnsi="Arial Narrow"/>
                <w:sz w:val="20"/>
                <w:szCs w:val="20"/>
              </w:rPr>
            </w:pPr>
            <w:r w:rsidRPr="00AC140B">
              <w:rPr>
                <w:rFonts w:ascii="Arial Narrow" w:hAnsi="Arial Narrow"/>
                <w:sz w:val="20"/>
                <w:szCs w:val="20"/>
              </w:rPr>
              <w:t>9.8</w:t>
            </w:r>
            <w:r>
              <w:rPr>
                <w:rFonts w:ascii="Arial Narrow" w:hAnsi="Arial Narrow"/>
                <w:sz w:val="20"/>
                <w:szCs w:val="20"/>
              </w:rPr>
              <w:t>%</w:t>
            </w:r>
            <w:r w:rsidRPr="00AC140B">
              <w:rPr>
                <w:rFonts w:ascii="Arial Narrow" w:hAnsi="Arial Narrow"/>
                <w:sz w:val="20"/>
                <w:szCs w:val="20"/>
              </w:rPr>
              <w:t xml:space="preserve"> (9.0, 10.5)</w:t>
            </w:r>
          </w:p>
        </w:tc>
        <w:tc>
          <w:tcPr>
            <w:tcW w:w="2941" w:type="dxa"/>
          </w:tcPr>
          <w:p w:rsidR="00E217BE" w:rsidRPr="00322751" w:rsidRDefault="00E217BE" w:rsidP="00CC6907">
            <w:pPr>
              <w:keepNext/>
              <w:keepLines/>
              <w:jc w:val="center"/>
              <w:rPr>
                <w:rFonts w:ascii="Arial Narrow" w:hAnsi="Arial Narrow"/>
                <w:sz w:val="20"/>
                <w:szCs w:val="20"/>
              </w:rPr>
            </w:pPr>
            <w:r w:rsidRPr="00AC140B">
              <w:rPr>
                <w:rFonts w:ascii="Arial Narrow" w:hAnsi="Arial Narrow"/>
                <w:sz w:val="20"/>
                <w:szCs w:val="20"/>
              </w:rPr>
              <w:t>5.4</w:t>
            </w:r>
            <w:r>
              <w:rPr>
                <w:rFonts w:ascii="Arial Narrow" w:hAnsi="Arial Narrow"/>
                <w:sz w:val="20"/>
                <w:szCs w:val="20"/>
              </w:rPr>
              <w:t>%</w:t>
            </w:r>
            <w:r w:rsidRPr="00AC140B">
              <w:rPr>
                <w:rFonts w:ascii="Arial Narrow" w:hAnsi="Arial Narrow"/>
                <w:sz w:val="20"/>
                <w:szCs w:val="20"/>
              </w:rPr>
              <w:t xml:space="preserve"> (4.7, 6.1)</w:t>
            </w:r>
          </w:p>
        </w:tc>
        <w:tc>
          <w:tcPr>
            <w:tcW w:w="1570" w:type="dxa"/>
          </w:tcPr>
          <w:p w:rsidR="00E217BE" w:rsidRDefault="00E217BE" w:rsidP="00CC6907">
            <w:pPr>
              <w:keepNext/>
              <w:keepLines/>
              <w:jc w:val="center"/>
              <w:rPr>
                <w:rFonts w:ascii="Arial Narrow" w:hAnsi="Arial Narrow"/>
                <w:sz w:val="20"/>
                <w:szCs w:val="20"/>
              </w:rPr>
            </w:pPr>
            <w:r w:rsidRPr="00AC140B">
              <w:rPr>
                <w:rFonts w:ascii="Arial Narrow" w:hAnsi="Arial Narrow"/>
                <w:sz w:val="20"/>
                <w:szCs w:val="20"/>
              </w:rPr>
              <w:t>4.4</w:t>
            </w:r>
            <w:r>
              <w:rPr>
                <w:rFonts w:ascii="Arial Narrow" w:hAnsi="Arial Narrow"/>
                <w:sz w:val="20"/>
                <w:szCs w:val="20"/>
              </w:rPr>
              <w:t>%</w:t>
            </w:r>
            <w:r w:rsidRPr="00AC140B">
              <w:rPr>
                <w:rFonts w:ascii="Arial Narrow" w:hAnsi="Arial Narrow"/>
                <w:sz w:val="20"/>
                <w:szCs w:val="20"/>
              </w:rPr>
              <w:t xml:space="preserve"> (3.4, 5.4)</w:t>
            </w:r>
          </w:p>
        </w:tc>
      </w:tr>
    </w:tbl>
    <w:p w:rsidR="00E217BE" w:rsidRDefault="00E217BE" w:rsidP="00CC6907">
      <w:pPr>
        <w:pStyle w:val="TableFooter"/>
        <w:keepNext/>
        <w:keepLines/>
      </w:pPr>
      <w:r w:rsidRPr="00322751">
        <w:t xml:space="preserve">Source: </w:t>
      </w:r>
      <w:r>
        <w:t>Table 2.5-1 (p 48), Table 2.5-2 (p 48-49) of the submission; Table 9-4 (p 54-55) of the STRUCTURE trial report</w:t>
      </w:r>
    </w:p>
    <w:p w:rsidR="008B0C43" w:rsidRDefault="008B0C43" w:rsidP="00CC6907">
      <w:pPr>
        <w:pStyle w:val="TableFooter"/>
        <w:keepNext/>
        <w:keepLines/>
      </w:pPr>
      <w:r>
        <w:t>Abbreviations: BMD, bone mineral density; CI, confidence interval; LSM, least squares mean; SD, standard deviation</w:t>
      </w:r>
    </w:p>
    <w:p w:rsidR="00E217BE" w:rsidRPr="00B455E3" w:rsidRDefault="00E217BE" w:rsidP="00F91DE5">
      <w:pPr>
        <w:pStyle w:val="ListParagraph"/>
        <w:spacing w:before="120"/>
      </w:pPr>
      <w:r w:rsidRPr="00B455E3">
        <w:t xml:space="preserve">Treatment with romosozumab was associated with a statistically significant increase in total hip, femoral neck and lumbar spine BMD over one year compared to teriparatide. The </w:t>
      </w:r>
      <w:r w:rsidR="004A0C3B" w:rsidRPr="004A0C3B">
        <w:t xml:space="preserve">evaluation </w:t>
      </w:r>
      <w:r w:rsidR="004A0C3B" w:rsidRPr="00C529AD">
        <w:t xml:space="preserve">and the ESC considered that the </w:t>
      </w:r>
      <w:r w:rsidRPr="00C529AD">
        <w:t xml:space="preserve">clinical importance of this difference </w:t>
      </w:r>
      <w:r w:rsidR="00F24625" w:rsidRPr="00C529AD">
        <w:t xml:space="preserve">is </w:t>
      </w:r>
      <w:r w:rsidRPr="00C529AD">
        <w:t>unclear as changes in BMD T-scores may not reflect changes in fracture risk with different therapies.</w:t>
      </w:r>
      <w:r w:rsidR="00F24625">
        <w:rPr>
          <w:i/>
        </w:rPr>
        <w:t xml:space="preserve"> </w:t>
      </w:r>
    </w:p>
    <w:p w:rsidR="000E0CFA" w:rsidRPr="00B455E3" w:rsidRDefault="000E0CFA" w:rsidP="00F91DE5">
      <w:pPr>
        <w:pStyle w:val="ListParagraph"/>
        <w:spacing w:before="120"/>
      </w:pPr>
      <w:r w:rsidRPr="00B455E3">
        <w:t>The indirect comparison of fracture outcomes with romosozumab versus teriparatide is summarised in the table below.</w:t>
      </w:r>
    </w:p>
    <w:p w:rsidR="000E0CFA" w:rsidRDefault="00E93FDA" w:rsidP="008B0C43">
      <w:pPr>
        <w:pStyle w:val="TableHeading0"/>
        <w:spacing w:after="0"/>
      </w:pPr>
      <w:r>
        <w:t>Table 5</w:t>
      </w:r>
      <w:r w:rsidR="000E0CFA">
        <w:t>:</w:t>
      </w:r>
      <w:r w:rsidR="000E0CFA" w:rsidRPr="00E11B1E">
        <w:t xml:space="preserve"> </w:t>
      </w:r>
      <w:r w:rsidR="000E0CFA">
        <w:t>I</w:t>
      </w:r>
      <w:r w:rsidR="000E0CFA" w:rsidRPr="00C61ACF">
        <w:t>ndirect com</w:t>
      </w:r>
      <w:r w:rsidR="000E0CFA">
        <w:t>parison of fracture outcomes with romosozumab (12 months) and teriparatide (approximately 18 months) when used as the primary osteoporosis treatment</w:t>
      </w:r>
    </w:p>
    <w:tbl>
      <w:tblPr>
        <w:tblW w:w="4900"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5: Indirect comparison of fracture outcomes with romosozumab (12 months) and teriparatide (approximately 18 months) when used as the primary osteoporosis treatment"/>
      </w:tblPr>
      <w:tblGrid>
        <w:gridCol w:w="1918"/>
        <w:gridCol w:w="1693"/>
        <w:gridCol w:w="1693"/>
        <w:gridCol w:w="1702"/>
        <w:gridCol w:w="1831"/>
      </w:tblGrid>
      <w:tr w:rsidR="000E0CFA" w:rsidTr="00504D2D">
        <w:trPr>
          <w:tblHeader/>
        </w:trPr>
        <w:tc>
          <w:tcPr>
            <w:tcW w:w="1085" w:type="pct"/>
            <w:tcBorders>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rPr>
                <w:b/>
              </w:rPr>
            </w:pPr>
            <w:r w:rsidRPr="001E6359">
              <w:rPr>
                <w:b/>
              </w:rPr>
              <w:t>Trial</w:t>
            </w:r>
          </w:p>
        </w:tc>
        <w:tc>
          <w:tcPr>
            <w:tcW w:w="958"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center"/>
              <w:rPr>
                <w:b/>
              </w:rPr>
            </w:pPr>
            <w:r w:rsidRPr="001E6359">
              <w:rPr>
                <w:b/>
              </w:rPr>
              <w:t xml:space="preserve">Romosozumab </w:t>
            </w:r>
          </w:p>
          <w:p w:rsidR="000E0CFA" w:rsidRPr="001E6359" w:rsidRDefault="000E0CFA" w:rsidP="00504D2D">
            <w:pPr>
              <w:pStyle w:val="TableText0"/>
              <w:keepNext w:val="0"/>
              <w:widowControl w:val="0"/>
              <w:spacing w:before="0" w:after="0"/>
              <w:jc w:val="center"/>
              <w:rPr>
                <w:b/>
              </w:rPr>
            </w:pPr>
            <w:r w:rsidRPr="001E6359">
              <w:rPr>
                <w:b/>
              </w:rPr>
              <w:t>n/N (%)</w:t>
            </w:r>
          </w:p>
        </w:tc>
        <w:tc>
          <w:tcPr>
            <w:tcW w:w="958"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center"/>
              <w:rPr>
                <w:b/>
              </w:rPr>
            </w:pPr>
            <w:r w:rsidRPr="001E6359">
              <w:rPr>
                <w:b/>
              </w:rPr>
              <w:t>Placebo,</w:t>
            </w:r>
          </w:p>
          <w:p w:rsidR="000E0CFA" w:rsidRPr="001E6359" w:rsidRDefault="000E0CFA" w:rsidP="00504D2D">
            <w:pPr>
              <w:pStyle w:val="TableText0"/>
              <w:keepNext w:val="0"/>
              <w:widowControl w:val="0"/>
              <w:spacing w:before="0" w:after="0"/>
              <w:jc w:val="center"/>
              <w:rPr>
                <w:b/>
              </w:rPr>
            </w:pPr>
            <w:r w:rsidRPr="001E6359">
              <w:rPr>
                <w:b/>
              </w:rPr>
              <w:t>n/N (%)</w:t>
            </w:r>
          </w:p>
        </w:tc>
        <w:tc>
          <w:tcPr>
            <w:tcW w:w="963"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center"/>
              <w:rPr>
                <w:b/>
              </w:rPr>
            </w:pPr>
            <w:r w:rsidRPr="001E6359">
              <w:rPr>
                <w:b/>
              </w:rPr>
              <w:t xml:space="preserve">Teriparatide, </w:t>
            </w:r>
          </w:p>
          <w:p w:rsidR="000E0CFA" w:rsidRPr="001E6359" w:rsidRDefault="000E0CFA" w:rsidP="00504D2D">
            <w:pPr>
              <w:pStyle w:val="TableText0"/>
              <w:keepNext w:val="0"/>
              <w:widowControl w:val="0"/>
              <w:spacing w:before="0" w:after="0"/>
              <w:jc w:val="center"/>
              <w:rPr>
                <w:b/>
              </w:rPr>
            </w:pPr>
            <w:r w:rsidRPr="001E6359">
              <w:rPr>
                <w:b/>
              </w:rPr>
              <w:t>n/N (%)</w:t>
            </w:r>
          </w:p>
        </w:tc>
        <w:tc>
          <w:tcPr>
            <w:tcW w:w="1036"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center"/>
              <w:rPr>
                <w:b/>
              </w:rPr>
            </w:pPr>
            <w:r w:rsidRPr="001E6359">
              <w:rPr>
                <w:b/>
              </w:rPr>
              <w:t xml:space="preserve"> Odds ratio </w:t>
            </w:r>
            <w:r w:rsidRPr="001E6359">
              <w:rPr>
                <w:b/>
              </w:rPr>
              <w:br/>
              <w:t>(95% CI)</w:t>
            </w:r>
          </w:p>
        </w:tc>
      </w:tr>
      <w:tr w:rsidR="000E0CFA" w:rsidTr="00504D2D">
        <w:trPr>
          <w:trHeight w:val="70"/>
        </w:trPr>
        <w:tc>
          <w:tcPr>
            <w:tcW w:w="5000" w:type="pct"/>
            <w:gridSpan w:val="5"/>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rPr>
                <w:b/>
              </w:rPr>
            </w:pPr>
            <w:r w:rsidRPr="001E6359">
              <w:rPr>
                <w:b/>
              </w:rPr>
              <w:t>Cumulative incidence of new vertebral fracture</w:t>
            </w:r>
          </w:p>
        </w:tc>
      </w:tr>
      <w:tr w:rsidR="000E0CFA" w:rsidTr="00504D2D">
        <w:trPr>
          <w:trHeight w:val="70"/>
        </w:trPr>
        <w:tc>
          <w:tcPr>
            <w:tcW w:w="1085"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pPr>
            <w:r w:rsidRPr="001E6359">
              <w:t>FRAME</w:t>
            </w:r>
          </w:p>
        </w:tc>
        <w:tc>
          <w:tcPr>
            <w:tcW w:w="958"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center"/>
            </w:pPr>
            <w:r w:rsidRPr="001E6359">
              <w:t>16/3321 (0.5)</w:t>
            </w:r>
          </w:p>
        </w:tc>
        <w:tc>
          <w:tcPr>
            <w:tcW w:w="958"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center"/>
            </w:pPr>
            <w:r w:rsidRPr="001E6359">
              <w:t>59/3322 (1.8)</w:t>
            </w:r>
          </w:p>
        </w:tc>
        <w:tc>
          <w:tcPr>
            <w:tcW w:w="963"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center"/>
            </w:pPr>
            <w:r w:rsidRPr="001E6359">
              <w:t>-</w:t>
            </w:r>
          </w:p>
        </w:tc>
        <w:tc>
          <w:tcPr>
            <w:tcW w:w="1036"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center"/>
            </w:pPr>
            <w:r w:rsidRPr="001E6359">
              <w:t>0.27 (0.15, 0.47)</w:t>
            </w:r>
          </w:p>
        </w:tc>
      </w:tr>
      <w:tr w:rsidR="000E0CFA" w:rsidTr="00504D2D">
        <w:trPr>
          <w:trHeight w:val="70"/>
        </w:trPr>
        <w:tc>
          <w:tcPr>
            <w:tcW w:w="1085"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pPr>
            <w:r w:rsidRPr="001E6359">
              <w:t>GHAC</w:t>
            </w:r>
          </w:p>
        </w:tc>
        <w:tc>
          <w:tcPr>
            <w:tcW w:w="958"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center"/>
            </w:pPr>
            <w:r w:rsidRPr="001E6359">
              <w:t>-</w:t>
            </w:r>
          </w:p>
        </w:tc>
        <w:tc>
          <w:tcPr>
            <w:tcW w:w="958"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center"/>
            </w:pPr>
            <w:r w:rsidRPr="001E6359">
              <w:t>64/448 (14.3)</w:t>
            </w:r>
          </w:p>
        </w:tc>
        <w:tc>
          <w:tcPr>
            <w:tcW w:w="963"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center"/>
            </w:pPr>
            <w:r w:rsidRPr="001E6359">
              <w:t>22/444 (5.0)</w:t>
            </w:r>
          </w:p>
        </w:tc>
        <w:tc>
          <w:tcPr>
            <w:tcW w:w="1036"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center"/>
            </w:pPr>
            <w:r w:rsidRPr="001E6359">
              <w:t>0.31 (0.19, 0.52)</w:t>
            </w:r>
          </w:p>
        </w:tc>
      </w:tr>
      <w:tr w:rsidR="000E0CFA" w:rsidTr="00504D2D">
        <w:trPr>
          <w:trHeight w:val="70"/>
        </w:trPr>
        <w:tc>
          <w:tcPr>
            <w:tcW w:w="1085"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pPr>
            <w:r w:rsidRPr="001E6359">
              <w:t>ACTIVE</w:t>
            </w:r>
          </w:p>
        </w:tc>
        <w:tc>
          <w:tcPr>
            <w:tcW w:w="958"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center"/>
            </w:pPr>
            <w:r w:rsidRPr="001E6359">
              <w:t>-</w:t>
            </w:r>
          </w:p>
        </w:tc>
        <w:tc>
          <w:tcPr>
            <w:tcW w:w="958"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center"/>
            </w:pPr>
            <w:r w:rsidRPr="001E6359">
              <w:t>30/711 (4.2)</w:t>
            </w:r>
          </w:p>
        </w:tc>
        <w:tc>
          <w:tcPr>
            <w:tcW w:w="963"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center"/>
            </w:pPr>
            <w:r w:rsidRPr="001E6359">
              <w:t>6/717 (0.8)</w:t>
            </w:r>
          </w:p>
        </w:tc>
        <w:tc>
          <w:tcPr>
            <w:tcW w:w="1036"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center"/>
            </w:pPr>
            <w:r w:rsidRPr="001E6359">
              <w:t>0.19 (0.08, 0.46)</w:t>
            </w:r>
          </w:p>
        </w:tc>
      </w:tr>
      <w:tr w:rsidR="000E0CFA" w:rsidTr="00504D2D">
        <w:trPr>
          <w:trHeight w:val="70"/>
        </w:trPr>
        <w:tc>
          <w:tcPr>
            <w:tcW w:w="3964" w:type="pct"/>
            <w:gridSpan w:val="4"/>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right"/>
            </w:pPr>
            <w:r w:rsidRPr="001E6359">
              <w:t>Meta-analysis of the teriparatide trials (I</w:t>
            </w:r>
            <w:r w:rsidRPr="001E6359">
              <w:rPr>
                <w:vertAlign w:val="superscript"/>
              </w:rPr>
              <w:t>2</w:t>
            </w:r>
            <w:r w:rsidRPr="001E6359">
              <w:t xml:space="preserve"> = 0%)</w:t>
            </w:r>
          </w:p>
        </w:tc>
        <w:tc>
          <w:tcPr>
            <w:tcW w:w="1036"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center"/>
            </w:pPr>
            <w:r w:rsidRPr="001E6359">
              <w:t>0.28 (0.18, 0.43)</w:t>
            </w:r>
          </w:p>
        </w:tc>
      </w:tr>
      <w:tr w:rsidR="000E0CFA" w:rsidTr="00504D2D">
        <w:trPr>
          <w:trHeight w:val="70"/>
        </w:trPr>
        <w:tc>
          <w:tcPr>
            <w:tcW w:w="3964" w:type="pct"/>
            <w:gridSpan w:val="4"/>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right"/>
            </w:pPr>
            <w:r w:rsidRPr="001E6359">
              <w:t>Indirect analysis of romosozumab vs. teriparatide (results &lt; 1 favour romosozumab)</w:t>
            </w:r>
          </w:p>
        </w:tc>
        <w:tc>
          <w:tcPr>
            <w:tcW w:w="1036"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center"/>
            </w:pPr>
            <w:r w:rsidRPr="001E6359">
              <w:t>0.97 (0.5, 2.0)</w:t>
            </w:r>
          </w:p>
        </w:tc>
      </w:tr>
      <w:tr w:rsidR="000E0CFA" w:rsidRPr="00B81B0D" w:rsidTr="00504D2D">
        <w:trPr>
          <w:trHeight w:val="70"/>
        </w:trPr>
        <w:tc>
          <w:tcPr>
            <w:tcW w:w="5000" w:type="pct"/>
            <w:gridSpan w:val="5"/>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rPr>
                <w:b/>
              </w:rPr>
            </w:pPr>
            <w:r w:rsidRPr="001E6359">
              <w:rPr>
                <w:b/>
              </w:rPr>
              <w:t>Cumulative incidence of non-vertebral fracture</w:t>
            </w:r>
          </w:p>
        </w:tc>
      </w:tr>
      <w:tr w:rsidR="000E0CFA" w:rsidTr="00504D2D">
        <w:trPr>
          <w:trHeight w:val="70"/>
        </w:trPr>
        <w:tc>
          <w:tcPr>
            <w:tcW w:w="1085"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pPr>
            <w:r w:rsidRPr="001E6359">
              <w:t>FRAME</w:t>
            </w:r>
          </w:p>
        </w:tc>
        <w:tc>
          <w:tcPr>
            <w:tcW w:w="958"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center"/>
            </w:pPr>
            <w:r w:rsidRPr="001E6359">
              <w:t>56/3589 (1.6)</w:t>
            </w:r>
          </w:p>
        </w:tc>
        <w:tc>
          <w:tcPr>
            <w:tcW w:w="958"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center"/>
            </w:pPr>
            <w:r w:rsidRPr="001E6359">
              <w:t>75/3591 (2.1)</w:t>
            </w:r>
          </w:p>
        </w:tc>
        <w:tc>
          <w:tcPr>
            <w:tcW w:w="963"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center"/>
            </w:pPr>
            <w:r w:rsidRPr="001E6359">
              <w:t>-</w:t>
            </w:r>
          </w:p>
        </w:tc>
        <w:tc>
          <w:tcPr>
            <w:tcW w:w="1036"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center"/>
            </w:pPr>
            <w:r w:rsidRPr="001E6359">
              <w:t>0.74 (0.52, 1.05)</w:t>
            </w:r>
          </w:p>
        </w:tc>
      </w:tr>
      <w:tr w:rsidR="000E0CFA" w:rsidTr="00504D2D">
        <w:trPr>
          <w:trHeight w:val="70"/>
        </w:trPr>
        <w:tc>
          <w:tcPr>
            <w:tcW w:w="1085"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pPr>
            <w:r w:rsidRPr="001E6359">
              <w:t>GHAC</w:t>
            </w:r>
          </w:p>
        </w:tc>
        <w:tc>
          <w:tcPr>
            <w:tcW w:w="958"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center"/>
            </w:pPr>
            <w:r w:rsidRPr="001E6359">
              <w:t>-</w:t>
            </w:r>
          </w:p>
        </w:tc>
        <w:tc>
          <w:tcPr>
            <w:tcW w:w="958"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center"/>
            </w:pPr>
            <w:r w:rsidRPr="001E6359">
              <w:t>30/544 (5.5)</w:t>
            </w:r>
          </w:p>
        </w:tc>
        <w:tc>
          <w:tcPr>
            <w:tcW w:w="963"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center"/>
            </w:pPr>
            <w:r w:rsidRPr="001E6359">
              <w:t>14/541 (2.6)</w:t>
            </w:r>
          </w:p>
        </w:tc>
        <w:tc>
          <w:tcPr>
            <w:tcW w:w="1036"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center"/>
            </w:pPr>
            <w:r w:rsidRPr="001E6359">
              <w:t>0.46 (0.24, 0.87)</w:t>
            </w:r>
          </w:p>
        </w:tc>
      </w:tr>
      <w:tr w:rsidR="000E0CFA" w:rsidTr="00504D2D">
        <w:trPr>
          <w:trHeight w:val="70"/>
        </w:trPr>
        <w:tc>
          <w:tcPr>
            <w:tcW w:w="1085"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pPr>
            <w:r w:rsidRPr="001E6359">
              <w:t>ACTIVE</w:t>
            </w:r>
          </w:p>
        </w:tc>
        <w:tc>
          <w:tcPr>
            <w:tcW w:w="958"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center"/>
            </w:pPr>
            <w:r w:rsidRPr="001E6359">
              <w:t>-</w:t>
            </w:r>
          </w:p>
        </w:tc>
        <w:tc>
          <w:tcPr>
            <w:tcW w:w="958"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center"/>
            </w:pPr>
            <w:r w:rsidRPr="001E6359">
              <w:t>33/821 (4.0)</w:t>
            </w:r>
          </w:p>
        </w:tc>
        <w:tc>
          <w:tcPr>
            <w:tcW w:w="963"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center"/>
            </w:pPr>
            <w:r w:rsidRPr="001E6359">
              <w:t>24/818 (2.9)</w:t>
            </w:r>
          </w:p>
        </w:tc>
        <w:tc>
          <w:tcPr>
            <w:tcW w:w="1036"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center"/>
            </w:pPr>
            <w:r w:rsidRPr="001E6359">
              <w:t>0.72 (0.42, 1.23)</w:t>
            </w:r>
          </w:p>
        </w:tc>
      </w:tr>
      <w:tr w:rsidR="000E0CFA" w:rsidTr="00504D2D">
        <w:trPr>
          <w:trHeight w:val="70"/>
        </w:trPr>
        <w:tc>
          <w:tcPr>
            <w:tcW w:w="3964" w:type="pct"/>
            <w:gridSpan w:val="4"/>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right"/>
            </w:pPr>
            <w:r w:rsidRPr="001E6359">
              <w:t>Meta-analysis of the teriparatide trials (I</w:t>
            </w:r>
            <w:r w:rsidRPr="001E6359">
              <w:rPr>
                <w:vertAlign w:val="superscript"/>
              </w:rPr>
              <w:t>2</w:t>
            </w:r>
            <w:r w:rsidRPr="001E6359">
              <w:t xml:space="preserve"> = 14%)</w:t>
            </w:r>
          </w:p>
        </w:tc>
        <w:tc>
          <w:tcPr>
            <w:tcW w:w="1036"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center"/>
            </w:pPr>
            <w:r w:rsidRPr="001E6359">
              <w:t>0.69 (0.38, 0.93)</w:t>
            </w:r>
          </w:p>
        </w:tc>
      </w:tr>
      <w:tr w:rsidR="000E0CFA" w:rsidTr="00504D2D">
        <w:trPr>
          <w:trHeight w:val="70"/>
        </w:trPr>
        <w:tc>
          <w:tcPr>
            <w:tcW w:w="3964" w:type="pct"/>
            <w:gridSpan w:val="4"/>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right"/>
            </w:pPr>
            <w:r w:rsidRPr="001E6359">
              <w:t>Indirect analysis of romosozumab vs. teriparatide (results &lt; 1 favour romosozumab)</w:t>
            </w:r>
          </w:p>
        </w:tc>
        <w:tc>
          <w:tcPr>
            <w:tcW w:w="1036"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center"/>
            </w:pPr>
            <w:r w:rsidRPr="001E6359">
              <w:t>1.25 (0.7, 2.2)</w:t>
            </w:r>
          </w:p>
        </w:tc>
      </w:tr>
      <w:tr w:rsidR="000E0CFA" w:rsidRPr="00B81B0D" w:rsidTr="00504D2D">
        <w:trPr>
          <w:trHeight w:val="70"/>
        </w:trPr>
        <w:tc>
          <w:tcPr>
            <w:tcW w:w="5000" w:type="pct"/>
            <w:gridSpan w:val="5"/>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rPr>
                <w:b/>
                <w:vertAlign w:val="superscript"/>
              </w:rPr>
            </w:pPr>
            <w:r w:rsidRPr="001E6359">
              <w:rPr>
                <w:b/>
              </w:rPr>
              <w:t>Cumulative incidence of clinical fracture</w:t>
            </w:r>
            <w:r w:rsidRPr="001E6359">
              <w:rPr>
                <w:b/>
                <w:vertAlign w:val="superscript"/>
              </w:rPr>
              <w:t>a</w:t>
            </w:r>
          </w:p>
        </w:tc>
      </w:tr>
      <w:tr w:rsidR="000E0CFA" w:rsidTr="00504D2D">
        <w:trPr>
          <w:trHeight w:val="70"/>
        </w:trPr>
        <w:tc>
          <w:tcPr>
            <w:tcW w:w="1085"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pPr>
            <w:r w:rsidRPr="001E6359">
              <w:t>FRAME</w:t>
            </w:r>
          </w:p>
        </w:tc>
        <w:tc>
          <w:tcPr>
            <w:tcW w:w="958"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center"/>
            </w:pPr>
            <w:r w:rsidRPr="001E6359">
              <w:t>58/3589 (1.6)</w:t>
            </w:r>
          </w:p>
        </w:tc>
        <w:tc>
          <w:tcPr>
            <w:tcW w:w="958"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center"/>
            </w:pPr>
            <w:r w:rsidRPr="001E6359">
              <w:t>90/3591 (2.5)</w:t>
            </w:r>
          </w:p>
        </w:tc>
        <w:tc>
          <w:tcPr>
            <w:tcW w:w="963"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center"/>
            </w:pPr>
            <w:r w:rsidRPr="001E6359">
              <w:t>-</w:t>
            </w:r>
          </w:p>
        </w:tc>
        <w:tc>
          <w:tcPr>
            <w:tcW w:w="1036"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center"/>
            </w:pPr>
            <w:r w:rsidRPr="001E6359">
              <w:t>0.64 (0.46, 0.89)</w:t>
            </w:r>
          </w:p>
        </w:tc>
      </w:tr>
      <w:tr w:rsidR="000E0CFA" w:rsidTr="00504D2D">
        <w:trPr>
          <w:trHeight w:val="70"/>
        </w:trPr>
        <w:tc>
          <w:tcPr>
            <w:tcW w:w="1085"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pPr>
            <w:r w:rsidRPr="001E6359">
              <w:t>ACTIVE</w:t>
            </w:r>
          </w:p>
        </w:tc>
        <w:tc>
          <w:tcPr>
            <w:tcW w:w="958"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center"/>
            </w:pPr>
            <w:r w:rsidRPr="001E6359">
              <w:t>-</w:t>
            </w:r>
          </w:p>
        </w:tc>
        <w:tc>
          <w:tcPr>
            <w:tcW w:w="958"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center"/>
            </w:pPr>
            <w:r w:rsidRPr="001E6359">
              <w:t>49/821 (6.0)</w:t>
            </w:r>
          </w:p>
        </w:tc>
        <w:tc>
          <w:tcPr>
            <w:tcW w:w="963"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center"/>
            </w:pPr>
            <w:r w:rsidRPr="001E6359">
              <w:t>35/818 (4.3)</w:t>
            </w:r>
          </w:p>
        </w:tc>
        <w:tc>
          <w:tcPr>
            <w:tcW w:w="1036"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center"/>
            </w:pPr>
            <w:r w:rsidRPr="001E6359">
              <w:t>0.70 (0.45, 1.10)</w:t>
            </w:r>
          </w:p>
        </w:tc>
      </w:tr>
      <w:tr w:rsidR="000E0CFA" w:rsidTr="00504D2D">
        <w:trPr>
          <w:trHeight w:val="70"/>
        </w:trPr>
        <w:tc>
          <w:tcPr>
            <w:tcW w:w="3964" w:type="pct"/>
            <w:gridSpan w:val="4"/>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right"/>
            </w:pPr>
            <w:r w:rsidRPr="001E6359">
              <w:t>Indirect analysis of romosozumab vs. teriparatide (results &lt; 1 favour romosozumab)</w:t>
            </w:r>
          </w:p>
        </w:tc>
        <w:tc>
          <w:tcPr>
            <w:tcW w:w="1036" w:type="pct"/>
            <w:tcBorders>
              <w:top w:val="single" w:sz="4" w:space="0" w:color="auto"/>
              <w:left w:val="single" w:sz="4" w:space="0" w:color="auto"/>
              <w:bottom w:val="single" w:sz="4" w:space="0" w:color="auto"/>
              <w:right w:val="single" w:sz="4" w:space="0" w:color="auto"/>
            </w:tcBorders>
            <w:vAlign w:val="center"/>
          </w:tcPr>
          <w:p w:rsidR="000E0CFA" w:rsidRPr="001E6359" w:rsidRDefault="000E0CFA" w:rsidP="00504D2D">
            <w:pPr>
              <w:pStyle w:val="TableText0"/>
              <w:keepNext w:val="0"/>
              <w:widowControl w:val="0"/>
              <w:spacing w:before="0" w:after="0"/>
              <w:jc w:val="center"/>
            </w:pPr>
            <w:r w:rsidRPr="001E6359">
              <w:t>0.91 (0.5, 1.6)</w:t>
            </w:r>
          </w:p>
        </w:tc>
      </w:tr>
    </w:tbl>
    <w:p w:rsidR="000E0CFA" w:rsidRDefault="000E0CFA" w:rsidP="000E0CFA">
      <w:pPr>
        <w:pStyle w:val="TableFooter"/>
      </w:pPr>
      <w:r>
        <w:t>Source: Table 2.6-4 (p 69) of the submission</w:t>
      </w:r>
    </w:p>
    <w:p w:rsidR="000E0CFA" w:rsidRPr="00F17F50" w:rsidRDefault="000E0CFA" w:rsidP="000E0CFA">
      <w:pPr>
        <w:pStyle w:val="TableFooter"/>
      </w:pPr>
      <w:r w:rsidRPr="00F17F50">
        <w:rPr>
          <w:vertAlign w:val="superscript"/>
        </w:rPr>
        <w:t>a</w:t>
      </w:r>
      <w:r w:rsidRPr="00F17F50">
        <w:t xml:space="preserve"> The definition of clinical fractures was </w:t>
      </w:r>
      <w:r w:rsidRPr="00F17F50">
        <w:rPr>
          <w:u w:val="single"/>
        </w:rPr>
        <w:t>not</w:t>
      </w:r>
      <w:r w:rsidRPr="00F17F50">
        <w:t xml:space="preserve"> consistent between clinical trials. FRAME defined clinical fractures as any clinical vertebral fracture as well as non-vertebral fractures excluding skull, face, hand, fingers, toes, pathologic fractures and severe trauma fractures. ACTIVE defined clinical fractures all fractures that would cause a patient to seek medical care regardless of the level of trauma including skull, face, hand, fingers and toe fractures</w:t>
      </w:r>
    </w:p>
    <w:p w:rsidR="000E0CFA" w:rsidRDefault="000E0CFA" w:rsidP="00F91DE5">
      <w:pPr>
        <w:pStyle w:val="ListParagraph"/>
        <w:spacing w:before="120"/>
      </w:pPr>
      <w:r w:rsidRPr="00421471">
        <w:lastRenderedPageBreak/>
        <w:t>Based on the indirect analyses there were no statistically significant differences in fracture outcomes between romosozumab and teriparatide.</w:t>
      </w:r>
    </w:p>
    <w:p w:rsidR="000E0CFA" w:rsidRPr="00B455E3" w:rsidRDefault="000E0CFA" w:rsidP="00F91DE5">
      <w:pPr>
        <w:pStyle w:val="ListParagraph"/>
        <w:spacing w:before="120"/>
      </w:pPr>
      <w:r w:rsidRPr="00B455E3">
        <w:t>There were differences in study design, patient characteristics, treatment characteristics and outcome definitions between trials. The incidence of fracture in the common comparator arm also varied substantially between trials (particularly for vertebral fractures).</w:t>
      </w:r>
      <w:r w:rsidR="005175E0" w:rsidRPr="00B455E3">
        <w:t xml:space="preserve"> The GHAC trial included patients with a substantially higher risk of fracture (based on FRAX scores) compared to the FRAME and ACTIVE trials. While the overall risk of fracture was broadly similar between FRAME and ACTIVE trials there were differences between the </w:t>
      </w:r>
      <w:r w:rsidR="005175E0" w:rsidRPr="00D772F0">
        <w:t xml:space="preserve">populations with the FRAME trial generally having lower femoral neck/total hip BMD T-scores versus the ACTIVE trial which had a higher proportion of patients with prior fracture. </w:t>
      </w:r>
      <w:r w:rsidRPr="00D772F0">
        <w:t xml:space="preserve">Overall, it was unclear whether </w:t>
      </w:r>
      <w:r w:rsidR="00CC0593" w:rsidRPr="00D772F0">
        <w:t xml:space="preserve">the </w:t>
      </w:r>
      <w:r w:rsidRPr="00D772F0">
        <w:t xml:space="preserve">trials were sufficiently exchangeable to justify an indirect comparison. </w:t>
      </w:r>
      <w:r w:rsidR="004A0C3B" w:rsidRPr="00D772F0">
        <w:t>In particular, t</w:t>
      </w:r>
      <w:r w:rsidR="009A256D" w:rsidRPr="00D772F0">
        <w:t xml:space="preserve">he ESC noted that the differences between trials may </w:t>
      </w:r>
      <w:r w:rsidR="00A07079" w:rsidRPr="00D772F0">
        <w:t>also</w:t>
      </w:r>
      <w:r w:rsidR="009A256D" w:rsidRPr="00D772F0">
        <w:t xml:space="preserve"> be due to </w:t>
      </w:r>
      <w:r w:rsidR="00F235CE" w:rsidRPr="00D772F0">
        <w:t>the &gt;10</w:t>
      </w:r>
      <w:r w:rsidR="009A256D" w:rsidRPr="00D772F0">
        <w:t xml:space="preserve"> year</w:t>
      </w:r>
      <w:r w:rsidR="00F235CE" w:rsidRPr="00D772F0">
        <w:t xml:space="preserve"> gap</w:t>
      </w:r>
      <w:r w:rsidR="009A256D" w:rsidRPr="00D772F0">
        <w:t xml:space="preserve"> between </w:t>
      </w:r>
      <w:r w:rsidR="002E0CDF" w:rsidRPr="00D772F0">
        <w:t>two of the trials</w:t>
      </w:r>
      <w:r w:rsidR="00F235CE" w:rsidRPr="00D772F0">
        <w:t>,</w:t>
      </w:r>
      <w:r w:rsidR="002E0CDF" w:rsidRPr="00D772F0">
        <w:t xml:space="preserve"> with </w:t>
      </w:r>
      <w:r w:rsidR="009A256D" w:rsidRPr="00D772F0">
        <w:t xml:space="preserve">the GHAC (teriparatide) </w:t>
      </w:r>
      <w:r w:rsidR="002E0CDF" w:rsidRPr="00D772F0">
        <w:t xml:space="preserve">trial </w:t>
      </w:r>
      <w:r w:rsidR="00F235CE" w:rsidRPr="00D772F0">
        <w:t>concluded</w:t>
      </w:r>
      <w:r w:rsidR="0041391E" w:rsidRPr="00D772F0">
        <w:t xml:space="preserve"> </w:t>
      </w:r>
      <w:r w:rsidR="002E0CDF" w:rsidRPr="00D772F0">
        <w:t xml:space="preserve">in </w:t>
      </w:r>
      <w:r w:rsidR="0041391E" w:rsidRPr="00D772F0">
        <w:t>1998</w:t>
      </w:r>
      <w:r w:rsidR="002E0CDF" w:rsidRPr="00D772F0">
        <w:t xml:space="preserve"> </w:t>
      </w:r>
      <w:r w:rsidR="009A256D" w:rsidRPr="00D772F0">
        <w:t xml:space="preserve">and </w:t>
      </w:r>
      <w:r w:rsidR="002E0CDF" w:rsidRPr="00D772F0">
        <w:t xml:space="preserve">the </w:t>
      </w:r>
      <w:r w:rsidR="0041391E" w:rsidRPr="00D772F0">
        <w:t>FRAME (</w:t>
      </w:r>
      <w:r w:rsidR="009A256D" w:rsidRPr="00D772F0">
        <w:t>romosozumab</w:t>
      </w:r>
      <w:r w:rsidR="0041391E" w:rsidRPr="00D772F0">
        <w:t>)</w:t>
      </w:r>
      <w:r w:rsidR="009A256D" w:rsidRPr="00D772F0">
        <w:t xml:space="preserve"> trial</w:t>
      </w:r>
      <w:r w:rsidR="002E0CDF" w:rsidRPr="00D772F0">
        <w:t xml:space="preserve"> conducted </w:t>
      </w:r>
      <w:r w:rsidR="00F235CE" w:rsidRPr="00D772F0">
        <w:t>from 2012-2015</w:t>
      </w:r>
      <w:r w:rsidR="009A256D" w:rsidRPr="00D772F0">
        <w:t>.</w:t>
      </w:r>
      <w:r w:rsidR="009A256D">
        <w:rPr>
          <w:i/>
        </w:rPr>
        <w:t xml:space="preserve"> </w:t>
      </w:r>
    </w:p>
    <w:p w:rsidR="000E0CFA" w:rsidRPr="00B455E3" w:rsidRDefault="000E0CFA" w:rsidP="00F91DE5">
      <w:pPr>
        <w:pStyle w:val="ListParagraph"/>
        <w:spacing w:before="120"/>
      </w:pPr>
      <w:r w:rsidRPr="00B455E3">
        <w:t xml:space="preserve">The </w:t>
      </w:r>
      <w:r w:rsidR="008426E5">
        <w:t xml:space="preserve">evaluation and the ESC considered that the </w:t>
      </w:r>
      <w:r w:rsidRPr="00B455E3">
        <w:t xml:space="preserve">lack of a statistically significant difference between treatments may not adequately justify the claim of non-inferiority given the wide confidence intervals for fracture outcomes, which indicate substantial uncertainty around the indirect estimate of effects. </w:t>
      </w:r>
    </w:p>
    <w:p w:rsidR="00D47C34" w:rsidRDefault="000E0CFA" w:rsidP="00F91DE5">
      <w:pPr>
        <w:pStyle w:val="ListParagraph"/>
        <w:spacing w:before="120"/>
      </w:pPr>
      <w:r w:rsidRPr="00B455E3">
        <w:t xml:space="preserve">There were no data on fracture outcomes with romosozumab compared to teriparatide in patients </w:t>
      </w:r>
      <w:r w:rsidR="00D47C34">
        <w:t>who had received prior</w:t>
      </w:r>
      <w:r w:rsidRPr="00B455E3">
        <w:t xml:space="preserve"> anti-resorptive treatment (which may be a treatment effect modifier). </w:t>
      </w:r>
    </w:p>
    <w:p w:rsidR="00A07079" w:rsidRDefault="00D47C34" w:rsidP="00F91DE5">
      <w:pPr>
        <w:pStyle w:val="ListParagraph"/>
        <w:spacing w:before="120"/>
      </w:pPr>
      <w:r>
        <w:t>Further, t</w:t>
      </w:r>
      <w:r w:rsidR="000E0CFA" w:rsidRPr="00B455E3">
        <w:t>here were no data on the residual treatment effects of romosozumab compared to teriparatide in patients switching to anti-resorptive therapy or in patients discontinuing osteoporosis treatment.</w:t>
      </w:r>
      <w:r w:rsidR="001103BA">
        <w:t xml:space="preserve"> </w:t>
      </w:r>
    </w:p>
    <w:p w:rsidR="001103BA" w:rsidRPr="00D772F0" w:rsidRDefault="00A07079" w:rsidP="00F91DE5">
      <w:pPr>
        <w:pStyle w:val="ListParagraph"/>
        <w:spacing w:before="120"/>
      </w:pPr>
      <w:r w:rsidRPr="00D772F0">
        <w:t>Overall, t</w:t>
      </w:r>
      <w:r w:rsidR="001103BA" w:rsidRPr="00D772F0">
        <w:t xml:space="preserve">he ESC considered the comparative efficacy of romosozumab versus teriparatide to be uncertain given the lack of fracture outcomes from the </w:t>
      </w:r>
      <w:r w:rsidRPr="00D772F0">
        <w:t xml:space="preserve">head-to-head </w:t>
      </w:r>
      <w:r w:rsidR="001103BA" w:rsidRPr="00D772F0">
        <w:t xml:space="preserve">STRUCTURE trial and the issues with exchangeability between the </w:t>
      </w:r>
      <w:r w:rsidRPr="00D772F0">
        <w:t>trials used in the indirect comparison</w:t>
      </w:r>
      <w:r w:rsidR="00BA34DB" w:rsidRPr="00D772F0">
        <w:t xml:space="preserve">. </w:t>
      </w:r>
    </w:p>
    <w:p w:rsidR="00534E79" w:rsidRDefault="00534E79" w:rsidP="00F91DE5">
      <w:pPr>
        <w:widowControl/>
        <w:spacing w:before="120" w:after="120"/>
        <w:rPr>
          <w:u w:val="single"/>
        </w:rPr>
      </w:pPr>
      <w:r>
        <w:rPr>
          <w:u w:val="single"/>
        </w:rPr>
        <w:t>R</w:t>
      </w:r>
      <w:r w:rsidRPr="00534E79">
        <w:rPr>
          <w:u w:val="single"/>
        </w:rPr>
        <w:t>omosozumab versus alendronate</w:t>
      </w:r>
    </w:p>
    <w:p w:rsidR="00E217BE" w:rsidRDefault="00E217BE" w:rsidP="00F91DE5">
      <w:pPr>
        <w:pStyle w:val="ListParagraph"/>
        <w:spacing w:before="120"/>
      </w:pPr>
      <w:r>
        <w:t>Key fracture</w:t>
      </w:r>
      <w:r w:rsidRPr="009B3372">
        <w:t xml:space="preserve"> ou</w:t>
      </w:r>
      <w:r>
        <w:t>tcomes reported with romosozumab versus</w:t>
      </w:r>
      <w:r w:rsidRPr="00E217BE">
        <w:t xml:space="preserve"> alendronate (both followed by alendron</w:t>
      </w:r>
      <w:r>
        <w:t>ate treatment) in the ARCH trial</w:t>
      </w:r>
      <w:r w:rsidRPr="009B3372">
        <w:t xml:space="preserve"> are summarised in the table below</w:t>
      </w:r>
      <w:r w:rsidR="00546ECC">
        <w:t>.</w:t>
      </w:r>
    </w:p>
    <w:p w:rsidR="00E217BE" w:rsidRDefault="00F7376D" w:rsidP="00F1746E">
      <w:pPr>
        <w:pStyle w:val="TableHeading0"/>
        <w:keepLines/>
        <w:spacing w:after="0"/>
      </w:pPr>
      <w:r>
        <w:lastRenderedPageBreak/>
        <w:t>Table 6</w:t>
      </w:r>
      <w:r w:rsidR="00E217BE">
        <w:t xml:space="preserve">: Key fracture outcomes reported in the ARCH trial </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6: Key fracture outcomes reported in the ARCH trial "/>
      </w:tblPr>
      <w:tblGrid>
        <w:gridCol w:w="2305"/>
        <w:gridCol w:w="1422"/>
        <w:gridCol w:w="1422"/>
        <w:gridCol w:w="1911"/>
        <w:gridCol w:w="1789"/>
      </w:tblGrid>
      <w:tr w:rsidR="00E217BE" w:rsidTr="00482178">
        <w:trPr>
          <w:tblHeader/>
        </w:trPr>
        <w:tc>
          <w:tcPr>
            <w:tcW w:w="2366" w:type="dxa"/>
            <w:tcBorders>
              <w:top w:val="single" w:sz="4" w:space="0" w:color="auto"/>
              <w:left w:val="single" w:sz="4" w:space="0" w:color="auto"/>
              <w:bottom w:val="single" w:sz="4" w:space="0" w:color="auto"/>
              <w:right w:val="single" w:sz="4" w:space="0" w:color="auto"/>
            </w:tcBorders>
            <w:vAlign w:val="center"/>
          </w:tcPr>
          <w:p w:rsidR="00E217BE" w:rsidRPr="001E42DD" w:rsidRDefault="00E217BE" w:rsidP="00F1746E">
            <w:pPr>
              <w:pStyle w:val="TableText0"/>
              <w:keepLines/>
              <w:widowControl w:val="0"/>
              <w:spacing w:before="0" w:after="0"/>
              <w:rPr>
                <w:b/>
              </w:rPr>
            </w:pPr>
            <w:r w:rsidRPr="001E42DD">
              <w:rPr>
                <w:b/>
              </w:rPr>
              <w:t>Outcome</w:t>
            </w:r>
            <w:r>
              <w:rPr>
                <w:b/>
              </w:rPr>
              <w:t xml:space="preserve"> </w:t>
            </w:r>
          </w:p>
        </w:tc>
        <w:tc>
          <w:tcPr>
            <w:tcW w:w="1456" w:type="dxa"/>
            <w:tcBorders>
              <w:top w:val="single" w:sz="4" w:space="0" w:color="auto"/>
              <w:left w:val="single" w:sz="4" w:space="0" w:color="auto"/>
              <w:bottom w:val="single" w:sz="4" w:space="0" w:color="auto"/>
              <w:right w:val="single" w:sz="4" w:space="0" w:color="auto"/>
            </w:tcBorders>
            <w:vAlign w:val="center"/>
          </w:tcPr>
          <w:p w:rsidR="00E217BE" w:rsidRDefault="00E217BE" w:rsidP="00F1746E">
            <w:pPr>
              <w:pStyle w:val="TableText0"/>
              <w:keepLines/>
              <w:widowControl w:val="0"/>
              <w:spacing w:before="0" w:after="0"/>
              <w:jc w:val="center"/>
              <w:rPr>
                <w:b/>
              </w:rPr>
            </w:pPr>
            <w:r>
              <w:rPr>
                <w:b/>
              </w:rPr>
              <w:t>Romosozumab/</w:t>
            </w:r>
          </w:p>
          <w:p w:rsidR="00E217BE" w:rsidRPr="001E42DD" w:rsidRDefault="00E217BE" w:rsidP="00F1746E">
            <w:pPr>
              <w:pStyle w:val="TableText0"/>
              <w:keepLines/>
              <w:widowControl w:val="0"/>
              <w:spacing w:before="0" w:after="0"/>
              <w:jc w:val="center"/>
              <w:rPr>
                <w:b/>
              </w:rPr>
            </w:pPr>
            <w:r>
              <w:rPr>
                <w:b/>
              </w:rPr>
              <w:t>alendronate</w:t>
            </w:r>
          </w:p>
        </w:tc>
        <w:tc>
          <w:tcPr>
            <w:tcW w:w="1456" w:type="dxa"/>
            <w:tcBorders>
              <w:top w:val="single" w:sz="4" w:space="0" w:color="auto"/>
              <w:left w:val="single" w:sz="4" w:space="0" w:color="auto"/>
              <w:bottom w:val="single" w:sz="4" w:space="0" w:color="auto"/>
              <w:right w:val="single" w:sz="4" w:space="0" w:color="auto"/>
            </w:tcBorders>
            <w:vAlign w:val="center"/>
          </w:tcPr>
          <w:p w:rsidR="00E217BE" w:rsidRDefault="00E217BE" w:rsidP="00F1746E">
            <w:pPr>
              <w:pStyle w:val="TableText0"/>
              <w:keepLines/>
              <w:widowControl w:val="0"/>
              <w:spacing w:before="0" w:after="0"/>
              <w:jc w:val="center"/>
              <w:rPr>
                <w:b/>
              </w:rPr>
            </w:pPr>
            <w:r>
              <w:rPr>
                <w:b/>
              </w:rPr>
              <w:t>Alendronate/</w:t>
            </w:r>
          </w:p>
          <w:p w:rsidR="00E217BE" w:rsidRPr="001E42DD" w:rsidRDefault="00E217BE" w:rsidP="00F1746E">
            <w:pPr>
              <w:pStyle w:val="TableText0"/>
              <w:keepLines/>
              <w:widowControl w:val="0"/>
              <w:spacing w:before="0" w:after="0"/>
              <w:jc w:val="center"/>
              <w:rPr>
                <w:b/>
              </w:rPr>
            </w:pPr>
            <w:r>
              <w:rPr>
                <w:b/>
              </w:rPr>
              <w:t>alendronate</w:t>
            </w:r>
          </w:p>
        </w:tc>
        <w:tc>
          <w:tcPr>
            <w:tcW w:w="1959" w:type="dxa"/>
            <w:tcBorders>
              <w:top w:val="single" w:sz="4" w:space="0" w:color="auto"/>
              <w:left w:val="single" w:sz="4" w:space="0" w:color="auto"/>
              <w:bottom w:val="single" w:sz="4" w:space="0" w:color="auto"/>
              <w:right w:val="single" w:sz="4" w:space="0" w:color="auto"/>
            </w:tcBorders>
            <w:vAlign w:val="center"/>
          </w:tcPr>
          <w:p w:rsidR="00E217BE" w:rsidRDefault="00E217BE" w:rsidP="00F1746E">
            <w:pPr>
              <w:pStyle w:val="TableText0"/>
              <w:keepLines/>
              <w:widowControl w:val="0"/>
              <w:spacing w:before="0" w:after="0"/>
              <w:jc w:val="center"/>
              <w:rPr>
                <w:b/>
              </w:rPr>
            </w:pPr>
            <w:r>
              <w:rPr>
                <w:b/>
              </w:rPr>
              <w:t>Relative difference (95% CI)</w:t>
            </w:r>
          </w:p>
        </w:tc>
        <w:tc>
          <w:tcPr>
            <w:tcW w:w="1834" w:type="dxa"/>
            <w:tcBorders>
              <w:top w:val="single" w:sz="4" w:space="0" w:color="auto"/>
              <w:left w:val="single" w:sz="4" w:space="0" w:color="auto"/>
              <w:bottom w:val="single" w:sz="4" w:space="0" w:color="auto"/>
              <w:right w:val="single" w:sz="4" w:space="0" w:color="auto"/>
            </w:tcBorders>
            <w:vAlign w:val="center"/>
          </w:tcPr>
          <w:p w:rsidR="00E217BE" w:rsidRPr="001E42DD" w:rsidRDefault="00E217BE" w:rsidP="00F1746E">
            <w:pPr>
              <w:pStyle w:val="TableText0"/>
              <w:keepLines/>
              <w:widowControl w:val="0"/>
              <w:spacing w:before="0" w:after="0"/>
              <w:jc w:val="center"/>
              <w:rPr>
                <w:b/>
              </w:rPr>
            </w:pPr>
            <w:r>
              <w:rPr>
                <w:b/>
              </w:rPr>
              <w:t xml:space="preserve">Multiplicity adjusted </w:t>
            </w:r>
            <w:r>
              <w:rPr>
                <w:b/>
              </w:rPr>
              <w:br/>
              <w:t>p-values</w:t>
            </w:r>
          </w:p>
        </w:tc>
      </w:tr>
      <w:tr w:rsidR="00E217BE" w:rsidTr="00482178">
        <w:trPr>
          <w:trHeight w:val="70"/>
        </w:trPr>
        <w:tc>
          <w:tcPr>
            <w:tcW w:w="9071" w:type="dxa"/>
            <w:gridSpan w:val="5"/>
            <w:tcBorders>
              <w:top w:val="single" w:sz="4" w:space="0" w:color="auto"/>
              <w:left w:val="single" w:sz="4" w:space="0" w:color="auto"/>
              <w:bottom w:val="single" w:sz="4" w:space="0" w:color="auto"/>
              <w:right w:val="single" w:sz="4" w:space="0" w:color="auto"/>
            </w:tcBorders>
            <w:vAlign w:val="center"/>
          </w:tcPr>
          <w:p w:rsidR="00E217BE" w:rsidRPr="00FD14CC" w:rsidRDefault="00E217BE" w:rsidP="00F1746E">
            <w:pPr>
              <w:pStyle w:val="TableText0"/>
              <w:keepLines/>
              <w:widowControl w:val="0"/>
              <w:spacing w:before="0" w:after="0"/>
              <w:rPr>
                <w:b/>
              </w:rPr>
            </w:pPr>
            <w:r>
              <w:rPr>
                <w:b/>
              </w:rPr>
              <w:t>New vertebral fracture (includes radiographic and clinical fractures), n/N (%)</w:t>
            </w:r>
          </w:p>
        </w:tc>
      </w:tr>
      <w:tr w:rsidR="00E217BE" w:rsidTr="00482178">
        <w:trPr>
          <w:trHeight w:val="70"/>
        </w:trPr>
        <w:tc>
          <w:tcPr>
            <w:tcW w:w="2366" w:type="dxa"/>
            <w:tcBorders>
              <w:top w:val="single" w:sz="4" w:space="0" w:color="auto"/>
              <w:left w:val="single" w:sz="4" w:space="0" w:color="auto"/>
              <w:bottom w:val="single" w:sz="4" w:space="0" w:color="auto"/>
              <w:right w:val="single" w:sz="4" w:space="0" w:color="auto"/>
            </w:tcBorders>
            <w:vAlign w:val="center"/>
          </w:tcPr>
          <w:p w:rsidR="00E217BE" w:rsidRPr="00AE1806" w:rsidRDefault="00E217BE" w:rsidP="00F1746E">
            <w:pPr>
              <w:pStyle w:val="TableText0"/>
              <w:keepLines/>
              <w:widowControl w:val="0"/>
              <w:spacing w:before="0" w:after="0"/>
            </w:pPr>
            <w:r>
              <w:t>Cumulative incidence to 12 months</w:t>
            </w:r>
          </w:p>
        </w:tc>
        <w:tc>
          <w:tcPr>
            <w:tcW w:w="1456" w:type="dxa"/>
            <w:tcBorders>
              <w:top w:val="single" w:sz="4" w:space="0" w:color="auto"/>
              <w:left w:val="single" w:sz="4" w:space="0" w:color="auto"/>
              <w:bottom w:val="single" w:sz="4" w:space="0" w:color="auto"/>
              <w:right w:val="single" w:sz="4" w:space="0" w:color="auto"/>
            </w:tcBorders>
            <w:vAlign w:val="center"/>
          </w:tcPr>
          <w:p w:rsidR="00E217BE" w:rsidRPr="00AE1806" w:rsidRDefault="00E217BE" w:rsidP="00F1746E">
            <w:pPr>
              <w:pStyle w:val="TableText0"/>
              <w:keepLines/>
              <w:widowControl w:val="0"/>
              <w:spacing w:before="0" w:after="0"/>
              <w:jc w:val="center"/>
            </w:pPr>
            <w:r>
              <w:t>55/1696 (3.2)</w:t>
            </w:r>
          </w:p>
        </w:tc>
        <w:tc>
          <w:tcPr>
            <w:tcW w:w="1456" w:type="dxa"/>
            <w:tcBorders>
              <w:top w:val="single" w:sz="4" w:space="0" w:color="auto"/>
              <w:left w:val="single" w:sz="4" w:space="0" w:color="auto"/>
              <w:bottom w:val="single" w:sz="4" w:space="0" w:color="auto"/>
              <w:right w:val="single" w:sz="4" w:space="0" w:color="auto"/>
            </w:tcBorders>
            <w:vAlign w:val="center"/>
          </w:tcPr>
          <w:p w:rsidR="00E217BE" w:rsidRPr="00AE1806" w:rsidRDefault="00E217BE" w:rsidP="00F1746E">
            <w:pPr>
              <w:pStyle w:val="TableText0"/>
              <w:keepLines/>
              <w:widowControl w:val="0"/>
              <w:spacing w:before="0" w:after="0"/>
              <w:jc w:val="center"/>
            </w:pPr>
            <w:r>
              <w:t>85/1703 (5.0)</w:t>
            </w:r>
          </w:p>
        </w:tc>
        <w:tc>
          <w:tcPr>
            <w:tcW w:w="1959" w:type="dxa"/>
            <w:tcBorders>
              <w:top w:val="single" w:sz="4" w:space="0" w:color="auto"/>
              <w:left w:val="single" w:sz="4" w:space="0" w:color="auto"/>
              <w:bottom w:val="single" w:sz="4" w:space="0" w:color="auto"/>
              <w:right w:val="single" w:sz="4" w:space="0" w:color="auto"/>
            </w:tcBorders>
            <w:vAlign w:val="center"/>
          </w:tcPr>
          <w:p w:rsidR="00E217BE" w:rsidRPr="0062502B" w:rsidRDefault="00E217BE" w:rsidP="00F1746E">
            <w:pPr>
              <w:pStyle w:val="TableText0"/>
              <w:keepLines/>
              <w:widowControl w:val="0"/>
              <w:spacing w:before="0" w:after="0"/>
              <w:jc w:val="center"/>
            </w:pPr>
            <w:r>
              <w:t xml:space="preserve">RR </w:t>
            </w:r>
            <w:r w:rsidRPr="0062502B">
              <w:t>0.64 (0.46, 0.89)</w:t>
            </w:r>
          </w:p>
        </w:tc>
        <w:tc>
          <w:tcPr>
            <w:tcW w:w="1834" w:type="dxa"/>
            <w:tcBorders>
              <w:top w:val="single" w:sz="4" w:space="0" w:color="auto"/>
              <w:left w:val="single" w:sz="4" w:space="0" w:color="auto"/>
              <w:bottom w:val="single" w:sz="4" w:space="0" w:color="auto"/>
              <w:right w:val="single" w:sz="4" w:space="0" w:color="auto"/>
            </w:tcBorders>
            <w:vAlign w:val="center"/>
          </w:tcPr>
          <w:p w:rsidR="00E217BE" w:rsidRPr="0086524D" w:rsidRDefault="00E217BE" w:rsidP="00F1746E">
            <w:pPr>
              <w:pStyle w:val="TableText0"/>
              <w:keepLines/>
              <w:widowControl w:val="0"/>
              <w:spacing w:before="0" w:after="0"/>
              <w:jc w:val="center"/>
            </w:pPr>
            <w:r>
              <w:t>-</w:t>
            </w:r>
          </w:p>
        </w:tc>
      </w:tr>
      <w:tr w:rsidR="00E217BE" w:rsidTr="00482178">
        <w:trPr>
          <w:trHeight w:val="70"/>
        </w:trPr>
        <w:tc>
          <w:tcPr>
            <w:tcW w:w="2366" w:type="dxa"/>
            <w:tcBorders>
              <w:top w:val="single" w:sz="4" w:space="0" w:color="auto"/>
              <w:left w:val="single" w:sz="4" w:space="0" w:color="auto"/>
              <w:bottom w:val="single" w:sz="4" w:space="0" w:color="auto"/>
              <w:right w:val="single" w:sz="4" w:space="0" w:color="auto"/>
            </w:tcBorders>
            <w:vAlign w:val="center"/>
          </w:tcPr>
          <w:p w:rsidR="00E217BE" w:rsidRPr="00AE1806" w:rsidRDefault="00E217BE" w:rsidP="00F1746E">
            <w:pPr>
              <w:pStyle w:val="TableText0"/>
              <w:keepLines/>
              <w:widowControl w:val="0"/>
              <w:spacing w:before="0" w:after="0"/>
            </w:pPr>
            <w:r>
              <w:t>Cumulative incidence to 24 months (co-primary outcome)</w:t>
            </w:r>
          </w:p>
        </w:tc>
        <w:tc>
          <w:tcPr>
            <w:tcW w:w="1456" w:type="dxa"/>
            <w:tcBorders>
              <w:top w:val="single" w:sz="4" w:space="0" w:color="auto"/>
              <w:left w:val="single" w:sz="4" w:space="0" w:color="auto"/>
              <w:bottom w:val="single" w:sz="4" w:space="0" w:color="auto"/>
              <w:right w:val="single" w:sz="4" w:space="0" w:color="auto"/>
            </w:tcBorders>
            <w:vAlign w:val="center"/>
          </w:tcPr>
          <w:p w:rsidR="00E217BE" w:rsidRPr="00CF0A69" w:rsidRDefault="00E217BE" w:rsidP="00F1746E">
            <w:pPr>
              <w:pStyle w:val="TableText0"/>
              <w:keepLines/>
              <w:widowControl w:val="0"/>
              <w:spacing w:before="0" w:after="0"/>
              <w:jc w:val="center"/>
            </w:pPr>
            <w:r>
              <w:t>74/1825 (4.1)</w:t>
            </w:r>
          </w:p>
        </w:tc>
        <w:tc>
          <w:tcPr>
            <w:tcW w:w="1456" w:type="dxa"/>
            <w:tcBorders>
              <w:top w:val="single" w:sz="4" w:space="0" w:color="auto"/>
              <w:left w:val="single" w:sz="4" w:space="0" w:color="auto"/>
              <w:bottom w:val="single" w:sz="4" w:space="0" w:color="auto"/>
              <w:right w:val="single" w:sz="4" w:space="0" w:color="auto"/>
            </w:tcBorders>
            <w:vAlign w:val="center"/>
          </w:tcPr>
          <w:p w:rsidR="00E217BE" w:rsidRPr="00CF0A69" w:rsidRDefault="00E217BE" w:rsidP="00F1746E">
            <w:pPr>
              <w:pStyle w:val="TableText0"/>
              <w:keepLines/>
              <w:widowControl w:val="0"/>
              <w:spacing w:before="0" w:after="0"/>
              <w:jc w:val="center"/>
            </w:pPr>
            <w:r>
              <w:t>147/1834 (8.0)</w:t>
            </w:r>
          </w:p>
        </w:tc>
        <w:tc>
          <w:tcPr>
            <w:tcW w:w="1959" w:type="dxa"/>
            <w:tcBorders>
              <w:top w:val="single" w:sz="4" w:space="0" w:color="auto"/>
              <w:left w:val="single" w:sz="4" w:space="0" w:color="auto"/>
              <w:bottom w:val="single" w:sz="4" w:space="0" w:color="auto"/>
              <w:right w:val="single" w:sz="4" w:space="0" w:color="auto"/>
            </w:tcBorders>
            <w:vAlign w:val="center"/>
          </w:tcPr>
          <w:p w:rsidR="00E217BE" w:rsidRPr="00593C43" w:rsidRDefault="00E217BE" w:rsidP="00F1746E">
            <w:pPr>
              <w:pStyle w:val="TableText0"/>
              <w:keepLines/>
              <w:widowControl w:val="0"/>
              <w:spacing w:before="0" w:after="0"/>
              <w:jc w:val="center"/>
              <w:rPr>
                <w:b/>
              </w:rPr>
            </w:pPr>
            <w:r>
              <w:rPr>
                <w:b/>
              </w:rPr>
              <w:t>RR 0.50 (0.38, 0.66)</w:t>
            </w:r>
          </w:p>
        </w:tc>
        <w:tc>
          <w:tcPr>
            <w:tcW w:w="1834" w:type="dxa"/>
            <w:tcBorders>
              <w:top w:val="single" w:sz="4" w:space="0" w:color="auto"/>
              <w:left w:val="single" w:sz="4" w:space="0" w:color="auto"/>
              <w:bottom w:val="single" w:sz="4" w:space="0" w:color="auto"/>
              <w:right w:val="single" w:sz="4" w:space="0" w:color="auto"/>
            </w:tcBorders>
            <w:vAlign w:val="center"/>
          </w:tcPr>
          <w:p w:rsidR="00E217BE" w:rsidRPr="0086524D" w:rsidRDefault="00E217BE" w:rsidP="00F1746E">
            <w:pPr>
              <w:pStyle w:val="TableText0"/>
              <w:keepLines/>
              <w:widowControl w:val="0"/>
              <w:spacing w:before="0" w:after="0"/>
              <w:jc w:val="center"/>
            </w:pPr>
            <w:r>
              <w:t>p &lt; 0.001</w:t>
            </w:r>
          </w:p>
        </w:tc>
      </w:tr>
      <w:tr w:rsidR="00E217BE" w:rsidRPr="00FD14CC" w:rsidTr="00482178">
        <w:trPr>
          <w:trHeight w:val="70"/>
        </w:trPr>
        <w:tc>
          <w:tcPr>
            <w:tcW w:w="9071" w:type="dxa"/>
            <w:gridSpan w:val="5"/>
            <w:tcBorders>
              <w:top w:val="single" w:sz="4" w:space="0" w:color="auto"/>
              <w:left w:val="single" w:sz="4" w:space="0" w:color="auto"/>
              <w:bottom w:val="single" w:sz="4" w:space="0" w:color="auto"/>
              <w:right w:val="single" w:sz="4" w:space="0" w:color="auto"/>
            </w:tcBorders>
            <w:vAlign w:val="center"/>
          </w:tcPr>
          <w:p w:rsidR="00E217BE" w:rsidRPr="00FD14CC" w:rsidRDefault="00E217BE" w:rsidP="00F1746E">
            <w:pPr>
              <w:pStyle w:val="TableText0"/>
              <w:keepLines/>
              <w:widowControl w:val="0"/>
              <w:spacing w:before="0" w:after="0"/>
              <w:rPr>
                <w:b/>
              </w:rPr>
            </w:pPr>
            <w:r>
              <w:rPr>
                <w:b/>
              </w:rPr>
              <w:t>Non-vertebral fracture (includes all non-vertebral fractures except skull, face, hand, fingers, toes, pathologic fractures</w:t>
            </w:r>
            <w:r w:rsidRPr="005B0042">
              <w:rPr>
                <w:b/>
              </w:rPr>
              <w:t xml:space="preserve"> and</w:t>
            </w:r>
            <w:r>
              <w:rPr>
                <w:b/>
              </w:rPr>
              <w:t xml:space="preserve"> severe trauma fractures),</w:t>
            </w:r>
            <w:r w:rsidRPr="005B0042">
              <w:rPr>
                <w:b/>
              </w:rPr>
              <w:t xml:space="preserve"> </w:t>
            </w:r>
            <w:r>
              <w:rPr>
                <w:b/>
              </w:rPr>
              <w:t>n/N (%)</w:t>
            </w:r>
          </w:p>
        </w:tc>
      </w:tr>
      <w:tr w:rsidR="00E217BE" w:rsidRPr="00AE1806" w:rsidTr="00482178">
        <w:trPr>
          <w:trHeight w:val="70"/>
        </w:trPr>
        <w:tc>
          <w:tcPr>
            <w:tcW w:w="2366" w:type="dxa"/>
            <w:tcBorders>
              <w:top w:val="single" w:sz="4" w:space="0" w:color="auto"/>
              <w:left w:val="single" w:sz="4" w:space="0" w:color="auto"/>
              <w:bottom w:val="single" w:sz="4" w:space="0" w:color="auto"/>
              <w:right w:val="single" w:sz="4" w:space="0" w:color="auto"/>
            </w:tcBorders>
            <w:vAlign w:val="center"/>
          </w:tcPr>
          <w:p w:rsidR="00E217BE" w:rsidRPr="00AE1806" w:rsidRDefault="00E217BE" w:rsidP="00F1746E">
            <w:pPr>
              <w:pStyle w:val="TableText0"/>
              <w:keepLines/>
              <w:widowControl w:val="0"/>
              <w:spacing w:before="0" w:after="0"/>
            </w:pPr>
            <w:r>
              <w:t>Cumulative incidence to 12 months</w:t>
            </w:r>
          </w:p>
        </w:tc>
        <w:tc>
          <w:tcPr>
            <w:tcW w:w="1456" w:type="dxa"/>
            <w:tcBorders>
              <w:top w:val="single" w:sz="4" w:space="0" w:color="auto"/>
              <w:left w:val="single" w:sz="4" w:space="0" w:color="auto"/>
              <w:bottom w:val="single" w:sz="4" w:space="0" w:color="auto"/>
              <w:right w:val="single" w:sz="4" w:space="0" w:color="auto"/>
            </w:tcBorders>
            <w:vAlign w:val="center"/>
          </w:tcPr>
          <w:p w:rsidR="00E217BE" w:rsidRPr="00AE1806" w:rsidRDefault="00E217BE" w:rsidP="00F1746E">
            <w:pPr>
              <w:pStyle w:val="TableText0"/>
              <w:keepLines/>
              <w:widowControl w:val="0"/>
              <w:spacing w:before="0" w:after="0"/>
              <w:jc w:val="center"/>
            </w:pPr>
            <w:r>
              <w:t>70/2046 (3.4)</w:t>
            </w:r>
          </w:p>
        </w:tc>
        <w:tc>
          <w:tcPr>
            <w:tcW w:w="1456" w:type="dxa"/>
            <w:tcBorders>
              <w:top w:val="single" w:sz="4" w:space="0" w:color="auto"/>
              <w:left w:val="single" w:sz="4" w:space="0" w:color="auto"/>
              <w:bottom w:val="single" w:sz="4" w:space="0" w:color="auto"/>
              <w:right w:val="single" w:sz="4" w:space="0" w:color="auto"/>
            </w:tcBorders>
            <w:vAlign w:val="center"/>
          </w:tcPr>
          <w:p w:rsidR="00E217BE" w:rsidRPr="00AE1806" w:rsidRDefault="00E217BE" w:rsidP="00F1746E">
            <w:pPr>
              <w:pStyle w:val="TableText0"/>
              <w:keepLines/>
              <w:widowControl w:val="0"/>
              <w:spacing w:before="0" w:after="0"/>
              <w:jc w:val="center"/>
            </w:pPr>
            <w:r>
              <w:t>95/2047 (4.6)</w:t>
            </w:r>
          </w:p>
        </w:tc>
        <w:tc>
          <w:tcPr>
            <w:tcW w:w="1959" w:type="dxa"/>
            <w:tcBorders>
              <w:top w:val="single" w:sz="4" w:space="0" w:color="auto"/>
              <w:left w:val="single" w:sz="4" w:space="0" w:color="auto"/>
              <w:bottom w:val="single" w:sz="4" w:space="0" w:color="auto"/>
              <w:right w:val="single" w:sz="4" w:space="0" w:color="auto"/>
            </w:tcBorders>
            <w:vAlign w:val="center"/>
          </w:tcPr>
          <w:p w:rsidR="00E217BE" w:rsidRPr="00AE1806" w:rsidRDefault="00E217BE" w:rsidP="00F1746E">
            <w:pPr>
              <w:pStyle w:val="TableText0"/>
              <w:keepLines/>
              <w:widowControl w:val="0"/>
              <w:spacing w:before="0" w:after="0"/>
              <w:jc w:val="center"/>
            </w:pPr>
            <w:r>
              <w:t>HR 0.74 (0.54, 1.01)</w:t>
            </w:r>
          </w:p>
        </w:tc>
        <w:tc>
          <w:tcPr>
            <w:tcW w:w="1834" w:type="dxa"/>
            <w:tcBorders>
              <w:top w:val="single" w:sz="4" w:space="0" w:color="auto"/>
              <w:left w:val="single" w:sz="4" w:space="0" w:color="auto"/>
              <w:bottom w:val="single" w:sz="4" w:space="0" w:color="auto"/>
              <w:right w:val="single" w:sz="4" w:space="0" w:color="auto"/>
            </w:tcBorders>
            <w:vAlign w:val="center"/>
          </w:tcPr>
          <w:p w:rsidR="00E217BE" w:rsidRPr="00AE1806" w:rsidRDefault="00E217BE" w:rsidP="00F1746E">
            <w:pPr>
              <w:pStyle w:val="TableText0"/>
              <w:keepLines/>
              <w:widowControl w:val="0"/>
              <w:spacing w:before="0" w:after="0"/>
              <w:jc w:val="center"/>
            </w:pPr>
            <w:r>
              <w:t>-</w:t>
            </w:r>
          </w:p>
        </w:tc>
      </w:tr>
      <w:tr w:rsidR="00E217BE" w:rsidRPr="00CF0A69" w:rsidTr="00482178">
        <w:trPr>
          <w:trHeight w:val="70"/>
        </w:trPr>
        <w:tc>
          <w:tcPr>
            <w:tcW w:w="2366" w:type="dxa"/>
            <w:tcBorders>
              <w:top w:val="single" w:sz="4" w:space="0" w:color="auto"/>
              <w:left w:val="single" w:sz="4" w:space="0" w:color="auto"/>
              <w:bottom w:val="single" w:sz="4" w:space="0" w:color="auto"/>
              <w:right w:val="single" w:sz="4" w:space="0" w:color="auto"/>
            </w:tcBorders>
            <w:vAlign w:val="center"/>
          </w:tcPr>
          <w:p w:rsidR="00E217BE" w:rsidRPr="00AE1806" w:rsidRDefault="00E217BE" w:rsidP="00F1746E">
            <w:pPr>
              <w:pStyle w:val="TableText0"/>
              <w:keepLines/>
              <w:widowControl w:val="0"/>
              <w:spacing w:before="0" w:after="0"/>
            </w:pPr>
            <w:r>
              <w:t>Cumulative incidence to 24 months</w:t>
            </w:r>
          </w:p>
        </w:tc>
        <w:tc>
          <w:tcPr>
            <w:tcW w:w="1456" w:type="dxa"/>
            <w:tcBorders>
              <w:top w:val="single" w:sz="4" w:space="0" w:color="auto"/>
              <w:left w:val="single" w:sz="4" w:space="0" w:color="auto"/>
              <w:bottom w:val="single" w:sz="4" w:space="0" w:color="auto"/>
              <w:right w:val="single" w:sz="4" w:space="0" w:color="auto"/>
            </w:tcBorders>
            <w:vAlign w:val="center"/>
          </w:tcPr>
          <w:p w:rsidR="00E217BE" w:rsidRPr="00CF0A69" w:rsidRDefault="00E217BE" w:rsidP="00F1746E">
            <w:pPr>
              <w:pStyle w:val="TableText0"/>
              <w:keepLines/>
              <w:widowControl w:val="0"/>
              <w:spacing w:before="0" w:after="0"/>
              <w:jc w:val="center"/>
            </w:pPr>
            <w:r>
              <w:t>129/2046 (6.3)</w:t>
            </w:r>
          </w:p>
        </w:tc>
        <w:tc>
          <w:tcPr>
            <w:tcW w:w="1456" w:type="dxa"/>
            <w:tcBorders>
              <w:top w:val="single" w:sz="4" w:space="0" w:color="auto"/>
              <w:left w:val="single" w:sz="4" w:space="0" w:color="auto"/>
              <w:bottom w:val="single" w:sz="4" w:space="0" w:color="auto"/>
              <w:right w:val="single" w:sz="4" w:space="0" w:color="auto"/>
            </w:tcBorders>
            <w:vAlign w:val="center"/>
          </w:tcPr>
          <w:p w:rsidR="00E217BE" w:rsidRPr="00CF0A69" w:rsidRDefault="00E217BE" w:rsidP="00F1746E">
            <w:pPr>
              <w:pStyle w:val="TableText0"/>
              <w:keepLines/>
              <w:widowControl w:val="0"/>
              <w:spacing w:before="0" w:after="0"/>
              <w:jc w:val="center"/>
            </w:pPr>
            <w:r>
              <w:t>159/2047 (7.8)</w:t>
            </w:r>
          </w:p>
        </w:tc>
        <w:tc>
          <w:tcPr>
            <w:tcW w:w="1959" w:type="dxa"/>
            <w:tcBorders>
              <w:top w:val="single" w:sz="4" w:space="0" w:color="auto"/>
              <w:left w:val="single" w:sz="4" w:space="0" w:color="auto"/>
              <w:bottom w:val="single" w:sz="4" w:space="0" w:color="auto"/>
              <w:right w:val="single" w:sz="4" w:space="0" w:color="auto"/>
            </w:tcBorders>
            <w:vAlign w:val="center"/>
          </w:tcPr>
          <w:p w:rsidR="00E217BE" w:rsidRPr="00CF0A69" w:rsidRDefault="00E217BE" w:rsidP="00F1746E">
            <w:pPr>
              <w:pStyle w:val="TableText0"/>
              <w:keepLines/>
              <w:widowControl w:val="0"/>
              <w:spacing w:before="0" w:after="0"/>
              <w:jc w:val="center"/>
            </w:pPr>
            <w:r>
              <w:t>HR 0.81 (0.64, 1.02)</w:t>
            </w:r>
          </w:p>
        </w:tc>
        <w:tc>
          <w:tcPr>
            <w:tcW w:w="1834" w:type="dxa"/>
            <w:tcBorders>
              <w:top w:val="single" w:sz="4" w:space="0" w:color="auto"/>
              <w:left w:val="single" w:sz="4" w:space="0" w:color="auto"/>
              <w:bottom w:val="single" w:sz="4" w:space="0" w:color="auto"/>
              <w:right w:val="single" w:sz="4" w:space="0" w:color="auto"/>
            </w:tcBorders>
            <w:vAlign w:val="center"/>
          </w:tcPr>
          <w:p w:rsidR="00E217BE" w:rsidRPr="00CF0A69" w:rsidRDefault="00E217BE" w:rsidP="00F1746E">
            <w:pPr>
              <w:pStyle w:val="TableText0"/>
              <w:keepLines/>
              <w:widowControl w:val="0"/>
              <w:spacing w:before="0" w:after="0"/>
              <w:jc w:val="center"/>
            </w:pPr>
            <w:r>
              <w:t>-</w:t>
            </w:r>
          </w:p>
        </w:tc>
      </w:tr>
      <w:tr w:rsidR="00E217BE" w:rsidRPr="00CF0A69" w:rsidTr="00482178">
        <w:trPr>
          <w:trHeight w:val="70"/>
        </w:trPr>
        <w:tc>
          <w:tcPr>
            <w:tcW w:w="2366" w:type="dxa"/>
            <w:tcBorders>
              <w:top w:val="single" w:sz="4" w:space="0" w:color="auto"/>
              <w:left w:val="single" w:sz="4" w:space="0" w:color="auto"/>
              <w:bottom w:val="single" w:sz="4" w:space="0" w:color="auto"/>
              <w:right w:val="single" w:sz="4" w:space="0" w:color="auto"/>
            </w:tcBorders>
            <w:vAlign w:val="center"/>
          </w:tcPr>
          <w:p w:rsidR="00E217BE" w:rsidRDefault="00E217BE" w:rsidP="00F1746E">
            <w:pPr>
              <w:pStyle w:val="TableText0"/>
              <w:keepLines/>
              <w:widowControl w:val="0"/>
              <w:spacing w:before="0" w:after="0"/>
            </w:pPr>
            <w:r>
              <w:t>Cumulative incidence to primary analysis</w:t>
            </w:r>
            <w:r w:rsidR="00F627B5">
              <w:t xml:space="preserve"> (median 33 months)</w:t>
            </w:r>
          </w:p>
        </w:tc>
        <w:tc>
          <w:tcPr>
            <w:tcW w:w="1456" w:type="dxa"/>
            <w:tcBorders>
              <w:top w:val="single" w:sz="4" w:space="0" w:color="auto"/>
              <w:left w:val="single" w:sz="4" w:space="0" w:color="auto"/>
              <w:bottom w:val="single" w:sz="4" w:space="0" w:color="auto"/>
              <w:right w:val="single" w:sz="4" w:space="0" w:color="auto"/>
            </w:tcBorders>
            <w:vAlign w:val="center"/>
          </w:tcPr>
          <w:p w:rsidR="00E217BE" w:rsidRPr="00CF0A69" w:rsidRDefault="00E217BE" w:rsidP="00F1746E">
            <w:pPr>
              <w:pStyle w:val="TableText0"/>
              <w:keepLines/>
              <w:widowControl w:val="0"/>
              <w:spacing w:before="0" w:after="0"/>
              <w:jc w:val="center"/>
            </w:pPr>
            <w:r>
              <w:t>178/2046 (8.7)</w:t>
            </w:r>
          </w:p>
        </w:tc>
        <w:tc>
          <w:tcPr>
            <w:tcW w:w="1456" w:type="dxa"/>
            <w:tcBorders>
              <w:top w:val="single" w:sz="4" w:space="0" w:color="auto"/>
              <w:left w:val="single" w:sz="4" w:space="0" w:color="auto"/>
              <w:bottom w:val="single" w:sz="4" w:space="0" w:color="auto"/>
              <w:right w:val="single" w:sz="4" w:space="0" w:color="auto"/>
            </w:tcBorders>
            <w:vAlign w:val="center"/>
          </w:tcPr>
          <w:p w:rsidR="00E217BE" w:rsidRPr="00CF0A69" w:rsidRDefault="00E217BE" w:rsidP="00F1746E">
            <w:pPr>
              <w:pStyle w:val="TableText0"/>
              <w:keepLines/>
              <w:widowControl w:val="0"/>
              <w:spacing w:before="0" w:after="0"/>
              <w:jc w:val="center"/>
            </w:pPr>
            <w:r>
              <w:t>217/2047 (10.6)</w:t>
            </w:r>
          </w:p>
        </w:tc>
        <w:tc>
          <w:tcPr>
            <w:tcW w:w="1959" w:type="dxa"/>
            <w:tcBorders>
              <w:top w:val="single" w:sz="4" w:space="0" w:color="auto"/>
              <w:left w:val="single" w:sz="4" w:space="0" w:color="auto"/>
              <w:bottom w:val="single" w:sz="4" w:space="0" w:color="auto"/>
              <w:right w:val="single" w:sz="4" w:space="0" w:color="auto"/>
            </w:tcBorders>
            <w:vAlign w:val="center"/>
          </w:tcPr>
          <w:p w:rsidR="00E217BE" w:rsidRPr="004E0588" w:rsidRDefault="00E217BE" w:rsidP="00F1746E">
            <w:pPr>
              <w:pStyle w:val="TableText0"/>
              <w:keepLines/>
              <w:widowControl w:val="0"/>
              <w:spacing w:before="0" w:after="0"/>
              <w:jc w:val="center"/>
              <w:rPr>
                <w:b/>
              </w:rPr>
            </w:pPr>
            <w:r>
              <w:rPr>
                <w:b/>
              </w:rPr>
              <w:t>HR 0.81 (0.66, 0.99)</w:t>
            </w:r>
          </w:p>
        </w:tc>
        <w:tc>
          <w:tcPr>
            <w:tcW w:w="1834" w:type="dxa"/>
            <w:tcBorders>
              <w:top w:val="single" w:sz="4" w:space="0" w:color="auto"/>
              <w:left w:val="single" w:sz="4" w:space="0" w:color="auto"/>
              <w:bottom w:val="single" w:sz="4" w:space="0" w:color="auto"/>
              <w:right w:val="single" w:sz="4" w:space="0" w:color="auto"/>
            </w:tcBorders>
            <w:vAlign w:val="center"/>
          </w:tcPr>
          <w:p w:rsidR="00E217BE" w:rsidRPr="00CF0A69" w:rsidRDefault="00E217BE" w:rsidP="00F1746E">
            <w:pPr>
              <w:pStyle w:val="TableText0"/>
              <w:keepLines/>
              <w:widowControl w:val="0"/>
              <w:spacing w:before="0" w:after="0"/>
              <w:jc w:val="center"/>
            </w:pPr>
            <w:r>
              <w:t>p = 0.040</w:t>
            </w:r>
          </w:p>
        </w:tc>
      </w:tr>
      <w:tr w:rsidR="00E217BE" w:rsidRPr="00FD14CC" w:rsidTr="00482178">
        <w:trPr>
          <w:trHeight w:val="70"/>
        </w:trPr>
        <w:tc>
          <w:tcPr>
            <w:tcW w:w="9071" w:type="dxa"/>
            <w:gridSpan w:val="5"/>
            <w:tcBorders>
              <w:top w:val="single" w:sz="4" w:space="0" w:color="auto"/>
              <w:left w:val="single" w:sz="4" w:space="0" w:color="auto"/>
              <w:bottom w:val="single" w:sz="4" w:space="0" w:color="auto"/>
              <w:right w:val="single" w:sz="4" w:space="0" w:color="auto"/>
            </w:tcBorders>
            <w:vAlign w:val="center"/>
          </w:tcPr>
          <w:p w:rsidR="00E217BE" w:rsidRPr="00FD14CC" w:rsidRDefault="00E217BE" w:rsidP="00F1746E">
            <w:pPr>
              <w:pStyle w:val="TableText0"/>
              <w:keepLines/>
              <w:widowControl w:val="0"/>
              <w:spacing w:before="0" w:after="0"/>
              <w:rPr>
                <w:b/>
              </w:rPr>
            </w:pPr>
            <w:r>
              <w:rPr>
                <w:b/>
              </w:rPr>
              <w:t>Clinical fracture (includes non-vertebral fractures and clinical vertebral fractures), n/N (%)</w:t>
            </w:r>
          </w:p>
        </w:tc>
      </w:tr>
      <w:tr w:rsidR="00E217BE" w:rsidRPr="00AE1806" w:rsidTr="00482178">
        <w:trPr>
          <w:trHeight w:val="70"/>
        </w:trPr>
        <w:tc>
          <w:tcPr>
            <w:tcW w:w="2366" w:type="dxa"/>
            <w:tcBorders>
              <w:top w:val="single" w:sz="4" w:space="0" w:color="auto"/>
              <w:left w:val="single" w:sz="4" w:space="0" w:color="auto"/>
              <w:bottom w:val="single" w:sz="4" w:space="0" w:color="auto"/>
              <w:right w:val="single" w:sz="4" w:space="0" w:color="auto"/>
            </w:tcBorders>
            <w:vAlign w:val="center"/>
          </w:tcPr>
          <w:p w:rsidR="00E217BE" w:rsidRPr="00AE1806" w:rsidRDefault="00E217BE" w:rsidP="00F1746E">
            <w:pPr>
              <w:pStyle w:val="TableText0"/>
              <w:keepLines/>
              <w:widowControl w:val="0"/>
              <w:spacing w:before="0" w:after="0"/>
            </w:pPr>
            <w:r>
              <w:t xml:space="preserve">Cumulative incidence to 12 months </w:t>
            </w:r>
          </w:p>
        </w:tc>
        <w:tc>
          <w:tcPr>
            <w:tcW w:w="1456" w:type="dxa"/>
            <w:tcBorders>
              <w:top w:val="single" w:sz="4" w:space="0" w:color="auto"/>
              <w:left w:val="single" w:sz="4" w:space="0" w:color="auto"/>
              <w:bottom w:val="single" w:sz="4" w:space="0" w:color="auto"/>
              <w:right w:val="single" w:sz="4" w:space="0" w:color="auto"/>
            </w:tcBorders>
            <w:vAlign w:val="center"/>
          </w:tcPr>
          <w:p w:rsidR="00E217BE" w:rsidRPr="00AE1806" w:rsidRDefault="00E217BE" w:rsidP="00F1746E">
            <w:pPr>
              <w:pStyle w:val="TableText0"/>
              <w:keepLines/>
              <w:widowControl w:val="0"/>
              <w:spacing w:before="0" w:after="0"/>
              <w:jc w:val="center"/>
            </w:pPr>
            <w:r>
              <w:t>79/2046 (3.9)</w:t>
            </w:r>
          </w:p>
        </w:tc>
        <w:tc>
          <w:tcPr>
            <w:tcW w:w="1456" w:type="dxa"/>
            <w:tcBorders>
              <w:top w:val="single" w:sz="4" w:space="0" w:color="auto"/>
              <w:left w:val="single" w:sz="4" w:space="0" w:color="auto"/>
              <w:bottom w:val="single" w:sz="4" w:space="0" w:color="auto"/>
              <w:right w:val="single" w:sz="4" w:space="0" w:color="auto"/>
            </w:tcBorders>
            <w:vAlign w:val="center"/>
          </w:tcPr>
          <w:p w:rsidR="00E217BE" w:rsidRPr="00AE1806" w:rsidRDefault="00E217BE" w:rsidP="00F1746E">
            <w:pPr>
              <w:pStyle w:val="TableText0"/>
              <w:keepLines/>
              <w:widowControl w:val="0"/>
              <w:spacing w:before="0" w:after="0"/>
              <w:jc w:val="center"/>
            </w:pPr>
            <w:r>
              <w:t>110/2047 (5.4)</w:t>
            </w:r>
          </w:p>
        </w:tc>
        <w:tc>
          <w:tcPr>
            <w:tcW w:w="1959" w:type="dxa"/>
            <w:tcBorders>
              <w:top w:val="single" w:sz="4" w:space="0" w:color="auto"/>
              <w:left w:val="single" w:sz="4" w:space="0" w:color="auto"/>
              <w:bottom w:val="single" w:sz="4" w:space="0" w:color="auto"/>
              <w:right w:val="single" w:sz="4" w:space="0" w:color="auto"/>
            </w:tcBorders>
            <w:vAlign w:val="center"/>
          </w:tcPr>
          <w:p w:rsidR="00E217BE" w:rsidRPr="0062502B" w:rsidRDefault="00E217BE" w:rsidP="00F1746E">
            <w:pPr>
              <w:pStyle w:val="TableText0"/>
              <w:keepLines/>
              <w:widowControl w:val="0"/>
              <w:spacing w:before="0" w:after="0"/>
              <w:jc w:val="center"/>
            </w:pPr>
            <w:r>
              <w:t xml:space="preserve">HR </w:t>
            </w:r>
            <w:r w:rsidRPr="0062502B">
              <w:t>0.72 (0.54, 0.96)</w:t>
            </w:r>
          </w:p>
        </w:tc>
        <w:tc>
          <w:tcPr>
            <w:tcW w:w="1834" w:type="dxa"/>
            <w:tcBorders>
              <w:top w:val="single" w:sz="4" w:space="0" w:color="auto"/>
              <w:left w:val="single" w:sz="4" w:space="0" w:color="auto"/>
              <w:bottom w:val="single" w:sz="4" w:space="0" w:color="auto"/>
              <w:right w:val="single" w:sz="4" w:space="0" w:color="auto"/>
            </w:tcBorders>
            <w:vAlign w:val="center"/>
          </w:tcPr>
          <w:p w:rsidR="00E217BE" w:rsidRPr="000E4F1A" w:rsidRDefault="00E217BE" w:rsidP="00F1746E">
            <w:pPr>
              <w:pStyle w:val="TableText0"/>
              <w:keepLines/>
              <w:widowControl w:val="0"/>
              <w:spacing w:before="0" w:after="0"/>
              <w:jc w:val="center"/>
            </w:pPr>
            <w:r>
              <w:t>-</w:t>
            </w:r>
          </w:p>
        </w:tc>
      </w:tr>
      <w:tr w:rsidR="00E217BE" w:rsidRPr="00CF0A69" w:rsidTr="00482178">
        <w:trPr>
          <w:trHeight w:val="70"/>
        </w:trPr>
        <w:tc>
          <w:tcPr>
            <w:tcW w:w="2366" w:type="dxa"/>
            <w:tcBorders>
              <w:top w:val="single" w:sz="4" w:space="0" w:color="auto"/>
              <w:left w:val="single" w:sz="4" w:space="0" w:color="auto"/>
              <w:bottom w:val="single" w:sz="4" w:space="0" w:color="auto"/>
              <w:right w:val="single" w:sz="4" w:space="0" w:color="auto"/>
            </w:tcBorders>
            <w:vAlign w:val="center"/>
          </w:tcPr>
          <w:p w:rsidR="00E217BE" w:rsidRPr="00AE1806" w:rsidRDefault="00E217BE" w:rsidP="00F1746E">
            <w:pPr>
              <w:pStyle w:val="TableText0"/>
              <w:keepLines/>
              <w:widowControl w:val="0"/>
              <w:spacing w:before="0" w:after="0"/>
            </w:pPr>
            <w:r>
              <w:t>Cumulative incidence to 24 months</w:t>
            </w:r>
          </w:p>
        </w:tc>
        <w:tc>
          <w:tcPr>
            <w:tcW w:w="1456" w:type="dxa"/>
            <w:tcBorders>
              <w:top w:val="single" w:sz="4" w:space="0" w:color="auto"/>
              <w:left w:val="single" w:sz="4" w:space="0" w:color="auto"/>
              <w:bottom w:val="single" w:sz="4" w:space="0" w:color="auto"/>
              <w:right w:val="single" w:sz="4" w:space="0" w:color="auto"/>
            </w:tcBorders>
            <w:vAlign w:val="center"/>
          </w:tcPr>
          <w:p w:rsidR="00E217BE" w:rsidRPr="00CF0A69" w:rsidRDefault="00E217BE" w:rsidP="00F1746E">
            <w:pPr>
              <w:pStyle w:val="TableText0"/>
              <w:keepLines/>
              <w:widowControl w:val="0"/>
              <w:spacing w:before="0" w:after="0"/>
              <w:jc w:val="center"/>
            </w:pPr>
            <w:r>
              <w:t>146/2046 (7.1)</w:t>
            </w:r>
          </w:p>
        </w:tc>
        <w:tc>
          <w:tcPr>
            <w:tcW w:w="1456" w:type="dxa"/>
            <w:tcBorders>
              <w:top w:val="single" w:sz="4" w:space="0" w:color="auto"/>
              <w:left w:val="single" w:sz="4" w:space="0" w:color="auto"/>
              <w:bottom w:val="single" w:sz="4" w:space="0" w:color="auto"/>
              <w:right w:val="single" w:sz="4" w:space="0" w:color="auto"/>
            </w:tcBorders>
            <w:vAlign w:val="center"/>
          </w:tcPr>
          <w:p w:rsidR="00E217BE" w:rsidRPr="00CF0A69" w:rsidRDefault="00E217BE" w:rsidP="00F1746E">
            <w:pPr>
              <w:pStyle w:val="TableText0"/>
              <w:keepLines/>
              <w:widowControl w:val="0"/>
              <w:spacing w:before="0" w:after="0"/>
              <w:jc w:val="center"/>
            </w:pPr>
            <w:r>
              <w:t>197/2047 (9.6)</w:t>
            </w:r>
          </w:p>
        </w:tc>
        <w:tc>
          <w:tcPr>
            <w:tcW w:w="1959" w:type="dxa"/>
            <w:tcBorders>
              <w:top w:val="single" w:sz="4" w:space="0" w:color="auto"/>
              <w:left w:val="single" w:sz="4" w:space="0" w:color="auto"/>
              <w:bottom w:val="single" w:sz="4" w:space="0" w:color="auto"/>
              <w:right w:val="single" w:sz="4" w:space="0" w:color="auto"/>
            </w:tcBorders>
            <w:vAlign w:val="center"/>
          </w:tcPr>
          <w:p w:rsidR="00E217BE" w:rsidRPr="00CF0A69" w:rsidRDefault="00E217BE" w:rsidP="00F1746E">
            <w:pPr>
              <w:pStyle w:val="TableText0"/>
              <w:keepLines/>
              <w:widowControl w:val="0"/>
              <w:spacing w:before="0" w:after="0"/>
              <w:jc w:val="center"/>
            </w:pPr>
            <w:r>
              <w:t>HR 0.74 (0.59, 0.91)</w:t>
            </w:r>
          </w:p>
        </w:tc>
        <w:tc>
          <w:tcPr>
            <w:tcW w:w="1834" w:type="dxa"/>
            <w:tcBorders>
              <w:top w:val="single" w:sz="4" w:space="0" w:color="auto"/>
              <w:left w:val="single" w:sz="4" w:space="0" w:color="auto"/>
              <w:bottom w:val="single" w:sz="4" w:space="0" w:color="auto"/>
              <w:right w:val="single" w:sz="4" w:space="0" w:color="auto"/>
            </w:tcBorders>
            <w:vAlign w:val="center"/>
          </w:tcPr>
          <w:p w:rsidR="00E217BE" w:rsidRPr="00CF0A69" w:rsidRDefault="00E217BE" w:rsidP="00F1746E">
            <w:pPr>
              <w:pStyle w:val="TableText0"/>
              <w:keepLines/>
              <w:widowControl w:val="0"/>
              <w:spacing w:before="0" w:after="0"/>
              <w:jc w:val="center"/>
            </w:pPr>
            <w:r>
              <w:t>-</w:t>
            </w:r>
          </w:p>
        </w:tc>
      </w:tr>
      <w:tr w:rsidR="00E217BE" w:rsidRPr="00CF0A69" w:rsidTr="00482178">
        <w:trPr>
          <w:trHeight w:val="70"/>
        </w:trPr>
        <w:tc>
          <w:tcPr>
            <w:tcW w:w="2366" w:type="dxa"/>
            <w:tcBorders>
              <w:top w:val="single" w:sz="4" w:space="0" w:color="auto"/>
              <w:left w:val="single" w:sz="4" w:space="0" w:color="auto"/>
              <w:bottom w:val="single" w:sz="4" w:space="0" w:color="auto"/>
              <w:right w:val="single" w:sz="4" w:space="0" w:color="auto"/>
            </w:tcBorders>
            <w:vAlign w:val="center"/>
          </w:tcPr>
          <w:p w:rsidR="00E217BE" w:rsidRDefault="00E217BE" w:rsidP="00F1746E">
            <w:pPr>
              <w:pStyle w:val="TableText0"/>
              <w:keepLines/>
              <w:widowControl w:val="0"/>
              <w:spacing w:before="0" w:after="0"/>
            </w:pPr>
            <w:r>
              <w:t xml:space="preserve">Cumulative incidence to primary analysis </w:t>
            </w:r>
            <w:r>
              <w:br/>
              <w:t>(co-primary outcome)</w:t>
            </w:r>
            <w:r w:rsidR="00F627B5">
              <w:t xml:space="preserve"> (median 33 months)</w:t>
            </w:r>
          </w:p>
        </w:tc>
        <w:tc>
          <w:tcPr>
            <w:tcW w:w="1456" w:type="dxa"/>
            <w:tcBorders>
              <w:top w:val="single" w:sz="4" w:space="0" w:color="auto"/>
              <w:left w:val="single" w:sz="4" w:space="0" w:color="auto"/>
              <w:bottom w:val="single" w:sz="4" w:space="0" w:color="auto"/>
              <w:right w:val="single" w:sz="4" w:space="0" w:color="auto"/>
            </w:tcBorders>
            <w:vAlign w:val="center"/>
          </w:tcPr>
          <w:p w:rsidR="00E217BE" w:rsidRPr="00CF0A69" w:rsidRDefault="00E217BE" w:rsidP="00F1746E">
            <w:pPr>
              <w:pStyle w:val="TableText0"/>
              <w:keepLines/>
              <w:widowControl w:val="0"/>
              <w:spacing w:before="0" w:after="0"/>
              <w:jc w:val="center"/>
            </w:pPr>
            <w:r>
              <w:t>198/2046 (9.7)</w:t>
            </w:r>
          </w:p>
        </w:tc>
        <w:tc>
          <w:tcPr>
            <w:tcW w:w="1456" w:type="dxa"/>
            <w:tcBorders>
              <w:top w:val="single" w:sz="4" w:space="0" w:color="auto"/>
              <w:left w:val="single" w:sz="4" w:space="0" w:color="auto"/>
              <w:bottom w:val="single" w:sz="4" w:space="0" w:color="auto"/>
              <w:right w:val="single" w:sz="4" w:space="0" w:color="auto"/>
            </w:tcBorders>
            <w:vAlign w:val="center"/>
          </w:tcPr>
          <w:p w:rsidR="00E217BE" w:rsidRPr="00CF0A69" w:rsidRDefault="00E217BE" w:rsidP="00F1746E">
            <w:pPr>
              <w:pStyle w:val="TableText0"/>
              <w:keepLines/>
              <w:widowControl w:val="0"/>
              <w:spacing w:before="0" w:after="0"/>
              <w:jc w:val="center"/>
            </w:pPr>
            <w:r>
              <w:t>266/2047 (13.0)</w:t>
            </w:r>
          </w:p>
        </w:tc>
        <w:tc>
          <w:tcPr>
            <w:tcW w:w="1959" w:type="dxa"/>
            <w:tcBorders>
              <w:top w:val="single" w:sz="4" w:space="0" w:color="auto"/>
              <w:left w:val="single" w:sz="4" w:space="0" w:color="auto"/>
              <w:bottom w:val="single" w:sz="4" w:space="0" w:color="auto"/>
              <w:right w:val="single" w:sz="4" w:space="0" w:color="auto"/>
            </w:tcBorders>
            <w:vAlign w:val="center"/>
          </w:tcPr>
          <w:p w:rsidR="00E217BE" w:rsidRPr="00CF0A69" w:rsidRDefault="00E217BE" w:rsidP="00F1746E">
            <w:pPr>
              <w:pStyle w:val="TableText0"/>
              <w:keepLines/>
              <w:widowControl w:val="0"/>
              <w:spacing w:before="0" w:after="0"/>
              <w:jc w:val="center"/>
            </w:pPr>
            <w:r>
              <w:rPr>
                <w:b/>
              </w:rPr>
              <w:t xml:space="preserve">HR </w:t>
            </w:r>
            <w:r w:rsidRPr="004E0588">
              <w:rPr>
                <w:b/>
              </w:rPr>
              <w:t>0.73 (0.61, 0.88)</w:t>
            </w:r>
          </w:p>
        </w:tc>
        <w:tc>
          <w:tcPr>
            <w:tcW w:w="1834" w:type="dxa"/>
            <w:tcBorders>
              <w:top w:val="single" w:sz="4" w:space="0" w:color="auto"/>
              <w:left w:val="single" w:sz="4" w:space="0" w:color="auto"/>
              <w:bottom w:val="single" w:sz="4" w:space="0" w:color="auto"/>
              <w:right w:val="single" w:sz="4" w:space="0" w:color="auto"/>
            </w:tcBorders>
            <w:vAlign w:val="center"/>
          </w:tcPr>
          <w:p w:rsidR="00E217BE" w:rsidRPr="00CF0A69" w:rsidRDefault="00E217BE" w:rsidP="00F1746E">
            <w:pPr>
              <w:pStyle w:val="TableText0"/>
              <w:keepLines/>
              <w:widowControl w:val="0"/>
              <w:spacing w:before="0" w:after="0"/>
              <w:jc w:val="center"/>
            </w:pPr>
            <w:r>
              <w:t>p &lt; 0.001</w:t>
            </w:r>
          </w:p>
        </w:tc>
      </w:tr>
      <w:tr w:rsidR="00E217BE" w:rsidRPr="00FD14CC" w:rsidTr="00482178">
        <w:trPr>
          <w:trHeight w:val="70"/>
        </w:trPr>
        <w:tc>
          <w:tcPr>
            <w:tcW w:w="9071" w:type="dxa"/>
            <w:gridSpan w:val="5"/>
            <w:tcBorders>
              <w:top w:val="double" w:sz="4" w:space="0" w:color="auto"/>
              <w:left w:val="single" w:sz="4" w:space="0" w:color="auto"/>
              <w:bottom w:val="single" w:sz="4" w:space="0" w:color="auto"/>
              <w:right w:val="single" w:sz="4" w:space="0" w:color="auto"/>
            </w:tcBorders>
            <w:vAlign w:val="center"/>
          </w:tcPr>
          <w:p w:rsidR="00E217BE" w:rsidRPr="00FD14CC" w:rsidRDefault="00E217BE" w:rsidP="00F1746E">
            <w:pPr>
              <w:pStyle w:val="TableText0"/>
              <w:keepLines/>
              <w:widowControl w:val="0"/>
              <w:spacing w:before="0" w:after="0"/>
              <w:rPr>
                <w:b/>
              </w:rPr>
            </w:pPr>
            <w:r>
              <w:rPr>
                <w:b/>
              </w:rPr>
              <w:t>Clinical vertebral fracture, n/N (%)</w:t>
            </w:r>
          </w:p>
        </w:tc>
      </w:tr>
      <w:tr w:rsidR="00E217BE" w:rsidRPr="00AE1806" w:rsidTr="00482178">
        <w:trPr>
          <w:trHeight w:val="70"/>
        </w:trPr>
        <w:tc>
          <w:tcPr>
            <w:tcW w:w="2366" w:type="dxa"/>
            <w:tcBorders>
              <w:top w:val="single" w:sz="4" w:space="0" w:color="auto"/>
              <w:left w:val="single" w:sz="4" w:space="0" w:color="auto"/>
              <w:bottom w:val="single" w:sz="4" w:space="0" w:color="auto"/>
              <w:right w:val="single" w:sz="4" w:space="0" w:color="auto"/>
            </w:tcBorders>
            <w:vAlign w:val="center"/>
          </w:tcPr>
          <w:p w:rsidR="00E217BE" w:rsidRPr="00AE1806" w:rsidRDefault="00E217BE" w:rsidP="00F1746E">
            <w:pPr>
              <w:pStyle w:val="TableText0"/>
              <w:keepLines/>
              <w:widowControl w:val="0"/>
              <w:spacing w:before="0" w:after="0"/>
            </w:pPr>
            <w:r>
              <w:t xml:space="preserve">Cumulative incidence to 12 months </w:t>
            </w:r>
          </w:p>
        </w:tc>
        <w:tc>
          <w:tcPr>
            <w:tcW w:w="1456" w:type="dxa"/>
            <w:tcBorders>
              <w:top w:val="single" w:sz="4" w:space="0" w:color="auto"/>
              <w:left w:val="single" w:sz="4" w:space="0" w:color="auto"/>
              <w:bottom w:val="single" w:sz="4" w:space="0" w:color="auto"/>
              <w:right w:val="single" w:sz="4" w:space="0" w:color="auto"/>
            </w:tcBorders>
            <w:vAlign w:val="center"/>
          </w:tcPr>
          <w:p w:rsidR="00E217BE" w:rsidRPr="00AE1806" w:rsidRDefault="00E217BE" w:rsidP="00F1746E">
            <w:pPr>
              <w:pStyle w:val="TableText0"/>
              <w:keepLines/>
              <w:widowControl w:val="0"/>
              <w:spacing w:before="0" w:after="0"/>
              <w:jc w:val="center"/>
            </w:pPr>
            <w:r>
              <w:t>10/2046 (0.5)</w:t>
            </w:r>
          </w:p>
        </w:tc>
        <w:tc>
          <w:tcPr>
            <w:tcW w:w="1456" w:type="dxa"/>
            <w:tcBorders>
              <w:top w:val="single" w:sz="4" w:space="0" w:color="auto"/>
              <w:left w:val="single" w:sz="4" w:space="0" w:color="auto"/>
              <w:bottom w:val="single" w:sz="4" w:space="0" w:color="auto"/>
              <w:right w:val="single" w:sz="4" w:space="0" w:color="auto"/>
            </w:tcBorders>
            <w:vAlign w:val="center"/>
          </w:tcPr>
          <w:p w:rsidR="00E217BE" w:rsidRPr="00AE1806" w:rsidRDefault="00E217BE" w:rsidP="00F1746E">
            <w:pPr>
              <w:pStyle w:val="TableText0"/>
              <w:keepLines/>
              <w:widowControl w:val="0"/>
              <w:spacing w:before="0" w:after="0"/>
              <w:jc w:val="center"/>
            </w:pPr>
            <w:r>
              <w:t>18/2047 (0.9)</w:t>
            </w:r>
          </w:p>
        </w:tc>
        <w:tc>
          <w:tcPr>
            <w:tcW w:w="1959" w:type="dxa"/>
            <w:tcBorders>
              <w:top w:val="single" w:sz="4" w:space="0" w:color="auto"/>
              <w:left w:val="single" w:sz="4" w:space="0" w:color="auto"/>
              <w:bottom w:val="single" w:sz="4" w:space="0" w:color="auto"/>
              <w:right w:val="single" w:sz="4" w:space="0" w:color="auto"/>
            </w:tcBorders>
            <w:vAlign w:val="center"/>
          </w:tcPr>
          <w:p w:rsidR="00E217BE" w:rsidRPr="00AE1806" w:rsidRDefault="00E217BE" w:rsidP="00F1746E">
            <w:pPr>
              <w:pStyle w:val="TableText0"/>
              <w:keepLines/>
              <w:widowControl w:val="0"/>
              <w:spacing w:before="0" w:after="0"/>
              <w:jc w:val="center"/>
            </w:pPr>
            <w:r>
              <w:t xml:space="preserve">RR </w:t>
            </w:r>
            <w:r w:rsidRPr="005C272A">
              <w:t>0.56 (0.26, 1.22)</w:t>
            </w:r>
          </w:p>
        </w:tc>
        <w:tc>
          <w:tcPr>
            <w:tcW w:w="1834" w:type="dxa"/>
            <w:tcBorders>
              <w:top w:val="single" w:sz="4" w:space="0" w:color="auto"/>
              <w:left w:val="single" w:sz="4" w:space="0" w:color="auto"/>
              <w:bottom w:val="single" w:sz="4" w:space="0" w:color="auto"/>
              <w:right w:val="single" w:sz="4" w:space="0" w:color="auto"/>
            </w:tcBorders>
            <w:vAlign w:val="center"/>
          </w:tcPr>
          <w:p w:rsidR="00E217BE" w:rsidRPr="00AE1806" w:rsidRDefault="00E217BE" w:rsidP="00F1746E">
            <w:pPr>
              <w:pStyle w:val="TableText0"/>
              <w:keepLines/>
              <w:widowControl w:val="0"/>
              <w:spacing w:before="0" w:after="0"/>
              <w:jc w:val="center"/>
            </w:pPr>
            <w:r>
              <w:t>-</w:t>
            </w:r>
          </w:p>
        </w:tc>
      </w:tr>
      <w:tr w:rsidR="00E217BE" w:rsidRPr="00CF0A69" w:rsidTr="00482178">
        <w:trPr>
          <w:trHeight w:val="70"/>
        </w:trPr>
        <w:tc>
          <w:tcPr>
            <w:tcW w:w="2366" w:type="dxa"/>
            <w:tcBorders>
              <w:top w:val="single" w:sz="4" w:space="0" w:color="auto"/>
              <w:left w:val="single" w:sz="4" w:space="0" w:color="auto"/>
              <w:bottom w:val="single" w:sz="4" w:space="0" w:color="auto"/>
              <w:right w:val="single" w:sz="4" w:space="0" w:color="auto"/>
            </w:tcBorders>
            <w:vAlign w:val="center"/>
          </w:tcPr>
          <w:p w:rsidR="00E217BE" w:rsidRPr="00AE1806" w:rsidRDefault="00E217BE" w:rsidP="00F1746E">
            <w:pPr>
              <w:pStyle w:val="TableText0"/>
              <w:keepLines/>
              <w:widowControl w:val="0"/>
              <w:spacing w:before="0" w:after="0"/>
            </w:pPr>
            <w:r>
              <w:t>Cumulative incidence to 24 months</w:t>
            </w:r>
          </w:p>
        </w:tc>
        <w:tc>
          <w:tcPr>
            <w:tcW w:w="1456" w:type="dxa"/>
            <w:tcBorders>
              <w:top w:val="single" w:sz="4" w:space="0" w:color="auto"/>
              <w:left w:val="single" w:sz="4" w:space="0" w:color="auto"/>
              <w:bottom w:val="single" w:sz="4" w:space="0" w:color="auto"/>
              <w:right w:val="single" w:sz="4" w:space="0" w:color="auto"/>
            </w:tcBorders>
            <w:vAlign w:val="center"/>
          </w:tcPr>
          <w:p w:rsidR="00E217BE" w:rsidRPr="00CF0A69" w:rsidRDefault="00E217BE" w:rsidP="00F1746E">
            <w:pPr>
              <w:pStyle w:val="TableText0"/>
              <w:keepLines/>
              <w:widowControl w:val="0"/>
              <w:spacing w:before="0" w:after="0"/>
              <w:jc w:val="center"/>
            </w:pPr>
            <w:r>
              <w:t>18/2046 (0.9)</w:t>
            </w:r>
          </w:p>
        </w:tc>
        <w:tc>
          <w:tcPr>
            <w:tcW w:w="1456" w:type="dxa"/>
            <w:tcBorders>
              <w:top w:val="single" w:sz="4" w:space="0" w:color="auto"/>
              <w:left w:val="single" w:sz="4" w:space="0" w:color="auto"/>
              <w:bottom w:val="single" w:sz="4" w:space="0" w:color="auto"/>
              <w:right w:val="single" w:sz="4" w:space="0" w:color="auto"/>
            </w:tcBorders>
            <w:vAlign w:val="center"/>
          </w:tcPr>
          <w:p w:rsidR="00E217BE" w:rsidRPr="00CF0A69" w:rsidRDefault="00E217BE" w:rsidP="00F1746E">
            <w:pPr>
              <w:pStyle w:val="TableText0"/>
              <w:keepLines/>
              <w:widowControl w:val="0"/>
              <w:spacing w:before="0" w:after="0"/>
              <w:jc w:val="center"/>
            </w:pPr>
            <w:r>
              <w:t>44/2047 (2.1)</w:t>
            </w:r>
          </w:p>
        </w:tc>
        <w:tc>
          <w:tcPr>
            <w:tcW w:w="1959" w:type="dxa"/>
            <w:tcBorders>
              <w:top w:val="single" w:sz="4" w:space="0" w:color="auto"/>
              <w:left w:val="single" w:sz="4" w:space="0" w:color="auto"/>
              <w:bottom w:val="single" w:sz="4" w:space="0" w:color="auto"/>
              <w:right w:val="single" w:sz="4" w:space="0" w:color="auto"/>
            </w:tcBorders>
            <w:vAlign w:val="center"/>
          </w:tcPr>
          <w:p w:rsidR="00E217BE" w:rsidRPr="00CF0A69" w:rsidRDefault="00E217BE" w:rsidP="00F1746E">
            <w:pPr>
              <w:pStyle w:val="TableText0"/>
              <w:keepLines/>
              <w:widowControl w:val="0"/>
              <w:spacing w:before="0" w:after="0"/>
              <w:jc w:val="center"/>
            </w:pPr>
            <w:r>
              <w:t xml:space="preserve">RR </w:t>
            </w:r>
            <w:r w:rsidRPr="005C272A">
              <w:t>0.41 (0.24, 0.71)</w:t>
            </w:r>
          </w:p>
        </w:tc>
        <w:tc>
          <w:tcPr>
            <w:tcW w:w="1834" w:type="dxa"/>
            <w:tcBorders>
              <w:top w:val="single" w:sz="4" w:space="0" w:color="auto"/>
              <w:left w:val="single" w:sz="4" w:space="0" w:color="auto"/>
              <w:bottom w:val="single" w:sz="4" w:space="0" w:color="auto"/>
              <w:right w:val="single" w:sz="4" w:space="0" w:color="auto"/>
            </w:tcBorders>
            <w:vAlign w:val="center"/>
          </w:tcPr>
          <w:p w:rsidR="00E217BE" w:rsidRPr="00CF0A69" w:rsidRDefault="00E217BE" w:rsidP="00F1746E">
            <w:pPr>
              <w:pStyle w:val="TableText0"/>
              <w:keepLines/>
              <w:widowControl w:val="0"/>
              <w:spacing w:before="0" w:after="0"/>
              <w:jc w:val="center"/>
            </w:pPr>
            <w:r>
              <w:t>-</w:t>
            </w:r>
          </w:p>
        </w:tc>
      </w:tr>
      <w:tr w:rsidR="00E217BE" w:rsidRPr="00FD14CC" w:rsidTr="00482178">
        <w:trPr>
          <w:trHeight w:val="70"/>
        </w:trPr>
        <w:tc>
          <w:tcPr>
            <w:tcW w:w="9071" w:type="dxa"/>
            <w:gridSpan w:val="5"/>
            <w:tcBorders>
              <w:top w:val="single" w:sz="4" w:space="0" w:color="auto"/>
              <w:left w:val="single" w:sz="4" w:space="0" w:color="auto"/>
              <w:bottom w:val="single" w:sz="4" w:space="0" w:color="auto"/>
              <w:right w:val="single" w:sz="4" w:space="0" w:color="auto"/>
            </w:tcBorders>
            <w:vAlign w:val="center"/>
          </w:tcPr>
          <w:p w:rsidR="00E217BE" w:rsidRPr="00FD14CC" w:rsidRDefault="00E217BE" w:rsidP="00F1746E">
            <w:pPr>
              <w:pStyle w:val="TableText0"/>
              <w:keepLines/>
              <w:widowControl w:val="0"/>
              <w:spacing w:before="0" w:after="0"/>
              <w:rPr>
                <w:b/>
              </w:rPr>
            </w:pPr>
            <w:r>
              <w:rPr>
                <w:b/>
              </w:rPr>
              <w:t>Hip fracture, n/N (%)</w:t>
            </w:r>
          </w:p>
        </w:tc>
      </w:tr>
      <w:tr w:rsidR="00E217BE" w:rsidRPr="00AE1806" w:rsidTr="00482178">
        <w:trPr>
          <w:trHeight w:val="70"/>
        </w:trPr>
        <w:tc>
          <w:tcPr>
            <w:tcW w:w="2366" w:type="dxa"/>
            <w:tcBorders>
              <w:top w:val="single" w:sz="4" w:space="0" w:color="auto"/>
              <w:left w:val="single" w:sz="4" w:space="0" w:color="auto"/>
              <w:bottom w:val="single" w:sz="4" w:space="0" w:color="auto"/>
              <w:right w:val="single" w:sz="4" w:space="0" w:color="auto"/>
            </w:tcBorders>
            <w:vAlign w:val="center"/>
          </w:tcPr>
          <w:p w:rsidR="00E217BE" w:rsidRPr="00AE1806" w:rsidRDefault="00E217BE" w:rsidP="00F1746E">
            <w:pPr>
              <w:pStyle w:val="TableText0"/>
              <w:keepLines/>
              <w:widowControl w:val="0"/>
              <w:spacing w:before="0" w:after="0"/>
            </w:pPr>
            <w:r>
              <w:t xml:space="preserve">Cumulative incidence to 12 months </w:t>
            </w:r>
          </w:p>
        </w:tc>
        <w:tc>
          <w:tcPr>
            <w:tcW w:w="1456" w:type="dxa"/>
            <w:tcBorders>
              <w:top w:val="single" w:sz="4" w:space="0" w:color="auto"/>
              <w:left w:val="single" w:sz="4" w:space="0" w:color="auto"/>
              <w:bottom w:val="single" w:sz="4" w:space="0" w:color="auto"/>
              <w:right w:val="single" w:sz="4" w:space="0" w:color="auto"/>
            </w:tcBorders>
            <w:vAlign w:val="center"/>
          </w:tcPr>
          <w:p w:rsidR="00E217BE" w:rsidRPr="00AE1806" w:rsidRDefault="00E217BE" w:rsidP="00F1746E">
            <w:pPr>
              <w:pStyle w:val="TableText0"/>
              <w:keepLines/>
              <w:widowControl w:val="0"/>
              <w:spacing w:before="0" w:after="0"/>
              <w:jc w:val="center"/>
            </w:pPr>
            <w:r>
              <w:t>14/2046 (0.7)</w:t>
            </w:r>
          </w:p>
        </w:tc>
        <w:tc>
          <w:tcPr>
            <w:tcW w:w="1456" w:type="dxa"/>
            <w:tcBorders>
              <w:top w:val="single" w:sz="4" w:space="0" w:color="auto"/>
              <w:left w:val="single" w:sz="4" w:space="0" w:color="auto"/>
              <w:bottom w:val="single" w:sz="4" w:space="0" w:color="auto"/>
              <w:right w:val="single" w:sz="4" w:space="0" w:color="auto"/>
            </w:tcBorders>
            <w:vAlign w:val="center"/>
          </w:tcPr>
          <w:p w:rsidR="00E217BE" w:rsidRPr="00AE1806" w:rsidRDefault="00E217BE" w:rsidP="00F1746E">
            <w:pPr>
              <w:pStyle w:val="TableText0"/>
              <w:keepLines/>
              <w:widowControl w:val="0"/>
              <w:spacing w:before="0" w:after="0"/>
              <w:jc w:val="center"/>
            </w:pPr>
            <w:r>
              <w:t>22/2047 (1.1)</w:t>
            </w:r>
          </w:p>
        </w:tc>
        <w:tc>
          <w:tcPr>
            <w:tcW w:w="1959" w:type="dxa"/>
            <w:tcBorders>
              <w:top w:val="single" w:sz="4" w:space="0" w:color="auto"/>
              <w:left w:val="single" w:sz="4" w:space="0" w:color="auto"/>
              <w:bottom w:val="single" w:sz="4" w:space="0" w:color="auto"/>
              <w:right w:val="single" w:sz="4" w:space="0" w:color="auto"/>
            </w:tcBorders>
            <w:vAlign w:val="center"/>
          </w:tcPr>
          <w:p w:rsidR="00E217BE" w:rsidRPr="00AE1806" w:rsidRDefault="00E217BE" w:rsidP="00F1746E">
            <w:pPr>
              <w:pStyle w:val="TableText0"/>
              <w:keepLines/>
              <w:widowControl w:val="0"/>
              <w:spacing w:before="0" w:after="0"/>
              <w:jc w:val="center"/>
            </w:pPr>
            <w:r>
              <w:t xml:space="preserve">HR </w:t>
            </w:r>
            <w:r w:rsidRPr="0036711E">
              <w:t>0.64 (0.33, 1.26)</w:t>
            </w:r>
          </w:p>
        </w:tc>
        <w:tc>
          <w:tcPr>
            <w:tcW w:w="1834" w:type="dxa"/>
            <w:tcBorders>
              <w:top w:val="single" w:sz="4" w:space="0" w:color="auto"/>
              <w:left w:val="single" w:sz="4" w:space="0" w:color="auto"/>
              <w:bottom w:val="single" w:sz="4" w:space="0" w:color="auto"/>
              <w:right w:val="single" w:sz="4" w:space="0" w:color="auto"/>
            </w:tcBorders>
            <w:vAlign w:val="center"/>
          </w:tcPr>
          <w:p w:rsidR="00E217BE" w:rsidRPr="00AE1806" w:rsidRDefault="00E217BE" w:rsidP="00F1746E">
            <w:pPr>
              <w:pStyle w:val="TableText0"/>
              <w:keepLines/>
              <w:widowControl w:val="0"/>
              <w:spacing w:before="0" w:after="0"/>
              <w:jc w:val="center"/>
            </w:pPr>
            <w:r>
              <w:t>-</w:t>
            </w:r>
          </w:p>
        </w:tc>
      </w:tr>
      <w:tr w:rsidR="005D1C28" w:rsidRPr="00AE1806" w:rsidTr="00482178">
        <w:trPr>
          <w:trHeight w:val="70"/>
        </w:trPr>
        <w:tc>
          <w:tcPr>
            <w:tcW w:w="2366" w:type="dxa"/>
            <w:tcBorders>
              <w:top w:val="single" w:sz="4" w:space="0" w:color="auto"/>
              <w:left w:val="single" w:sz="4" w:space="0" w:color="auto"/>
              <w:bottom w:val="single" w:sz="4" w:space="0" w:color="auto"/>
              <w:right w:val="single" w:sz="4" w:space="0" w:color="auto"/>
            </w:tcBorders>
            <w:vAlign w:val="center"/>
          </w:tcPr>
          <w:p w:rsidR="005D1C28" w:rsidRDefault="005D1C28" w:rsidP="00F1746E">
            <w:pPr>
              <w:pStyle w:val="TableText0"/>
              <w:keepLines/>
              <w:widowControl w:val="0"/>
              <w:spacing w:before="0" w:after="0"/>
            </w:pPr>
            <w:r>
              <w:t>Cumulative incidence to 24 months</w:t>
            </w:r>
          </w:p>
        </w:tc>
        <w:tc>
          <w:tcPr>
            <w:tcW w:w="1456" w:type="dxa"/>
            <w:tcBorders>
              <w:top w:val="single" w:sz="4" w:space="0" w:color="auto"/>
              <w:left w:val="single" w:sz="4" w:space="0" w:color="auto"/>
              <w:bottom w:val="single" w:sz="4" w:space="0" w:color="auto"/>
              <w:right w:val="single" w:sz="4" w:space="0" w:color="auto"/>
            </w:tcBorders>
            <w:vAlign w:val="center"/>
          </w:tcPr>
          <w:p w:rsidR="005D1C28" w:rsidRDefault="005D1C28" w:rsidP="00F1746E">
            <w:pPr>
              <w:pStyle w:val="TableText0"/>
              <w:keepLines/>
              <w:widowControl w:val="0"/>
              <w:spacing w:before="0" w:after="0"/>
              <w:jc w:val="center"/>
            </w:pPr>
            <w:r w:rsidRPr="00350EFB">
              <w:t>31/2046 (1.5)</w:t>
            </w:r>
          </w:p>
        </w:tc>
        <w:tc>
          <w:tcPr>
            <w:tcW w:w="1456" w:type="dxa"/>
            <w:tcBorders>
              <w:top w:val="single" w:sz="4" w:space="0" w:color="auto"/>
              <w:left w:val="single" w:sz="4" w:space="0" w:color="auto"/>
              <w:bottom w:val="single" w:sz="4" w:space="0" w:color="auto"/>
              <w:right w:val="single" w:sz="4" w:space="0" w:color="auto"/>
            </w:tcBorders>
            <w:vAlign w:val="center"/>
          </w:tcPr>
          <w:p w:rsidR="005D1C28" w:rsidRDefault="005D1C28" w:rsidP="00F1746E">
            <w:pPr>
              <w:pStyle w:val="TableText0"/>
              <w:keepLines/>
              <w:widowControl w:val="0"/>
              <w:spacing w:before="0" w:after="0"/>
              <w:jc w:val="center"/>
            </w:pPr>
            <w:r w:rsidRPr="00350EFB">
              <w:t>43/2047 (2.1)</w:t>
            </w:r>
          </w:p>
        </w:tc>
        <w:tc>
          <w:tcPr>
            <w:tcW w:w="1959" w:type="dxa"/>
            <w:tcBorders>
              <w:top w:val="single" w:sz="4" w:space="0" w:color="auto"/>
              <w:left w:val="single" w:sz="4" w:space="0" w:color="auto"/>
              <w:bottom w:val="single" w:sz="4" w:space="0" w:color="auto"/>
              <w:right w:val="single" w:sz="4" w:space="0" w:color="auto"/>
            </w:tcBorders>
            <w:vAlign w:val="center"/>
          </w:tcPr>
          <w:p w:rsidR="005D1C28" w:rsidRDefault="005D1C28" w:rsidP="00F1746E">
            <w:pPr>
              <w:pStyle w:val="TableText0"/>
              <w:keepLines/>
              <w:widowControl w:val="0"/>
              <w:spacing w:before="0" w:after="0"/>
              <w:jc w:val="center"/>
            </w:pPr>
            <w:r>
              <w:t>HR 0.72 (0.46, 1.15)</w:t>
            </w:r>
          </w:p>
        </w:tc>
        <w:tc>
          <w:tcPr>
            <w:tcW w:w="1834" w:type="dxa"/>
            <w:tcBorders>
              <w:top w:val="single" w:sz="4" w:space="0" w:color="auto"/>
              <w:left w:val="single" w:sz="4" w:space="0" w:color="auto"/>
              <w:bottom w:val="single" w:sz="4" w:space="0" w:color="auto"/>
              <w:right w:val="single" w:sz="4" w:space="0" w:color="auto"/>
            </w:tcBorders>
            <w:vAlign w:val="center"/>
          </w:tcPr>
          <w:p w:rsidR="005D1C28" w:rsidRDefault="005D1C28" w:rsidP="00F1746E">
            <w:pPr>
              <w:pStyle w:val="TableText0"/>
              <w:keepLines/>
              <w:widowControl w:val="0"/>
              <w:spacing w:before="0" w:after="0"/>
              <w:jc w:val="center"/>
            </w:pPr>
            <w:r>
              <w:t>-</w:t>
            </w:r>
          </w:p>
        </w:tc>
      </w:tr>
      <w:tr w:rsidR="005D1C28" w:rsidRPr="00CF0A69" w:rsidTr="00482178">
        <w:trPr>
          <w:trHeight w:val="70"/>
        </w:trPr>
        <w:tc>
          <w:tcPr>
            <w:tcW w:w="2366" w:type="dxa"/>
            <w:tcBorders>
              <w:top w:val="single" w:sz="4" w:space="0" w:color="auto"/>
              <w:left w:val="single" w:sz="4" w:space="0" w:color="auto"/>
              <w:bottom w:val="single" w:sz="4" w:space="0" w:color="auto"/>
              <w:right w:val="single" w:sz="4" w:space="0" w:color="auto"/>
            </w:tcBorders>
            <w:vAlign w:val="center"/>
          </w:tcPr>
          <w:p w:rsidR="005D1C28" w:rsidRPr="00AE1806" w:rsidRDefault="005D1C28" w:rsidP="00F1746E">
            <w:pPr>
              <w:pStyle w:val="TableText0"/>
              <w:keepLines/>
              <w:widowControl w:val="0"/>
              <w:spacing w:before="0" w:after="0"/>
            </w:pPr>
            <w:r>
              <w:t>Cumulative incidence to primary analysis</w:t>
            </w:r>
            <w:r w:rsidR="00F627B5">
              <w:t xml:space="preserve"> (median 33 months)</w:t>
            </w:r>
          </w:p>
        </w:tc>
        <w:tc>
          <w:tcPr>
            <w:tcW w:w="1456" w:type="dxa"/>
            <w:tcBorders>
              <w:top w:val="single" w:sz="4" w:space="0" w:color="auto"/>
              <w:left w:val="single" w:sz="4" w:space="0" w:color="auto"/>
              <w:bottom w:val="single" w:sz="4" w:space="0" w:color="auto"/>
              <w:right w:val="single" w:sz="4" w:space="0" w:color="auto"/>
            </w:tcBorders>
            <w:vAlign w:val="center"/>
          </w:tcPr>
          <w:p w:rsidR="005D1C28" w:rsidRPr="00CF0A69" w:rsidRDefault="005D1C28" w:rsidP="00F1746E">
            <w:pPr>
              <w:pStyle w:val="TableText0"/>
              <w:keepLines/>
              <w:widowControl w:val="0"/>
              <w:spacing w:before="0" w:after="0"/>
              <w:jc w:val="center"/>
            </w:pPr>
            <w:r>
              <w:t>41/2046 (2.0)</w:t>
            </w:r>
          </w:p>
        </w:tc>
        <w:tc>
          <w:tcPr>
            <w:tcW w:w="1456" w:type="dxa"/>
            <w:tcBorders>
              <w:top w:val="single" w:sz="4" w:space="0" w:color="auto"/>
              <w:left w:val="single" w:sz="4" w:space="0" w:color="auto"/>
              <w:bottom w:val="single" w:sz="4" w:space="0" w:color="auto"/>
              <w:right w:val="single" w:sz="4" w:space="0" w:color="auto"/>
            </w:tcBorders>
            <w:vAlign w:val="center"/>
          </w:tcPr>
          <w:p w:rsidR="005D1C28" w:rsidRPr="00CF0A69" w:rsidRDefault="005D1C28" w:rsidP="00F1746E">
            <w:pPr>
              <w:pStyle w:val="TableText0"/>
              <w:keepLines/>
              <w:widowControl w:val="0"/>
              <w:spacing w:before="0" w:after="0"/>
              <w:jc w:val="center"/>
            </w:pPr>
            <w:r>
              <w:t>66/2047 (3.2)</w:t>
            </w:r>
          </w:p>
        </w:tc>
        <w:tc>
          <w:tcPr>
            <w:tcW w:w="1959" w:type="dxa"/>
            <w:tcBorders>
              <w:top w:val="single" w:sz="4" w:space="0" w:color="auto"/>
              <w:left w:val="single" w:sz="4" w:space="0" w:color="auto"/>
              <w:bottom w:val="single" w:sz="4" w:space="0" w:color="auto"/>
              <w:right w:val="single" w:sz="4" w:space="0" w:color="auto"/>
            </w:tcBorders>
            <w:vAlign w:val="center"/>
          </w:tcPr>
          <w:p w:rsidR="005D1C28" w:rsidRPr="00CF0A69" w:rsidRDefault="005D1C28" w:rsidP="00F1746E">
            <w:pPr>
              <w:pStyle w:val="TableText0"/>
              <w:keepLines/>
              <w:widowControl w:val="0"/>
              <w:spacing w:before="0" w:after="0"/>
              <w:jc w:val="center"/>
            </w:pPr>
            <w:r>
              <w:t xml:space="preserve">HR </w:t>
            </w:r>
            <w:r w:rsidRPr="0036711E">
              <w:t>0.62 (0.42, 0.92)</w:t>
            </w:r>
          </w:p>
        </w:tc>
        <w:tc>
          <w:tcPr>
            <w:tcW w:w="1834" w:type="dxa"/>
            <w:tcBorders>
              <w:top w:val="single" w:sz="4" w:space="0" w:color="auto"/>
              <w:left w:val="single" w:sz="4" w:space="0" w:color="auto"/>
              <w:bottom w:val="single" w:sz="4" w:space="0" w:color="auto"/>
              <w:right w:val="single" w:sz="4" w:space="0" w:color="auto"/>
            </w:tcBorders>
            <w:vAlign w:val="center"/>
          </w:tcPr>
          <w:p w:rsidR="005D1C28" w:rsidRPr="00CF0A69" w:rsidRDefault="005D1C28" w:rsidP="00F1746E">
            <w:pPr>
              <w:pStyle w:val="TableText0"/>
              <w:keepLines/>
              <w:widowControl w:val="0"/>
              <w:spacing w:before="0" w:after="0"/>
              <w:jc w:val="center"/>
            </w:pPr>
            <w:r>
              <w:t>-</w:t>
            </w:r>
          </w:p>
        </w:tc>
      </w:tr>
    </w:tbl>
    <w:p w:rsidR="00E217BE" w:rsidRDefault="00E217BE" w:rsidP="00F1746E">
      <w:pPr>
        <w:pStyle w:val="TableFooter"/>
        <w:keepNext/>
        <w:keepLines/>
      </w:pPr>
      <w:r>
        <w:t>Source: Table 2.5-5 (p 52), Table 2.5-6 (p 52), Table 2.5-7 (p 53) of the submission</w:t>
      </w:r>
    </w:p>
    <w:p w:rsidR="00E217BE" w:rsidRPr="00AD69F4" w:rsidRDefault="00E217BE" w:rsidP="00F1746E">
      <w:pPr>
        <w:pStyle w:val="TableFooter"/>
        <w:keepNext/>
        <w:keepLines/>
        <w:rPr>
          <w:color w:val="3366FF"/>
        </w:rPr>
      </w:pPr>
      <w:r>
        <w:t>Abbreviations: HR, hazard ratio; NR, not reported; RR, risk ratio</w:t>
      </w:r>
    </w:p>
    <w:p w:rsidR="00E217BE" w:rsidRDefault="00E217BE" w:rsidP="00F1746E">
      <w:pPr>
        <w:pStyle w:val="TableFooter"/>
        <w:keepNext/>
        <w:keepLines/>
      </w:pPr>
      <w:r>
        <w:t>Bolding indicates results that remained statistically significant after adjustments for multiplicity testing. Exploratory outcomes (e.g. clinical vertebral fractures and hip fractures) were not adjusted for multiplicity. Short term (12 month) fracture outcomes were not adjusted for multiplicity.</w:t>
      </w:r>
    </w:p>
    <w:p w:rsidR="00E217BE" w:rsidRDefault="00E217BE" w:rsidP="00F91DE5">
      <w:pPr>
        <w:pStyle w:val="ListParagraph"/>
        <w:spacing w:before="120"/>
      </w:pPr>
      <w:r w:rsidRPr="00E217BE">
        <w:t>Treatment with romosozumab followed by alendronate was associated with statistically significant decreases in vertebral (including clinical vertebral) fractures, clinical fractures and non-vertebral fractures (including hip) over</w:t>
      </w:r>
      <w:r w:rsidR="00F627B5">
        <w:t xml:space="preserve"> a median of 33 months</w:t>
      </w:r>
      <w:r w:rsidRPr="00E217BE">
        <w:t xml:space="preserve"> </w:t>
      </w:r>
      <w:r w:rsidRPr="00421471">
        <w:t>compared to alendronate alone.</w:t>
      </w:r>
    </w:p>
    <w:p w:rsidR="00482178" w:rsidRPr="00B455E3" w:rsidRDefault="00CA3ED7" w:rsidP="00F91DE5">
      <w:pPr>
        <w:pStyle w:val="ListParagraph"/>
        <w:spacing w:before="120"/>
      </w:pPr>
      <w:r w:rsidRPr="00CA3ED7">
        <w:t xml:space="preserve">The PBAC noted the ARCH trial </w:t>
      </w:r>
      <w:r w:rsidR="00F41ACC">
        <w:t xml:space="preserve">excluded </w:t>
      </w:r>
      <w:r w:rsidRPr="00CA3ED7">
        <w:t>patients who</w:t>
      </w:r>
      <w:r w:rsidR="00F41ACC">
        <w:t>:</w:t>
      </w:r>
      <w:r w:rsidRPr="00CA3ED7">
        <w:t xml:space="preserve"> were on bisphosphonates at baseline</w:t>
      </w:r>
      <w:r w:rsidR="00F41ACC">
        <w:t>; had more than three years of prior use of oral bisphosphonates</w:t>
      </w:r>
      <w:r w:rsidR="00A30B9E">
        <w:t xml:space="preserve">; had </w:t>
      </w:r>
      <w:r w:rsidR="00A30B9E">
        <w:lastRenderedPageBreak/>
        <w:t>received any oral bisphosphonates in the previous six months; or who had received denosumab in the previous 18 months.</w:t>
      </w:r>
      <w:r>
        <w:t xml:space="preserve"> As such, t</w:t>
      </w:r>
      <w:r w:rsidR="00482178" w:rsidRPr="00B455E3">
        <w:t xml:space="preserve">here were </w:t>
      </w:r>
      <w:r w:rsidR="008426E5">
        <w:t xml:space="preserve">limited </w:t>
      </w:r>
      <w:r w:rsidR="00482178" w:rsidRPr="00B455E3">
        <w:t>data on fracture outcomes with romosozumab compared to alendronate in patients with previous anti-resorptive treatment (which may be a treatment effect modifier).</w:t>
      </w:r>
    </w:p>
    <w:p w:rsidR="000E0CFA" w:rsidRDefault="000E0CFA" w:rsidP="00F91DE5">
      <w:pPr>
        <w:pStyle w:val="ListParagraph"/>
        <w:spacing w:before="120"/>
      </w:pPr>
      <w:r w:rsidRPr="000E0CFA">
        <w:t xml:space="preserve">There were no consistent differences in quality of </w:t>
      </w:r>
      <w:r>
        <w:t>life outcomes associated with romosozumab treatment in the clinical trials</w:t>
      </w:r>
      <w:r w:rsidRPr="000E0CFA">
        <w:t>.</w:t>
      </w:r>
      <w:r>
        <w:t xml:space="preserve"> </w:t>
      </w:r>
    </w:p>
    <w:p w:rsidR="00534E79" w:rsidRDefault="00534E79" w:rsidP="00F91DE5">
      <w:pPr>
        <w:widowControl/>
        <w:spacing w:before="120" w:after="120"/>
        <w:rPr>
          <w:u w:val="single"/>
        </w:rPr>
      </w:pPr>
      <w:r>
        <w:rPr>
          <w:u w:val="single"/>
        </w:rPr>
        <w:t>Other data</w:t>
      </w:r>
    </w:p>
    <w:p w:rsidR="00421471" w:rsidRDefault="00421471" w:rsidP="00F91DE5">
      <w:pPr>
        <w:pStyle w:val="ListParagraph"/>
        <w:spacing w:before="120"/>
      </w:pPr>
      <w:r w:rsidRPr="00421471">
        <w:t>Treatment with romosozumab was associated with statistically significant changes in total hip, femoral neck and lumbar spine BMD over one year compared to placebo</w:t>
      </w:r>
      <w:r>
        <w:t xml:space="preserve"> in male patients with osteoporosis (BRIDGE)</w:t>
      </w:r>
      <w:r w:rsidRPr="00421471">
        <w:t xml:space="preserve">. The submission noted that the BMD changes reported in </w:t>
      </w:r>
      <w:r>
        <w:t xml:space="preserve">males </w:t>
      </w:r>
      <w:r w:rsidR="00A7786A">
        <w:t xml:space="preserve">with romosozumab treatment </w:t>
      </w:r>
      <w:r w:rsidRPr="00421471">
        <w:t>were similar to those reported for postmenopausal</w:t>
      </w:r>
      <w:r>
        <w:t xml:space="preserve"> women</w:t>
      </w:r>
      <w:r w:rsidRPr="00421471">
        <w:t>.</w:t>
      </w:r>
    </w:p>
    <w:p w:rsidR="00421471" w:rsidRDefault="00421471" w:rsidP="00F91DE5">
      <w:pPr>
        <w:pStyle w:val="ListParagraph"/>
        <w:spacing w:before="120"/>
      </w:pPr>
      <w:r w:rsidRPr="00421471">
        <w:t>Treatment with the marketed formulation of romosozumab (90 mg/mL) was non-inferior compared to the trial formulation of romosozumab (70 mg/mL) and superior to placebo in terms of BMD outcomes over 6 months</w:t>
      </w:r>
      <w:r>
        <w:t xml:space="preserve"> (Study 156)</w:t>
      </w:r>
      <w:r w:rsidRPr="00421471">
        <w:t>.</w:t>
      </w:r>
    </w:p>
    <w:p w:rsidR="00421471" w:rsidRPr="00421471" w:rsidRDefault="00421471" w:rsidP="00F91DE5">
      <w:pPr>
        <w:pStyle w:val="ListParagraph"/>
        <w:spacing w:before="120"/>
        <w:rPr>
          <w:i/>
        </w:rPr>
      </w:pPr>
      <w:r>
        <w:t xml:space="preserve">Treatment with romosozumab 210 mg monthly was associated with larger improvements in BMD outcomes compared to other romosozumab dosing regimens and was superior to placebo, alendronate and teriparatide over 12 months (Study 326). </w:t>
      </w:r>
    </w:p>
    <w:p w:rsidR="00421471" w:rsidRPr="00B455E3" w:rsidRDefault="00421471" w:rsidP="00F91DE5">
      <w:pPr>
        <w:pStyle w:val="ListParagraph"/>
        <w:spacing w:before="120"/>
      </w:pPr>
      <w:r w:rsidRPr="00B455E3">
        <w:t xml:space="preserve">The results of </w:t>
      </w:r>
      <w:r w:rsidR="005D56EF" w:rsidRPr="00B455E3">
        <w:t>S</w:t>
      </w:r>
      <w:r w:rsidRPr="00B455E3">
        <w:t>tudy</w:t>
      </w:r>
      <w:r w:rsidR="005D56EF" w:rsidRPr="00B455E3">
        <w:t xml:space="preserve"> 326</w:t>
      </w:r>
      <w:r w:rsidRPr="00B455E3">
        <w:t xml:space="preserve"> also indicated that the majority of BMD gains occurred in the first year but suggested that an additional year of treatment </w:t>
      </w:r>
      <w:r w:rsidR="00560AEE" w:rsidRPr="00B455E3">
        <w:t xml:space="preserve">with romosozumab </w:t>
      </w:r>
      <w:r w:rsidRPr="00B455E3">
        <w:t>was associated with further incremental improvements in BMD outcomes. This study also demonstrated that BMD improvements associated with romosozumab are rapidly lost after discontinuation of osteoporosis treatment.</w:t>
      </w:r>
    </w:p>
    <w:p w:rsidR="00FE70C3" w:rsidRPr="00B455E3" w:rsidRDefault="00421471" w:rsidP="00F91DE5">
      <w:pPr>
        <w:pStyle w:val="ListParagraph"/>
        <w:spacing w:before="120"/>
        <w:rPr>
          <w:rStyle w:val="CommentReference"/>
          <w:rFonts w:ascii="Calibri" w:hAnsi="Calibri"/>
          <w:b w:val="0"/>
          <w:sz w:val="24"/>
          <w:szCs w:val="22"/>
        </w:rPr>
      </w:pPr>
      <w:r w:rsidRPr="00B455E3">
        <w:t xml:space="preserve">The results of </w:t>
      </w:r>
      <w:r w:rsidR="005D56EF" w:rsidRPr="00B455E3">
        <w:t>S</w:t>
      </w:r>
      <w:r w:rsidRPr="00B455E3">
        <w:t>tudy</w:t>
      </w:r>
      <w:r w:rsidR="005D56EF" w:rsidRPr="00B455E3">
        <w:t xml:space="preserve"> 326</w:t>
      </w:r>
      <w:r w:rsidRPr="00B455E3">
        <w:t xml:space="preserve"> also indicated that patients re-treated with romosozumab after previously receiving placebo had improvements in BMD outcomes that were comparable to the initial treatment. However, the study also indicated that patients re-treated with romosozumab after previously receiving anti-resorptive therapy only had limited improvements in BMD outcomes.</w:t>
      </w:r>
    </w:p>
    <w:p w:rsidR="00B60939" w:rsidRPr="00C9624D" w:rsidRDefault="00B60939" w:rsidP="00F91DE5">
      <w:pPr>
        <w:pStyle w:val="Heading2"/>
      </w:pPr>
      <w:bookmarkStart w:id="9" w:name="_Toc524518335"/>
      <w:r w:rsidRPr="00C9624D">
        <w:t>Comparative harms</w:t>
      </w:r>
      <w:bookmarkEnd w:id="9"/>
    </w:p>
    <w:p w:rsidR="000A2498" w:rsidRDefault="000A2498" w:rsidP="00F91DE5">
      <w:pPr>
        <w:pStyle w:val="ListParagraph"/>
        <w:spacing w:before="120"/>
      </w:pPr>
      <w:r>
        <w:t>There was no clear pattern in the overall incidence of adverse events between romosozumab and comparators (teriparatide, alendronate and placebo) during the initial 12 month treatment period. The incidence of adverse events over the full trial period (including primary treatment and subsequent anti-resorptive therapy) was generally similar between treatment arms.</w:t>
      </w:r>
    </w:p>
    <w:p w:rsidR="000A2498" w:rsidRDefault="000A2498" w:rsidP="00F91DE5">
      <w:pPr>
        <w:pStyle w:val="ListParagraph"/>
        <w:spacing w:before="120"/>
      </w:pPr>
      <w:r>
        <w:t xml:space="preserve">The most frequently reported adverse events in the romosozumab trials were musculoskeletal disorders (osteoarthritis, arthralgia, back pain, musculoskeletal pain, pain in the extremity), infections (nasopharyngitis, upper respiratory tract infection), injury (falls), vascular disorders (hypertension), nervous system disorders (headache) </w:t>
      </w:r>
      <w:r>
        <w:lastRenderedPageBreak/>
        <w:t>and metabolism disorders (hypercalcaemia; higher incidence with teriparatide). Individual serious adverse events and adverse events leading to discontinuation were generally low in all treatment arms.</w:t>
      </w:r>
    </w:p>
    <w:p w:rsidR="009B18FB" w:rsidRPr="00D772F0" w:rsidRDefault="000A2498" w:rsidP="00F91DE5">
      <w:pPr>
        <w:pStyle w:val="ListParagraph"/>
        <w:spacing w:before="120"/>
      </w:pPr>
      <w:r>
        <w:t xml:space="preserve">In regards to adverse events of special interest, treatment with romosozumab was associated with an increased risk of injection site reactions and serious cardiovascular events (primarily cardiac ischaemic and cerebrovascular events </w:t>
      </w:r>
      <w:r w:rsidRPr="00D772F0">
        <w:t>summarised in the table below)</w:t>
      </w:r>
      <w:r w:rsidR="008B0C43" w:rsidRPr="00D772F0">
        <w:t>.</w:t>
      </w:r>
    </w:p>
    <w:p w:rsidR="00F45850" w:rsidRPr="00D772F0" w:rsidRDefault="00F45850" w:rsidP="00F91DE5">
      <w:pPr>
        <w:pStyle w:val="ListParagraph"/>
        <w:spacing w:before="120"/>
      </w:pPr>
      <w:r w:rsidRPr="00D772F0">
        <w:t>The ESC noted that, in the ARCH trial (</w:t>
      </w:r>
      <w:r w:rsidR="00D96527" w:rsidRPr="00D772F0">
        <w:t>romosozumab versus alendronate for 12 months, followed by alendronate in both arms)</w:t>
      </w:r>
      <w:r w:rsidRPr="00D772F0">
        <w:t xml:space="preserve">, the odds ratio for cardiac ischaemic events was 2.65 (95% CI: 1.03, 6.77) over the one year romosozumab treatment period, and </w:t>
      </w:r>
      <w:r w:rsidR="00DB08E4" w:rsidRPr="00D772F0">
        <w:t xml:space="preserve">the </w:t>
      </w:r>
      <w:r w:rsidRPr="00D772F0">
        <w:t xml:space="preserve">odds ratio for cerebrovascular events </w:t>
      </w:r>
      <w:r w:rsidR="00DB08E4" w:rsidRPr="00D772F0">
        <w:t>was</w:t>
      </w:r>
      <w:r w:rsidRPr="00D772F0">
        <w:t xml:space="preserve"> 1.66 (95%</w:t>
      </w:r>
      <w:r w:rsidR="0013690C">
        <w:t xml:space="preserve"> </w:t>
      </w:r>
      <w:r w:rsidRPr="00D772F0">
        <w:t xml:space="preserve">CI: 1.03, 2.69) over the full trial period (median follow-up of 33 months).  </w:t>
      </w:r>
    </w:p>
    <w:p w:rsidR="009B18FB" w:rsidRPr="00D772F0" w:rsidRDefault="009B18FB" w:rsidP="00F91DE5">
      <w:pPr>
        <w:pStyle w:val="ListParagraph"/>
        <w:spacing w:before="120"/>
      </w:pPr>
      <w:r w:rsidRPr="00D772F0">
        <w:t>The STRUCTURE trial (romosozumab versus teriparatide) did not report an analysis of adjudicated serious cardiovascular adverse events.</w:t>
      </w:r>
      <w:r w:rsidR="0011260A" w:rsidRPr="00D772F0">
        <w:t xml:space="preserve"> The Clinical Study Report (Table 14-6.2.2) shows that the incidence of treatment-emergence serious cardiac adverse events was 0.9% (2/214) in the teriparatide arm, versus 2.3% (5/218) in the romosozumab arm.</w:t>
      </w:r>
    </w:p>
    <w:p w:rsidR="005A130B" w:rsidRDefault="005A130B" w:rsidP="00F91DE5">
      <w:pPr>
        <w:pStyle w:val="ListParagraph"/>
        <w:spacing w:before="120"/>
      </w:pPr>
      <w:r>
        <w:t>The submission also provided an overall summary from a sponsor-conducted report on the cardiovascular safety of romosozumab. The report aimed to further investigate the imbalance in serious cardiovascular events observed in the ARCH and BRIDGE clinical trials but was not observed in the FRAME trial.</w:t>
      </w:r>
    </w:p>
    <w:p w:rsidR="008630E7" w:rsidRDefault="005A130B" w:rsidP="00F91DE5">
      <w:pPr>
        <w:pStyle w:val="ListParagraph"/>
        <w:spacing w:before="120"/>
      </w:pPr>
      <w:r>
        <w:t>This report noted that a blinded re-adjudication of cardiovascular events was consistent with the original analysis reported in the ARCH, BRIDGE and FRAME trials.  The report presented extensive re-analysis of cardiovascular event data (including meta-analyses, subgroup analyses and use of different composite outcomes) which did not identify a population at consistently increased risk with romosozumab treatment. However, the report did note that the incidence of cardiovascular events in the alendronate arm of the ARCH trial was unexpectedly low in the first year and that the relative difference between treatments reduced over time. Finally, the report also explored plausible biological mechanisms for the increase in cardiovascular events but stated that no specific mechanism could be identified based on genetic studies, pre-clinical models or epidemiology data. The report concluded that a causal relationship between romosozumab and serious cardiovascular events could not be confirmed or refuted based on the available data.</w:t>
      </w:r>
      <w:r w:rsidR="008630E7">
        <w:t xml:space="preserve"> </w:t>
      </w:r>
    </w:p>
    <w:p w:rsidR="005A130B" w:rsidRDefault="00EE6CF1" w:rsidP="00F91DE5">
      <w:pPr>
        <w:pStyle w:val="ListParagraph"/>
        <w:spacing w:before="120"/>
      </w:pPr>
      <w:r w:rsidRPr="00B109C7">
        <w:t xml:space="preserve">The ACM was of the view that </w:t>
      </w:r>
      <w:r w:rsidR="00DE4D50">
        <w:rPr>
          <w:noProof/>
          <w:color w:val="000000"/>
          <w:highlight w:val="black"/>
        </w:rPr>
        <w:t>'''''' ''''''''''''''''''''''''''' ''''''''''' '''''''''''''''' ''''''''''''''' ''''''''''''''''''''''''' ''''''' ''''''''''''''' '''''''' ''' '''''''''''''''''' '''' ''''''''''''''''''''' ''''''''''' ''''''''''''''' ''''''''''''''''' ''''' '''''''''''''''''' '''''''''''''''''''''''''''' '''''''''''' '''''''''''''''''''' '''''''''' '''''''''''''''</w:t>
      </w:r>
      <w:r>
        <w:t>.</w:t>
      </w:r>
    </w:p>
    <w:p w:rsidR="005908ED" w:rsidRPr="00C9624D" w:rsidRDefault="005908ED" w:rsidP="00F91DE5">
      <w:pPr>
        <w:pStyle w:val="Heading2"/>
        <w:keepNext/>
        <w:keepLines/>
      </w:pPr>
      <w:bookmarkStart w:id="10" w:name="_Toc524518336"/>
      <w:r w:rsidRPr="00C9624D">
        <w:lastRenderedPageBreak/>
        <w:t>Benefits/harms</w:t>
      </w:r>
      <w:bookmarkEnd w:id="10"/>
    </w:p>
    <w:p w:rsidR="005908ED" w:rsidRPr="00014066" w:rsidRDefault="005908ED" w:rsidP="00F91DE5">
      <w:pPr>
        <w:pStyle w:val="ListParagraph"/>
        <w:keepNext/>
        <w:keepLines/>
        <w:spacing w:before="120"/>
      </w:pPr>
      <w:r>
        <w:t>A benefits/harms summary was not presented for romosozumab versus teriparatide due to the claim of non-inferiority.</w:t>
      </w:r>
    </w:p>
    <w:p w:rsidR="005908ED" w:rsidRDefault="005908ED" w:rsidP="00F91DE5">
      <w:pPr>
        <w:pStyle w:val="ListParagraph"/>
        <w:spacing w:before="120"/>
      </w:pPr>
      <w:r>
        <w:t xml:space="preserve">On the basis of direct evidence presented in the submission (ARCH trial, as outlined in Tables 6 and 7), for every 1000 patients treated with romosozumab in comparison to alendronate </w:t>
      </w:r>
      <w:r w:rsidRPr="003D024A">
        <w:rPr>
          <w:u w:val="single"/>
        </w:rPr>
        <w:t>over one year</w:t>
      </w:r>
      <w:r>
        <w:t xml:space="preserve"> (primary treatment):</w:t>
      </w:r>
    </w:p>
    <w:p w:rsidR="005908ED" w:rsidRDefault="005908ED" w:rsidP="00F91DE5">
      <w:pPr>
        <w:pStyle w:val="ListParagraph"/>
        <w:numPr>
          <w:ilvl w:val="0"/>
          <w:numId w:val="4"/>
        </w:numPr>
        <w:spacing w:before="120"/>
      </w:pPr>
      <w:r>
        <w:t>Approximately 15 fewer patients would have a clinical fracture;</w:t>
      </w:r>
    </w:p>
    <w:p w:rsidR="005908ED" w:rsidRDefault="005908ED" w:rsidP="00F91DE5">
      <w:pPr>
        <w:pStyle w:val="ListParagraph"/>
        <w:numPr>
          <w:ilvl w:val="0"/>
          <w:numId w:val="4"/>
        </w:numPr>
        <w:spacing w:before="120"/>
      </w:pPr>
      <w:r>
        <w:t>Approximately 6 additional patients would have a serious cardiovascular event.</w:t>
      </w:r>
    </w:p>
    <w:p w:rsidR="005908ED" w:rsidRDefault="005908ED" w:rsidP="00F91DE5">
      <w:pPr>
        <w:pStyle w:val="ListParagraph"/>
        <w:spacing w:before="120"/>
      </w:pPr>
      <w:r>
        <w:t xml:space="preserve">On the basis of direct evidence presented in the submission (ARCH trial, as outlined in Tables 6 and 7), for every 1000 patients treated with romosozumab followed by alendronate in comparison to alendronate alone </w:t>
      </w:r>
      <w:r w:rsidRPr="003D024A">
        <w:rPr>
          <w:u w:val="single"/>
        </w:rPr>
        <w:t>over a median of 33 months</w:t>
      </w:r>
      <w:r>
        <w:t xml:space="preserve"> (primary and subsequent treatment):</w:t>
      </w:r>
    </w:p>
    <w:p w:rsidR="005908ED" w:rsidRDefault="005908ED" w:rsidP="00F91DE5">
      <w:pPr>
        <w:pStyle w:val="ListParagraph"/>
        <w:numPr>
          <w:ilvl w:val="0"/>
          <w:numId w:val="4"/>
        </w:numPr>
        <w:spacing w:before="120"/>
      </w:pPr>
      <w:r>
        <w:t>Approximately 33 fewer patients would have a clinical fracture;</w:t>
      </w:r>
    </w:p>
    <w:p w:rsidR="005908ED" w:rsidRPr="00016AD6" w:rsidRDefault="005908ED" w:rsidP="00F91DE5">
      <w:pPr>
        <w:pStyle w:val="ListParagraph"/>
        <w:numPr>
          <w:ilvl w:val="0"/>
          <w:numId w:val="4"/>
        </w:numPr>
        <w:spacing w:before="120"/>
        <w:rPr>
          <w:rStyle w:val="CommentReference"/>
          <w:rFonts w:ascii="Calibri" w:hAnsi="Calibri"/>
          <w:b w:val="0"/>
          <w:sz w:val="24"/>
          <w:szCs w:val="22"/>
        </w:rPr>
      </w:pPr>
      <w:r>
        <w:t>Approximately 4 additional patients would have a serious cardiovascular event.</w:t>
      </w:r>
    </w:p>
    <w:p w:rsidR="005908ED" w:rsidRPr="00C9624D" w:rsidRDefault="005908ED" w:rsidP="00F91DE5">
      <w:pPr>
        <w:pStyle w:val="Heading2"/>
      </w:pPr>
      <w:bookmarkStart w:id="11" w:name="_Toc524518337"/>
      <w:r w:rsidRPr="00C9624D">
        <w:t>Clinical claim</w:t>
      </w:r>
      <w:bookmarkEnd w:id="11"/>
    </w:p>
    <w:p w:rsidR="005908ED" w:rsidRPr="00B455E3" w:rsidRDefault="005908ED" w:rsidP="00F91DE5">
      <w:pPr>
        <w:pStyle w:val="ListParagraph"/>
        <w:spacing w:before="120"/>
      </w:pPr>
      <w:r w:rsidRPr="00B455E3">
        <w:t>The submission described romosozumab as similar in terms of efficacy and safety compared to teriparatide. Th</w:t>
      </w:r>
      <w:r>
        <w:t xml:space="preserve">e evaluation </w:t>
      </w:r>
      <w:r w:rsidRPr="00014C49">
        <w:t>and the ESC</w:t>
      </w:r>
      <w:r>
        <w:rPr>
          <w:i/>
        </w:rPr>
        <w:t xml:space="preserve"> </w:t>
      </w:r>
      <w:r>
        <w:t>considered that th</w:t>
      </w:r>
      <w:r w:rsidRPr="00B455E3">
        <w:t xml:space="preserve">is claim was not adequately supported given the unknown clinical importance of BMD outcomes, the limited exchangeability, applicability and robustness of the indirect analysis of fracture outcomes, the lack of comparative data in patients with prior anti-resorptive therapy and lack of comparative data </w:t>
      </w:r>
      <w:r w:rsidRPr="00D772F0">
        <w:t>on residual effectiveness with and without subsequent anti-resorptive therapy. The ESC further considered that the claim of similar safety compared to teriparatide was not adequately supported given the higher rates of cardiovascular adverse events reported in the STRUCTURE trial in the context of the broader concerns about cardiovascular safety with romosozumab reported in other trials (discussed further below</w:t>
      </w:r>
      <w:r>
        <w:rPr>
          <w:i/>
        </w:rPr>
        <w:t>).</w:t>
      </w:r>
    </w:p>
    <w:p w:rsidR="005908ED" w:rsidRDefault="005908ED" w:rsidP="005908ED">
      <w:pPr>
        <w:pStyle w:val="PBACHeading1"/>
        <w:numPr>
          <w:ilvl w:val="0"/>
          <w:numId w:val="0"/>
        </w:numPr>
        <w:ind w:left="720" w:hanging="720"/>
        <w:sectPr w:rsidR="005908ED" w:rsidSect="0084407B">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pPr>
    </w:p>
    <w:p w:rsidR="000A2498" w:rsidRPr="00F851CE" w:rsidRDefault="00F7376D" w:rsidP="008B0C43">
      <w:pPr>
        <w:pStyle w:val="TableHeading0"/>
        <w:spacing w:after="0"/>
      </w:pPr>
      <w:r>
        <w:lastRenderedPageBreak/>
        <w:t>Table 7</w:t>
      </w:r>
      <w:r w:rsidR="000A2498">
        <w:t>: S</w:t>
      </w:r>
      <w:r w:rsidR="000A2498" w:rsidRPr="00071A3E">
        <w:t xml:space="preserve">ummary of </w:t>
      </w:r>
      <w:r w:rsidR="000A2498">
        <w:t>serious cardiovascular events reported in the key romosozumab trials</w:t>
      </w:r>
    </w:p>
    <w:tbl>
      <w:tblPr>
        <w:tblW w:w="498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7: Summary of serious cardiovascular events reported in the key romosozumab trials"/>
      </w:tblPr>
      <w:tblGrid>
        <w:gridCol w:w="3032"/>
        <w:gridCol w:w="1552"/>
        <w:gridCol w:w="1556"/>
        <w:gridCol w:w="1556"/>
        <w:gridCol w:w="1556"/>
        <w:gridCol w:w="1556"/>
        <w:gridCol w:w="1556"/>
        <w:gridCol w:w="1550"/>
      </w:tblGrid>
      <w:tr w:rsidR="000A2498" w:rsidTr="00504D2D">
        <w:trPr>
          <w:trHeight w:val="50"/>
        </w:trPr>
        <w:tc>
          <w:tcPr>
            <w:tcW w:w="1090" w:type="pct"/>
            <w:vMerge w:val="restart"/>
            <w:vAlign w:val="center"/>
          </w:tcPr>
          <w:p w:rsidR="000A2498" w:rsidRDefault="000A2498" w:rsidP="00504D2D">
            <w:pPr>
              <w:pStyle w:val="COMtbl-HEADLeftAligned"/>
            </w:pPr>
          </w:p>
        </w:tc>
        <w:tc>
          <w:tcPr>
            <w:tcW w:w="3910" w:type="pct"/>
            <w:gridSpan w:val="7"/>
            <w:vAlign w:val="center"/>
          </w:tcPr>
          <w:p w:rsidR="000A2498" w:rsidRDefault="000A2498" w:rsidP="00504D2D">
            <w:pPr>
              <w:pStyle w:val="COMtbl-HEADCentred"/>
            </w:pPr>
            <w:r>
              <w:t>Patients with serious events, n/N (%)</w:t>
            </w:r>
          </w:p>
        </w:tc>
      </w:tr>
      <w:tr w:rsidR="000A2498" w:rsidTr="00504D2D">
        <w:trPr>
          <w:trHeight w:val="337"/>
        </w:trPr>
        <w:tc>
          <w:tcPr>
            <w:tcW w:w="1090" w:type="pct"/>
            <w:vMerge/>
            <w:vAlign w:val="center"/>
          </w:tcPr>
          <w:p w:rsidR="000A2498" w:rsidRDefault="000A2498" w:rsidP="00504D2D">
            <w:pPr>
              <w:pStyle w:val="COMtbl-HEADLeftAligned"/>
            </w:pPr>
          </w:p>
        </w:tc>
        <w:tc>
          <w:tcPr>
            <w:tcW w:w="558" w:type="pct"/>
            <w:vAlign w:val="center"/>
          </w:tcPr>
          <w:p w:rsidR="000A2498" w:rsidRDefault="000A2498" w:rsidP="00504D2D">
            <w:pPr>
              <w:pStyle w:val="COMtbl-HEADCentred"/>
            </w:pPr>
            <w:r>
              <w:t>Any cardiovascular event</w:t>
            </w:r>
          </w:p>
        </w:tc>
        <w:tc>
          <w:tcPr>
            <w:tcW w:w="559" w:type="pct"/>
            <w:vAlign w:val="center"/>
          </w:tcPr>
          <w:p w:rsidR="000A2498" w:rsidRDefault="000A2498" w:rsidP="00504D2D">
            <w:pPr>
              <w:pStyle w:val="COMtbl-HEADCentred"/>
            </w:pPr>
            <w:r>
              <w:t>Cardiac ischaemic event</w:t>
            </w:r>
          </w:p>
        </w:tc>
        <w:tc>
          <w:tcPr>
            <w:tcW w:w="559" w:type="pct"/>
            <w:vAlign w:val="center"/>
          </w:tcPr>
          <w:p w:rsidR="000A2498" w:rsidRDefault="000A2498" w:rsidP="00504D2D">
            <w:pPr>
              <w:pStyle w:val="COMtbl-HEADCentred"/>
            </w:pPr>
            <w:r>
              <w:t>Heart failure</w:t>
            </w:r>
          </w:p>
        </w:tc>
        <w:tc>
          <w:tcPr>
            <w:tcW w:w="559" w:type="pct"/>
            <w:vAlign w:val="center"/>
          </w:tcPr>
          <w:p w:rsidR="000A2498" w:rsidRDefault="000A2498" w:rsidP="00504D2D">
            <w:pPr>
              <w:pStyle w:val="COMtbl-HEADCentred"/>
            </w:pPr>
            <w:r w:rsidRPr="00FD26AC">
              <w:t>Non-coronary revascularisation</w:t>
            </w:r>
          </w:p>
        </w:tc>
        <w:tc>
          <w:tcPr>
            <w:tcW w:w="559" w:type="pct"/>
            <w:vAlign w:val="center"/>
          </w:tcPr>
          <w:p w:rsidR="000A2498" w:rsidRDefault="000A2498" w:rsidP="00504D2D">
            <w:pPr>
              <w:pStyle w:val="COMtbl-HEADCentred"/>
            </w:pPr>
            <w:r w:rsidRPr="00FD26AC">
              <w:t>Cerebrovascular event</w:t>
            </w:r>
          </w:p>
        </w:tc>
        <w:tc>
          <w:tcPr>
            <w:tcW w:w="559" w:type="pct"/>
            <w:vAlign w:val="center"/>
          </w:tcPr>
          <w:p w:rsidR="000A2498" w:rsidRPr="009C778F" w:rsidRDefault="000A2498" w:rsidP="00504D2D">
            <w:pPr>
              <w:pStyle w:val="COMtbl-HEADCentred"/>
            </w:pPr>
            <w:r w:rsidRPr="00FD26AC">
              <w:t>Peripheral vascular ischaemic event not requiring revascularisation</w:t>
            </w:r>
          </w:p>
        </w:tc>
        <w:tc>
          <w:tcPr>
            <w:tcW w:w="557" w:type="pct"/>
            <w:vAlign w:val="center"/>
          </w:tcPr>
          <w:p w:rsidR="000A2498" w:rsidRPr="009C778F" w:rsidRDefault="000A2498" w:rsidP="00504D2D">
            <w:pPr>
              <w:pStyle w:val="COMtbl-HEADCentred"/>
            </w:pPr>
            <w:r>
              <w:t>Cardiovascular death</w:t>
            </w:r>
          </w:p>
        </w:tc>
      </w:tr>
      <w:tr w:rsidR="000A2498" w:rsidTr="00504D2D">
        <w:trPr>
          <w:trHeight w:val="63"/>
        </w:trPr>
        <w:tc>
          <w:tcPr>
            <w:tcW w:w="5000" w:type="pct"/>
            <w:gridSpan w:val="8"/>
            <w:vAlign w:val="center"/>
          </w:tcPr>
          <w:p w:rsidR="000A2498" w:rsidRDefault="000A2498" w:rsidP="00504D2D">
            <w:pPr>
              <w:pStyle w:val="COMtbl-HEADCentred"/>
              <w:jc w:val="left"/>
            </w:pPr>
            <w:r>
              <w:t>Initial treatment period</w:t>
            </w:r>
          </w:p>
        </w:tc>
      </w:tr>
      <w:tr w:rsidR="000A2498" w:rsidTr="00504D2D">
        <w:tc>
          <w:tcPr>
            <w:tcW w:w="1090" w:type="pct"/>
            <w:vAlign w:val="center"/>
          </w:tcPr>
          <w:p w:rsidR="000A2498" w:rsidRDefault="000A2498" w:rsidP="00504D2D">
            <w:pPr>
              <w:pStyle w:val="COMtbl-textLeftAligned"/>
            </w:pPr>
            <w:r>
              <w:t>ARCH</w:t>
            </w:r>
          </w:p>
          <w:p w:rsidR="000A2498" w:rsidRDefault="000A2498" w:rsidP="00504D2D">
            <w:pPr>
              <w:pStyle w:val="COMtbl-textLeftAligned"/>
            </w:pPr>
            <w:r>
              <w:t>- Romosozumab (1 year)</w:t>
            </w:r>
          </w:p>
          <w:p w:rsidR="000A2498" w:rsidRDefault="000A2498" w:rsidP="00504D2D">
            <w:pPr>
              <w:pStyle w:val="COMtbl-textLeftAligned"/>
            </w:pPr>
            <w:r>
              <w:t>- Alendronate (1 year)</w:t>
            </w:r>
          </w:p>
          <w:p w:rsidR="000A2498" w:rsidRDefault="000A2498" w:rsidP="00504D2D">
            <w:pPr>
              <w:pStyle w:val="COMtbl-textLeftAligned"/>
            </w:pPr>
            <w:r>
              <w:t xml:space="preserve">- Treatment difference; OR (95% CI) </w:t>
            </w:r>
          </w:p>
        </w:tc>
        <w:tc>
          <w:tcPr>
            <w:tcW w:w="558" w:type="pct"/>
            <w:vAlign w:val="center"/>
          </w:tcPr>
          <w:p w:rsidR="000A2498" w:rsidRDefault="000A2498" w:rsidP="00504D2D">
            <w:pPr>
              <w:pStyle w:val="COMtbl-textCentred"/>
            </w:pPr>
          </w:p>
          <w:p w:rsidR="000A2498" w:rsidRDefault="000A2498" w:rsidP="00504D2D">
            <w:pPr>
              <w:pStyle w:val="COMtbl-textCentred"/>
            </w:pPr>
            <w:r>
              <w:t>50/2040 (2.5)</w:t>
            </w:r>
          </w:p>
          <w:p w:rsidR="000A2498" w:rsidRDefault="000A2498" w:rsidP="00504D2D">
            <w:pPr>
              <w:pStyle w:val="COMtbl-textCentred"/>
            </w:pPr>
            <w:r>
              <w:t>38/2014 (1.9)</w:t>
            </w:r>
          </w:p>
          <w:p w:rsidR="000A2498" w:rsidRPr="004A54DB" w:rsidRDefault="000A2498" w:rsidP="00504D2D">
            <w:pPr>
              <w:pStyle w:val="COMtbl-textCentred"/>
            </w:pPr>
            <w:r>
              <w:t>1.31 (0.85, 2.00)</w:t>
            </w:r>
          </w:p>
        </w:tc>
        <w:tc>
          <w:tcPr>
            <w:tcW w:w="559" w:type="pct"/>
            <w:vAlign w:val="center"/>
          </w:tcPr>
          <w:p w:rsidR="000A2498" w:rsidRDefault="000A2498" w:rsidP="00504D2D">
            <w:pPr>
              <w:pStyle w:val="COMtbl-textCentred"/>
            </w:pPr>
          </w:p>
          <w:p w:rsidR="000A2498" w:rsidRDefault="000A2498" w:rsidP="00504D2D">
            <w:pPr>
              <w:pStyle w:val="COMtbl-textCentred"/>
            </w:pPr>
            <w:r>
              <w:t>16/2040 (0.8)</w:t>
            </w:r>
          </w:p>
          <w:p w:rsidR="000A2498" w:rsidRDefault="000A2498" w:rsidP="00504D2D">
            <w:pPr>
              <w:pStyle w:val="COMtbl-textCentred"/>
            </w:pPr>
            <w:r>
              <w:t>6/2014 (0.3)</w:t>
            </w:r>
          </w:p>
          <w:p w:rsidR="000A2498" w:rsidRPr="004A54DB" w:rsidRDefault="000A2498" w:rsidP="00504D2D">
            <w:pPr>
              <w:pStyle w:val="COMtbl-textCentred"/>
            </w:pPr>
            <w:r>
              <w:t>2.65 (1.03, 6.77)</w:t>
            </w:r>
          </w:p>
        </w:tc>
        <w:tc>
          <w:tcPr>
            <w:tcW w:w="559" w:type="pct"/>
            <w:vAlign w:val="center"/>
          </w:tcPr>
          <w:p w:rsidR="000A2498" w:rsidRDefault="000A2498" w:rsidP="00504D2D">
            <w:pPr>
              <w:pStyle w:val="COMtbl-textCentred"/>
            </w:pPr>
          </w:p>
          <w:p w:rsidR="000A2498" w:rsidRDefault="000A2498" w:rsidP="00504D2D">
            <w:pPr>
              <w:pStyle w:val="COMtbl-textCentred"/>
            </w:pPr>
            <w:r>
              <w:t>4/2040 (0.2)</w:t>
            </w:r>
          </w:p>
          <w:p w:rsidR="000A2498" w:rsidRDefault="000A2498" w:rsidP="00504D2D">
            <w:pPr>
              <w:pStyle w:val="COMtbl-textCentred"/>
            </w:pPr>
            <w:r>
              <w:t>8/2014 (0.4)</w:t>
            </w:r>
          </w:p>
          <w:p w:rsidR="000A2498" w:rsidRPr="001D492A" w:rsidRDefault="000A2498" w:rsidP="00504D2D">
            <w:pPr>
              <w:pStyle w:val="COMtbl-textCentred"/>
            </w:pPr>
            <w:r>
              <w:t>0.49 (0.15, 1.64)</w:t>
            </w:r>
          </w:p>
        </w:tc>
        <w:tc>
          <w:tcPr>
            <w:tcW w:w="559" w:type="pct"/>
            <w:vAlign w:val="center"/>
          </w:tcPr>
          <w:p w:rsidR="000A2498" w:rsidRDefault="000A2498" w:rsidP="00504D2D">
            <w:pPr>
              <w:pStyle w:val="COMtbl-textCentred"/>
            </w:pPr>
          </w:p>
          <w:p w:rsidR="000A2498" w:rsidRDefault="000A2498" w:rsidP="00504D2D">
            <w:pPr>
              <w:pStyle w:val="COMtbl-textCentred"/>
            </w:pPr>
            <w:r>
              <w:t>3/2040 (0.1)</w:t>
            </w:r>
          </w:p>
          <w:p w:rsidR="000A2498" w:rsidRDefault="000A2498" w:rsidP="00504D2D">
            <w:pPr>
              <w:pStyle w:val="COMtbl-textCentred"/>
            </w:pPr>
            <w:r>
              <w:t>5/2014 (0.2)</w:t>
            </w:r>
          </w:p>
          <w:p w:rsidR="000A2498" w:rsidRPr="001D492A" w:rsidRDefault="000A2498" w:rsidP="00504D2D">
            <w:pPr>
              <w:pStyle w:val="COMtbl-textCentred"/>
            </w:pPr>
            <w:r>
              <w:t>0.59 (0.14, 2.48)</w:t>
            </w:r>
          </w:p>
        </w:tc>
        <w:tc>
          <w:tcPr>
            <w:tcW w:w="559" w:type="pct"/>
            <w:vAlign w:val="center"/>
          </w:tcPr>
          <w:p w:rsidR="000A2498" w:rsidRDefault="000A2498" w:rsidP="00504D2D">
            <w:pPr>
              <w:pStyle w:val="COMtbl-textCentred"/>
            </w:pPr>
          </w:p>
          <w:p w:rsidR="000A2498" w:rsidRDefault="000A2498" w:rsidP="00504D2D">
            <w:pPr>
              <w:pStyle w:val="COMtbl-textCentred"/>
            </w:pPr>
            <w:r>
              <w:t>16/2040 (0.8)</w:t>
            </w:r>
          </w:p>
          <w:p w:rsidR="000A2498" w:rsidRDefault="000A2498" w:rsidP="00504D2D">
            <w:pPr>
              <w:pStyle w:val="COMtbl-textCentred"/>
            </w:pPr>
            <w:r>
              <w:t>7/2014 (0.3)</w:t>
            </w:r>
          </w:p>
          <w:p w:rsidR="000A2498" w:rsidRPr="00D45DD2" w:rsidRDefault="000A2498" w:rsidP="00504D2D">
            <w:pPr>
              <w:pStyle w:val="COMtbl-textCentred"/>
            </w:pPr>
            <w:r>
              <w:t>2.27 (0.93, 5.52)</w:t>
            </w:r>
          </w:p>
        </w:tc>
        <w:tc>
          <w:tcPr>
            <w:tcW w:w="559" w:type="pct"/>
            <w:vAlign w:val="center"/>
          </w:tcPr>
          <w:p w:rsidR="000A2498" w:rsidRDefault="000A2498" w:rsidP="00504D2D">
            <w:pPr>
              <w:pStyle w:val="COMtbl-textCentred"/>
            </w:pPr>
          </w:p>
          <w:p w:rsidR="000A2498" w:rsidRDefault="000A2498" w:rsidP="00504D2D">
            <w:pPr>
              <w:pStyle w:val="COMtbl-textCentred"/>
            </w:pPr>
            <w:r>
              <w:t xml:space="preserve">0/2040 (0.0) </w:t>
            </w:r>
          </w:p>
          <w:p w:rsidR="000A2498" w:rsidRDefault="000A2498" w:rsidP="00504D2D">
            <w:pPr>
              <w:pStyle w:val="COMtbl-textCentred"/>
            </w:pPr>
            <w:r>
              <w:t>2/2014 (&lt;0.1)</w:t>
            </w:r>
          </w:p>
          <w:p w:rsidR="000A2498" w:rsidRDefault="000A2498" w:rsidP="00504D2D">
            <w:pPr>
              <w:pStyle w:val="COMtbl-textCentred"/>
            </w:pPr>
            <w:r>
              <w:t>NE</w:t>
            </w:r>
          </w:p>
        </w:tc>
        <w:tc>
          <w:tcPr>
            <w:tcW w:w="557" w:type="pct"/>
            <w:vAlign w:val="center"/>
          </w:tcPr>
          <w:p w:rsidR="000A2498" w:rsidRDefault="000A2498" w:rsidP="00504D2D">
            <w:pPr>
              <w:pStyle w:val="COMtbl-textCentred"/>
            </w:pPr>
          </w:p>
          <w:p w:rsidR="000A2498" w:rsidRDefault="000A2498" w:rsidP="00504D2D">
            <w:pPr>
              <w:pStyle w:val="COMtbl-textCentred"/>
            </w:pPr>
            <w:r>
              <w:t>17/2040 (0.8)</w:t>
            </w:r>
          </w:p>
          <w:p w:rsidR="000A2498" w:rsidRDefault="000A2498" w:rsidP="00504D2D">
            <w:pPr>
              <w:pStyle w:val="COMtbl-textCentred"/>
            </w:pPr>
            <w:r>
              <w:t>12/2014 (0.6)</w:t>
            </w:r>
          </w:p>
          <w:p w:rsidR="000A2498" w:rsidRPr="00D45DD2" w:rsidRDefault="000A2498" w:rsidP="00504D2D">
            <w:pPr>
              <w:pStyle w:val="COMtbl-textCentred"/>
            </w:pPr>
            <w:r>
              <w:t>1.40 (0.67, 2.94)</w:t>
            </w:r>
          </w:p>
        </w:tc>
      </w:tr>
      <w:tr w:rsidR="000A2498" w:rsidTr="00504D2D">
        <w:tc>
          <w:tcPr>
            <w:tcW w:w="1090" w:type="pct"/>
            <w:vAlign w:val="center"/>
          </w:tcPr>
          <w:p w:rsidR="000A2498" w:rsidRPr="00DB195F" w:rsidRDefault="000A2498" w:rsidP="00504D2D">
            <w:pPr>
              <w:pStyle w:val="COMtbl-textLeftAligned"/>
            </w:pPr>
            <w:r>
              <w:t>BRIDGE</w:t>
            </w:r>
          </w:p>
          <w:p w:rsidR="000A2498" w:rsidRDefault="000A2498" w:rsidP="00504D2D">
            <w:pPr>
              <w:pStyle w:val="COMtbl-textLeftAligned"/>
            </w:pPr>
            <w:r>
              <w:t>- Romosozumab (1 year)</w:t>
            </w:r>
          </w:p>
          <w:p w:rsidR="000A2498" w:rsidRDefault="000A2498" w:rsidP="00504D2D">
            <w:pPr>
              <w:pStyle w:val="COMtbl-textLeftAligned"/>
            </w:pPr>
            <w:r>
              <w:t>- Placebo (1 year)</w:t>
            </w:r>
          </w:p>
          <w:p w:rsidR="000A2498" w:rsidRDefault="000A2498" w:rsidP="00504D2D">
            <w:pPr>
              <w:pStyle w:val="COMtbl-textLeftAligned"/>
            </w:pPr>
            <w:r>
              <w:t>- Treatment difference; OR (95% CI)</w:t>
            </w:r>
          </w:p>
        </w:tc>
        <w:tc>
          <w:tcPr>
            <w:tcW w:w="558" w:type="pct"/>
            <w:vAlign w:val="center"/>
          </w:tcPr>
          <w:p w:rsidR="000A2498" w:rsidRDefault="000A2498" w:rsidP="00504D2D">
            <w:pPr>
              <w:pStyle w:val="COMtbl-textCentred"/>
            </w:pPr>
          </w:p>
          <w:p w:rsidR="000A2498" w:rsidRDefault="000A2498" w:rsidP="00504D2D">
            <w:pPr>
              <w:pStyle w:val="COMtbl-textCentred"/>
            </w:pPr>
            <w:r>
              <w:t>8/163 (4.9)</w:t>
            </w:r>
          </w:p>
          <w:p w:rsidR="000A2498" w:rsidRDefault="000A2498" w:rsidP="00504D2D">
            <w:pPr>
              <w:pStyle w:val="COMtbl-textCentred"/>
            </w:pPr>
            <w:r>
              <w:t>2/81 (2.5)</w:t>
            </w:r>
          </w:p>
          <w:p w:rsidR="000A2498" w:rsidRPr="004A54DB" w:rsidRDefault="000A2498" w:rsidP="00504D2D">
            <w:pPr>
              <w:pStyle w:val="COMtbl-textCentred"/>
            </w:pPr>
            <w:r>
              <w:t>NR</w:t>
            </w:r>
          </w:p>
        </w:tc>
        <w:tc>
          <w:tcPr>
            <w:tcW w:w="559" w:type="pct"/>
            <w:vAlign w:val="center"/>
          </w:tcPr>
          <w:p w:rsidR="000A2498" w:rsidRDefault="000A2498" w:rsidP="00504D2D">
            <w:pPr>
              <w:pStyle w:val="COMtbl-textCentred"/>
            </w:pPr>
          </w:p>
          <w:p w:rsidR="000A2498" w:rsidRDefault="000A2498" w:rsidP="00504D2D">
            <w:pPr>
              <w:pStyle w:val="COMtbl-textCentred"/>
            </w:pPr>
            <w:r>
              <w:t>3/163 (1.8)</w:t>
            </w:r>
          </w:p>
          <w:p w:rsidR="000A2498" w:rsidRDefault="000A2498" w:rsidP="00504D2D">
            <w:pPr>
              <w:pStyle w:val="COMtbl-textCentred"/>
            </w:pPr>
            <w:r>
              <w:t>0/81 (0.0)</w:t>
            </w:r>
          </w:p>
          <w:p w:rsidR="000A2498" w:rsidRPr="004A54DB" w:rsidRDefault="000A2498" w:rsidP="00504D2D">
            <w:pPr>
              <w:pStyle w:val="COMtbl-textCentred"/>
            </w:pPr>
            <w:r>
              <w:t>NR</w:t>
            </w:r>
          </w:p>
        </w:tc>
        <w:tc>
          <w:tcPr>
            <w:tcW w:w="559" w:type="pct"/>
            <w:vAlign w:val="center"/>
          </w:tcPr>
          <w:p w:rsidR="000A2498" w:rsidRDefault="000A2498" w:rsidP="00504D2D">
            <w:pPr>
              <w:pStyle w:val="COMtbl-textCentred"/>
            </w:pPr>
          </w:p>
          <w:p w:rsidR="000A2498" w:rsidRDefault="000A2498" w:rsidP="00504D2D">
            <w:pPr>
              <w:pStyle w:val="COMtbl-textCentred"/>
            </w:pPr>
            <w:r>
              <w:t>1/163 (0.6)</w:t>
            </w:r>
          </w:p>
          <w:p w:rsidR="000A2498" w:rsidRDefault="000A2498" w:rsidP="00504D2D">
            <w:pPr>
              <w:pStyle w:val="COMtbl-textCentred"/>
            </w:pPr>
            <w:r>
              <w:t>0/81 (0.0)</w:t>
            </w:r>
          </w:p>
          <w:p w:rsidR="000A2498" w:rsidRPr="001D492A" w:rsidRDefault="000A2498" w:rsidP="00504D2D">
            <w:pPr>
              <w:pStyle w:val="COMtbl-textCentred"/>
            </w:pPr>
            <w:r>
              <w:t>NR</w:t>
            </w:r>
          </w:p>
        </w:tc>
        <w:tc>
          <w:tcPr>
            <w:tcW w:w="559" w:type="pct"/>
            <w:vAlign w:val="center"/>
          </w:tcPr>
          <w:p w:rsidR="000A2498" w:rsidRDefault="000A2498" w:rsidP="00504D2D">
            <w:pPr>
              <w:pStyle w:val="COMtbl-textCentred"/>
            </w:pPr>
          </w:p>
          <w:p w:rsidR="000A2498" w:rsidRDefault="000A2498" w:rsidP="00504D2D">
            <w:pPr>
              <w:pStyle w:val="COMtbl-textCentred"/>
            </w:pPr>
            <w:r>
              <w:t>NR</w:t>
            </w:r>
          </w:p>
          <w:p w:rsidR="000A2498" w:rsidRDefault="000A2498" w:rsidP="00504D2D">
            <w:pPr>
              <w:pStyle w:val="COMtbl-textCentred"/>
            </w:pPr>
            <w:r>
              <w:t>NR</w:t>
            </w:r>
          </w:p>
          <w:p w:rsidR="000A2498" w:rsidRPr="001D492A" w:rsidRDefault="000A2498" w:rsidP="00504D2D">
            <w:pPr>
              <w:pStyle w:val="COMtbl-textCentred"/>
            </w:pPr>
            <w:r>
              <w:t>NR</w:t>
            </w:r>
          </w:p>
        </w:tc>
        <w:tc>
          <w:tcPr>
            <w:tcW w:w="559" w:type="pct"/>
            <w:vAlign w:val="center"/>
          </w:tcPr>
          <w:p w:rsidR="000A2498" w:rsidRDefault="000A2498" w:rsidP="00504D2D">
            <w:pPr>
              <w:pStyle w:val="COMtbl-textCentred"/>
            </w:pPr>
          </w:p>
          <w:p w:rsidR="000A2498" w:rsidRDefault="000A2498" w:rsidP="00504D2D">
            <w:pPr>
              <w:pStyle w:val="COMtbl-textCentred"/>
            </w:pPr>
            <w:r>
              <w:t>3/163 (1.8)</w:t>
            </w:r>
          </w:p>
          <w:p w:rsidR="000A2498" w:rsidRDefault="000A2498" w:rsidP="00504D2D">
            <w:pPr>
              <w:pStyle w:val="COMtbl-textCentred"/>
            </w:pPr>
            <w:r>
              <w:t>1/81 (1.2)</w:t>
            </w:r>
          </w:p>
          <w:p w:rsidR="000A2498" w:rsidRPr="00D45DD2" w:rsidRDefault="000A2498" w:rsidP="00504D2D">
            <w:pPr>
              <w:pStyle w:val="COMtbl-textCentred"/>
            </w:pPr>
            <w:r>
              <w:t>NR</w:t>
            </w:r>
          </w:p>
        </w:tc>
        <w:tc>
          <w:tcPr>
            <w:tcW w:w="559" w:type="pct"/>
            <w:vAlign w:val="center"/>
          </w:tcPr>
          <w:p w:rsidR="000A2498" w:rsidRDefault="000A2498" w:rsidP="00504D2D">
            <w:pPr>
              <w:pStyle w:val="COMtbl-textCentred"/>
            </w:pPr>
          </w:p>
          <w:p w:rsidR="000A2498" w:rsidRDefault="000A2498" w:rsidP="00504D2D">
            <w:pPr>
              <w:pStyle w:val="COMtbl-textCentred"/>
            </w:pPr>
            <w:r>
              <w:t>NR</w:t>
            </w:r>
          </w:p>
          <w:p w:rsidR="000A2498" w:rsidRDefault="000A2498" w:rsidP="00504D2D">
            <w:pPr>
              <w:pStyle w:val="COMtbl-textCentred"/>
            </w:pPr>
            <w:r>
              <w:t>NR</w:t>
            </w:r>
          </w:p>
          <w:p w:rsidR="000A2498" w:rsidRPr="00D45DD2" w:rsidRDefault="000A2498" w:rsidP="00504D2D">
            <w:pPr>
              <w:pStyle w:val="COMtbl-textCentred"/>
            </w:pPr>
            <w:r>
              <w:t>NR</w:t>
            </w:r>
          </w:p>
        </w:tc>
        <w:tc>
          <w:tcPr>
            <w:tcW w:w="557" w:type="pct"/>
            <w:vAlign w:val="center"/>
          </w:tcPr>
          <w:p w:rsidR="000A2498" w:rsidRDefault="000A2498" w:rsidP="00504D2D">
            <w:pPr>
              <w:pStyle w:val="COMtbl-textCentred"/>
            </w:pPr>
          </w:p>
          <w:p w:rsidR="000A2498" w:rsidRDefault="000A2498" w:rsidP="00504D2D">
            <w:pPr>
              <w:pStyle w:val="COMtbl-textCentred"/>
            </w:pPr>
            <w:r>
              <w:t>1/163 (0.6)</w:t>
            </w:r>
          </w:p>
          <w:p w:rsidR="000A2498" w:rsidRDefault="000A2498" w:rsidP="00504D2D">
            <w:pPr>
              <w:pStyle w:val="COMtbl-textCentred"/>
            </w:pPr>
            <w:r>
              <w:t>1/81 (1.2)</w:t>
            </w:r>
          </w:p>
          <w:p w:rsidR="000A2498" w:rsidRPr="00D45DD2" w:rsidRDefault="000A2498" w:rsidP="00504D2D">
            <w:pPr>
              <w:pStyle w:val="COMtbl-textCentred"/>
            </w:pPr>
            <w:r>
              <w:t>NR</w:t>
            </w:r>
          </w:p>
        </w:tc>
      </w:tr>
      <w:tr w:rsidR="000A2498" w:rsidTr="00504D2D">
        <w:tc>
          <w:tcPr>
            <w:tcW w:w="1090" w:type="pct"/>
            <w:vAlign w:val="center"/>
          </w:tcPr>
          <w:p w:rsidR="000A2498" w:rsidRPr="00DB195F" w:rsidRDefault="000A2498" w:rsidP="00504D2D">
            <w:pPr>
              <w:pStyle w:val="COMtbl-textLeftAligned"/>
            </w:pPr>
            <w:r>
              <w:t>FRAME</w:t>
            </w:r>
          </w:p>
          <w:p w:rsidR="000A2498" w:rsidRDefault="000A2498" w:rsidP="00504D2D">
            <w:pPr>
              <w:pStyle w:val="COMtbl-textLeftAligned"/>
            </w:pPr>
            <w:r>
              <w:t>- Romosozumab (1 year)</w:t>
            </w:r>
          </w:p>
          <w:p w:rsidR="000A2498" w:rsidRDefault="000A2498" w:rsidP="00504D2D">
            <w:pPr>
              <w:pStyle w:val="COMtbl-textLeftAligned"/>
            </w:pPr>
            <w:r>
              <w:t>- Placebo (1 year)</w:t>
            </w:r>
          </w:p>
          <w:p w:rsidR="000A2498" w:rsidRDefault="000A2498" w:rsidP="00504D2D">
            <w:pPr>
              <w:pStyle w:val="COMtbl-textLeftAligned"/>
            </w:pPr>
            <w:r>
              <w:t>- Treatment difference; OR (95% CI)</w:t>
            </w:r>
          </w:p>
        </w:tc>
        <w:tc>
          <w:tcPr>
            <w:tcW w:w="558" w:type="pct"/>
            <w:vAlign w:val="center"/>
          </w:tcPr>
          <w:p w:rsidR="000A2498" w:rsidRDefault="000A2498" w:rsidP="00504D2D">
            <w:pPr>
              <w:pStyle w:val="COMtbl-textCentred"/>
            </w:pPr>
          </w:p>
          <w:p w:rsidR="000A2498" w:rsidRDefault="000A2498" w:rsidP="00504D2D">
            <w:pPr>
              <w:pStyle w:val="COMtbl-textCentred"/>
            </w:pPr>
            <w:r>
              <w:t>44/3581 (1.2)</w:t>
            </w:r>
          </w:p>
          <w:p w:rsidR="000A2498" w:rsidRDefault="000A2498" w:rsidP="00504D2D">
            <w:pPr>
              <w:pStyle w:val="COMtbl-textCentred"/>
            </w:pPr>
            <w:r>
              <w:t>41/3576 (1.1)</w:t>
            </w:r>
          </w:p>
          <w:p w:rsidR="000A2498" w:rsidRPr="004A54DB" w:rsidRDefault="000A2498" w:rsidP="00504D2D">
            <w:pPr>
              <w:pStyle w:val="COMtbl-textCentred"/>
            </w:pPr>
            <w:r>
              <w:t>1.07 (0.70, 1.65)</w:t>
            </w:r>
          </w:p>
        </w:tc>
        <w:tc>
          <w:tcPr>
            <w:tcW w:w="559" w:type="pct"/>
            <w:vAlign w:val="center"/>
          </w:tcPr>
          <w:p w:rsidR="000A2498" w:rsidRDefault="000A2498" w:rsidP="00504D2D">
            <w:pPr>
              <w:pStyle w:val="COMtbl-textCentred"/>
            </w:pPr>
          </w:p>
          <w:p w:rsidR="000A2498" w:rsidRDefault="000A2498" w:rsidP="00504D2D">
            <w:pPr>
              <w:pStyle w:val="COMtbl-textCentred"/>
            </w:pPr>
            <w:r>
              <w:t>15/3581 (0.4)</w:t>
            </w:r>
          </w:p>
          <w:p w:rsidR="000A2498" w:rsidRDefault="000A2498" w:rsidP="00504D2D">
            <w:pPr>
              <w:pStyle w:val="COMtbl-textCentred"/>
            </w:pPr>
            <w:r>
              <w:t>14/3576 (0.4)</w:t>
            </w:r>
          </w:p>
          <w:p w:rsidR="000A2498" w:rsidRPr="004A54DB" w:rsidRDefault="000A2498" w:rsidP="00504D2D">
            <w:pPr>
              <w:pStyle w:val="COMtbl-textCentred"/>
            </w:pPr>
            <w:r>
              <w:t>1.07 (0.52, 2.22)</w:t>
            </w:r>
          </w:p>
        </w:tc>
        <w:tc>
          <w:tcPr>
            <w:tcW w:w="559" w:type="pct"/>
            <w:vAlign w:val="center"/>
          </w:tcPr>
          <w:p w:rsidR="000A2498" w:rsidRDefault="000A2498" w:rsidP="00504D2D">
            <w:pPr>
              <w:pStyle w:val="COMtbl-textCentred"/>
            </w:pPr>
          </w:p>
          <w:p w:rsidR="000A2498" w:rsidRDefault="000A2498" w:rsidP="00504D2D">
            <w:pPr>
              <w:pStyle w:val="COMtbl-textCentred"/>
            </w:pPr>
            <w:r>
              <w:t>7/3581 (0.2)</w:t>
            </w:r>
          </w:p>
          <w:p w:rsidR="000A2498" w:rsidRDefault="000A2498" w:rsidP="00504D2D">
            <w:pPr>
              <w:pStyle w:val="COMtbl-textCentred"/>
            </w:pPr>
            <w:r>
              <w:t>4/3576 (0.1)</w:t>
            </w:r>
          </w:p>
          <w:p w:rsidR="000A2498" w:rsidRPr="001D492A" w:rsidRDefault="000A2498" w:rsidP="00504D2D">
            <w:pPr>
              <w:pStyle w:val="COMtbl-textCentred"/>
            </w:pPr>
            <w:r>
              <w:t>1.75 (0.51, 5.98)</w:t>
            </w:r>
          </w:p>
        </w:tc>
        <w:tc>
          <w:tcPr>
            <w:tcW w:w="559" w:type="pct"/>
            <w:vAlign w:val="center"/>
          </w:tcPr>
          <w:p w:rsidR="000A2498" w:rsidRDefault="000A2498" w:rsidP="00504D2D">
            <w:pPr>
              <w:pStyle w:val="COMtbl-textCentred"/>
            </w:pPr>
          </w:p>
          <w:p w:rsidR="000A2498" w:rsidRDefault="000A2498" w:rsidP="00504D2D">
            <w:pPr>
              <w:pStyle w:val="COMtbl-textCentred"/>
            </w:pPr>
            <w:r>
              <w:t>NR</w:t>
            </w:r>
          </w:p>
          <w:p w:rsidR="000A2498" w:rsidRDefault="000A2498" w:rsidP="00504D2D">
            <w:pPr>
              <w:pStyle w:val="COMtbl-textCentred"/>
            </w:pPr>
            <w:r>
              <w:t>NR</w:t>
            </w:r>
          </w:p>
          <w:p w:rsidR="000A2498" w:rsidRPr="001D492A" w:rsidRDefault="000A2498" w:rsidP="00504D2D">
            <w:pPr>
              <w:pStyle w:val="COMtbl-textCentred"/>
            </w:pPr>
            <w:r>
              <w:t>NR</w:t>
            </w:r>
          </w:p>
        </w:tc>
        <w:tc>
          <w:tcPr>
            <w:tcW w:w="559" w:type="pct"/>
            <w:vAlign w:val="center"/>
          </w:tcPr>
          <w:p w:rsidR="000A2498" w:rsidRDefault="000A2498" w:rsidP="00504D2D">
            <w:pPr>
              <w:pStyle w:val="COMtbl-textCentred"/>
            </w:pPr>
          </w:p>
          <w:p w:rsidR="000A2498" w:rsidRDefault="000A2498" w:rsidP="00504D2D">
            <w:pPr>
              <w:pStyle w:val="COMtbl-textCentred"/>
            </w:pPr>
            <w:r>
              <w:t>10/3581 (0.3)</w:t>
            </w:r>
          </w:p>
          <w:p w:rsidR="000A2498" w:rsidRDefault="000A2498" w:rsidP="00504D2D">
            <w:pPr>
              <w:pStyle w:val="COMtbl-textCentred"/>
            </w:pPr>
            <w:r>
              <w:t>11/3576 (0.3)</w:t>
            </w:r>
          </w:p>
          <w:p w:rsidR="000A2498" w:rsidRPr="00D45DD2" w:rsidRDefault="000A2498" w:rsidP="00504D2D">
            <w:pPr>
              <w:pStyle w:val="COMtbl-textCentred"/>
            </w:pPr>
            <w:r>
              <w:t>0.91 (0.38, 2.14)</w:t>
            </w:r>
          </w:p>
        </w:tc>
        <w:tc>
          <w:tcPr>
            <w:tcW w:w="559" w:type="pct"/>
            <w:vAlign w:val="center"/>
          </w:tcPr>
          <w:p w:rsidR="000A2498" w:rsidRDefault="000A2498" w:rsidP="00504D2D">
            <w:pPr>
              <w:pStyle w:val="COMtbl-textCentred"/>
            </w:pPr>
          </w:p>
          <w:p w:rsidR="000A2498" w:rsidRDefault="000A2498" w:rsidP="00504D2D">
            <w:pPr>
              <w:pStyle w:val="COMtbl-textCentred"/>
            </w:pPr>
            <w:r>
              <w:t>3/3581 (&lt;0.1)</w:t>
            </w:r>
          </w:p>
          <w:p w:rsidR="000A2498" w:rsidRDefault="000A2498" w:rsidP="00504D2D">
            <w:pPr>
              <w:pStyle w:val="COMtbl-textCentred"/>
            </w:pPr>
            <w:r>
              <w:t>1/3576 (&lt;0.1)</w:t>
            </w:r>
          </w:p>
          <w:p w:rsidR="000A2498" w:rsidRPr="00D45DD2" w:rsidRDefault="000A2498" w:rsidP="00504D2D">
            <w:pPr>
              <w:pStyle w:val="COMtbl-textCentred"/>
            </w:pPr>
            <w:r>
              <w:t>3.00 (0.31, 28.82)</w:t>
            </w:r>
          </w:p>
        </w:tc>
        <w:tc>
          <w:tcPr>
            <w:tcW w:w="557" w:type="pct"/>
            <w:vAlign w:val="center"/>
          </w:tcPr>
          <w:p w:rsidR="000A2498" w:rsidRDefault="000A2498" w:rsidP="00504D2D">
            <w:pPr>
              <w:pStyle w:val="COMtbl-textCentred"/>
            </w:pPr>
          </w:p>
          <w:p w:rsidR="000A2498" w:rsidRDefault="000A2498" w:rsidP="00504D2D">
            <w:pPr>
              <w:pStyle w:val="COMtbl-textCentred"/>
            </w:pPr>
            <w:r>
              <w:t>17/3581 (0.5)</w:t>
            </w:r>
          </w:p>
          <w:p w:rsidR="000A2498" w:rsidRDefault="000A2498" w:rsidP="00504D2D">
            <w:pPr>
              <w:pStyle w:val="COMtbl-textCentred"/>
            </w:pPr>
            <w:r>
              <w:t>15/3576 (0.4)</w:t>
            </w:r>
          </w:p>
          <w:p w:rsidR="000A2498" w:rsidRPr="00D45DD2" w:rsidRDefault="000A2498" w:rsidP="00504D2D">
            <w:pPr>
              <w:pStyle w:val="COMtbl-textCentred"/>
            </w:pPr>
            <w:r>
              <w:t>1.13 (0.56, 2.27)</w:t>
            </w:r>
          </w:p>
        </w:tc>
      </w:tr>
      <w:tr w:rsidR="000A2498" w:rsidTr="00504D2D">
        <w:tc>
          <w:tcPr>
            <w:tcW w:w="5000" w:type="pct"/>
            <w:gridSpan w:val="8"/>
            <w:vAlign w:val="center"/>
          </w:tcPr>
          <w:p w:rsidR="000A2498" w:rsidRPr="00283764" w:rsidRDefault="000A2498" w:rsidP="00504D2D">
            <w:pPr>
              <w:pStyle w:val="COMtbl-textCentred"/>
              <w:jc w:val="left"/>
              <w:rPr>
                <w:b/>
              </w:rPr>
            </w:pPr>
            <w:r>
              <w:rPr>
                <w:b/>
              </w:rPr>
              <w:t xml:space="preserve">Full trial period </w:t>
            </w:r>
          </w:p>
        </w:tc>
      </w:tr>
      <w:tr w:rsidR="000A2498" w:rsidTr="00504D2D">
        <w:tc>
          <w:tcPr>
            <w:tcW w:w="1090" w:type="pct"/>
            <w:vAlign w:val="center"/>
          </w:tcPr>
          <w:p w:rsidR="000A2498" w:rsidRPr="00DB195F" w:rsidRDefault="000A2498" w:rsidP="00504D2D">
            <w:pPr>
              <w:pStyle w:val="COMtbl-textLeftAligned"/>
            </w:pPr>
            <w:r>
              <w:t xml:space="preserve">ARCH </w:t>
            </w:r>
          </w:p>
          <w:p w:rsidR="000A2498" w:rsidRDefault="000A2498" w:rsidP="00504D2D">
            <w:pPr>
              <w:pStyle w:val="COMtbl-textLeftAligned"/>
            </w:pPr>
            <w:r>
              <w:t>- Romo/Ale (</w:t>
            </w:r>
            <w:r w:rsidR="00F627B5">
              <w:t>median 33 months</w:t>
            </w:r>
            <w:r>
              <w:t>)</w:t>
            </w:r>
          </w:p>
          <w:p w:rsidR="000A2498" w:rsidRDefault="000A2498" w:rsidP="00504D2D">
            <w:pPr>
              <w:pStyle w:val="COMtbl-textLeftAligned"/>
            </w:pPr>
            <w:r>
              <w:t>- Ale/Ale (</w:t>
            </w:r>
            <w:r w:rsidR="00F627B5">
              <w:t>median 33 months</w:t>
            </w:r>
            <w:r>
              <w:t>)</w:t>
            </w:r>
          </w:p>
          <w:p w:rsidR="000A2498" w:rsidRDefault="000A2498" w:rsidP="00504D2D">
            <w:pPr>
              <w:pStyle w:val="COMtbl-textLeftAligned"/>
            </w:pPr>
            <w:r>
              <w:t>- Treatment difference; OR (95% CI)</w:t>
            </w:r>
          </w:p>
        </w:tc>
        <w:tc>
          <w:tcPr>
            <w:tcW w:w="558" w:type="pct"/>
            <w:vAlign w:val="center"/>
          </w:tcPr>
          <w:p w:rsidR="000A2498" w:rsidRDefault="000A2498" w:rsidP="00504D2D">
            <w:pPr>
              <w:pStyle w:val="COMtbl-textCentred"/>
            </w:pPr>
          </w:p>
          <w:p w:rsidR="000A2498" w:rsidRDefault="000A2498" w:rsidP="00504D2D">
            <w:pPr>
              <w:pStyle w:val="COMtbl-textCentred"/>
            </w:pPr>
            <w:r>
              <w:t>133/2040 (6.5)</w:t>
            </w:r>
          </w:p>
          <w:p w:rsidR="000A2498" w:rsidRDefault="000A2498" w:rsidP="00504D2D">
            <w:pPr>
              <w:pStyle w:val="COMtbl-textCentred"/>
            </w:pPr>
            <w:r>
              <w:t>122/2014 (6.1)</w:t>
            </w:r>
          </w:p>
          <w:p w:rsidR="000A2498" w:rsidRPr="004A54DB" w:rsidRDefault="000A2498" w:rsidP="00504D2D">
            <w:pPr>
              <w:pStyle w:val="COMtbl-textCentred"/>
            </w:pPr>
            <w:r>
              <w:t>1.08 (0.84, 1.39)</w:t>
            </w:r>
          </w:p>
        </w:tc>
        <w:tc>
          <w:tcPr>
            <w:tcW w:w="559" w:type="pct"/>
            <w:vAlign w:val="center"/>
          </w:tcPr>
          <w:p w:rsidR="000A2498" w:rsidRDefault="000A2498" w:rsidP="00504D2D">
            <w:pPr>
              <w:pStyle w:val="COMtbl-textCentred"/>
            </w:pPr>
          </w:p>
          <w:p w:rsidR="000A2498" w:rsidRDefault="000A2498" w:rsidP="00504D2D">
            <w:pPr>
              <w:pStyle w:val="COMtbl-textCentred"/>
            </w:pPr>
            <w:r>
              <w:t>30/2040 (1.5)</w:t>
            </w:r>
          </w:p>
          <w:p w:rsidR="000A2498" w:rsidRDefault="000A2498" w:rsidP="00504D2D">
            <w:pPr>
              <w:pStyle w:val="COMtbl-textCentred"/>
            </w:pPr>
            <w:r>
              <w:t>20/2014 (1.0)</w:t>
            </w:r>
          </w:p>
          <w:p w:rsidR="000A2498" w:rsidRPr="004A54DB" w:rsidRDefault="000A2498" w:rsidP="00504D2D">
            <w:pPr>
              <w:pStyle w:val="COMtbl-textCentred"/>
            </w:pPr>
            <w:r>
              <w:t>1.49 (0.84, 2.63)</w:t>
            </w:r>
          </w:p>
        </w:tc>
        <w:tc>
          <w:tcPr>
            <w:tcW w:w="559" w:type="pct"/>
            <w:vAlign w:val="center"/>
          </w:tcPr>
          <w:p w:rsidR="000A2498" w:rsidRDefault="000A2498" w:rsidP="00504D2D">
            <w:pPr>
              <w:pStyle w:val="COMtbl-textCentred"/>
            </w:pPr>
          </w:p>
          <w:p w:rsidR="000A2498" w:rsidRDefault="000A2498" w:rsidP="00504D2D">
            <w:pPr>
              <w:pStyle w:val="COMtbl-textCentred"/>
            </w:pPr>
            <w:r>
              <w:t>12/2040 (0.6)</w:t>
            </w:r>
          </w:p>
          <w:p w:rsidR="000A2498" w:rsidRDefault="000A2498" w:rsidP="00504D2D">
            <w:pPr>
              <w:pStyle w:val="COMtbl-textCentred"/>
            </w:pPr>
            <w:r>
              <w:t>23/2014 (1.1)</w:t>
            </w:r>
          </w:p>
          <w:p w:rsidR="000A2498" w:rsidRPr="001D492A" w:rsidRDefault="000A2498" w:rsidP="00504D2D">
            <w:pPr>
              <w:pStyle w:val="COMtbl-textCentred"/>
            </w:pPr>
            <w:r>
              <w:t>0.51 (0.25, 1.03)</w:t>
            </w:r>
          </w:p>
        </w:tc>
        <w:tc>
          <w:tcPr>
            <w:tcW w:w="559" w:type="pct"/>
            <w:vAlign w:val="center"/>
          </w:tcPr>
          <w:p w:rsidR="000A2498" w:rsidRDefault="000A2498" w:rsidP="00504D2D">
            <w:pPr>
              <w:pStyle w:val="COMtbl-textCentred"/>
            </w:pPr>
          </w:p>
          <w:p w:rsidR="000A2498" w:rsidRDefault="000A2498" w:rsidP="00504D2D">
            <w:pPr>
              <w:pStyle w:val="COMtbl-textCentred"/>
            </w:pPr>
            <w:r>
              <w:t>6/2040 (0.3)</w:t>
            </w:r>
          </w:p>
          <w:p w:rsidR="000A2498" w:rsidRDefault="000A2498" w:rsidP="00504D2D">
            <w:pPr>
              <w:pStyle w:val="COMtbl-textCentred"/>
            </w:pPr>
            <w:r>
              <w:t>10/2014 (0.5)</w:t>
            </w:r>
          </w:p>
          <w:p w:rsidR="000A2498" w:rsidRPr="001D492A" w:rsidRDefault="000A2498" w:rsidP="00504D2D">
            <w:pPr>
              <w:pStyle w:val="COMtbl-textCentred"/>
            </w:pPr>
            <w:r>
              <w:t>0.59 (0.21, 1.63)</w:t>
            </w:r>
          </w:p>
        </w:tc>
        <w:tc>
          <w:tcPr>
            <w:tcW w:w="559" w:type="pct"/>
            <w:vAlign w:val="center"/>
          </w:tcPr>
          <w:p w:rsidR="000A2498" w:rsidRDefault="000A2498" w:rsidP="00504D2D">
            <w:pPr>
              <w:pStyle w:val="COMtbl-textCentred"/>
            </w:pPr>
          </w:p>
          <w:p w:rsidR="000A2498" w:rsidRDefault="000A2498" w:rsidP="00504D2D">
            <w:pPr>
              <w:pStyle w:val="COMtbl-textCentred"/>
            </w:pPr>
            <w:r>
              <w:t>45/2040 (2.2)</w:t>
            </w:r>
          </w:p>
          <w:p w:rsidR="000A2498" w:rsidRDefault="000A2498" w:rsidP="00504D2D">
            <w:pPr>
              <w:pStyle w:val="COMtbl-textCentred"/>
            </w:pPr>
            <w:r>
              <w:t>27/2014 (1.3)</w:t>
            </w:r>
          </w:p>
          <w:p w:rsidR="000A2498" w:rsidRPr="00D45DD2" w:rsidRDefault="000A2498" w:rsidP="00504D2D">
            <w:pPr>
              <w:pStyle w:val="COMtbl-textCentred"/>
            </w:pPr>
            <w:r>
              <w:t>1.66 (1.03, 2.69)</w:t>
            </w:r>
          </w:p>
        </w:tc>
        <w:tc>
          <w:tcPr>
            <w:tcW w:w="559" w:type="pct"/>
            <w:vAlign w:val="center"/>
          </w:tcPr>
          <w:p w:rsidR="000A2498" w:rsidRDefault="000A2498" w:rsidP="00504D2D">
            <w:pPr>
              <w:pStyle w:val="COMtbl-textCentred"/>
            </w:pPr>
          </w:p>
          <w:p w:rsidR="000A2498" w:rsidRDefault="000A2498" w:rsidP="00504D2D">
            <w:pPr>
              <w:pStyle w:val="COMtbl-textCentred"/>
            </w:pPr>
            <w:r>
              <w:t>2/2040 (&lt;0.1)</w:t>
            </w:r>
          </w:p>
          <w:p w:rsidR="000A2498" w:rsidRDefault="000A2498" w:rsidP="00504D2D">
            <w:pPr>
              <w:pStyle w:val="COMtbl-textCentred"/>
            </w:pPr>
            <w:r>
              <w:t>5/2014 (0.2)</w:t>
            </w:r>
          </w:p>
          <w:p w:rsidR="000A2498" w:rsidRPr="00D45DD2" w:rsidRDefault="000A2498" w:rsidP="00504D2D">
            <w:pPr>
              <w:pStyle w:val="COMtbl-textCentred"/>
            </w:pPr>
            <w:r>
              <w:t>0.39 (0.08, 2.03)</w:t>
            </w:r>
          </w:p>
        </w:tc>
        <w:tc>
          <w:tcPr>
            <w:tcW w:w="557" w:type="pct"/>
            <w:vAlign w:val="center"/>
          </w:tcPr>
          <w:p w:rsidR="000A2498" w:rsidRDefault="000A2498" w:rsidP="00504D2D">
            <w:pPr>
              <w:pStyle w:val="COMtbl-textCentred"/>
            </w:pPr>
          </w:p>
          <w:p w:rsidR="000A2498" w:rsidRDefault="000A2498" w:rsidP="00504D2D">
            <w:pPr>
              <w:pStyle w:val="COMtbl-textCentred"/>
            </w:pPr>
            <w:r>
              <w:t>58/2040 (2.8)</w:t>
            </w:r>
          </w:p>
          <w:p w:rsidR="000A2498" w:rsidRDefault="000A2498" w:rsidP="00504D2D">
            <w:pPr>
              <w:pStyle w:val="COMtbl-textCentred"/>
            </w:pPr>
            <w:r>
              <w:t>55/2014 (2.7)</w:t>
            </w:r>
          </w:p>
          <w:p w:rsidR="000A2498" w:rsidRPr="00D45DD2" w:rsidRDefault="000A2498" w:rsidP="00504D2D">
            <w:pPr>
              <w:pStyle w:val="COMtbl-textCentred"/>
            </w:pPr>
            <w:r>
              <w:t>1.04 (0.72, 1.52)</w:t>
            </w:r>
          </w:p>
        </w:tc>
      </w:tr>
      <w:tr w:rsidR="000A2498" w:rsidTr="00504D2D">
        <w:tc>
          <w:tcPr>
            <w:tcW w:w="1090" w:type="pct"/>
            <w:vAlign w:val="center"/>
          </w:tcPr>
          <w:p w:rsidR="000A2498" w:rsidRDefault="000A2498" w:rsidP="00504D2D">
            <w:pPr>
              <w:pStyle w:val="COMtbl-textLeftAligned"/>
            </w:pPr>
            <w:r>
              <w:t>FRAME</w:t>
            </w:r>
          </w:p>
          <w:p w:rsidR="000A2498" w:rsidRDefault="000A2498" w:rsidP="00504D2D">
            <w:pPr>
              <w:pStyle w:val="COMtbl-textLeftAligned"/>
            </w:pPr>
            <w:r>
              <w:t>- Romo/Deno (3 years)</w:t>
            </w:r>
          </w:p>
          <w:p w:rsidR="000A2498" w:rsidRDefault="000A2498" w:rsidP="00504D2D">
            <w:pPr>
              <w:pStyle w:val="COMtbl-textLeftAligned"/>
            </w:pPr>
            <w:r>
              <w:t>- Pbo/Deno (3 years)</w:t>
            </w:r>
          </w:p>
          <w:p w:rsidR="000A2498" w:rsidRDefault="000A2498" w:rsidP="00504D2D">
            <w:pPr>
              <w:pStyle w:val="COMtbl-textLeftAligned"/>
            </w:pPr>
            <w:r>
              <w:t>- Treatment difference; OR (95% CI)</w:t>
            </w:r>
          </w:p>
        </w:tc>
        <w:tc>
          <w:tcPr>
            <w:tcW w:w="558" w:type="pct"/>
            <w:vAlign w:val="center"/>
          </w:tcPr>
          <w:p w:rsidR="000A2498" w:rsidRDefault="000A2498" w:rsidP="00504D2D">
            <w:pPr>
              <w:pStyle w:val="COMtbl-textCentred"/>
            </w:pPr>
          </w:p>
          <w:p w:rsidR="000A2498" w:rsidRDefault="000A2498" w:rsidP="00504D2D">
            <w:pPr>
              <w:pStyle w:val="COMtbl-textCentred"/>
            </w:pPr>
            <w:r>
              <w:t>128/3581 (3.6)</w:t>
            </w:r>
          </w:p>
          <w:p w:rsidR="000A2498" w:rsidRDefault="000A2498" w:rsidP="00504D2D">
            <w:pPr>
              <w:pStyle w:val="COMtbl-textCentred"/>
            </w:pPr>
            <w:r>
              <w:t>124/3576 (3.5)</w:t>
            </w:r>
          </w:p>
          <w:p w:rsidR="000A2498" w:rsidRPr="004A54DB" w:rsidRDefault="000A2498" w:rsidP="00504D2D">
            <w:pPr>
              <w:pStyle w:val="COMtbl-textCentred"/>
            </w:pPr>
            <w:r>
              <w:t>1.03 (0.80, 1.33)</w:t>
            </w:r>
          </w:p>
        </w:tc>
        <w:tc>
          <w:tcPr>
            <w:tcW w:w="559" w:type="pct"/>
            <w:vAlign w:val="center"/>
          </w:tcPr>
          <w:p w:rsidR="000A2498" w:rsidRDefault="000A2498" w:rsidP="00504D2D">
            <w:pPr>
              <w:pStyle w:val="COMtbl-textCentred"/>
            </w:pPr>
          </w:p>
          <w:p w:rsidR="000A2498" w:rsidRDefault="000A2498" w:rsidP="00504D2D">
            <w:pPr>
              <w:pStyle w:val="COMtbl-textCentred"/>
            </w:pPr>
            <w:r>
              <w:t>36/3581 (1.0)</w:t>
            </w:r>
          </w:p>
          <w:p w:rsidR="000A2498" w:rsidRDefault="000A2498" w:rsidP="00504D2D">
            <w:pPr>
              <w:pStyle w:val="COMtbl-textCentred"/>
            </w:pPr>
            <w:r>
              <w:t>38/3576 (1.1)</w:t>
            </w:r>
          </w:p>
          <w:p w:rsidR="000A2498" w:rsidRPr="004A54DB" w:rsidRDefault="000A2498" w:rsidP="00504D2D">
            <w:pPr>
              <w:pStyle w:val="COMtbl-textCentred"/>
            </w:pPr>
            <w:r>
              <w:t>0.95 (0.60, 1.50)</w:t>
            </w:r>
          </w:p>
        </w:tc>
        <w:tc>
          <w:tcPr>
            <w:tcW w:w="559" w:type="pct"/>
            <w:vAlign w:val="center"/>
          </w:tcPr>
          <w:p w:rsidR="000A2498" w:rsidRDefault="000A2498" w:rsidP="00504D2D">
            <w:pPr>
              <w:pStyle w:val="COMtbl-textCentred"/>
            </w:pPr>
          </w:p>
          <w:p w:rsidR="000A2498" w:rsidRDefault="000A2498" w:rsidP="00504D2D">
            <w:pPr>
              <w:pStyle w:val="COMtbl-textCentred"/>
            </w:pPr>
            <w:r>
              <w:t>12/3581 (0.3)</w:t>
            </w:r>
          </w:p>
          <w:p w:rsidR="000A2498" w:rsidRDefault="000A2498" w:rsidP="00504D2D">
            <w:pPr>
              <w:pStyle w:val="COMtbl-textCentred"/>
            </w:pPr>
            <w:r>
              <w:t>15/3576 (0.4)</w:t>
            </w:r>
          </w:p>
          <w:p w:rsidR="000A2498" w:rsidRPr="001D492A" w:rsidRDefault="000A2498" w:rsidP="00504D2D">
            <w:pPr>
              <w:pStyle w:val="COMtbl-textCentred"/>
            </w:pPr>
            <w:r>
              <w:t>0.80 (0.37, 1.71)</w:t>
            </w:r>
          </w:p>
        </w:tc>
        <w:tc>
          <w:tcPr>
            <w:tcW w:w="559" w:type="pct"/>
            <w:vAlign w:val="center"/>
          </w:tcPr>
          <w:p w:rsidR="000A2498" w:rsidRDefault="000A2498" w:rsidP="00504D2D">
            <w:pPr>
              <w:pStyle w:val="COMtbl-textCentred"/>
            </w:pPr>
          </w:p>
          <w:p w:rsidR="000A2498" w:rsidRDefault="000A2498" w:rsidP="00504D2D">
            <w:pPr>
              <w:pStyle w:val="COMtbl-textCentred"/>
            </w:pPr>
            <w:r>
              <w:t>2/3581 (&lt;0.1)</w:t>
            </w:r>
          </w:p>
          <w:p w:rsidR="000A2498" w:rsidRDefault="000A2498" w:rsidP="00504D2D">
            <w:pPr>
              <w:pStyle w:val="COMtbl-textCentred"/>
            </w:pPr>
            <w:r>
              <w:t>4/3576 (0.1)</w:t>
            </w:r>
          </w:p>
          <w:p w:rsidR="000A2498" w:rsidRPr="001D492A" w:rsidRDefault="000A2498" w:rsidP="00504D2D">
            <w:pPr>
              <w:pStyle w:val="COMtbl-textCentred"/>
            </w:pPr>
            <w:r>
              <w:t>0.50 (0.09, 2.73)</w:t>
            </w:r>
          </w:p>
        </w:tc>
        <w:tc>
          <w:tcPr>
            <w:tcW w:w="559" w:type="pct"/>
            <w:vAlign w:val="center"/>
          </w:tcPr>
          <w:p w:rsidR="000A2498" w:rsidRDefault="000A2498" w:rsidP="00504D2D">
            <w:pPr>
              <w:pStyle w:val="COMtbl-textCentred"/>
            </w:pPr>
          </w:p>
          <w:p w:rsidR="000A2498" w:rsidRDefault="000A2498" w:rsidP="00504D2D">
            <w:pPr>
              <w:pStyle w:val="COMtbl-textCentred"/>
            </w:pPr>
            <w:r>
              <w:t>43/3581 (1.2)</w:t>
            </w:r>
          </w:p>
          <w:p w:rsidR="000A2498" w:rsidRDefault="000A2498" w:rsidP="00504D2D">
            <w:pPr>
              <w:pStyle w:val="COMtbl-textCentred"/>
            </w:pPr>
            <w:r>
              <w:t>36/3576 (1.0)</w:t>
            </w:r>
          </w:p>
          <w:p w:rsidR="000A2498" w:rsidRPr="00D45DD2" w:rsidRDefault="000A2498" w:rsidP="00504D2D">
            <w:pPr>
              <w:pStyle w:val="COMtbl-textCentred"/>
            </w:pPr>
            <w:r>
              <w:t>1.20 (0.77, 1.87)</w:t>
            </w:r>
          </w:p>
        </w:tc>
        <w:tc>
          <w:tcPr>
            <w:tcW w:w="559" w:type="pct"/>
            <w:vAlign w:val="center"/>
          </w:tcPr>
          <w:p w:rsidR="000A2498" w:rsidRDefault="000A2498" w:rsidP="00504D2D">
            <w:pPr>
              <w:pStyle w:val="COMtbl-textCentred"/>
            </w:pPr>
          </w:p>
          <w:p w:rsidR="000A2498" w:rsidRDefault="000A2498" w:rsidP="00504D2D">
            <w:pPr>
              <w:pStyle w:val="COMtbl-textCentred"/>
            </w:pPr>
            <w:r>
              <w:t>8/3581 (0.2)</w:t>
            </w:r>
          </w:p>
          <w:p w:rsidR="000A2498" w:rsidRDefault="000A2498" w:rsidP="00504D2D">
            <w:pPr>
              <w:pStyle w:val="COMtbl-textCentred"/>
            </w:pPr>
            <w:r>
              <w:t>3/3576 (&lt; 0.1)</w:t>
            </w:r>
          </w:p>
          <w:p w:rsidR="000A2498" w:rsidRPr="00D45DD2" w:rsidRDefault="000A2498" w:rsidP="00504D2D">
            <w:pPr>
              <w:pStyle w:val="COMtbl-textCentred"/>
            </w:pPr>
            <w:r>
              <w:t>2.67 (0.71, 10.06)</w:t>
            </w:r>
          </w:p>
        </w:tc>
        <w:tc>
          <w:tcPr>
            <w:tcW w:w="557" w:type="pct"/>
            <w:vAlign w:val="center"/>
          </w:tcPr>
          <w:p w:rsidR="000A2498" w:rsidRDefault="000A2498" w:rsidP="00504D2D">
            <w:pPr>
              <w:pStyle w:val="COMtbl-textCentred"/>
            </w:pPr>
          </w:p>
          <w:p w:rsidR="000A2498" w:rsidRDefault="000A2498" w:rsidP="00504D2D">
            <w:pPr>
              <w:pStyle w:val="COMtbl-textCentred"/>
            </w:pPr>
            <w:r>
              <w:t>43/3581 (1.2)</w:t>
            </w:r>
          </w:p>
          <w:p w:rsidR="000A2498" w:rsidRDefault="000A2498" w:rsidP="00504D2D">
            <w:pPr>
              <w:pStyle w:val="COMtbl-textCentred"/>
            </w:pPr>
            <w:r>
              <w:t>50/3576 (1.4)</w:t>
            </w:r>
          </w:p>
          <w:p w:rsidR="000A2498" w:rsidRPr="00D45DD2" w:rsidRDefault="000A2498" w:rsidP="00504D2D">
            <w:pPr>
              <w:pStyle w:val="COMtbl-textCentred"/>
            </w:pPr>
            <w:r>
              <w:t>0.86 (0.57, 1.29)</w:t>
            </w:r>
          </w:p>
        </w:tc>
      </w:tr>
    </w:tbl>
    <w:p w:rsidR="000A2498" w:rsidRPr="008C2503" w:rsidRDefault="000A2498" w:rsidP="000A2498">
      <w:pPr>
        <w:pStyle w:val="TableFooter"/>
        <w:rPr>
          <w:color w:val="3366FF"/>
        </w:rPr>
      </w:pPr>
      <w:r w:rsidRPr="00567EEF">
        <w:t xml:space="preserve">Source: </w:t>
      </w:r>
      <w:r>
        <w:t xml:space="preserve">Table 2.5-15 (p 64), Table 2.5-16 (p 65), Table 2.5-17 (p 66), Table 2.5-18 (p 67) of the submission; Table 7-14 (p 61) </w:t>
      </w:r>
      <w:r w:rsidRPr="00E80AB6">
        <w:t>of the FRAME final analysis trial report</w:t>
      </w:r>
      <w:r>
        <w:t xml:space="preserve">; </w:t>
      </w:r>
      <w:r w:rsidRPr="008F52A7">
        <w:t>Table 14-6.8.1</w:t>
      </w:r>
      <w:r>
        <w:t xml:space="preserve"> (p 347) of the BRIDGE trial report</w:t>
      </w:r>
    </w:p>
    <w:p w:rsidR="000A2498" w:rsidRDefault="000A2498" w:rsidP="000A2498">
      <w:pPr>
        <w:pStyle w:val="TableFooter"/>
        <w:rPr>
          <w:i/>
        </w:rPr>
      </w:pPr>
      <w:r>
        <w:t xml:space="preserve">Abbreviations: Ale, alendronate; Deno, denosumab; NE, not estimable; NR, not reported; Pbo, placebo; Romo, romosozumab </w:t>
      </w:r>
    </w:p>
    <w:p w:rsidR="000A2498" w:rsidRDefault="000A2498" w:rsidP="00995778">
      <w:pPr>
        <w:pStyle w:val="ListParagraph"/>
        <w:sectPr w:rsidR="000A2498" w:rsidSect="000A2498">
          <w:pgSz w:w="16840" w:h="11907" w:orient="landscape" w:code="9"/>
          <w:pgMar w:top="1440" w:right="1440" w:bottom="1440" w:left="1440" w:header="1440" w:footer="1440" w:gutter="0"/>
          <w:cols w:space="708"/>
          <w:docGrid w:linePitch="360"/>
        </w:sectPr>
      </w:pPr>
    </w:p>
    <w:p w:rsidR="00B60939" w:rsidRPr="008C40CA" w:rsidRDefault="00A945F0" w:rsidP="00CB5268">
      <w:pPr>
        <w:pStyle w:val="ListParagraph"/>
        <w:spacing w:before="120"/>
      </w:pPr>
      <w:r w:rsidRPr="00B455E3">
        <w:lastRenderedPageBreak/>
        <w:t xml:space="preserve">The submission described romosozumab as superior in terms of efficacy compared to alendronate. The submission did not specify a comparative safety claim for romosozumab compared to alendronate. The submission noted a higher incidence of serious cardiovascular events with romosozumab compared to alendronate but argued that a causal relationship has not been established. The </w:t>
      </w:r>
      <w:r w:rsidR="005D1CE2">
        <w:t xml:space="preserve">evaluation considered that the </w:t>
      </w:r>
      <w:r w:rsidRPr="00B455E3">
        <w:t>efficacy claim may be reasonable but the clinical data suggests that romosozumab is inferior in terms of safety compared to alendronate.</w:t>
      </w:r>
      <w:r w:rsidR="00A065CB">
        <w:rPr>
          <w:i/>
        </w:rPr>
        <w:t xml:space="preserve"> </w:t>
      </w:r>
      <w:r w:rsidR="00A065CB" w:rsidRPr="00D772F0">
        <w:t>The ESC considered that the data presented supported the claim of superior efficacy compared to alendronate for the duration of the ARCH trial. However, the ESC considered that the long term comparative efficacy of romosozumab was uncertain given the lack of long term data and</w:t>
      </w:r>
      <w:r w:rsidR="002400D8" w:rsidRPr="00D772F0">
        <w:t xml:space="preserve"> that maintenance of the treatment effect after discontinuation of romosozumab </w:t>
      </w:r>
      <w:r w:rsidR="00A065CB" w:rsidRPr="00D772F0">
        <w:t xml:space="preserve">would </w:t>
      </w:r>
      <w:r w:rsidR="00DB08E4" w:rsidRPr="00D772F0">
        <w:t xml:space="preserve">likely </w:t>
      </w:r>
      <w:r w:rsidR="002400D8" w:rsidRPr="00D772F0">
        <w:t>depend</w:t>
      </w:r>
      <w:r w:rsidR="00A065CB" w:rsidRPr="00D772F0">
        <w:t xml:space="preserve"> on persistence </w:t>
      </w:r>
      <w:r w:rsidR="008E6D6A">
        <w:t xml:space="preserve">with </w:t>
      </w:r>
      <w:r w:rsidR="00A065CB" w:rsidRPr="00D772F0">
        <w:t xml:space="preserve">anti-resorptive therapy. </w:t>
      </w:r>
      <w:r w:rsidR="0089777B" w:rsidRPr="00D772F0">
        <w:t xml:space="preserve">The </w:t>
      </w:r>
      <w:r w:rsidR="00BF7FA7" w:rsidRPr="00D772F0">
        <w:t xml:space="preserve">ESC considered that </w:t>
      </w:r>
      <w:r w:rsidR="00B23101" w:rsidRPr="00D772F0">
        <w:t>based on the</w:t>
      </w:r>
      <w:r w:rsidR="00BF7FA7" w:rsidRPr="00D772F0">
        <w:t xml:space="preserve"> number of serious cardiovascular events reported in the romosozumab arm of the ARCH trial, </w:t>
      </w:r>
      <w:r w:rsidR="00BF7FA7" w:rsidRPr="008C40CA">
        <w:t xml:space="preserve">romosozumab would likely </w:t>
      </w:r>
      <w:r w:rsidR="00DB08E4" w:rsidRPr="008C40CA">
        <w:t>have</w:t>
      </w:r>
      <w:r w:rsidR="00BF7FA7" w:rsidRPr="008C40CA">
        <w:t xml:space="preserve"> inferior safety compared with alendronate</w:t>
      </w:r>
      <w:r w:rsidR="005D1CE2" w:rsidRPr="008C40CA">
        <w:t xml:space="preserve"> alone</w:t>
      </w:r>
      <w:r w:rsidR="00BF7FA7" w:rsidRPr="008C40CA">
        <w:t xml:space="preserve">. </w:t>
      </w:r>
    </w:p>
    <w:p w:rsidR="005D1CE2" w:rsidRPr="008C40CA" w:rsidRDefault="005C0E0A" w:rsidP="00CB5268">
      <w:pPr>
        <w:pStyle w:val="ListParagraph"/>
        <w:spacing w:before="120"/>
      </w:pPr>
      <w:r w:rsidRPr="008C40CA">
        <w:t>Further, the ESC considered that comparative evidence against denosumab would also be informative given it is the therapy most likely to be replaced in clinical practice</w:t>
      </w:r>
      <w:r w:rsidR="006A1A5C" w:rsidRPr="008C40CA">
        <w:t xml:space="preserve"> under </w:t>
      </w:r>
      <w:r w:rsidR="005347A7" w:rsidRPr="008C40CA">
        <w:t xml:space="preserve">the requested </w:t>
      </w:r>
      <w:r w:rsidR="00A05C20" w:rsidRPr="008C40CA">
        <w:t>additional</w:t>
      </w:r>
      <w:r w:rsidR="005347A7" w:rsidRPr="008C40CA">
        <w:t xml:space="preserve"> population </w:t>
      </w:r>
      <w:r w:rsidR="00A8357E" w:rsidRPr="008C40CA">
        <w:t xml:space="preserve">(first-line) </w:t>
      </w:r>
      <w:r w:rsidR="005347A7" w:rsidRPr="008C40CA">
        <w:t>listing</w:t>
      </w:r>
      <w:r w:rsidRPr="008C40CA">
        <w:t>.</w:t>
      </w:r>
    </w:p>
    <w:p w:rsidR="00B60939" w:rsidRPr="00C9624D" w:rsidRDefault="00B60939" w:rsidP="00CB5268">
      <w:pPr>
        <w:pStyle w:val="Heading2"/>
      </w:pPr>
      <w:bookmarkStart w:id="12" w:name="_Toc524518338"/>
      <w:r w:rsidRPr="00C9624D">
        <w:t>Economic analysis</w:t>
      </w:r>
      <w:bookmarkEnd w:id="12"/>
      <w:r w:rsidR="00491B3A" w:rsidRPr="00C9624D">
        <w:t xml:space="preserve"> </w:t>
      </w:r>
    </w:p>
    <w:p w:rsidR="00802686" w:rsidRPr="00802686" w:rsidRDefault="00802686" w:rsidP="00CB5268">
      <w:pPr>
        <w:widowControl/>
        <w:spacing w:before="120" w:after="120"/>
        <w:rPr>
          <w:u w:val="single"/>
        </w:rPr>
      </w:pPr>
      <w:r w:rsidRPr="00802686">
        <w:rPr>
          <w:u w:val="single"/>
        </w:rPr>
        <w:t xml:space="preserve">Cost minimisation </w:t>
      </w:r>
      <w:r>
        <w:rPr>
          <w:u w:val="single"/>
        </w:rPr>
        <w:t xml:space="preserve">analysis </w:t>
      </w:r>
      <w:r w:rsidRPr="00802686">
        <w:rPr>
          <w:u w:val="single"/>
        </w:rPr>
        <w:t>versus teriparatide</w:t>
      </w:r>
    </w:p>
    <w:p w:rsidR="003A75BF" w:rsidRPr="00B455E3" w:rsidRDefault="003A75BF" w:rsidP="00CB5268">
      <w:pPr>
        <w:pStyle w:val="ListParagraph"/>
        <w:spacing w:before="120"/>
      </w:pPr>
      <w:r w:rsidRPr="00B455E3">
        <w:t xml:space="preserve">The submission presented a cost minimisation analysis of romosozumab compared to </w:t>
      </w:r>
      <w:r w:rsidRPr="008C40CA">
        <w:t>teriparatide.</w:t>
      </w:r>
      <w:r w:rsidR="00410DC1" w:rsidRPr="008C40CA">
        <w:t xml:space="preserve"> The ESC </w:t>
      </w:r>
      <w:r w:rsidR="0070128A" w:rsidRPr="008C40CA">
        <w:t xml:space="preserve">considered that a cost minimisation analysis may not be appropriate </w:t>
      </w:r>
      <w:r w:rsidR="00410DC1" w:rsidRPr="008C40CA">
        <w:t xml:space="preserve">given the lack of </w:t>
      </w:r>
      <w:r w:rsidR="0070128A" w:rsidRPr="008C40CA">
        <w:t>reliable</w:t>
      </w:r>
      <w:r w:rsidR="00410DC1" w:rsidRPr="008C40CA">
        <w:t xml:space="preserve"> data on fracture outcomes with romosozumab compared to teriparatide and </w:t>
      </w:r>
      <w:r w:rsidR="009552E2" w:rsidRPr="008C40CA">
        <w:t xml:space="preserve">high </w:t>
      </w:r>
      <w:r w:rsidR="00410DC1" w:rsidRPr="008C40CA">
        <w:t>incidence of cardiovascular events associated with romosozumab</w:t>
      </w:r>
      <w:r w:rsidR="00410DC1">
        <w:rPr>
          <w:i/>
        </w:rPr>
        <w:t xml:space="preserve">. </w:t>
      </w:r>
    </w:p>
    <w:p w:rsidR="003A75BF" w:rsidRPr="00B455E3" w:rsidRDefault="003A75BF" w:rsidP="00CB5268">
      <w:pPr>
        <w:pStyle w:val="ListParagraph"/>
        <w:spacing w:before="120"/>
      </w:pPr>
      <w:r w:rsidRPr="00B455E3">
        <w:t xml:space="preserve">The equi-effective doses were based on the recommended dosing regimens outlined in the relevant product information documents and was consistent with trial </w:t>
      </w:r>
      <w:r w:rsidR="00A30B9E">
        <w:t>protocols</w:t>
      </w:r>
      <w:r w:rsidRPr="00B455E3">
        <w:t xml:space="preserve">. The submission estimated that romosozumab 210 mg once monthly for 12 months was equivalent to teriparatide 20 mcg once daily for 18 months. </w:t>
      </w:r>
      <w:r w:rsidR="006B7F49">
        <w:t xml:space="preserve">The PBAC considered </w:t>
      </w:r>
      <w:r w:rsidR="00410EB5" w:rsidRPr="00B455E3">
        <w:t xml:space="preserve">it may </w:t>
      </w:r>
      <w:r w:rsidR="006B7F49">
        <w:t xml:space="preserve">be </w:t>
      </w:r>
      <w:r w:rsidR="00410EB5" w:rsidRPr="00B455E3">
        <w:t xml:space="preserve">more appropriate to base the equi-effective doses on the doses </w:t>
      </w:r>
      <w:r w:rsidR="00DE2AAE">
        <w:t xml:space="preserve">of romosozumab and teriparatide </w:t>
      </w:r>
      <w:r w:rsidR="00410EB5" w:rsidRPr="00B455E3">
        <w:t xml:space="preserve">used by patients in the trials (e.g. taking into account </w:t>
      </w:r>
      <w:r w:rsidR="001E0D30">
        <w:t xml:space="preserve">compliance and </w:t>
      </w:r>
      <w:r w:rsidR="00410EB5" w:rsidRPr="00B455E3">
        <w:t>discontinuations), rather than the</w:t>
      </w:r>
      <w:r w:rsidR="000033FA" w:rsidRPr="00B455E3">
        <w:t xml:space="preserve"> doses stated in the</w:t>
      </w:r>
      <w:r w:rsidR="00410EB5" w:rsidRPr="00B455E3">
        <w:t xml:space="preserve"> product information</w:t>
      </w:r>
      <w:r w:rsidR="000033FA" w:rsidRPr="00B455E3">
        <w:t xml:space="preserve"> documents</w:t>
      </w:r>
      <w:r w:rsidR="00410EB5" w:rsidRPr="00B455E3">
        <w:t xml:space="preserve">. </w:t>
      </w:r>
    </w:p>
    <w:p w:rsidR="00786E3C" w:rsidRPr="00786E3C" w:rsidRDefault="00786E3C" w:rsidP="00CB5268">
      <w:pPr>
        <w:pStyle w:val="ListParagraph"/>
        <w:spacing w:before="120"/>
      </w:pPr>
      <w:r w:rsidRPr="00786E3C">
        <w:t xml:space="preserve">The submission claimed no additional costs or cost-offsets. The evaluation considered there may have been increased costs associated with the administration of romosozumab as it was administered by healthcare professionals in the clinical trial while teriparatide was self-administered. The PSCR claimed that romosozumab </w:t>
      </w:r>
      <w:r>
        <w:t xml:space="preserve">would be self-administered </w:t>
      </w:r>
      <w:r w:rsidRPr="00786E3C">
        <w:t xml:space="preserve">which would reduce administration costs. The ESC and PBAC considered not including a cost for the administration of romosozumab was reasonable but noted it was administered by health care professionals in the trial, and </w:t>
      </w:r>
      <w:r w:rsidRPr="00786E3C">
        <w:lastRenderedPageBreak/>
        <w:t>considered that self-administration may have an impact on the effectiveness in clinical practice due to reduced adherence.</w:t>
      </w:r>
    </w:p>
    <w:p w:rsidR="003A75BF" w:rsidRPr="00B455E3" w:rsidRDefault="001E0D30" w:rsidP="00CB5268">
      <w:pPr>
        <w:pStyle w:val="ListParagraph"/>
        <w:spacing w:before="120"/>
      </w:pPr>
      <w:r>
        <w:t>T</w:t>
      </w:r>
      <w:r w:rsidR="009B18FB" w:rsidRPr="008C40CA">
        <w:t xml:space="preserve">he ESC </w:t>
      </w:r>
      <w:r>
        <w:t xml:space="preserve">and the PBAC </w:t>
      </w:r>
      <w:r w:rsidR="006404CD" w:rsidRPr="008C40CA">
        <w:t xml:space="preserve">considered that it may have been appropriate to include </w:t>
      </w:r>
      <w:r w:rsidR="009B18FB" w:rsidRPr="008C40CA">
        <w:t xml:space="preserve">costs </w:t>
      </w:r>
      <w:r w:rsidR="00413528">
        <w:t xml:space="preserve">for monitoring and managing adverse events </w:t>
      </w:r>
      <w:r w:rsidR="006404CD" w:rsidRPr="008C40CA">
        <w:t>given the cardiovascular safety concerns with romosozumab.</w:t>
      </w:r>
      <w:r w:rsidR="009B18FB">
        <w:rPr>
          <w:i/>
        </w:rPr>
        <w:t xml:space="preserve"> </w:t>
      </w:r>
    </w:p>
    <w:p w:rsidR="00802686" w:rsidRDefault="00802686" w:rsidP="00CB5268">
      <w:pPr>
        <w:widowControl/>
        <w:spacing w:before="120" w:after="120"/>
        <w:rPr>
          <w:u w:val="single"/>
        </w:rPr>
      </w:pPr>
      <w:r w:rsidRPr="00802686">
        <w:rPr>
          <w:u w:val="single"/>
        </w:rPr>
        <w:t>Cost utility</w:t>
      </w:r>
      <w:r>
        <w:rPr>
          <w:u w:val="single"/>
        </w:rPr>
        <w:t xml:space="preserve"> analysis </w:t>
      </w:r>
      <w:r w:rsidRPr="00802686">
        <w:rPr>
          <w:u w:val="single"/>
        </w:rPr>
        <w:t>versus alendronate</w:t>
      </w:r>
    </w:p>
    <w:p w:rsidR="003A75BF" w:rsidRDefault="00D03DF8" w:rsidP="00CB5268">
      <w:pPr>
        <w:pStyle w:val="ListParagraph"/>
        <w:spacing w:before="120"/>
      </w:pPr>
      <w:r w:rsidRPr="00D03DF8">
        <w:t xml:space="preserve">The submission presented a stepped economic evaluation of the additive effects of using romosozumab followed by alendronate compared to alendronate alone for the treatment of severe osteoporosis. The economic evaluation was based on a direct randomised trial (ARCH) with additional modelled data. </w:t>
      </w:r>
    </w:p>
    <w:p w:rsidR="00D03DF8" w:rsidRPr="000937B8" w:rsidRDefault="00F7376D" w:rsidP="008B0C43">
      <w:pPr>
        <w:pStyle w:val="TableHeading0"/>
        <w:spacing w:after="0"/>
      </w:pPr>
      <w:r>
        <w:t>Table 8</w:t>
      </w:r>
      <w:r w:rsidR="00D03DF8" w:rsidRPr="000937B8">
        <w:t>: Key components of the economic evaluation</w:t>
      </w:r>
    </w:p>
    <w:tbl>
      <w:tblPr>
        <w:tblW w:w="48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8: Key components of the economic evaluation"/>
      </w:tblPr>
      <w:tblGrid>
        <w:gridCol w:w="1735"/>
        <w:gridCol w:w="7100"/>
      </w:tblGrid>
      <w:tr w:rsidR="00D03DF8" w:rsidRPr="000937B8" w:rsidTr="00504D2D">
        <w:tc>
          <w:tcPr>
            <w:tcW w:w="982" w:type="pct"/>
            <w:shd w:val="clear" w:color="auto" w:fill="auto"/>
          </w:tcPr>
          <w:p w:rsidR="00D03DF8" w:rsidRPr="00EF3278" w:rsidRDefault="00D03DF8" w:rsidP="00504D2D">
            <w:pPr>
              <w:pStyle w:val="TableText0"/>
              <w:spacing w:before="0" w:after="0"/>
              <w:rPr>
                <w:b/>
              </w:rPr>
            </w:pPr>
            <w:r w:rsidRPr="00EF3278">
              <w:rPr>
                <w:b/>
              </w:rPr>
              <w:t xml:space="preserve">Component </w:t>
            </w:r>
          </w:p>
        </w:tc>
        <w:tc>
          <w:tcPr>
            <w:tcW w:w="4018" w:type="pct"/>
            <w:shd w:val="clear" w:color="auto" w:fill="auto"/>
          </w:tcPr>
          <w:p w:rsidR="00D03DF8" w:rsidRPr="00EF3278" w:rsidRDefault="00D03DF8" w:rsidP="00504D2D">
            <w:pPr>
              <w:pStyle w:val="TableText0"/>
              <w:spacing w:before="0" w:after="0"/>
              <w:rPr>
                <w:b/>
              </w:rPr>
            </w:pPr>
            <w:r w:rsidRPr="00EF3278">
              <w:rPr>
                <w:b/>
              </w:rPr>
              <w:t>Description</w:t>
            </w:r>
          </w:p>
        </w:tc>
      </w:tr>
      <w:tr w:rsidR="00D03DF8" w:rsidRPr="000937B8" w:rsidTr="00504D2D">
        <w:tc>
          <w:tcPr>
            <w:tcW w:w="982" w:type="pct"/>
            <w:shd w:val="clear" w:color="auto" w:fill="auto"/>
            <w:vAlign w:val="center"/>
          </w:tcPr>
          <w:p w:rsidR="00D03DF8" w:rsidRPr="000937B8" w:rsidRDefault="00D03DF8" w:rsidP="00504D2D">
            <w:pPr>
              <w:pStyle w:val="TableText0"/>
              <w:spacing w:before="0" w:after="0"/>
            </w:pPr>
            <w:r w:rsidRPr="000937B8">
              <w:t xml:space="preserve">Type of analysis </w:t>
            </w:r>
          </w:p>
        </w:tc>
        <w:tc>
          <w:tcPr>
            <w:tcW w:w="4018" w:type="pct"/>
            <w:shd w:val="clear" w:color="auto" w:fill="auto"/>
            <w:vAlign w:val="center"/>
          </w:tcPr>
          <w:p w:rsidR="00D03DF8" w:rsidRPr="000937B8" w:rsidRDefault="00D03DF8" w:rsidP="00504D2D">
            <w:pPr>
              <w:pStyle w:val="TableText0"/>
              <w:spacing w:before="0" w:after="0"/>
              <w:rPr>
                <w:rFonts w:ascii="Times" w:eastAsia="Times New Roman" w:hAnsi="Times" w:cs="Times New Roman"/>
                <w:szCs w:val="20"/>
                <w:lang w:val="en-US"/>
              </w:rPr>
            </w:pPr>
            <w:r>
              <w:t>C</w:t>
            </w:r>
            <w:r w:rsidRPr="000C0AFA">
              <w:t xml:space="preserve">ost-effectiveness </w:t>
            </w:r>
            <w:r>
              <w:t>analysis/cost-utility analysis</w:t>
            </w:r>
          </w:p>
        </w:tc>
      </w:tr>
      <w:tr w:rsidR="00D03DF8" w:rsidRPr="000937B8" w:rsidTr="00504D2D">
        <w:tc>
          <w:tcPr>
            <w:tcW w:w="982" w:type="pct"/>
            <w:shd w:val="clear" w:color="auto" w:fill="auto"/>
            <w:vAlign w:val="center"/>
          </w:tcPr>
          <w:p w:rsidR="00D03DF8" w:rsidRPr="000937B8" w:rsidRDefault="00D03DF8" w:rsidP="00504D2D">
            <w:pPr>
              <w:pStyle w:val="TableText0"/>
              <w:spacing w:before="0" w:after="0"/>
              <w:rPr>
                <w:rFonts w:ascii="Times" w:eastAsia="Times New Roman" w:hAnsi="Times" w:cs="Times New Roman"/>
                <w:szCs w:val="20"/>
                <w:lang w:val="en-US"/>
              </w:rPr>
            </w:pPr>
            <w:r w:rsidRPr="000937B8">
              <w:t>Outcomes</w:t>
            </w:r>
          </w:p>
        </w:tc>
        <w:tc>
          <w:tcPr>
            <w:tcW w:w="4018" w:type="pct"/>
            <w:shd w:val="clear" w:color="auto" w:fill="auto"/>
            <w:vAlign w:val="center"/>
          </w:tcPr>
          <w:p w:rsidR="00D03DF8" w:rsidRPr="002343DB" w:rsidRDefault="00D03DF8" w:rsidP="00504D2D">
            <w:pPr>
              <w:pStyle w:val="TableText0"/>
              <w:spacing w:before="0" w:after="0"/>
            </w:pPr>
            <w:r>
              <w:t>Patients without fractures; life years; quality adjusted life years</w:t>
            </w:r>
          </w:p>
        </w:tc>
      </w:tr>
      <w:tr w:rsidR="00D03DF8" w:rsidRPr="000937B8" w:rsidTr="00504D2D">
        <w:tc>
          <w:tcPr>
            <w:tcW w:w="982" w:type="pct"/>
            <w:shd w:val="clear" w:color="auto" w:fill="auto"/>
            <w:vAlign w:val="center"/>
          </w:tcPr>
          <w:p w:rsidR="00D03DF8" w:rsidRPr="000937B8" w:rsidRDefault="00D03DF8" w:rsidP="00504D2D">
            <w:pPr>
              <w:pStyle w:val="TableText0"/>
              <w:spacing w:before="0" w:after="0"/>
              <w:rPr>
                <w:rFonts w:ascii="Times" w:eastAsia="Times New Roman" w:hAnsi="Times" w:cs="Times New Roman"/>
                <w:szCs w:val="20"/>
                <w:lang w:val="en-US"/>
              </w:rPr>
            </w:pPr>
            <w:r w:rsidRPr="000937B8">
              <w:t>Time horizon</w:t>
            </w:r>
          </w:p>
        </w:tc>
        <w:tc>
          <w:tcPr>
            <w:tcW w:w="4018" w:type="pct"/>
            <w:shd w:val="clear" w:color="auto" w:fill="auto"/>
            <w:vAlign w:val="center"/>
          </w:tcPr>
          <w:p w:rsidR="00D03DF8" w:rsidRPr="000937B8" w:rsidRDefault="00D03DF8" w:rsidP="00504D2D">
            <w:pPr>
              <w:pStyle w:val="TableText0"/>
              <w:spacing w:before="0" w:after="0"/>
              <w:rPr>
                <w:rFonts w:ascii="Times" w:eastAsia="Times New Roman" w:hAnsi="Times" w:cs="Times New Roman"/>
                <w:szCs w:val="20"/>
                <w:lang w:val="en-US"/>
              </w:rPr>
            </w:pPr>
            <w:r>
              <w:t>26 years (lifetime)</w:t>
            </w:r>
          </w:p>
        </w:tc>
      </w:tr>
      <w:tr w:rsidR="00D03DF8" w:rsidRPr="000937B8" w:rsidTr="00504D2D">
        <w:tc>
          <w:tcPr>
            <w:tcW w:w="982" w:type="pct"/>
            <w:shd w:val="clear" w:color="auto" w:fill="auto"/>
            <w:vAlign w:val="center"/>
          </w:tcPr>
          <w:p w:rsidR="00D03DF8" w:rsidRPr="000937B8" w:rsidRDefault="00D03DF8" w:rsidP="00504D2D">
            <w:pPr>
              <w:pStyle w:val="TableText0"/>
              <w:spacing w:before="0" w:after="0"/>
              <w:rPr>
                <w:rFonts w:ascii="Times" w:eastAsia="Times New Roman" w:hAnsi="Times" w:cs="Times New Roman"/>
                <w:szCs w:val="20"/>
                <w:lang w:val="en-US"/>
              </w:rPr>
            </w:pPr>
            <w:r w:rsidRPr="000937B8">
              <w:t>Methods used to generate results</w:t>
            </w:r>
          </w:p>
        </w:tc>
        <w:tc>
          <w:tcPr>
            <w:tcW w:w="4018" w:type="pct"/>
            <w:shd w:val="clear" w:color="auto" w:fill="auto"/>
            <w:vAlign w:val="center"/>
          </w:tcPr>
          <w:p w:rsidR="00D03DF8" w:rsidRPr="000937B8" w:rsidRDefault="00D03DF8" w:rsidP="00504D2D">
            <w:pPr>
              <w:pStyle w:val="TableText0"/>
              <w:spacing w:before="0" w:after="0"/>
              <w:rPr>
                <w:rFonts w:ascii="Times" w:eastAsia="Times New Roman" w:hAnsi="Times" w:cs="Times New Roman"/>
                <w:szCs w:val="20"/>
                <w:lang w:val="en-US"/>
              </w:rPr>
            </w:pPr>
            <w:r w:rsidRPr="002343DB">
              <w:t xml:space="preserve">Markov cohort </w:t>
            </w:r>
            <w:r>
              <w:t>model (with half-cycle correction)</w:t>
            </w:r>
          </w:p>
        </w:tc>
      </w:tr>
      <w:tr w:rsidR="00D03DF8" w:rsidRPr="000937B8" w:rsidTr="00504D2D">
        <w:tc>
          <w:tcPr>
            <w:tcW w:w="982" w:type="pct"/>
            <w:shd w:val="clear" w:color="auto" w:fill="auto"/>
            <w:vAlign w:val="center"/>
          </w:tcPr>
          <w:p w:rsidR="00D03DF8" w:rsidRPr="000937B8" w:rsidRDefault="00D03DF8" w:rsidP="00504D2D">
            <w:pPr>
              <w:pStyle w:val="TableText0"/>
              <w:spacing w:before="0" w:after="0"/>
            </w:pPr>
            <w:r>
              <w:t>Treatments</w:t>
            </w:r>
          </w:p>
        </w:tc>
        <w:tc>
          <w:tcPr>
            <w:tcW w:w="4018" w:type="pct"/>
            <w:shd w:val="clear" w:color="auto" w:fill="auto"/>
            <w:vAlign w:val="center"/>
          </w:tcPr>
          <w:p w:rsidR="00D03DF8" w:rsidRDefault="00D03DF8" w:rsidP="00504D2D">
            <w:pPr>
              <w:pStyle w:val="TableText0"/>
              <w:spacing w:before="0" w:after="0"/>
            </w:pPr>
            <w:r>
              <w:t xml:space="preserve">Romosozumab followed by alendronate; alendronate followed by alendronate </w:t>
            </w:r>
          </w:p>
        </w:tc>
      </w:tr>
      <w:tr w:rsidR="00D03DF8" w:rsidRPr="000937B8" w:rsidTr="00504D2D">
        <w:tc>
          <w:tcPr>
            <w:tcW w:w="982" w:type="pct"/>
            <w:shd w:val="clear" w:color="auto" w:fill="auto"/>
            <w:vAlign w:val="center"/>
          </w:tcPr>
          <w:p w:rsidR="00D03DF8" w:rsidRPr="000937B8" w:rsidRDefault="00D03DF8" w:rsidP="00504D2D">
            <w:pPr>
              <w:pStyle w:val="TableText0"/>
              <w:spacing w:before="0" w:after="0"/>
              <w:rPr>
                <w:rFonts w:ascii="Times" w:eastAsia="Times New Roman" w:hAnsi="Times" w:cs="Times New Roman"/>
                <w:szCs w:val="20"/>
                <w:lang w:val="en-US"/>
              </w:rPr>
            </w:pPr>
            <w:r w:rsidRPr="000937B8">
              <w:t>Health states</w:t>
            </w:r>
          </w:p>
        </w:tc>
        <w:tc>
          <w:tcPr>
            <w:tcW w:w="4018" w:type="pct"/>
            <w:shd w:val="clear" w:color="auto" w:fill="auto"/>
            <w:vAlign w:val="center"/>
          </w:tcPr>
          <w:p w:rsidR="00D03DF8" w:rsidRPr="00BF30D9" w:rsidRDefault="00D03DF8" w:rsidP="00504D2D">
            <w:pPr>
              <w:pStyle w:val="TableText0"/>
              <w:spacing w:before="0" w:after="0"/>
            </w:pPr>
            <w:r>
              <w:t>Four health states:</w:t>
            </w:r>
            <w:r w:rsidRPr="002343DB">
              <w:t xml:space="preserve"> </w:t>
            </w:r>
            <w:r>
              <w:t xml:space="preserve">baseline severe osteoporosis health state, post-incident hip fracture, post-incident vertebral fracture and death </w:t>
            </w:r>
          </w:p>
        </w:tc>
      </w:tr>
      <w:tr w:rsidR="00D03DF8" w:rsidRPr="000937B8" w:rsidTr="00504D2D">
        <w:tc>
          <w:tcPr>
            <w:tcW w:w="982" w:type="pct"/>
            <w:shd w:val="clear" w:color="auto" w:fill="auto"/>
            <w:vAlign w:val="center"/>
          </w:tcPr>
          <w:p w:rsidR="00D03DF8" w:rsidRPr="000937B8" w:rsidRDefault="00D03DF8" w:rsidP="00504D2D">
            <w:pPr>
              <w:pStyle w:val="TableText0"/>
              <w:spacing w:before="0" w:after="0"/>
              <w:rPr>
                <w:rFonts w:ascii="Times" w:eastAsia="Times New Roman" w:hAnsi="Times" w:cs="Times New Roman"/>
                <w:szCs w:val="20"/>
                <w:lang w:val="en-US"/>
              </w:rPr>
            </w:pPr>
            <w:r w:rsidRPr="000937B8">
              <w:t>Cycle length</w:t>
            </w:r>
          </w:p>
        </w:tc>
        <w:tc>
          <w:tcPr>
            <w:tcW w:w="4018" w:type="pct"/>
            <w:shd w:val="clear" w:color="auto" w:fill="auto"/>
            <w:vAlign w:val="center"/>
          </w:tcPr>
          <w:p w:rsidR="00D03DF8" w:rsidRPr="002343DB" w:rsidRDefault="00D03DF8" w:rsidP="00504D2D">
            <w:pPr>
              <w:pStyle w:val="TableText0"/>
              <w:spacing w:before="0" w:after="0"/>
            </w:pPr>
            <w:r>
              <w:t>Annual</w:t>
            </w:r>
          </w:p>
        </w:tc>
      </w:tr>
      <w:tr w:rsidR="00D03DF8" w:rsidRPr="000937B8" w:rsidTr="00504D2D">
        <w:tc>
          <w:tcPr>
            <w:tcW w:w="982" w:type="pct"/>
            <w:shd w:val="clear" w:color="auto" w:fill="auto"/>
            <w:vAlign w:val="center"/>
          </w:tcPr>
          <w:p w:rsidR="00D03DF8" w:rsidRPr="000937B8" w:rsidRDefault="00D03DF8" w:rsidP="00504D2D">
            <w:pPr>
              <w:pStyle w:val="TableText0"/>
              <w:spacing w:before="0" w:after="0"/>
            </w:pPr>
            <w:r w:rsidRPr="000937B8">
              <w:t xml:space="preserve">Transition probability </w:t>
            </w:r>
          </w:p>
        </w:tc>
        <w:tc>
          <w:tcPr>
            <w:tcW w:w="4018" w:type="pct"/>
            <w:shd w:val="clear" w:color="auto" w:fill="auto"/>
            <w:vAlign w:val="center"/>
          </w:tcPr>
          <w:p w:rsidR="00D03DF8" w:rsidRPr="00592892" w:rsidRDefault="00D03DF8" w:rsidP="00504D2D">
            <w:pPr>
              <w:pStyle w:val="TableText0"/>
              <w:spacing w:before="0" w:after="0"/>
              <w:rPr>
                <w:szCs w:val="20"/>
              </w:rPr>
            </w:pPr>
            <w:r>
              <w:rPr>
                <w:szCs w:val="20"/>
              </w:rPr>
              <w:t xml:space="preserve">Transition probabilities for fracture were derived from the risk of fracture in the alendronate arm of the ARCH trial with adjustments using the Garvan risk calculator to account for the higher risk in the target PBS population. Treatment effect estimates were derived from the ARCH trial with additional extrapolation beyond the clinical data. Probability of death was based on Australian life tables with mortality multipliers based on fracture history. </w:t>
            </w:r>
          </w:p>
        </w:tc>
      </w:tr>
      <w:tr w:rsidR="00D03DF8" w:rsidRPr="000937B8" w:rsidTr="00504D2D">
        <w:tc>
          <w:tcPr>
            <w:tcW w:w="982" w:type="pct"/>
            <w:shd w:val="clear" w:color="auto" w:fill="auto"/>
            <w:vAlign w:val="center"/>
          </w:tcPr>
          <w:p w:rsidR="00D03DF8" w:rsidRPr="000937B8" w:rsidRDefault="00D03DF8" w:rsidP="00504D2D">
            <w:pPr>
              <w:pStyle w:val="TableText0"/>
              <w:spacing w:before="0" w:after="0"/>
            </w:pPr>
            <w:r>
              <w:t>Discount rate</w:t>
            </w:r>
          </w:p>
        </w:tc>
        <w:tc>
          <w:tcPr>
            <w:tcW w:w="4018" w:type="pct"/>
            <w:shd w:val="clear" w:color="auto" w:fill="auto"/>
            <w:vAlign w:val="center"/>
          </w:tcPr>
          <w:p w:rsidR="00D03DF8" w:rsidRPr="00FC7A10" w:rsidRDefault="00D03DF8" w:rsidP="00504D2D">
            <w:pPr>
              <w:pStyle w:val="TableText0"/>
              <w:spacing w:before="0" w:after="0"/>
            </w:pPr>
            <w:r w:rsidRPr="00FC7A10">
              <w:t>5% for costs and outcomes</w:t>
            </w:r>
          </w:p>
        </w:tc>
      </w:tr>
      <w:tr w:rsidR="00D03DF8" w:rsidRPr="000937B8" w:rsidTr="00504D2D">
        <w:tc>
          <w:tcPr>
            <w:tcW w:w="982" w:type="pct"/>
            <w:shd w:val="clear" w:color="auto" w:fill="auto"/>
            <w:vAlign w:val="center"/>
          </w:tcPr>
          <w:p w:rsidR="00D03DF8" w:rsidRPr="000937B8" w:rsidRDefault="00D03DF8" w:rsidP="00504D2D">
            <w:pPr>
              <w:pStyle w:val="TableText0"/>
              <w:spacing w:before="0" w:after="0"/>
              <w:rPr>
                <w:rFonts w:ascii="Times" w:eastAsia="Times New Roman" w:hAnsi="Times" w:cs="Times New Roman"/>
                <w:szCs w:val="20"/>
                <w:lang w:val="en-US"/>
              </w:rPr>
            </w:pPr>
            <w:r w:rsidRPr="000937B8">
              <w:t>Software package</w:t>
            </w:r>
          </w:p>
        </w:tc>
        <w:tc>
          <w:tcPr>
            <w:tcW w:w="4018" w:type="pct"/>
            <w:shd w:val="clear" w:color="auto" w:fill="auto"/>
            <w:vAlign w:val="center"/>
          </w:tcPr>
          <w:p w:rsidR="00D03DF8" w:rsidRPr="00FC7A10" w:rsidRDefault="00D03DF8" w:rsidP="00504D2D">
            <w:pPr>
              <w:pStyle w:val="TableText0"/>
              <w:spacing w:before="0" w:after="0"/>
            </w:pPr>
            <w:r w:rsidRPr="00E9736F">
              <w:t>TreeAge Pro 2018</w:t>
            </w:r>
          </w:p>
        </w:tc>
      </w:tr>
    </w:tbl>
    <w:p w:rsidR="00D03DF8" w:rsidRDefault="00D03DF8" w:rsidP="00D03DF8">
      <w:pPr>
        <w:pStyle w:val="TableFooter"/>
      </w:pPr>
      <w:r w:rsidRPr="000C0AFA">
        <w:t xml:space="preserve">Source: </w:t>
      </w:r>
      <w:r>
        <w:t>3.1-1 (p 85) of the submission</w:t>
      </w:r>
    </w:p>
    <w:p w:rsidR="00275C5A" w:rsidRPr="00275C5A" w:rsidRDefault="00275C5A" w:rsidP="005908ED">
      <w:pPr>
        <w:pStyle w:val="TableFooter"/>
      </w:pPr>
    </w:p>
    <w:p w:rsidR="00A200C0" w:rsidRDefault="00D03DF8" w:rsidP="00CB5268">
      <w:pPr>
        <w:pStyle w:val="ListParagraph"/>
        <w:spacing w:before="120"/>
      </w:pPr>
      <w:r w:rsidRPr="00D03DF8">
        <w:t xml:space="preserve">All patients start in the baseline severe osteoporosis health state with an elevated mortality risk due to prior prevalent fracture. In each annual cycle, patients can have no event or experience a hip fracture, vertebral fracture, other fracture or death. Patients experiencing multiple fracture events accrue the acute costs and consequences of each event and have ongoing chronic costs and consequences based on the most severe event (hip fracture &gt; vertebral fracture &gt; severe osteoporosis with no fracture/other fracture). The model utilises tunnel states to adjust mortality risk based on the time since fracture. The model assumes that patients will receive romosozumab for one year followed by alendronate or alendronate only throughout the course of the model. Cardiovascular events were included as a fixed risk with the first year of romosozumab treatment rather than as a transition probability (sensitivity analysis). </w:t>
      </w:r>
    </w:p>
    <w:p w:rsidR="00D03DF8" w:rsidRPr="00B455E3" w:rsidRDefault="00D03DF8" w:rsidP="00CB5268">
      <w:pPr>
        <w:pStyle w:val="ListParagraph"/>
        <w:spacing w:before="120"/>
      </w:pPr>
      <w:r w:rsidRPr="00B455E3">
        <w:t xml:space="preserve">The model </w:t>
      </w:r>
      <w:r w:rsidR="00720380" w:rsidRPr="00B455E3">
        <w:t xml:space="preserve">structure </w:t>
      </w:r>
      <w:r w:rsidRPr="00B455E3">
        <w:t>does not allow patients to discontinue osteoporosis treatment.</w:t>
      </w:r>
      <w:r w:rsidR="00720380" w:rsidRPr="00B455E3">
        <w:t xml:space="preserve"> </w:t>
      </w:r>
      <w:r w:rsidR="00127C66" w:rsidRPr="008C40CA">
        <w:t xml:space="preserve">The ESC considered this </w:t>
      </w:r>
      <w:r w:rsidR="00720380" w:rsidRPr="008C40CA">
        <w:t>was inappropriate</w:t>
      </w:r>
      <w:r w:rsidR="00A200C0" w:rsidRPr="008C40CA">
        <w:t xml:space="preserve"> and is unlikely to reflect clinical practice</w:t>
      </w:r>
      <w:r w:rsidR="00720380" w:rsidRPr="00127C66">
        <w:rPr>
          <w:i/>
        </w:rPr>
        <w:t>.</w:t>
      </w:r>
      <w:r w:rsidR="00515D5D" w:rsidRPr="00B455E3">
        <w:t xml:space="preserve"> </w:t>
      </w:r>
    </w:p>
    <w:p w:rsidR="00CE58B4" w:rsidRPr="00B455E3" w:rsidRDefault="007E45F8" w:rsidP="00CB5268">
      <w:pPr>
        <w:pStyle w:val="ListParagraph"/>
        <w:spacing w:before="120"/>
      </w:pPr>
      <w:r w:rsidRPr="00B455E3">
        <w:lastRenderedPageBreak/>
        <w:t>The model presented in the submission was broadly similar to other published economic evaluations. The main difference was the use of sequential therapy and the assumption of perfect persistence.</w:t>
      </w:r>
      <w:r w:rsidR="00380478">
        <w:t xml:space="preserve"> </w:t>
      </w:r>
      <w:r w:rsidR="00CE58B4" w:rsidRPr="00B455E3">
        <w:t xml:space="preserve">In contrast to the current cohort model, </w:t>
      </w:r>
      <w:r w:rsidR="000578BD" w:rsidRPr="00B455E3">
        <w:t>many</w:t>
      </w:r>
      <w:r w:rsidR="00CE58B4" w:rsidRPr="00B455E3">
        <w:t xml:space="preserve"> of </w:t>
      </w:r>
      <w:r w:rsidR="000578BD" w:rsidRPr="00B455E3">
        <w:t xml:space="preserve">the </w:t>
      </w:r>
      <w:r w:rsidR="00CE58B4" w:rsidRPr="00B455E3">
        <w:t>economic models previously considered by the PBAC for osteoporosis have used a microsimulation approach to track changing patient characteristics and disease histories over time.</w:t>
      </w:r>
      <w:r w:rsidRPr="00B455E3">
        <w:t xml:space="preserve"> </w:t>
      </w:r>
    </w:p>
    <w:p w:rsidR="00275C5A" w:rsidRDefault="00177359" w:rsidP="00CB5268">
      <w:pPr>
        <w:pStyle w:val="ListParagraph"/>
        <w:spacing w:before="120"/>
      </w:pPr>
      <w:r w:rsidRPr="000C3A94">
        <w:t>Key drivers of the economic model are summarised in the table below</w:t>
      </w:r>
      <w:r w:rsidR="006C069D">
        <w:t>.</w:t>
      </w:r>
    </w:p>
    <w:p w:rsidR="00D110BD" w:rsidRDefault="00D110BD" w:rsidP="009D792E">
      <w:pPr>
        <w:rPr>
          <w:rStyle w:val="CommentReference"/>
        </w:rPr>
      </w:pPr>
      <w:r w:rsidRPr="00A56B6A">
        <w:rPr>
          <w:rStyle w:val="CommentReference"/>
        </w:rPr>
        <w:t xml:space="preserve">Table </w:t>
      </w:r>
      <w:r w:rsidR="00F7376D">
        <w:rPr>
          <w:rStyle w:val="CommentReference"/>
        </w:rPr>
        <w:t>9</w:t>
      </w:r>
      <w:r w:rsidRPr="00A56B6A">
        <w:rPr>
          <w:rStyle w:val="CommentReference"/>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9: Key drivers of the model"/>
      </w:tblPr>
      <w:tblGrid>
        <w:gridCol w:w="1713"/>
        <w:gridCol w:w="4619"/>
        <w:gridCol w:w="2685"/>
      </w:tblGrid>
      <w:tr w:rsidR="00537182" w:rsidRPr="003D1DE4" w:rsidTr="00537182">
        <w:trPr>
          <w:tblHeader/>
        </w:trPr>
        <w:tc>
          <w:tcPr>
            <w:tcW w:w="950" w:type="pct"/>
            <w:shd w:val="clear" w:color="auto" w:fill="auto"/>
            <w:vAlign w:val="center"/>
          </w:tcPr>
          <w:p w:rsidR="00D110BD" w:rsidRPr="00B455E3" w:rsidRDefault="00D110BD" w:rsidP="003D1DE4">
            <w:pPr>
              <w:pStyle w:val="Tabletext"/>
              <w:rPr>
                <w:b/>
                <w:lang w:val="en-US"/>
              </w:rPr>
            </w:pPr>
            <w:r w:rsidRPr="00B455E3">
              <w:rPr>
                <w:b/>
                <w:lang w:val="en-US"/>
              </w:rPr>
              <w:t>Description</w:t>
            </w:r>
          </w:p>
        </w:tc>
        <w:tc>
          <w:tcPr>
            <w:tcW w:w="2561" w:type="pct"/>
            <w:shd w:val="clear" w:color="auto" w:fill="auto"/>
            <w:vAlign w:val="center"/>
          </w:tcPr>
          <w:p w:rsidR="00D110BD" w:rsidRPr="00B455E3" w:rsidRDefault="00D110BD" w:rsidP="003D1DE4">
            <w:pPr>
              <w:pStyle w:val="Tabletext"/>
              <w:jc w:val="center"/>
              <w:rPr>
                <w:b/>
                <w:lang w:val="en-US"/>
              </w:rPr>
            </w:pPr>
            <w:r w:rsidRPr="00B455E3">
              <w:rPr>
                <w:b/>
                <w:lang w:val="en-US"/>
              </w:rPr>
              <w:t>Method/Value</w:t>
            </w:r>
          </w:p>
        </w:tc>
        <w:tc>
          <w:tcPr>
            <w:tcW w:w="1489" w:type="pct"/>
            <w:shd w:val="clear" w:color="auto" w:fill="auto"/>
            <w:vAlign w:val="center"/>
          </w:tcPr>
          <w:p w:rsidR="00D110BD" w:rsidRPr="00B455E3" w:rsidRDefault="00D110BD" w:rsidP="003D1DE4">
            <w:pPr>
              <w:pStyle w:val="Tabletext"/>
              <w:jc w:val="center"/>
              <w:rPr>
                <w:b/>
                <w:lang w:val="en-US"/>
              </w:rPr>
            </w:pPr>
            <w:r w:rsidRPr="00B455E3">
              <w:rPr>
                <w:b/>
                <w:lang w:val="en-US"/>
              </w:rPr>
              <w:t>Impact</w:t>
            </w:r>
          </w:p>
        </w:tc>
      </w:tr>
      <w:tr w:rsidR="00537182" w:rsidRPr="00E2771E" w:rsidTr="00537182">
        <w:tc>
          <w:tcPr>
            <w:tcW w:w="950" w:type="pct"/>
            <w:shd w:val="clear" w:color="auto" w:fill="auto"/>
            <w:vAlign w:val="center"/>
          </w:tcPr>
          <w:p w:rsidR="00D110BD" w:rsidRPr="00B455E3" w:rsidRDefault="00177359" w:rsidP="003D1DE4">
            <w:pPr>
              <w:pStyle w:val="Tabletext"/>
              <w:rPr>
                <w:lang w:val="en-US"/>
              </w:rPr>
            </w:pPr>
            <w:r w:rsidRPr="00B455E3">
              <w:rPr>
                <w:lang w:val="en-US"/>
              </w:rPr>
              <w:t>Extrapolation of treatment effect</w:t>
            </w:r>
          </w:p>
        </w:tc>
        <w:tc>
          <w:tcPr>
            <w:tcW w:w="2561" w:type="pct"/>
            <w:shd w:val="clear" w:color="auto" w:fill="auto"/>
            <w:vAlign w:val="center"/>
          </w:tcPr>
          <w:p w:rsidR="00106B80" w:rsidRPr="00B455E3" w:rsidRDefault="00177359" w:rsidP="003D1DE4">
            <w:pPr>
              <w:pStyle w:val="Tabletext"/>
              <w:rPr>
                <w:lang w:val="en-US"/>
              </w:rPr>
            </w:pPr>
            <w:r w:rsidRPr="00B455E3">
              <w:rPr>
                <w:lang w:val="en-US"/>
              </w:rPr>
              <w:t>Extrapolation of treatment effect modelled using a parametric curve for 5 years with linear convergence at 10 years. C</w:t>
            </w:r>
            <w:r w:rsidR="009A763A" w:rsidRPr="00B455E3">
              <w:rPr>
                <w:lang w:val="en-US"/>
              </w:rPr>
              <w:t>linical data is limited</w:t>
            </w:r>
            <w:r w:rsidRPr="00B455E3">
              <w:rPr>
                <w:lang w:val="en-US"/>
              </w:rPr>
              <w:t xml:space="preserve"> to</w:t>
            </w:r>
            <w:r w:rsidR="00F627B5" w:rsidRPr="00B455E3">
              <w:rPr>
                <w:lang w:val="en-US"/>
              </w:rPr>
              <w:t xml:space="preserve"> a median follow-up of 33 months</w:t>
            </w:r>
            <w:r w:rsidRPr="00B455E3">
              <w:rPr>
                <w:lang w:val="en-US"/>
              </w:rPr>
              <w:t>.</w:t>
            </w:r>
            <w:r w:rsidR="009A763A" w:rsidRPr="00B455E3">
              <w:rPr>
                <w:lang w:val="en-US"/>
              </w:rPr>
              <w:t xml:space="preserve"> The long-term efficacy of romosozumab appears to be conditional on patients continuing to use anti-resorptive therapy. However, available epidemiology data suggest relatively poor persistence with osteoporosis treatments in clinical practice. </w:t>
            </w:r>
            <w:r w:rsidRPr="00B455E3">
              <w:rPr>
                <w:lang w:val="en-US"/>
              </w:rPr>
              <w:t xml:space="preserve"> </w:t>
            </w:r>
          </w:p>
        </w:tc>
        <w:tc>
          <w:tcPr>
            <w:tcW w:w="1489" w:type="pct"/>
            <w:shd w:val="clear" w:color="auto" w:fill="auto"/>
            <w:vAlign w:val="center"/>
          </w:tcPr>
          <w:p w:rsidR="00D110BD" w:rsidRPr="008C40CA" w:rsidRDefault="00177359" w:rsidP="00177359">
            <w:pPr>
              <w:pStyle w:val="Tabletext"/>
              <w:jc w:val="center"/>
              <w:rPr>
                <w:lang w:val="en-US"/>
              </w:rPr>
            </w:pPr>
            <w:r w:rsidRPr="008C40CA">
              <w:rPr>
                <w:lang w:val="en-US"/>
              </w:rPr>
              <w:t xml:space="preserve">High, </w:t>
            </w:r>
            <w:r w:rsidRPr="008C40CA">
              <w:rPr>
                <w:lang w:val="en-US"/>
              </w:rPr>
              <w:br/>
              <w:t>favours romosozumab</w:t>
            </w:r>
          </w:p>
        </w:tc>
      </w:tr>
      <w:tr w:rsidR="00537182" w:rsidRPr="00E2771E" w:rsidTr="00537182">
        <w:tc>
          <w:tcPr>
            <w:tcW w:w="950" w:type="pct"/>
            <w:shd w:val="clear" w:color="auto" w:fill="auto"/>
            <w:vAlign w:val="center"/>
          </w:tcPr>
          <w:p w:rsidR="00D110BD" w:rsidRPr="00B455E3" w:rsidRDefault="009A763A" w:rsidP="003D1DE4">
            <w:pPr>
              <w:pStyle w:val="Tabletext"/>
              <w:rPr>
                <w:lang w:val="en-US"/>
              </w:rPr>
            </w:pPr>
            <w:r w:rsidRPr="00B455E3">
              <w:rPr>
                <w:lang w:val="en-US"/>
              </w:rPr>
              <w:t>Magnitude of treatment effect</w:t>
            </w:r>
          </w:p>
        </w:tc>
        <w:tc>
          <w:tcPr>
            <w:tcW w:w="2561" w:type="pct"/>
            <w:shd w:val="clear" w:color="auto" w:fill="auto"/>
            <w:vAlign w:val="center"/>
          </w:tcPr>
          <w:p w:rsidR="009A763A" w:rsidRPr="00B455E3" w:rsidRDefault="009A763A" w:rsidP="003D1DE4">
            <w:pPr>
              <w:pStyle w:val="Tabletext"/>
              <w:rPr>
                <w:lang w:val="en-US"/>
              </w:rPr>
            </w:pPr>
            <w:r w:rsidRPr="00B455E3">
              <w:rPr>
                <w:lang w:val="en-US"/>
              </w:rPr>
              <w:t>Treatment effects modelled based on data from the ARCH trial.</w:t>
            </w:r>
          </w:p>
          <w:p w:rsidR="00D110BD" w:rsidRPr="00B455E3" w:rsidRDefault="009A763A" w:rsidP="003D1DE4">
            <w:pPr>
              <w:pStyle w:val="Tabletext"/>
              <w:rPr>
                <w:lang w:val="en-US"/>
              </w:rPr>
            </w:pPr>
            <w:r w:rsidRPr="00B455E3">
              <w:rPr>
                <w:lang w:val="en-US"/>
              </w:rPr>
              <w:t xml:space="preserve">The estimated cost effectiveness of romosozumab is sensitive to uncertainty around the point estimates used in the model   </w:t>
            </w:r>
          </w:p>
        </w:tc>
        <w:tc>
          <w:tcPr>
            <w:tcW w:w="1489" w:type="pct"/>
            <w:shd w:val="clear" w:color="auto" w:fill="auto"/>
            <w:vAlign w:val="center"/>
          </w:tcPr>
          <w:p w:rsidR="00D110BD" w:rsidRPr="008C40CA" w:rsidRDefault="009A763A" w:rsidP="009A763A">
            <w:pPr>
              <w:pStyle w:val="Tabletext"/>
              <w:jc w:val="center"/>
              <w:rPr>
                <w:lang w:val="en-US"/>
              </w:rPr>
            </w:pPr>
            <w:r w:rsidRPr="008C40CA">
              <w:rPr>
                <w:lang w:val="en-US"/>
              </w:rPr>
              <w:t>High</w:t>
            </w:r>
            <w:r w:rsidR="00CF1D32" w:rsidRPr="008C40CA">
              <w:rPr>
                <w:lang w:val="en-US"/>
              </w:rPr>
              <w:t>,</w:t>
            </w:r>
          </w:p>
          <w:p w:rsidR="00CF1D32" w:rsidRPr="008C40CA" w:rsidRDefault="00CF1D32" w:rsidP="009A763A">
            <w:pPr>
              <w:pStyle w:val="Tabletext"/>
              <w:jc w:val="center"/>
              <w:rPr>
                <w:lang w:val="en-US"/>
              </w:rPr>
            </w:pPr>
            <w:r w:rsidRPr="008C40CA">
              <w:rPr>
                <w:lang w:val="en-US"/>
              </w:rPr>
              <w:t>favours romosozumab</w:t>
            </w:r>
          </w:p>
        </w:tc>
      </w:tr>
      <w:tr w:rsidR="00437190" w:rsidRPr="00E2771E" w:rsidTr="00537182">
        <w:tc>
          <w:tcPr>
            <w:tcW w:w="950" w:type="pct"/>
            <w:shd w:val="clear" w:color="auto" w:fill="auto"/>
            <w:vAlign w:val="center"/>
          </w:tcPr>
          <w:p w:rsidR="00437190" w:rsidRPr="00B455E3" w:rsidRDefault="00437190" w:rsidP="003D1DE4">
            <w:pPr>
              <w:pStyle w:val="Tabletext"/>
              <w:rPr>
                <w:lang w:val="en-US"/>
              </w:rPr>
            </w:pPr>
            <w:r w:rsidRPr="00B455E3">
              <w:rPr>
                <w:lang w:val="en-US"/>
              </w:rPr>
              <w:t>Circumstances of use</w:t>
            </w:r>
          </w:p>
        </w:tc>
        <w:tc>
          <w:tcPr>
            <w:tcW w:w="2561" w:type="pct"/>
            <w:shd w:val="clear" w:color="auto" w:fill="auto"/>
            <w:vAlign w:val="center"/>
          </w:tcPr>
          <w:p w:rsidR="00437190" w:rsidRPr="008C40CA" w:rsidRDefault="00437190" w:rsidP="003D1DE4">
            <w:pPr>
              <w:pStyle w:val="Tabletext"/>
              <w:rPr>
                <w:lang w:val="en-US"/>
              </w:rPr>
            </w:pPr>
            <w:r w:rsidRPr="00B455E3">
              <w:rPr>
                <w:lang w:val="en-US"/>
              </w:rPr>
              <w:t>The economic analysis a</w:t>
            </w:r>
            <w:r w:rsidR="00E87D59" w:rsidRPr="00B455E3">
              <w:rPr>
                <w:lang w:val="en-US"/>
              </w:rPr>
              <w:t>ssumed patients would only recei</w:t>
            </w:r>
            <w:r w:rsidRPr="00B455E3">
              <w:rPr>
                <w:lang w:val="en-US"/>
              </w:rPr>
              <w:t xml:space="preserve">ve a single </w:t>
            </w:r>
            <w:r w:rsidRPr="008C40CA">
              <w:rPr>
                <w:lang w:val="en-US"/>
              </w:rPr>
              <w:t>12 month treatment course of romosozumab. The cost-effectiveness of longer treatment courses or multiple treatment courses over a patient lifetime was unclear</w:t>
            </w:r>
            <w:r w:rsidR="00CF1D32" w:rsidRPr="008C40CA">
              <w:rPr>
                <w:lang w:val="en-US"/>
              </w:rPr>
              <w:t>, although the</w:t>
            </w:r>
            <w:r w:rsidR="000D161C" w:rsidRPr="008C40CA">
              <w:rPr>
                <w:lang w:val="en-US"/>
              </w:rPr>
              <w:t xml:space="preserve"> Pre-Sub-Committee Response (</w:t>
            </w:r>
            <w:r w:rsidR="00CF1D32" w:rsidRPr="008C40CA">
              <w:rPr>
                <w:lang w:val="en-US"/>
              </w:rPr>
              <w:t>PSCR</w:t>
            </w:r>
            <w:r w:rsidR="000D161C" w:rsidRPr="008C40CA">
              <w:rPr>
                <w:lang w:val="en-US"/>
              </w:rPr>
              <w:t>)</w:t>
            </w:r>
            <w:r w:rsidR="00CF1D32" w:rsidRPr="008C40CA">
              <w:rPr>
                <w:lang w:val="en-US"/>
              </w:rPr>
              <w:t xml:space="preserve"> proposed that use of romosozumab should be restricted to a single 12 month course per patient</w:t>
            </w:r>
            <w:r w:rsidRPr="008C40CA">
              <w:rPr>
                <w:lang w:val="en-US"/>
              </w:rPr>
              <w:t>.</w:t>
            </w:r>
          </w:p>
          <w:p w:rsidR="00CF1D32" w:rsidRPr="008C40CA" w:rsidRDefault="00CF1D32" w:rsidP="003D1DE4">
            <w:pPr>
              <w:pStyle w:val="Tabletext"/>
              <w:rPr>
                <w:lang w:val="en-US"/>
              </w:rPr>
            </w:pPr>
            <w:r w:rsidRPr="008C40CA">
              <w:rPr>
                <w:lang w:val="en-US"/>
              </w:rPr>
              <w:t xml:space="preserve">The </w:t>
            </w:r>
            <w:r w:rsidR="000D161C" w:rsidRPr="008C40CA">
              <w:rPr>
                <w:lang w:val="en-US"/>
              </w:rPr>
              <w:t>PSCR</w:t>
            </w:r>
            <w:r w:rsidRPr="008C40CA">
              <w:rPr>
                <w:lang w:val="en-US"/>
              </w:rPr>
              <w:t xml:space="preserve"> proposed that patients would self-inject romosozumab; however in the clinical trial it was administered by health care professionals. The ESC considered that this </w:t>
            </w:r>
            <w:r w:rsidR="00A8357E" w:rsidRPr="008C40CA">
              <w:rPr>
                <w:lang w:val="en-US"/>
              </w:rPr>
              <w:t xml:space="preserve">may </w:t>
            </w:r>
            <w:r w:rsidRPr="008C40CA">
              <w:rPr>
                <w:lang w:val="en-US"/>
              </w:rPr>
              <w:t xml:space="preserve">impact </w:t>
            </w:r>
            <w:r w:rsidR="00A8357E" w:rsidRPr="008C40CA">
              <w:rPr>
                <w:lang w:val="en-US"/>
              </w:rPr>
              <w:t>adherence</w:t>
            </w:r>
            <w:r w:rsidRPr="008C40CA">
              <w:rPr>
                <w:lang w:val="en-US"/>
              </w:rPr>
              <w:t xml:space="preserve"> and the incremental efficacy. </w:t>
            </w:r>
          </w:p>
          <w:p w:rsidR="00CF1D32" w:rsidRPr="00CF1D32" w:rsidRDefault="00CF1D32" w:rsidP="00CA4669">
            <w:pPr>
              <w:pStyle w:val="Tabletext"/>
              <w:rPr>
                <w:i/>
                <w:lang w:val="en-US"/>
              </w:rPr>
            </w:pPr>
            <w:r w:rsidRPr="008C40CA">
              <w:rPr>
                <w:lang w:val="en-US"/>
              </w:rPr>
              <w:t xml:space="preserve">Further, the </w:t>
            </w:r>
            <w:r w:rsidR="00CA4669" w:rsidRPr="008C40CA">
              <w:rPr>
                <w:lang w:val="en-US"/>
              </w:rPr>
              <w:t>model</w:t>
            </w:r>
            <w:r w:rsidRPr="008C40CA">
              <w:rPr>
                <w:lang w:val="en-US"/>
              </w:rPr>
              <w:t xml:space="preserve"> assumed levels of compliance to subsequent anti-resorptive therapies that were unlikely to be achieved in clinical practice.</w:t>
            </w:r>
          </w:p>
        </w:tc>
        <w:tc>
          <w:tcPr>
            <w:tcW w:w="1489" w:type="pct"/>
            <w:shd w:val="clear" w:color="auto" w:fill="auto"/>
            <w:vAlign w:val="center"/>
          </w:tcPr>
          <w:p w:rsidR="00CF1D32" w:rsidRPr="008C40CA" w:rsidRDefault="00437190" w:rsidP="00437190">
            <w:pPr>
              <w:pStyle w:val="Tabletext"/>
              <w:jc w:val="center"/>
              <w:rPr>
                <w:lang w:val="en-US"/>
              </w:rPr>
            </w:pPr>
            <w:r w:rsidRPr="008C40CA">
              <w:rPr>
                <w:lang w:val="en-US"/>
              </w:rPr>
              <w:t>High</w:t>
            </w:r>
            <w:r w:rsidR="00CF1D32" w:rsidRPr="008C40CA">
              <w:rPr>
                <w:lang w:val="en-US"/>
              </w:rPr>
              <w:t>,</w:t>
            </w:r>
          </w:p>
          <w:p w:rsidR="00437190" w:rsidRPr="008C40CA" w:rsidRDefault="00CF1D32" w:rsidP="00437190">
            <w:pPr>
              <w:pStyle w:val="Tabletext"/>
              <w:jc w:val="center"/>
              <w:rPr>
                <w:lang w:val="en-US"/>
              </w:rPr>
            </w:pPr>
            <w:r w:rsidRPr="008C40CA">
              <w:rPr>
                <w:lang w:val="en-US"/>
              </w:rPr>
              <w:t>favours romosozumab</w:t>
            </w:r>
          </w:p>
        </w:tc>
      </w:tr>
    </w:tbl>
    <w:p w:rsidR="00D110BD" w:rsidRDefault="009D792E" w:rsidP="009D792E">
      <w:pPr>
        <w:pStyle w:val="TableFooter"/>
      </w:pPr>
      <w:r>
        <w:t>So</w:t>
      </w:r>
      <w:r w:rsidR="009A763A">
        <w:t>urce: Constructed during the evaluation</w:t>
      </w:r>
    </w:p>
    <w:p w:rsidR="00D00E8B" w:rsidRPr="008C40CA" w:rsidRDefault="009A763A" w:rsidP="00CB5268">
      <w:pPr>
        <w:pStyle w:val="ListParagraph"/>
        <w:spacing w:before="120"/>
      </w:pPr>
      <w:r w:rsidRPr="00B455E3">
        <w:t>The submission used a complex multi-step approach</w:t>
      </w:r>
      <w:r w:rsidR="00976B77" w:rsidRPr="00B455E3">
        <w:t xml:space="preserve"> using the Garvan risk calculator to estimate</w:t>
      </w:r>
      <w:r w:rsidRPr="00B455E3">
        <w:t xml:space="preserve"> the background risk of fracture in the target PBS population. </w:t>
      </w:r>
      <w:r w:rsidR="00976B77" w:rsidRPr="00B455E3">
        <w:t>Overall, the adjustment of fracture risk using the Garvan risk calculator was poorly justified (</w:t>
      </w:r>
      <w:r w:rsidR="007A431F" w:rsidRPr="00B455E3">
        <w:t>insufficient data available to reliably quantify</w:t>
      </w:r>
      <w:r w:rsidR="00976B77" w:rsidRPr="00B455E3">
        <w:t xml:space="preserve"> risk factors, implausibly high hip fracture risks and lack of external validation) and may not be a reasonable estimate </w:t>
      </w:r>
      <w:r w:rsidR="00976B77" w:rsidRPr="008C40CA">
        <w:t>of fracture risk in the target PBS population.</w:t>
      </w:r>
      <w:r w:rsidR="007E76DB" w:rsidRPr="008C40CA">
        <w:t xml:space="preserve"> </w:t>
      </w:r>
    </w:p>
    <w:p w:rsidR="009A763A" w:rsidRPr="008C40CA" w:rsidRDefault="007E76DB" w:rsidP="00CB5268">
      <w:pPr>
        <w:pStyle w:val="ListParagraph"/>
        <w:spacing w:before="120"/>
      </w:pPr>
      <w:r w:rsidRPr="008C40CA">
        <w:t>The ESC considered that the submission</w:t>
      </w:r>
      <w:r w:rsidR="00054332" w:rsidRPr="008C40CA">
        <w:t>’</w:t>
      </w:r>
      <w:r w:rsidRPr="008C40CA">
        <w:t xml:space="preserve">s estimation and adjustment of fracture risk using the Garvan risk calculator introduced considerable uncertainty as </w:t>
      </w:r>
      <w:r w:rsidR="00743BD1" w:rsidRPr="008C40CA">
        <w:t>several</w:t>
      </w:r>
      <w:r w:rsidRPr="008C40CA">
        <w:t xml:space="preserve"> adjustment inputs</w:t>
      </w:r>
      <w:r w:rsidR="006275CC" w:rsidRPr="008C40CA">
        <w:t xml:space="preserve"> and assumptions</w:t>
      </w:r>
      <w:r w:rsidRPr="008C40CA">
        <w:t xml:space="preserve"> were poorly justified including: </w:t>
      </w:r>
    </w:p>
    <w:p w:rsidR="007E76DB" w:rsidRPr="008B2EF6" w:rsidRDefault="007E76DB" w:rsidP="00CB5268">
      <w:pPr>
        <w:pStyle w:val="ListParagraph"/>
        <w:numPr>
          <w:ilvl w:val="0"/>
          <w:numId w:val="6"/>
        </w:numPr>
        <w:spacing w:before="120"/>
        <w:ind w:left="1276" w:hanging="567"/>
      </w:pPr>
      <w:r w:rsidRPr="008C40CA">
        <w:t>Use of</w:t>
      </w:r>
      <w:r w:rsidR="008D5480" w:rsidRPr="008C40CA">
        <w:t xml:space="preserve"> only</w:t>
      </w:r>
      <w:r w:rsidR="008B2EF6" w:rsidRPr="008C40CA">
        <w:t xml:space="preserve"> female patient data from</w:t>
      </w:r>
      <w:r w:rsidRPr="008C40CA">
        <w:t xml:space="preserve"> the Geelong osteoporosis Study to estimate the fracture and falls history of the target PBS population.</w:t>
      </w:r>
      <w:r w:rsidR="008D5480" w:rsidRPr="008C40CA">
        <w:t xml:space="preserve"> Further,</w:t>
      </w:r>
      <w:r w:rsidRPr="008C40CA">
        <w:t xml:space="preserve"> </w:t>
      </w:r>
      <w:r w:rsidR="008D5480" w:rsidRPr="008C40CA">
        <w:t>t</w:t>
      </w:r>
      <w:r w:rsidRPr="008C40CA">
        <w:t xml:space="preserve">he ESC noted that the estimated fracture and falls histories were derived from </w:t>
      </w:r>
      <w:r w:rsidRPr="008C40CA">
        <w:lastRenderedPageBreak/>
        <w:t>estimates approximately 25 years old which may not be representative of current clinical practice</w:t>
      </w:r>
      <w:r>
        <w:rPr>
          <w:i/>
        </w:rPr>
        <w:t>.</w:t>
      </w:r>
    </w:p>
    <w:p w:rsidR="008B2EF6" w:rsidRPr="008C40CA" w:rsidRDefault="00054332" w:rsidP="00CB5268">
      <w:pPr>
        <w:pStyle w:val="ListParagraph"/>
        <w:numPr>
          <w:ilvl w:val="0"/>
          <w:numId w:val="6"/>
        </w:numPr>
        <w:spacing w:before="120"/>
        <w:ind w:left="1276" w:hanging="567"/>
      </w:pPr>
      <w:r w:rsidRPr="008C40CA">
        <w:t>The a</w:t>
      </w:r>
      <w:r w:rsidR="008B2EF6" w:rsidRPr="008C40CA">
        <w:t>ssumption that 50% of patients in the ARCH trial would have had a prior falls history.</w:t>
      </w:r>
    </w:p>
    <w:p w:rsidR="007E76DB" w:rsidRPr="008C40CA" w:rsidRDefault="008B2EF6" w:rsidP="00CB5268">
      <w:pPr>
        <w:pStyle w:val="ListParagraph"/>
        <w:numPr>
          <w:ilvl w:val="0"/>
          <w:numId w:val="6"/>
        </w:numPr>
        <w:spacing w:before="120"/>
        <w:ind w:left="1276" w:hanging="567"/>
      </w:pPr>
      <w:r w:rsidRPr="008C40CA">
        <w:t>Estimation of the distribution of prior fractures across patients in the ARCH trial were based on proportions of patients with prevalent vertebral and non-vertebral fractures. The ESC noted that this did not account for patients with multiple fractures at baseline.</w:t>
      </w:r>
    </w:p>
    <w:p w:rsidR="00743BD1" w:rsidRPr="008C40CA" w:rsidRDefault="00DE44DF" w:rsidP="00CB5268">
      <w:pPr>
        <w:pStyle w:val="ListParagraph"/>
        <w:numPr>
          <w:ilvl w:val="0"/>
          <w:numId w:val="6"/>
        </w:numPr>
        <w:spacing w:before="120"/>
        <w:ind w:left="1276" w:hanging="567"/>
      </w:pPr>
      <w:r w:rsidRPr="008C40CA">
        <w:t>Estimation of the difference in BMD T-scores was based on lumbar spine BMD T-scores whereas the Garvan risk calculator uses femoral neck BMD T-scores. The ESC noted that a comparison of femoral neck BMD scores indicated that the overall ARCH population has worse BMD scores than the target PBS population.</w:t>
      </w:r>
    </w:p>
    <w:p w:rsidR="00743BD1" w:rsidRPr="008C40CA" w:rsidRDefault="00743BD1" w:rsidP="00CB5268">
      <w:pPr>
        <w:pStyle w:val="ListParagraph"/>
        <w:numPr>
          <w:ilvl w:val="0"/>
          <w:numId w:val="6"/>
        </w:numPr>
        <w:spacing w:before="120"/>
        <w:ind w:left="1276" w:hanging="567"/>
      </w:pPr>
      <w:r w:rsidRPr="008C40CA">
        <w:t xml:space="preserve">The Garvan risk calculator is used to estimate both a 5 and 10 year risk of hip fracture. The submission did not justify deriving fracture estimates based on 5-year risk only. </w:t>
      </w:r>
    </w:p>
    <w:p w:rsidR="00743BD1" w:rsidRPr="008C40CA" w:rsidRDefault="00743BD1" w:rsidP="00CB5268">
      <w:pPr>
        <w:pStyle w:val="ListParagraph"/>
        <w:spacing w:before="120"/>
      </w:pPr>
      <w:r w:rsidRPr="008C40CA">
        <w:t>Overall, the ESC considered that the</w:t>
      </w:r>
      <w:r w:rsidR="003600DF" w:rsidRPr="008C40CA">
        <w:t xml:space="preserve"> methodology for</w:t>
      </w:r>
      <w:r w:rsidRPr="008C40CA">
        <w:t xml:space="preserve"> adjustment of background fracture risk was not sufficiently justified</w:t>
      </w:r>
      <w:r w:rsidR="00054332" w:rsidRPr="008C40CA">
        <w:t>, and likely significantly overestimated the fracture risk in the PBS population</w:t>
      </w:r>
      <w:r w:rsidR="006910A8" w:rsidRPr="008C40CA">
        <w:t xml:space="preserve"> (further discussed below)</w:t>
      </w:r>
      <w:r w:rsidR="00AA3968" w:rsidRPr="008C40CA">
        <w:t xml:space="preserve">. </w:t>
      </w:r>
    </w:p>
    <w:p w:rsidR="009A763A" w:rsidRPr="00B455E3" w:rsidRDefault="00976B77" w:rsidP="00CB5268">
      <w:pPr>
        <w:pStyle w:val="ListParagraph"/>
        <w:spacing w:before="120"/>
      </w:pPr>
      <w:r w:rsidRPr="00B455E3">
        <w:t xml:space="preserve">The submission estimated mortality multipliers based on the Dubbo Osteoporosis Epidemiology Study. </w:t>
      </w:r>
      <w:r w:rsidR="007A431F" w:rsidRPr="00B455E3">
        <w:t>The results from the Dubbo Osteoporosis Epidemiology Study indicate an association between osteoporotic fracture and increased mortality but do not demonstrate causation. Additionally, the submission derived some multipliers using an approach that was inconsistent with the source data.</w:t>
      </w:r>
    </w:p>
    <w:p w:rsidR="009A763A" w:rsidRPr="00B455E3" w:rsidRDefault="007A431F" w:rsidP="00CB5268">
      <w:pPr>
        <w:pStyle w:val="ListParagraph"/>
        <w:spacing w:before="120"/>
      </w:pPr>
      <w:r w:rsidRPr="00B455E3">
        <w:t>The submission estimated fracture disutility values from various published studies. Utility data from the ICUROS study (which was used for cost estimates in the submission) indicated that the submission may have overestimated the disutility associated with incident vertebral fractures and prevalent hip fractures, particularly in Australian patients.</w:t>
      </w:r>
      <w:r w:rsidR="00635FE5" w:rsidRPr="00B455E3">
        <w:t xml:space="preserve"> Estimates from the ICUROS study were based on more recent data than the </w:t>
      </w:r>
      <w:r w:rsidR="00635FE5" w:rsidRPr="008C40CA">
        <w:t>disutility values used in the submission.</w:t>
      </w:r>
      <w:r w:rsidRPr="008C40CA">
        <w:t xml:space="preserve"> The submission did not attempt to validate estimated utility values against utility data captured as part of the FRAME and ARCH trials.</w:t>
      </w:r>
      <w:r w:rsidR="005F782E" w:rsidRPr="008C40CA">
        <w:t xml:space="preserve"> The ESC considered that fracture disutility values should have been estimated from the ICUROS study given </w:t>
      </w:r>
      <w:r w:rsidR="007776E6" w:rsidRPr="008C40CA">
        <w:t>these estimates are based on more recent data compared to that used in the submission. Further, the ESC considered that the estimates derived in the submission may be confounded by other factors having been derived from several differen</w:t>
      </w:r>
      <w:r w:rsidR="006910A8" w:rsidRPr="008C40CA">
        <w:t>t</w:t>
      </w:r>
      <w:r w:rsidR="007776E6" w:rsidRPr="008C40CA">
        <w:t xml:space="preserve"> sources. </w:t>
      </w:r>
      <w:r w:rsidR="00636B25" w:rsidRPr="008C40CA">
        <w:t xml:space="preserve">The ESC noted that incorporating the ICUROS utilities in the model increased the ICER </w:t>
      </w:r>
      <w:r w:rsidR="001C4510">
        <w:t>of $15,000/QALY - $45,000/QALY by 20.6%</w:t>
      </w:r>
      <w:r w:rsidR="00636B25" w:rsidRPr="008C40CA">
        <w:t>.</w:t>
      </w:r>
      <w:r w:rsidR="00636B25">
        <w:rPr>
          <w:i/>
        </w:rPr>
        <w:t xml:space="preserve"> </w:t>
      </w:r>
    </w:p>
    <w:p w:rsidR="007A431F" w:rsidRPr="00B455E3" w:rsidRDefault="007A431F" w:rsidP="00CB5268">
      <w:pPr>
        <w:pStyle w:val="ListParagraph"/>
        <w:spacing w:before="120"/>
      </w:pPr>
      <w:r w:rsidRPr="00B455E3">
        <w:t>The submission did not include cardiovascular events in the base case economic analysis. This was inconsistent with the available data from the ARCH trial.</w:t>
      </w:r>
    </w:p>
    <w:p w:rsidR="00D03DF8" w:rsidRDefault="00D03DF8" w:rsidP="00CB5268">
      <w:pPr>
        <w:pStyle w:val="ListParagraph"/>
        <w:spacing w:before="120"/>
      </w:pPr>
      <w:r>
        <w:t>The results of the stepped</w:t>
      </w:r>
      <w:r w:rsidRPr="00D03DF8">
        <w:t xml:space="preserve"> economic evaluation are summarised below.</w:t>
      </w:r>
    </w:p>
    <w:p w:rsidR="00D03DF8" w:rsidRDefault="00F7376D" w:rsidP="00D00E8B">
      <w:pPr>
        <w:pStyle w:val="TableHeading0"/>
        <w:keepLines/>
        <w:spacing w:after="0"/>
      </w:pPr>
      <w:r>
        <w:lastRenderedPageBreak/>
        <w:t>Table 10</w:t>
      </w:r>
      <w:r w:rsidR="00D03DF8">
        <w:t xml:space="preserve">: Stepped economic evaluation of romosozumab followed by alendronate compared to alendronate alone </w:t>
      </w:r>
    </w:p>
    <w:tbl>
      <w:tblPr>
        <w:tblW w:w="499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0: Stepped economic evaluation of romosozumab followed by alendronate compared to alendronate alone "/>
      </w:tblPr>
      <w:tblGrid>
        <w:gridCol w:w="2533"/>
        <w:gridCol w:w="1944"/>
        <w:gridCol w:w="1946"/>
        <w:gridCol w:w="2585"/>
      </w:tblGrid>
      <w:tr w:rsidR="00D03DF8" w:rsidRPr="00EF3278" w:rsidTr="00D77905">
        <w:trPr>
          <w:trHeight w:val="469"/>
          <w:tblHeader/>
        </w:trPr>
        <w:tc>
          <w:tcPr>
            <w:tcW w:w="1406" w:type="pct"/>
            <w:vAlign w:val="center"/>
          </w:tcPr>
          <w:p w:rsidR="00D03DF8" w:rsidRPr="00EF3278" w:rsidRDefault="00D03DF8" w:rsidP="00D00E8B">
            <w:pPr>
              <w:pStyle w:val="TableText0"/>
              <w:keepLines/>
              <w:widowControl w:val="0"/>
              <w:spacing w:before="0" w:after="0"/>
              <w:jc w:val="center"/>
              <w:rPr>
                <w:b/>
              </w:rPr>
            </w:pPr>
            <w:r w:rsidRPr="00E80037">
              <w:rPr>
                <w:b/>
              </w:rPr>
              <w:t>Type of resource item</w:t>
            </w:r>
          </w:p>
        </w:tc>
        <w:tc>
          <w:tcPr>
            <w:tcW w:w="1079" w:type="pct"/>
            <w:vAlign w:val="center"/>
          </w:tcPr>
          <w:p w:rsidR="00D03DF8" w:rsidRDefault="00D03DF8" w:rsidP="00D00E8B">
            <w:pPr>
              <w:pStyle w:val="TableText0"/>
              <w:keepLines/>
              <w:widowControl w:val="0"/>
              <w:spacing w:before="0" w:after="0"/>
              <w:jc w:val="center"/>
              <w:rPr>
                <w:b/>
              </w:rPr>
            </w:pPr>
            <w:r>
              <w:rPr>
                <w:b/>
              </w:rPr>
              <w:t>Romosozumab/</w:t>
            </w:r>
          </w:p>
          <w:p w:rsidR="00D03DF8" w:rsidRPr="00EF3278" w:rsidRDefault="00E72061" w:rsidP="00D00E8B">
            <w:pPr>
              <w:pStyle w:val="TableText0"/>
              <w:keepLines/>
              <w:widowControl w:val="0"/>
              <w:spacing w:before="0" w:after="0"/>
              <w:jc w:val="center"/>
              <w:rPr>
                <w:b/>
              </w:rPr>
            </w:pPr>
            <w:r>
              <w:rPr>
                <w:b/>
              </w:rPr>
              <w:t>A</w:t>
            </w:r>
            <w:r w:rsidR="00D03DF8">
              <w:rPr>
                <w:b/>
              </w:rPr>
              <w:t>lendronate</w:t>
            </w:r>
          </w:p>
        </w:tc>
        <w:tc>
          <w:tcPr>
            <w:tcW w:w="1080" w:type="pct"/>
            <w:vAlign w:val="center"/>
          </w:tcPr>
          <w:p w:rsidR="00D03DF8" w:rsidRDefault="00D03DF8" w:rsidP="00D00E8B">
            <w:pPr>
              <w:pStyle w:val="TableText0"/>
              <w:keepLines/>
              <w:widowControl w:val="0"/>
              <w:spacing w:before="0" w:after="0"/>
              <w:jc w:val="center"/>
              <w:rPr>
                <w:b/>
              </w:rPr>
            </w:pPr>
            <w:r>
              <w:rPr>
                <w:b/>
              </w:rPr>
              <w:t>Alendronate/</w:t>
            </w:r>
          </w:p>
          <w:p w:rsidR="00D03DF8" w:rsidRPr="00EF3278" w:rsidRDefault="00D03DF8" w:rsidP="00D00E8B">
            <w:pPr>
              <w:pStyle w:val="TableText0"/>
              <w:keepLines/>
              <w:widowControl w:val="0"/>
              <w:spacing w:before="0" w:after="0"/>
              <w:jc w:val="center"/>
              <w:rPr>
                <w:b/>
              </w:rPr>
            </w:pPr>
            <w:r>
              <w:rPr>
                <w:b/>
              </w:rPr>
              <w:t>alendronate</w:t>
            </w:r>
          </w:p>
        </w:tc>
        <w:tc>
          <w:tcPr>
            <w:tcW w:w="1435" w:type="pct"/>
          </w:tcPr>
          <w:p w:rsidR="00D03DF8" w:rsidRDefault="00D03DF8" w:rsidP="00D00E8B">
            <w:pPr>
              <w:pStyle w:val="TableText0"/>
              <w:keepLines/>
              <w:widowControl w:val="0"/>
              <w:spacing w:before="0" w:after="0"/>
              <w:jc w:val="center"/>
              <w:rPr>
                <w:b/>
              </w:rPr>
            </w:pPr>
            <w:r>
              <w:rPr>
                <w:b/>
              </w:rPr>
              <w:t xml:space="preserve">Incremental </w:t>
            </w:r>
          </w:p>
          <w:p w:rsidR="00D03DF8" w:rsidRPr="00EF3278" w:rsidRDefault="00D03DF8" w:rsidP="00D00E8B">
            <w:pPr>
              <w:pStyle w:val="TableText0"/>
              <w:keepLines/>
              <w:widowControl w:val="0"/>
              <w:spacing w:before="0" w:after="0"/>
              <w:jc w:val="center"/>
              <w:rPr>
                <w:b/>
              </w:rPr>
            </w:pPr>
            <w:r>
              <w:rPr>
                <w:b/>
              </w:rPr>
              <w:t>difference</w:t>
            </w:r>
          </w:p>
        </w:tc>
      </w:tr>
      <w:tr w:rsidR="00D03DF8" w:rsidRPr="003709BB" w:rsidTr="00504D2D">
        <w:tc>
          <w:tcPr>
            <w:tcW w:w="5000" w:type="pct"/>
            <w:gridSpan w:val="4"/>
          </w:tcPr>
          <w:p w:rsidR="00D03DF8" w:rsidRPr="003709BB" w:rsidRDefault="00D03DF8" w:rsidP="00D00E8B">
            <w:pPr>
              <w:pStyle w:val="TableText0"/>
              <w:keepLines/>
              <w:widowControl w:val="0"/>
              <w:spacing w:before="0" w:after="0"/>
              <w:jc w:val="both"/>
              <w:rPr>
                <w:b/>
              </w:rPr>
            </w:pPr>
            <w:r>
              <w:rPr>
                <w:b/>
              </w:rPr>
              <w:t xml:space="preserve">Step 1a: </w:t>
            </w:r>
            <w:r w:rsidRPr="00CF6688">
              <w:rPr>
                <w:b/>
              </w:rPr>
              <w:t>Trial based efficacy (using time to event curve for clinical fracture), 12 month horizon, drug costs only, incremental cost per patient free of any clinical fracture</w:t>
            </w:r>
          </w:p>
        </w:tc>
      </w:tr>
      <w:tr w:rsidR="00D03DF8" w:rsidRPr="003709BB" w:rsidTr="00504D2D">
        <w:tc>
          <w:tcPr>
            <w:tcW w:w="1406" w:type="pct"/>
          </w:tcPr>
          <w:p w:rsidR="00D03DF8" w:rsidRPr="003709BB" w:rsidRDefault="00D03DF8" w:rsidP="00D00E8B">
            <w:pPr>
              <w:pStyle w:val="TableText0"/>
              <w:keepLines/>
              <w:widowControl w:val="0"/>
              <w:spacing w:before="0" w:after="0"/>
            </w:pPr>
            <w:r w:rsidRPr="003709BB">
              <w:t>Costs</w:t>
            </w:r>
          </w:p>
        </w:tc>
        <w:tc>
          <w:tcPr>
            <w:tcW w:w="1079" w:type="pct"/>
            <w:vAlign w:val="bottom"/>
          </w:tcPr>
          <w:p w:rsidR="00D03DF8" w:rsidRPr="003709BB" w:rsidRDefault="00D03DF8" w:rsidP="00D00E8B">
            <w:pPr>
              <w:pStyle w:val="TableText0"/>
              <w:keepLines/>
              <w:widowControl w:val="0"/>
              <w:spacing w:before="0" w:after="0"/>
              <w:jc w:val="center"/>
            </w:pPr>
            <w:r>
              <w:t>$</w:t>
            </w:r>
            <w:r w:rsidR="00DE4D50">
              <w:rPr>
                <w:noProof/>
                <w:color w:val="000000"/>
                <w:highlight w:val="black"/>
              </w:rPr>
              <w:t>''''''''''''</w:t>
            </w:r>
          </w:p>
        </w:tc>
        <w:tc>
          <w:tcPr>
            <w:tcW w:w="1080" w:type="pct"/>
            <w:vAlign w:val="bottom"/>
          </w:tcPr>
          <w:p w:rsidR="00D03DF8" w:rsidRPr="003709BB" w:rsidRDefault="00D03DF8" w:rsidP="00D00E8B">
            <w:pPr>
              <w:pStyle w:val="TableText0"/>
              <w:keepLines/>
              <w:widowControl w:val="0"/>
              <w:spacing w:before="0" w:after="0"/>
              <w:jc w:val="center"/>
            </w:pPr>
            <w:r>
              <w:t>$</w:t>
            </w:r>
            <w:r w:rsidR="00DE4D50">
              <w:rPr>
                <w:noProof/>
                <w:color w:val="000000"/>
                <w:highlight w:val="black"/>
              </w:rPr>
              <w:t>''''''''''</w:t>
            </w:r>
          </w:p>
        </w:tc>
        <w:tc>
          <w:tcPr>
            <w:tcW w:w="1435" w:type="pct"/>
            <w:vAlign w:val="center"/>
          </w:tcPr>
          <w:p w:rsidR="00D03DF8" w:rsidRPr="003709BB" w:rsidRDefault="00D03DF8" w:rsidP="00D00E8B">
            <w:pPr>
              <w:pStyle w:val="TableText0"/>
              <w:keepLines/>
              <w:widowControl w:val="0"/>
              <w:spacing w:before="0" w:after="0"/>
              <w:jc w:val="center"/>
            </w:pPr>
            <w:r>
              <w:t>$</w:t>
            </w:r>
            <w:r w:rsidR="00DE4D50">
              <w:rPr>
                <w:noProof/>
                <w:color w:val="000000"/>
                <w:highlight w:val="black"/>
              </w:rPr>
              <w:t>'''''''''''''</w:t>
            </w:r>
          </w:p>
        </w:tc>
      </w:tr>
      <w:tr w:rsidR="00D03DF8" w:rsidRPr="003709BB" w:rsidTr="00504D2D">
        <w:tc>
          <w:tcPr>
            <w:tcW w:w="1406" w:type="pct"/>
          </w:tcPr>
          <w:p w:rsidR="00D03DF8" w:rsidRPr="003709BB" w:rsidRDefault="00D03DF8" w:rsidP="00D00E8B">
            <w:pPr>
              <w:pStyle w:val="TableText0"/>
              <w:keepLines/>
              <w:widowControl w:val="0"/>
              <w:spacing w:before="0" w:after="0"/>
            </w:pPr>
            <w:r>
              <w:t>Patients without fracture</w:t>
            </w:r>
          </w:p>
        </w:tc>
        <w:tc>
          <w:tcPr>
            <w:tcW w:w="1079" w:type="pct"/>
            <w:vAlign w:val="bottom"/>
          </w:tcPr>
          <w:p w:rsidR="00D03DF8" w:rsidRPr="00DE4D50" w:rsidRDefault="00DE4D50" w:rsidP="00D00E8B">
            <w:pPr>
              <w:pStyle w:val="TableText0"/>
              <w:keepLines/>
              <w:widowControl w:val="0"/>
              <w:spacing w:before="0" w:after="0"/>
              <w:jc w:val="center"/>
              <w:rPr>
                <w:highlight w:val="black"/>
              </w:rPr>
            </w:pPr>
            <w:r>
              <w:rPr>
                <w:noProof/>
                <w:color w:val="000000"/>
                <w:highlight w:val="black"/>
              </w:rPr>
              <w:t>''''''''''''</w:t>
            </w:r>
          </w:p>
        </w:tc>
        <w:tc>
          <w:tcPr>
            <w:tcW w:w="1080" w:type="pct"/>
            <w:vAlign w:val="bottom"/>
          </w:tcPr>
          <w:p w:rsidR="00D03DF8" w:rsidRPr="00DE4D50" w:rsidRDefault="00DE4D50" w:rsidP="00D00E8B">
            <w:pPr>
              <w:pStyle w:val="TableText0"/>
              <w:keepLines/>
              <w:widowControl w:val="0"/>
              <w:spacing w:before="0" w:after="0"/>
              <w:jc w:val="center"/>
              <w:rPr>
                <w:highlight w:val="black"/>
              </w:rPr>
            </w:pPr>
            <w:r>
              <w:rPr>
                <w:noProof/>
                <w:color w:val="000000"/>
                <w:highlight w:val="black"/>
              </w:rPr>
              <w:t>''''''''''''''</w:t>
            </w:r>
          </w:p>
        </w:tc>
        <w:tc>
          <w:tcPr>
            <w:tcW w:w="1435" w:type="pct"/>
            <w:vAlign w:val="center"/>
          </w:tcPr>
          <w:p w:rsidR="00D03DF8" w:rsidRPr="00DE4D50" w:rsidRDefault="00DE4D50" w:rsidP="00D00E8B">
            <w:pPr>
              <w:pStyle w:val="TableText0"/>
              <w:keepLines/>
              <w:widowControl w:val="0"/>
              <w:spacing w:before="0" w:after="0"/>
              <w:jc w:val="center"/>
              <w:rPr>
                <w:highlight w:val="black"/>
              </w:rPr>
            </w:pPr>
            <w:r>
              <w:rPr>
                <w:noProof/>
                <w:color w:val="000000"/>
                <w:highlight w:val="black"/>
              </w:rPr>
              <w:t>''''''''''''''</w:t>
            </w:r>
          </w:p>
        </w:tc>
      </w:tr>
      <w:tr w:rsidR="00D03DF8" w:rsidRPr="003709BB" w:rsidTr="00504D2D">
        <w:tc>
          <w:tcPr>
            <w:tcW w:w="3565" w:type="pct"/>
            <w:gridSpan w:val="3"/>
          </w:tcPr>
          <w:p w:rsidR="00D03DF8" w:rsidRPr="00E128A6" w:rsidRDefault="00D03DF8" w:rsidP="00D00E8B">
            <w:pPr>
              <w:pStyle w:val="TableText0"/>
              <w:keepLines/>
              <w:widowControl w:val="0"/>
              <w:spacing w:before="0" w:after="0"/>
              <w:jc w:val="right"/>
              <w:rPr>
                <w:b/>
              </w:rPr>
            </w:pPr>
            <w:r>
              <w:rPr>
                <w:b/>
              </w:rPr>
              <w:t>I</w:t>
            </w:r>
            <w:r w:rsidRPr="00301B9D">
              <w:rPr>
                <w:b/>
              </w:rPr>
              <w:t>ncremental cost per additional patient free of any incident fracture</w:t>
            </w:r>
          </w:p>
        </w:tc>
        <w:tc>
          <w:tcPr>
            <w:tcW w:w="1435" w:type="pct"/>
            <w:vAlign w:val="center"/>
          </w:tcPr>
          <w:p w:rsidR="00D03DF8" w:rsidRPr="003709BB" w:rsidRDefault="00D03DF8" w:rsidP="00D00E8B">
            <w:pPr>
              <w:pStyle w:val="TableText0"/>
              <w:keepLines/>
              <w:widowControl w:val="0"/>
              <w:spacing w:before="0" w:after="0"/>
              <w:jc w:val="center"/>
            </w:pPr>
            <w:r w:rsidRPr="001D060E">
              <w:t>$</w:t>
            </w:r>
            <w:r w:rsidR="00DE4D50">
              <w:rPr>
                <w:noProof/>
                <w:color w:val="000000"/>
                <w:highlight w:val="black"/>
              </w:rPr>
              <w:t>''''''''''''''''''</w:t>
            </w:r>
          </w:p>
        </w:tc>
      </w:tr>
      <w:tr w:rsidR="00D03DF8" w:rsidRPr="003709BB" w:rsidTr="00504D2D">
        <w:tc>
          <w:tcPr>
            <w:tcW w:w="5000" w:type="pct"/>
            <w:gridSpan w:val="4"/>
          </w:tcPr>
          <w:p w:rsidR="00D03DF8" w:rsidRPr="003709BB" w:rsidRDefault="00D03DF8" w:rsidP="00504D2D">
            <w:pPr>
              <w:pStyle w:val="TableText0"/>
              <w:keepNext w:val="0"/>
              <w:widowControl w:val="0"/>
              <w:spacing w:before="0" w:after="0"/>
              <w:jc w:val="both"/>
              <w:rPr>
                <w:b/>
              </w:rPr>
            </w:pPr>
            <w:r>
              <w:rPr>
                <w:b/>
              </w:rPr>
              <w:t xml:space="preserve">Step 1b: </w:t>
            </w:r>
            <w:r w:rsidRPr="00CF6688">
              <w:rPr>
                <w:b/>
              </w:rPr>
              <w:t>Trial based efficacy (using time to event curve for clinical fracture), 24 month horizon, drug costs only, incremental cost per patient free of any clinical fracture</w:t>
            </w:r>
          </w:p>
        </w:tc>
      </w:tr>
      <w:tr w:rsidR="00D03DF8" w:rsidRPr="003709BB" w:rsidTr="00504D2D">
        <w:tc>
          <w:tcPr>
            <w:tcW w:w="1406" w:type="pct"/>
          </w:tcPr>
          <w:p w:rsidR="00D03DF8" w:rsidRPr="003709BB" w:rsidRDefault="00D03DF8" w:rsidP="00504D2D">
            <w:pPr>
              <w:pStyle w:val="TableText0"/>
              <w:keepNext w:val="0"/>
              <w:widowControl w:val="0"/>
              <w:spacing w:before="0" w:after="0"/>
            </w:pPr>
            <w:r w:rsidRPr="003709BB">
              <w:t>Costs</w:t>
            </w:r>
          </w:p>
        </w:tc>
        <w:tc>
          <w:tcPr>
            <w:tcW w:w="1079" w:type="pct"/>
            <w:vAlign w:val="bottom"/>
          </w:tcPr>
          <w:p w:rsidR="00D03DF8" w:rsidRPr="003709BB" w:rsidRDefault="00D03DF8" w:rsidP="00504D2D">
            <w:pPr>
              <w:pStyle w:val="TableText0"/>
              <w:keepNext w:val="0"/>
              <w:widowControl w:val="0"/>
              <w:spacing w:before="0" w:after="0"/>
              <w:jc w:val="center"/>
            </w:pPr>
            <w:r>
              <w:t>$</w:t>
            </w:r>
            <w:r w:rsidR="00DE4D50">
              <w:rPr>
                <w:noProof/>
                <w:color w:val="000000"/>
                <w:highlight w:val="black"/>
              </w:rPr>
              <w:t>'''''''''''''</w:t>
            </w:r>
          </w:p>
        </w:tc>
        <w:tc>
          <w:tcPr>
            <w:tcW w:w="1080" w:type="pct"/>
            <w:vAlign w:val="bottom"/>
          </w:tcPr>
          <w:p w:rsidR="00D03DF8" w:rsidRPr="003709BB" w:rsidRDefault="00D03DF8" w:rsidP="00504D2D">
            <w:pPr>
              <w:pStyle w:val="TableText0"/>
              <w:keepNext w:val="0"/>
              <w:widowControl w:val="0"/>
              <w:spacing w:before="0" w:after="0"/>
              <w:jc w:val="center"/>
            </w:pPr>
            <w:r>
              <w:t>$</w:t>
            </w:r>
            <w:r w:rsidR="00DE4D50">
              <w:rPr>
                <w:noProof/>
                <w:color w:val="000000"/>
                <w:highlight w:val="black"/>
              </w:rPr>
              <w:t>'''''''''</w:t>
            </w:r>
          </w:p>
        </w:tc>
        <w:tc>
          <w:tcPr>
            <w:tcW w:w="1435" w:type="pct"/>
            <w:vAlign w:val="center"/>
          </w:tcPr>
          <w:p w:rsidR="00D03DF8" w:rsidRPr="003709BB" w:rsidRDefault="00D03DF8" w:rsidP="00504D2D">
            <w:pPr>
              <w:pStyle w:val="TableText0"/>
              <w:keepNext w:val="0"/>
              <w:widowControl w:val="0"/>
              <w:spacing w:before="0" w:after="0"/>
              <w:jc w:val="center"/>
            </w:pPr>
            <w:r>
              <w:t>$</w:t>
            </w:r>
            <w:r w:rsidR="00DE4D50">
              <w:rPr>
                <w:noProof/>
                <w:color w:val="000000"/>
                <w:highlight w:val="black"/>
              </w:rPr>
              <w:t>'''''''''''''</w:t>
            </w:r>
          </w:p>
        </w:tc>
      </w:tr>
      <w:tr w:rsidR="00D03DF8" w:rsidRPr="003709BB" w:rsidTr="00504D2D">
        <w:tc>
          <w:tcPr>
            <w:tcW w:w="1406" w:type="pct"/>
          </w:tcPr>
          <w:p w:rsidR="00D03DF8" w:rsidRPr="003709BB" w:rsidRDefault="00D03DF8" w:rsidP="00504D2D">
            <w:pPr>
              <w:pStyle w:val="TableText0"/>
              <w:keepNext w:val="0"/>
              <w:widowControl w:val="0"/>
              <w:spacing w:before="0" w:after="0"/>
            </w:pPr>
            <w:r>
              <w:t>Patients without fracture</w:t>
            </w:r>
          </w:p>
        </w:tc>
        <w:tc>
          <w:tcPr>
            <w:tcW w:w="1079" w:type="pct"/>
            <w:vAlign w:val="bottom"/>
          </w:tcPr>
          <w:p w:rsidR="00D03DF8" w:rsidRPr="00DE4D50" w:rsidRDefault="00DE4D50" w:rsidP="00504D2D">
            <w:pPr>
              <w:pStyle w:val="TableText0"/>
              <w:keepNext w:val="0"/>
              <w:widowControl w:val="0"/>
              <w:spacing w:before="0" w:after="0"/>
              <w:jc w:val="center"/>
              <w:rPr>
                <w:highlight w:val="black"/>
              </w:rPr>
            </w:pPr>
            <w:r>
              <w:rPr>
                <w:noProof/>
                <w:color w:val="000000"/>
                <w:highlight w:val="black"/>
              </w:rPr>
              <w:t>''''''''''''''</w:t>
            </w:r>
          </w:p>
        </w:tc>
        <w:tc>
          <w:tcPr>
            <w:tcW w:w="1080" w:type="pct"/>
            <w:vAlign w:val="bottom"/>
          </w:tcPr>
          <w:p w:rsidR="00D03DF8" w:rsidRPr="00DE4D50" w:rsidRDefault="00DE4D50" w:rsidP="00504D2D">
            <w:pPr>
              <w:pStyle w:val="TableText0"/>
              <w:keepNext w:val="0"/>
              <w:widowControl w:val="0"/>
              <w:spacing w:before="0" w:after="0"/>
              <w:jc w:val="center"/>
              <w:rPr>
                <w:highlight w:val="black"/>
              </w:rPr>
            </w:pPr>
            <w:r>
              <w:rPr>
                <w:noProof/>
                <w:color w:val="000000"/>
                <w:highlight w:val="black"/>
              </w:rPr>
              <w:t>'''''''''''''</w:t>
            </w:r>
          </w:p>
        </w:tc>
        <w:tc>
          <w:tcPr>
            <w:tcW w:w="1435" w:type="pct"/>
            <w:vAlign w:val="center"/>
          </w:tcPr>
          <w:p w:rsidR="00D03DF8" w:rsidRPr="00DE4D50" w:rsidRDefault="00DE4D50" w:rsidP="00504D2D">
            <w:pPr>
              <w:pStyle w:val="TableText0"/>
              <w:keepNext w:val="0"/>
              <w:widowControl w:val="0"/>
              <w:spacing w:before="0" w:after="0"/>
              <w:jc w:val="center"/>
              <w:rPr>
                <w:highlight w:val="black"/>
              </w:rPr>
            </w:pPr>
            <w:r>
              <w:rPr>
                <w:noProof/>
                <w:color w:val="000000"/>
                <w:highlight w:val="black"/>
              </w:rPr>
              <w:t>'''''''''''''</w:t>
            </w:r>
          </w:p>
        </w:tc>
      </w:tr>
      <w:tr w:rsidR="00D03DF8" w:rsidRPr="003709BB" w:rsidTr="00504D2D">
        <w:tc>
          <w:tcPr>
            <w:tcW w:w="3565" w:type="pct"/>
            <w:gridSpan w:val="3"/>
          </w:tcPr>
          <w:p w:rsidR="00D03DF8" w:rsidRPr="00E128A6" w:rsidRDefault="00D03DF8" w:rsidP="00504D2D">
            <w:pPr>
              <w:pStyle w:val="TableText0"/>
              <w:keepNext w:val="0"/>
              <w:widowControl w:val="0"/>
              <w:spacing w:before="0" w:after="0"/>
              <w:jc w:val="right"/>
              <w:rPr>
                <w:b/>
              </w:rPr>
            </w:pPr>
            <w:r>
              <w:rPr>
                <w:b/>
              </w:rPr>
              <w:t>I</w:t>
            </w:r>
            <w:r w:rsidRPr="00301B9D">
              <w:rPr>
                <w:b/>
              </w:rPr>
              <w:t>ncremental cost per additional patient free of any incident fracture</w:t>
            </w:r>
          </w:p>
        </w:tc>
        <w:tc>
          <w:tcPr>
            <w:tcW w:w="1435" w:type="pct"/>
            <w:vAlign w:val="center"/>
          </w:tcPr>
          <w:p w:rsidR="00D03DF8" w:rsidRPr="003709BB" w:rsidRDefault="00D03DF8" w:rsidP="00504D2D">
            <w:pPr>
              <w:pStyle w:val="TableText0"/>
              <w:keepNext w:val="0"/>
              <w:widowControl w:val="0"/>
              <w:spacing w:before="0" w:after="0"/>
              <w:jc w:val="center"/>
            </w:pPr>
            <w:r w:rsidRPr="00D168F3">
              <w:t>$</w:t>
            </w:r>
            <w:r w:rsidR="00DE4D50">
              <w:rPr>
                <w:noProof/>
                <w:color w:val="000000"/>
                <w:highlight w:val="black"/>
              </w:rPr>
              <w:t>'''''''''''''''''''</w:t>
            </w:r>
          </w:p>
        </w:tc>
      </w:tr>
      <w:tr w:rsidR="00D03DF8" w:rsidRPr="003709BB" w:rsidTr="00504D2D">
        <w:tc>
          <w:tcPr>
            <w:tcW w:w="5000" w:type="pct"/>
            <w:gridSpan w:val="4"/>
          </w:tcPr>
          <w:p w:rsidR="00D03DF8" w:rsidRPr="003709BB" w:rsidRDefault="00D03DF8" w:rsidP="00504D2D">
            <w:pPr>
              <w:pStyle w:val="TableText0"/>
              <w:keepNext w:val="0"/>
              <w:widowControl w:val="0"/>
              <w:spacing w:before="0" w:after="0"/>
              <w:jc w:val="both"/>
              <w:rPr>
                <w:b/>
              </w:rPr>
            </w:pPr>
            <w:r>
              <w:rPr>
                <w:b/>
              </w:rPr>
              <w:t xml:space="preserve">Step 1c: </w:t>
            </w:r>
            <w:r w:rsidRPr="00CF6688">
              <w:rPr>
                <w:b/>
              </w:rPr>
              <w:t>Trial based efficacy (using time to event curve for clinical fracture), 36 month horizon, drug costs only, incremental cost per patient free of any clinical fracture</w:t>
            </w:r>
          </w:p>
        </w:tc>
      </w:tr>
      <w:tr w:rsidR="00D03DF8" w:rsidRPr="003709BB" w:rsidTr="00504D2D">
        <w:tc>
          <w:tcPr>
            <w:tcW w:w="1406" w:type="pct"/>
          </w:tcPr>
          <w:p w:rsidR="00D03DF8" w:rsidRPr="003709BB" w:rsidRDefault="00D03DF8" w:rsidP="00504D2D">
            <w:pPr>
              <w:pStyle w:val="TableText0"/>
              <w:keepNext w:val="0"/>
              <w:widowControl w:val="0"/>
              <w:spacing w:before="0" w:after="0"/>
            </w:pPr>
            <w:r w:rsidRPr="003709BB">
              <w:t>Costs</w:t>
            </w:r>
          </w:p>
        </w:tc>
        <w:tc>
          <w:tcPr>
            <w:tcW w:w="1079" w:type="pct"/>
            <w:vAlign w:val="bottom"/>
          </w:tcPr>
          <w:p w:rsidR="00D03DF8" w:rsidRPr="003709BB" w:rsidRDefault="00D03DF8" w:rsidP="00504D2D">
            <w:pPr>
              <w:pStyle w:val="TableText0"/>
              <w:keepNext w:val="0"/>
              <w:widowControl w:val="0"/>
              <w:spacing w:before="0" w:after="0"/>
              <w:jc w:val="center"/>
            </w:pPr>
            <w:r>
              <w:t>$</w:t>
            </w:r>
            <w:r w:rsidR="00DE4D50">
              <w:rPr>
                <w:noProof/>
                <w:color w:val="000000"/>
                <w:highlight w:val="black"/>
              </w:rPr>
              <w:t>'''''''''''''</w:t>
            </w:r>
          </w:p>
        </w:tc>
        <w:tc>
          <w:tcPr>
            <w:tcW w:w="1080" w:type="pct"/>
            <w:vAlign w:val="bottom"/>
          </w:tcPr>
          <w:p w:rsidR="00D03DF8" w:rsidRPr="003709BB" w:rsidRDefault="00D03DF8" w:rsidP="00504D2D">
            <w:pPr>
              <w:pStyle w:val="TableText0"/>
              <w:keepNext w:val="0"/>
              <w:widowControl w:val="0"/>
              <w:spacing w:before="0" w:after="0"/>
              <w:jc w:val="center"/>
            </w:pPr>
            <w:r>
              <w:t>$</w:t>
            </w:r>
            <w:r w:rsidR="00DE4D50">
              <w:rPr>
                <w:noProof/>
                <w:color w:val="000000"/>
                <w:highlight w:val="black"/>
              </w:rPr>
              <w:t>''''''''''</w:t>
            </w:r>
          </w:p>
        </w:tc>
        <w:tc>
          <w:tcPr>
            <w:tcW w:w="1435" w:type="pct"/>
            <w:vAlign w:val="center"/>
          </w:tcPr>
          <w:p w:rsidR="00D03DF8" w:rsidRPr="003709BB" w:rsidRDefault="00D03DF8" w:rsidP="00504D2D">
            <w:pPr>
              <w:pStyle w:val="TableText0"/>
              <w:keepNext w:val="0"/>
              <w:widowControl w:val="0"/>
              <w:spacing w:before="0" w:after="0"/>
              <w:jc w:val="center"/>
            </w:pPr>
            <w:r>
              <w:t>$</w:t>
            </w:r>
            <w:r w:rsidR="00DE4D50">
              <w:rPr>
                <w:noProof/>
                <w:color w:val="000000"/>
                <w:highlight w:val="black"/>
              </w:rPr>
              <w:t>'''''''''''''''</w:t>
            </w:r>
          </w:p>
        </w:tc>
      </w:tr>
      <w:tr w:rsidR="00D03DF8" w:rsidRPr="003709BB" w:rsidTr="00504D2D">
        <w:tc>
          <w:tcPr>
            <w:tcW w:w="1406" w:type="pct"/>
          </w:tcPr>
          <w:p w:rsidR="00D03DF8" w:rsidRPr="003709BB" w:rsidRDefault="00D03DF8" w:rsidP="00504D2D">
            <w:pPr>
              <w:pStyle w:val="TableText0"/>
              <w:keepNext w:val="0"/>
              <w:widowControl w:val="0"/>
              <w:spacing w:before="0" w:after="0"/>
            </w:pPr>
            <w:r>
              <w:t>Patients without fracture</w:t>
            </w:r>
          </w:p>
        </w:tc>
        <w:tc>
          <w:tcPr>
            <w:tcW w:w="1079" w:type="pct"/>
            <w:vAlign w:val="bottom"/>
          </w:tcPr>
          <w:p w:rsidR="00D03DF8" w:rsidRPr="00DE4D50" w:rsidRDefault="00DE4D50" w:rsidP="00504D2D">
            <w:pPr>
              <w:pStyle w:val="TableText0"/>
              <w:keepNext w:val="0"/>
              <w:widowControl w:val="0"/>
              <w:spacing w:before="0" w:after="0"/>
              <w:jc w:val="center"/>
              <w:rPr>
                <w:highlight w:val="black"/>
              </w:rPr>
            </w:pPr>
            <w:r>
              <w:rPr>
                <w:noProof/>
                <w:color w:val="000000"/>
                <w:highlight w:val="black"/>
              </w:rPr>
              <w:t>'''''''''''''</w:t>
            </w:r>
          </w:p>
        </w:tc>
        <w:tc>
          <w:tcPr>
            <w:tcW w:w="1080" w:type="pct"/>
            <w:vAlign w:val="bottom"/>
          </w:tcPr>
          <w:p w:rsidR="00D03DF8" w:rsidRPr="00DE4D50" w:rsidRDefault="00DE4D50" w:rsidP="00504D2D">
            <w:pPr>
              <w:pStyle w:val="TableText0"/>
              <w:keepNext w:val="0"/>
              <w:widowControl w:val="0"/>
              <w:spacing w:before="0" w:after="0"/>
              <w:jc w:val="center"/>
              <w:rPr>
                <w:highlight w:val="black"/>
              </w:rPr>
            </w:pPr>
            <w:r>
              <w:rPr>
                <w:noProof/>
                <w:color w:val="000000"/>
                <w:highlight w:val="black"/>
              </w:rPr>
              <w:t>''''''''''''</w:t>
            </w:r>
          </w:p>
        </w:tc>
        <w:tc>
          <w:tcPr>
            <w:tcW w:w="1435" w:type="pct"/>
            <w:vAlign w:val="center"/>
          </w:tcPr>
          <w:p w:rsidR="00D03DF8" w:rsidRPr="00DE4D50" w:rsidRDefault="00DE4D50" w:rsidP="00504D2D">
            <w:pPr>
              <w:pStyle w:val="TableText0"/>
              <w:keepNext w:val="0"/>
              <w:widowControl w:val="0"/>
              <w:spacing w:before="0" w:after="0"/>
              <w:jc w:val="center"/>
              <w:rPr>
                <w:highlight w:val="black"/>
              </w:rPr>
            </w:pPr>
            <w:r>
              <w:rPr>
                <w:noProof/>
                <w:color w:val="000000"/>
                <w:highlight w:val="black"/>
              </w:rPr>
              <w:t>''''''''''''</w:t>
            </w:r>
          </w:p>
        </w:tc>
      </w:tr>
      <w:tr w:rsidR="00D03DF8" w:rsidRPr="003709BB" w:rsidTr="00504D2D">
        <w:tc>
          <w:tcPr>
            <w:tcW w:w="3565" w:type="pct"/>
            <w:gridSpan w:val="3"/>
          </w:tcPr>
          <w:p w:rsidR="00D03DF8" w:rsidRPr="00E128A6" w:rsidRDefault="00D03DF8" w:rsidP="00504D2D">
            <w:pPr>
              <w:pStyle w:val="TableText0"/>
              <w:keepNext w:val="0"/>
              <w:widowControl w:val="0"/>
              <w:spacing w:before="0" w:after="0"/>
              <w:jc w:val="right"/>
              <w:rPr>
                <w:b/>
              </w:rPr>
            </w:pPr>
            <w:r>
              <w:rPr>
                <w:b/>
              </w:rPr>
              <w:t>I</w:t>
            </w:r>
            <w:r w:rsidRPr="00301B9D">
              <w:rPr>
                <w:b/>
              </w:rPr>
              <w:t>ncremental cost per additional patient free of any incident fracture</w:t>
            </w:r>
          </w:p>
        </w:tc>
        <w:tc>
          <w:tcPr>
            <w:tcW w:w="1435" w:type="pct"/>
            <w:vAlign w:val="center"/>
          </w:tcPr>
          <w:p w:rsidR="00D03DF8" w:rsidRPr="003709BB" w:rsidRDefault="00D03DF8" w:rsidP="00504D2D">
            <w:pPr>
              <w:pStyle w:val="TableText0"/>
              <w:keepNext w:val="0"/>
              <w:widowControl w:val="0"/>
              <w:spacing w:before="0" w:after="0"/>
              <w:jc w:val="center"/>
            </w:pPr>
            <w:r w:rsidRPr="0058793F">
              <w:t>$</w:t>
            </w:r>
            <w:r w:rsidR="00DE4D50">
              <w:rPr>
                <w:noProof/>
                <w:color w:val="000000"/>
                <w:highlight w:val="black"/>
              </w:rPr>
              <w:t>'''''''''''''''''''</w:t>
            </w:r>
          </w:p>
        </w:tc>
      </w:tr>
      <w:tr w:rsidR="00D03DF8" w:rsidRPr="003709BB" w:rsidTr="00504D2D">
        <w:tc>
          <w:tcPr>
            <w:tcW w:w="5000" w:type="pct"/>
            <w:gridSpan w:val="4"/>
          </w:tcPr>
          <w:p w:rsidR="00D03DF8" w:rsidRPr="003709BB" w:rsidRDefault="00D03DF8" w:rsidP="00504D2D">
            <w:pPr>
              <w:pStyle w:val="TableText0"/>
              <w:keepNext w:val="0"/>
              <w:widowControl w:val="0"/>
              <w:spacing w:before="0" w:after="0"/>
              <w:jc w:val="both"/>
              <w:rPr>
                <w:b/>
              </w:rPr>
            </w:pPr>
            <w:r>
              <w:rPr>
                <w:b/>
              </w:rPr>
              <w:t xml:space="preserve">Step 1d: </w:t>
            </w:r>
            <w:r w:rsidRPr="00CF6688">
              <w:rPr>
                <w:b/>
              </w:rPr>
              <w:t>Trial based efficacy (using time to event curve for clinical fracture), 48 month horizon, drug costs only, incremental cost per patient free of any clinical fracture</w:t>
            </w:r>
          </w:p>
        </w:tc>
      </w:tr>
      <w:tr w:rsidR="00D03DF8" w:rsidRPr="003709BB" w:rsidTr="00504D2D">
        <w:tc>
          <w:tcPr>
            <w:tcW w:w="1406" w:type="pct"/>
          </w:tcPr>
          <w:p w:rsidR="00D03DF8" w:rsidRPr="003709BB" w:rsidRDefault="00D03DF8" w:rsidP="00504D2D">
            <w:pPr>
              <w:pStyle w:val="TableText0"/>
              <w:keepNext w:val="0"/>
              <w:widowControl w:val="0"/>
              <w:spacing w:before="0" w:after="0"/>
            </w:pPr>
            <w:r w:rsidRPr="003709BB">
              <w:t>Costs</w:t>
            </w:r>
          </w:p>
        </w:tc>
        <w:tc>
          <w:tcPr>
            <w:tcW w:w="1079" w:type="pct"/>
            <w:vAlign w:val="bottom"/>
          </w:tcPr>
          <w:p w:rsidR="00D03DF8" w:rsidRPr="003709BB" w:rsidRDefault="00D03DF8" w:rsidP="00504D2D">
            <w:pPr>
              <w:pStyle w:val="TableText0"/>
              <w:keepNext w:val="0"/>
              <w:widowControl w:val="0"/>
              <w:spacing w:before="0" w:after="0"/>
              <w:jc w:val="center"/>
            </w:pPr>
            <w:r>
              <w:t>$</w:t>
            </w:r>
            <w:r w:rsidR="00DE4D50">
              <w:rPr>
                <w:noProof/>
                <w:color w:val="000000"/>
                <w:highlight w:val="black"/>
              </w:rPr>
              <w:t>'''''''''''''</w:t>
            </w:r>
          </w:p>
        </w:tc>
        <w:tc>
          <w:tcPr>
            <w:tcW w:w="1080" w:type="pct"/>
            <w:vAlign w:val="bottom"/>
          </w:tcPr>
          <w:p w:rsidR="00D03DF8" w:rsidRPr="003709BB" w:rsidRDefault="00D03DF8" w:rsidP="00504D2D">
            <w:pPr>
              <w:pStyle w:val="TableText0"/>
              <w:keepNext w:val="0"/>
              <w:widowControl w:val="0"/>
              <w:spacing w:before="0" w:after="0"/>
              <w:jc w:val="center"/>
            </w:pPr>
            <w:r>
              <w:t>$</w:t>
            </w:r>
            <w:r w:rsidR="00DE4D50">
              <w:rPr>
                <w:noProof/>
                <w:color w:val="000000"/>
                <w:highlight w:val="black"/>
              </w:rPr>
              <w:t>'''''''''</w:t>
            </w:r>
          </w:p>
        </w:tc>
        <w:tc>
          <w:tcPr>
            <w:tcW w:w="1435" w:type="pct"/>
            <w:vAlign w:val="center"/>
          </w:tcPr>
          <w:p w:rsidR="00D03DF8" w:rsidRPr="003709BB" w:rsidRDefault="00D03DF8" w:rsidP="00504D2D">
            <w:pPr>
              <w:pStyle w:val="TableText0"/>
              <w:keepNext w:val="0"/>
              <w:widowControl w:val="0"/>
              <w:spacing w:before="0" w:after="0"/>
              <w:jc w:val="center"/>
            </w:pPr>
            <w:r>
              <w:t>$</w:t>
            </w:r>
            <w:r w:rsidR="00DE4D50">
              <w:rPr>
                <w:noProof/>
                <w:color w:val="000000"/>
                <w:highlight w:val="black"/>
              </w:rPr>
              <w:t>'''''''''''''''</w:t>
            </w:r>
          </w:p>
        </w:tc>
      </w:tr>
      <w:tr w:rsidR="00D03DF8" w:rsidRPr="003709BB" w:rsidTr="00504D2D">
        <w:tc>
          <w:tcPr>
            <w:tcW w:w="1406" w:type="pct"/>
          </w:tcPr>
          <w:p w:rsidR="00D03DF8" w:rsidRPr="003709BB" w:rsidRDefault="00D03DF8" w:rsidP="00504D2D">
            <w:pPr>
              <w:pStyle w:val="TableText0"/>
              <w:keepNext w:val="0"/>
              <w:widowControl w:val="0"/>
              <w:spacing w:before="0" w:after="0"/>
            </w:pPr>
            <w:r>
              <w:t>Patients without fracture</w:t>
            </w:r>
          </w:p>
        </w:tc>
        <w:tc>
          <w:tcPr>
            <w:tcW w:w="1079" w:type="pct"/>
            <w:vAlign w:val="bottom"/>
          </w:tcPr>
          <w:p w:rsidR="00D03DF8" w:rsidRPr="00DE4D50" w:rsidRDefault="00DE4D50" w:rsidP="00504D2D">
            <w:pPr>
              <w:pStyle w:val="TableText0"/>
              <w:keepNext w:val="0"/>
              <w:widowControl w:val="0"/>
              <w:spacing w:before="0" w:after="0"/>
              <w:jc w:val="center"/>
              <w:rPr>
                <w:highlight w:val="black"/>
              </w:rPr>
            </w:pPr>
            <w:r>
              <w:rPr>
                <w:noProof/>
                <w:color w:val="000000"/>
                <w:highlight w:val="black"/>
              </w:rPr>
              <w:t>''''''''''''</w:t>
            </w:r>
          </w:p>
        </w:tc>
        <w:tc>
          <w:tcPr>
            <w:tcW w:w="1080" w:type="pct"/>
            <w:vAlign w:val="bottom"/>
          </w:tcPr>
          <w:p w:rsidR="00D03DF8" w:rsidRPr="00DE4D50" w:rsidRDefault="00DE4D50" w:rsidP="00504D2D">
            <w:pPr>
              <w:pStyle w:val="TableText0"/>
              <w:keepNext w:val="0"/>
              <w:widowControl w:val="0"/>
              <w:spacing w:before="0" w:after="0"/>
              <w:jc w:val="center"/>
              <w:rPr>
                <w:highlight w:val="black"/>
              </w:rPr>
            </w:pPr>
            <w:r>
              <w:rPr>
                <w:noProof/>
                <w:color w:val="000000"/>
                <w:highlight w:val="black"/>
              </w:rPr>
              <w:t>''''''''''''</w:t>
            </w:r>
          </w:p>
        </w:tc>
        <w:tc>
          <w:tcPr>
            <w:tcW w:w="1435" w:type="pct"/>
            <w:vAlign w:val="center"/>
          </w:tcPr>
          <w:p w:rsidR="00D03DF8" w:rsidRPr="00DE4D50" w:rsidRDefault="00DE4D50" w:rsidP="00504D2D">
            <w:pPr>
              <w:pStyle w:val="TableText0"/>
              <w:keepNext w:val="0"/>
              <w:widowControl w:val="0"/>
              <w:spacing w:before="0" w:after="0"/>
              <w:jc w:val="center"/>
              <w:rPr>
                <w:highlight w:val="black"/>
              </w:rPr>
            </w:pPr>
            <w:r>
              <w:rPr>
                <w:noProof/>
                <w:color w:val="000000"/>
                <w:highlight w:val="black"/>
              </w:rPr>
              <w:t>'''''''''''''</w:t>
            </w:r>
          </w:p>
        </w:tc>
      </w:tr>
      <w:tr w:rsidR="00D03DF8" w:rsidRPr="003709BB" w:rsidTr="00504D2D">
        <w:tc>
          <w:tcPr>
            <w:tcW w:w="3565" w:type="pct"/>
            <w:gridSpan w:val="3"/>
          </w:tcPr>
          <w:p w:rsidR="00D03DF8" w:rsidRPr="00E128A6" w:rsidRDefault="00D03DF8" w:rsidP="00504D2D">
            <w:pPr>
              <w:pStyle w:val="TableText0"/>
              <w:keepNext w:val="0"/>
              <w:widowControl w:val="0"/>
              <w:spacing w:before="0" w:after="0"/>
              <w:jc w:val="right"/>
              <w:rPr>
                <w:b/>
              </w:rPr>
            </w:pPr>
            <w:r>
              <w:rPr>
                <w:b/>
              </w:rPr>
              <w:t>I</w:t>
            </w:r>
            <w:r w:rsidRPr="00301B9D">
              <w:rPr>
                <w:b/>
              </w:rPr>
              <w:t>ncremental cost per additional patient free of any incident fracture</w:t>
            </w:r>
          </w:p>
        </w:tc>
        <w:tc>
          <w:tcPr>
            <w:tcW w:w="1435" w:type="pct"/>
            <w:vAlign w:val="center"/>
          </w:tcPr>
          <w:p w:rsidR="00D03DF8" w:rsidRPr="003709BB" w:rsidRDefault="00D03DF8" w:rsidP="00504D2D">
            <w:pPr>
              <w:pStyle w:val="TableText0"/>
              <w:keepNext w:val="0"/>
              <w:widowControl w:val="0"/>
              <w:spacing w:before="0" w:after="0"/>
              <w:jc w:val="center"/>
            </w:pPr>
            <w:r w:rsidRPr="00456D05">
              <w:t>$</w:t>
            </w:r>
            <w:r w:rsidR="00DE4D50">
              <w:rPr>
                <w:noProof/>
                <w:color w:val="000000"/>
                <w:highlight w:val="black"/>
              </w:rPr>
              <w:t>''''''''''''''''''''</w:t>
            </w:r>
          </w:p>
        </w:tc>
      </w:tr>
      <w:tr w:rsidR="00D03DF8" w:rsidRPr="003709BB" w:rsidTr="00504D2D">
        <w:tc>
          <w:tcPr>
            <w:tcW w:w="5000" w:type="pct"/>
            <w:gridSpan w:val="4"/>
          </w:tcPr>
          <w:p w:rsidR="00D03DF8" w:rsidRPr="003709BB" w:rsidRDefault="00D03DF8" w:rsidP="00504D2D">
            <w:pPr>
              <w:pStyle w:val="TableText0"/>
              <w:keepNext w:val="0"/>
              <w:widowControl w:val="0"/>
              <w:spacing w:before="0" w:after="0"/>
              <w:jc w:val="both"/>
              <w:rPr>
                <w:b/>
              </w:rPr>
            </w:pPr>
            <w:r>
              <w:rPr>
                <w:b/>
              </w:rPr>
              <w:t xml:space="preserve">Step 2: </w:t>
            </w:r>
            <w:r w:rsidRPr="00CF6688">
              <w:rPr>
                <w:b/>
              </w:rPr>
              <w:t>Trial-based efficacy (using data from primary analysis period), 48 month horizon, drug costs only, general population mortality, osteoporosis utility/disutility values, incremental cost per QALY gained</w:t>
            </w:r>
          </w:p>
        </w:tc>
      </w:tr>
      <w:tr w:rsidR="00D03DF8" w:rsidRPr="003709BB" w:rsidTr="00504D2D">
        <w:tc>
          <w:tcPr>
            <w:tcW w:w="1406" w:type="pct"/>
          </w:tcPr>
          <w:p w:rsidR="00D03DF8" w:rsidRPr="003709BB" w:rsidRDefault="00D03DF8" w:rsidP="00504D2D">
            <w:pPr>
              <w:pStyle w:val="TableText0"/>
              <w:keepNext w:val="0"/>
              <w:widowControl w:val="0"/>
              <w:spacing w:before="0" w:after="0"/>
            </w:pPr>
            <w:r w:rsidRPr="003709BB">
              <w:t>Costs</w:t>
            </w:r>
          </w:p>
        </w:tc>
        <w:tc>
          <w:tcPr>
            <w:tcW w:w="1079" w:type="pct"/>
            <w:vAlign w:val="bottom"/>
          </w:tcPr>
          <w:p w:rsidR="00D03DF8" w:rsidRPr="003709BB" w:rsidRDefault="00D03DF8" w:rsidP="00504D2D">
            <w:pPr>
              <w:pStyle w:val="TableText0"/>
              <w:keepNext w:val="0"/>
              <w:widowControl w:val="0"/>
              <w:spacing w:before="0" w:after="0"/>
              <w:jc w:val="center"/>
            </w:pPr>
            <w:r>
              <w:t>$</w:t>
            </w:r>
            <w:r w:rsidR="00DE4D50">
              <w:rPr>
                <w:noProof/>
                <w:color w:val="000000"/>
                <w:highlight w:val="black"/>
              </w:rPr>
              <w:t>'''''''''''''''</w:t>
            </w:r>
          </w:p>
        </w:tc>
        <w:tc>
          <w:tcPr>
            <w:tcW w:w="1080" w:type="pct"/>
            <w:vAlign w:val="bottom"/>
          </w:tcPr>
          <w:p w:rsidR="00D03DF8" w:rsidRPr="003709BB" w:rsidRDefault="00D03DF8" w:rsidP="00504D2D">
            <w:pPr>
              <w:pStyle w:val="TableText0"/>
              <w:keepNext w:val="0"/>
              <w:widowControl w:val="0"/>
              <w:spacing w:before="0" w:after="0"/>
              <w:jc w:val="center"/>
            </w:pPr>
            <w:r>
              <w:t>$</w:t>
            </w:r>
            <w:r w:rsidR="00DE4D50">
              <w:rPr>
                <w:noProof/>
                <w:color w:val="000000"/>
                <w:highlight w:val="black"/>
              </w:rPr>
              <w:t>''''''''''</w:t>
            </w:r>
          </w:p>
        </w:tc>
        <w:tc>
          <w:tcPr>
            <w:tcW w:w="1435" w:type="pct"/>
            <w:vAlign w:val="center"/>
          </w:tcPr>
          <w:p w:rsidR="00D03DF8" w:rsidRPr="003709BB" w:rsidRDefault="00D03DF8" w:rsidP="00504D2D">
            <w:pPr>
              <w:pStyle w:val="TableText0"/>
              <w:keepNext w:val="0"/>
              <w:widowControl w:val="0"/>
              <w:spacing w:before="0" w:after="0"/>
              <w:jc w:val="center"/>
            </w:pPr>
            <w:r>
              <w:t>$</w:t>
            </w:r>
            <w:r w:rsidR="00DE4D50">
              <w:rPr>
                <w:noProof/>
                <w:color w:val="000000"/>
                <w:highlight w:val="black"/>
              </w:rPr>
              <w:t>''''''''''''''</w:t>
            </w:r>
          </w:p>
        </w:tc>
      </w:tr>
      <w:tr w:rsidR="00D03DF8" w:rsidRPr="003709BB" w:rsidTr="00504D2D">
        <w:tc>
          <w:tcPr>
            <w:tcW w:w="1406" w:type="pct"/>
          </w:tcPr>
          <w:p w:rsidR="00D03DF8" w:rsidRPr="003709BB" w:rsidRDefault="00D03DF8" w:rsidP="00504D2D">
            <w:pPr>
              <w:pStyle w:val="TableText0"/>
              <w:keepNext w:val="0"/>
              <w:widowControl w:val="0"/>
              <w:spacing w:before="0" w:after="0"/>
            </w:pPr>
            <w:r>
              <w:t>QALYs</w:t>
            </w:r>
          </w:p>
        </w:tc>
        <w:tc>
          <w:tcPr>
            <w:tcW w:w="1079" w:type="pct"/>
            <w:vAlign w:val="bottom"/>
          </w:tcPr>
          <w:p w:rsidR="00D03DF8" w:rsidRPr="00DE4D50" w:rsidRDefault="00DE4D50" w:rsidP="00504D2D">
            <w:pPr>
              <w:pStyle w:val="TableText0"/>
              <w:keepNext w:val="0"/>
              <w:widowControl w:val="0"/>
              <w:spacing w:before="0" w:after="0"/>
              <w:jc w:val="center"/>
              <w:rPr>
                <w:highlight w:val="black"/>
              </w:rPr>
            </w:pPr>
            <w:r>
              <w:rPr>
                <w:noProof/>
                <w:color w:val="000000"/>
                <w:highlight w:val="black"/>
              </w:rPr>
              <w:t>''''''''''''</w:t>
            </w:r>
          </w:p>
        </w:tc>
        <w:tc>
          <w:tcPr>
            <w:tcW w:w="1080" w:type="pct"/>
            <w:vAlign w:val="bottom"/>
          </w:tcPr>
          <w:p w:rsidR="00D03DF8" w:rsidRPr="00DE4D50" w:rsidRDefault="00DE4D50" w:rsidP="00504D2D">
            <w:pPr>
              <w:pStyle w:val="TableText0"/>
              <w:keepNext w:val="0"/>
              <w:widowControl w:val="0"/>
              <w:spacing w:before="0" w:after="0"/>
              <w:jc w:val="center"/>
              <w:rPr>
                <w:highlight w:val="black"/>
              </w:rPr>
            </w:pPr>
            <w:r>
              <w:rPr>
                <w:noProof/>
                <w:color w:val="000000"/>
                <w:highlight w:val="black"/>
              </w:rPr>
              <w:t>''''''''''''''</w:t>
            </w:r>
          </w:p>
        </w:tc>
        <w:tc>
          <w:tcPr>
            <w:tcW w:w="1435" w:type="pct"/>
            <w:vAlign w:val="center"/>
          </w:tcPr>
          <w:p w:rsidR="00D03DF8" w:rsidRPr="00DE4D50" w:rsidRDefault="00DE4D50" w:rsidP="00504D2D">
            <w:pPr>
              <w:pStyle w:val="TableText0"/>
              <w:keepNext w:val="0"/>
              <w:widowControl w:val="0"/>
              <w:spacing w:before="0" w:after="0"/>
              <w:jc w:val="center"/>
              <w:rPr>
                <w:highlight w:val="black"/>
              </w:rPr>
            </w:pPr>
            <w:r>
              <w:rPr>
                <w:noProof/>
                <w:color w:val="000000"/>
                <w:highlight w:val="black"/>
              </w:rPr>
              <w:t>'''''''''''''</w:t>
            </w:r>
          </w:p>
        </w:tc>
      </w:tr>
      <w:tr w:rsidR="00D03DF8" w:rsidRPr="003709BB" w:rsidTr="00504D2D">
        <w:tc>
          <w:tcPr>
            <w:tcW w:w="3565" w:type="pct"/>
            <w:gridSpan w:val="3"/>
          </w:tcPr>
          <w:p w:rsidR="00D03DF8" w:rsidRPr="00E128A6" w:rsidRDefault="00D03DF8" w:rsidP="00504D2D">
            <w:pPr>
              <w:pStyle w:val="TableText0"/>
              <w:keepNext w:val="0"/>
              <w:widowControl w:val="0"/>
              <w:spacing w:before="0" w:after="0"/>
              <w:jc w:val="right"/>
              <w:rPr>
                <w:b/>
              </w:rPr>
            </w:pPr>
            <w:r w:rsidRPr="00E128A6">
              <w:rPr>
                <w:b/>
              </w:rPr>
              <w:t xml:space="preserve">Incremental cost per </w:t>
            </w:r>
            <w:r>
              <w:rPr>
                <w:b/>
              </w:rPr>
              <w:t>QALY</w:t>
            </w:r>
            <w:r w:rsidRPr="00E128A6">
              <w:rPr>
                <w:b/>
              </w:rPr>
              <w:t xml:space="preserve"> gained</w:t>
            </w:r>
          </w:p>
        </w:tc>
        <w:tc>
          <w:tcPr>
            <w:tcW w:w="1435" w:type="pct"/>
            <w:vAlign w:val="center"/>
          </w:tcPr>
          <w:p w:rsidR="00D03DF8" w:rsidRPr="003709BB" w:rsidRDefault="00D03DF8" w:rsidP="00504D2D">
            <w:pPr>
              <w:pStyle w:val="TableText0"/>
              <w:keepNext w:val="0"/>
              <w:widowControl w:val="0"/>
              <w:spacing w:before="0" w:after="0"/>
              <w:jc w:val="center"/>
            </w:pPr>
            <w:r w:rsidRPr="0094489D">
              <w:t>$</w:t>
            </w:r>
            <w:r w:rsidR="00DE4D50">
              <w:rPr>
                <w:noProof/>
                <w:color w:val="000000"/>
                <w:highlight w:val="black"/>
              </w:rPr>
              <w:t>'''''''''''''''''''''</w:t>
            </w:r>
          </w:p>
        </w:tc>
      </w:tr>
      <w:tr w:rsidR="00D03DF8" w:rsidRPr="003709BB" w:rsidTr="00504D2D">
        <w:tc>
          <w:tcPr>
            <w:tcW w:w="5000" w:type="pct"/>
            <w:gridSpan w:val="4"/>
          </w:tcPr>
          <w:p w:rsidR="00D03DF8" w:rsidRPr="003709BB" w:rsidRDefault="00D03DF8" w:rsidP="00504D2D">
            <w:pPr>
              <w:pStyle w:val="TableText0"/>
              <w:keepNext w:val="0"/>
              <w:widowControl w:val="0"/>
              <w:spacing w:before="0" w:after="0"/>
              <w:jc w:val="both"/>
              <w:rPr>
                <w:b/>
              </w:rPr>
            </w:pPr>
            <w:r>
              <w:rPr>
                <w:b/>
              </w:rPr>
              <w:t xml:space="preserve">Step 3: </w:t>
            </w:r>
            <w:r w:rsidRPr="00CF6688">
              <w:rPr>
                <w:b/>
              </w:rPr>
              <w:t>Modelled efficacy (constant romosozumab efficacy benefits to 10 years), 26 year time horizon, drug costs only, general population mortality, osteoporosis utility/disutility values, incremental cost per QALY gained</w:t>
            </w:r>
          </w:p>
        </w:tc>
      </w:tr>
      <w:tr w:rsidR="00D03DF8" w:rsidRPr="003709BB" w:rsidTr="00504D2D">
        <w:tc>
          <w:tcPr>
            <w:tcW w:w="1406" w:type="pct"/>
          </w:tcPr>
          <w:p w:rsidR="00D03DF8" w:rsidRPr="003709BB" w:rsidRDefault="00D03DF8" w:rsidP="00504D2D">
            <w:pPr>
              <w:pStyle w:val="TableText0"/>
              <w:keepNext w:val="0"/>
              <w:widowControl w:val="0"/>
              <w:spacing w:before="0" w:after="0"/>
            </w:pPr>
            <w:r w:rsidRPr="003709BB">
              <w:t>Costs</w:t>
            </w:r>
          </w:p>
        </w:tc>
        <w:tc>
          <w:tcPr>
            <w:tcW w:w="1079" w:type="pct"/>
            <w:vAlign w:val="bottom"/>
          </w:tcPr>
          <w:p w:rsidR="00D03DF8" w:rsidRPr="003709BB" w:rsidRDefault="00D03DF8" w:rsidP="00504D2D">
            <w:pPr>
              <w:pStyle w:val="TableText0"/>
              <w:keepNext w:val="0"/>
              <w:widowControl w:val="0"/>
              <w:spacing w:before="0" w:after="0"/>
              <w:jc w:val="center"/>
            </w:pPr>
            <w:r>
              <w:t>$</w:t>
            </w:r>
            <w:r w:rsidR="00DE4D50">
              <w:rPr>
                <w:noProof/>
                <w:color w:val="000000"/>
                <w:highlight w:val="black"/>
              </w:rPr>
              <w:t>''''''''''''''</w:t>
            </w:r>
          </w:p>
        </w:tc>
        <w:tc>
          <w:tcPr>
            <w:tcW w:w="1080" w:type="pct"/>
            <w:vAlign w:val="bottom"/>
          </w:tcPr>
          <w:p w:rsidR="00D03DF8" w:rsidRPr="003709BB" w:rsidRDefault="00D03DF8" w:rsidP="00504D2D">
            <w:pPr>
              <w:pStyle w:val="TableText0"/>
              <w:keepNext w:val="0"/>
              <w:widowControl w:val="0"/>
              <w:spacing w:before="0" w:after="0"/>
              <w:jc w:val="center"/>
            </w:pPr>
            <w:r>
              <w:t>$</w:t>
            </w:r>
            <w:r w:rsidR="00DE4D50">
              <w:rPr>
                <w:noProof/>
                <w:color w:val="000000"/>
                <w:highlight w:val="black"/>
              </w:rPr>
              <w:t>'''''''''''''</w:t>
            </w:r>
          </w:p>
        </w:tc>
        <w:tc>
          <w:tcPr>
            <w:tcW w:w="1435" w:type="pct"/>
            <w:vAlign w:val="center"/>
          </w:tcPr>
          <w:p w:rsidR="00D03DF8" w:rsidRPr="003709BB" w:rsidRDefault="00D03DF8" w:rsidP="00504D2D">
            <w:pPr>
              <w:pStyle w:val="TableText0"/>
              <w:keepNext w:val="0"/>
              <w:widowControl w:val="0"/>
              <w:spacing w:before="0" w:after="0"/>
              <w:jc w:val="center"/>
            </w:pPr>
            <w:r>
              <w:t>$</w:t>
            </w:r>
            <w:r w:rsidR="00DE4D50">
              <w:rPr>
                <w:noProof/>
                <w:color w:val="000000"/>
                <w:highlight w:val="black"/>
              </w:rPr>
              <w:t>'''''''''''''''</w:t>
            </w:r>
          </w:p>
        </w:tc>
      </w:tr>
      <w:tr w:rsidR="00D03DF8" w:rsidRPr="003709BB" w:rsidTr="00504D2D">
        <w:tc>
          <w:tcPr>
            <w:tcW w:w="1406" w:type="pct"/>
          </w:tcPr>
          <w:p w:rsidR="00D03DF8" w:rsidRPr="003709BB" w:rsidRDefault="00D03DF8" w:rsidP="00504D2D">
            <w:pPr>
              <w:pStyle w:val="TableText0"/>
              <w:keepNext w:val="0"/>
              <w:widowControl w:val="0"/>
              <w:spacing w:before="0" w:after="0"/>
            </w:pPr>
            <w:r>
              <w:t>QALYs</w:t>
            </w:r>
          </w:p>
        </w:tc>
        <w:tc>
          <w:tcPr>
            <w:tcW w:w="1079" w:type="pct"/>
            <w:vAlign w:val="bottom"/>
          </w:tcPr>
          <w:p w:rsidR="00D03DF8" w:rsidRPr="00DE4D50" w:rsidRDefault="00DE4D50" w:rsidP="00504D2D">
            <w:pPr>
              <w:pStyle w:val="TableText0"/>
              <w:keepNext w:val="0"/>
              <w:widowControl w:val="0"/>
              <w:spacing w:before="0" w:after="0"/>
              <w:jc w:val="center"/>
              <w:rPr>
                <w:highlight w:val="black"/>
              </w:rPr>
            </w:pPr>
            <w:r>
              <w:rPr>
                <w:noProof/>
                <w:color w:val="000000"/>
                <w:highlight w:val="black"/>
              </w:rPr>
              <w:t>''''''''''''''</w:t>
            </w:r>
          </w:p>
        </w:tc>
        <w:tc>
          <w:tcPr>
            <w:tcW w:w="1080" w:type="pct"/>
            <w:vAlign w:val="bottom"/>
          </w:tcPr>
          <w:p w:rsidR="00D03DF8" w:rsidRPr="00DE4D50" w:rsidRDefault="00DE4D50" w:rsidP="00504D2D">
            <w:pPr>
              <w:pStyle w:val="TableText0"/>
              <w:keepNext w:val="0"/>
              <w:widowControl w:val="0"/>
              <w:spacing w:before="0" w:after="0"/>
              <w:jc w:val="center"/>
              <w:rPr>
                <w:highlight w:val="black"/>
              </w:rPr>
            </w:pPr>
            <w:r>
              <w:rPr>
                <w:noProof/>
                <w:color w:val="000000"/>
                <w:highlight w:val="black"/>
              </w:rPr>
              <w:t>'''''''''''''</w:t>
            </w:r>
          </w:p>
        </w:tc>
        <w:tc>
          <w:tcPr>
            <w:tcW w:w="1435" w:type="pct"/>
            <w:vAlign w:val="center"/>
          </w:tcPr>
          <w:p w:rsidR="00D03DF8" w:rsidRPr="00DE4D50" w:rsidRDefault="00DE4D50" w:rsidP="00504D2D">
            <w:pPr>
              <w:pStyle w:val="TableText0"/>
              <w:keepNext w:val="0"/>
              <w:widowControl w:val="0"/>
              <w:spacing w:before="0" w:after="0"/>
              <w:jc w:val="center"/>
              <w:rPr>
                <w:highlight w:val="black"/>
              </w:rPr>
            </w:pPr>
            <w:r>
              <w:rPr>
                <w:noProof/>
                <w:color w:val="000000"/>
                <w:highlight w:val="black"/>
              </w:rPr>
              <w:t>'''''''''''''</w:t>
            </w:r>
          </w:p>
        </w:tc>
      </w:tr>
      <w:tr w:rsidR="00D03DF8" w:rsidRPr="003709BB" w:rsidTr="00504D2D">
        <w:tc>
          <w:tcPr>
            <w:tcW w:w="3565" w:type="pct"/>
            <w:gridSpan w:val="3"/>
          </w:tcPr>
          <w:p w:rsidR="00D03DF8" w:rsidRPr="00E128A6" w:rsidRDefault="00D03DF8" w:rsidP="00504D2D">
            <w:pPr>
              <w:pStyle w:val="TableText0"/>
              <w:keepNext w:val="0"/>
              <w:widowControl w:val="0"/>
              <w:spacing w:before="0" w:after="0"/>
              <w:jc w:val="right"/>
              <w:rPr>
                <w:b/>
              </w:rPr>
            </w:pPr>
            <w:r w:rsidRPr="00E128A6">
              <w:rPr>
                <w:b/>
              </w:rPr>
              <w:t xml:space="preserve">Incremental cost per </w:t>
            </w:r>
            <w:r>
              <w:rPr>
                <w:b/>
              </w:rPr>
              <w:t>QALY</w:t>
            </w:r>
            <w:r w:rsidRPr="00E128A6">
              <w:rPr>
                <w:b/>
              </w:rPr>
              <w:t xml:space="preserve"> gained</w:t>
            </w:r>
          </w:p>
        </w:tc>
        <w:tc>
          <w:tcPr>
            <w:tcW w:w="1435" w:type="pct"/>
            <w:vAlign w:val="center"/>
          </w:tcPr>
          <w:p w:rsidR="00D03DF8" w:rsidRPr="003709BB" w:rsidRDefault="00D03DF8" w:rsidP="00504D2D">
            <w:pPr>
              <w:pStyle w:val="TableText0"/>
              <w:keepNext w:val="0"/>
              <w:widowControl w:val="0"/>
              <w:spacing w:before="0" w:after="0"/>
              <w:jc w:val="center"/>
            </w:pPr>
            <w:r w:rsidRPr="001F7BCD">
              <w:t>$</w:t>
            </w:r>
            <w:r w:rsidR="00DE4D50">
              <w:rPr>
                <w:noProof/>
                <w:color w:val="000000"/>
                <w:highlight w:val="black"/>
              </w:rPr>
              <w:t>''''''''''''''''</w:t>
            </w:r>
          </w:p>
        </w:tc>
      </w:tr>
      <w:tr w:rsidR="00D03DF8" w:rsidRPr="003709BB" w:rsidTr="00504D2D">
        <w:tc>
          <w:tcPr>
            <w:tcW w:w="5000" w:type="pct"/>
            <w:gridSpan w:val="4"/>
          </w:tcPr>
          <w:p w:rsidR="00D03DF8" w:rsidRPr="003709BB" w:rsidRDefault="00D03DF8" w:rsidP="00504D2D">
            <w:pPr>
              <w:pStyle w:val="TableText0"/>
              <w:keepNext w:val="0"/>
              <w:widowControl w:val="0"/>
              <w:spacing w:before="0" w:after="0"/>
              <w:jc w:val="both"/>
              <w:rPr>
                <w:b/>
              </w:rPr>
            </w:pPr>
            <w:r>
              <w:rPr>
                <w:b/>
              </w:rPr>
              <w:t xml:space="preserve">Step 4: </w:t>
            </w:r>
            <w:r w:rsidRPr="00CF6688">
              <w:rPr>
                <w:b/>
              </w:rPr>
              <w:t>Modelled efficacy (constant romosozumab efficacy benefits to 10 years), 26 year time horizon, drug costs only, fracture risk adjusted using Garvan risk calculator, general population mortality, osteoporosis utility/disutility values, incremental cost per QALY gained</w:t>
            </w:r>
          </w:p>
        </w:tc>
      </w:tr>
      <w:tr w:rsidR="00D03DF8" w:rsidRPr="003709BB" w:rsidTr="00504D2D">
        <w:tc>
          <w:tcPr>
            <w:tcW w:w="1406" w:type="pct"/>
          </w:tcPr>
          <w:p w:rsidR="00D03DF8" w:rsidRPr="003709BB" w:rsidRDefault="00D03DF8" w:rsidP="00504D2D">
            <w:pPr>
              <w:pStyle w:val="TableText0"/>
              <w:keepNext w:val="0"/>
              <w:widowControl w:val="0"/>
              <w:spacing w:before="0" w:after="0"/>
            </w:pPr>
            <w:r w:rsidRPr="003709BB">
              <w:t>Costs</w:t>
            </w:r>
          </w:p>
        </w:tc>
        <w:tc>
          <w:tcPr>
            <w:tcW w:w="1079" w:type="pct"/>
            <w:vAlign w:val="bottom"/>
          </w:tcPr>
          <w:p w:rsidR="00D03DF8" w:rsidRPr="003709BB" w:rsidRDefault="00D03DF8" w:rsidP="00504D2D">
            <w:pPr>
              <w:pStyle w:val="TableText0"/>
              <w:keepNext w:val="0"/>
              <w:widowControl w:val="0"/>
              <w:spacing w:before="0" w:after="0"/>
              <w:jc w:val="center"/>
            </w:pPr>
            <w:r>
              <w:t>$</w:t>
            </w:r>
            <w:r w:rsidR="00DE4D50">
              <w:rPr>
                <w:noProof/>
                <w:color w:val="000000"/>
                <w:highlight w:val="black"/>
              </w:rPr>
              <w:t>'''''''''''''</w:t>
            </w:r>
          </w:p>
        </w:tc>
        <w:tc>
          <w:tcPr>
            <w:tcW w:w="1080" w:type="pct"/>
            <w:vAlign w:val="bottom"/>
          </w:tcPr>
          <w:p w:rsidR="00D03DF8" w:rsidRPr="003709BB" w:rsidRDefault="00D03DF8" w:rsidP="00504D2D">
            <w:pPr>
              <w:pStyle w:val="TableText0"/>
              <w:keepNext w:val="0"/>
              <w:widowControl w:val="0"/>
              <w:spacing w:before="0" w:after="0"/>
              <w:jc w:val="center"/>
            </w:pPr>
            <w:r>
              <w:t>$</w:t>
            </w:r>
            <w:r w:rsidR="00DE4D50">
              <w:rPr>
                <w:noProof/>
                <w:color w:val="000000"/>
                <w:highlight w:val="black"/>
              </w:rPr>
              <w:t>'''''''''''''</w:t>
            </w:r>
          </w:p>
        </w:tc>
        <w:tc>
          <w:tcPr>
            <w:tcW w:w="1435" w:type="pct"/>
            <w:vAlign w:val="center"/>
          </w:tcPr>
          <w:p w:rsidR="00D03DF8" w:rsidRPr="003709BB" w:rsidRDefault="00D03DF8" w:rsidP="00504D2D">
            <w:pPr>
              <w:pStyle w:val="TableText0"/>
              <w:keepNext w:val="0"/>
              <w:widowControl w:val="0"/>
              <w:spacing w:before="0" w:after="0"/>
              <w:jc w:val="center"/>
            </w:pPr>
            <w:r>
              <w:t>$</w:t>
            </w:r>
            <w:r w:rsidR="00DE4D50">
              <w:rPr>
                <w:noProof/>
                <w:color w:val="000000"/>
                <w:highlight w:val="black"/>
              </w:rPr>
              <w:t>'''''''''''''''</w:t>
            </w:r>
          </w:p>
        </w:tc>
      </w:tr>
      <w:tr w:rsidR="00D03DF8" w:rsidRPr="003709BB" w:rsidTr="00504D2D">
        <w:tc>
          <w:tcPr>
            <w:tcW w:w="1406" w:type="pct"/>
          </w:tcPr>
          <w:p w:rsidR="00D03DF8" w:rsidRPr="003709BB" w:rsidRDefault="00D03DF8" w:rsidP="00504D2D">
            <w:pPr>
              <w:pStyle w:val="TableText0"/>
              <w:keepNext w:val="0"/>
              <w:widowControl w:val="0"/>
              <w:spacing w:before="0" w:after="0"/>
            </w:pPr>
            <w:r>
              <w:t>QALYs</w:t>
            </w:r>
          </w:p>
        </w:tc>
        <w:tc>
          <w:tcPr>
            <w:tcW w:w="1079" w:type="pct"/>
            <w:vAlign w:val="bottom"/>
          </w:tcPr>
          <w:p w:rsidR="00D03DF8" w:rsidRPr="00DE4D50" w:rsidRDefault="00DE4D50" w:rsidP="00504D2D">
            <w:pPr>
              <w:pStyle w:val="TableText0"/>
              <w:keepNext w:val="0"/>
              <w:widowControl w:val="0"/>
              <w:spacing w:before="0" w:after="0"/>
              <w:jc w:val="center"/>
              <w:rPr>
                <w:highlight w:val="black"/>
              </w:rPr>
            </w:pPr>
            <w:r>
              <w:rPr>
                <w:noProof/>
                <w:color w:val="000000"/>
                <w:highlight w:val="black"/>
              </w:rPr>
              <w:t>'''''''''''''</w:t>
            </w:r>
          </w:p>
        </w:tc>
        <w:tc>
          <w:tcPr>
            <w:tcW w:w="1080" w:type="pct"/>
            <w:vAlign w:val="bottom"/>
          </w:tcPr>
          <w:p w:rsidR="00D03DF8" w:rsidRPr="00DE4D50" w:rsidRDefault="00DE4D50" w:rsidP="00504D2D">
            <w:pPr>
              <w:pStyle w:val="TableText0"/>
              <w:keepNext w:val="0"/>
              <w:widowControl w:val="0"/>
              <w:spacing w:before="0" w:after="0"/>
              <w:jc w:val="center"/>
              <w:rPr>
                <w:highlight w:val="black"/>
              </w:rPr>
            </w:pPr>
            <w:r>
              <w:rPr>
                <w:noProof/>
                <w:color w:val="000000"/>
                <w:highlight w:val="black"/>
              </w:rPr>
              <w:t>''''''''''''''</w:t>
            </w:r>
          </w:p>
        </w:tc>
        <w:tc>
          <w:tcPr>
            <w:tcW w:w="1435" w:type="pct"/>
            <w:vAlign w:val="center"/>
          </w:tcPr>
          <w:p w:rsidR="00D03DF8" w:rsidRPr="00DE4D50" w:rsidRDefault="00DE4D50" w:rsidP="00504D2D">
            <w:pPr>
              <w:pStyle w:val="TableText0"/>
              <w:keepNext w:val="0"/>
              <w:widowControl w:val="0"/>
              <w:spacing w:before="0" w:after="0"/>
              <w:jc w:val="center"/>
              <w:rPr>
                <w:highlight w:val="black"/>
              </w:rPr>
            </w:pPr>
            <w:r>
              <w:rPr>
                <w:noProof/>
                <w:color w:val="000000"/>
                <w:highlight w:val="black"/>
              </w:rPr>
              <w:t>''''''''''''''</w:t>
            </w:r>
          </w:p>
        </w:tc>
      </w:tr>
      <w:tr w:rsidR="00D03DF8" w:rsidRPr="003709BB" w:rsidTr="00504D2D">
        <w:tc>
          <w:tcPr>
            <w:tcW w:w="3565" w:type="pct"/>
            <w:gridSpan w:val="3"/>
          </w:tcPr>
          <w:p w:rsidR="00D03DF8" w:rsidRPr="00E128A6" w:rsidRDefault="00D03DF8" w:rsidP="00504D2D">
            <w:pPr>
              <w:pStyle w:val="TableText0"/>
              <w:keepNext w:val="0"/>
              <w:widowControl w:val="0"/>
              <w:spacing w:before="0" w:after="0"/>
              <w:jc w:val="right"/>
              <w:rPr>
                <w:b/>
              </w:rPr>
            </w:pPr>
            <w:r w:rsidRPr="00E128A6">
              <w:rPr>
                <w:b/>
              </w:rPr>
              <w:t xml:space="preserve">Incremental cost per </w:t>
            </w:r>
            <w:r>
              <w:rPr>
                <w:b/>
              </w:rPr>
              <w:t>QALY</w:t>
            </w:r>
            <w:r w:rsidRPr="00E128A6">
              <w:rPr>
                <w:b/>
              </w:rPr>
              <w:t xml:space="preserve"> gained</w:t>
            </w:r>
          </w:p>
        </w:tc>
        <w:tc>
          <w:tcPr>
            <w:tcW w:w="1435" w:type="pct"/>
            <w:vAlign w:val="center"/>
          </w:tcPr>
          <w:p w:rsidR="00D03DF8" w:rsidRPr="003709BB" w:rsidRDefault="00D03DF8" w:rsidP="00504D2D">
            <w:pPr>
              <w:pStyle w:val="TableText0"/>
              <w:keepNext w:val="0"/>
              <w:widowControl w:val="0"/>
              <w:spacing w:before="0" w:after="0"/>
              <w:jc w:val="center"/>
            </w:pPr>
            <w:r w:rsidRPr="00743559">
              <w:t>$</w:t>
            </w:r>
            <w:r w:rsidR="00DE4D50">
              <w:rPr>
                <w:noProof/>
                <w:color w:val="000000"/>
                <w:highlight w:val="black"/>
              </w:rPr>
              <w:t>''''''''''''''''</w:t>
            </w:r>
          </w:p>
        </w:tc>
      </w:tr>
      <w:tr w:rsidR="00D03DF8" w:rsidRPr="003709BB" w:rsidTr="00504D2D">
        <w:tc>
          <w:tcPr>
            <w:tcW w:w="5000" w:type="pct"/>
            <w:gridSpan w:val="4"/>
          </w:tcPr>
          <w:p w:rsidR="00D03DF8" w:rsidRPr="003709BB" w:rsidRDefault="00D03DF8" w:rsidP="00504D2D">
            <w:pPr>
              <w:pStyle w:val="TableText0"/>
              <w:keepNext w:val="0"/>
              <w:widowControl w:val="0"/>
              <w:spacing w:before="0" w:after="0"/>
              <w:jc w:val="both"/>
              <w:rPr>
                <w:b/>
              </w:rPr>
            </w:pPr>
            <w:r>
              <w:rPr>
                <w:b/>
              </w:rPr>
              <w:t xml:space="preserve">Step 5: </w:t>
            </w:r>
            <w:r w:rsidRPr="00CF6688">
              <w:rPr>
                <w:b/>
              </w:rPr>
              <w:t>Modelled efficacy (constant romosozumab efficacy benefits to 10 years), 26 year time horizon, drug and fracture costs, fracture risk adjusted using Garvan risk calculator, general population mortality, osteoporosis utility/disutility values, incremental cost per QALY gained</w:t>
            </w:r>
          </w:p>
        </w:tc>
      </w:tr>
      <w:tr w:rsidR="00D03DF8" w:rsidRPr="003709BB" w:rsidTr="00504D2D">
        <w:tc>
          <w:tcPr>
            <w:tcW w:w="1406" w:type="pct"/>
          </w:tcPr>
          <w:p w:rsidR="00D03DF8" w:rsidRPr="003709BB" w:rsidRDefault="00D03DF8" w:rsidP="00504D2D">
            <w:pPr>
              <w:pStyle w:val="TableText0"/>
              <w:keepNext w:val="0"/>
              <w:widowControl w:val="0"/>
              <w:spacing w:before="0" w:after="0"/>
            </w:pPr>
            <w:r w:rsidRPr="003709BB">
              <w:t>Costs</w:t>
            </w:r>
          </w:p>
        </w:tc>
        <w:tc>
          <w:tcPr>
            <w:tcW w:w="1079" w:type="pct"/>
            <w:vAlign w:val="bottom"/>
          </w:tcPr>
          <w:p w:rsidR="00D03DF8" w:rsidRPr="003709BB" w:rsidRDefault="00D03DF8" w:rsidP="00504D2D">
            <w:pPr>
              <w:pStyle w:val="TableText0"/>
              <w:keepNext w:val="0"/>
              <w:widowControl w:val="0"/>
              <w:spacing w:before="0" w:after="0"/>
              <w:jc w:val="center"/>
            </w:pPr>
            <w:r>
              <w:t>$</w:t>
            </w:r>
            <w:r w:rsidR="00DE4D50">
              <w:rPr>
                <w:noProof/>
                <w:color w:val="000000"/>
                <w:highlight w:val="black"/>
              </w:rPr>
              <w:t>''''''''''''''''</w:t>
            </w:r>
          </w:p>
        </w:tc>
        <w:tc>
          <w:tcPr>
            <w:tcW w:w="1080" w:type="pct"/>
            <w:vAlign w:val="bottom"/>
          </w:tcPr>
          <w:p w:rsidR="00D03DF8" w:rsidRPr="003709BB" w:rsidRDefault="00D03DF8" w:rsidP="00504D2D">
            <w:pPr>
              <w:pStyle w:val="TableText0"/>
              <w:keepNext w:val="0"/>
              <w:widowControl w:val="0"/>
              <w:spacing w:before="0" w:after="0"/>
              <w:jc w:val="center"/>
            </w:pPr>
            <w:r>
              <w:t>$</w:t>
            </w:r>
            <w:r w:rsidR="00DE4D50">
              <w:rPr>
                <w:noProof/>
                <w:color w:val="000000"/>
                <w:highlight w:val="black"/>
              </w:rPr>
              <w:t>''''''''''''''''''</w:t>
            </w:r>
          </w:p>
        </w:tc>
        <w:tc>
          <w:tcPr>
            <w:tcW w:w="1435" w:type="pct"/>
            <w:vAlign w:val="center"/>
          </w:tcPr>
          <w:p w:rsidR="00D03DF8" w:rsidRPr="003709BB" w:rsidRDefault="00D03DF8" w:rsidP="00504D2D">
            <w:pPr>
              <w:pStyle w:val="TableText0"/>
              <w:keepNext w:val="0"/>
              <w:widowControl w:val="0"/>
              <w:spacing w:before="0" w:after="0"/>
              <w:jc w:val="center"/>
            </w:pPr>
            <w:r>
              <w:t>$</w:t>
            </w:r>
            <w:r w:rsidR="00DE4D50">
              <w:rPr>
                <w:noProof/>
                <w:color w:val="000000"/>
                <w:highlight w:val="black"/>
              </w:rPr>
              <w:t>''''''''''''''</w:t>
            </w:r>
          </w:p>
        </w:tc>
      </w:tr>
      <w:tr w:rsidR="00D03DF8" w:rsidRPr="003709BB" w:rsidTr="00504D2D">
        <w:tc>
          <w:tcPr>
            <w:tcW w:w="1406" w:type="pct"/>
          </w:tcPr>
          <w:p w:rsidR="00D03DF8" w:rsidRPr="003709BB" w:rsidRDefault="00D03DF8" w:rsidP="00504D2D">
            <w:pPr>
              <w:pStyle w:val="TableText0"/>
              <w:keepNext w:val="0"/>
              <w:widowControl w:val="0"/>
              <w:spacing w:before="0" w:after="0"/>
            </w:pPr>
            <w:r>
              <w:t>QALYs</w:t>
            </w:r>
          </w:p>
        </w:tc>
        <w:tc>
          <w:tcPr>
            <w:tcW w:w="1079" w:type="pct"/>
            <w:vAlign w:val="bottom"/>
          </w:tcPr>
          <w:p w:rsidR="00D03DF8" w:rsidRPr="00DE4D50" w:rsidRDefault="00DE4D50" w:rsidP="00504D2D">
            <w:pPr>
              <w:pStyle w:val="TableText0"/>
              <w:keepNext w:val="0"/>
              <w:widowControl w:val="0"/>
              <w:spacing w:before="0" w:after="0"/>
              <w:jc w:val="center"/>
              <w:rPr>
                <w:highlight w:val="black"/>
              </w:rPr>
            </w:pPr>
            <w:r>
              <w:rPr>
                <w:noProof/>
                <w:color w:val="000000"/>
                <w:highlight w:val="black"/>
              </w:rPr>
              <w:t>'''''''''''''</w:t>
            </w:r>
          </w:p>
        </w:tc>
        <w:tc>
          <w:tcPr>
            <w:tcW w:w="1080" w:type="pct"/>
            <w:vAlign w:val="bottom"/>
          </w:tcPr>
          <w:p w:rsidR="00D03DF8" w:rsidRPr="00DE4D50" w:rsidRDefault="00DE4D50" w:rsidP="00504D2D">
            <w:pPr>
              <w:pStyle w:val="TableText0"/>
              <w:keepNext w:val="0"/>
              <w:widowControl w:val="0"/>
              <w:spacing w:before="0" w:after="0"/>
              <w:jc w:val="center"/>
              <w:rPr>
                <w:highlight w:val="black"/>
              </w:rPr>
            </w:pPr>
            <w:r>
              <w:rPr>
                <w:noProof/>
                <w:color w:val="000000"/>
                <w:highlight w:val="black"/>
              </w:rPr>
              <w:t>'''''''''''''''</w:t>
            </w:r>
          </w:p>
        </w:tc>
        <w:tc>
          <w:tcPr>
            <w:tcW w:w="1435" w:type="pct"/>
            <w:vAlign w:val="center"/>
          </w:tcPr>
          <w:p w:rsidR="00D03DF8" w:rsidRPr="00DE4D50" w:rsidRDefault="00DE4D50" w:rsidP="00504D2D">
            <w:pPr>
              <w:pStyle w:val="TableText0"/>
              <w:keepNext w:val="0"/>
              <w:widowControl w:val="0"/>
              <w:spacing w:before="0" w:after="0"/>
              <w:jc w:val="center"/>
              <w:rPr>
                <w:highlight w:val="black"/>
              </w:rPr>
            </w:pPr>
            <w:r>
              <w:rPr>
                <w:noProof/>
                <w:color w:val="000000"/>
                <w:highlight w:val="black"/>
              </w:rPr>
              <w:t>''''''''''''''</w:t>
            </w:r>
          </w:p>
        </w:tc>
      </w:tr>
      <w:tr w:rsidR="00D03DF8" w:rsidRPr="003709BB" w:rsidTr="00504D2D">
        <w:tc>
          <w:tcPr>
            <w:tcW w:w="3565" w:type="pct"/>
            <w:gridSpan w:val="3"/>
          </w:tcPr>
          <w:p w:rsidR="00D03DF8" w:rsidRPr="00E128A6" w:rsidRDefault="00D03DF8" w:rsidP="00504D2D">
            <w:pPr>
              <w:pStyle w:val="TableText0"/>
              <w:keepNext w:val="0"/>
              <w:widowControl w:val="0"/>
              <w:spacing w:before="0" w:after="0"/>
              <w:jc w:val="right"/>
              <w:rPr>
                <w:b/>
              </w:rPr>
            </w:pPr>
            <w:r w:rsidRPr="00E128A6">
              <w:rPr>
                <w:b/>
              </w:rPr>
              <w:t xml:space="preserve">Incremental cost per </w:t>
            </w:r>
            <w:r>
              <w:rPr>
                <w:b/>
              </w:rPr>
              <w:t>QALY</w:t>
            </w:r>
            <w:r w:rsidRPr="00E128A6">
              <w:rPr>
                <w:b/>
              </w:rPr>
              <w:t xml:space="preserve"> gained</w:t>
            </w:r>
          </w:p>
        </w:tc>
        <w:tc>
          <w:tcPr>
            <w:tcW w:w="1435" w:type="pct"/>
            <w:vAlign w:val="center"/>
          </w:tcPr>
          <w:p w:rsidR="00D03DF8" w:rsidRPr="003709BB" w:rsidRDefault="00D03DF8" w:rsidP="00504D2D">
            <w:pPr>
              <w:pStyle w:val="TableText0"/>
              <w:keepNext w:val="0"/>
              <w:widowControl w:val="0"/>
              <w:spacing w:before="0" w:after="0"/>
              <w:jc w:val="center"/>
            </w:pPr>
            <w:r w:rsidRPr="00CC7D9A">
              <w:t>$</w:t>
            </w:r>
            <w:r w:rsidR="00DE4D50">
              <w:rPr>
                <w:noProof/>
                <w:color w:val="000000"/>
                <w:highlight w:val="black"/>
              </w:rPr>
              <w:t>'''''''''''''</w:t>
            </w:r>
          </w:p>
        </w:tc>
      </w:tr>
      <w:tr w:rsidR="00D03DF8" w:rsidRPr="003709BB" w:rsidTr="00504D2D">
        <w:tc>
          <w:tcPr>
            <w:tcW w:w="5000" w:type="pct"/>
            <w:gridSpan w:val="4"/>
          </w:tcPr>
          <w:p w:rsidR="00D03DF8" w:rsidRPr="003709BB" w:rsidRDefault="00D03DF8" w:rsidP="00504D2D">
            <w:pPr>
              <w:pStyle w:val="TableText0"/>
              <w:keepNext w:val="0"/>
              <w:widowControl w:val="0"/>
              <w:spacing w:before="0" w:after="0"/>
              <w:jc w:val="both"/>
              <w:rPr>
                <w:b/>
              </w:rPr>
            </w:pPr>
            <w:r>
              <w:rPr>
                <w:b/>
              </w:rPr>
              <w:t xml:space="preserve">Step 6: </w:t>
            </w:r>
            <w:r w:rsidRPr="00CF6688">
              <w:rPr>
                <w:b/>
              </w:rPr>
              <w:t>Modelled efficacy (constant romosozumab efficacy benefits to 10 years), 26 year time horizon, drug and fracture costs, fracture risk adjusted using Garvan risk calculator, general population mortality with mortality multipliers for fracture, osteoporosis utility/disutility values, incremental cost per QALY gained</w:t>
            </w:r>
          </w:p>
        </w:tc>
      </w:tr>
      <w:tr w:rsidR="00D03DF8" w:rsidRPr="003709BB" w:rsidTr="00504D2D">
        <w:tc>
          <w:tcPr>
            <w:tcW w:w="1406" w:type="pct"/>
          </w:tcPr>
          <w:p w:rsidR="00D03DF8" w:rsidRPr="003709BB" w:rsidRDefault="00D03DF8" w:rsidP="00504D2D">
            <w:pPr>
              <w:pStyle w:val="TableText0"/>
              <w:keepNext w:val="0"/>
              <w:widowControl w:val="0"/>
              <w:spacing w:before="0" w:after="0"/>
            </w:pPr>
            <w:r w:rsidRPr="003709BB">
              <w:t>Costs</w:t>
            </w:r>
          </w:p>
        </w:tc>
        <w:tc>
          <w:tcPr>
            <w:tcW w:w="1079" w:type="pct"/>
            <w:vAlign w:val="bottom"/>
          </w:tcPr>
          <w:p w:rsidR="00D03DF8" w:rsidRPr="003709BB" w:rsidRDefault="00D03DF8" w:rsidP="00504D2D">
            <w:pPr>
              <w:pStyle w:val="TableText0"/>
              <w:keepNext w:val="0"/>
              <w:widowControl w:val="0"/>
              <w:spacing w:before="0" w:after="0"/>
              <w:jc w:val="center"/>
            </w:pPr>
            <w:r>
              <w:t>$</w:t>
            </w:r>
            <w:r w:rsidR="00DE4D50">
              <w:rPr>
                <w:noProof/>
                <w:color w:val="000000"/>
                <w:highlight w:val="black"/>
              </w:rPr>
              <w:t>'''''''''''''''''</w:t>
            </w:r>
          </w:p>
        </w:tc>
        <w:tc>
          <w:tcPr>
            <w:tcW w:w="1080" w:type="pct"/>
            <w:vAlign w:val="bottom"/>
          </w:tcPr>
          <w:p w:rsidR="00D03DF8" w:rsidRPr="003709BB" w:rsidRDefault="00D03DF8" w:rsidP="00504D2D">
            <w:pPr>
              <w:pStyle w:val="TableText0"/>
              <w:keepNext w:val="0"/>
              <w:widowControl w:val="0"/>
              <w:spacing w:before="0" w:after="0"/>
              <w:jc w:val="center"/>
            </w:pPr>
            <w:r>
              <w:t>$</w:t>
            </w:r>
            <w:r w:rsidR="00DE4D50">
              <w:rPr>
                <w:noProof/>
                <w:color w:val="000000"/>
                <w:highlight w:val="black"/>
              </w:rPr>
              <w:t>''''''''''''''''''</w:t>
            </w:r>
          </w:p>
        </w:tc>
        <w:tc>
          <w:tcPr>
            <w:tcW w:w="1435" w:type="pct"/>
            <w:vAlign w:val="center"/>
          </w:tcPr>
          <w:p w:rsidR="00D03DF8" w:rsidRPr="003709BB" w:rsidRDefault="00D03DF8" w:rsidP="00504D2D">
            <w:pPr>
              <w:pStyle w:val="TableText0"/>
              <w:keepNext w:val="0"/>
              <w:widowControl w:val="0"/>
              <w:spacing w:before="0" w:after="0"/>
              <w:jc w:val="center"/>
            </w:pPr>
            <w:r>
              <w:t>$</w:t>
            </w:r>
            <w:r w:rsidR="00DE4D50">
              <w:rPr>
                <w:noProof/>
                <w:color w:val="000000"/>
                <w:highlight w:val="black"/>
              </w:rPr>
              <w:t>'''''''''''''</w:t>
            </w:r>
          </w:p>
        </w:tc>
      </w:tr>
      <w:tr w:rsidR="00D03DF8" w:rsidRPr="003709BB" w:rsidTr="00504D2D">
        <w:tc>
          <w:tcPr>
            <w:tcW w:w="1406" w:type="pct"/>
          </w:tcPr>
          <w:p w:rsidR="00D03DF8" w:rsidRPr="003709BB" w:rsidRDefault="00D03DF8" w:rsidP="00504D2D">
            <w:pPr>
              <w:pStyle w:val="TableText0"/>
              <w:keepNext w:val="0"/>
              <w:widowControl w:val="0"/>
              <w:spacing w:before="0" w:after="0"/>
            </w:pPr>
            <w:r>
              <w:t>QALYs</w:t>
            </w:r>
          </w:p>
        </w:tc>
        <w:tc>
          <w:tcPr>
            <w:tcW w:w="1079" w:type="pct"/>
            <w:vAlign w:val="bottom"/>
          </w:tcPr>
          <w:p w:rsidR="00D03DF8" w:rsidRPr="00DE4D50" w:rsidRDefault="00DE4D50" w:rsidP="00504D2D">
            <w:pPr>
              <w:pStyle w:val="TableText0"/>
              <w:keepNext w:val="0"/>
              <w:widowControl w:val="0"/>
              <w:spacing w:before="0" w:after="0"/>
              <w:jc w:val="center"/>
              <w:rPr>
                <w:highlight w:val="black"/>
              </w:rPr>
            </w:pPr>
            <w:r>
              <w:rPr>
                <w:noProof/>
                <w:color w:val="000000"/>
                <w:highlight w:val="black"/>
              </w:rPr>
              <w:t>'''''''''''''''</w:t>
            </w:r>
          </w:p>
        </w:tc>
        <w:tc>
          <w:tcPr>
            <w:tcW w:w="1080" w:type="pct"/>
            <w:vAlign w:val="bottom"/>
          </w:tcPr>
          <w:p w:rsidR="00D03DF8" w:rsidRPr="00DE4D50" w:rsidRDefault="00DE4D50" w:rsidP="00504D2D">
            <w:pPr>
              <w:pStyle w:val="TableText0"/>
              <w:keepNext w:val="0"/>
              <w:widowControl w:val="0"/>
              <w:spacing w:before="0" w:after="0"/>
              <w:jc w:val="center"/>
              <w:rPr>
                <w:highlight w:val="black"/>
              </w:rPr>
            </w:pPr>
            <w:r>
              <w:rPr>
                <w:noProof/>
                <w:color w:val="000000"/>
                <w:highlight w:val="black"/>
              </w:rPr>
              <w:t>''''''''''''</w:t>
            </w:r>
          </w:p>
        </w:tc>
        <w:tc>
          <w:tcPr>
            <w:tcW w:w="1435" w:type="pct"/>
            <w:vAlign w:val="center"/>
          </w:tcPr>
          <w:p w:rsidR="00D03DF8" w:rsidRPr="00DE4D50" w:rsidRDefault="00DE4D50" w:rsidP="00504D2D">
            <w:pPr>
              <w:pStyle w:val="TableText0"/>
              <w:keepNext w:val="0"/>
              <w:widowControl w:val="0"/>
              <w:spacing w:before="0" w:after="0"/>
              <w:jc w:val="center"/>
              <w:rPr>
                <w:highlight w:val="black"/>
              </w:rPr>
            </w:pPr>
            <w:r>
              <w:rPr>
                <w:noProof/>
                <w:color w:val="000000"/>
                <w:highlight w:val="black"/>
              </w:rPr>
              <w:t>''''''''''''''</w:t>
            </w:r>
          </w:p>
        </w:tc>
      </w:tr>
      <w:tr w:rsidR="00D03DF8" w:rsidRPr="003709BB" w:rsidTr="00504D2D">
        <w:tc>
          <w:tcPr>
            <w:tcW w:w="3565" w:type="pct"/>
            <w:gridSpan w:val="3"/>
          </w:tcPr>
          <w:p w:rsidR="00D03DF8" w:rsidRPr="00E128A6" w:rsidRDefault="00D03DF8" w:rsidP="00504D2D">
            <w:pPr>
              <w:pStyle w:val="TableText0"/>
              <w:keepNext w:val="0"/>
              <w:widowControl w:val="0"/>
              <w:spacing w:before="0" w:after="0"/>
              <w:jc w:val="right"/>
              <w:rPr>
                <w:b/>
              </w:rPr>
            </w:pPr>
            <w:r w:rsidRPr="00E128A6">
              <w:rPr>
                <w:b/>
              </w:rPr>
              <w:t xml:space="preserve">Incremental cost per </w:t>
            </w:r>
            <w:r>
              <w:rPr>
                <w:b/>
              </w:rPr>
              <w:t>QALY</w:t>
            </w:r>
            <w:r w:rsidRPr="00E128A6">
              <w:rPr>
                <w:b/>
              </w:rPr>
              <w:t xml:space="preserve"> gained</w:t>
            </w:r>
          </w:p>
        </w:tc>
        <w:tc>
          <w:tcPr>
            <w:tcW w:w="1435" w:type="pct"/>
            <w:vAlign w:val="center"/>
          </w:tcPr>
          <w:p w:rsidR="00D03DF8" w:rsidRPr="003709BB" w:rsidRDefault="00D03DF8" w:rsidP="00504D2D">
            <w:pPr>
              <w:pStyle w:val="TableText0"/>
              <w:keepNext w:val="0"/>
              <w:widowControl w:val="0"/>
              <w:spacing w:before="0" w:after="0"/>
              <w:jc w:val="center"/>
            </w:pPr>
            <w:r w:rsidRPr="00CC7D9A">
              <w:t>$</w:t>
            </w:r>
            <w:r w:rsidR="00DE4D50">
              <w:rPr>
                <w:noProof/>
                <w:color w:val="000000"/>
                <w:highlight w:val="black"/>
              </w:rPr>
              <w:t>'''''''''''''</w:t>
            </w:r>
          </w:p>
        </w:tc>
      </w:tr>
      <w:tr w:rsidR="00D03DF8" w:rsidRPr="003709BB" w:rsidTr="00504D2D">
        <w:tc>
          <w:tcPr>
            <w:tcW w:w="5000" w:type="pct"/>
            <w:gridSpan w:val="4"/>
          </w:tcPr>
          <w:p w:rsidR="00D03DF8" w:rsidRPr="003709BB" w:rsidRDefault="00D03DF8" w:rsidP="00504D2D">
            <w:pPr>
              <w:pStyle w:val="TableText0"/>
              <w:keepNext w:val="0"/>
              <w:widowControl w:val="0"/>
              <w:spacing w:before="0" w:after="0"/>
              <w:jc w:val="both"/>
              <w:rPr>
                <w:b/>
              </w:rPr>
            </w:pPr>
            <w:r>
              <w:rPr>
                <w:b/>
              </w:rPr>
              <w:t xml:space="preserve">Step 7: </w:t>
            </w:r>
            <w:r w:rsidRPr="00CF6688">
              <w:rPr>
                <w:b/>
              </w:rPr>
              <w:t xml:space="preserve">Modelled efficacy (parametric survival curves with romosozumab efficacy benefits to 10 years), 26 year time horizon, drug and fracture costs, fracture risk adjusted using Garvan risk calculator, general population mortality </w:t>
            </w:r>
            <w:r w:rsidRPr="00CF6688">
              <w:rPr>
                <w:b/>
              </w:rPr>
              <w:lastRenderedPageBreak/>
              <w:t>with mortality multipliers for fracture, osteoporosis utility/disutility values, incremental cost per QALY gained</w:t>
            </w:r>
          </w:p>
        </w:tc>
      </w:tr>
      <w:tr w:rsidR="00D03DF8" w:rsidRPr="003709BB" w:rsidTr="00504D2D">
        <w:tc>
          <w:tcPr>
            <w:tcW w:w="1406" w:type="pct"/>
          </w:tcPr>
          <w:p w:rsidR="00D03DF8" w:rsidRPr="003709BB" w:rsidRDefault="00D03DF8" w:rsidP="00504D2D">
            <w:pPr>
              <w:pStyle w:val="TableText0"/>
              <w:keepNext w:val="0"/>
              <w:widowControl w:val="0"/>
              <w:spacing w:before="0" w:after="0"/>
            </w:pPr>
            <w:r w:rsidRPr="003709BB">
              <w:lastRenderedPageBreak/>
              <w:t>Costs</w:t>
            </w:r>
          </w:p>
        </w:tc>
        <w:tc>
          <w:tcPr>
            <w:tcW w:w="1079" w:type="pct"/>
            <w:vAlign w:val="bottom"/>
          </w:tcPr>
          <w:p w:rsidR="00D03DF8" w:rsidRPr="003709BB" w:rsidRDefault="00D03DF8" w:rsidP="00504D2D">
            <w:pPr>
              <w:pStyle w:val="TableText0"/>
              <w:keepNext w:val="0"/>
              <w:widowControl w:val="0"/>
              <w:spacing w:before="0" w:after="0"/>
              <w:jc w:val="center"/>
            </w:pPr>
            <w:r>
              <w:t>$</w:t>
            </w:r>
            <w:r w:rsidR="00DE4D50">
              <w:rPr>
                <w:noProof/>
                <w:color w:val="000000"/>
                <w:highlight w:val="black"/>
              </w:rPr>
              <w:t>''''''''''''''''</w:t>
            </w:r>
          </w:p>
        </w:tc>
        <w:tc>
          <w:tcPr>
            <w:tcW w:w="1080" w:type="pct"/>
            <w:vAlign w:val="bottom"/>
          </w:tcPr>
          <w:p w:rsidR="00D03DF8" w:rsidRPr="003709BB" w:rsidRDefault="00D03DF8" w:rsidP="00504D2D">
            <w:pPr>
              <w:pStyle w:val="TableText0"/>
              <w:keepNext w:val="0"/>
              <w:widowControl w:val="0"/>
              <w:spacing w:before="0" w:after="0"/>
              <w:jc w:val="center"/>
            </w:pPr>
            <w:r>
              <w:t>$</w:t>
            </w:r>
            <w:r w:rsidR="00DE4D50">
              <w:rPr>
                <w:noProof/>
                <w:color w:val="000000"/>
                <w:highlight w:val="black"/>
              </w:rPr>
              <w:t>'''''''''''''''''</w:t>
            </w:r>
          </w:p>
        </w:tc>
        <w:tc>
          <w:tcPr>
            <w:tcW w:w="1435" w:type="pct"/>
            <w:vAlign w:val="center"/>
          </w:tcPr>
          <w:p w:rsidR="00D03DF8" w:rsidRPr="003709BB" w:rsidRDefault="00D03DF8" w:rsidP="00504D2D">
            <w:pPr>
              <w:pStyle w:val="TableText0"/>
              <w:keepNext w:val="0"/>
              <w:widowControl w:val="0"/>
              <w:spacing w:before="0" w:after="0"/>
              <w:jc w:val="center"/>
            </w:pPr>
            <w:r>
              <w:t>$</w:t>
            </w:r>
            <w:r w:rsidR="00DE4D50">
              <w:rPr>
                <w:noProof/>
                <w:color w:val="000000"/>
                <w:highlight w:val="black"/>
              </w:rPr>
              <w:t>'''''''''''''</w:t>
            </w:r>
          </w:p>
        </w:tc>
      </w:tr>
      <w:tr w:rsidR="00D03DF8" w:rsidRPr="003709BB" w:rsidTr="00504D2D">
        <w:tc>
          <w:tcPr>
            <w:tcW w:w="1406" w:type="pct"/>
          </w:tcPr>
          <w:p w:rsidR="00D03DF8" w:rsidRPr="003709BB" w:rsidRDefault="00D03DF8" w:rsidP="00504D2D">
            <w:pPr>
              <w:pStyle w:val="TableText0"/>
              <w:keepNext w:val="0"/>
              <w:widowControl w:val="0"/>
              <w:spacing w:before="0" w:after="0"/>
            </w:pPr>
            <w:r>
              <w:t>QALYs</w:t>
            </w:r>
          </w:p>
        </w:tc>
        <w:tc>
          <w:tcPr>
            <w:tcW w:w="1079" w:type="pct"/>
            <w:vAlign w:val="bottom"/>
          </w:tcPr>
          <w:p w:rsidR="00D03DF8" w:rsidRPr="00DE4D50" w:rsidRDefault="00DE4D50" w:rsidP="00504D2D">
            <w:pPr>
              <w:pStyle w:val="TableText0"/>
              <w:keepNext w:val="0"/>
              <w:widowControl w:val="0"/>
              <w:spacing w:before="0" w:after="0"/>
              <w:jc w:val="center"/>
              <w:rPr>
                <w:highlight w:val="black"/>
              </w:rPr>
            </w:pPr>
            <w:r>
              <w:rPr>
                <w:noProof/>
                <w:color w:val="000000"/>
                <w:highlight w:val="black"/>
              </w:rPr>
              <w:t>'''''''''''''</w:t>
            </w:r>
          </w:p>
        </w:tc>
        <w:tc>
          <w:tcPr>
            <w:tcW w:w="1080" w:type="pct"/>
            <w:vAlign w:val="bottom"/>
          </w:tcPr>
          <w:p w:rsidR="00D03DF8" w:rsidRPr="00DE4D50" w:rsidRDefault="00DE4D50" w:rsidP="00504D2D">
            <w:pPr>
              <w:pStyle w:val="TableText0"/>
              <w:keepNext w:val="0"/>
              <w:widowControl w:val="0"/>
              <w:spacing w:before="0" w:after="0"/>
              <w:jc w:val="center"/>
              <w:rPr>
                <w:highlight w:val="black"/>
              </w:rPr>
            </w:pPr>
            <w:r>
              <w:rPr>
                <w:noProof/>
                <w:color w:val="000000"/>
                <w:highlight w:val="black"/>
              </w:rPr>
              <w:t>'''''''''''''</w:t>
            </w:r>
          </w:p>
        </w:tc>
        <w:tc>
          <w:tcPr>
            <w:tcW w:w="1435" w:type="pct"/>
            <w:vAlign w:val="center"/>
          </w:tcPr>
          <w:p w:rsidR="00D03DF8" w:rsidRPr="00DE4D50" w:rsidRDefault="00DE4D50" w:rsidP="00504D2D">
            <w:pPr>
              <w:pStyle w:val="TableText0"/>
              <w:keepNext w:val="0"/>
              <w:widowControl w:val="0"/>
              <w:spacing w:before="0" w:after="0"/>
              <w:jc w:val="center"/>
              <w:rPr>
                <w:highlight w:val="black"/>
              </w:rPr>
            </w:pPr>
            <w:r>
              <w:rPr>
                <w:noProof/>
                <w:color w:val="000000"/>
                <w:highlight w:val="black"/>
              </w:rPr>
              <w:t>'''''''''''''''</w:t>
            </w:r>
          </w:p>
        </w:tc>
      </w:tr>
      <w:tr w:rsidR="00D03DF8" w:rsidRPr="003709BB" w:rsidTr="00504D2D">
        <w:tc>
          <w:tcPr>
            <w:tcW w:w="3565" w:type="pct"/>
            <w:gridSpan w:val="3"/>
          </w:tcPr>
          <w:p w:rsidR="00D03DF8" w:rsidRPr="00E128A6" w:rsidRDefault="00D03DF8" w:rsidP="00504D2D">
            <w:pPr>
              <w:pStyle w:val="TableText0"/>
              <w:keepNext w:val="0"/>
              <w:widowControl w:val="0"/>
              <w:spacing w:before="0" w:after="0"/>
              <w:jc w:val="right"/>
              <w:rPr>
                <w:b/>
              </w:rPr>
            </w:pPr>
            <w:r w:rsidRPr="00E128A6">
              <w:rPr>
                <w:b/>
              </w:rPr>
              <w:t xml:space="preserve">Incremental cost per </w:t>
            </w:r>
            <w:r>
              <w:rPr>
                <w:b/>
              </w:rPr>
              <w:t>QALY</w:t>
            </w:r>
            <w:r w:rsidRPr="00E128A6">
              <w:rPr>
                <w:b/>
              </w:rPr>
              <w:t xml:space="preserve"> gained</w:t>
            </w:r>
          </w:p>
        </w:tc>
        <w:tc>
          <w:tcPr>
            <w:tcW w:w="1435" w:type="pct"/>
            <w:vAlign w:val="center"/>
          </w:tcPr>
          <w:p w:rsidR="00D03DF8" w:rsidRPr="003709BB" w:rsidRDefault="00D03DF8" w:rsidP="00504D2D">
            <w:pPr>
              <w:pStyle w:val="TableText0"/>
              <w:keepNext w:val="0"/>
              <w:widowControl w:val="0"/>
              <w:spacing w:before="0" w:after="0"/>
              <w:jc w:val="center"/>
            </w:pPr>
            <w:r w:rsidRPr="00197E18">
              <w:t>$</w:t>
            </w:r>
            <w:r w:rsidR="00DE4D50">
              <w:rPr>
                <w:noProof/>
                <w:color w:val="000000"/>
                <w:highlight w:val="black"/>
              </w:rPr>
              <w:t>''''''''''''</w:t>
            </w:r>
          </w:p>
        </w:tc>
      </w:tr>
      <w:tr w:rsidR="00D03DF8" w:rsidRPr="003709BB" w:rsidTr="00504D2D">
        <w:tc>
          <w:tcPr>
            <w:tcW w:w="5000" w:type="pct"/>
            <w:gridSpan w:val="4"/>
          </w:tcPr>
          <w:p w:rsidR="00D03DF8" w:rsidRPr="003709BB" w:rsidRDefault="00D03DF8" w:rsidP="00504D2D">
            <w:pPr>
              <w:pStyle w:val="TableText0"/>
              <w:keepNext w:val="0"/>
              <w:widowControl w:val="0"/>
              <w:spacing w:before="0" w:after="0"/>
              <w:jc w:val="both"/>
              <w:rPr>
                <w:b/>
              </w:rPr>
            </w:pPr>
            <w:r>
              <w:rPr>
                <w:b/>
              </w:rPr>
              <w:t xml:space="preserve">Step 8: </w:t>
            </w:r>
            <w:r w:rsidRPr="00CF6688">
              <w:rPr>
                <w:b/>
              </w:rPr>
              <w:t>Modelled efficacy (parametric survival curves with romosozumab efficacy benefits to 5 years and convergence by 10 years), 26 year time horizon, drug and fracture costs, fracture risk adjusted using Garvan risk calculator, general population mortality with mortality multipliers for fracture, osteoporosis utility/disutility values, incremental cost per QALY gained</w:t>
            </w:r>
          </w:p>
        </w:tc>
      </w:tr>
      <w:tr w:rsidR="00D03DF8" w:rsidRPr="003709BB" w:rsidTr="00504D2D">
        <w:tc>
          <w:tcPr>
            <w:tcW w:w="1406" w:type="pct"/>
          </w:tcPr>
          <w:p w:rsidR="00D03DF8" w:rsidRPr="003709BB" w:rsidRDefault="00D03DF8" w:rsidP="00504D2D">
            <w:pPr>
              <w:pStyle w:val="TableText0"/>
              <w:keepNext w:val="0"/>
              <w:widowControl w:val="0"/>
              <w:spacing w:before="0" w:after="0"/>
            </w:pPr>
            <w:r w:rsidRPr="003709BB">
              <w:t>Costs</w:t>
            </w:r>
          </w:p>
        </w:tc>
        <w:tc>
          <w:tcPr>
            <w:tcW w:w="1079" w:type="pct"/>
            <w:vAlign w:val="bottom"/>
          </w:tcPr>
          <w:p w:rsidR="00D03DF8" w:rsidRPr="003709BB" w:rsidRDefault="00D03DF8" w:rsidP="00504D2D">
            <w:pPr>
              <w:pStyle w:val="TableText0"/>
              <w:keepNext w:val="0"/>
              <w:widowControl w:val="0"/>
              <w:spacing w:before="0" w:after="0"/>
              <w:jc w:val="center"/>
            </w:pPr>
            <w:r>
              <w:t>$</w:t>
            </w:r>
            <w:r w:rsidR="00DE4D50">
              <w:rPr>
                <w:noProof/>
                <w:color w:val="000000"/>
                <w:highlight w:val="black"/>
              </w:rPr>
              <w:t>''''''''''''''''</w:t>
            </w:r>
          </w:p>
        </w:tc>
        <w:tc>
          <w:tcPr>
            <w:tcW w:w="1080" w:type="pct"/>
            <w:vAlign w:val="bottom"/>
          </w:tcPr>
          <w:p w:rsidR="00D03DF8" w:rsidRPr="003709BB" w:rsidRDefault="00D03DF8" w:rsidP="00504D2D">
            <w:pPr>
              <w:pStyle w:val="TableText0"/>
              <w:keepNext w:val="0"/>
              <w:widowControl w:val="0"/>
              <w:spacing w:before="0" w:after="0"/>
              <w:jc w:val="center"/>
            </w:pPr>
            <w:r>
              <w:t>$</w:t>
            </w:r>
            <w:r w:rsidR="00DE4D50">
              <w:rPr>
                <w:noProof/>
                <w:color w:val="000000"/>
                <w:highlight w:val="black"/>
              </w:rPr>
              <w:t>'''''''''''''''</w:t>
            </w:r>
          </w:p>
        </w:tc>
        <w:tc>
          <w:tcPr>
            <w:tcW w:w="1435" w:type="pct"/>
            <w:vAlign w:val="center"/>
          </w:tcPr>
          <w:p w:rsidR="00D03DF8" w:rsidRPr="003709BB" w:rsidRDefault="00D03DF8" w:rsidP="00504D2D">
            <w:pPr>
              <w:pStyle w:val="TableText0"/>
              <w:keepNext w:val="0"/>
              <w:widowControl w:val="0"/>
              <w:spacing w:before="0" w:after="0"/>
              <w:jc w:val="center"/>
            </w:pPr>
            <w:r>
              <w:t>$</w:t>
            </w:r>
            <w:r w:rsidR="00DE4D50">
              <w:rPr>
                <w:noProof/>
                <w:color w:val="000000"/>
                <w:highlight w:val="black"/>
              </w:rPr>
              <w:t>'''''''''''''</w:t>
            </w:r>
          </w:p>
        </w:tc>
      </w:tr>
      <w:tr w:rsidR="00D03DF8" w:rsidRPr="003709BB" w:rsidTr="00504D2D">
        <w:tc>
          <w:tcPr>
            <w:tcW w:w="1406" w:type="pct"/>
          </w:tcPr>
          <w:p w:rsidR="00D03DF8" w:rsidRPr="003709BB" w:rsidRDefault="00D03DF8" w:rsidP="00504D2D">
            <w:pPr>
              <w:pStyle w:val="TableText0"/>
              <w:keepNext w:val="0"/>
              <w:widowControl w:val="0"/>
              <w:spacing w:before="0" w:after="0"/>
            </w:pPr>
            <w:r>
              <w:t>QALYs</w:t>
            </w:r>
          </w:p>
        </w:tc>
        <w:tc>
          <w:tcPr>
            <w:tcW w:w="1079" w:type="pct"/>
            <w:vAlign w:val="bottom"/>
          </w:tcPr>
          <w:p w:rsidR="00D03DF8" w:rsidRPr="00DE4D50" w:rsidRDefault="00DE4D50" w:rsidP="00504D2D">
            <w:pPr>
              <w:pStyle w:val="TableText0"/>
              <w:keepNext w:val="0"/>
              <w:widowControl w:val="0"/>
              <w:spacing w:before="0" w:after="0"/>
              <w:jc w:val="center"/>
              <w:rPr>
                <w:highlight w:val="black"/>
              </w:rPr>
            </w:pPr>
            <w:r>
              <w:rPr>
                <w:noProof/>
                <w:color w:val="000000"/>
                <w:highlight w:val="black"/>
              </w:rPr>
              <w:t>'''''''''''''''</w:t>
            </w:r>
          </w:p>
        </w:tc>
        <w:tc>
          <w:tcPr>
            <w:tcW w:w="1080" w:type="pct"/>
            <w:vAlign w:val="bottom"/>
          </w:tcPr>
          <w:p w:rsidR="00D03DF8" w:rsidRPr="00DE4D50" w:rsidRDefault="00DE4D50" w:rsidP="00504D2D">
            <w:pPr>
              <w:pStyle w:val="TableText0"/>
              <w:keepNext w:val="0"/>
              <w:widowControl w:val="0"/>
              <w:spacing w:before="0" w:after="0"/>
              <w:jc w:val="center"/>
              <w:rPr>
                <w:highlight w:val="black"/>
              </w:rPr>
            </w:pPr>
            <w:r>
              <w:rPr>
                <w:noProof/>
                <w:color w:val="000000"/>
                <w:highlight w:val="black"/>
              </w:rPr>
              <w:t>'''''''''''''''</w:t>
            </w:r>
          </w:p>
        </w:tc>
        <w:tc>
          <w:tcPr>
            <w:tcW w:w="1435" w:type="pct"/>
            <w:vAlign w:val="center"/>
          </w:tcPr>
          <w:p w:rsidR="00D03DF8" w:rsidRPr="00DE4D50" w:rsidRDefault="00DE4D50" w:rsidP="00504D2D">
            <w:pPr>
              <w:pStyle w:val="TableText0"/>
              <w:keepNext w:val="0"/>
              <w:widowControl w:val="0"/>
              <w:spacing w:before="0" w:after="0"/>
              <w:jc w:val="center"/>
              <w:rPr>
                <w:highlight w:val="black"/>
              </w:rPr>
            </w:pPr>
            <w:r>
              <w:rPr>
                <w:noProof/>
                <w:color w:val="000000"/>
                <w:highlight w:val="black"/>
              </w:rPr>
              <w:t>'''''''''''''''</w:t>
            </w:r>
          </w:p>
        </w:tc>
      </w:tr>
      <w:tr w:rsidR="00D03DF8" w:rsidRPr="003709BB" w:rsidTr="00504D2D">
        <w:tc>
          <w:tcPr>
            <w:tcW w:w="3565" w:type="pct"/>
            <w:gridSpan w:val="3"/>
          </w:tcPr>
          <w:p w:rsidR="00D03DF8" w:rsidRPr="00E128A6" w:rsidRDefault="00D03DF8" w:rsidP="00504D2D">
            <w:pPr>
              <w:pStyle w:val="TableText0"/>
              <w:keepNext w:val="0"/>
              <w:widowControl w:val="0"/>
              <w:spacing w:before="0" w:after="0"/>
              <w:jc w:val="right"/>
              <w:rPr>
                <w:b/>
              </w:rPr>
            </w:pPr>
            <w:r w:rsidRPr="00E128A6">
              <w:rPr>
                <w:b/>
              </w:rPr>
              <w:t xml:space="preserve">Incremental cost per </w:t>
            </w:r>
            <w:r>
              <w:rPr>
                <w:b/>
              </w:rPr>
              <w:t>QALY</w:t>
            </w:r>
            <w:r w:rsidRPr="00E128A6">
              <w:rPr>
                <w:b/>
              </w:rPr>
              <w:t xml:space="preserve"> gained</w:t>
            </w:r>
          </w:p>
        </w:tc>
        <w:tc>
          <w:tcPr>
            <w:tcW w:w="1435" w:type="pct"/>
            <w:vAlign w:val="center"/>
          </w:tcPr>
          <w:p w:rsidR="00D03DF8" w:rsidRPr="003709BB" w:rsidRDefault="00D03DF8" w:rsidP="00504D2D">
            <w:pPr>
              <w:pStyle w:val="TableText0"/>
              <w:keepNext w:val="0"/>
              <w:widowControl w:val="0"/>
              <w:spacing w:before="0" w:after="0"/>
              <w:jc w:val="center"/>
            </w:pPr>
            <w:r w:rsidRPr="00F94112">
              <w:t>$</w:t>
            </w:r>
            <w:r w:rsidR="00DE4D50">
              <w:rPr>
                <w:noProof/>
                <w:color w:val="000000"/>
                <w:highlight w:val="black"/>
              </w:rPr>
              <w:t>''''''''''''''''''</w:t>
            </w:r>
          </w:p>
        </w:tc>
      </w:tr>
    </w:tbl>
    <w:p w:rsidR="00D03DF8" w:rsidRDefault="00D03DF8" w:rsidP="00D03DF8">
      <w:pPr>
        <w:pStyle w:val="TableFooter"/>
      </w:pPr>
      <w:r>
        <w:t>Source: Table 3.8-1 (p 113) of the submission</w:t>
      </w:r>
    </w:p>
    <w:p w:rsidR="00640C1F" w:rsidRDefault="00D03DF8" w:rsidP="00640C1F">
      <w:pPr>
        <w:pStyle w:val="TableText0"/>
        <w:keepNext w:val="0"/>
        <w:widowControl w:val="0"/>
        <w:spacing w:before="0"/>
        <w:jc w:val="both"/>
      </w:pPr>
      <w:r>
        <w:t>Abbreviations: QALYs, quality-adjusted life years</w:t>
      </w:r>
      <w:r w:rsidR="00640C1F">
        <w:t>.</w:t>
      </w:r>
    </w:p>
    <w:p w:rsidR="00944B82" w:rsidRPr="00944B82" w:rsidRDefault="00640C1F" w:rsidP="00CB5268">
      <w:pPr>
        <w:pStyle w:val="TableText0"/>
        <w:keepNext w:val="0"/>
        <w:widowControl w:val="0"/>
        <w:spacing w:before="120" w:after="120"/>
        <w:jc w:val="both"/>
        <w:rPr>
          <w:rFonts w:asciiTheme="minorHAnsi" w:hAnsiTheme="minorHAnsi" w:cstheme="minorHAnsi"/>
          <w:sz w:val="24"/>
          <w:szCs w:val="24"/>
        </w:rPr>
      </w:pPr>
      <w:r>
        <w:rPr>
          <w:rFonts w:asciiTheme="minorHAnsi" w:hAnsiTheme="minorHAnsi" w:cstheme="minorHAnsi"/>
          <w:sz w:val="24"/>
          <w:szCs w:val="24"/>
        </w:rPr>
        <w:t xml:space="preserve">The redacted table </w:t>
      </w:r>
      <w:r w:rsidRPr="00640C1F">
        <w:rPr>
          <w:rFonts w:asciiTheme="minorHAnsi" w:hAnsiTheme="minorHAnsi" w:cstheme="minorHAnsi"/>
          <w:sz w:val="24"/>
          <w:szCs w:val="24"/>
        </w:rPr>
        <w:t xml:space="preserve">shows </w:t>
      </w:r>
      <w:r>
        <w:rPr>
          <w:rFonts w:asciiTheme="minorHAnsi" w:hAnsiTheme="minorHAnsi" w:cstheme="minorHAnsi"/>
          <w:sz w:val="24"/>
          <w:szCs w:val="24"/>
        </w:rPr>
        <w:t>i</w:t>
      </w:r>
      <w:r w:rsidRPr="00640C1F">
        <w:rPr>
          <w:rFonts w:asciiTheme="minorHAnsi" w:hAnsiTheme="minorHAnsi" w:cstheme="minorHAnsi"/>
          <w:sz w:val="24"/>
          <w:szCs w:val="24"/>
        </w:rPr>
        <w:t>ncremental cost</w:t>
      </w:r>
      <w:r>
        <w:rPr>
          <w:rFonts w:asciiTheme="minorHAnsi" w:hAnsiTheme="minorHAnsi" w:cstheme="minorHAnsi"/>
          <w:sz w:val="24"/>
          <w:szCs w:val="24"/>
        </w:rPr>
        <w:t>s</w:t>
      </w:r>
      <w:r w:rsidRPr="00640C1F">
        <w:rPr>
          <w:rFonts w:asciiTheme="minorHAnsi" w:hAnsiTheme="minorHAnsi" w:cstheme="minorHAnsi"/>
          <w:sz w:val="24"/>
          <w:szCs w:val="24"/>
        </w:rPr>
        <w:t xml:space="preserve"> per additional patient free of any incident fracture</w:t>
      </w:r>
      <w:r>
        <w:rPr>
          <w:rFonts w:asciiTheme="minorHAnsi" w:hAnsiTheme="minorHAnsi" w:cstheme="minorHAnsi"/>
          <w:sz w:val="24"/>
          <w:szCs w:val="24"/>
        </w:rPr>
        <w:t xml:space="preserve">s </w:t>
      </w:r>
      <w:r w:rsidR="00944B82">
        <w:rPr>
          <w:rFonts w:asciiTheme="minorHAnsi" w:hAnsiTheme="minorHAnsi" w:cstheme="minorHAnsi"/>
          <w:sz w:val="24"/>
          <w:szCs w:val="24"/>
        </w:rPr>
        <w:t xml:space="preserve">in the range of </w:t>
      </w:r>
      <w:r>
        <w:rPr>
          <w:rFonts w:asciiTheme="minorHAnsi" w:hAnsiTheme="minorHAnsi" w:cstheme="minorHAnsi"/>
          <w:sz w:val="24"/>
          <w:szCs w:val="24"/>
        </w:rPr>
        <w:t>$105,000 - $200,000 to more than $200,000. The redacted table also shows ICERs per QALY gained in the range of less than $15,000</w:t>
      </w:r>
      <w:r w:rsidR="008950EC">
        <w:rPr>
          <w:rFonts w:asciiTheme="minorHAnsi" w:hAnsiTheme="minorHAnsi" w:cstheme="minorHAnsi"/>
          <w:sz w:val="24"/>
          <w:szCs w:val="24"/>
        </w:rPr>
        <w:t>/QALY</w:t>
      </w:r>
      <w:r>
        <w:rPr>
          <w:rFonts w:asciiTheme="minorHAnsi" w:hAnsiTheme="minorHAnsi" w:cstheme="minorHAnsi"/>
          <w:sz w:val="24"/>
          <w:szCs w:val="24"/>
        </w:rPr>
        <w:t xml:space="preserve"> - $200,000</w:t>
      </w:r>
      <w:r w:rsidR="008950EC">
        <w:rPr>
          <w:rFonts w:asciiTheme="minorHAnsi" w:hAnsiTheme="minorHAnsi" w:cstheme="minorHAnsi"/>
          <w:sz w:val="24"/>
          <w:szCs w:val="24"/>
        </w:rPr>
        <w:t>/QALY</w:t>
      </w:r>
      <w:r>
        <w:rPr>
          <w:rFonts w:asciiTheme="minorHAnsi" w:hAnsiTheme="minorHAnsi" w:cstheme="minorHAnsi"/>
          <w:sz w:val="24"/>
          <w:szCs w:val="24"/>
        </w:rPr>
        <w:t>.</w:t>
      </w:r>
    </w:p>
    <w:p w:rsidR="00F15C9A" w:rsidRDefault="00D03DF8" w:rsidP="00CB5268">
      <w:pPr>
        <w:pStyle w:val="ListParagraph"/>
        <w:spacing w:before="120"/>
      </w:pPr>
      <w:r w:rsidRPr="00B455E3">
        <w:t xml:space="preserve">Based on the economic model using published prices, treatment with romosozumab followed by alendronate was associated with a cost per QALY gained of </w:t>
      </w:r>
      <w:r w:rsidR="00944B82">
        <w:t xml:space="preserve">$15,000 - $45,000 </w:t>
      </w:r>
      <w:r w:rsidRPr="00B455E3">
        <w:t>compared to alendronate alone for the treatment of severe osteoporosis.</w:t>
      </w:r>
      <w:r w:rsidR="00222A02" w:rsidRPr="00B455E3">
        <w:t xml:space="preserve"> </w:t>
      </w:r>
    </w:p>
    <w:p w:rsidR="00222A02" w:rsidRPr="008C40CA" w:rsidRDefault="00F15C9A" w:rsidP="00CB5268">
      <w:pPr>
        <w:pStyle w:val="ListParagraph"/>
        <w:spacing w:before="120"/>
      </w:pPr>
      <w:r w:rsidRPr="008C40CA">
        <w:t xml:space="preserve">The PSCR stated that the price of romosozumab used in the cost-effectiveness analysis versus alendronate was a proxy for the yet unknown effective price that would be derived from a cost-minimisation analysis using the effective price of teriparatide. </w:t>
      </w:r>
      <w:r w:rsidR="00222A02" w:rsidRPr="008C40CA">
        <w:t xml:space="preserve">Therefore, the modelled economic analysis does not incorporate any potential discounts which </w:t>
      </w:r>
      <w:r w:rsidR="00E41596">
        <w:t xml:space="preserve">the PSCR stated </w:t>
      </w:r>
      <w:r w:rsidR="00222A02" w:rsidRPr="008C40CA">
        <w:t>may improve the overall cost-effectiveness of romosozumab.</w:t>
      </w:r>
    </w:p>
    <w:p w:rsidR="00784373" w:rsidRPr="00B455E3" w:rsidRDefault="00F15C9A" w:rsidP="00CB5268">
      <w:pPr>
        <w:pStyle w:val="ListParagraph"/>
        <w:spacing w:before="120"/>
      </w:pPr>
      <w:r>
        <w:t>The table below provides a</w:t>
      </w:r>
      <w:r w:rsidR="00784373" w:rsidRPr="00B455E3">
        <w:t xml:space="preserve"> comparison of trial-based versus model-based fracture estimates</w:t>
      </w:r>
      <w:r>
        <w:t>.</w:t>
      </w:r>
      <w:r w:rsidR="00784373" w:rsidRPr="00B455E3">
        <w:t xml:space="preserve"> </w:t>
      </w:r>
      <w:r w:rsidR="00C6188C" w:rsidRPr="00B455E3">
        <w:t>The majority of fractures in the model occurred beyond the duration of the trial but the majority of the incremental difference between treatment arms occurred during the first four years.</w:t>
      </w:r>
    </w:p>
    <w:p w:rsidR="00BD791F" w:rsidRDefault="00F7376D" w:rsidP="006B4CDA">
      <w:pPr>
        <w:pStyle w:val="TableHeading0"/>
        <w:spacing w:after="0"/>
      </w:pPr>
      <w:r>
        <w:t>Table 11</w:t>
      </w:r>
      <w:r w:rsidR="00BD791F">
        <w:t xml:space="preserve">: </w:t>
      </w:r>
      <w:r w:rsidR="00BD791F" w:rsidRPr="00BD791F">
        <w:t>Cumulative incidence of hip and clinical fractures (hip, vertebral, other) generated in the model</w:t>
      </w:r>
      <w:r w:rsidR="00BD791F">
        <w:t xml:space="preserve"> </w:t>
      </w:r>
    </w:p>
    <w:tbl>
      <w:tblPr>
        <w:tblW w:w="499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1: Cumulative incidence of hip and clinical fractures (hip, vertebral, other) generated in the model "/>
      </w:tblPr>
      <w:tblGrid>
        <w:gridCol w:w="2533"/>
        <w:gridCol w:w="1944"/>
        <w:gridCol w:w="1946"/>
        <w:gridCol w:w="2585"/>
      </w:tblGrid>
      <w:tr w:rsidR="0029059A" w:rsidRPr="00EF3278" w:rsidTr="00853EA4">
        <w:trPr>
          <w:trHeight w:val="469"/>
        </w:trPr>
        <w:tc>
          <w:tcPr>
            <w:tcW w:w="1406" w:type="pct"/>
            <w:vAlign w:val="center"/>
          </w:tcPr>
          <w:p w:rsidR="0029059A" w:rsidRPr="00EF3278" w:rsidRDefault="0029059A" w:rsidP="00853EA4">
            <w:pPr>
              <w:pStyle w:val="TableText0"/>
              <w:keepNext w:val="0"/>
              <w:widowControl w:val="0"/>
              <w:spacing w:before="0" w:after="0"/>
              <w:jc w:val="center"/>
              <w:rPr>
                <w:b/>
              </w:rPr>
            </w:pPr>
          </w:p>
        </w:tc>
        <w:tc>
          <w:tcPr>
            <w:tcW w:w="1079" w:type="pct"/>
            <w:vAlign w:val="center"/>
          </w:tcPr>
          <w:p w:rsidR="0029059A" w:rsidRDefault="0029059A" w:rsidP="00853EA4">
            <w:pPr>
              <w:pStyle w:val="TableText0"/>
              <w:keepNext w:val="0"/>
              <w:widowControl w:val="0"/>
              <w:spacing w:before="0" w:after="0"/>
              <w:jc w:val="center"/>
              <w:rPr>
                <w:b/>
              </w:rPr>
            </w:pPr>
            <w:r>
              <w:rPr>
                <w:b/>
              </w:rPr>
              <w:t>Romosozumab/</w:t>
            </w:r>
          </w:p>
          <w:p w:rsidR="0029059A" w:rsidRPr="00EF3278" w:rsidRDefault="0029059A" w:rsidP="00853EA4">
            <w:pPr>
              <w:pStyle w:val="TableText0"/>
              <w:keepNext w:val="0"/>
              <w:widowControl w:val="0"/>
              <w:spacing w:before="0" w:after="0"/>
              <w:jc w:val="center"/>
              <w:rPr>
                <w:b/>
              </w:rPr>
            </w:pPr>
            <w:r>
              <w:rPr>
                <w:b/>
              </w:rPr>
              <w:t>Alendronate</w:t>
            </w:r>
          </w:p>
        </w:tc>
        <w:tc>
          <w:tcPr>
            <w:tcW w:w="1080" w:type="pct"/>
            <w:vAlign w:val="center"/>
          </w:tcPr>
          <w:p w:rsidR="0029059A" w:rsidRDefault="0029059A" w:rsidP="00853EA4">
            <w:pPr>
              <w:pStyle w:val="TableText0"/>
              <w:keepNext w:val="0"/>
              <w:widowControl w:val="0"/>
              <w:spacing w:before="0" w:after="0"/>
              <w:jc w:val="center"/>
              <w:rPr>
                <w:b/>
              </w:rPr>
            </w:pPr>
            <w:r>
              <w:rPr>
                <w:b/>
              </w:rPr>
              <w:t>Alendronate/</w:t>
            </w:r>
          </w:p>
          <w:p w:rsidR="0029059A" w:rsidRPr="00EF3278" w:rsidRDefault="0029059A" w:rsidP="00853EA4">
            <w:pPr>
              <w:pStyle w:val="TableText0"/>
              <w:keepNext w:val="0"/>
              <w:widowControl w:val="0"/>
              <w:spacing w:before="0" w:after="0"/>
              <w:jc w:val="center"/>
              <w:rPr>
                <w:b/>
              </w:rPr>
            </w:pPr>
            <w:r>
              <w:rPr>
                <w:b/>
              </w:rPr>
              <w:t>alendronate</w:t>
            </w:r>
          </w:p>
        </w:tc>
        <w:tc>
          <w:tcPr>
            <w:tcW w:w="1435" w:type="pct"/>
          </w:tcPr>
          <w:p w:rsidR="0029059A" w:rsidRDefault="0029059A" w:rsidP="00853EA4">
            <w:pPr>
              <w:pStyle w:val="TableText0"/>
              <w:widowControl w:val="0"/>
              <w:spacing w:before="0" w:after="0"/>
              <w:jc w:val="center"/>
              <w:rPr>
                <w:b/>
              </w:rPr>
            </w:pPr>
            <w:r>
              <w:rPr>
                <w:b/>
              </w:rPr>
              <w:t xml:space="preserve">Incremental </w:t>
            </w:r>
          </w:p>
          <w:p w:rsidR="0029059A" w:rsidRPr="00EF3278" w:rsidRDefault="0029059A" w:rsidP="00853EA4">
            <w:pPr>
              <w:pStyle w:val="TableText0"/>
              <w:widowControl w:val="0"/>
              <w:spacing w:before="0" w:after="0"/>
              <w:jc w:val="center"/>
              <w:rPr>
                <w:b/>
              </w:rPr>
            </w:pPr>
            <w:r>
              <w:rPr>
                <w:b/>
              </w:rPr>
              <w:t>difference</w:t>
            </w:r>
          </w:p>
        </w:tc>
      </w:tr>
      <w:tr w:rsidR="0029059A" w:rsidRPr="003709BB" w:rsidTr="00853EA4">
        <w:tc>
          <w:tcPr>
            <w:tcW w:w="5000" w:type="pct"/>
            <w:gridSpan w:val="4"/>
          </w:tcPr>
          <w:p w:rsidR="0029059A" w:rsidRPr="003709BB" w:rsidRDefault="0029059A" w:rsidP="00853EA4">
            <w:pPr>
              <w:pStyle w:val="TableText0"/>
              <w:keepNext w:val="0"/>
              <w:widowControl w:val="0"/>
              <w:spacing w:before="0" w:after="0"/>
            </w:pPr>
            <w:r>
              <w:rPr>
                <w:b/>
              </w:rPr>
              <w:t>Cumulative incidence of fracture in ARCH trial (Years 1-4)</w:t>
            </w:r>
          </w:p>
        </w:tc>
      </w:tr>
      <w:tr w:rsidR="0029059A" w:rsidRPr="003709BB" w:rsidTr="00853EA4">
        <w:tc>
          <w:tcPr>
            <w:tcW w:w="1406" w:type="pct"/>
          </w:tcPr>
          <w:p w:rsidR="0029059A" w:rsidRPr="003709BB" w:rsidRDefault="0029059A" w:rsidP="00853EA4">
            <w:pPr>
              <w:pStyle w:val="TableText0"/>
              <w:keepNext w:val="0"/>
              <w:widowControl w:val="0"/>
              <w:spacing w:before="0" w:after="0"/>
            </w:pPr>
            <w:r>
              <w:t>Clinical fractures</w:t>
            </w:r>
          </w:p>
        </w:tc>
        <w:tc>
          <w:tcPr>
            <w:tcW w:w="1079" w:type="pct"/>
            <w:vAlign w:val="bottom"/>
          </w:tcPr>
          <w:p w:rsidR="0029059A" w:rsidRPr="00A92E45" w:rsidRDefault="0029059A" w:rsidP="00853EA4">
            <w:pPr>
              <w:pStyle w:val="TableText0"/>
              <w:keepNext w:val="0"/>
              <w:widowControl w:val="0"/>
              <w:spacing w:before="0" w:after="0"/>
              <w:jc w:val="center"/>
            </w:pPr>
            <w:r w:rsidRPr="00A92E45">
              <w:t>0.149</w:t>
            </w:r>
          </w:p>
        </w:tc>
        <w:tc>
          <w:tcPr>
            <w:tcW w:w="1080" w:type="pct"/>
            <w:vAlign w:val="bottom"/>
          </w:tcPr>
          <w:p w:rsidR="0029059A" w:rsidRPr="00A92E45" w:rsidRDefault="0029059A" w:rsidP="00853EA4">
            <w:pPr>
              <w:pStyle w:val="TableText0"/>
              <w:keepNext w:val="0"/>
              <w:widowControl w:val="0"/>
              <w:spacing w:before="0" w:after="0"/>
              <w:jc w:val="center"/>
            </w:pPr>
            <w:r w:rsidRPr="00A92E45">
              <w:t>0.196</w:t>
            </w:r>
          </w:p>
        </w:tc>
        <w:tc>
          <w:tcPr>
            <w:tcW w:w="1435" w:type="pct"/>
            <w:vAlign w:val="center"/>
          </w:tcPr>
          <w:p w:rsidR="0029059A" w:rsidRPr="00A92E45" w:rsidRDefault="0029059A" w:rsidP="00853EA4">
            <w:pPr>
              <w:pStyle w:val="TableText0"/>
              <w:keepNext w:val="0"/>
              <w:widowControl w:val="0"/>
              <w:spacing w:before="0" w:after="0"/>
              <w:jc w:val="center"/>
            </w:pPr>
            <w:r w:rsidRPr="00A92E45">
              <w:t>-0.037</w:t>
            </w:r>
          </w:p>
        </w:tc>
      </w:tr>
      <w:tr w:rsidR="0029059A" w:rsidRPr="003709BB" w:rsidTr="00853EA4">
        <w:tc>
          <w:tcPr>
            <w:tcW w:w="5000" w:type="pct"/>
            <w:gridSpan w:val="4"/>
          </w:tcPr>
          <w:p w:rsidR="0029059A" w:rsidRPr="00BD791F" w:rsidRDefault="0029059A" w:rsidP="00853EA4">
            <w:pPr>
              <w:pStyle w:val="TableText0"/>
              <w:keepNext w:val="0"/>
              <w:widowControl w:val="0"/>
              <w:spacing w:before="0" w:after="0"/>
              <w:rPr>
                <w:b/>
              </w:rPr>
            </w:pPr>
            <w:r w:rsidRPr="00BD791F">
              <w:rPr>
                <w:b/>
              </w:rPr>
              <w:t>Cumulative incidence of fracture in model (Years 1-4)</w:t>
            </w:r>
          </w:p>
        </w:tc>
      </w:tr>
      <w:tr w:rsidR="0029059A" w:rsidRPr="003709BB" w:rsidTr="00853EA4">
        <w:tc>
          <w:tcPr>
            <w:tcW w:w="1406" w:type="pct"/>
          </w:tcPr>
          <w:p w:rsidR="0029059A" w:rsidRPr="003709BB" w:rsidRDefault="0029059A" w:rsidP="00853EA4">
            <w:pPr>
              <w:pStyle w:val="TableText0"/>
              <w:keepNext w:val="0"/>
              <w:widowControl w:val="0"/>
              <w:spacing w:before="0" w:after="0"/>
            </w:pPr>
            <w:r>
              <w:t>Clinical fractures</w:t>
            </w:r>
          </w:p>
        </w:tc>
        <w:tc>
          <w:tcPr>
            <w:tcW w:w="1079" w:type="pct"/>
            <w:vAlign w:val="bottom"/>
          </w:tcPr>
          <w:p w:rsidR="0029059A" w:rsidRPr="00DE4D50" w:rsidRDefault="00DE4D50" w:rsidP="00853EA4">
            <w:pPr>
              <w:pStyle w:val="TableText0"/>
              <w:keepNext w:val="0"/>
              <w:widowControl w:val="0"/>
              <w:spacing w:before="0" w:after="0"/>
              <w:jc w:val="center"/>
              <w:rPr>
                <w:highlight w:val="black"/>
              </w:rPr>
            </w:pPr>
            <w:r>
              <w:rPr>
                <w:noProof/>
                <w:color w:val="000000"/>
                <w:highlight w:val="black"/>
              </w:rPr>
              <w:t>''''''''''''</w:t>
            </w:r>
          </w:p>
        </w:tc>
        <w:tc>
          <w:tcPr>
            <w:tcW w:w="1080" w:type="pct"/>
            <w:vAlign w:val="bottom"/>
          </w:tcPr>
          <w:p w:rsidR="0029059A" w:rsidRPr="00DE4D50" w:rsidRDefault="00DE4D50" w:rsidP="00853EA4">
            <w:pPr>
              <w:pStyle w:val="TableText0"/>
              <w:keepNext w:val="0"/>
              <w:widowControl w:val="0"/>
              <w:spacing w:before="0" w:after="0"/>
              <w:jc w:val="center"/>
              <w:rPr>
                <w:highlight w:val="black"/>
              </w:rPr>
            </w:pPr>
            <w:r>
              <w:rPr>
                <w:noProof/>
                <w:color w:val="000000"/>
                <w:highlight w:val="black"/>
              </w:rPr>
              <w:t>'''''''''''''</w:t>
            </w:r>
          </w:p>
        </w:tc>
        <w:tc>
          <w:tcPr>
            <w:tcW w:w="1435" w:type="pct"/>
            <w:vAlign w:val="center"/>
          </w:tcPr>
          <w:p w:rsidR="0029059A" w:rsidRPr="00DE4D50" w:rsidRDefault="00DE4D50" w:rsidP="00853EA4">
            <w:pPr>
              <w:pStyle w:val="TableText0"/>
              <w:keepNext w:val="0"/>
              <w:widowControl w:val="0"/>
              <w:spacing w:before="0" w:after="0"/>
              <w:jc w:val="center"/>
              <w:rPr>
                <w:highlight w:val="black"/>
              </w:rPr>
            </w:pPr>
            <w:r>
              <w:rPr>
                <w:noProof/>
                <w:color w:val="000000"/>
                <w:highlight w:val="black"/>
              </w:rPr>
              <w:t>''''''''''''''</w:t>
            </w:r>
          </w:p>
        </w:tc>
      </w:tr>
      <w:tr w:rsidR="0029059A" w:rsidRPr="003709BB" w:rsidTr="00853EA4">
        <w:tc>
          <w:tcPr>
            <w:tcW w:w="1406" w:type="pct"/>
          </w:tcPr>
          <w:p w:rsidR="0029059A" w:rsidRPr="003709BB" w:rsidRDefault="0029059A" w:rsidP="00853EA4">
            <w:pPr>
              <w:pStyle w:val="TableText0"/>
              <w:keepNext w:val="0"/>
              <w:widowControl w:val="0"/>
              <w:spacing w:before="0" w:after="0"/>
            </w:pPr>
            <w:r>
              <w:t>- Hip fractures</w:t>
            </w:r>
          </w:p>
        </w:tc>
        <w:tc>
          <w:tcPr>
            <w:tcW w:w="1079" w:type="pct"/>
            <w:vAlign w:val="bottom"/>
          </w:tcPr>
          <w:p w:rsidR="0029059A" w:rsidRPr="00DE4D50" w:rsidRDefault="00DE4D50" w:rsidP="00853EA4">
            <w:pPr>
              <w:pStyle w:val="TableText0"/>
              <w:keepNext w:val="0"/>
              <w:widowControl w:val="0"/>
              <w:spacing w:before="0" w:after="0"/>
              <w:jc w:val="center"/>
              <w:rPr>
                <w:highlight w:val="black"/>
              </w:rPr>
            </w:pPr>
            <w:r>
              <w:rPr>
                <w:noProof/>
                <w:color w:val="000000"/>
                <w:highlight w:val="black"/>
              </w:rPr>
              <w:t>'''''''''''''</w:t>
            </w:r>
          </w:p>
        </w:tc>
        <w:tc>
          <w:tcPr>
            <w:tcW w:w="1080" w:type="pct"/>
            <w:vAlign w:val="bottom"/>
          </w:tcPr>
          <w:p w:rsidR="0029059A" w:rsidRPr="00DE4D50" w:rsidRDefault="00DE4D50" w:rsidP="00853EA4">
            <w:pPr>
              <w:pStyle w:val="TableText0"/>
              <w:keepNext w:val="0"/>
              <w:widowControl w:val="0"/>
              <w:spacing w:before="0" w:after="0"/>
              <w:jc w:val="center"/>
              <w:rPr>
                <w:highlight w:val="black"/>
              </w:rPr>
            </w:pPr>
            <w:r>
              <w:rPr>
                <w:noProof/>
                <w:color w:val="000000"/>
                <w:highlight w:val="black"/>
              </w:rPr>
              <w:t>''''''''''''''</w:t>
            </w:r>
          </w:p>
        </w:tc>
        <w:tc>
          <w:tcPr>
            <w:tcW w:w="1435" w:type="pct"/>
            <w:vAlign w:val="center"/>
          </w:tcPr>
          <w:p w:rsidR="0029059A" w:rsidRPr="00DE4D50" w:rsidRDefault="00DE4D50" w:rsidP="00853EA4">
            <w:pPr>
              <w:pStyle w:val="TableText0"/>
              <w:keepNext w:val="0"/>
              <w:widowControl w:val="0"/>
              <w:spacing w:before="0" w:after="0"/>
              <w:jc w:val="center"/>
              <w:rPr>
                <w:highlight w:val="black"/>
              </w:rPr>
            </w:pPr>
            <w:r>
              <w:rPr>
                <w:noProof/>
                <w:color w:val="000000"/>
                <w:highlight w:val="black"/>
              </w:rPr>
              <w:t>''''''''''''''''</w:t>
            </w:r>
          </w:p>
        </w:tc>
      </w:tr>
      <w:tr w:rsidR="0029059A" w:rsidRPr="003709BB" w:rsidTr="00853EA4">
        <w:tc>
          <w:tcPr>
            <w:tcW w:w="5000" w:type="pct"/>
            <w:gridSpan w:val="4"/>
          </w:tcPr>
          <w:p w:rsidR="0029059A" w:rsidRPr="00A92E45" w:rsidRDefault="0029059A" w:rsidP="00853EA4">
            <w:pPr>
              <w:pStyle w:val="TableText0"/>
              <w:keepNext w:val="0"/>
              <w:widowControl w:val="0"/>
              <w:spacing w:before="0" w:after="0"/>
            </w:pPr>
            <w:r w:rsidRPr="00A92E45">
              <w:rPr>
                <w:b/>
              </w:rPr>
              <w:t>Cumulative incidence of fracture in model (Years 5-26)</w:t>
            </w:r>
          </w:p>
        </w:tc>
      </w:tr>
      <w:tr w:rsidR="0029059A" w:rsidRPr="003709BB" w:rsidTr="00853EA4">
        <w:tc>
          <w:tcPr>
            <w:tcW w:w="1406" w:type="pct"/>
          </w:tcPr>
          <w:p w:rsidR="0029059A" w:rsidRPr="003709BB" w:rsidRDefault="0029059A" w:rsidP="00853EA4">
            <w:pPr>
              <w:pStyle w:val="TableText0"/>
              <w:keepNext w:val="0"/>
              <w:widowControl w:val="0"/>
              <w:spacing w:before="0" w:after="0"/>
            </w:pPr>
            <w:r>
              <w:t>Clinical fractures</w:t>
            </w:r>
          </w:p>
        </w:tc>
        <w:tc>
          <w:tcPr>
            <w:tcW w:w="1079" w:type="pct"/>
            <w:vAlign w:val="bottom"/>
          </w:tcPr>
          <w:p w:rsidR="0029059A" w:rsidRPr="00DE4D50" w:rsidRDefault="00DE4D50" w:rsidP="00853EA4">
            <w:pPr>
              <w:pStyle w:val="TableText0"/>
              <w:keepNext w:val="0"/>
              <w:widowControl w:val="0"/>
              <w:spacing w:before="0" w:after="0"/>
              <w:jc w:val="center"/>
              <w:rPr>
                <w:highlight w:val="black"/>
              </w:rPr>
            </w:pPr>
            <w:r>
              <w:rPr>
                <w:noProof/>
                <w:color w:val="000000"/>
                <w:highlight w:val="black"/>
              </w:rPr>
              <w:t>'''''''''''''</w:t>
            </w:r>
          </w:p>
        </w:tc>
        <w:tc>
          <w:tcPr>
            <w:tcW w:w="1080" w:type="pct"/>
            <w:vAlign w:val="bottom"/>
          </w:tcPr>
          <w:p w:rsidR="0029059A" w:rsidRPr="00DE4D50" w:rsidRDefault="00DE4D50" w:rsidP="00853EA4">
            <w:pPr>
              <w:pStyle w:val="TableText0"/>
              <w:keepNext w:val="0"/>
              <w:widowControl w:val="0"/>
              <w:spacing w:before="0" w:after="0"/>
              <w:jc w:val="center"/>
              <w:rPr>
                <w:highlight w:val="black"/>
              </w:rPr>
            </w:pPr>
            <w:r>
              <w:rPr>
                <w:noProof/>
                <w:color w:val="000000"/>
                <w:highlight w:val="black"/>
              </w:rPr>
              <w:t>''''''''''''''</w:t>
            </w:r>
          </w:p>
        </w:tc>
        <w:tc>
          <w:tcPr>
            <w:tcW w:w="1435" w:type="pct"/>
            <w:vAlign w:val="center"/>
          </w:tcPr>
          <w:p w:rsidR="0029059A" w:rsidRPr="00DE4D50" w:rsidRDefault="00DE4D50" w:rsidP="00853EA4">
            <w:pPr>
              <w:pStyle w:val="TableText0"/>
              <w:keepNext w:val="0"/>
              <w:widowControl w:val="0"/>
              <w:spacing w:before="0" w:after="0"/>
              <w:jc w:val="center"/>
              <w:rPr>
                <w:highlight w:val="black"/>
              </w:rPr>
            </w:pPr>
            <w:r>
              <w:rPr>
                <w:noProof/>
                <w:color w:val="000000"/>
                <w:highlight w:val="black"/>
              </w:rPr>
              <w:t>'''''''''''''''</w:t>
            </w:r>
          </w:p>
        </w:tc>
      </w:tr>
      <w:tr w:rsidR="0029059A" w:rsidRPr="003709BB" w:rsidTr="00853EA4">
        <w:tc>
          <w:tcPr>
            <w:tcW w:w="1406" w:type="pct"/>
          </w:tcPr>
          <w:p w:rsidR="0029059A" w:rsidRPr="003709BB" w:rsidRDefault="0029059A" w:rsidP="00853EA4">
            <w:pPr>
              <w:pStyle w:val="TableText0"/>
              <w:keepNext w:val="0"/>
              <w:widowControl w:val="0"/>
              <w:spacing w:before="0" w:after="0"/>
            </w:pPr>
            <w:r>
              <w:t>- Hip fractures</w:t>
            </w:r>
          </w:p>
        </w:tc>
        <w:tc>
          <w:tcPr>
            <w:tcW w:w="1079" w:type="pct"/>
            <w:vAlign w:val="bottom"/>
          </w:tcPr>
          <w:p w:rsidR="0029059A" w:rsidRPr="00DE4D50" w:rsidRDefault="00DE4D50" w:rsidP="00853EA4">
            <w:pPr>
              <w:pStyle w:val="TableText0"/>
              <w:keepNext w:val="0"/>
              <w:widowControl w:val="0"/>
              <w:spacing w:before="0" w:after="0"/>
              <w:jc w:val="center"/>
              <w:rPr>
                <w:highlight w:val="black"/>
              </w:rPr>
            </w:pPr>
            <w:r>
              <w:rPr>
                <w:noProof/>
                <w:color w:val="000000"/>
                <w:highlight w:val="black"/>
              </w:rPr>
              <w:t>'''''''''''''</w:t>
            </w:r>
          </w:p>
        </w:tc>
        <w:tc>
          <w:tcPr>
            <w:tcW w:w="1080" w:type="pct"/>
            <w:vAlign w:val="bottom"/>
          </w:tcPr>
          <w:p w:rsidR="0029059A" w:rsidRPr="00DE4D50" w:rsidRDefault="00DE4D50" w:rsidP="00853EA4">
            <w:pPr>
              <w:pStyle w:val="TableText0"/>
              <w:keepNext w:val="0"/>
              <w:widowControl w:val="0"/>
              <w:spacing w:before="0" w:after="0"/>
              <w:jc w:val="center"/>
              <w:rPr>
                <w:highlight w:val="black"/>
              </w:rPr>
            </w:pPr>
            <w:r>
              <w:rPr>
                <w:noProof/>
                <w:color w:val="000000"/>
                <w:highlight w:val="black"/>
              </w:rPr>
              <w:t>''''''''''''''</w:t>
            </w:r>
          </w:p>
        </w:tc>
        <w:tc>
          <w:tcPr>
            <w:tcW w:w="1435" w:type="pct"/>
            <w:vAlign w:val="center"/>
          </w:tcPr>
          <w:p w:rsidR="0029059A" w:rsidRPr="00DE4D50" w:rsidRDefault="00DE4D50" w:rsidP="00853EA4">
            <w:pPr>
              <w:pStyle w:val="TableText0"/>
              <w:keepNext w:val="0"/>
              <w:widowControl w:val="0"/>
              <w:spacing w:before="0" w:after="0"/>
              <w:jc w:val="center"/>
              <w:rPr>
                <w:highlight w:val="black"/>
              </w:rPr>
            </w:pPr>
            <w:r>
              <w:rPr>
                <w:noProof/>
                <w:color w:val="000000"/>
                <w:highlight w:val="black"/>
              </w:rPr>
              <w:t>'''''''''''''''</w:t>
            </w:r>
          </w:p>
        </w:tc>
      </w:tr>
    </w:tbl>
    <w:p w:rsidR="0029059A" w:rsidRDefault="0029059A" w:rsidP="0029059A">
      <w:pPr>
        <w:pStyle w:val="TableFooter"/>
      </w:pPr>
      <w:r w:rsidRPr="00BD791F">
        <w:t>Source: constructed during the evaluation using Evenity severe osteoporosis TreeAge model provided with the submission</w:t>
      </w:r>
      <w:r>
        <w:t xml:space="preserve"> and additional data from </w:t>
      </w:r>
      <w:r w:rsidRPr="00BD791F">
        <w:t>Figure 2B of the Saag (2017) publication</w:t>
      </w:r>
      <w:r w:rsidRPr="00BD791F" w:rsidDel="00BD791F">
        <w:t xml:space="preserve"> </w:t>
      </w:r>
    </w:p>
    <w:p w:rsidR="00D03DF8" w:rsidRPr="00BD791F" w:rsidRDefault="00D03DF8" w:rsidP="005908ED">
      <w:pPr>
        <w:pStyle w:val="TableFooter"/>
      </w:pPr>
    </w:p>
    <w:p w:rsidR="005C4B0B" w:rsidRPr="006910A8" w:rsidRDefault="00F15C9A" w:rsidP="00CB5268">
      <w:pPr>
        <w:pStyle w:val="ListParagraph"/>
        <w:spacing w:before="120"/>
      </w:pPr>
      <w:r w:rsidRPr="008C40CA">
        <w:t xml:space="preserve">The ESC </w:t>
      </w:r>
      <w:r w:rsidR="00CA4669" w:rsidRPr="008C40CA">
        <w:t>consider</w:t>
      </w:r>
      <w:r w:rsidRPr="008C40CA">
        <w:t xml:space="preserve">ed that the </w:t>
      </w:r>
      <w:r w:rsidR="00C6188C" w:rsidRPr="008C40CA">
        <w:t xml:space="preserve">economic model </w:t>
      </w:r>
      <w:r w:rsidRPr="008C40CA">
        <w:t xml:space="preserve">substantially </w:t>
      </w:r>
      <w:r w:rsidR="00C876A0" w:rsidRPr="008C40CA">
        <w:t xml:space="preserve">overestimated the </w:t>
      </w:r>
      <w:r w:rsidRPr="008C40CA">
        <w:t xml:space="preserve">fracture risk </w:t>
      </w:r>
      <w:r w:rsidR="00C876A0" w:rsidRPr="008C40CA">
        <w:t xml:space="preserve">and incremental efficacy </w:t>
      </w:r>
      <w:r w:rsidRPr="008C40CA">
        <w:t>compared to the trial.</w:t>
      </w:r>
      <w:r w:rsidR="00C6188C" w:rsidRPr="008C40CA">
        <w:t xml:space="preserve"> In particular, the ESC considered</w:t>
      </w:r>
      <w:r w:rsidR="00C6188C">
        <w:rPr>
          <w:i/>
        </w:rPr>
        <w:t xml:space="preserve"> </w:t>
      </w:r>
      <w:r w:rsidR="00C6188C" w:rsidRPr="008C40CA">
        <w:lastRenderedPageBreak/>
        <w:t>that the cumulative incidence of hip fracture generated in the model was not plausible</w:t>
      </w:r>
      <w:r w:rsidR="00C876A0" w:rsidRPr="008C40CA">
        <w:t xml:space="preserve"> </w:t>
      </w:r>
      <w:r w:rsidR="00C876A0" w:rsidRPr="00A92E45">
        <w:t>(</w:t>
      </w:r>
      <w:r w:rsidR="00DE4D50">
        <w:rPr>
          <w:noProof/>
          <w:color w:val="000000"/>
          <w:highlight w:val="black"/>
        </w:rPr>
        <w:t>''''''</w:t>
      </w:r>
      <w:r w:rsidR="00C876A0" w:rsidRPr="00A92E45">
        <w:t xml:space="preserve">% in Years 1-4; </w:t>
      </w:r>
      <w:r w:rsidR="00DE4D50">
        <w:rPr>
          <w:noProof/>
          <w:color w:val="000000"/>
          <w:highlight w:val="black"/>
        </w:rPr>
        <w:t>''''''''</w:t>
      </w:r>
      <w:r w:rsidR="00C876A0" w:rsidRPr="00A92E45">
        <w:t>% in Years 5-26)</w:t>
      </w:r>
      <w:r w:rsidR="00C6188C" w:rsidRPr="00A92E45">
        <w:t>.</w:t>
      </w:r>
      <w:r w:rsidRPr="00A92E45">
        <w:t xml:space="preserve"> </w:t>
      </w:r>
      <w:r w:rsidR="005C4B0B" w:rsidRPr="00A92E45">
        <w:t xml:space="preserve">The ESC noted that the modelled proportion of </w:t>
      </w:r>
      <w:r w:rsidR="00C6188C" w:rsidRPr="00A92E45">
        <w:t xml:space="preserve">all fractures that were </w:t>
      </w:r>
      <w:r w:rsidR="005C4B0B" w:rsidRPr="00A92E45">
        <w:t>hip fractures (</w:t>
      </w:r>
      <w:r w:rsidR="00DE4D50">
        <w:rPr>
          <w:noProof/>
          <w:color w:val="000000"/>
          <w:highlight w:val="black"/>
        </w:rPr>
        <w:t>'''''</w:t>
      </w:r>
      <w:r w:rsidR="005C4B0B" w:rsidRPr="00A92E45">
        <w:t>% in 70-74 years increasing to</w:t>
      </w:r>
      <w:r w:rsidR="00DE4D50">
        <w:rPr>
          <w:noProof/>
          <w:color w:val="000000"/>
          <w:highlight w:val="black"/>
        </w:rPr>
        <w:t xml:space="preserve"> '''''</w:t>
      </w:r>
      <w:r w:rsidR="005C4B0B" w:rsidRPr="00A92E45">
        <w:t>% in 95</w:t>
      </w:r>
      <w:r w:rsidR="005C4B0B" w:rsidRPr="008C40CA">
        <w:t>-99 years) is higher than both the clinical trial data (</w:t>
      </w:r>
      <w:r w:rsidR="00C6188C" w:rsidRPr="008C40CA">
        <w:t xml:space="preserve">distribution of fracture types: </w:t>
      </w:r>
      <w:r w:rsidR="005C4B0B" w:rsidRPr="008C40CA">
        <w:t>hip fracture 20-22%, vertebral fracture 16-22%, other fracture 56-64%; based on incidence from ARCH trial) and the Dubbo osteoporosis study (hip fracture 17%, vertebral fracture 28-34%, other fractures 49-55%; Nguyen et al 2008).</w:t>
      </w:r>
      <w:r w:rsidR="00324102" w:rsidRPr="008C40CA">
        <w:t xml:space="preserve"> The ESC further noted that the </w:t>
      </w:r>
      <w:r w:rsidR="00CA4669" w:rsidRPr="008C40CA">
        <w:t xml:space="preserve">model </w:t>
      </w:r>
      <w:r w:rsidR="00CA4669" w:rsidRPr="00A92E45">
        <w:t xml:space="preserve">estimated a </w:t>
      </w:r>
      <w:r w:rsidR="00DE4D50">
        <w:rPr>
          <w:noProof/>
          <w:color w:val="000000"/>
          <w:highlight w:val="black"/>
        </w:rPr>
        <w:t>'''</w:t>
      </w:r>
      <w:r w:rsidR="00CA4669" w:rsidRPr="00A92E45">
        <w:t xml:space="preserve">% reduction </w:t>
      </w:r>
      <w:r w:rsidR="00576145" w:rsidRPr="00A92E45">
        <w:t xml:space="preserve">in </w:t>
      </w:r>
      <w:r w:rsidR="00C539B8" w:rsidRPr="00A92E45">
        <w:t xml:space="preserve">the </w:t>
      </w:r>
      <w:r w:rsidR="00576145" w:rsidRPr="00A92E45">
        <w:t>cumulative</w:t>
      </w:r>
      <w:r w:rsidR="00324102" w:rsidRPr="00A92E45">
        <w:t xml:space="preserve"> incidence of hip fracture between romosozumab and alendronate</w:t>
      </w:r>
      <w:r w:rsidR="00344C29" w:rsidRPr="008C40CA">
        <w:t xml:space="preserve"> in Years 1-4</w:t>
      </w:r>
      <w:r w:rsidR="00C539B8" w:rsidRPr="008C40CA">
        <w:t xml:space="preserve">, despite the difference not being statistically significant </w:t>
      </w:r>
      <w:r w:rsidR="00324102" w:rsidRPr="008C40CA">
        <w:t xml:space="preserve">in the ARCH trial. </w:t>
      </w:r>
      <w:r w:rsidR="006910A8" w:rsidRPr="008C40CA">
        <w:t>Overall, the ESC considered the large difference in hip fracture generated in the model to be implausible.</w:t>
      </w:r>
    </w:p>
    <w:p w:rsidR="006910A8" w:rsidRPr="008C40CA" w:rsidRDefault="00076EFC" w:rsidP="00CB5268">
      <w:pPr>
        <w:pStyle w:val="ListParagraph"/>
        <w:spacing w:before="120"/>
      </w:pPr>
      <w:r w:rsidRPr="008C40CA">
        <w:t xml:space="preserve">The ESC noted that the model extrapolated 33 months (median follow-up) of trial data to ten years (using a parametric curve for 5 years with linear convergence at 10 years). </w:t>
      </w:r>
      <w:r w:rsidR="006910A8" w:rsidRPr="008C40CA">
        <w:t>The ESC noted that the submission had assumed adherence and persisten</w:t>
      </w:r>
      <w:r w:rsidR="0020205F" w:rsidRPr="008C40CA">
        <w:t>ce</w:t>
      </w:r>
      <w:r w:rsidR="006910A8" w:rsidRPr="008C40CA">
        <w:t xml:space="preserve"> rates to subsequent therapy after discontinuation of romosozumab of </w:t>
      </w:r>
      <w:r w:rsidR="00DE4D50">
        <w:rPr>
          <w:noProof/>
          <w:color w:val="000000"/>
          <w:highlight w:val="black"/>
        </w:rPr>
        <w:t>'''''</w:t>
      </w:r>
      <w:r w:rsidR="006910A8" w:rsidRPr="00A92E45">
        <w:t xml:space="preserve">% and </w:t>
      </w:r>
      <w:r w:rsidR="00DE4D50">
        <w:rPr>
          <w:noProof/>
          <w:color w:val="000000"/>
          <w:highlight w:val="black"/>
        </w:rPr>
        <w:t>'''''''</w:t>
      </w:r>
      <w:r w:rsidR="006910A8" w:rsidRPr="00A92E45">
        <w:t>%,</w:t>
      </w:r>
      <w:r w:rsidR="006910A8" w:rsidRPr="008C40CA">
        <w:t xml:space="preserve"> respectively. </w:t>
      </w:r>
      <w:r w:rsidR="0020205F" w:rsidRPr="008C40CA">
        <w:t>While the evaluation had considered that persistence to anti-resorptives is generally poor in clinical practice, the PSCR argued this has improved in recent years, stating that a 10% PBS sample showed that</w:t>
      </w:r>
      <w:r w:rsidR="00EB2149" w:rsidRPr="008C40CA">
        <w:t>,</w:t>
      </w:r>
      <w:r w:rsidR="0020205F" w:rsidRPr="008C40CA">
        <w:t xml:space="preserve"> of initiating patients in 2017, 81% were on therapy at 12 months compared with 45% of patients who initiated in 2010. </w:t>
      </w:r>
      <w:r w:rsidR="00EB2149" w:rsidRPr="008C40CA">
        <w:t>As noted</w:t>
      </w:r>
      <w:r w:rsidR="00EB2149">
        <w:rPr>
          <w:i/>
        </w:rPr>
        <w:t xml:space="preserve"> </w:t>
      </w:r>
      <w:r w:rsidR="00EB2149" w:rsidRPr="00E41596">
        <w:t>in</w:t>
      </w:r>
      <w:r w:rsidR="00EB2149">
        <w:rPr>
          <w:i/>
        </w:rPr>
        <w:t xml:space="preserve"> </w:t>
      </w:r>
      <w:r w:rsidR="00EB2149" w:rsidRPr="008C40CA">
        <w:t>the commentary, t</w:t>
      </w:r>
      <w:r w:rsidR="0020205F" w:rsidRPr="008C40CA">
        <w:t xml:space="preserve">hese estimates could not be validated during the evaluation due to a lack of documentation. The ESC considered </w:t>
      </w:r>
      <w:r w:rsidR="00EB2149" w:rsidRPr="008C40CA">
        <w:t>that while persistence may have increased with the availability of denosumab and zoledronic acid (which are 6</w:t>
      </w:r>
      <w:r w:rsidR="00A2138C" w:rsidRPr="008C40CA">
        <w:t>-</w:t>
      </w:r>
      <w:r w:rsidR="00EB2149" w:rsidRPr="008C40CA">
        <w:t xml:space="preserve"> and 12</w:t>
      </w:r>
      <w:r w:rsidR="00A2138C" w:rsidRPr="008C40CA">
        <w:t>-</w:t>
      </w:r>
      <w:r w:rsidR="00EB2149" w:rsidRPr="008C40CA">
        <w:t>monthly injections, respectively, rather than daily tablets), the persistence rates achieved in the trial were</w:t>
      </w:r>
      <w:r w:rsidR="0020205F" w:rsidRPr="008C40CA">
        <w:t xml:space="preserve"> unlikely to reflect clinical practice outside the trial setting. </w:t>
      </w:r>
      <w:r w:rsidR="006910A8" w:rsidRPr="008C40CA">
        <w:t xml:space="preserve">Given the extent of treatment benefit is conditional on persistence to anti-resorptive therapy and there are no clinical data to support additional treatment effects of romosozumab beyond four years, the ESC considered the base case ICER of </w:t>
      </w:r>
      <w:r w:rsidR="00944B82">
        <w:t>$15,000/QALY - $45,000/QALY</w:t>
      </w:r>
      <w:r w:rsidR="006910A8" w:rsidRPr="008C40CA">
        <w:t xml:space="preserve"> was </w:t>
      </w:r>
      <w:r w:rsidR="00203554" w:rsidRPr="008C40CA">
        <w:t xml:space="preserve">not reliable and </w:t>
      </w:r>
      <w:r w:rsidR="006910A8" w:rsidRPr="008C40CA">
        <w:t xml:space="preserve">likely </w:t>
      </w:r>
      <w:r w:rsidR="00E41596">
        <w:t xml:space="preserve">significantly </w:t>
      </w:r>
      <w:r w:rsidR="006910A8" w:rsidRPr="008C40CA">
        <w:t>underestimate</w:t>
      </w:r>
      <w:r w:rsidR="00203554" w:rsidRPr="008C40CA">
        <w:t>d</w:t>
      </w:r>
      <w:r w:rsidR="006910A8" w:rsidRPr="008C40CA">
        <w:t xml:space="preserve">. </w:t>
      </w:r>
    </w:p>
    <w:p w:rsidR="00203554" w:rsidRPr="008C40CA" w:rsidRDefault="00203554" w:rsidP="00CB5268">
      <w:pPr>
        <w:pStyle w:val="ListParagraph"/>
        <w:spacing w:before="120"/>
      </w:pPr>
      <w:r w:rsidRPr="008C40CA">
        <w:t xml:space="preserve">Overall, the ESC considered that the economic model did not form a reliable basis for decision making due to the overestimation of fracture risk and treatment effect (including due to adjustments to the underlying fracture risk using </w:t>
      </w:r>
      <w:r w:rsidR="00150E5D" w:rsidRPr="008C40CA">
        <w:t xml:space="preserve">a </w:t>
      </w:r>
      <w:r w:rsidRPr="008C40CA">
        <w:t>poorly justified application of the Garvan risk calculator), the assumption of continuing treatment effect</w:t>
      </w:r>
      <w:r w:rsidR="00150E5D" w:rsidRPr="008C40CA">
        <w:t xml:space="preserve"> (which relied on adherence and persistence rates unlikely to be achieved in the PBS population)</w:t>
      </w:r>
      <w:r w:rsidRPr="008C40CA">
        <w:t>,</w:t>
      </w:r>
      <w:r w:rsidR="00150E5D" w:rsidRPr="008C40CA">
        <w:t xml:space="preserve"> and potentially unreliable fracture disutilities.</w:t>
      </w:r>
    </w:p>
    <w:p w:rsidR="009327E7" w:rsidRDefault="00D03DF8" w:rsidP="00CB5268">
      <w:pPr>
        <w:pStyle w:val="ListParagraph"/>
        <w:spacing w:before="120"/>
      </w:pPr>
      <w:r w:rsidRPr="00D03DF8">
        <w:t>The results of the sensitivity analyses indicated that the model was most sensitive to</w:t>
      </w:r>
      <w:r w:rsidR="00DB1A7C">
        <w:t xml:space="preserve"> </w:t>
      </w:r>
      <w:r w:rsidR="00DB1A7C" w:rsidRPr="00DB1A7C">
        <w:t>the magnitude of treatment benefit and extrapolation of treatment benefits beyond the clinical trial data</w:t>
      </w:r>
      <w:r w:rsidR="006A7C31">
        <w:t xml:space="preserve"> (summarised in the table below)</w:t>
      </w:r>
      <w:r w:rsidR="00A03C7B">
        <w:t>.</w:t>
      </w:r>
    </w:p>
    <w:p w:rsidR="009327E7" w:rsidRPr="00264D26" w:rsidRDefault="00F7376D" w:rsidP="00A2138C">
      <w:pPr>
        <w:keepNext/>
        <w:keepLines/>
        <w:rPr>
          <w:rStyle w:val="CommentReference"/>
        </w:rPr>
      </w:pPr>
      <w:r>
        <w:rPr>
          <w:rStyle w:val="CommentReference"/>
        </w:rPr>
        <w:lastRenderedPageBreak/>
        <w:t>Table 12</w:t>
      </w:r>
      <w:r w:rsidR="009327E7" w:rsidRPr="00264D26">
        <w:rPr>
          <w:rStyle w:val="CommentReference"/>
        </w:rPr>
        <w:t>:  Results of sensitivity analyses</w:t>
      </w:r>
    </w:p>
    <w:tbl>
      <w:tblPr>
        <w:tblW w:w="9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2:  Results of sensitivity analyses"/>
      </w:tblPr>
      <w:tblGrid>
        <w:gridCol w:w="4970"/>
        <w:gridCol w:w="1525"/>
        <w:gridCol w:w="1652"/>
        <w:gridCol w:w="1048"/>
      </w:tblGrid>
      <w:tr w:rsidR="009327E7" w:rsidRPr="00264D26" w:rsidTr="00EC0BD9">
        <w:trPr>
          <w:tblHeader/>
        </w:trPr>
        <w:tc>
          <w:tcPr>
            <w:tcW w:w="4970" w:type="dxa"/>
          </w:tcPr>
          <w:p w:rsidR="009327E7" w:rsidRPr="00264D26" w:rsidRDefault="009327E7" w:rsidP="00A2138C">
            <w:pPr>
              <w:pStyle w:val="Tabletext"/>
              <w:keepNext/>
              <w:keepLines/>
              <w:tabs>
                <w:tab w:val="left" w:pos="142"/>
              </w:tabs>
              <w:rPr>
                <w:b/>
              </w:rPr>
            </w:pPr>
            <w:r>
              <w:rPr>
                <w:b/>
              </w:rPr>
              <w:t>Analyses</w:t>
            </w:r>
          </w:p>
        </w:tc>
        <w:tc>
          <w:tcPr>
            <w:tcW w:w="1525" w:type="dxa"/>
          </w:tcPr>
          <w:p w:rsidR="009327E7" w:rsidRPr="00264D26" w:rsidRDefault="009327E7" w:rsidP="00A2138C">
            <w:pPr>
              <w:pStyle w:val="Tabletext"/>
              <w:keepNext/>
              <w:keepLines/>
              <w:jc w:val="center"/>
              <w:rPr>
                <w:b/>
              </w:rPr>
            </w:pPr>
            <w:r w:rsidRPr="00264D26">
              <w:rPr>
                <w:b/>
              </w:rPr>
              <w:t>Incremental cost</w:t>
            </w:r>
          </w:p>
        </w:tc>
        <w:tc>
          <w:tcPr>
            <w:tcW w:w="1652" w:type="dxa"/>
          </w:tcPr>
          <w:p w:rsidR="009327E7" w:rsidRPr="00264D26" w:rsidRDefault="009327E7" w:rsidP="00A2138C">
            <w:pPr>
              <w:pStyle w:val="Tabletext"/>
              <w:keepNext/>
              <w:keepLines/>
              <w:jc w:val="center"/>
              <w:rPr>
                <w:b/>
              </w:rPr>
            </w:pPr>
            <w:r w:rsidRPr="00264D26">
              <w:rPr>
                <w:b/>
              </w:rPr>
              <w:t>Incremental QALY</w:t>
            </w:r>
          </w:p>
        </w:tc>
        <w:tc>
          <w:tcPr>
            <w:tcW w:w="1048" w:type="dxa"/>
          </w:tcPr>
          <w:p w:rsidR="009327E7" w:rsidRPr="00264D26" w:rsidRDefault="009327E7" w:rsidP="00A2138C">
            <w:pPr>
              <w:pStyle w:val="Tabletext"/>
              <w:keepNext/>
              <w:keepLines/>
              <w:jc w:val="center"/>
              <w:rPr>
                <w:b/>
              </w:rPr>
            </w:pPr>
            <w:r w:rsidRPr="00264D26">
              <w:rPr>
                <w:b/>
              </w:rPr>
              <w:t>ICER</w:t>
            </w:r>
          </w:p>
        </w:tc>
      </w:tr>
      <w:tr w:rsidR="009327E7" w:rsidRPr="00264D26" w:rsidTr="00EC0BD9">
        <w:tc>
          <w:tcPr>
            <w:tcW w:w="4970" w:type="dxa"/>
          </w:tcPr>
          <w:p w:rsidR="009327E7" w:rsidRPr="00264D26" w:rsidRDefault="009327E7" w:rsidP="00A2138C">
            <w:pPr>
              <w:pStyle w:val="Tabletext"/>
              <w:keepNext/>
              <w:keepLines/>
              <w:tabs>
                <w:tab w:val="left" w:pos="142"/>
              </w:tabs>
              <w:rPr>
                <w:b/>
              </w:rPr>
            </w:pPr>
            <w:r w:rsidRPr="00264D26">
              <w:rPr>
                <w:b/>
              </w:rPr>
              <w:t>Base case</w:t>
            </w:r>
          </w:p>
        </w:tc>
        <w:tc>
          <w:tcPr>
            <w:tcW w:w="1525" w:type="dxa"/>
          </w:tcPr>
          <w:p w:rsidR="009327E7" w:rsidRPr="00264D26" w:rsidRDefault="009327E7" w:rsidP="00A2138C">
            <w:pPr>
              <w:pStyle w:val="Tabletext"/>
              <w:keepNext/>
              <w:keepLines/>
              <w:jc w:val="center"/>
              <w:rPr>
                <w:b/>
              </w:rPr>
            </w:pPr>
            <w:r>
              <w:rPr>
                <w:b/>
              </w:rPr>
              <w:t>$</w:t>
            </w:r>
            <w:r w:rsidR="00DE4D50">
              <w:rPr>
                <w:b/>
                <w:noProof/>
                <w:color w:val="000000"/>
                <w:highlight w:val="black"/>
              </w:rPr>
              <w:t>''''''''''</w:t>
            </w:r>
          </w:p>
        </w:tc>
        <w:tc>
          <w:tcPr>
            <w:tcW w:w="1652" w:type="dxa"/>
          </w:tcPr>
          <w:p w:rsidR="009327E7" w:rsidRPr="00DE4D50" w:rsidRDefault="00DE4D50" w:rsidP="00A2138C">
            <w:pPr>
              <w:pStyle w:val="Tabletext"/>
              <w:keepNext/>
              <w:keepLines/>
              <w:jc w:val="center"/>
              <w:rPr>
                <w:b/>
                <w:highlight w:val="black"/>
              </w:rPr>
            </w:pPr>
            <w:r>
              <w:rPr>
                <w:b/>
                <w:noProof/>
                <w:color w:val="000000"/>
                <w:highlight w:val="black"/>
              </w:rPr>
              <w:t>''''''''''''</w:t>
            </w:r>
          </w:p>
        </w:tc>
        <w:tc>
          <w:tcPr>
            <w:tcW w:w="1048" w:type="dxa"/>
          </w:tcPr>
          <w:p w:rsidR="009327E7" w:rsidRPr="00264D26" w:rsidRDefault="009327E7" w:rsidP="00A2138C">
            <w:pPr>
              <w:pStyle w:val="Tabletext"/>
              <w:keepNext/>
              <w:keepLines/>
              <w:jc w:val="center"/>
              <w:rPr>
                <w:b/>
              </w:rPr>
            </w:pPr>
            <w:r w:rsidRPr="00FB7527">
              <w:rPr>
                <w:b/>
              </w:rPr>
              <w:t>$</w:t>
            </w:r>
            <w:r w:rsidR="00DE4D50">
              <w:rPr>
                <w:b/>
                <w:noProof/>
                <w:color w:val="000000"/>
                <w:highlight w:val="black"/>
              </w:rPr>
              <w:t>'''''''''''''</w:t>
            </w:r>
          </w:p>
        </w:tc>
      </w:tr>
      <w:tr w:rsidR="009327E7" w:rsidTr="00EC0BD9">
        <w:tc>
          <w:tcPr>
            <w:tcW w:w="9195" w:type="dxa"/>
            <w:gridSpan w:val="4"/>
          </w:tcPr>
          <w:p w:rsidR="009327E7" w:rsidRPr="00640095" w:rsidRDefault="009327E7" w:rsidP="00A2138C">
            <w:pPr>
              <w:pStyle w:val="Tabletext"/>
              <w:keepNext/>
              <w:keepLines/>
              <w:rPr>
                <w:b/>
              </w:rPr>
            </w:pPr>
            <w:r w:rsidRPr="00640095">
              <w:rPr>
                <w:b/>
              </w:rPr>
              <w:t>Treatment duration (base case: parametric extrapolation to 5 years, linear convergence to 10 years)</w:t>
            </w:r>
          </w:p>
        </w:tc>
      </w:tr>
      <w:tr w:rsidR="009327E7" w:rsidTr="00EC0BD9">
        <w:tc>
          <w:tcPr>
            <w:tcW w:w="4970" w:type="dxa"/>
          </w:tcPr>
          <w:p w:rsidR="009327E7" w:rsidRDefault="009327E7" w:rsidP="00A2138C">
            <w:pPr>
              <w:pStyle w:val="Tabletext"/>
              <w:keepNext/>
              <w:keepLines/>
              <w:tabs>
                <w:tab w:val="left" w:pos="142"/>
              </w:tabs>
              <w:ind w:left="142" w:hanging="108"/>
            </w:pPr>
            <w:r>
              <w:t>Constant treatment to 4 years, linear convergence to 5 years</w:t>
            </w:r>
          </w:p>
        </w:tc>
        <w:tc>
          <w:tcPr>
            <w:tcW w:w="1525" w:type="dxa"/>
          </w:tcPr>
          <w:p w:rsidR="009327E7" w:rsidRDefault="009327E7" w:rsidP="00A2138C">
            <w:pPr>
              <w:pStyle w:val="Tabletext"/>
              <w:keepNext/>
              <w:keepLines/>
              <w:jc w:val="center"/>
            </w:pPr>
            <w:r>
              <w:t>$</w:t>
            </w:r>
            <w:r w:rsidR="00DE4D50">
              <w:rPr>
                <w:noProof/>
                <w:color w:val="000000"/>
                <w:highlight w:val="black"/>
              </w:rPr>
              <w:t>'''''''''''''</w:t>
            </w:r>
          </w:p>
        </w:tc>
        <w:tc>
          <w:tcPr>
            <w:tcW w:w="1652" w:type="dxa"/>
          </w:tcPr>
          <w:p w:rsidR="009327E7" w:rsidRPr="00DE4D50" w:rsidRDefault="00DE4D50" w:rsidP="00A2138C">
            <w:pPr>
              <w:pStyle w:val="Tabletext"/>
              <w:keepNext/>
              <w:keepLines/>
              <w:jc w:val="center"/>
              <w:rPr>
                <w:highlight w:val="black"/>
              </w:rPr>
            </w:pPr>
            <w:r>
              <w:rPr>
                <w:noProof/>
                <w:color w:val="000000"/>
                <w:highlight w:val="black"/>
              </w:rPr>
              <w:t>''''''''''''</w:t>
            </w:r>
          </w:p>
        </w:tc>
        <w:tc>
          <w:tcPr>
            <w:tcW w:w="1048" w:type="dxa"/>
          </w:tcPr>
          <w:p w:rsidR="009327E7" w:rsidRDefault="009327E7" w:rsidP="00A2138C">
            <w:pPr>
              <w:pStyle w:val="Tabletext"/>
              <w:keepNext/>
              <w:keepLines/>
              <w:jc w:val="center"/>
            </w:pPr>
            <w:r w:rsidRPr="007B5E6F">
              <w:t>$</w:t>
            </w:r>
            <w:r w:rsidR="00DE4D50">
              <w:rPr>
                <w:noProof/>
                <w:color w:val="000000"/>
                <w:highlight w:val="black"/>
              </w:rPr>
              <w:t>'''''''''''''''''</w:t>
            </w:r>
          </w:p>
        </w:tc>
      </w:tr>
      <w:tr w:rsidR="009327E7" w:rsidTr="00EC0BD9">
        <w:tc>
          <w:tcPr>
            <w:tcW w:w="4970" w:type="dxa"/>
          </w:tcPr>
          <w:p w:rsidR="009327E7" w:rsidRDefault="009327E7" w:rsidP="00A2138C">
            <w:pPr>
              <w:pStyle w:val="Tabletext"/>
              <w:keepNext/>
              <w:keepLines/>
              <w:tabs>
                <w:tab w:val="left" w:pos="142"/>
              </w:tabs>
              <w:ind w:left="142" w:hanging="108"/>
            </w:pPr>
            <w:r>
              <w:t>Constant treatment to 4 years, linear convergence to 10 years</w:t>
            </w:r>
          </w:p>
        </w:tc>
        <w:tc>
          <w:tcPr>
            <w:tcW w:w="1525" w:type="dxa"/>
          </w:tcPr>
          <w:p w:rsidR="009327E7" w:rsidRDefault="009327E7" w:rsidP="00A2138C">
            <w:pPr>
              <w:pStyle w:val="Tabletext"/>
              <w:keepNext/>
              <w:keepLines/>
              <w:jc w:val="center"/>
            </w:pPr>
            <w:r>
              <w:t>$</w:t>
            </w:r>
            <w:r w:rsidR="00DE4D50">
              <w:rPr>
                <w:noProof/>
                <w:color w:val="000000"/>
                <w:highlight w:val="black"/>
              </w:rPr>
              <w:t>''''''''''''''</w:t>
            </w:r>
          </w:p>
        </w:tc>
        <w:tc>
          <w:tcPr>
            <w:tcW w:w="1652" w:type="dxa"/>
          </w:tcPr>
          <w:p w:rsidR="009327E7" w:rsidRPr="00DE4D50" w:rsidRDefault="00DE4D50" w:rsidP="00A2138C">
            <w:pPr>
              <w:pStyle w:val="Tabletext"/>
              <w:keepNext/>
              <w:keepLines/>
              <w:jc w:val="center"/>
              <w:rPr>
                <w:highlight w:val="black"/>
              </w:rPr>
            </w:pPr>
            <w:r>
              <w:rPr>
                <w:noProof/>
                <w:color w:val="000000"/>
                <w:highlight w:val="black"/>
              </w:rPr>
              <w:t>''''''''''''''</w:t>
            </w:r>
          </w:p>
        </w:tc>
        <w:tc>
          <w:tcPr>
            <w:tcW w:w="1048" w:type="dxa"/>
          </w:tcPr>
          <w:p w:rsidR="009327E7" w:rsidRDefault="009327E7" w:rsidP="00A2138C">
            <w:pPr>
              <w:pStyle w:val="Tabletext"/>
              <w:keepNext/>
              <w:keepLines/>
              <w:jc w:val="center"/>
            </w:pPr>
            <w:r w:rsidRPr="007B5E6F">
              <w:t>$</w:t>
            </w:r>
            <w:r w:rsidR="00DE4D50">
              <w:rPr>
                <w:noProof/>
                <w:color w:val="000000"/>
                <w:highlight w:val="black"/>
              </w:rPr>
              <w:t>'''''''''''''''</w:t>
            </w:r>
          </w:p>
        </w:tc>
      </w:tr>
      <w:tr w:rsidR="009327E7" w:rsidTr="00EC0BD9">
        <w:tc>
          <w:tcPr>
            <w:tcW w:w="4970" w:type="dxa"/>
          </w:tcPr>
          <w:p w:rsidR="009327E7" w:rsidRDefault="009327E7" w:rsidP="00A2138C">
            <w:pPr>
              <w:pStyle w:val="Tabletext"/>
              <w:keepNext/>
              <w:keepLines/>
              <w:ind w:left="34"/>
            </w:pPr>
            <w:r w:rsidRPr="000E0A11">
              <w:t xml:space="preserve">Parametric </w:t>
            </w:r>
            <w:r>
              <w:t>extrapolation to 3 years, linear convergence by 3</w:t>
            </w:r>
            <w:r w:rsidRPr="000E0A11">
              <w:t xml:space="preserve"> years</w:t>
            </w:r>
          </w:p>
        </w:tc>
        <w:tc>
          <w:tcPr>
            <w:tcW w:w="1525" w:type="dxa"/>
            <w:vAlign w:val="center"/>
          </w:tcPr>
          <w:p w:rsidR="009327E7" w:rsidRDefault="009327E7" w:rsidP="00A2138C">
            <w:pPr>
              <w:pStyle w:val="Tabletext"/>
              <w:keepNext/>
              <w:keepLines/>
              <w:jc w:val="center"/>
            </w:pPr>
            <w:r>
              <w:t>$</w:t>
            </w:r>
            <w:r w:rsidR="00DE4D50">
              <w:rPr>
                <w:noProof/>
                <w:color w:val="000000"/>
                <w:highlight w:val="black"/>
              </w:rPr>
              <w:t>''''''''''''''</w:t>
            </w:r>
          </w:p>
        </w:tc>
        <w:tc>
          <w:tcPr>
            <w:tcW w:w="1652" w:type="dxa"/>
            <w:vAlign w:val="center"/>
          </w:tcPr>
          <w:p w:rsidR="009327E7" w:rsidRPr="00DE4D50" w:rsidRDefault="00DE4D50" w:rsidP="00A2138C">
            <w:pPr>
              <w:pStyle w:val="Tabletext"/>
              <w:keepNext/>
              <w:keepLines/>
              <w:jc w:val="center"/>
              <w:rPr>
                <w:highlight w:val="black"/>
              </w:rPr>
            </w:pPr>
            <w:r>
              <w:rPr>
                <w:noProof/>
                <w:color w:val="000000"/>
                <w:highlight w:val="black"/>
              </w:rPr>
              <w:t>''''''''''''''</w:t>
            </w:r>
          </w:p>
        </w:tc>
        <w:tc>
          <w:tcPr>
            <w:tcW w:w="1048" w:type="dxa"/>
            <w:vAlign w:val="center"/>
          </w:tcPr>
          <w:p w:rsidR="009327E7" w:rsidRDefault="009327E7" w:rsidP="00A2138C">
            <w:pPr>
              <w:pStyle w:val="Tabletext"/>
              <w:keepNext/>
              <w:keepLines/>
              <w:jc w:val="center"/>
            </w:pPr>
            <w:r w:rsidRPr="007B5E6F">
              <w:t>$</w:t>
            </w:r>
            <w:r w:rsidR="00DE4D50">
              <w:rPr>
                <w:noProof/>
                <w:color w:val="000000"/>
                <w:highlight w:val="black"/>
              </w:rPr>
              <w:t>'''''''''''''''''</w:t>
            </w:r>
          </w:p>
        </w:tc>
      </w:tr>
      <w:tr w:rsidR="009327E7" w:rsidRPr="00B455E3" w:rsidTr="00EC0BD9">
        <w:tc>
          <w:tcPr>
            <w:tcW w:w="9195" w:type="dxa"/>
            <w:gridSpan w:val="4"/>
          </w:tcPr>
          <w:p w:rsidR="009327E7" w:rsidRPr="00B455E3" w:rsidRDefault="009327E7" w:rsidP="00EC0BD9">
            <w:pPr>
              <w:pStyle w:val="Tabletext"/>
              <w:rPr>
                <w:b/>
              </w:rPr>
            </w:pPr>
            <w:r w:rsidRPr="00B455E3">
              <w:rPr>
                <w:b/>
              </w:rPr>
              <w:t>Magnitude of treatment effect (base case: modelled estimates from ARCH trial)</w:t>
            </w:r>
          </w:p>
        </w:tc>
      </w:tr>
      <w:tr w:rsidR="009327E7" w:rsidRPr="00B455E3" w:rsidTr="00EC0BD9">
        <w:tc>
          <w:tcPr>
            <w:tcW w:w="4970" w:type="dxa"/>
          </w:tcPr>
          <w:p w:rsidR="009327E7" w:rsidRPr="00B455E3" w:rsidRDefault="009327E7" w:rsidP="00EC0BD9">
            <w:pPr>
              <w:pStyle w:val="Tabletext"/>
              <w:ind w:left="34"/>
            </w:pPr>
            <w:r w:rsidRPr="00B455E3">
              <w:t>Decrease relative efficacy by 20% for hip, vertebral and other fracture</w:t>
            </w:r>
          </w:p>
        </w:tc>
        <w:tc>
          <w:tcPr>
            <w:tcW w:w="1525" w:type="dxa"/>
            <w:vAlign w:val="center"/>
          </w:tcPr>
          <w:p w:rsidR="009327E7" w:rsidRPr="00B455E3" w:rsidRDefault="009327E7" w:rsidP="00EC0BD9">
            <w:pPr>
              <w:pStyle w:val="Tabletext"/>
              <w:jc w:val="center"/>
            </w:pPr>
            <w:r w:rsidRPr="00B455E3">
              <w:t>$</w:t>
            </w:r>
            <w:r w:rsidR="00DE4D50">
              <w:rPr>
                <w:noProof/>
                <w:color w:val="000000"/>
                <w:highlight w:val="black"/>
              </w:rPr>
              <w:t>''''''''''''</w:t>
            </w:r>
          </w:p>
        </w:tc>
        <w:tc>
          <w:tcPr>
            <w:tcW w:w="1652" w:type="dxa"/>
            <w:vAlign w:val="center"/>
          </w:tcPr>
          <w:p w:rsidR="009327E7" w:rsidRPr="00DE4D50" w:rsidRDefault="00DE4D50" w:rsidP="00EC0BD9">
            <w:pPr>
              <w:pStyle w:val="Tabletext"/>
              <w:jc w:val="center"/>
              <w:rPr>
                <w:highlight w:val="black"/>
              </w:rPr>
            </w:pPr>
            <w:r>
              <w:rPr>
                <w:noProof/>
                <w:color w:val="000000"/>
                <w:highlight w:val="black"/>
              </w:rPr>
              <w:t>''''''''''''</w:t>
            </w:r>
          </w:p>
        </w:tc>
        <w:tc>
          <w:tcPr>
            <w:tcW w:w="1048" w:type="dxa"/>
            <w:vAlign w:val="center"/>
          </w:tcPr>
          <w:p w:rsidR="009327E7" w:rsidRPr="00B455E3" w:rsidRDefault="009327E7" w:rsidP="00EC0BD9">
            <w:pPr>
              <w:pStyle w:val="Tabletext"/>
              <w:jc w:val="center"/>
            </w:pPr>
            <w:r w:rsidRPr="00B455E3">
              <w:t>$</w:t>
            </w:r>
            <w:r w:rsidR="00DE4D50">
              <w:rPr>
                <w:noProof/>
                <w:color w:val="000000"/>
                <w:highlight w:val="black"/>
              </w:rPr>
              <w:t>'''''''''''''''</w:t>
            </w:r>
          </w:p>
        </w:tc>
      </w:tr>
      <w:tr w:rsidR="009327E7" w:rsidRPr="00B455E3" w:rsidTr="00EC0BD9">
        <w:tc>
          <w:tcPr>
            <w:tcW w:w="4970" w:type="dxa"/>
          </w:tcPr>
          <w:p w:rsidR="009327E7" w:rsidRPr="00B455E3" w:rsidRDefault="009327E7" w:rsidP="00EC0BD9">
            <w:pPr>
              <w:pStyle w:val="Tabletext"/>
              <w:ind w:left="34"/>
            </w:pPr>
            <w:r w:rsidRPr="00B455E3">
              <w:t>Decrease  relative efficacy by 40% for hip, vertebral and other fracture</w:t>
            </w:r>
          </w:p>
        </w:tc>
        <w:tc>
          <w:tcPr>
            <w:tcW w:w="1525" w:type="dxa"/>
            <w:vAlign w:val="center"/>
          </w:tcPr>
          <w:p w:rsidR="009327E7" w:rsidRPr="00B455E3" w:rsidRDefault="009327E7" w:rsidP="00EC0BD9">
            <w:pPr>
              <w:pStyle w:val="Tabletext"/>
              <w:jc w:val="center"/>
            </w:pPr>
            <w:r w:rsidRPr="00B455E3">
              <w:t>$</w:t>
            </w:r>
            <w:r w:rsidR="00DE4D50">
              <w:rPr>
                <w:noProof/>
                <w:color w:val="000000"/>
                <w:highlight w:val="black"/>
              </w:rPr>
              <w:t>''''''''''''''</w:t>
            </w:r>
          </w:p>
        </w:tc>
        <w:tc>
          <w:tcPr>
            <w:tcW w:w="1652" w:type="dxa"/>
            <w:vAlign w:val="center"/>
          </w:tcPr>
          <w:p w:rsidR="009327E7" w:rsidRPr="00DE4D50" w:rsidRDefault="00DE4D50" w:rsidP="00EC0BD9">
            <w:pPr>
              <w:pStyle w:val="Tabletext"/>
              <w:jc w:val="center"/>
              <w:rPr>
                <w:highlight w:val="black"/>
              </w:rPr>
            </w:pPr>
            <w:r>
              <w:rPr>
                <w:noProof/>
                <w:color w:val="000000"/>
                <w:highlight w:val="black"/>
              </w:rPr>
              <w:t>''''''''''''''</w:t>
            </w:r>
          </w:p>
        </w:tc>
        <w:tc>
          <w:tcPr>
            <w:tcW w:w="1048" w:type="dxa"/>
            <w:vAlign w:val="center"/>
          </w:tcPr>
          <w:p w:rsidR="009327E7" w:rsidRPr="00B455E3" w:rsidRDefault="009327E7" w:rsidP="00EC0BD9">
            <w:pPr>
              <w:pStyle w:val="Tabletext"/>
              <w:jc w:val="center"/>
            </w:pPr>
            <w:r w:rsidRPr="00B455E3">
              <w:t>$</w:t>
            </w:r>
            <w:r w:rsidR="00DE4D50">
              <w:rPr>
                <w:noProof/>
                <w:color w:val="000000"/>
                <w:highlight w:val="black"/>
              </w:rPr>
              <w:t>''''''''''''''''</w:t>
            </w:r>
          </w:p>
        </w:tc>
      </w:tr>
      <w:tr w:rsidR="009327E7" w:rsidRPr="00B455E3" w:rsidTr="00EC0BD9">
        <w:tc>
          <w:tcPr>
            <w:tcW w:w="4970" w:type="dxa"/>
          </w:tcPr>
          <w:p w:rsidR="009327E7" w:rsidRPr="00B455E3" w:rsidRDefault="009327E7" w:rsidP="00EC0BD9">
            <w:pPr>
              <w:pStyle w:val="Tabletext"/>
              <w:ind w:left="34"/>
            </w:pPr>
            <w:r w:rsidRPr="00B455E3">
              <w:t>No treatment effect on non-vertebral fractures</w:t>
            </w:r>
          </w:p>
        </w:tc>
        <w:tc>
          <w:tcPr>
            <w:tcW w:w="1525" w:type="dxa"/>
            <w:vAlign w:val="center"/>
          </w:tcPr>
          <w:p w:rsidR="009327E7" w:rsidRPr="00B455E3" w:rsidRDefault="009327E7" w:rsidP="00EC0BD9">
            <w:pPr>
              <w:pStyle w:val="Tabletext"/>
              <w:jc w:val="center"/>
            </w:pPr>
            <w:r w:rsidRPr="00B455E3">
              <w:t>$</w:t>
            </w:r>
            <w:r w:rsidR="00DE4D50">
              <w:rPr>
                <w:noProof/>
                <w:color w:val="000000"/>
                <w:highlight w:val="black"/>
              </w:rPr>
              <w:t>''''''''''''''</w:t>
            </w:r>
          </w:p>
        </w:tc>
        <w:tc>
          <w:tcPr>
            <w:tcW w:w="1652" w:type="dxa"/>
            <w:vAlign w:val="center"/>
          </w:tcPr>
          <w:p w:rsidR="009327E7" w:rsidRPr="00DE4D50" w:rsidRDefault="00DE4D50" w:rsidP="00EC0BD9">
            <w:pPr>
              <w:pStyle w:val="Tabletext"/>
              <w:jc w:val="center"/>
              <w:rPr>
                <w:highlight w:val="black"/>
              </w:rPr>
            </w:pPr>
            <w:r>
              <w:rPr>
                <w:noProof/>
                <w:color w:val="000000"/>
                <w:highlight w:val="black"/>
              </w:rPr>
              <w:t>''''''''''''''</w:t>
            </w:r>
          </w:p>
        </w:tc>
        <w:tc>
          <w:tcPr>
            <w:tcW w:w="1048" w:type="dxa"/>
            <w:vAlign w:val="center"/>
          </w:tcPr>
          <w:p w:rsidR="009327E7" w:rsidRPr="00B455E3" w:rsidRDefault="009327E7" w:rsidP="00EC0BD9">
            <w:pPr>
              <w:pStyle w:val="Tabletext"/>
              <w:jc w:val="center"/>
            </w:pPr>
            <w:r w:rsidRPr="00B455E3">
              <w:t>$</w:t>
            </w:r>
            <w:r w:rsidR="00DE4D50">
              <w:rPr>
                <w:noProof/>
                <w:color w:val="000000"/>
                <w:highlight w:val="black"/>
              </w:rPr>
              <w:t>''''''''''''''''</w:t>
            </w:r>
          </w:p>
        </w:tc>
      </w:tr>
    </w:tbl>
    <w:p w:rsidR="009327E7" w:rsidRDefault="009327E7" w:rsidP="009327E7">
      <w:pPr>
        <w:pStyle w:val="TableFooter"/>
      </w:pPr>
      <w:r>
        <w:t>Source: Table 3.9-1 (p 118-119) of the submission</w:t>
      </w:r>
    </w:p>
    <w:p w:rsidR="009327E7" w:rsidRPr="0026014D" w:rsidRDefault="009327E7" w:rsidP="009327E7">
      <w:pPr>
        <w:pStyle w:val="TableFooter"/>
      </w:pPr>
      <w:r>
        <w:t>Abbreviations: ICER, incremental cost effectiveness ratio; QALY, quality-adjusted life year</w:t>
      </w:r>
    </w:p>
    <w:p w:rsidR="009327E7" w:rsidRDefault="009327E7" w:rsidP="005908ED">
      <w:pPr>
        <w:pStyle w:val="TableFooter"/>
        <w:rPr>
          <w:i/>
        </w:rPr>
      </w:pPr>
      <w:r w:rsidRPr="00674519">
        <w:rPr>
          <w:i/>
        </w:rPr>
        <w:t xml:space="preserve">Italicised analyses were </w:t>
      </w:r>
      <w:r w:rsidR="005908ED">
        <w:rPr>
          <w:i/>
        </w:rPr>
        <w:t>conducted during the evaluation</w:t>
      </w:r>
    </w:p>
    <w:p w:rsidR="008B4262" w:rsidRPr="008B4262" w:rsidRDefault="008B4262" w:rsidP="008B4262">
      <w:pPr>
        <w:pStyle w:val="TableFooter"/>
        <w:spacing w:before="120" w:after="120"/>
        <w:rPr>
          <w:rFonts w:asciiTheme="minorHAnsi" w:hAnsiTheme="minorHAnsi" w:cstheme="minorHAnsi"/>
          <w:sz w:val="24"/>
          <w:szCs w:val="24"/>
        </w:rPr>
      </w:pPr>
      <w:r w:rsidRPr="008B4262">
        <w:rPr>
          <w:rFonts w:asciiTheme="minorHAnsi" w:hAnsiTheme="minorHAnsi" w:cstheme="minorHAnsi"/>
          <w:sz w:val="24"/>
          <w:szCs w:val="24"/>
        </w:rPr>
        <w:t xml:space="preserve">The redacted table shows ICERs in the range of $15,000/QALY - $45,000/QALY and $45,000/QALY - $75,000/QALY. </w:t>
      </w:r>
    </w:p>
    <w:p w:rsidR="00C25D9C" w:rsidRPr="00C25D9C" w:rsidRDefault="00D03DF8" w:rsidP="00995778">
      <w:pPr>
        <w:pStyle w:val="Heading2"/>
      </w:pPr>
      <w:bookmarkStart w:id="13" w:name="_Toc524518339"/>
      <w:r>
        <w:t>Drug cost/patient/</w:t>
      </w:r>
      <w:r w:rsidR="00C25D9C" w:rsidRPr="002C2775">
        <w:t>yea</w:t>
      </w:r>
      <w:r>
        <w:t>r</w:t>
      </w:r>
      <w:bookmarkEnd w:id="13"/>
    </w:p>
    <w:p w:rsidR="00D03DF8" w:rsidRDefault="00D03DF8" w:rsidP="00995778">
      <w:pPr>
        <w:pStyle w:val="ListParagraph"/>
      </w:pPr>
      <w:r>
        <w:t xml:space="preserve">The estimated drug cost for romosozumab per patient per year </w:t>
      </w:r>
      <w:r w:rsidRPr="00A92E45">
        <w:t>was $7,412 (based</w:t>
      </w:r>
      <w:r>
        <w:t xml:space="preserve"> on </w:t>
      </w:r>
      <w:r w:rsidRPr="00801683">
        <w:t>12</w:t>
      </w:r>
      <w:r>
        <w:t xml:space="preserve"> scripts using the published </w:t>
      </w:r>
      <w:r w:rsidRPr="00A92E45">
        <w:t>DPMQ $617.70 for 2</w:t>
      </w:r>
      <w:r>
        <w:t xml:space="preserve"> x 105 mg monthly injections)</w:t>
      </w:r>
      <w:r w:rsidR="00E72061">
        <w:t>.</w:t>
      </w:r>
    </w:p>
    <w:p w:rsidR="00D03DF8" w:rsidRDefault="00D03DF8" w:rsidP="00995778">
      <w:pPr>
        <w:pStyle w:val="ListParagraph"/>
      </w:pPr>
      <w:r>
        <w:t xml:space="preserve">The estimated drug cost for alendronate per patient per year was $195 (based on </w:t>
      </w:r>
      <w:r w:rsidRPr="00801683">
        <w:t>13</w:t>
      </w:r>
      <w:r>
        <w:t xml:space="preserve"> scripts using the June 2018 DPMQ $15.00 for 4 x 70 mg weekly tablets).</w:t>
      </w:r>
    </w:p>
    <w:p w:rsidR="00814B63" w:rsidRPr="00814B63" w:rsidRDefault="00814B63" w:rsidP="00995778">
      <w:pPr>
        <w:pStyle w:val="ListParagraph"/>
      </w:pPr>
      <w:r>
        <w:t xml:space="preserve">The estimated drug cost for teriparatide per patient per year was $5,353 (based on </w:t>
      </w:r>
      <w:r w:rsidRPr="00801683">
        <w:t>13</w:t>
      </w:r>
      <w:r>
        <w:t xml:space="preserve"> scripts using the published DPMQ $</w:t>
      </w:r>
      <w:r w:rsidR="00D729F3">
        <w:t>411.80</w:t>
      </w:r>
      <w:r>
        <w:t xml:space="preserve"> for 28 x 20 mcg daily injections). The estimated drug cost for a full course of teriparatide therapy was $7,412 (based on </w:t>
      </w:r>
      <w:r w:rsidRPr="00801683">
        <w:t>18</w:t>
      </w:r>
      <w:r>
        <w:t xml:space="preserve"> scripts using the published DPMQ $</w:t>
      </w:r>
      <w:r w:rsidR="00D729F3">
        <w:t>411.80</w:t>
      </w:r>
      <w:r>
        <w:t xml:space="preserve"> for 28 x 20 mcg daily injections)</w:t>
      </w:r>
      <w:r w:rsidR="00A03C7B">
        <w:t>.</w:t>
      </w:r>
    </w:p>
    <w:p w:rsidR="00B60939" w:rsidRPr="00C9624D" w:rsidRDefault="00B60939" w:rsidP="00995778">
      <w:pPr>
        <w:pStyle w:val="Heading2"/>
      </w:pPr>
      <w:bookmarkStart w:id="14" w:name="_Toc524518340"/>
      <w:r w:rsidRPr="00C9624D">
        <w:t>Estimated PBS usage &amp; financial implications</w:t>
      </w:r>
      <w:bookmarkEnd w:id="14"/>
    </w:p>
    <w:p w:rsidR="00E451C1" w:rsidRDefault="00C25D9C" w:rsidP="00995778">
      <w:pPr>
        <w:pStyle w:val="ListParagraph"/>
      </w:pPr>
      <w:r>
        <w:t xml:space="preserve">This submission </w:t>
      </w:r>
      <w:r w:rsidR="00A861E5">
        <w:t>w</w:t>
      </w:r>
      <w:r w:rsidR="00B455E3">
        <w:t>as</w:t>
      </w:r>
      <w:r w:rsidR="00A861E5">
        <w:t xml:space="preserve"> </w:t>
      </w:r>
      <w:r w:rsidR="00E451C1">
        <w:t>not</w:t>
      </w:r>
      <w:r w:rsidR="00A861E5">
        <w:t xml:space="preserve"> </w:t>
      </w:r>
      <w:r>
        <w:t>considered by DUSC</w:t>
      </w:r>
      <w:r w:rsidR="00A2138C">
        <w:t>.</w:t>
      </w:r>
      <w:r w:rsidR="00E451C1">
        <w:rPr>
          <w:color w:val="0070C0"/>
        </w:rPr>
        <w:t xml:space="preserve"> </w:t>
      </w:r>
      <w:r w:rsidR="00E451C1" w:rsidRPr="00E451C1">
        <w:t>The su</w:t>
      </w:r>
      <w:r w:rsidR="00E451C1">
        <w:t>bmission used an epidemiolog</w:t>
      </w:r>
      <w:r w:rsidR="00B3484E">
        <w:t xml:space="preserve">ical </w:t>
      </w:r>
      <w:r w:rsidR="00E451C1" w:rsidRPr="00E451C1">
        <w:t>approach to estimate the utilisation and financial impact for romosozumab</w:t>
      </w:r>
      <w:r w:rsidR="00E451C1">
        <w:t xml:space="preserve"> in</w:t>
      </w:r>
      <w:r w:rsidR="00BD06C8">
        <w:t xml:space="preserve"> the</w:t>
      </w:r>
      <w:r w:rsidR="00E451C1">
        <w:t xml:space="preserve"> two requested patient populations; </w:t>
      </w:r>
      <w:r w:rsidR="00E451C1" w:rsidRPr="00E451C1">
        <w:t>patients with severe osteoporosis who experience a fracture while receiving anti-resorptive therapy</w:t>
      </w:r>
      <w:r w:rsidR="00E451C1">
        <w:t xml:space="preserve"> (</w:t>
      </w:r>
      <w:r w:rsidR="005347A7">
        <w:t>under the requested later-line listing</w:t>
      </w:r>
      <w:r w:rsidR="00E451C1">
        <w:t xml:space="preserve">) and </w:t>
      </w:r>
      <w:r w:rsidR="00E451C1" w:rsidRPr="00E451C1">
        <w:t>patients with severe osteoporosis</w:t>
      </w:r>
      <w:r w:rsidR="00E451C1">
        <w:t xml:space="preserve"> (</w:t>
      </w:r>
      <w:r w:rsidR="00F55071">
        <w:t xml:space="preserve">under the requested </w:t>
      </w:r>
      <w:r w:rsidR="00A05C20">
        <w:t>additional</w:t>
      </w:r>
      <w:r w:rsidR="00F55071">
        <w:t xml:space="preserve"> population</w:t>
      </w:r>
      <w:r w:rsidR="00D01E1D">
        <w:t xml:space="preserve"> (first-line)</w:t>
      </w:r>
      <w:r w:rsidR="00F55071">
        <w:t xml:space="preserve"> listing</w:t>
      </w:r>
      <w:r w:rsidR="00E451C1">
        <w:t>).</w:t>
      </w:r>
    </w:p>
    <w:p w:rsidR="00B201A4" w:rsidRPr="00A1234E" w:rsidRDefault="001558C9" w:rsidP="00995778">
      <w:pPr>
        <w:pStyle w:val="ListParagraph"/>
      </w:pPr>
      <w:r w:rsidRPr="00A1234E">
        <w:t>The estimated eligible population and budget impact of the population</w:t>
      </w:r>
      <w:r w:rsidR="00F55071">
        <w:t xml:space="preserve"> under the requested later-line listing</w:t>
      </w:r>
      <w:r w:rsidRPr="00A1234E">
        <w:t xml:space="preserve"> is summarised in the table below</w:t>
      </w:r>
      <w:r w:rsidR="00F7376D">
        <w:t>.</w:t>
      </w:r>
    </w:p>
    <w:p w:rsidR="00AA0D83" w:rsidRPr="00AA0D83" w:rsidRDefault="00AA0D83" w:rsidP="00CC6907">
      <w:pPr>
        <w:pStyle w:val="TableHeading0"/>
        <w:keepLines/>
        <w:spacing w:after="0"/>
        <w:rPr>
          <w:rStyle w:val="CommentReference"/>
          <w:b/>
        </w:rPr>
      </w:pPr>
      <w:r>
        <w:rPr>
          <w:rStyle w:val="CommentReference"/>
          <w:b/>
        </w:rPr>
        <w:lastRenderedPageBreak/>
        <w:t>Table 1</w:t>
      </w:r>
      <w:r w:rsidR="00F7376D">
        <w:rPr>
          <w:rStyle w:val="CommentReference"/>
          <w:b/>
        </w:rPr>
        <w:t>3</w:t>
      </w:r>
      <w:r w:rsidRPr="00AA0D83">
        <w:rPr>
          <w:rStyle w:val="CommentReference"/>
          <w:b/>
        </w:rPr>
        <w:t>:  Estimated use and total cost of romosozumab to the PBS/RPBS in patients with severe osteoporosis who have experienced a prior symptomatic fracture while receiving anti-resorptive therapy (</w:t>
      </w:r>
      <w:r w:rsidR="00F55071">
        <w:rPr>
          <w:rStyle w:val="CommentReference"/>
          <w:b/>
        </w:rPr>
        <w:t xml:space="preserve">under </w:t>
      </w:r>
      <w:r w:rsidR="008006CC">
        <w:rPr>
          <w:rStyle w:val="CommentReference"/>
          <w:b/>
        </w:rPr>
        <w:t>the later</w:t>
      </w:r>
      <w:r w:rsidR="00F55071">
        <w:rPr>
          <w:rStyle w:val="CommentReference"/>
          <w:b/>
        </w:rPr>
        <w:t>-line listing</w:t>
      </w:r>
      <w:r w:rsidRPr="00AA0D83">
        <w:rPr>
          <w:rStyle w:val="CommentReference"/>
          <w: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3:  Estimated use and total cost of romosozumab to the PBS/RPBS in patients with severe osteoporosis who have experienced a prior symptomatic fracture while receiving anti-resorptive therapy (under the later-line listing)"/>
      </w:tblPr>
      <w:tblGrid>
        <w:gridCol w:w="2263"/>
        <w:gridCol w:w="1134"/>
        <w:gridCol w:w="1134"/>
        <w:gridCol w:w="1134"/>
        <w:gridCol w:w="1134"/>
        <w:gridCol w:w="1134"/>
        <w:gridCol w:w="1134"/>
      </w:tblGrid>
      <w:tr w:rsidR="00AA0D83" w:rsidRPr="00D424C7" w:rsidTr="00976B77">
        <w:trPr>
          <w:tblHeader/>
        </w:trPr>
        <w:tc>
          <w:tcPr>
            <w:tcW w:w="2263" w:type="dxa"/>
            <w:shd w:val="clear" w:color="auto" w:fill="auto"/>
            <w:vAlign w:val="center"/>
          </w:tcPr>
          <w:p w:rsidR="00AA0D83" w:rsidRPr="00D424C7" w:rsidRDefault="00AA0D83" w:rsidP="00CC6907">
            <w:pPr>
              <w:pStyle w:val="Tabletext"/>
              <w:keepNext/>
              <w:keepLines/>
              <w:rPr>
                <w:b/>
              </w:rPr>
            </w:pPr>
          </w:p>
        </w:tc>
        <w:tc>
          <w:tcPr>
            <w:tcW w:w="1134" w:type="dxa"/>
            <w:shd w:val="clear" w:color="auto" w:fill="auto"/>
            <w:vAlign w:val="center"/>
          </w:tcPr>
          <w:p w:rsidR="00AA0D83" w:rsidRPr="00D424C7" w:rsidRDefault="00AA0D83" w:rsidP="00CC6907">
            <w:pPr>
              <w:pStyle w:val="Tabletext"/>
              <w:keepNext/>
              <w:keepLines/>
              <w:jc w:val="center"/>
              <w:rPr>
                <w:b/>
              </w:rPr>
            </w:pPr>
            <w:r w:rsidRPr="00D424C7">
              <w:rPr>
                <w:b/>
              </w:rPr>
              <w:t>Year 1</w:t>
            </w:r>
          </w:p>
        </w:tc>
        <w:tc>
          <w:tcPr>
            <w:tcW w:w="1134" w:type="dxa"/>
            <w:shd w:val="clear" w:color="auto" w:fill="auto"/>
            <w:vAlign w:val="center"/>
          </w:tcPr>
          <w:p w:rsidR="00AA0D83" w:rsidRPr="00D424C7" w:rsidRDefault="00AA0D83" w:rsidP="00CC6907">
            <w:pPr>
              <w:pStyle w:val="Tabletext"/>
              <w:keepNext/>
              <w:keepLines/>
              <w:jc w:val="center"/>
              <w:rPr>
                <w:b/>
              </w:rPr>
            </w:pPr>
            <w:r w:rsidRPr="00D424C7">
              <w:rPr>
                <w:b/>
              </w:rPr>
              <w:t>Year 2</w:t>
            </w:r>
          </w:p>
        </w:tc>
        <w:tc>
          <w:tcPr>
            <w:tcW w:w="1134" w:type="dxa"/>
            <w:shd w:val="clear" w:color="auto" w:fill="auto"/>
            <w:vAlign w:val="center"/>
          </w:tcPr>
          <w:p w:rsidR="00AA0D83" w:rsidRPr="00D424C7" w:rsidRDefault="00AA0D83" w:rsidP="00CC6907">
            <w:pPr>
              <w:pStyle w:val="Tabletext"/>
              <w:keepNext/>
              <w:keepLines/>
              <w:jc w:val="center"/>
              <w:rPr>
                <w:b/>
              </w:rPr>
            </w:pPr>
            <w:r w:rsidRPr="00D424C7">
              <w:rPr>
                <w:b/>
              </w:rPr>
              <w:t>Year 3</w:t>
            </w:r>
          </w:p>
        </w:tc>
        <w:tc>
          <w:tcPr>
            <w:tcW w:w="1134" w:type="dxa"/>
            <w:shd w:val="clear" w:color="auto" w:fill="auto"/>
            <w:vAlign w:val="center"/>
          </w:tcPr>
          <w:p w:rsidR="00AA0D83" w:rsidRPr="00D424C7" w:rsidRDefault="00AA0D83" w:rsidP="00CC6907">
            <w:pPr>
              <w:pStyle w:val="Tabletext"/>
              <w:keepNext/>
              <w:keepLines/>
              <w:jc w:val="center"/>
              <w:rPr>
                <w:b/>
              </w:rPr>
            </w:pPr>
            <w:r w:rsidRPr="00D424C7">
              <w:rPr>
                <w:b/>
              </w:rPr>
              <w:t>Year 4</w:t>
            </w:r>
          </w:p>
        </w:tc>
        <w:tc>
          <w:tcPr>
            <w:tcW w:w="1134" w:type="dxa"/>
            <w:shd w:val="clear" w:color="auto" w:fill="auto"/>
            <w:vAlign w:val="center"/>
          </w:tcPr>
          <w:p w:rsidR="00AA0D83" w:rsidRPr="00D424C7" w:rsidRDefault="00AA0D83" w:rsidP="00CC6907">
            <w:pPr>
              <w:pStyle w:val="Tabletext"/>
              <w:keepNext/>
              <w:keepLines/>
              <w:jc w:val="center"/>
              <w:rPr>
                <w:b/>
              </w:rPr>
            </w:pPr>
            <w:r w:rsidRPr="00D424C7">
              <w:rPr>
                <w:b/>
              </w:rPr>
              <w:t>Year 5</w:t>
            </w:r>
          </w:p>
        </w:tc>
        <w:tc>
          <w:tcPr>
            <w:tcW w:w="1134" w:type="dxa"/>
            <w:shd w:val="clear" w:color="auto" w:fill="auto"/>
            <w:vAlign w:val="center"/>
          </w:tcPr>
          <w:p w:rsidR="00AA0D83" w:rsidRPr="00D424C7" w:rsidRDefault="00AA0D83" w:rsidP="00CC6907">
            <w:pPr>
              <w:pStyle w:val="Tabletext"/>
              <w:keepNext/>
              <w:keepLines/>
              <w:jc w:val="center"/>
              <w:rPr>
                <w:b/>
              </w:rPr>
            </w:pPr>
            <w:r w:rsidRPr="00D424C7">
              <w:rPr>
                <w:b/>
              </w:rPr>
              <w:t>Year 6</w:t>
            </w:r>
          </w:p>
        </w:tc>
      </w:tr>
      <w:tr w:rsidR="00AA0D83" w:rsidRPr="00A579DF" w:rsidTr="00976B77">
        <w:tc>
          <w:tcPr>
            <w:tcW w:w="2263" w:type="dxa"/>
            <w:shd w:val="clear" w:color="auto" w:fill="auto"/>
            <w:vAlign w:val="center"/>
          </w:tcPr>
          <w:p w:rsidR="00AA0D83" w:rsidRPr="00EE048C" w:rsidRDefault="00AA0D83" w:rsidP="00CC6907">
            <w:pPr>
              <w:pStyle w:val="Tabletext"/>
              <w:keepNext/>
              <w:keepLines/>
            </w:pPr>
            <w:r>
              <w:t>Number of patients treated for osteoporosis</w:t>
            </w:r>
          </w:p>
        </w:tc>
        <w:tc>
          <w:tcPr>
            <w:tcW w:w="1134" w:type="dxa"/>
            <w:tcBorders>
              <w:top w:val="single" w:sz="4" w:space="0" w:color="auto"/>
              <w:left w:val="nil"/>
              <w:bottom w:val="single" w:sz="4" w:space="0" w:color="auto"/>
              <w:right w:val="single" w:sz="4" w:space="0" w:color="auto"/>
            </w:tcBorders>
            <w:shd w:val="clear" w:color="auto" w:fill="auto"/>
            <w:vAlign w:val="center"/>
          </w:tcPr>
          <w:p w:rsidR="00AA0D83" w:rsidRPr="008950EC" w:rsidRDefault="00AA0D83" w:rsidP="00CC6907">
            <w:pPr>
              <w:pStyle w:val="Tabletext"/>
              <w:keepNext/>
              <w:keepLines/>
              <w:jc w:val="center"/>
            </w:pPr>
            <w:r w:rsidRPr="008950EC">
              <w:rPr>
                <w:rFonts w:cs="Arial"/>
                <w:szCs w:val="20"/>
              </w:rPr>
              <w:t>538,966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0D83" w:rsidRPr="008950EC" w:rsidRDefault="00AA0D83" w:rsidP="00CC6907">
            <w:pPr>
              <w:pStyle w:val="Tabletext"/>
              <w:keepNext/>
              <w:keepLines/>
              <w:jc w:val="center"/>
            </w:pPr>
            <w:r w:rsidRPr="008950EC">
              <w:rPr>
                <w:rFonts w:cs="Arial"/>
                <w:szCs w:val="20"/>
              </w:rPr>
              <w:t>557,290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0D83" w:rsidRPr="008950EC" w:rsidRDefault="00AA0D83" w:rsidP="00CC6907">
            <w:pPr>
              <w:pStyle w:val="Tabletext"/>
              <w:keepNext/>
              <w:keepLines/>
              <w:jc w:val="center"/>
            </w:pPr>
            <w:r w:rsidRPr="008950EC">
              <w:rPr>
                <w:rFonts w:cs="Arial"/>
                <w:szCs w:val="20"/>
              </w:rPr>
              <w:t>576,238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0D83" w:rsidRPr="008950EC" w:rsidRDefault="00AA0D83" w:rsidP="00CC6907">
            <w:pPr>
              <w:pStyle w:val="Tabletext"/>
              <w:keepNext/>
              <w:keepLines/>
              <w:jc w:val="center"/>
            </w:pPr>
            <w:r w:rsidRPr="008950EC">
              <w:rPr>
                <w:rFonts w:cs="Arial"/>
                <w:szCs w:val="20"/>
              </w:rPr>
              <w:t>595,830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0D83" w:rsidRPr="008950EC" w:rsidRDefault="00AA0D83" w:rsidP="00CC6907">
            <w:pPr>
              <w:pStyle w:val="Tabletext"/>
              <w:keepNext/>
              <w:keepLines/>
              <w:jc w:val="center"/>
            </w:pPr>
            <w:r w:rsidRPr="008950EC">
              <w:rPr>
                <w:rFonts w:cs="Arial"/>
                <w:szCs w:val="20"/>
              </w:rPr>
              <w:t>616,089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0D83" w:rsidRPr="008950EC" w:rsidRDefault="00AA0D83" w:rsidP="00CC6907">
            <w:pPr>
              <w:pStyle w:val="Tabletext"/>
              <w:keepNext/>
              <w:keepLines/>
              <w:jc w:val="center"/>
            </w:pPr>
            <w:r w:rsidRPr="008950EC">
              <w:rPr>
                <w:rFonts w:cs="Arial"/>
                <w:szCs w:val="20"/>
              </w:rPr>
              <w:t>637,036</w:t>
            </w:r>
          </w:p>
        </w:tc>
      </w:tr>
      <w:tr w:rsidR="00AA0D83" w:rsidRPr="00A579DF" w:rsidTr="00976B77">
        <w:tc>
          <w:tcPr>
            <w:tcW w:w="2263" w:type="dxa"/>
            <w:shd w:val="clear" w:color="auto" w:fill="auto"/>
            <w:vAlign w:val="center"/>
          </w:tcPr>
          <w:p w:rsidR="00AA0D83" w:rsidRPr="003F1EC0" w:rsidRDefault="00271585" w:rsidP="00CC6907">
            <w:pPr>
              <w:pStyle w:val="Tabletext"/>
              <w:keepNext/>
              <w:keepLines/>
              <w:rPr>
                <w:vertAlign w:val="superscript"/>
              </w:rPr>
            </w:pPr>
            <w:r>
              <w:t>Eligible patient population</w:t>
            </w:r>
          </w:p>
        </w:tc>
        <w:tc>
          <w:tcPr>
            <w:tcW w:w="1134" w:type="dxa"/>
            <w:tcBorders>
              <w:top w:val="single" w:sz="4" w:space="0" w:color="auto"/>
              <w:left w:val="nil"/>
              <w:bottom w:val="single" w:sz="4" w:space="0" w:color="auto"/>
              <w:right w:val="single" w:sz="4" w:space="0" w:color="auto"/>
            </w:tcBorders>
            <w:shd w:val="clear" w:color="auto" w:fill="auto"/>
            <w:vAlign w:val="center"/>
          </w:tcPr>
          <w:p w:rsidR="00AA0D83" w:rsidRPr="00DE4D50" w:rsidRDefault="00DE4D50" w:rsidP="00CC6907">
            <w:pPr>
              <w:pStyle w:val="Tabletext"/>
              <w:keepNext/>
              <w:keepLines/>
              <w:jc w:val="center"/>
              <w:rPr>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0D83" w:rsidRPr="00DE4D50" w:rsidRDefault="00DE4D50" w:rsidP="00CC6907">
            <w:pPr>
              <w:pStyle w:val="Tabletext"/>
              <w:keepNext/>
              <w:keepLines/>
              <w:jc w:val="center"/>
              <w:rPr>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0D83" w:rsidRPr="00DE4D50" w:rsidRDefault="00DE4D50" w:rsidP="00CC6907">
            <w:pPr>
              <w:pStyle w:val="Tabletext"/>
              <w:keepNext/>
              <w:keepLines/>
              <w:jc w:val="center"/>
              <w:rPr>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0D83" w:rsidRPr="00DE4D50" w:rsidRDefault="00DE4D50" w:rsidP="00CC6907">
            <w:pPr>
              <w:pStyle w:val="Tabletext"/>
              <w:keepNext/>
              <w:keepLines/>
              <w:jc w:val="center"/>
              <w:rPr>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0D83" w:rsidRPr="00DE4D50" w:rsidRDefault="00DE4D50" w:rsidP="00CC6907">
            <w:pPr>
              <w:pStyle w:val="Tabletext"/>
              <w:keepNext/>
              <w:keepLines/>
              <w:jc w:val="center"/>
              <w:rPr>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0D83" w:rsidRPr="00DE4D50" w:rsidRDefault="00DE4D50" w:rsidP="00CC6907">
            <w:pPr>
              <w:pStyle w:val="Tabletext"/>
              <w:keepNext/>
              <w:keepLines/>
              <w:jc w:val="center"/>
              <w:rPr>
                <w:highlight w:val="black"/>
              </w:rPr>
            </w:pPr>
            <w:r>
              <w:rPr>
                <w:rFonts w:cs="Arial"/>
                <w:noProof/>
                <w:color w:val="000000"/>
                <w:szCs w:val="20"/>
                <w:highlight w:val="black"/>
              </w:rPr>
              <w:t>'''''''''''''</w:t>
            </w:r>
          </w:p>
        </w:tc>
      </w:tr>
      <w:tr w:rsidR="00AA0D83" w:rsidRPr="00A579DF" w:rsidTr="00976B77">
        <w:tc>
          <w:tcPr>
            <w:tcW w:w="2263" w:type="dxa"/>
            <w:shd w:val="clear" w:color="auto" w:fill="auto"/>
            <w:vAlign w:val="center"/>
          </w:tcPr>
          <w:p w:rsidR="00AA0D83" w:rsidRDefault="00AA0D83" w:rsidP="00CC6907">
            <w:pPr>
              <w:pStyle w:val="Tabletext"/>
              <w:keepNext/>
              <w:keepLines/>
            </w:pPr>
            <w:r>
              <w:t>Romosozumab uptake from existing market</w:t>
            </w:r>
          </w:p>
        </w:tc>
        <w:tc>
          <w:tcPr>
            <w:tcW w:w="1134" w:type="dxa"/>
            <w:tcBorders>
              <w:top w:val="single" w:sz="4" w:space="0" w:color="auto"/>
              <w:left w:val="nil"/>
              <w:bottom w:val="single" w:sz="4" w:space="0" w:color="auto"/>
              <w:right w:val="single" w:sz="4" w:space="0" w:color="auto"/>
            </w:tcBorders>
            <w:shd w:val="clear" w:color="auto" w:fill="auto"/>
            <w:vAlign w:val="center"/>
          </w:tcPr>
          <w:p w:rsidR="00AA0D83" w:rsidRPr="00DE4D50" w:rsidRDefault="00DE4D50" w:rsidP="00CC6907">
            <w:pPr>
              <w:pStyle w:val="Tabletext"/>
              <w:keepNext/>
              <w:keepLines/>
              <w:jc w:val="center"/>
              <w:rPr>
                <w:rFonts w:cs="Arial"/>
                <w:szCs w:val="20"/>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0D83" w:rsidRPr="00DE4D50" w:rsidRDefault="00DE4D50" w:rsidP="00CC6907">
            <w:pPr>
              <w:pStyle w:val="Tabletext"/>
              <w:keepNext/>
              <w:keepLines/>
              <w:jc w:val="center"/>
              <w:rPr>
                <w:rFonts w:cs="Arial"/>
                <w:szCs w:val="20"/>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0D83" w:rsidRPr="00DE4D50" w:rsidRDefault="00DE4D50" w:rsidP="00CC6907">
            <w:pPr>
              <w:pStyle w:val="Tabletext"/>
              <w:keepNext/>
              <w:keepLines/>
              <w:jc w:val="center"/>
              <w:rPr>
                <w:rFonts w:cs="Arial"/>
                <w:szCs w:val="20"/>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0D83" w:rsidRPr="00DE4D50" w:rsidRDefault="00DE4D50" w:rsidP="00CC6907">
            <w:pPr>
              <w:pStyle w:val="Tabletext"/>
              <w:keepNext/>
              <w:keepLines/>
              <w:jc w:val="center"/>
              <w:rPr>
                <w:rFonts w:cs="Arial"/>
                <w:szCs w:val="20"/>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0D83" w:rsidRPr="00DE4D50" w:rsidRDefault="00DE4D50" w:rsidP="00CC6907">
            <w:pPr>
              <w:pStyle w:val="Tabletext"/>
              <w:keepNext/>
              <w:keepLines/>
              <w:jc w:val="center"/>
              <w:rPr>
                <w:rFonts w:cs="Arial"/>
                <w:szCs w:val="20"/>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0D83" w:rsidRPr="00A92E45" w:rsidRDefault="00DE4D50" w:rsidP="00CC6907">
            <w:pPr>
              <w:pStyle w:val="Tabletext"/>
              <w:keepNext/>
              <w:keepLines/>
              <w:jc w:val="center"/>
              <w:rPr>
                <w:rFonts w:cs="Arial"/>
                <w:szCs w:val="20"/>
              </w:rPr>
            </w:pPr>
            <w:r>
              <w:rPr>
                <w:rFonts w:cs="Arial"/>
                <w:noProof/>
                <w:color w:val="000000"/>
                <w:szCs w:val="20"/>
                <w:highlight w:val="black"/>
              </w:rPr>
              <w:t>''''</w:t>
            </w:r>
            <w:r w:rsidR="00AA0D83" w:rsidRPr="00A92E45">
              <w:rPr>
                <w:rFonts w:cs="Arial"/>
                <w:szCs w:val="20"/>
              </w:rPr>
              <w:t>%</w:t>
            </w:r>
          </w:p>
        </w:tc>
      </w:tr>
      <w:tr w:rsidR="00AA0D83" w:rsidRPr="00A579DF" w:rsidTr="00976B77">
        <w:tc>
          <w:tcPr>
            <w:tcW w:w="2263" w:type="dxa"/>
            <w:shd w:val="clear" w:color="auto" w:fill="auto"/>
            <w:vAlign w:val="center"/>
          </w:tcPr>
          <w:p w:rsidR="00AA0D83" w:rsidRDefault="00AA0D83" w:rsidP="00CC6907">
            <w:pPr>
              <w:pStyle w:val="Tabletext"/>
              <w:keepNext/>
              <w:keepLines/>
            </w:pPr>
            <w:r>
              <w:t>Romosozumab uptake from market growth</w:t>
            </w:r>
          </w:p>
        </w:tc>
        <w:tc>
          <w:tcPr>
            <w:tcW w:w="1134" w:type="dxa"/>
            <w:tcBorders>
              <w:top w:val="single" w:sz="4" w:space="0" w:color="auto"/>
            </w:tcBorders>
            <w:shd w:val="clear" w:color="auto" w:fill="auto"/>
            <w:vAlign w:val="center"/>
          </w:tcPr>
          <w:p w:rsidR="00AA0D83" w:rsidRPr="00DE4D50" w:rsidRDefault="00DE4D50" w:rsidP="00CC6907">
            <w:pPr>
              <w:pStyle w:val="Tabletext"/>
              <w:keepNext/>
              <w:keepLines/>
              <w:jc w:val="center"/>
              <w:rPr>
                <w:highlight w:val="black"/>
              </w:rPr>
            </w:pPr>
            <w:r>
              <w:rPr>
                <w:noProof/>
                <w:color w:val="000000"/>
                <w:highlight w:val="black"/>
              </w:rPr>
              <w:t>''''''''''''</w:t>
            </w:r>
          </w:p>
        </w:tc>
        <w:tc>
          <w:tcPr>
            <w:tcW w:w="1134" w:type="dxa"/>
            <w:tcBorders>
              <w:top w:val="single" w:sz="4" w:space="0" w:color="auto"/>
            </w:tcBorders>
            <w:shd w:val="clear" w:color="auto" w:fill="auto"/>
            <w:vAlign w:val="center"/>
          </w:tcPr>
          <w:p w:rsidR="00AA0D83" w:rsidRPr="00A92E45" w:rsidRDefault="00DE4D50" w:rsidP="00CC6907">
            <w:pPr>
              <w:pStyle w:val="Tabletext"/>
              <w:keepNext/>
              <w:keepLines/>
              <w:jc w:val="center"/>
            </w:pPr>
            <w:r>
              <w:rPr>
                <w:noProof/>
                <w:color w:val="000000"/>
                <w:highlight w:val="black"/>
              </w:rPr>
              <w:t>'''''</w:t>
            </w:r>
            <w:r w:rsidR="00AA0D83" w:rsidRPr="00A92E45">
              <w:t>%</w:t>
            </w:r>
          </w:p>
        </w:tc>
        <w:tc>
          <w:tcPr>
            <w:tcW w:w="1134" w:type="dxa"/>
            <w:tcBorders>
              <w:top w:val="single" w:sz="4" w:space="0" w:color="auto"/>
            </w:tcBorders>
            <w:shd w:val="clear" w:color="auto" w:fill="auto"/>
            <w:vAlign w:val="center"/>
          </w:tcPr>
          <w:p w:rsidR="00AA0D83" w:rsidRPr="00DE4D50" w:rsidRDefault="00DE4D50" w:rsidP="00CC6907">
            <w:pPr>
              <w:pStyle w:val="Tabletext"/>
              <w:keepNext/>
              <w:keepLines/>
              <w:jc w:val="center"/>
              <w:rPr>
                <w:highlight w:val="black"/>
              </w:rPr>
            </w:pPr>
            <w:r>
              <w:rPr>
                <w:noProof/>
                <w:color w:val="000000"/>
                <w:highlight w:val="black"/>
              </w:rPr>
              <w:t>'''''''''''</w:t>
            </w:r>
          </w:p>
        </w:tc>
        <w:tc>
          <w:tcPr>
            <w:tcW w:w="1134" w:type="dxa"/>
            <w:tcBorders>
              <w:top w:val="single" w:sz="4" w:space="0" w:color="auto"/>
            </w:tcBorders>
            <w:shd w:val="clear" w:color="auto" w:fill="auto"/>
            <w:vAlign w:val="center"/>
          </w:tcPr>
          <w:p w:rsidR="00AA0D83" w:rsidRPr="00DE4D50" w:rsidRDefault="00DE4D50" w:rsidP="00CC6907">
            <w:pPr>
              <w:pStyle w:val="Tabletext"/>
              <w:keepNext/>
              <w:keepLines/>
              <w:jc w:val="center"/>
              <w:rPr>
                <w:highlight w:val="black"/>
              </w:rPr>
            </w:pPr>
            <w:r>
              <w:rPr>
                <w:noProof/>
                <w:color w:val="000000"/>
                <w:highlight w:val="black"/>
              </w:rPr>
              <w:t>'''''''''''</w:t>
            </w:r>
          </w:p>
        </w:tc>
        <w:tc>
          <w:tcPr>
            <w:tcW w:w="1134" w:type="dxa"/>
            <w:tcBorders>
              <w:top w:val="single" w:sz="4" w:space="0" w:color="auto"/>
            </w:tcBorders>
            <w:shd w:val="clear" w:color="auto" w:fill="auto"/>
            <w:vAlign w:val="center"/>
          </w:tcPr>
          <w:p w:rsidR="00AA0D83" w:rsidRPr="00DE4D50" w:rsidRDefault="00DE4D50" w:rsidP="00CC6907">
            <w:pPr>
              <w:pStyle w:val="Tabletext"/>
              <w:keepNext/>
              <w:keepLines/>
              <w:jc w:val="center"/>
              <w:rPr>
                <w:highlight w:val="black"/>
              </w:rPr>
            </w:pPr>
            <w:r>
              <w:rPr>
                <w:noProof/>
                <w:color w:val="000000"/>
                <w:highlight w:val="black"/>
              </w:rPr>
              <w:t>''''''''''</w:t>
            </w:r>
          </w:p>
        </w:tc>
        <w:tc>
          <w:tcPr>
            <w:tcW w:w="1134" w:type="dxa"/>
            <w:tcBorders>
              <w:top w:val="single" w:sz="4" w:space="0" w:color="auto"/>
            </w:tcBorders>
            <w:shd w:val="clear" w:color="auto" w:fill="auto"/>
            <w:vAlign w:val="center"/>
          </w:tcPr>
          <w:p w:rsidR="00AA0D83" w:rsidRPr="00DE4D50" w:rsidRDefault="00DE4D50" w:rsidP="00CC6907">
            <w:pPr>
              <w:pStyle w:val="Tabletext"/>
              <w:keepNext/>
              <w:keepLines/>
              <w:jc w:val="center"/>
              <w:rPr>
                <w:highlight w:val="black"/>
              </w:rPr>
            </w:pPr>
            <w:r>
              <w:rPr>
                <w:noProof/>
                <w:color w:val="000000"/>
                <w:highlight w:val="black"/>
              </w:rPr>
              <w:t>'''''''''''</w:t>
            </w:r>
          </w:p>
        </w:tc>
      </w:tr>
      <w:tr w:rsidR="00AA0D83" w:rsidRPr="00A579DF" w:rsidTr="00976B77">
        <w:tc>
          <w:tcPr>
            <w:tcW w:w="2263" w:type="dxa"/>
            <w:shd w:val="clear" w:color="auto" w:fill="auto"/>
            <w:vAlign w:val="center"/>
          </w:tcPr>
          <w:p w:rsidR="00AA0D83" w:rsidRPr="00EE048C" w:rsidRDefault="00AA0D83" w:rsidP="00CC6907">
            <w:pPr>
              <w:pStyle w:val="Tabletext"/>
              <w:keepNext/>
              <w:keepLines/>
            </w:pPr>
            <w:r>
              <w:t>Total patients treated with romosozumab</w:t>
            </w:r>
          </w:p>
        </w:tc>
        <w:tc>
          <w:tcPr>
            <w:tcW w:w="1134" w:type="dxa"/>
            <w:tcBorders>
              <w:top w:val="single" w:sz="4" w:space="0" w:color="auto"/>
              <w:left w:val="nil"/>
              <w:bottom w:val="single" w:sz="4" w:space="0" w:color="auto"/>
              <w:right w:val="single" w:sz="4" w:space="0" w:color="auto"/>
            </w:tcBorders>
            <w:shd w:val="clear" w:color="auto" w:fill="auto"/>
            <w:vAlign w:val="center"/>
          </w:tcPr>
          <w:p w:rsidR="00AA0D83" w:rsidRPr="00DE4D50" w:rsidRDefault="00DE4D50" w:rsidP="00CC6907">
            <w:pPr>
              <w:pStyle w:val="Tabletext"/>
              <w:keepNext/>
              <w:keepLines/>
              <w:jc w:val="center"/>
              <w:rPr>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0D83" w:rsidRPr="00DE4D50" w:rsidRDefault="00DE4D50" w:rsidP="00CC6907">
            <w:pPr>
              <w:pStyle w:val="Tabletext"/>
              <w:keepNext/>
              <w:keepLines/>
              <w:jc w:val="center"/>
              <w:rPr>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0D83" w:rsidRPr="00DE4D50" w:rsidRDefault="00DE4D50" w:rsidP="00CC6907">
            <w:pPr>
              <w:pStyle w:val="Tabletext"/>
              <w:keepNext/>
              <w:keepLines/>
              <w:jc w:val="center"/>
              <w:rPr>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0D83" w:rsidRPr="00DE4D50" w:rsidRDefault="00DE4D50" w:rsidP="00CC6907">
            <w:pPr>
              <w:pStyle w:val="Tabletext"/>
              <w:keepNext/>
              <w:keepLines/>
              <w:jc w:val="center"/>
              <w:rPr>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0D83" w:rsidRPr="00DE4D50" w:rsidRDefault="00DE4D50" w:rsidP="00CC6907">
            <w:pPr>
              <w:pStyle w:val="Tabletext"/>
              <w:keepNext/>
              <w:keepLines/>
              <w:jc w:val="center"/>
              <w:rPr>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0D83" w:rsidRPr="00DE4D50" w:rsidRDefault="00DE4D50" w:rsidP="00CC6907">
            <w:pPr>
              <w:pStyle w:val="Tabletext"/>
              <w:keepNext/>
              <w:keepLines/>
              <w:jc w:val="center"/>
              <w:rPr>
                <w:highlight w:val="black"/>
              </w:rPr>
            </w:pPr>
            <w:r>
              <w:rPr>
                <w:rFonts w:cs="Arial"/>
                <w:noProof/>
                <w:color w:val="000000"/>
                <w:szCs w:val="20"/>
                <w:highlight w:val="black"/>
              </w:rPr>
              <w:t>''''''''''''''</w:t>
            </w:r>
          </w:p>
        </w:tc>
      </w:tr>
      <w:tr w:rsidR="00AA0D83" w:rsidRPr="00A579DF" w:rsidTr="00976B77">
        <w:tc>
          <w:tcPr>
            <w:tcW w:w="2263" w:type="dxa"/>
            <w:shd w:val="clear" w:color="auto" w:fill="auto"/>
            <w:vAlign w:val="center"/>
          </w:tcPr>
          <w:p w:rsidR="00AA0D83" w:rsidRPr="00EE048C" w:rsidRDefault="00AA0D83" w:rsidP="00CC6907">
            <w:pPr>
              <w:pStyle w:val="Tabletext"/>
              <w:keepNext/>
              <w:keepLines/>
            </w:pPr>
            <w:r>
              <w:t>Total romosozumab scripts (10.8 scripts/year)</w:t>
            </w:r>
          </w:p>
        </w:tc>
        <w:tc>
          <w:tcPr>
            <w:tcW w:w="1134" w:type="dxa"/>
            <w:tcBorders>
              <w:top w:val="single" w:sz="4" w:space="0" w:color="auto"/>
              <w:left w:val="nil"/>
              <w:bottom w:val="single" w:sz="4" w:space="0" w:color="auto"/>
              <w:right w:val="single" w:sz="4" w:space="0" w:color="auto"/>
            </w:tcBorders>
            <w:shd w:val="clear" w:color="auto" w:fill="auto"/>
            <w:vAlign w:val="center"/>
          </w:tcPr>
          <w:p w:rsidR="00AA0D83" w:rsidRPr="00DE4D50" w:rsidRDefault="00DE4D50" w:rsidP="00CC6907">
            <w:pPr>
              <w:pStyle w:val="Tabletext"/>
              <w:keepNext/>
              <w:keepLines/>
              <w:jc w:val="center"/>
              <w:rPr>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0D83" w:rsidRPr="00DE4D50" w:rsidRDefault="00DE4D50" w:rsidP="00CC6907">
            <w:pPr>
              <w:pStyle w:val="Tabletext"/>
              <w:keepNext/>
              <w:keepLines/>
              <w:jc w:val="center"/>
              <w:rPr>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0D83" w:rsidRPr="00DE4D50" w:rsidRDefault="00DE4D50" w:rsidP="00CC6907">
            <w:pPr>
              <w:pStyle w:val="Tabletext"/>
              <w:keepNext/>
              <w:keepLines/>
              <w:jc w:val="center"/>
              <w:rPr>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0D83" w:rsidRPr="00DE4D50" w:rsidRDefault="00DE4D50" w:rsidP="00CC6907">
            <w:pPr>
              <w:pStyle w:val="Tabletext"/>
              <w:keepNext/>
              <w:keepLines/>
              <w:jc w:val="center"/>
              <w:rPr>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0D83" w:rsidRPr="00DE4D50" w:rsidRDefault="00DE4D50" w:rsidP="00CC6907">
            <w:pPr>
              <w:pStyle w:val="Tabletext"/>
              <w:keepNext/>
              <w:keepLines/>
              <w:jc w:val="center"/>
              <w:rPr>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0D83" w:rsidRPr="00DE4D50" w:rsidRDefault="00DE4D50" w:rsidP="00CC6907">
            <w:pPr>
              <w:pStyle w:val="Tabletext"/>
              <w:keepNext/>
              <w:keepLines/>
              <w:jc w:val="center"/>
              <w:rPr>
                <w:highlight w:val="black"/>
              </w:rPr>
            </w:pPr>
            <w:r>
              <w:rPr>
                <w:rFonts w:cs="Arial"/>
                <w:noProof/>
                <w:color w:val="000000"/>
                <w:szCs w:val="20"/>
                <w:highlight w:val="black"/>
              </w:rPr>
              <w:t>''''''''''''''''</w:t>
            </w:r>
          </w:p>
        </w:tc>
      </w:tr>
      <w:tr w:rsidR="00AA0D83" w:rsidRPr="00A579DF" w:rsidTr="00976B77">
        <w:tc>
          <w:tcPr>
            <w:tcW w:w="2263" w:type="dxa"/>
            <w:shd w:val="clear" w:color="auto" w:fill="auto"/>
            <w:vAlign w:val="center"/>
          </w:tcPr>
          <w:p w:rsidR="00AA0D83" w:rsidRDefault="00AA0D83" w:rsidP="00CC6907">
            <w:pPr>
              <w:pStyle w:val="Tabletext"/>
              <w:keepNext/>
              <w:keepLines/>
            </w:pPr>
            <w:r>
              <w:t>Cost to PBS (DPMQ)</w:t>
            </w:r>
          </w:p>
        </w:tc>
        <w:tc>
          <w:tcPr>
            <w:tcW w:w="1134" w:type="dxa"/>
            <w:tcBorders>
              <w:top w:val="single" w:sz="4" w:space="0" w:color="auto"/>
              <w:left w:val="nil"/>
              <w:bottom w:val="single" w:sz="4" w:space="0" w:color="auto"/>
              <w:right w:val="single" w:sz="4" w:space="0" w:color="auto"/>
            </w:tcBorders>
            <w:shd w:val="clear" w:color="auto" w:fill="auto"/>
            <w:vAlign w:val="center"/>
          </w:tcPr>
          <w:p w:rsidR="00AA0D83" w:rsidRPr="00D179B2" w:rsidRDefault="00AA0D83" w:rsidP="00CC6907">
            <w:pPr>
              <w:pStyle w:val="Tabletext"/>
              <w:keepNext/>
              <w:keepLines/>
              <w:jc w:val="center"/>
              <w:rPr>
                <w:rFonts w:cs="Arial"/>
                <w:szCs w:val="20"/>
              </w:rPr>
            </w:pPr>
            <w:r w:rsidRPr="00D179B2">
              <w:rPr>
                <w:rFonts w:cs="Arial"/>
                <w:szCs w:val="20"/>
              </w:rPr>
              <w:t>$</w:t>
            </w:r>
            <w:r w:rsidR="00DE4D50">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0D83" w:rsidRPr="00D179B2" w:rsidRDefault="00AA0D83" w:rsidP="00CC6907">
            <w:pPr>
              <w:pStyle w:val="Tabletext"/>
              <w:keepNext/>
              <w:keepLines/>
              <w:jc w:val="center"/>
              <w:rPr>
                <w:rFonts w:cs="Arial"/>
                <w:szCs w:val="20"/>
              </w:rPr>
            </w:pPr>
            <w:r w:rsidRPr="00D179B2">
              <w:rPr>
                <w:rFonts w:cs="Arial"/>
                <w:szCs w:val="20"/>
              </w:rPr>
              <w:t>$</w:t>
            </w:r>
            <w:r w:rsidR="00DE4D50">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0D83" w:rsidRPr="00D179B2" w:rsidRDefault="00AA0D83" w:rsidP="00CC6907">
            <w:pPr>
              <w:pStyle w:val="Tabletext"/>
              <w:keepNext/>
              <w:keepLines/>
              <w:jc w:val="center"/>
              <w:rPr>
                <w:rFonts w:cs="Arial"/>
                <w:szCs w:val="20"/>
              </w:rPr>
            </w:pPr>
            <w:r w:rsidRPr="00D179B2">
              <w:rPr>
                <w:rFonts w:cs="Arial"/>
                <w:szCs w:val="20"/>
              </w:rPr>
              <w:t>$</w:t>
            </w:r>
            <w:r w:rsidR="00DE4D50">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0D83" w:rsidRPr="00D179B2" w:rsidRDefault="00AA0D83" w:rsidP="00CC6907">
            <w:pPr>
              <w:pStyle w:val="Tabletext"/>
              <w:keepNext/>
              <w:keepLines/>
              <w:jc w:val="center"/>
              <w:rPr>
                <w:rFonts w:cs="Arial"/>
                <w:szCs w:val="20"/>
              </w:rPr>
            </w:pPr>
            <w:r w:rsidRPr="00D179B2">
              <w:rPr>
                <w:rFonts w:cs="Arial"/>
                <w:szCs w:val="20"/>
              </w:rPr>
              <w:t>$</w:t>
            </w:r>
            <w:r w:rsidR="00DE4D50">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0D83" w:rsidRPr="00D179B2" w:rsidRDefault="00AA0D83" w:rsidP="00CC6907">
            <w:pPr>
              <w:pStyle w:val="Tabletext"/>
              <w:keepNext/>
              <w:keepLines/>
              <w:jc w:val="center"/>
              <w:rPr>
                <w:rFonts w:cs="Arial"/>
                <w:szCs w:val="20"/>
              </w:rPr>
            </w:pPr>
            <w:r w:rsidRPr="00D179B2">
              <w:rPr>
                <w:rFonts w:cs="Arial"/>
                <w:szCs w:val="20"/>
              </w:rPr>
              <w:t>$</w:t>
            </w:r>
            <w:r w:rsidR="00DE4D50">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0D83" w:rsidRPr="00D179B2" w:rsidRDefault="00AA0D83" w:rsidP="00CC6907">
            <w:pPr>
              <w:pStyle w:val="Tabletext"/>
              <w:keepNext/>
              <w:keepLines/>
              <w:jc w:val="center"/>
              <w:rPr>
                <w:rFonts w:cs="Arial"/>
                <w:szCs w:val="20"/>
              </w:rPr>
            </w:pPr>
            <w:r w:rsidRPr="00D179B2">
              <w:rPr>
                <w:rFonts w:cs="Arial"/>
                <w:szCs w:val="20"/>
              </w:rPr>
              <w:t>$</w:t>
            </w:r>
            <w:r w:rsidR="00DE4D50">
              <w:rPr>
                <w:rFonts w:cs="Arial"/>
                <w:noProof/>
                <w:color w:val="000000"/>
                <w:szCs w:val="20"/>
                <w:highlight w:val="black"/>
              </w:rPr>
              <w:t>''''''''''''''''''''''''''''</w:t>
            </w:r>
          </w:p>
        </w:tc>
      </w:tr>
      <w:tr w:rsidR="00AA0D83" w:rsidRPr="00A579DF" w:rsidTr="00976B77">
        <w:tc>
          <w:tcPr>
            <w:tcW w:w="2263" w:type="dxa"/>
            <w:tcBorders>
              <w:bottom w:val="single" w:sz="4" w:space="0" w:color="auto"/>
            </w:tcBorders>
            <w:shd w:val="clear" w:color="auto" w:fill="auto"/>
            <w:vAlign w:val="center"/>
          </w:tcPr>
          <w:p w:rsidR="00AA0D83" w:rsidRDefault="00AA0D83" w:rsidP="00CC6907">
            <w:pPr>
              <w:pStyle w:val="Tabletext"/>
              <w:keepNext/>
              <w:keepLines/>
            </w:pPr>
            <w:r>
              <w:t>Patient copayment</w:t>
            </w:r>
          </w:p>
        </w:tc>
        <w:tc>
          <w:tcPr>
            <w:tcW w:w="1134" w:type="dxa"/>
            <w:tcBorders>
              <w:top w:val="single" w:sz="4" w:space="0" w:color="auto"/>
              <w:left w:val="nil"/>
              <w:bottom w:val="single" w:sz="4" w:space="0" w:color="auto"/>
              <w:right w:val="single" w:sz="4" w:space="0" w:color="auto"/>
            </w:tcBorders>
            <w:shd w:val="clear" w:color="auto" w:fill="auto"/>
            <w:vAlign w:val="center"/>
          </w:tcPr>
          <w:p w:rsidR="00AA0D83" w:rsidRPr="00006256" w:rsidRDefault="00AA0D83" w:rsidP="00CC6907">
            <w:pPr>
              <w:pStyle w:val="Tabletext"/>
              <w:keepNext/>
              <w:keepLines/>
              <w:jc w:val="center"/>
              <w:rPr>
                <w:rFonts w:cs="Arial"/>
                <w:szCs w:val="20"/>
              </w:rPr>
            </w:pPr>
            <w:r w:rsidRPr="00006256">
              <w:rPr>
                <w:rFonts w:cs="Arial"/>
                <w:szCs w:val="20"/>
              </w:rPr>
              <w:t>$</w:t>
            </w:r>
            <w:r w:rsidR="00DE4D50">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0D83" w:rsidRPr="00006256" w:rsidRDefault="00AA0D83" w:rsidP="00CC6907">
            <w:pPr>
              <w:pStyle w:val="Tabletext"/>
              <w:keepNext/>
              <w:keepLines/>
              <w:jc w:val="center"/>
              <w:rPr>
                <w:rFonts w:cs="Arial"/>
                <w:szCs w:val="20"/>
              </w:rPr>
            </w:pPr>
            <w:r w:rsidRPr="00006256">
              <w:rPr>
                <w:rFonts w:cs="Arial"/>
                <w:szCs w:val="20"/>
              </w:rPr>
              <w:t>$</w:t>
            </w:r>
            <w:r w:rsidR="00DE4D50">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0D83" w:rsidRPr="00006256" w:rsidRDefault="00AA0D83" w:rsidP="00CC6907">
            <w:pPr>
              <w:pStyle w:val="Tabletext"/>
              <w:keepNext/>
              <w:keepLines/>
              <w:jc w:val="center"/>
              <w:rPr>
                <w:rFonts w:cs="Arial"/>
                <w:szCs w:val="20"/>
              </w:rPr>
            </w:pPr>
            <w:r w:rsidRPr="00006256">
              <w:rPr>
                <w:rFonts w:cs="Arial"/>
                <w:szCs w:val="20"/>
              </w:rPr>
              <w:t>$</w:t>
            </w:r>
            <w:r w:rsidR="00DE4D50">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0D83" w:rsidRPr="00006256" w:rsidRDefault="00AA0D83" w:rsidP="00CC6907">
            <w:pPr>
              <w:pStyle w:val="Tabletext"/>
              <w:keepNext/>
              <w:keepLines/>
              <w:jc w:val="center"/>
              <w:rPr>
                <w:rFonts w:cs="Arial"/>
                <w:szCs w:val="20"/>
              </w:rPr>
            </w:pPr>
            <w:r w:rsidRPr="00006256">
              <w:rPr>
                <w:rFonts w:cs="Arial"/>
                <w:szCs w:val="20"/>
              </w:rPr>
              <w:t>$</w:t>
            </w:r>
            <w:r w:rsidR="00DE4D50">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0D83" w:rsidRPr="00006256" w:rsidRDefault="00AA0D83" w:rsidP="00CC6907">
            <w:pPr>
              <w:pStyle w:val="Tabletext"/>
              <w:keepNext/>
              <w:keepLines/>
              <w:jc w:val="center"/>
              <w:rPr>
                <w:rFonts w:cs="Arial"/>
                <w:szCs w:val="20"/>
              </w:rPr>
            </w:pPr>
            <w:r w:rsidRPr="00006256">
              <w:rPr>
                <w:rFonts w:cs="Arial"/>
                <w:szCs w:val="20"/>
              </w:rPr>
              <w:t>$</w:t>
            </w:r>
            <w:r w:rsidR="00DE4D50">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0D83" w:rsidRPr="00006256" w:rsidRDefault="00AA0D83" w:rsidP="00CC6907">
            <w:pPr>
              <w:pStyle w:val="Tabletext"/>
              <w:keepNext/>
              <w:keepLines/>
              <w:jc w:val="center"/>
              <w:rPr>
                <w:rFonts w:cs="Arial"/>
                <w:szCs w:val="20"/>
              </w:rPr>
            </w:pPr>
            <w:r w:rsidRPr="00006256">
              <w:rPr>
                <w:rFonts w:cs="Arial"/>
                <w:szCs w:val="20"/>
              </w:rPr>
              <w:t>$</w:t>
            </w:r>
            <w:r w:rsidR="00DE4D50">
              <w:rPr>
                <w:rFonts w:cs="Arial"/>
                <w:noProof/>
                <w:color w:val="000000"/>
                <w:szCs w:val="20"/>
                <w:highlight w:val="black"/>
              </w:rPr>
              <w:t>''''''''''''''''''''</w:t>
            </w:r>
          </w:p>
        </w:tc>
      </w:tr>
      <w:tr w:rsidR="00AA0D83" w:rsidRPr="00AE496F" w:rsidTr="00271585">
        <w:tc>
          <w:tcPr>
            <w:tcW w:w="2263" w:type="dxa"/>
            <w:tcBorders>
              <w:bottom w:val="single" w:sz="4" w:space="0" w:color="auto"/>
            </w:tcBorders>
            <w:shd w:val="clear" w:color="auto" w:fill="auto"/>
            <w:vAlign w:val="center"/>
          </w:tcPr>
          <w:p w:rsidR="00AA0D83" w:rsidRPr="00AE496F" w:rsidRDefault="00271585" w:rsidP="00CC6907">
            <w:pPr>
              <w:pStyle w:val="Tabletext"/>
              <w:keepNext/>
              <w:keepLines/>
              <w:rPr>
                <w:b/>
              </w:rPr>
            </w:pPr>
            <w:r>
              <w:rPr>
                <w:b/>
              </w:rPr>
              <w:t xml:space="preserve">Total </w:t>
            </w:r>
            <w:r w:rsidR="00AA0D83" w:rsidRPr="00AE496F">
              <w:rPr>
                <w:b/>
              </w:rPr>
              <w:t xml:space="preserve">cost to PBS </w:t>
            </w:r>
            <w:r>
              <w:rPr>
                <w:b/>
              </w:rPr>
              <w:br/>
            </w:r>
            <w:r w:rsidR="00AA0D83" w:rsidRPr="00AE496F">
              <w:rPr>
                <w:b/>
              </w:rPr>
              <w:t>(less copay</w:t>
            </w:r>
            <w:r>
              <w:rPr>
                <w:b/>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AA0D83" w:rsidRPr="00AE496F" w:rsidRDefault="00AA0D83" w:rsidP="00CC6907">
            <w:pPr>
              <w:pStyle w:val="Tabletext"/>
              <w:keepNext/>
              <w:keepLines/>
              <w:jc w:val="center"/>
              <w:rPr>
                <w:b/>
              </w:rPr>
            </w:pPr>
            <w:r w:rsidRPr="00AE496F">
              <w:rPr>
                <w:rFonts w:cs="Arial"/>
                <w:b/>
                <w:szCs w:val="20"/>
              </w:rPr>
              <w:t>$</w:t>
            </w:r>
            <w:r w:rsidR="00DE4D50">
              <w:rPr>
                <w:rFonts w:cs="Arial"/>
                <w:b/>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0D83" w:rsidRPr="00AE496F" w:rsidRDefault="00AA0D83" w:rsidP="00CC6907">
            <w:pPr>
              <w:pStyle w:val="Tabletext"/>
              <w:keepNext/>
              <w:keepLines/>
              <w:jc w:val="center"/>
              <w:rPr>
                <w:b/>
              </w:rPr>
            </w:pPr>
            <w:r w:rsidRPr="00AE496F">
              <w:rPr>
                <w:rFonts w:cs="Arial"/>
                <w:b/>
                <w:szCs w:val="20"/>
              </w:rPr>
              <w:t>$</w:t>
            </w:r>
            <w:r w:rsidR="00DE4D50">
              <w:rPr>
                <w:rFonts w:cs="Arial"/>
                <w:b/>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0D83" w:rsidRPr="00AE496F" w:rsidRDefault="00AA0D83" w:rsidP="00CC6907">
            <w:pPr>
              <w:pStyle w:val="Tabletext"/>
              <w:keepNext/>
              <w:keepLines/>
              <w:jc w:val="center"/>
              <w:rPr>
                <w:b/>
              </w:rPr>
            </w:pPr>
            <w:r w:rsidRPr="00AE496F">
              <w:rPr>
                <w:rFonts w:cs="Arial"/>
                <w:b/>
                <w:szCs w:val="20"/>
              </w:rPr>
              <w:t>$</w:t>
            </w:r>
            <w:r w:rsidR="00DE4D50">
              <w:rPr>
                <w:rFonts w:cs="Arial"/>
                <w:b/>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0D83" w:rsidRPr="00AE496F" w:rsidRDefault="00AA0D83" w:rsidP="00CC6907">
            <w:pPr>
              <w:pStyle w:val="Tabletext"/>
              <w:keepNext/>
              <w:keepLines/>
              <w:jc w:val="center"/>
              <w:rPr>
                <w:b/>
              </w:rPr>
            </w:pPr>
            <w:r w:rsidRPr="00AE496F">
              <w:rPr>
                <w:rFonts w:cs="Arial"/>
                <w:b/>
                <w:szCs w:val="20"/>
              </w:rPr>
              <w:t>$</w:t>
            </w:r>
            <w:r w:rsidR="00DE4D50">
              <w:rPr>
                <w:rFonts w:cs="Arial"/>
                <w:b/>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0D83" w:rsidRPr="00AE496F" w:rsidRDefault="00AA0D83" w:rsidP="00CC6907">
            <w:pPr>
              <w:pStyle w:val="Tabletext"/>
              <w:keepNext/>
              <w:keepLines/>
              <w:jc w:val="center"/>
              <w:rPr>
                <w:b/>
              </w:rPr>
            </w:pPr>
            <w:r w:rsidRPr="00AE496F">
              <w:rPr>
                <w:rFonts w:cs="Arial"/>
                <w:b/>
                <w:szCs w:val="20"/>
              </w:rPr>
              <w:t>$</w:t>
            </w:r>
            <w:r w:rsidR="00DE4D50">
              <w:rPr>
                <w:rFonts w:cs="Arial"/>
                <w:b/>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0D83" w:rsidRPr="00AE496F" w:rsidRDefault="00AA0D83" w:rsidP="00CC6907">
            <w:pPr>
              <w:pStyle w:val="Tabletext"/>
              <w:keepNext/>
              <w:keepLines/>
              <w:jc w:val="center"/>
              <w:rPr>
                <w:b/>
              </w:rPr>
            </w:pPr>
            <w:r w:rsidRPr="00AE496F">
              <w:rPr>
                <w:rFonts w:cs="Arial"/>
                <w:b/>
                <w:szCs w:val="20"/>
              </w:rPr>
              <w:t>$</w:t>
            </w:r>
            <w:r w:rsidR="00DE4D50">
              <w:rPr>
                <w:rFonts w:cs="Arial"/>
                <w:b/>
                <w:noProof/>
                <w:color w:val="000000"/>
                <w:szCs w:val="20"/>
                <w:highlight w:val="black"/>
              </w:rPr>
              <w:t>'''''''''''''''''''</w:t>
            </w:r>
          </w:p>
        </w:tc>
      </w:tr>
      <w:tr w:rsidR="00271585" w:rsidRPr="00AE496F" w:rsidTr="00271585">
        <w:tc>
          <w:tcPr>
            <w:tcW w:w="2263" w:type="dxa"/>
            <w:tcBorders>
              <w:bottom w:val="single" w:sz="4" w:space="0" w:color="auto"/>
            </w:tcBorders>
            <w:shd w:val="clear" w:color="auto" w:fill="auto"/>
            <w:vAlign w:val="center"/>
          </w:tcPr>
          <w:p w:rsidR="00271585" w:rsidRPr="00271585" w:rsidRDefault="00271585" w:rsidP="00CC6907">
            <w:pPr>
              <w:pStyle w:val="Tabletext"/>
              <w:keepNext/>
              <w:keepLines/>
            </w:pPr>
            <w:r w:rsidRPr="00271585">
              <w:t xml:space="preserve">Cost of teriparatide </w:t>
            </w:r>
            <w:r w:rsidRPr="00271585">
              <w:br/>
              <w:t>(DPMQ less copay)</w:t>
            </w:r>
          </w:p>
        </w:tc>
        <w:tc>
          <w:tcPr>
            <w:tcW w:w="1134" w:type="dxa"/>
            <w:tcBorders>
              <w:top w:val="single" w:sz="4" w:space="0" w:color="auto"/>
              <w:left w:val="nil"/>
              <w:bottom w:val="single" w:sz="4" w:space="0" w:color="auto"/>
              <w:right w:val="single" w:sz="4" w:space="0" w:color="auto"/>
            </w:tcBorders>
            <w:shd w:val="clear" w:color="auto" w:fill="auto"/>
            <w:vAlign w:val="center"/>
          </w:tcPr>
          <w:p w:rsidR="00271585" w:rsidRPr="00A92E45" w:rsidRDefault="00271585" w:rsidP="00CC6907">
            <w:pPr>
              <w:pStyle w:val="Tabletext"/>
              <w:keepNext/>
              <w:keepLines/>
              <w:jc w:val="center"/>
              <w:rPr>
                <w:rFonts w:cs="Arial"/>
                <w:szCs w:val="20"/>
              </w:rPr>
            </w:pPr>
            <w:r w:rsidRPr="00A92E45">
              <w:rPr>
                <w:rFonts w:cs="Arial"/>
                <w:szCs w:val="20"/>
              </w:rPr>
              <w:t>-$693,097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71585" w:rsidRPr="00A92E45" w:rsidRDefault="00271585" w:rsidP="00CC6907">
            <w:pPr>
              <w:pStyle w:val="Tabletext"/>
              <w:keepNext/>
              <w:keepLines/>
              <w:jc w:val="center"/>
              <w:rPr>
                <w:rFonts w:cs="Arial"/>
                <w:szCs w:val="20"/>
              </w:rPr>
            </w:pPr>
            <w:r w:rsidRPr="00A92E45">
              <w:rPr>
                <w:rFonts w:cs="Arial"/>
                <w:szCs w:val="20"/>
              </w:rPr>
              <w:t>-$1,433,325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71585" w:rsidRPr="00A92E45" w:rsidRDefault="00271585" w:rsidP="00CC6907">
            <w:pPr>
              <w:pStyle w:val="Tabletext"/>
              <w:keepNext/>
              <w:keepLines/>
              <w:jc w:val="center"/>
              <w:rPr>
                <w:rFonts w:cs="Arial"/>
                <w:szCs w:val="20"/>
              </w:rPr>
            </w:pPr>
            <w:r w:rsidRPr="00A92E45">
              <w:rPr>
                <w:rFonts w:cs="Arial"/>
                <w:szCs w:val="20"/>
              </w:rPr>
              <w:t>-$1,852,573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71585" w:rsidRPr="00A92E45" w:rsidRDefault="00271585" w:rsidP="00CC6907">
            <w:pPr>
              <w:pStyle w:val="Tabletext"/>
              <w:keepNext/>
              <w:keepLines/>
              <w:jc w:val="center"/>
              <w:rPr>
                <w:rFonts w:cs="Arial"/>
                <w:szCs w:val="20"/>
              </w:rPr>
            </w:pPr>
            <w:r w:rsidRPr="00A92E45">
              <w:rPr>
                <w:rFonts w:cs="Arial"/>
                <w:szCs w:val="20"/>
              </w:rPr>
              <w:t>-$2,298,673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71585" w:rsidRPr="00A92E45" w:rsidRDefault="00271585" w:rsidP="00CC6907">
            <w:pPr>
              <w:pStyle w:val="Tabletext"/>
              <w:keepNext/>
              <w:keepLines/>
              <w:jc w:val="center"/>
              <w:rPr>
                <w:rFonts w:cs="Arial"/>
                <w:szCs w:val="20"/>
              </w:rPr>
            </w:pPr>
            <w:r w:rsidRPr="00A92E45">
              <w:rPr>
                <w:rFonts w:cs="Arial"/>
                <w:szCs w:val="20"/>
              </w:rPr>
              <w:t>-$2,376,828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71585" w:rsidRPr="00A92E45" w:rsidRDefault="00271585" w:rsidP="00CC6907">
            <w:pPr>
              <w:pStyle w:val="Tabletext"/>
              <w:keepNext/>
              <w:keepLines/>
              <w:jc w:val="center"/>
              <w:rPr>
                <w:rFonts w:cs="Arial"/>
                <w:szCs w:val="20"/>
              </w:rPr>
            </w:pPr>
            <w:r w:rsidRPr="00A92E45">
              <w:rPr>
                <w:rFonts w:cs="Arial"/>
                <w:szCs w:val="20"/>
              </w:rPr>
              <w:t>-$2,457,640</w:t>
            </w:r>
          </w:p>
        </w:tc>
      </w:tr>
      <w:tr w:rsidR="00271585" w:rsidRPr="00620268" w:rsidTr="00271585">
        <w:tc>
          <w:tcPr>
            <w:tcW w:w="2263" w:type="dxa"/>
            <w:tcBorders>
              <w:bottom w:val="single" w:sz="4" w:space="0" w:color="auto"/>
            </w:tcBorders>
            <w:shd w:val="clear" w:color="auto" w:fill="auto"/>
            <w:vAlign w:val="center"/>
          </w:tcPr>
          <w:p w:rsidR="00271585" w:rsidRPr="00620268" w:rsidRDefault="00271585" w:rsidP="00CC6907">
            <w:pPr>
              <w:pStyle w:val="Tabletext"/>
              <w:keepNext/>
              <w:keepLines/>
            </w:pPr>
            <w:r w:rsidRPr="00620268">
              <w:t>Cost of anti-resorptives (DPMQ less copay)</w:t>
            </w:r>
          </w:p>
        </w:tc>
        <w:tc>
          <w:tcPr>
            <w:tcW w:w="1134" w:type="dxa"/>
            <w:tcBorders>
              <w:top w:val="single" w:sz="4" w:space="0" w:color="auto"/>
              <w:left w:val="nil"/>
              <w:bottom w:val="single" w:sz="4" w:space="0" w:color="auto"/>
              <w:right w:val="single" w:sz="4" w:space="0" w:color="auto"/>
            </w:tcBorders>
            <w:shd w:val="clear" w:color="auto" w:fill="auto"/>
            <w:vAlign w:val="center"/>
          </w:tcPr>
          <w:p w:rsidR="00271585" w:rsidRPr="00A92E45" w:rsidRDefault="00271585" w:rsidP="00CC6907">
            <w:pPr>
              <w:pStyle w:val="Tabletext"/>
              <w:keepNext/>
              <w:keepLines/>
              <w:jc w:val="center"/>
              <w:rPr>
                <w:rFonts w:cs="Arial"/>
                <w:szCs w:val="20"/>
              </w:rPr>
            </w:pPr>
            <w:r w:rsidRPr="00A92E45">
              <w:rPr>
                <w:rFonts w:cs="Arial"/>
                <w:szCs w:val="20"/>
              </w:rPr>
              <w:t>-$365,296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71585" w:rsidRPr="00A92E45" w:rsidRDefault="00271585" w:rsidP="00CC6907">
            <w:pPr>
              <w:pStyle w:val="Tabletext"/>
              <w:keepNext/>
              <w:keepLines/>
              <w:jc w:val="center"/>
              <w:rPr>
                <w:rFonts w:cs="Arial"/>
                <w:szCs w:val="20"/>
              </w:rPr>
            </w:pPr>
            <w:r w:rsidRPr="00A92E45">
              <w:rPr>
                <w:rFonts w:cs="Arial"/>
                <w:szCs w:val="20"/>
              </w:rPr>
              <w:t>-$566,573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71585" w:rsidRPr="00A92E45" w:rsidRDefault="00271585" w:rsidP="00CC6907">
            <w:pPr>
              <w:pStyle w:val="Tabletext"/>
              <w:keepNext/>
              <w:keepLines/>
              <w:jc w:val="center"/>
              <w:rPr>
                <w:rFonts w:cs="Arial"/>
                <w:szCs w:val="20"/>
              </w:rPr>
            </w:pPr>
            <w:r w:rsidRPr="00A92E45">
              <w:rPr>
                <w:rFonts w:cs="Arial"/>
                <w:szCs w:val="20"/>
              </w:rPr>
              <w:t>-$781,116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71585" w:rsidRPr="00A92E45" w:rsidRDefault="00271585" w:rsidP="00CC6907">
            <w:pPr>
              <w:pStyle w:val="Tabletext"/>
              <w:keepNext/>
              <w:keepLines/>
              <w:jc w:val="center"/>
              <w:rPr>
                <w:rFonts w:cs="Arial"/>
                <w:szCs w:val="20"/>
              </w:rPr>
            </w:pPr>
            <w:r w:rsidRPr="00A92E45">
              <w:rPr>
                <w:rFonts w:cs="Arial"/>
                <w:szCs w:val="20"/>
              </w:rPr>
              <w:t>-$807,674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71585" w:rsidRPr="00A92E45" w:rsidRDefault="00271585" w:rsidP="00CC6907">
            <w:pPr>
              <w:pStyle w:val="Tabletext"/>
              <w:keepNext/>
              <w:keepLines/>
              <w:jc w:val="center"/>
              <w:rPr>
                <w:rFonts w:cs="Arial"/>
                <w:szCs w:val="20"/>
              </w:rPr>
            </w:pPr>
            <w:r w:rsidRPr="00A92E45">
              <w:rPr>
                <w:rFonts w:cs="Arial"/>
                <w:szCs w:val="20"/>
              </w:rPr>
              <w:t>-$835,135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71585" w:rsidRPr="00A92E45" w:rsidRDefault="00271585" w:rsidP="00CC6907">
            <w:pPr>
              <w:pStyle w:val="Tabletext"/>
              <w:keepNext/>
              <w:keepLines/>
              <w:jc w:val="center"/>
              <w:rPr>
                <w:rFonts w:cs="Arial"/>
                <w:szCs w:val="20"/>
              </w:rPr>
            </w:pPr>
            <w:r w:rsidRPr="00A92E45">
              <w:rPr>
                <w:rFonts w:cs="Arial"/>
                <w:szCs w:val="20"/>
              </w:rPr>
              <w:t>-$863,529</w:t>
            </w:r>
          </w:p>
        </w:tc>
      </w:tr>
      <w:tr w:rsidR="00271585" w:rsidRPr="00620268" w:rsidTr="00271585">
        <w:tc>
          <w:tcPr>
            <w:tcW w:w="2263" w:type="dxa"/>
            <w:tcBorders>
              <w:bottom w:val="single" w:sz="4" w:space="0" w:color="auto"/>
            </w:tcBorders>
            <w:shd w:val="clear" w:color="auto" w:fill="auto"/>
            <w:vAlign w:val="center"/>
          </w:tcPr>
          <w:p w:rsidR="00271585" w:rsidRPr="00620268" w:rsidRDefault="00271585" w:rsidP="00CC6907">
            <w:pPr>
              <w:pStyle w:val="Tabletext"/>
              <w:keepNext/>
              <w:keepLines/>
              <w:rPr>
                <w:b/>
              </w:rPr>
            </w:pPr>
            <w:r w:rsidRPr="00620268">
              <w:rPr>
                <w:b/>
              </w:rPr>
              <w:t>Net cost of romosozumab</w:t>
            </w:r>
          </w:p>
        </w:tc>
        <w:tc>
          <w:tcPr>
            <w:tcW w:w="1134" w:type="dxa"/>
            <w:tcBorders>
              <w:top w:val="single" w:sz="4" w:space="0" w:color="auto"/>
              <w:left w:val="nil"/>
              <w:bottom w:val="single" w:sz="4" w:space="0" w:color="auto"/>
              <w:right w:val="single" w:sz="4" w:space="0" w:color="auto"/>
            </w:tcBorders>
            <w:shd w:val="clear" w:color="auto" w:fill="auto"/>
            <w:vAlign w:val="center"/>
          </w:tcPr>
          <w:p w:rsidR="00271585" w:rsidRPr="00620268" w:rsidRDefault="00271585" w:rsidP="00CC6907">
            <w:pPr>
              <w:pStyle w:val="Tabletext"/>
              <w:keepNext/>
              <w:keepLines/>
              <w:jc w:val="center"/>
              <w:rPr>
                <w:rFonts w:cs="Arial"/>
                <w:b/>
                <w:szCs w:val="20"/>
              </w:rPr>
            </w:pPr>
            <w:r w:rsidRPr="00620268">
              <w:rPr>
                <w:rFonts w:cs="Arial"/>
                <w:b/>
                <w:szCs w:val="20"/>
              </w:rPr>
              <w:t>$</w:t>
            </w:r>
            <w:r w:rsidR="00DE4D50">
              <w:rPr>
                <w:rFonts w:cs="Arial"/>
                <w:b/>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71585" w:rsidRPr="00620268" w:rsidRDefault="00271585" w:rsidP="00CC6907">
            <w:pPr>
              <w:pStyle w:val="Tabletext"/>
              <w:keepNext/>
              <w:keepLines/>
              <w:jc w:val="center"/>
              <w:rPr>
                <w:rFonts w:cs="Arial"/>
                <w:b/>
                <w:szCs w:val="20"/>
              </w:rPr>
            </w:pPr>
            <w:r w:rsidRPr="00620268">
              <w:rPr>
                <w:rFonts w:cs="Arial"/>
                <w:b/>
                <w:szCs w:val="20"/>
              </w:rPr>
              <w:t>$</w:t>
            </w:r>
            <w:r w:rsidR="00DE4D50">
              <w:rPr>
                <w:rFonts w:cs="Arial"/>
                <w:b/>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71585" w:rsidRPr="00620268" w:rsidRDefault="00271585" w:rsidP="00CC6907">
            <w:pPr>
              <w:pStyle w:val="Tabletext"/>
              <w:keepNext/>
              <w:keepLines/>
              <w:jc w:val="center"/>
              <w:rPr>
                <w:rFonts w:cs="Arial"/>
                <w:b/>
                <w:szCs w:val="20"/>
              </w:rPr>
            </w:pPr>
            <w:r w:rsidRPr="00620268">
              <w:rPr>
                <w:rFonts w:cs="Arial"/>
                <w:b/>
                <w:szCs w:val="20"/>
              </w:rPr>
              <w:t>$</w:t>
            </w:r>
            <w:r w:rsidR="00DE4D50">
              <w:rPr>
                <w:rFonts w:cs="Arial"/>
                <w:b/>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71585" w:rsidRPr="00620268" w:rsidRDefault="00271585" w:rsidP="00CC6907">
            <w:pPr>
              <w:pStyle w:val="Tabletext"/>
              <w:keepNext/>
              <w:keepLines/>
              <w:jc w:val="center"/>
              <w:rPr>
                <w:rFonts w:cs="Arial"/>
                <w:b/>
                <w:szCs w:val="20"/>
              </w:rPr>
            </w:pPr>
            <w:r w:rsidRPr="00620268">
              <w:rPr>
                <w:rFonts w:cs="Arial"/>
                <w:b/>
                <w:szCs w:val="20"/>
              </w:rPr>
              <w:t>$</w:t>
            </w:r>
            <w:r w:rsidR="00DE4D50">
              <w:rPr>
                <w:rFonts w:cs="Arial"/>
                <w:b/>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71585" w:rsidRPr="00620268" w:rsidRDefault="00271585" w:rsidP="00CC6907">
            <w:pPr>
              <w:pStyle w:val="Tabletext"/>
              <w:keepNext/>
              <w:keepLines/>
              <w:jc w:val="center"/>
              <w:rPr>
                <w:rFonts w:cs="Arial"/>
                <w:b/>
                <w:szCs w:val="20"/>
              </w:rPr>
            </w:pPr>
            <w:r w:rsidRPr="00620268">
              <w:rPr>
                <w:rFonts w:cs="Arial"/>
                <w:b/>
                <w:szCs w:val="20"/>
              </w:rPr>
              <w:t>$</w:t>
            </w:r>
            <w:r w:rsidR="00DE4D50">
              <w:rPr>
                <w:rFonts w:cs="Arial"/>
                <w:b/>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71585" w:rsidRPr="00620268" w:rsidRDefault="00271585" w:rsidP="00CC6907">
            <w:pPr>
              <w:pStyle w:val="Tabletext"/>
              <w:keepNext/>
              <w:keepLines/>
              <w:jc w:val="center"/>
              <w:rPr>
                <w:rFonts w:cs="Arial"/>
                <w:b/>
                <w:szCs w:val="20"/>
              </w:rPr>
            </w:pPr>
            <w:r w:rsidRPr="00620268">
              <w:rPr>
                <w:rFonts w:cs="Arial"/>
                <w:b/>
                <w:szCs w:val="20"/>
              </w:rPr>
              <w:t>$</w:t>
            </w:r>
            <w:r w:rsidR="00DE4D50">
              <w:rPr>
                <w:rFonts w:cs="Arial"/>
                <w:b/>
                <w:noProof/>
                <w:color w:val="000000"/>
                <w:szCs w:val="20"/>
                <w:highlight w:val="black"/>
              </w:rPr>
              <w:t>''''''''''''''''''''</w:t>
            </w:r>
          </w:p>
        </w:tc>
      </w:tr>
    </w:tbl>
    <w:p w:rsidR="00AA0D83" w:rsidRDefault="00AA0D83" w:rsidP="00CC6907">
      <w:pPr>
        <w:pStyle w:val="TableFooter"/>
        <w:keepNext/>
        <w:keepLines/>
      </w:pPr>
      <w:r>
        <w:t>Source: ‘Financial analysis workbook’ Excel workbook, Appendix 15 of the submission</w:t>
      </w:r>
    </w:p>
    <w:p w:rsidR="00AA0D83" w:rsidRDefault="00AA0D83" w:rsidP="00CC6907">
      <w:pPr>
        <w:pStyle w:val="TableFooter"/>
        <w:keepNext/>
        <w:keepLines/>
      </w:pPr>
      <w:r>
        <w:t>Abbreviations: BMD, bone mineral density</w:t>
      </w:r>
    </w:p>
    <w:p w:rsidR="00AA0D83" w:rsidRDefault="00AA0D83" w:rsidP="00CC6907">
      <w:pPr>
        <w:pStyle w:val="TableFooter"/>
        <w:keepNext/>
        <w:keepLines/>
      </w:pPr>
      <w:r>
        <w:t xml:space="preserve">Note: cost offsets due to substitution of other therapies was estimated using 1 June 2018 PBS prices. There was a slight increase in these prices due to mark-ups </w:t>
      </w:r>
      <w:r w:rsidR="00BD06C8">
        <w:t>on</w:t>
      </w:r>
      <w:r>
        <w:t xml:space="preserve"> 1 July 2018. The estimates used were not adjusted during the evaluation. </w:t>
      </w:r>
    </w:p>
    <w:p w:rsidR="00C25D9C" w:rsidRPr="008B4262" w:rsidRDefault="008B4262" w:rsidP="008B4262">
      <w:pPr>
        <w:pStyle w:val="TableFooter"/>
        <w:spacing w:before="120" w:after="120"/>
        <w:rPr>
          <w:rFonts w:asciiTheme="minorHAnsi" w:hAnsiTheme="minorHAnsi" w:cstheme="minorHAnsi"/>
          <w:sz w:val="24"/>
          <w:szCs w:val="24"/>
        </w:rPr>
      </w:pPr>
      <w:r>
        <w:rPr>
          <w:rFonts w:asciiTheme="minorHAnsi" w:hAnsiTheme="minorHAnsi" w:cstheme="minorHAnsi"/>
          <w:sz w:val="24"/>
          <w:szCs w:val="24"/>
        </w:rPr>
        <w:t xml:space="preserve">The redacted table shows that at Year 6 the estimated number of patients was less than 10,000 per year and the net cost to the PBS would be $10 - $20 million per year. </w:t>
      </w:r>
    </w:p>
    <w:p w:rsidR="003A14C7" w:rsidRPr="008C40CA" w:rsidRDefault="003A14C7" w:rsidP="00995778">
      <w:pPr>
        <w:pStyle w:val="ListParagraph"/>
      </w:pPr>
      <w:r w:rsidRPr="008C40CA">
        <w:t xml:space="preserve">The ESC noted that the estimated budget impact was large in the context of a cost-minimisation. The ESC noted that the net cost of romosozumab was </w:t>
      </w:r>
      <w:r w:rsidR="008F659A" w:rsidRPr="008C40CA">
        <w:t>largely due to</w:t>
      </w:r>
      <w:r w:rsidRPr="008C40CA">
        <w:t xml:space="preserve"> the uptake rates for romosozumab </w:t>
      </w:r>
      <w:r w:rsidR="008F659A" w:rsidRPr="008C40CA">
        <w:t>from</w:t>
      </w:r>
      <w:r w:rsidRPr="008C40CA">
        <w:t xml:space="preserve"> additional market growth</w:t>
      </w:r>
      <w:r w:rsidR="008F659A" w:rsidRPr="008C40CA">
        <w:t xml:space="preserve">. The submission claimed that reduced injection burden, shorter treatment duration and increased marketing activity by the sponsor will increase the number of patients treated with anabolic agents, all of which will be treated with romosozumab. The ESC considered this assumption was poorly justified. </w:t>
      </w:r>
      <w:r w:rsidR="00551FFE">
        <w:t xml:space="preserve">Further, the PBAC considered that it was not clear whether </w:t>
      </w:r>
      <w:r w:rsidR="006A1AFA">
        <w:t>romosozumab would be cost-effective if it is used</w:t>
      </w:r>
      <w:r w:rsidR="00551FFE">
        <w:t xml:space="preserve"> in a </w:t>
      </w:r>
      <w:r w:rsidR="006A1AFA">
        <w:t xml:space="preserve">broader </w:t>
      </w:r>
      <w:r w:rsidR="00551FFE">
        <w:t>population than those patients who currently receive teriparatide</w:t>
      </w:r>
      <w:r w:rsidR="006A1AFA">
        <w:t>.</w:t>
      </w:r>
      <w:r w:rsidR="00551FFE">
        <w:t xml:space="preserve"> </w:t>
      </w:r>
      <w:r w:rsidR="008F659A" w:rsidRPr="008C40CA">
        <w:t xml:space="preserve"> </w:t>
      </w:r>
    </w:p>
    <w:p w:rsidR="001558C9" w:rsidRPr="00A1234E" w:rsidRDefault="001558C9" w:rsidP="00995778">
      <w:pPr>
        <w:pStyle w:val="ListParagraph"/>
      </w:pPr>
      <w:r w:rsidRPr="00A1234E">
        <w:t>The estimated eligible population a</w:t>
      </w:r>
      <w:r w:rsidR="00A1234E" w:rsidRPr="00A1234E">
        <w:t xml:space="preserve">nd budget impact of the </w:t>
      </w:r>
      <w:r w:rsidR="00A05C20">
        <w:t>additional</w:t>
      </w:r>
      <w:r w:rsidR="00AE2DD8">
        <w:t xml:space="preserve"> population </w:t>
      </w:r>
      <w:r w:rsidR="00D01E1D">
        <w:t xml:space="preserve">(first-line) </w:t>
      </w:r>
      <w:r w:rsidR="00AE2DD8">
        <w:t>listing</w:t>
      </w:r>
      <w:r w:rsidRPr="00A1234E">
        <w:t xml:space="preserve"> is summarised in the table below</w:t>
      </w:r>
      <w:r w:rsidR="00F7376D">
        <w:t>.</w:t>
      </w:r>
    </w:p>
    <w:p w:rsidR="00A1234E" w:rsidRPr="00A1234E" w:rsidRDefault="00A1234E" w:rsidP="008B0C43">
      <w:pPr>
        <w:pStyle w:val="TableHeading0"/>
        <w:spacing w:after="0"/>
        <w:rPr>
          <w:rStyle w:val="CommentReference"/>
          <w:b/>
        </w:rPr>
      </w:pPr>
      <w:r>
        <w:rPr>
          <w:rStyle w:val="CommentReference"/>
          <w:b/>
        </w:rPr>
        <w:lastRenderedPageBreak/>
        <w:t>Table 1</w:t>
      </w:r>
      <w:r w:rsidR="00F7376D">
        <w:rPr>
          <w:rStyle w:val="CommentReference"/>
          <w:b/>
        </w:rPr>
        <w:t>4</w:t>
      </w:r>
      <w:r w:rsidRPr="00A1234E">
        <w:rPr>
          <w:rStyle w:val="CommentReference"/>
          <w:b/>
        </w:rPr>
        <w:t>:  Estimated use and total cost of romosozumab to the PBS/RPBS in patients with severe osteoporosis (</w:t>
      </w:r>
      <w:r w:rsidR="00A05C20">
        <w:rPr>
          <w:rStyle w:val="CommentReference"/>
          <w:b/>
        </w:rPr>
        <w:t>additional</w:t>
      </w:r>
      <w:r w:rsidR="00AE2DD8">
        <w:rPr>
          <w:rStyle w:val="CommentReference"/>
          <w:b/>
        </w:rPr>
        <w:t xml:space="preserve"> population</w:t>
      </w:r>
      <w:r w:rsidRPr="00A1234E">
        <w:rPr>
          <w:rStyle w:val="CommentReference"/>
          <w:b/>
        </w:rPr>
        <w:t xml:space="preserve"> listing)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4:  Estimated use and total cost of romosozumab to the PBS/RPBS in patients with severe osteoporosis (additional population listing)"/>
      </w:tblPr>
      <w:tblGrid>
        <w:gridCol w:w="2263"/>
        <w:gridCol w:w="1134"/>
        <w:gridCol w:w="1134"/>
        <w:gridCol w:w="1134"/>
        <w:gridCol w:w="1134"/>
        <w:gridCol w:w="1134"/>
        <w:gridCol w:w="1134"/>
      </w:tblGrid>
      <w:tr w:rsidR="00A1234E" w:rsidRPr="00D424C7" w:rsidTr="00976B77">
        <w:trPr>
          <w:tblHeader/>
        </w:trPr>
        <w:tc>
          <w:tcPr>
            <w:tcW w:w="2263" w:type="dxa"/>
            <w:shd w:val="clear" w:color="auto" w:fill="auto"/>
            <w:vAlign w:val="center"/>
          </w:tcPr>
          <w:p w:rsidR="00A1234E" w:rsidRPr="00D424C7" w:rsidRDefault="00A1234E" w:rsidP="005908ED">
            <w:pPr>
              <w:pStyle w:val="Tabletext"/>
              <w:keepNext/>
              <w:keepLines/>
              <w:rPr>
                <w:b/>
              </w:rPr>
            </w:pPr>
          </w:p>
        </w:tc>
        <w:tc>
          <w:tcPr>
            <w:tcW w:w="1134" w:type="dxa"/>
            <w:shd w:val="clear" w:color="auto" w:fill="auto"/>
            <w:vAlign w:val="center"/>
          </w:tcPr>
          <w:p w:rsidR="00A1234E" w:rsidRPr="00D424C7" w:rsidRDefault="00A1234E" w:rsidP="005908ED">
            <w:pPr>
              <w:pStyle w:val="Tabletext"/>
              <w:keepNext/>
              <w:keepLines/>
              <w:jc w:val="center"/>
              <w:rPr>
                <w:b/>
              </w:rPr>
            </w:pPr>
            <w:r w:rsidRPr="00D424C7">
              <w:rPr>
                <w:b/>
              </w:rPr>
              <w:t>Year 1</w:t>
            </w:r>
          </w:p>
        </w:tc>
        <w:tc>
          <w:tcPr>
            <w:tcW w:w="1134" w:type="dxa"/>
            <w:shd w:val="clear" w:color="auto" w:fill="auto"/>
            <w:vAlign w:val="center"/>
          </w:tcPr>
          <w:p w:rsidR="00A1234E" w:rsidRPr="00D424C7" w:rsidRDefault="00A1234E" w:rsidP="005908ED">
            <w:pPr>
              <w:pStyle w:val="Tabletext"/>
              <w:keepNext/>
              <w:keepLines/>
              <w:jc w:val="center"/>
              <w:rPr>
                <w:b/>
              </w:rPr>
            </w:pPr>
            <w:r w:rsidRPr="00D424C7">
              <w:rPr>
                <w:b/>
              </w:rPr>
              <w:t>Year 2</w:t>
            </w:r>
          </w:p>
        </w:tc>
        <w:tc>
          <w:tcPr>
            <w:tcW w:w="1134" w:type="dxa"/>
            <w:shd w:val="clear" w:color="auto" w:fill="auto"/>
            <w:vAlign w:val="center"/>
          </w:tcPr>
          <w:p w:rsidR="00A1234E" w:rsidRPr="00D424C7" w:rsidRDefault="00A1234E" w:rsidP="005908ED">
            <w:pPr>
              <w:pStyle w:val="Tabletext"/>
              <w:keepNext/>
              <w:keepLines/>
              <w:jc w:val="center"/>
              <w:rPr>
                <w:b/>
              </w:rPr>
            </w:pPr>
            <w:r w:rsidRPr="00D424C7">
              <w:rPr>
                <w:b/>
              </w:rPr>
              <w:t>Year 3</w:t>
            </w:r>
          </w:p>
        </w:tc>
        <w:tc>
          <w:tcPr>
            <w:tcW w:w="1134" w:type="dxa"/>
            <w:shd w:val="clear" w:color="auto" w:fill="auto"/>
            <w:vAlign w:val="center"/>
          </w:tcPr>
          <w:p w:rsidR="00A1234E" w:rsidRPr="00D424C7" w:rsidRDefault="00A1234E" w:rsidP="005908ED">
            <w:pPr>
              <w:pStyle w:val="Tabletext"/>
              <w:keepNext/>
              <w:keepLines/>
              <w:jc w:val="center"/>
              <w:rPr>
                <w:b/>
              </w:rPr>
            </w:pPr>
            <w:r w:rsidRPr="00D424C7">
              <w:rPr>
                <w:b/>
              </w:rPr>
              <w:t>Year 4</w:t>
            </w:r>
          </w:p>
        </w:tc>
        <w:tc>
          <w:tcPr>
            <w:tcW w:w="1134" w:type="dxa"/>
            <w:shd w:val="clear" w:color="auto" w:fill="auto"/>
            <w:vAlign w:val="center"/>
          </w:tcPr>
          <w:p w:rsidR="00A1234E" w:rsidRPr="00D424C7" w:rsidRDefault="00A1234E" w:rsidP="005908ED">
            <w:pPr>
              <w:pStyle w:val="Tabletext"/>
              <w:keepNext/>
              <w:keepLines/>
              <w:jc w:val="center"/>
              <w:rPr>
                <w:b/>
              </w:rPr>
            </w:pPr>
            <w:r w:rsidRPr="00D424C7">
              <w:rPr>
                <w:b/>
              </w:rPr>
              <w:t>Year 5</w:t>
            </w:r>
          </w:p>
        </w:tc>
        <w:tc>
          <w:tcPr>
            <w:tcW w:w="1134" w:type="dxa"/>
            <w:shd w:val="clear" w:color="auto" w:fill="auto"/>
            <w:vAlign w:val="center"/>
          </w:tcPr>
          <w:p w:rsidR="00A1234E" w:rsidRPr="00D424C7" w:rsidRDefault="00A1234E" w:rsidP="005908ED">
            <w:pPr>
              <w:pStyle w:val="Tabletext"/>
              <w:keepNext/>
              <w:keepLines/>
              <w:jc w:val="center"/>
              <w:rPr>
                <w:b/>
              </w:rPr>
            </w:pPr>
            <w:r w:rsidRPr="00D424C7">
              <w:rPr>
                <w:b/>
              </w:rPr>
              <w:t>Year 6</w:t>
            </w:r>
          </w:p>
        </w:tc>
      </w:tr>
      <w:tr w:rsidR="00A1234E" w:rsidRPr="00A579DF" w:rsidTr="0003384C">
        <w:trPr>
          <w:trHeight w:val="264"/>
        </w:trPr>
        <w:tc>
          <w:tcPr>
            <w:tcW w:w="2263" w:type="dxa"/>
            <w:shd w:val="clear" w:color="auto" w:fill="auto"/>
            <w:vAlign w:val="center"/>
          </w:tcPr>
          <w:p w:rsidR="00A1234E" w:rsidRPr="00EE048C" w:rsidRDefault="00A1234E" w:rsidP="005908ED">
            <w:pPr>
              <w:pStyle w:val="Tabletext"/>
              <w:keepNext/>
              <w:keepLines/>
            </w:pPr>
            <w:r>
              <w:t>Number of patients treated for osteoporosis</w:t>
            </w:r>
          </w:p>
        </w:tc>
        <w:tc>
          <w:tcPr>
            <w:tcW w:w="1134" w:type="dxa"/>
            <w:tcBorders>
              <w:top w:val="single" w:sz="4" w:space="0" w:color="auto"/>
              <w:left w:val="nil"/>
              <w:bottom w:val="single" w:sz="4" w:space="0" w:color="auto"/>
              <w:right w:val="single" w:sz="4" w:space="0" w:color="auto"/>
            </w:tcBorders>
            <w:shd w:val="clear" w:color="auto" w:fill="auto"/>
            <w:vAlign w:val="center"/>
          </w:tcPr>
          <w:p w:rsidR="00A1234E" w:rsidRPr="00DD7C69" w:rsidRDefault="00A1234E" w:rsidP="005908ED">
            <w:pPr>
              <w:pStyle w:val="Tabletext"/>
              <w:keepNext/>
              <w:keepLines/>
              <w:jc w:val="center"/>
            </w:pPr>
            <w:r w:rsidRPr="00DD7C69">
              <w:rPr>
                <w:rFonts w:cs="Arial"/>
                <w:szCs w:val="20"/>
              </w:rPr>
              <w:t>538,966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DD7C69" w:rsidRDefault="00A1234E" w:rsidP="005908ED">
            <w:pPr>
              <w:pStyle w:val="Tabletext"/>
              <w:keepNext/>
              <w:keepLines/>
              <w:jc w:val="center"/>
            </w:pPr>
            <w:r w:rsidRPr="00DD7C69">
              <w:rPr>
                <w:rFonts w:cs="Arial"/>
                <w:szCs w:val="20"/>
              </w:rPr>
              <w:t>557,290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DD7C69" w:rsidRDefault="00A1234E" w:rsidP="005908ED">
            <w:pPr>
              <w:pStyle w:val="Tabletext"/>
              <w:keepNext/>
              <w:keepLines/>
              <w:jc w:val="center"/>
            </w:pPr>
            <w:r w:rsidRPr="00DD7C69">
              <w:rPr>
                <w:rFonts w:cs="Arial"/>
                <w:szCs w:val="20"/>
              </w:rPr>
              <w:t>576,238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DD7C69" w:rsidRDefault="00A1234E" w:rsidP="005908ED">
            <w:pPr>
              <w:pStyle w:val="Tabletext"/>
              <w:keepNext/>
              <w:keepLines/>
              <w:jc w:val="center"/>
            </w:pPr>
            <w:r w:rsidRPr="00DD7C69">
              <w:rPr>
                <w:rFonts w:cs="Arial"/>
                <w:szCs w:val="20"/>
              </w:rPr>
              <w:t>595,830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DD7C69" w:rsidRDefault="00A1234E" w:rsidP="005908ED">
            <w:pPr>
              <w:pStyle w:val="Tabletext"/>
              <w:keepNext/>
              <w:keepLines/>
              <w:jc w:val="center"/>
            </w:pPr>
            <w:r w:rsidRPr="00DD7C69">
              <w:rPr>
                <w:rFonts w:cs="Arial"/>
                <w:szCs w:val="20"/>
              </w:rPr>
              <w:t>616,089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DD7C69" w:rsidRDefault="00A1234E" w:rsidP="005908ED">
            <w:pPr>
              <w:pStyle w:val="Tabletext"/>
              <w:keepNext/>
              <w:keepLines/>
              <w:jc w:val="center"/>
            </w:pPr>
            <w:r w:rsidRPr="00DD7C69">
              <w:rPr>
                <w:rFonts w:cs="Arial"/>
                <w:szCs w:val="20"/>
              </w:rPr>
              <w:t>637,036</w:t>
            </w:r>
          </w:p>
        </w:tc>
      </w:tr>
      <w:tr w:rsidR="00A1234E" w:rsidRPr="00A579DF" w:rsidTr="00976B77">
        <w:tc>
          <w:tcPr>
            <w:tcW w:w="2263" w:type="dxa"/>
            <w:shd w:val="clear" w:color="auto" w:fill="auto"/>
            <w:vAlign w:val="center"/>
          </w:tcPr>
          <w:p w:rsidR="00A1234E" w:rsidRPr="00EE048C" w:rsidRDefault="00A1234E" w:rsidP="005908ED">
            <w:pPr>
              <w:pStyle w:val="Tabletext"/>
              <w:keepNext/>
              <w:keepLines/>
            </w:pPr>
            <w:r>
              <w:t>Eligible patient population</w:t>
            </w:r>
          </w:p>
        </w:tc>
        <w:tc>
          <w:tcPr>
            <w:tcW w:w="1134" w:type="dxa"/>
            <w:tcBorders>
              <w:top w:val="single" w:sz="4" w:space="0" w:color="auto"/>
              <w:left w:val="nil"/>
              <w:bottom w:val="single" w:sz="4" w:space="0" w:color="auto"/>
              <w:right w:val="single" w:sz="4" w:space="0" w:color="auto"/>
            </w:tcBorders>
            <w:shd w:val="clear" w:color="auto" w:fill="auto"/>
            <w:vAlign w:val="center"/>
          </w:tcPr>
          <w:p w:rsidR="00A1234E" w:rsidRPr="00DE4D50" w:rsidRDefault="00DE4D50" w:rsidP="005908ED">
            <w:pPr>
              <w:pStyle w:val="Tabletext"/>
              <w:keepNext/>
              <w:keepLines/>
              <w:jc w:val="center"/>
              <w:rPr>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DE4D50" w:rsidRDefault="00DE4D50" w:rsidP="005908ED">
            <w:pPr>
              <w:pStyle w:val="Tabletext"/>
              <w:keepNext/>
              <w:keepLines/>
              <w:jc w:val="center"/>
              <w:rPr>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DE4D50" w:rsidRDefault="00DE4D50" w:rsidP="005908ED">
            <w:pPr>
              <w:pStyle w:val="Tabletext"/>
              <w:keepNext/>
              <w:keepLines/>
              <w:jc w:val="center"/>
              <w:rPr>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DE4D50" w:rsidRDefault="00DE4D50" w:rsidP="005908ED">
            <w:pPr>
              <w:pStyle w:val="Tabletext"/>
              <w:keepNext/>
              <w:keepLines/>
              <w:jc w:val="center"/>
              <w:rPr>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DE4D50" w:rsidRDefault="00DE4D50" w:rsidP="005908ED">
            <w:pPr>
              <w:pStyle w:val="Tabletext"/>
              <w:keepNext/>
              <w:keepLines/>
              <w:jc w:val="center"/>
              <w:rPr>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DE4D50" w:rsidRDefault="00DE4D50" w:rsidP="005908ED">
            <w:pPr>
              <w:pStyle w:val="Tabletext"/>
              <w:keepNext/>
              <w:keepLines/>
              <w:jc w:val="center"/>
              <w:rPr>
                <w:highlight w:val="black"/>
              </w:rPr>
            </w:pPr>
            <w:r>
              <w:rPr>
                <w:rFonts w:cs="Arial"/>
                <w:noProof/>
                <w:color w:val="000000"/>
                <w:szCs w:val="20"/>
                <w:highlight w:val="black"/>
              </w:rPr>
              <w:t>''''''''''''''</w:t>
            </w:r>
          </w:p>
        </w:tc>
      </w:tr>
      <w:tr w:rsidR="00A1234E" w:rsidRPr="00A579DF" w:rsidTr="00976B77">
        <w:tc>
          <w:tcPr>
            <w:tcW w:w="2263" w:type="dxa"/>
            <w:shd w:val="clear" w:color="auto" w:fill="auto"/>
            <w:vAlign w:val="center"/>
          </w:tcPr>
          <w:p w:rsidR="00A1234E" w:rsidRPr="00EE048C" w:rsidRDefault="00A1234E" w:rsidP="005908ED">
            <w:pPr>
              <w:pStyle w:val="Tabletext"/>
              <w:keepNext/>
              <w:keepLines/>
            </w:pPr>
            <w:r>
              <w:t>Romosozumab uptake rates</w:t>
            </w:r>
          </w:p>
        </w:tc>
        <w:tc>
          <w:tcPr>
            <w:tcW w:w="1134" w:type="dxa"/>
            <w:tcBorders>
              <w:top w:val="single" w:sz="4" w:space="0" w:color="auto"/>
              <w:bottom w:val="single" w:sz="4" w:space="0" w:color="auto"/>
            </w:tcBorders>
            <w:shd w:val="clear" w:color="auto" w:fill="auto"/>
          </w:tcPr>
          <w:p w:rsidR="00A1234E" w:rsidRPr="00993BFF" w:rsidRDefault="00DE4D50" w:rsidP="005908ED">
            <w:pPr>
              <w:pStyle w:val="Tabletext"/>
              <w:keepNext/>
              <w:keepLines/>
              <w:jc w:val="center"/>
            </w:pPr>
            <w:r>
              <w:rPr>
                <w:noProof/>
                <w:color w:val="000000"/>
                <w:highlight w:val="black"/>
              </w:rPr>
              <w:t>'''''</w:t>
            </w:r>
            <w:r w:rsidR="00A1234E" w:rsidRPr="00993BFF">
              <w:t>%</w:t>
            </w:r>
          </w:p>
        </w:tc>
        <w:tc>
          <w:tcPr>
            <w:tcW w:w="1134" w:type="dxa"/>
            <w:tcBorders>
              <w:top w:val="single" w:sz="4" w:space="0" w:color="auto"/>
              <w:bottom w:val="single" w:sz="4" w:space="0" w:color="auto"/>
            </w:tcBorders>
            <w:shd w:val="clear" w:color="auto" w:fill="auto"/>
          </w:tcPr>
          <w:p w:rsidR="00A1234E" w:rsidRPr="00993BFF" w:rsidRDefault="00DE4D50" w:rsidP="005908ED">
            <w:pPr>
              <w:pStyle w:val="Tabletext"/>
              <w:keepNext/>
              <w:keepLines/>
              <w:jc w:val="center"/>
            </w:pPr>
            <w:r>
              <w:rPr>
                <w:noProof/>
                <w:color w:val="000000"/>
                <w:highlight w:val="black"/>
              </w:rPr>
              <w:t>''''''</w:t>
            </w:r>
            <w:r w:rsidR="00A1234E" w:rsidRPr="00993BFF">
              <w:t>%</w:t>
            </w:r>
          </w:p>
        </w:tc>
        <w:tc>
          <w:tcPr>
            <w:tcW w:w="1134" w:type="dxa"/>
            <w:tcBorders>
              <w:top w:val="single" w:sz="4" w:space="0" w:color="auto"/>
              <w:bottom w:val="single" w:sz="4" w:space="0" w:color="auto"/>
            </w:tcBorders>
            <w:shd w:val="clear" w:color="auto" w:fill="auto"/>
          </w:tcPr>
          <w:p w:rsidR="00A1234E" w:rsidRPr="00993BFF" w:rsidRDefault="00DE4D50" w:rsidP="005908ED">
            <w:pPr>
              <w:pStyle w:val="Tabletext"/>
              <w:keepNext/>
              <w:keepLines/>
              <w:jc w:val="center"/>
            </w:pPr>
            <w:r>
              <w:rPr>
                <w:noProof/>
                <w:color w:val="000000"/>
                <w:highlight w:val="black"/>
              </w:rPr>
              <w:t>''''''</w:t>
            </w:r>
            <w:r w:rsidR="00A1234E" w:rsidRPr="00993BFF">
              <w:t>%</w:t>
            </w:r>
          </w:p>
        </w:tc>
        <w:tc>
          <w:tcPr>
            <w:tcW w:w="1134" w:type="dxa"/>
            <w:tcBorders>
              <w:top w:val="single" w:sz="4" w:space="0" w:color="auto"/>
              <w:bottom w:val="single" w:sz="4" w:space="0" w:color="auto"/>
            </w:tcBorders>
            <w:shd w:val="clear" w:color="auto" w:fill="auto"/>
          </w:tcPr>
          <w:p w:rsidR="00A1234E" w:rsidRPr="00993BFF" w:rsidRDefault="00DE4D50" w:rsidP="005908ED">
            <w:pPr>
              <w:pStyle w:val="Tabletext"/>
              <w:keepNext/>
              <w:keepLines/>
              <w:jc w:val="center"/>
            </w:pPr>
            <w:r>
              <w:rPr>
                <w:noProof/>
                <w:color w:val="000000"/>
                <w:highlight w:val="black"/>
              </w:rPr>
              <w:t>''''''</w:t>
            </w:r>
            <w:r w:rsidR="00A1234E" w:rsidRPr="00993BFF">
              <w:t>%</w:t>
            </w:r>
          </w:p>
        </w:tc>
        <w:tc>
          <w:tcPr>
            <w:tcW w:w="1134" w:type="dxa"/>
            <w:tcBorders>
              <w:top w:val="single" w:sz="4" w:space="0" w:color="auto"/>
              <w:bottom w:val="single" w:sz="4" w:space="0" w:color="auto"/>
            </w:tcBorders>
            <w:shd w:val="clear" w:color="auto" w:fill="auto"/>
          </w:tcPr>
          <w:p w:rsidR="00A1234E" w:rsidRPr="00993BFF" w:rsidRDefault="00DE4D50" w:rsidP="005908ED">
            <w:pPr>
              <w:pStyle w:val="Tabletext"/>
              <w:keepNext/>
              <w:keepLines/>
              <w:jc w:val="center"/>
            </w:pPr>
            <w:r>
              <w:rPr>
                <w:noProof/>
                <w:color w:val="000000"/>
                <w:highlight w:val="black"/>
              </w:rPr>
              <w:t>'''''</w:t>
            </w:r>
            <w:r w:rsidR="00A1234E" w:rsidRPr="00993BFF">
              <w:t>%</w:t>
            </w:r>
          </w:p>
        </w:tc>
        <w:tc>
          <w:tcPr>
            <w:tcW w:w="1134" w:type="dxa"/>
            <w:tcBorders>
              <w:top w:val="single" w:sz="4" w:space="0" w:color="auto"/>
              <w:bottom w:val="single" w:sz="4" w:space="0" w:color="auto"/>
            </w:tcBorders>
            <w:shd w:val="clear" w:color="auto" w:fill="auto"/>
          </w:tcPr>
          <w:p w:rsidR="00A1234E" w:rsidRPr="00993BFF" w:rsidRDefault="00DE4D50" w:rsidP="005908ED">
            <w:pPr>
              <w:pStyle w:val="Tabletext"/>
              <w:keepNext/>
              <w:keepLines/>
              <w:jc w:val="center"/>
            </w:pPr>
            <w:r>
              <w:rPr>
                <w:noProof/>
                <w:color w:val="000000"/>
                <w:highlight w:val="black"/>
              </w:rPr>
              <w:t>'''''''</w:t>
            </w:r>
            <w:r w:rsidR="00A1234E" w:rsidRPr="00993BFF">
              <w:t>%</w:t>
            </w:r>
          </w:p>
        </w:tc>
      </w:tr>
      <w:tr w:rsidR="00A1234E" w:rsidRPr="00A579DF" w:rsidTr="00976B77">
        <w:tc>
          <w:tcPr>
            <w:tcW w:w="2263" w:type="dxa"/>
            <w:shd w:val="clear" w:color="auto" w:fill="auto"/>
            <w:vAlign w:val="center"/>
          </w:tcPr>
          <w:p w:rsidR="00A1234E" w:rsidRPr="00EE048C" w:rsidRDefault="00A1234E" w:rsidP="005908ED">
            <w:pPr>
              <w:pStyle w:val="Tabletext"/>
              <w:keepNext/>
              <w:keepLines/>
            </w:pPr>
            <w:r>
              <w:t>Total patients treated with romosozumab</w:t>
            </w:r>
          </w:p>
        </w:tc>
        <w:tc>
          <w:tcPr>
            <w:tcW w:w="1134" w:type="dxa"/>
            <w:tcBorders>
              <w:top w:val="single" w:sz="4" w:space="0" w:color="auto"/>
              <w:left w:val="nil"/>
              <w:bottom w:val="single" w:sz="4" w:space="0" w:color="auto"/>
              <w:right w:val="single" w:sz="4" w:space="0" w:color="auto"/>
            </w:tcBorders>
            <w:shd w:val="clear" w:color="auto" w:fill="auto"/>
            <w:vAlign w:val="center"/>
          </w:tcPr>
          <w:p w:rsidR="00A1234E" w:rsidRPr="00DE4D50" w:rsidRDefault="00DE4D50" w:rsidP="005908ED">
            <w:pPr>
              <w:pStyle w:val="Tabletext"/>
              <w:keepNext/>
              <w:keepLines/>
              <w:jc w:val="center"/>
              <w:rPr>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DE4D50" w:rsidRDefault="00DE4D50" w:rsidP="005908ED">
            <w:pPr>
              <w:pStyle w:val="Tabletext"/>
              <w:keepNext/>
              <w:keepLines/>
              <w:jc w:val="center"/>
              <w:rPr>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DE4D50" w:rsidRDefault="00DE4D50" w:rsidP="005908ED">
            <w:pPr>
              <w:pStyle w:val="Tabletext"/>
              <w:keepNext/>
              <w:keepLines/>
              <w:jc w:val="center"/>
              <w:rPr>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DE4D50" w:rsidRDefault="00DE4D50" w:rsidP="005908ED">
            <w:pPr>
              <w:pStyle w:val="Tabletext"/>
              <w:keepNext/>
              <w:keepLines/>
              <w:jc w:val="center"/>
              <w:rPr>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DE4D50" w:rsidRDefault="00DE4D50" w:rsidP="005908ED">
            <w:pPr>
              <w:pStyle w:val="Tabletext"/>
              <w:keepNext/>
              <w:keepLines/>
              <w:jc w:val="center"/>
              <w:rPr>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DE4D50" w:rsidRDefault="00DE4D50" w:rsidP="005908ED">
            <w:pPr>
              <w:pStyle w:val="Tabletext"/>
              <w:keepNext/>
              <w:keepLines/>
              <w:jc w:val="center"/>
              <w:rPr>
                <w:highlight w:val="black"/>
              </w:rPr>
            </w:pPr>
            <w:r>
              <w:rPr>
                <w:rFonts w:cs="Arial"/>
                <w:noProof/>
                <w:color w:val="000000"/>
                <w:szCs w:val="20"/>
                <w:highlight w:val="black"/>
              </w:rPr>
              <w:t>''''''''''''</w:t>
            </w:r>
          </w:p>
        </w:tc>
      </w:tr>
      <w:tr w:rsidR="00A1234E" w:rsidRPr="00AA3FC7" w:rsidTr="00976B77">
        <w:tc>
          <w:tcPr>
            <w:tcW w:w="2263" w:type="dxa"/>
            <w:tcBorders>
              <w:top w:val="single" w:sz="4" w:space="0" w:color="auto"/>
              <w:bottom w:val="single" w:sz="4" w:space="0" w:color="auto"/>
              <w:right w:val="single" w:sz="4" w:space="0" w:color="auto"/>
            </w:tcBorders>
            <w:shd w:val="clear" w:color="auto" w:fill="auto"/>
            <w:vAlign w:val="center"/>
          </w:tcPr>
          <w:p w:rsidR="00A1234E" w:rsidRPr="00AA3FC7" w:rsidRDefault="00A1234E" w:rsidP="005908ED">
            <w:pPr>
              <w:pStyle w:val="Tabletext"/>
              <w:keepNext/>
              <w:keepLines/>
            </w:pPr>
            <w:r w:rsidRPr="00AA3FC7">
              <w:t>Total romosozumab scripts (10.8 scripts/year)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DE4D50" w:rsidRDefault="00DE4D50" w:rsidP="005908ED">
            <w:pPr>
              <w:pStyle w:val="Tabletext"/>
              <w:keepNext/>
              <w:keepLines/>
              <w:jc w:val="center"/>
              <w:rPr>
                <w:rFonts w:cs="Arial"/>
                <w:szCs w:val="20"/>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DE4D50" w:rsidRDefault="00DE4D50" w:rsidP="005908ED">
            <w:pPr>
              <w:pStyle w:val="Tabletext"/>
              <w:keepNext/>
              <w:keepLines/>
              <w:jc w:val="center"/>
              <w:rPr>
                <w:rFonts w:cs="Arial"/>
                <w:szCs w:val="20"/>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DE4D50" w:rsidRDefault="00DE4D50" w:rsidP="005908ED">
            <w:pPr>
              <w:pStyle w:val="Tabletext"/>
              <w:keepNext/>
              <w:keepLines/>
              <w:jc w:val="center"/>
              <w:rPr>
                <w:rFonts w:cs="Arial"/>
                <w:szCs w:val="20"/>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DE4D50" w:rsidRDefault="00DE4D50" w:rsidP="005908ED">
            <w:pPr>
              <w:pStyle w:val="Tabletext"/>
              <w:keepNext/>
              <w:keepLines/>
              <w:jc w:val="center"/>
              <w:rPr>
                <w:rFonts w:cs="Arial"/>
                <w:szCs w:val="20"/>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DE4D50" w:rsidRDefault="00DE4D50" w:rsidP="005908ED">
            <w:pPr>
              <w:pStyle w:val="Tabletext"/>
              <w:keepNext/>
              <w:keepLines/>
              <w:jc w:val="center"/>
              <w:rPr>
                <w:rFonts w:cs="Arial"/>
                <w:szCs w:val="20"/>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DE4D50" w:rsidRDefault="00DE4D50" w:rsidP="005908ED">
            <w:pPr>
              <w:pStyle w:val="Tabletext"/>
              <w:keepNext/>
              <w:keepLines/>
              <w:jc w:val="center"/>
              <w:rPr>
                <w:rFonts w:cs="Arial"/>
                <w:szCs w:val="20"/>
                <w:highlight w:val="black"/>
              </w:rPr>
            </w:pPr>
            <w:r>
              <w:rPr>
                <w:rFonts w:cs="Arial"/>
                <w:noProof/>
                <w:color w:val="000000"/>
                <w:szCs w:val="20"/>
                <w:highlight w:val="black"/>
              </w:rPr>
              <w:t>'''''''''''''''</w:t>
            </w:r>
          </w:p>
        </w:tc>
      </w:tr>
      <w:tr w:rsidR="00A1234E" w:rsidRPr="00A579DF" w:rsidTr="00976B77">
        <w:tc>
          <w:tcPr>
            <w:tcW w:w="2263" w:type="dxa"/>
            <w:shd w:val="clear" w:color="auto" w:fill="auto"/>
            <w:vAlign w:val="center"/>
          </w:tcPr>
          <w:p w:rsidR="00A1234E" w:rsidRPr="00EE048C" w:rsidRDefault="00A1234E" w:rsidP="005908ED">
            <w:pPr>
              <w:pStyle w:val="Tabletext"/>
              <w:keepNext/>
              <w:keepLines/>
            </w:pPr>
            <w:r>
              <w:t>Cost to PBS (DPMQ)</w:t>
            </w:r>
          </w:p>
        </w:tc>
        <w:tc>
          <w:tcPr>
            <w:tcW w:w="1134" w:type="dxa"/>
            <w:tcBorders>
              <w:top w:val="single" w:sz="4" w:space="0" w:color="auto"/>
              <w:left w:val="nil"/>
              <w:bottom w:val="single" w:sz="4" w:space="0" w:color="auto"/>
              <w:right w:val="single" w:sz="4" w:space="0" w:color="auto"/>
            </w:tcBorders>
            <w:shd w:val="clear" w:color="auto" w:fill="auto"/>
            <w:vAlign w:val="center"/>
          </w:tcPr>
          <w:p w:rsidR="00A1234E" w:rsidRPr="00AE496F" w:rsidRDefault="00A1234E" w:rsidP="005908ED">
            <w:pPr>
              <w:pStyle w:val="Tabletext"/>
              <w:keepNext/>
              <w:keepLines/>
              <w:jc w:val="center"/>
            </w:pPr>
            <w:r w:rsidRPr="00AE496F">
              <w:rPr>
                <w:rFonts w:cs="Arial"/>
                <w:szCs w:val="20"/>
              </w:rPr>
              <w:t>$</w:t>
            </w:r>
            <w:r w:rsidR="00DE4D50">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AE496F" w:rsidRDefault="00A1234E" w:rsidP="005908ED">
            <w:pPr>
              <w:pStyle w:val="Tabletext"/>
              <w:keepNext/>
              <w:keepLines/>
              <w:jc w:val="center"/>
            </w:pPr>
            <w:r w:rsidRPr="00AE496F">
              <w:rPr>
                <w:rFonts w:cs="Arial"/>
                <w:szCs w:val="20"/>
              </w:rPr>
              <w:t>$</w:t>
            </w:r>
            <w:r w:rsidR="00DE4D50">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AE496F" w:rsidRDefault="00A1234E" w:rsidP="005908ED">
            <w:pPr>
              <w:pStyle w:val="Tabletext"/>
              <w:keepNext/>
              <w:keepLines/>
              <w:jc w:val="center"/>
            </w:pPr>
            <w:r w:rsidRPr="00AE496F">
              <w:rPr>
                <w:rFonts w:cs="Arial"/>
                <w:szCs w:val="20"/>
              </w:rPr>
              <w:t>$</w:t>
            </w:r>
            <w:r w:rsidR="00DE4D50">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AE496F" w:rsidRDefault="00A1234E" w:rsidP="005908ED">
            <w:pPr>
              <w:pStyle w:val="Tabletext"/>
              <w:keepNext/>
              <w:keepLines/>
              <w:jc w:val="center"/>
            </w:pPr>
            <w:r w:rsidRPr="00AE496F">
              <w:rPr>
                <w:rFonts w:cs="Arial"/>
                <w:szCs w:val="20"/>
              </w:rPr>
              <w:t>$</w:t>
            </w:r>
            <w:r w:rsidR="00DE4D50">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AE496F" w:rsidRDefault="00A1234E" w:rsidP="005908ED">
            <w:pPr>
              <w:pStyle w:val="Tabletext"/>
              <w:keepNext/>
              <w:keepLines/>
              <w:jc w:val="center"/>
            </w:pPr>
            <w:r w:rsidRPr="00AE496F">
              <w:rPr>
                <w:rFonts w:cs="Arial"/>
                <w:szCs w:val="20"/>
              </w:rPr>
              <w:t>$</w:t>
            </w:r>
            <w:r w:rsidR="00DE4D50">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AE496F" w:rsidRDefault="00A1234E" w:rsidP="005908ED">
            <w:pPr>
              <w:pStyle w:val="Tabletext"/>
              <w:keepNext/>
              <w:keepLines/>
              <w:jc w:val="center"/>
            </w:pPr>
            <w:r w:rsidRPr="00AE496F">
              <w:rPr>
                <w:rFonts w:cs="Arial"/>
                <w:szCs w:val="20"/>
              </w:rPr>
              <w:t>$</w:t>
            </w:r>
            <w:r w:rsidR="00DE4D50">
              <w:rPr>
                <w:rFonts w:cs="Arial"/>
                <w:noProof/>
                <w:color w:val="000000"/>
                <w:szCs w:val="20"/>
                <w:highlight w:val="black"/>
              </w:rPr>
              <w:t>'''''''''''''''''''''''''</w:t>
            </w:r>
          </w:p>
        </w:tc>
      </w:tr>
      <w:tr w:rsidR="00A1234E" w:rsidRPr="00A579DF" w:rsidTr="00A1234E">
        <w:tc>
          <w:tcPr>
            <w:tcW w:w="2263" w:type="dxa"/>
            <w:tcBorders>
              <w:bottom w:val="single" w:sz="4" w:space="0" w:color="auto"/>
            </w:tcBorders>
            <w:shd w:val="clear" w:color="auto" w:fill="auto"/>
            <w:vAlign w:val="center"/>
          </w:tcPr>
          <w:p w:rsidR="00A1234E" w:rsidRPr="00EE048C" w:rsidRDefault="00A1234E" w:rsidP="005908ED">
            <w:pPr>
              <w:pStyle w:val="Tabletext"/>
              <w:keepNext/>
              <w:keepLines/>
            </w:pPr>
            <w:r>
              <w:t>Patient copayment</w:t>
            </w:r>
          </w:p>
        </w:tc>
        <w:tc>
          <w:tcPr>
            <w:tcW w:w="1134" w:type="dxa"/>
            <w:tcBorders>
              <w:top w:val="single" w:sz="4" w:space="0" w:color="auto"/>
              <w:left w:val="nil"/>
              <w:bottom w:val="single" w:sz="4" w:space="0" w:color="auto"/>
              <w:right w:val="single" w:sz="4" w:space="0" w:color="auto"/>
            </w:tcBorders>
            <w:shd w:val="clear" w:color="auto" w:fill="auto"/>
            <w:vAlign w:val="center"/>
          </w:tcPr>
          <w:p w:rsidR="00A1234E" w:rsidRPr="00AE496F" w:rsidRDefault="00A1234E" w:rsidP="005908ED">
            <w:pPr>
              <w:pStyle w:val="Tabletext"/>
              <w:keepNext/>
              <w:keepLines/>
              <w:jc w:val="center"/>
            </w:pPr>
            <w:r w:rsidRPr="00AE496F">
              <w:rPr>
                <w:rFonts w:cs="Arial"/>
                <w:szCs w:val="20"/>
              </w:rPr>
              <w:t>$</w:t>
            </w:r>
            <w:r w:rsidR="00DE4D50">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AE496F" w:rsidRDefault="00A1234E" w:rsidP="005908ED">
            <w:pPr>
              <w:pStyle w:val="Tabletext"/>
              <w:keepNext/>
              <w:keepLines/>
              <w:jc w:val="center"/>
            </w:pPr>
            <w:r w:rsidRPr="00AE496F">
              <w:rPr>
                <w:rFonts w:cs="Arial"/>
                <w:szCs w:val="20"/>
              </w:rPr>
              <w:t>$</w:t>
            </w:r>
            <w:r w:rsidR="00DE4D50">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AE496F" w:rsidRDefault="00A1234E" w:rsidP="005908ED">
            <w:pPr>
              <w:pStyle w:val="Tabletext"/>
              <w:keepNext/>
              <w:keepLines/>
              <w:jc w:val="center"/>
            </w:pPr>
            <w:r w:rsidRPr="00AE496F">
              <w:rPr>
                <w:rFonts w:cs="Arial"/>
                <w:szCs w:val="20"/>
              </w:rPr>
              <w:t>$</w:t>
            </w:r>
            <w:r w:rsidR="00DE4D50">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AE496F" w:rsidRDefault="00A1234E" w:rsidP="005908ED">
            <w:pPr>
              <w:pStyle w:val="Tabletext"/>
              <w:keepNext/>
              <w:keepLines/>
              <w:jc w:val="center"/>
            </w:pPr>
            <w:r w:rsidRPr="00AE496F">
              <w:rPr>
                <w:rFonts w:cs="Arial"/>
                <w:szCs w:val="20"/>
              </w:rPr>
              <w:t>$</w:t>
            </w:r>
            <w:r w:rsidR="00DE4D50">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AE496F" w:rsidRDefault="00A1234E" w:rsidP="005908ED">
            <w:pPr>
              <w:pStyle w:val="Tabletext"/>
              <w:keepNext/>
              <w:keepLines/>
              <w:jc w:val="center"/>
            </w:pPr>
            <w:r w:rsidRPr="00AE496F">
              <w:rPr>
                <w:rFonts w:cs="Arial"/>
                <w:szCs w:val="20"/>
              </w:rPr>
              <w:t>$</w:t>
            </w:r>
            <w:r w:rsidR="00DE4D50">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AE496F" w:rsidRDefault="00A1234E" w:rsidP="005908ED">
            <w:pPr>
              <w:pStyle w:val="Tabletext"/>
              <w:keepNext/>
              <w:keepLines/>
              <w:jc w:val="center"/>
            </w:pPr>
            <w:r w:rsidRPr="00AE496F">
              <w:rPr>
                <w:rFonts w:cs="Arial"/>
                <w:szCs w:val="20"/>
              </w:rPr>
              <w:t>$</w:t>
            </w:r>
            <w:r w:rsidR="00DE4D50">
              <w:rPr>
                <w:rFonts w:cs="Arial"/>
                <w:noProof/>
                <w:color w:val="000000"/>
                <w:szCs w:val="20"/>
                <w:highlight w:val="black"/>
              </w:rPr>
              <w:t>'''''''''''''''''''''</w:t>
            </w:r>
          </w:p>
        </w:tc>
      </w:tr>
      <w:tr w:rsidR="00A1234E" w:rsidRPr="00AE496F" w:rsidTr="00A1234E">
        <w:tc>
          <w:tcPr>
            <w:tcW w:w="2263" w:type="dxa"/>
            <w:tcBorders>
              <w:bottom w:val="single" w:sz="4" w:space="0" w:color="auto"/>
            </w:tcBorders>
            <w:shd w:val="clear" w:color="auto" w:fill="auto"/>
            <w:vAlign w:val="center"/>
          </w:tcPr>
          <w:p w:rsidR="00A1234E" w:rsidRPr="00AE496F" w:rsidRDefault="00A1234E" w:rsidP="005908ED">
            <w:pPr>
              <w:pStyle w:val="Tabletext"/>
              <w:keepNext/>
              <w:keepLines/>
              <w:rPr>
                <w:b/>
              </w:rPr>
            </w:pPr>
            <w:r>
              <w:rPr>
                <w:b/>
              </w:rPr>
              <w:t xml:space="preserve">Total cost to PBS </w:t>
            </w:r>
            <w:r>
              <w:rPr>
                <w:b/>
              </w:rPr>
              <w:br/>
              <w:t>(less copay</w:t>
            </w:r>
            <w:r w:rsidRPr="00AE496F">
              <w:rPr>
                <w:b/>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A1234E" w:rsidRPr="00AE496F" w:rsidRDefault="00A1234E" w:rsidP="005908ED">
            <w:pPr>
              <w:pStyle w:val="Tabletext"/>
              <w:keepNext/>
              <w:keepLines/>
              <w:jc w:val="center"/>
              <w:rPr>
                <w:b/>
              </w:rPr>
            </w:pPr>
            <w:r w:rsidRPr="00AE496F">
              <w:rPr>
                <w:rFonts w:cs="Arial"/>
                <w:b/>
                <w:szCs w:val="20"/>
              </w:rPr>
              <w:t>$</w:t>
            </w:r>
            <w:r w:rsidR="00DE4D50">
              <w:rPr>
                <w:rFonts w:cs="Arial"/>
                <w:b/>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AE496F" w:rsidRDefault="00A1234E" w:rsidP="005908ED">
            <w:pPr>
              <w:pStyle w:val="Tabletext"/>
              <w:keepNext/>
              <w:keepLines/>
              <w:jc w:val="center"/>
              <w:rPr>
                <w:b/>
              </w:rPr>
            </w:pPr>
            <w:r w:rsidRPr="00AE496F">
              <w:rPr>
                <w:rFonts w:cs="Arial"/>
                <w:b/>
                <w:szCs w:val="20"/>
              </w:rPr>
              <w:t>$</w:t>
            </w:r>
            <w:r w:rsidR="00DE4D50">
              <w:rPr>
                <w:rFonts w:cs="Arial"/>
                <w:b/>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AE496F" w:rsidRDefault="00A1234E" w:rsidP="005908ED">
            <w:pPr>
              <w:pStyle w:val="Tabletext"/>
              <w:keepNext/>
              <w:keepLines/>
              <w:jc w:val="center"/>
              <w:rPr>
                <w:b/>
              </w:rPr>
            </w:pPr>
            <w:r w:rsidRPr="00AE496F">
              <w:rPr>
                <w:rFonts w:cs="Arial"/>
                <w:b/>
                <w:szCs w:val="20"/>
              </w:rPr>
              <w:t>$</w:t>
            </w:r>
            <w:r w:rsidR="00DE4D50">
              <w:rPr>
                <w:rFonts w:cs="Arial"/>
                <w:b/>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AE496F" w:rsidRDefault="00A1234E" w:rsidP="005908ED">
            <w:pPr>
              <w:pStyle w:val="Tabletext"/>
              <w:keepNext/>
              <w:keepLines/>
              <w:jc w:val="center"/>
              <w:rPr>
                <w:b/>
              </w:rPr>
            </w:pPr>
            <w:r w:rsidRPr="00AE496F">
              <w:rPr>
                <w:rFonts w:cs="Arial"/>
                <w:b/>
                <w:szCs w:val="20"/>
              </w:rPr>
              <w:t>$</w:t>
            </w:r>
            <w:r w:rsidR="00DE4D50">
              <w:rPr>
                <w:rFonts w:cs="Arial"/>
                <w:b/>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AE496F" w:rsidRDefault="00A1234E" w:rsidP="005908ED">
            <w:pPr>
              <w:pStyle w:val="Tabletext"/>
              <w:keepNext/>
              <w:keepLines/>
              <w:jc w:val="center"/>
              <w:rPr>
                <w:b/>
              </w:rPr>
            </w:pPr>
            <w:r w:rsidRPr="00AE496F">
              <w:rPr>
                <w:rFonts w:cs="Arial"/>
                <w:b/>
                <w:szCs w:val="20"/>
              </w:rPr>
              <w:t>$</w:t>
            </w:r>
            <w:r w:rsidR="00DE4D50">
              <w:rPr>
                <w:rFonts w:cs="Arial"/>
                <w:b/>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AE496F" w:rsidRDefault="00A1234E" w:rsidP="005908ED">
            <w:pPr>
              <w:pStyle w:val="Tabletext"/>
              <w:keepNext/>
              <w:keepLines/>
              <w:jc w:val="center"/>
              <w:rPr>
                <w:b/>
              </w:rPr>
            </w:pPr>
            <w:r w:rsidRPr="00AE496F">
              <w:rPr>
                <w:rFonts w:cs="Arial"/>
                <w:b/>
                <w:szCs w:val="20"/>
              </w:rPr>
              <w:t>$</w:t>
            </w:r>
            <w:r w:rsidR="00DE4D50">
              <w:rPr>
                <w:rFonts w:cs="Arial"/>
                <w:b/>
                <w:noProof/>
                <w:color w:val="000000"/>
                <w:szCs w:val="20"/>
                <w:highlight w:val="black"/>
              </w:rPr>
              <w:t>''''''''''''''''''''</w:t>
            </w:r>
          </w:p>
        </w:tc>
      </w:tr>
      <w:tr w:rsidR="00A1234E" w:rsidRPr="00AE496F" w:rsidTr="00A1234E">
        <w:tc>
          <w:tcPr>
            <w:tcW w:w="2263" w:type="dxa"/>
            <w:tcBorders>
              <w:bottom w:val="single" w:sz="4" w:space="0" w:color="auto"/>
            </w:tcBorders>
            <w:shd w:val="clear" w:color="auto" w:fill="auto"/>
            <w:vAlign w:val="center"/>
          </w:tcPr>
          <w:p w:rsidR="00A1234E" w:rsidRPr="00A1234E" w:rsidRDefault="00A1234E" w:rsidP="005908ED">
            <w:pPr>
              <w:pStyle w:val="Tabletext"/>
              <w:keepNext/>
              <w:keepLines/>
            </w:pPr>
            <w:r w:rsidRPr="00A1234E">
              <w:t>Cost of anti-resorptives (DPMQ less copay)</w:t>
            </w:r>
          </w:p>
        </w:tc>
        <w:tc>
          <w:tcPr>
            <w:tcW w:w="1134" w:type="dxa"/>
            <w:tcBorders>
              <w:top w:val="single" w:sz="4" w:space="0" w:color="auto"/>
              <w:left w:val="nil"/>
              <w:bottom w:val="single" w:sz="4" w:space="0" w:color="auto"/>
              <w:right w:val="single" w:sz="4" w:space="0" w:color="auto"/>
            </w:tcBorders>
            <w:shd w:val="clear" w:color="auto" w:fill="auto"/>
            <w:vAlign w:val="center"/>
          </w:tcPr>
          <w:p w:rsidR="00A1234E" w:rsidRPr="00993BFF" w:rsidRDefault="00A1234E" w:rsidP="005908ED">
            <w:pPr>
              <w:pStyle w:val="Tabletext"/>
              <w:keepNext/>
              <w:keepLines/>
              <w:jc w:val="center"/>
              <w:rPr>
                <w:rFonts w:cs="Arial"/>
                <w:szCs w:val="20"/>
              </w:rPr>
            </w:pPr>
            <w:r w:rsidRPr="00993BFF">
              <w:rPr>
                <w:rFonts w:cs="Arial"/>
                <w:szCs w:val="20"/>
              </w:rPr>
              <w:t>-$</w:t>
            </w:r>
            <w:r w:rsidR="00DE4D50">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993BFF" w:rsidRDefault="00A1234E" w:rsidP="005908ED">
            <w:pPr>
              <w:pStyle w:val="Tabletext"/>
              <w:keepNext/>
              <w:keepLines/>
              <w:jc w:val="center"/>
              <w:rPr>
                <w:rFonts w:cs="Arial"/>
                <w:szCs w:val="20"/>
              </w:rPr>
            </w:pPr>
            <w:r w:rsidRPr="00993BFF">
              <w:rPr>
                <w:rFonts w:cs="Arial"/>
                <w:szCs w:val="20"/>
              </w:rPr>
              <w:t>-$</w:t>
            </w:r>
            <w:r w:rsidR="00DE4D50">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993BFF" w:rsidRDefault="00A1234E" w:rsidP="005908ED">
            <w:pPr>
              <w:pStyle w:val="Tabletext"/>
              <w:keepNext/>
              <w:keepLines/>
              <w:jc w:val="center"/>
              <w:rPr>
                <w:rFonts w:cs="Arial"/>
                <w:szCs w:val="20"/>
              </w:rPr>
            </w:pPr>
            <w:r w:rsidRPr="00993BFF">
              <w:rPr>
                <w:rFonts w:cs="Arial"/>
                <w:szCs w:val="20"/>
              </w:rPr>
              <w:t>-$</w:t>
            </w:r>
            <w:r w:rsidR="00DE4D50">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993BFF" w:rsidRDefault="00A1234E" w:rsidP="005908ED">
            <w:pPr>
              <w:pStyle w:val="Tabletext"/>
              <w:keepNext/>
              <w:keepLines/>
              <w:jc w:val="center"/>
              <w:rPr>
                <w:rFonts w:cs="Arial"/>
                <w:szCs w:val="20"/>
              </w:rPr>
            </w:pPr>
            <w:r w:rsidRPr="00993BFF">
              <w:rPr>
                <w:rFonts w:cs="Arial"/>
                <w:szCs w:val="20"/>
              </w:rPr>
              <w:t>-$</w:t>
            </w:r>
            <w:r w:rsidR="00DE4D50">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993BFF" w:rsidRDefault="00A1234E" w:rsidP="005908ED">
            <w:pPr>
              <w:pStyle w:val="Tabletext"/>
              <w:keepNext/>
              <w:keepLines/>
              <w:jc w:val="center"/>
              <w:rPr>
                <w:rFonts w:cs="Arial"/>
                <w:szCs w:val="20"/>
              </w:rPr>
            </w:pPr>
            <w:r w:rsidRPr="00993BFF">
              <w:rPr>
                <w:rFonts w:cs="Arial"/>
                <w:szCs w:val="20"/>
              </w:rPr>
              <w:t>-$</w:t>
            </w:r>
            <w:r w:rsidR="00DE4D50">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993BFF" w:rsidRDefault="00A1234E" w:rsidP="005908ED">
            <w:pPr>
              <w:pStyle w:val="Tabletext"/>
              <w:keepNext/>
              <w:keepLines/>
              <w:jc w:val="center"/>
              <w:rPr>
                <w:rFonts w:cs="Arial"/>
                <w:szCs w:val="20"/>
              </w:rPr>
            </w:pPr>
            <w:r w:rsidRPr="00993BFF">
              <w:rPr>
                <w:rFonts w:cs="Arial"/>
                <w:szCs w:val="20"/>
              </w:rPr>
              <w:t>-$</w:t>
            </w:r>
            <w:r w:rsidR="00DE4D50">
              <w:rPr>
                <w:rFonts w:cs="Arial"/>
                <w:noProof/>
                <w:color w:val="000000"/>
                <w:szCs w:val="20"/>
                <w:highlight w:val="black"/>
              </w:rPr>
              <w:t>''''''''''''''''''</w:t>
            </w:r>
          </w:p>
        </w:tc>
      </w:tr>
      <w:tr w:rsidR="00A1234E" w:rsidRPr="00AE496F" w:rsidTr="00A1234E">
        <w:tc>
          <w:tcPr>
            <w:tcW w:w="2263" w:type="dxa"/>
            <w:tcBorders>
              <w:bottom w:val="single" w:sz="4" w:space="0" w:color="auto"/>
            </w:tcBorders>
            <w:shd w:val="clear" w:color="auto" w:fill="auto"/>
            <w:vAlign w:val="center"/>
          </w:tcPr>
          <w:p w:rsidR="00A1234E" w:rsidRPr="00271585" w:rsidRDefault="00A1234E" w:rsidP="005908ED">
            <w:pPr>
              <w:pStyle w:val="Tabletext"/>
              <w:keepNext/>
              <w:keepLines/>
            </w:pPr>
            <w:r w:rsidRPr="00271585">
              <w:rPr>
                <w:b/>
              </w:rPr>
              <w:t>Net cost of romosozumab</w:t>
            </w:r>
          </w:p>
        </w:tc>
        <w:tc>
          <w:tcPr>
            <w:tcW w:w="1134" w:type="dxa"/>
            <w:tcBorders>
              <w:top w:val="single" w:sz="4" w:space="0" w:color="auto"/>
              <w:left w:val="nil"/>
              <w:bottom w:val="single" w:sz="4" w:space="0" w:color="auto"/>
              <w:right w:val="single" w:sz="4" w:space="0" w:color="auto"/>
            </w:tcBorders>
            <w:shd w:val="clear" w:color="auto" w:fill="auto"/>
            <w:vAlign w:val="center"/>
          </w:tcPr>
          <w:p w:rsidR="00A1234E" w:rsidRPr="00DD1DF4" w:rsidRDefault="00A1234E" w:rsidP="005908ED">
            <w:pPr>
              <w:pStyle w:val="Tabletext"/>
              <w:keepNext/>
              <w:keepLines/>
              <w:jc w:val="center"/>
              <w:rPr>
                <w:rFonts w:cs="Arial"/>
                <w:b/>
                <w:szCs w:val="20"/>
              </w:rPr>
            </w:pPr>
            <w:r w:rsidRPr="00DD1DF4">
              <w:rPr>
                <w:rFonts w:cs="Arial"/>
                <w:b/>
                <w:szCs w:val="20"/>
              </w:rPr>
              <w:t>$</w:t>
            </w:r>
            <w:r w:rsidR="00DE4D50">
              <w:rPr>
                <w:rFonts w:cs="Arial"/>
                <w:b/>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DD1DF4" w:rsidRDefault="00A1234E" w:rsidP="005908ED">
            <w:pPr>
              <w:pStyle w:val="Tabletext"/>
              <w:keepNext/>
              <w:keepLines/>
              <w:jc w:val="center"/>
              <w:rPr>
                <w:rFonts w:cs="Arial"/>
                <w:b/>
                <w:szCs w:val="20"/>
              </w:rPr>
            </w:pPr>
            <w:r w:rsidRPr="00DD1DF4">
              <w:rPr>
                <w:rFonts w:cs="Arial"/>
                <w:b/>
                <w:szCs w:val="20"/>
              </w:rPr>
              <w:t>$</w:t>
            </w:r>
            <w:r w:rsidR="00DE4D50">
              <w:rPr>
                <w:rFonts w:cs="Arial"/>
                <w:b/>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DD1DF4" w:rsidRDefault="00A1234E" w:rsidP="005908ED">
            <w:pPr>
              <w:pStyle w:val="Tabletext"/>
              <w:keepNext/>
              <w:keepLines/>
              <w:jc w:val="center"/>
              <w:rPr>
                <w:rFonts w:cs="Arial"/>
                <w:b/>
                <w:szCs w:val="20"/>
              </w:rPr>
            </w:pPr>
            <w:r w:rsidRPr="00DD1DF4">
              <w:rPr>
                <w:rFonts w:cs="Arial"/>
                <w:b/>
                <w:szCs w:val="20"/>
              </w:rPr>
              <w:t>$</w:t>
            </w:r>
            <w:r w:rsidR="00DE4D50">
              <w:rPr>
                <w:rFonts w:cs="Arial"/>
                <w:b/>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DD1DF4" w:rsidRDefault="00A1234E" w:rsidP="005908ED">
            <w:pPr>
              <w:pStyle w:val="Tabletext"/>
              <w:keepNext/>
              <w:keepLines/>
              <w:jc w:val="center"/>
              <w:rPr>
                <w:rFonts w:cs="Arial"/>
                <w:b/>
                <w:szCs w:val="20"/>
              </w:rPr>
            </w:pPr>
            <w:r w:rsidRPr="00DD1DF4">
              <w:rPr>
                <w:rFonts w:cs="Arial"/>
                <w:b/>
                <w:szCs w:val="20"/>
              </w:rPr>
              <w:t>$</w:t>
            </w:r>
            <w:r w:rsidR="00DE4D50">
              <w:rPr>
                <w:rFonts w:cs="Arial"/>
                <w:b/>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DD1DF4" w:rsidRDefault="00A1234E" w:rsidP="005908ED">
            <w:pPr>
              <w:pStyle w:val="Tabletext"/>
              <w:keepNext/>
              <w:keepLines/>
              <w:jc w:val="center"/>
              <w:rPr>
                <w:rFonts w:cs="Arial"/>
                <w:b/>
                <w:szCs w:val="20"/>
              </w:rPr>
            </w:pPr>
            <w:r w:rsidRPr="00DD1DF4">
              <w:rPr>
                <w:rFonts w:cs="Arial"/>
                <w:b/>
                <w:szCs w:val="20"/>
              </w:rPr>
              <w:t>$</w:t>
            </w:r>
            <w:r w:rsidR="00DE4D50">
              <w:rPr>
                <w:rFonts w:cs="Arial"/>
                <w:b/>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34E" w:rsidRPr="00DD1DF4" w:rsidRDefault="00A1234E" w:rsidP="005908ED">
            <w:pPr>
              <w:pStyle w:val="Tabletext"/>
              <w:keepNext/>
              <w:keepLines/>
              <w:jc w:val="center"/>
              <w:rPr>
                <w:rFonts w:cs="Arial"/>
                <w:b/>
                <w:szCs w:val="20"/>
              </w:rPr>
            </w:pPr>
            <w:r w:rsidRPr="00DD1DF4">
              <w:rPr>
                <w:rFonts w:cs="Arial"/>
                <w:b/>
                <w:szCs w:val="20"/>
              </w:rPr>
              <w:t>$</w:t>
            </w:r>
            <w:r w:rsidR="00DE4D50">
              <w:rPr>
                <w:rFonts w:cs="Arial"/>
                <w:b/>
                <w:noProof/>
                <w:color w:val="000000"/>
                <w:szCs w:val="20"/>
                <w:highlight w:val="black"/>
              </w:rPr>
              <w:t>'''''''''''''''''''</w:t>
            </w:r>
          </w:p>
        </w:tc>
      </w:tr>
    </w:tbl>
    <w:p w:rsidR="00A1234E" w:rsidRDefault="00A1234E" w:rsidP="00A1234E">
      <w:pPr>
        <w:pStyle w:val="TableFooter"/>
      </w:pPr>
      <w:r>
        <w:t>Source: ‘Financial analysis workbook’ Excel workbook, Appendix 15 of the submission</w:t>
      </w:r>
    </w:p>
    <w:p w:rsidR="00A1234E" w:rsidRDefault="00A1234E" w:rsidP="00A1234E">
      <w:pPr>
        <w:pStyle w:val="TableFooter"/>
      </w:pPr>
      <w:r>
        <w:t>Abbreviations: BMD, bone mineral density</w:t>
      </w:r>
    </w:p>
    <w:p w:rsidR="001558C9" w:rsidRDefault="00A1234E" w:rsidP="00A1234E">
      <w:pPr>
        <w:pStyle w:val="TableFooter"/>
      </w:pPr>
      <w:r>
        <w:t>Note: cost offsets due to substitution of other therapies was estimated using 1 June 2018 PBS prices. There was a slight increase in these prices due to mark-ups in 1 July 2018. The estimates used were not adjusted during the evaluation.</w:t>
      </w:r>
    </w:p>
    <w:p w:rsidR="00A1234E" w:rsidRPr="008B4262" w:rsidRDefault="008B4262" w:rsidP="008B4262">
      <w:pPr>
        <w:pStyle w:val="TableFooter"/>
        <w:spacing w:before="120" w:after="120"/>
        <w:rPr>
          <w:rFonts w:asciiTheme="minorHAnsi" w:hAnsiTheme="minorHAnsi" w:cstheme="minorHAnsi"/>
          <w:sz w:val="24"/>
          <w:szCs w:val="24"/>
        </w:rPr>
      </w:pPr>
      <w:r>
        <w:rPr>
          <w:rFonts w:asciiTheme="minorHAnsi" w:hAnsiTheme="minorHAnsi" w:cstheme="minorHAnsi"/>
          <w:sz w:val="24"/>
          <w:szCs w:val="24"/>
        </w:rPr>
        <w:t xml:space="preserve">The redacted table shows that at Year 6 the estimated number of patients was less than 10,000 per year and the net cost to the PBS would be less than $10 million per year. </w:t>
      </w:r>
    </w:p>
    <w:p w:rsidR="00150E5D" w:rsidRDefault="009F6F63" w:rsidP="00995778">
      <w:pPr>
        <w:pStyle w:val="ListParagraph"/>
      </w:pPr>
      <w:r w:rsidRPr="00620268">
        <w:t>The approach used to estimate the eligible population failed to identify the pool of prevalent patients who would be eligible for treatment</w:t>
      </w:r>
      <w:r w:rsidR="00D729F3" w:rsidRPr="00620268">
        <w:t xml:space="preserve"> with romosozumab</w:t>
      </w:r>
      <w:r w:rsidR="009629E8" w:rsidRPr="00620268">
        <w:t>. This was because</w:t>
      </w:r>
      <w:r w:rsidR="00D729F3" w:rsidRPr="00620268">
        <w:t xml:space="preserve"> </w:t>
      </w:r>
      <w:r w:rsidR="009629E8" w:rsidRPr="00620268">
        <w:t xml:space="preserve">the submission </w:t>
      </w:r>
      <w:r w:rsidR="00D729F3" w:rsidRPr="00620268">
        <w:t>only included</w:t>
      </w:r>
      <w:r w:rsidR="009629E8" w:rsidRPr="00620268">
        <w:t>:</w:t>
      </w:r>
      <w:r w:rsidR="00D729F3" w:rsidRPr="00620268">
        <w:t xml:space="preserve"> incident fracture populations for </w:t>
      </w:r>
      <w:r w:rsidR="009629E8" w:rsidRPr="00620268">
        <w:t xml:space="preserve">the </w:t>
      </w:r>
      <w:r w:rsidR="00AE2DD8">
        <w:t>later-line</w:t>
      </w:r>
      <w:r w:rsidR="00D729F3" w:rsidRPr="00620268">
        <w:t xml:space="preserve"> listing </w:t>
      </w:r>
      <w:r w:rsidR="009629E8" w:rsidRPr="00620268">
        <w:t xml:space="preserve">(i.e. patients with a fracture on prior anti-resorptive therapy); </w:t>
      </w:r>
      <w:r w:rsidR="00D729F3" w:rsidRPr="00620268">
        <w:t xml:space="preserve">and patients with less than 12 months prior treatment for </w:t>
      </w:r>
      <w:r w:rsidR="009629E8" w:rsidRPr="00620268">
        <w:t xml:space="preserve">the </w:t>
      </w:r>
      <w:r w:rsidR="00A05C20">
        <w:t>additional</w:t>
      </w:r>
      <w:r w:rsidR="00A05C20" w:rsidRPr="00620268">
        <w:t xml:space="preserve"> </w:t>
      </w:r>
      <w:r w:rsidR="00AE2DD8">
        <w:t>population</w:t>
      </w:r>
      <w:r w:rsidR="00D729F3" w:rsidRPr="00620268">
        <w:t xml:space="preserve"> listing</w:t>
      </w:r>
      <w:r w:rsidRPr="00620268">
        <w:t>.</w:t>
      </w:r>
      <w:r w:rsidR="00C54F85" w:rsidRPr="00620268">
        <w:t xml:space="preserve"> </w:t>
      </w:r>
      <w:r w:rsidRPr="00620268">
        <w:t>Based on the estimates presented in the submission the severe osteoporosis population</w:t>
      </w:r>
      <w:r w:rsidR="00A05C20">
        <w:t xml:space="preserve"> (additional population)</w:t>
      </w:r>
      <w:r w:rsidRPr="00620268">
        <w:t xml:space="preserve"> eligible for romosozumab treatment represents &lt;1% of the treated osteoporosis population.</w:t>
      </w:r>
    </w:p>
    <w:p w:rsidR="009F6F63" w:rsidRPr="008C40CA" w:rsidRDefault="00F015A0" w:rsidP="00995778">
      <w:pPr>
        <w:pStyle w:val="ListParagraph"/>
      </w:pPr>
      <w:r w:rsidRPr="008C40CA">
        <w:t xml:space="preserve">The ESC </w:t>
      </w:r>
      <w:r w:rsidR="00ED0795" w:rsidRPr="008C40CA">
        <w:t xml:space="preserve">noted </w:t>
      </w:r>
      <w:r w:rsidRPr="008C40CA">
        <w:t xml:space="preserve">that the </w:t>
      </w:r>
      <w:r w:rsidR="00A05C20" w:rsidRPr="008C40CA">
        <w:t>additional</w:t>
      </w:r>
      <w:r w:rsidR="00AE2DD8" w:rsidRPr="008C40CA">
        <w:t xml:space="preserve"> population</w:t>
      </w:r>
      <w:r w:rsidRPr="008C40CA">
        <w:t xml:space="preserve"> </w:t>
      </w:r>
      <w:r w:rsidR="00C159BB" w:rsidRPr="008C40CA">
        <w:t xml:space="preserve">(first-line) </w:t>
      </w:r>
      <w:r w:rsidRPr="008C40CA">
        <w:t xml:space="preserve">listing </w:t>
      </w:r>
      <w:r w:rsidR="00EB2149" w:rsidRPr="008C40CA">
        <w:t xml:space="preserve">would </w:t>
      </w:r>
      <w:r w:rsidR="00D01E1D" w:rsidRPr="008C40CA">
        <w:t xml:space="preserve">allow use in </w:t>
      </w:r>
      <w:r w:rsidR="00C159BB" w:rsidRPr="008C40CA">
        <w:t>later-line</w:t>
      </w:r>
      <w:r w:rsidRPr="008C40CA">
        <w:t xml:space="preserve"> </w:t>
      </w:r>
      <w:r w:rsidR="00D01E1D" w:rsidRPr="008C40CA">
        <w:t>settings</w:t>
      </w:r>
      <w:r w:rsidRPr="008C40CA">
        <w:t xml:space="preserve">. </w:t>
      </w:r>
      <w:r w:rsidR="00400895" w:rsidRPr="008C40CA">
        <w:t>As such, the</w:t>
      </w:r>
      <w:r w:rsidRPr="008C40CA">
        <w:t xml:space="preserve"> ESC considered </w:t>
      </w:r>
      <w:r w:rsidR="00400895" w:rsidRPr="008C40CA">
        <w:t>that</w:t>
      </w:r>
      <w:r w:rsidR="00D01E1D" w:rsidRPr="008C40CA">
        <w:t xml:space="preserve"> for clarity,</w:t>
      </w:r>
      <w:r w:rsidR="00400895" w:rsidRPr="008C40CA">
        <w:t xml:space="preserve"> the financial estimates for the </w:t>
      </w:r>
      <w:r w:rsidR="00A05C20" w:rsidRPr="008C40CA">
        <w:t>additional</w:t>
      </w:r>
      <w:r w:rsidR="00ED0795" w:rsidRPr="008C40CA">
        <w:t xml:space="preserve"> population</w:t>
      </w:r>
      <w:r w:rsidR="00400895" w:rsidRPr="008C40CA">
        <w:t xml:space="preserve"> should incorp</w:t>
      </w:r>
      <w:r w:rsidR="009C7160" w:rsidRPr="008C40CA">
        <w:t xml:space="preserve">orate </w:t>
      </w:r>
      <w:r w:rsidR="00D01E1D" w:rsidRPr="008C40CA">
        <w:t>relevant</w:t>
      </w:r>
      <w:r w:rsidR="009C7160" w:rsidRPr="008C40CA">
        <w:t xml:space="preserve"> patients </w:t>
      </w:r>
      <w:r w:rsidR="00D01E1D" w:rsidRPr="008C40CA">
        <w:t xml:space="preserve">from the later-line listing </w:t>
      </w:r>
      <w:r w:rsidR="009C7160" w:rsidRPr="008C40CA">
        <w:t xml:space="preserve">in order to adequately estimate the </w:t>
      </w:r>
      <w:r w:rsidR="00D01E1D" w:rsidRPr="008C40CA">
        <w:t xml:space="preserve">financial </w:t>
      </w:r>
      <w:r w:rsidR="009C7160" w:rsidRPr="008C40CA">
        <w:t xml:space="preserve">impact. </w:t>
      </w:r>
      <w:r w:rsidR="00C159BB" w:rsidRPr="008C40CA">
        <w:t>The ESC considered that over time, as incident patients use romosozumab first-line, there would be fewer patients eligible to use romosozumab later-line</w:t>
      </w:r>
      <w:r w:rsidR="00D01E1D" w:rsidRPr="008C40CA">
        <w:t xml:space="preserve"> (if it is listed for once-in-a-lifetime use)</w:t>
      </w:r>
      <w:r w:rsidR="00C159BB" w:rsidRPr="008C40CA">
        <w:t xml:space="preserve">. The impacts of first-line use </w:t>
      </w:r>
      <w:r w:rsidR="00D01E1D" w:rsidRPr="008C40CA">
        <w:t xml:space="preserve">on </w:t>
      </w:r>
      <w:r w:rsidR="00C159BB" w:rsidRPr="008C40CA">
        <w:t xml:space="preserve">later-line use would need to be incorporated into the </w:t>
      </w:r>
      <w:r w:rsidR="00A05C20" w:rsidRPr="008C40CA">
        <w:t>additional</w:t>
      </w:r>
      <w:r w:rsidR="00ED0795" w:rsidRPr="008C40CA">
        <w:t xml:space="preserve"> population</w:t>
      </w:r>
      <w:r w:rsidR="00C159BB" w:rsidRPr="008C40CA">
        <w:t xml:space="preserve"> financial estimates. </w:t>
      </w:r>
    </w:p>
    <w:p w:rsidR="009F6F63" w:rsidRPr="00620268" w:rsidRDefault="009F6F63" w:rsidP="00995778">
      <w:pPr>
        <w:pStyle w:val="ListParagraph"/>
      </w:pPr>
      <w:r w:rsidRPr="00620268">
        <w:t xml:space="preserve">The budget impact estimates are associated with significant uncertainties regarding the estimated cost of romosozumab (uptake rates </w:t>
      </w:r>
      <w:r w:rsidR="009629E8" w:rsidRPr="00620268">
        <w:t xml:space="preserve">were </w:t>
      </w:r>
      <w:r w:rsidRPr="00620268">
        <w:t>based on a static anabolic market) and cost offsets (</w:t>
      </w:r>
      <w:r w:rsidR="009629E8" w:rsidRPr="00620268">
        <w:t xml:space="preserve">there was a </w:t>
      </w:r>
      <w:r w:rsidRPr="00620268">
        <w:t>calculation error in substituted ant</w:t>
      </w:r>
      <w:r w:rsidR="00A03C7B" w:rsidRPr="00620268">
        <w:t>i-resorptive</w:t>
      </w:r>
      <w:r w:rsidRPr="00620268">
        <w:t xml:space="preserve"> scripts, substitution rates </w:t>
      </w:r>
      <w:r w:rsidR="009629E8" w:rsidRPr="00620268">
        <w:t xml:space="preserve">were </w:t>
      </w:r>
      <w:r w:rsidRPr="00620268">
        <w:t>based on a poorly documented 10% Medicare sample</w:t>
      </w:r>
      <w:r w:rsidR="00B3484E">
        <w:t xml:space="preserve"> analysis</w:t>
      </w:r>
      <w:r w:rsidRPr="00620268">
        <w:t xml:space="preserve">, </w:t>
      </w:r>
      <w:r w:rsidR="009629E8" w:rsidRPr="00620268">
        <w:t xml:space="preserve">and the submission </w:t>
      </w:r>
      <w:r w:rsidRPr="00620268">
        <w:t>assum</w:t>
      </w:r>
      <w:r w:rsidR="009629E8" w:rsidRPr="00620268">
        <w:t>ed</w:t>
      </w:r>
      <w:r w:rsidRPr="00620268">
        <w:t xml:space="preserve"> no substitution of teriparatide beyond 1 year of therapy).  </w:t>
      </w:r>
    </w:p>
    <w:p w:rsidR="00576972" w:rsidRPr="00C9624D" w:rsidRDefault="00576972" w:rsidP="005908ED">
      <w:pPr>
        <w:pStyle w:val="Heading2"/>
        <w:keepNext/>
      </w:pPr>
      <w:bookmarkStart w:id="15" w:name="_Toc524518341"/>
      <w:r w:rsidRPr="00C9624D">
        <w:lastRenderedPageBreak/>
        <w:t>Quality Use of Medicines</w:t>
      </w:r>
      <w:bookmarkEnd w:id="15"/>
    </w:p>
    <w:p w:rsidR="005E3660" w:rsidRPr="00620268" w:rsidRDefault="005E3660" w:rsidP="00995778">
      <w:pPr>
        <w:pStyle w:val="ListParagraph"/>
      </w:pPr>
      <w:r w:rsidRPr="00620268">
        <w:t>The submission claimed that the availability of romosozumab will address an unmet need in the PBS population</w:t>
      </w:r>
      <w:r w:rsidR="006C5F77" w:rsidRPr="00620268">
        <w:t xml:space="preserve"> as it will provide access to another anabolic agent which has a lower treatment burden than teriparatide</w:t>
      </w:r>
      <w:r w:rsidRPr="00620268">
        <w:t>.</w:t>
      </w:r>
    </w:p>
    <w:p w:rsidR="005E3660" w:rsidRPr="00620268" w:rsidRDefault="005E3660" w:rsidP="00995778">
      <w:pPr>
        <w:pStyle w:val="ListParagraph"/>
      </w:pPr>
      <w:r w:rsidRPr="00620268">
        <w:t>The submission stated that lifelong osteoporosis therapy is required in patients with severe disease. Based on the draft product information, romosozumab has a recommended d</w:t>
      </w:r>
      <w:r w:rsidR="00C159BB">
        <w:t>u</w:t>
      </w:r>
      <w:r w:rsidR="00730CA9">
        <w:t>r</w:t>
      </w:r>
      <w:r w:rsidR="00C159BB">
        <w:t>ation</w:t>
      </w:r>
      <w:r w:rsidRPr="00620268">
        <w:t xml:space="preserve"> of 12 months which must be followed-up with ongoing anti-resorptive therapy in order to retain treatment benefit. This is reliant on patient and clinician behaviour which was not addressed in the submission. </w:t>
      </w:r>
    </w:p>
    <w:p w:rsidR="005E3660" w:rsidRPr="008C40CA" w:rsidRDefault="005E3660" w:rsidP="00995778">
      <w:pPr>
        <w:pStyle w:val="ListParagraph"/>
      </w:pPr>
      <w:r w:rsidRPr="00620268">
        <w:t xml:space="preserve">The submission did not propose a limit on the use of romosozumab on the PBS. </w:t>
      </w:r>
      <w:r w:rsidR="006D4552" w:rsidRPr="00620268">
        <w:t>There are</w:t>
      </w:r>
      <w:r w:rsidRPr="00620268">
        <w:t xml:space="preserve"> limited clinical data on continuous use beyond 12 months, use of multiple courses of romosozumab or use in patients previously treated with other anabolic agents. Given the </w:t>
      </w:r>
      <w:r w:rsidR="001A7BE9">
        <w:t xml:space="preserve">lack of clinical data for use beyond 12 months, the PBAC considered that </w:t>
      </w:r>
      <w:r w:rsidR="004F1F10" w:rsidRPr="008C40CA">
        <w:t xml:space="preserve">PBS-subsidised use of romosozumab </w:t>
      </w:r>
      <w:r w:rsidR="001A7BE9">
        <w:t xml:space="preserve">should be limited </w:t>
      </w:r>
      <w:r w:rsidR="004F1F10" w:rsidRPr="008C40CA">
        <w:t>to a maximum of 12 months</w:t>
      </w:r>
      <w:r w:rsidR="001A7BE9">
        <w:t xml:space="preserve"> per lifetime</w:t>
      </w:r>
      <w:r w:rsidR="004F1F10" w:rsidRPr="008C40CA">
        <w:t xml:space="preserve">. </w:t>
      </w:r>
    </w:p>
    <w:p w:rsidR="00063ABC" w:rsidRDefault="005E3660" w:rsidP="00995778">
      <w:pPr>
        <w:pStyle w:val="ListParagraph"/>
      </w:pPr>
      <w:r w:rsidRPr="008C40CA">
        <w:t xml:space="preserve">The draft product information suggests that romosozumab can be administered by a trained individual. </w:t>
      </w:r>
      <w:r w:rsidR="006D4552" w:rsidRPr="008C40CA">
        <w:t>There were</w:t>
      </w:r>
      <w:r w:rsidRPr="008C40CA">
        <w:t xml:space="preserve"> no clinical data on the self-administration of romosozumab by patients or carers.</w:t>
      </w:r>
      <w:r w:rsidR="004F1F10" w:rsidRPr="008C40CA">
        <w:t xml:space="preserve"> The PSCR </w:t>
      </w:r>
      <w:r w:rsidR="004F1F10" w:rsidRPr="00167BEA">
        <w:t xml:space="preserve">indicated that only the auto-injector presentation of romosozumab would be marketed in Australia. </w:t>
      </w:r>
      <w:bookmarkStart w:id="16" w:name="_Toc524518342"/>
    </w:p>
    <w:p w:rsidR="00576972" w:rsidRPr="00C9624D" w:rsidRDefault="00576972" w:rsidP="00995778">
      <w:pPr>
        <w:pStyle w:val="Heading2"/>
      </w:pPr>
      <w:r w:rsidRPr="00C9624D">
        <w:t>Financial Management – Risk Sharing Arrangements</w:t>
      </w:r>
      <w:bookmarkEnd w:id="16"/>
    </w:p>
    <w:p w:rsidR="005F6FC2" w:rsidRDefault="005F6FC2" w:rsidP="00995778">
      <w:pPr>
        <w:pStyle w:val="ListParagraph"/>
      </w:pPr>
      <w:r w:rsidRPr="005F6FC2">
        <w:t>The submission stated that teriparatide is currently subject to a special pricing arrangement and noted that a special pricing arrangement would also be required for romosozumab</w:t>
      </w:r>
      <w:r w:rsidR="009B4E36">
        <w:t>.</w:t>
      </w:r>
    </w:p>
    <w:p w:rsidR="005F6FC2" w:rsidRDefault="005F6FC2" w:rsidP="00995778">
      <w:pPr>
        <w:pStyle w:val="ListParagraph"/>
      </w:pPr>
      <w:r>
        <w:t>The submission did not propose</w:t>
      </w:r>
      <w:r w:rsidRPr="005F6FC2">
        <w:t xml:space="preserve"> a risk-</w:t>
      </w:r>
      <w:r w:rsidR="007F4FEC" w:rsidRPr="005F6FC2">
        <w:t>shar</w:t>
      </w:r>
      <w:r w:rsidR="007F4FEC">
        <w:t>ing</w:t>
      </w:r>
      <w:r w:rsidR="007F4FEC" w:rsidRPr="005F6FC2">
        <w:t xml:space="preserve"> </w:t>
      </w:r>
      <w:r w:rsidRPr="005F6FC2">
        <w:t>arrangement.</w:t>
      </w:r>
    </w:p>
    <w:p w:rsidR="005908ED" w:rsidRPr="005908ED" w:rsidRDefault="005908ED" w:rsidP="005908ED">
      <w:pPr>
        <w:pStyle w:val="BodyText"/>
        <w:ind w:firstLine="720"/>
        <w:rPr>
          <w:i/>
        </w:rPr>
      </w:pPr>
      <w:r w:rsidRPr="005908ED">
        <w:rPr>
          <w:i/>
        </w:rPr>
        <w:t>For more detail on the PBAC’s view, see Section 7 PBAC outcome.</w:t>
      </w:r>
    </w:p>
    <w:p w:rsidR="00F60002" w:rsidRPr="00F60002" w:rsidRDefault="00F60002" w:rsidP="009A220F">
      <w:pPr>
        <w:pStyle w:val="PBACHeading1"/>
      </w:pPr>
      <w:r w:rsidRPr="00F60002">
        <w:t>PBAC outcome</w:t>
      </w:r>
    </w:p>
    <w:p w:rsidR="00B60682" w:rsidRDefault="00B60682" w:rsidP="00995778">
      <w:pPr>
        <w:pStyle w:val="ListParagraph"/>
      </w:pPr>
      <w:r w:rsidRPr="003364F4">
        <w:rPr>
          <w:rFonts w:asciiTheme="minorHAnsi" w:hAnsiTheme="minorHAnsi"/>
          <w:bCs/>
          <w:lang w:val="en-GB"/>
        </w:rPr>
        <w:t>The PBAC did not recommend the listing of</w:t>
      </w:r>
      <w:r>
        <w:rPr>
          <w:rFonts w:asciiTheme="minorHAnsi" w:hAnsiTheme="minorHAnsi"/>
          <w:bCs/>
          <w:lang w:val="en-GB"/>
        </w:rPr>
        <w:t xml:space="preserve"> romosozumab</w:t>
      </w:r>
      <w:r w:rsidRPr="003364F4">
        <w:rPr>
          <w:rFonts w:asciiTheme="minorHAnsi" w:hAnsiTheme="minorHAnsi"/>
          <w:bCs/>
          <w:lang w:val="en-GB"/>
        </w:rPr>
        <w:t xml:space="preserve"> for the </w:t>
      </w:r>
      <w:r w:rsidR="009115F5">
        <w:rPr>
          <w:rFonts w:asciiTheme="minorHAnsi" w:hAnsiTheme="minorHAnsi"/>
          <w:bCs/>
          <w:lang w:val="en-GB"/>
        </w:rPr>
        <w:t xml:space="preserve">treatment </w:t>
      </w:r>
      <w:r w:rsidR="009115F5" w:rsidRPr="00B455E3">
        <w:t>of severe osteoporosis</w:t>
      </w:r>
      <w:r w:rsidR="00E732BC">
        <w:t xml:space="preserve"> due to uncertainties </w:t>
      </w:r>
      <w:r w:rsidR="00F66456">
        <w:t>in the</w:t>
      </w:r>
      <w:r w:rsidR="0033405F">
        <w:t xml:space="preserve"> </w:t>
      </w:r>
      <w:r w:rsidR="00F66456">
        <w:t>clinical claim</w:t>
      </w:r>
      <w:r w:rsidR="005D0873">
        <w:t>s</w:t>
      </w:r>
      <w:r w:rsidR="006B7F49">
        <w:t xml:space="preserve"> and the </w:t>
      </w:r>
      <w:r w:rsidR="00937E24">
        <w:t>financial estimates</w:t>
      </w:r>
      <w:r w:rsidR="007465BE">
        <w:t xml:space="preserve"> and concerns regarding the safety profile</w:t>
      </w:r>
      <w:r w:rsidR="00937E24">
        <w:t>.</w:t>
      </w:r>
      <w:r w:rsidR="0033405F">
        <w:t xml:space="preserve"> </w:t>
      </w:r>
      <w:r w:rsidR="00F56713">
        <w:t xml:space="preserve">For the comparison versus teriparatide, the PBAC considered that the cost-minimisation analysis and financial estimates </w:t>
      </w:r>
      <w:r w:rsidR="002D70BD">
        <w:t>were un</w:t>
      </w:r>
      <w:r w:rsidR="00484038">
        <w:t>reliable</w:t>
      </w:r>
      <w:r w:rsidR="00F56713">
        <w:t>. For the comparison versus alendronate, the PBAC considered that the long-term comparative efficacy was uncertain, and the economic model was not a reliable basis for decision making.</w:t>
      </w:r>
      <w:r w:rsidR="00D87F4A">
        <w:t xml:space="preserve"> </w:t>
      </w:r>
      <w:r w:rsidR="00F56713">
        <w:t>For both comparisons, the PBAC considered that romosozumab had inferior comparative safety (versus teriparatide or alendronate)</w:t>
      </w:r>
      <w:r w:rsidR="00C92006">
        <w:t>.</w:t>
      </w:r>
    </w:p>
    <w:p w:rsidR="008834E3" w:rsidRDefault="006734A2" w:rsidP="00995778">
      <w:pPr>
        <w:pStyle w:val="ListParagraph"/>
      </w:pPr>
      <w:r w:rsidRPr="006734A2">
        <w:t>The PBAC noted the submission requested listing for two patient populations – a ‘later line</w:t>
      </w:r>
      <w:r w:rsidR="00B552E1">
        <w:t xml:space="preserve">’ </w:t>
      </w:r>
      <w:r w:rsidRPr="006734A2">
        <w:t>population and an ‘additional</w:t>
      </w:r>
      <w:r w:rsidR="00B552E1">
        <w:t>’</w:t>
      </w:r>
      <w:r w:rsidRPr="006734A2">
        <w:t xml:space="preserve"> population</w:t>
      </w:r>
      <w:r w:rsidR="00EE1C27">
        <w:t xml:space="preserve">. </w:t>
      </w:r>
      <w:r w:rsidR="00B552E1">
        <w:t xml:space="preserve">The </w:t>
      </w:r>
      <w:r w:rsidR="00D547B3">
        <w:t xml:space="preserve">PBAC considered </w:t>
      </w:r>
      <w:r w:rsidR="00B552E1">
        <w:t xml:space="preserve">teriparatide </w:t>
      </w:r>
      <w:r w:rsidR="00113E69">
        <w:t xml:space="preserve">was an appropriate comparator </w:t>
      </w:r>
      <w:r w:rsidR="00B552E1">
        <w:t xml:space="preserve">for </w:t>
      </w:r>
      <w:r w:rsidR="00113E69">
        <w:t xml:space="preserve">the </w:t>
      </w:r>
      <w:r w:rsidR="00B552E1">
        <w:t xml:space="preserve">‘later line’ </w:t>
      </w:r>
      <w:r w:rsidR="00113E69">
        <w:t xml:space="preserve">population </w:t>
      </w:r>
      <w:r w:rsidR="00B552E1">
        <w:t xml:space="preserve">and alendronate </w:t>
      </w:r>
      <w:r w:rsidR="00113E69">
        <w:t>was an appropriate comparator for the ‘additional’ population</w:t>
      </w:r>
      <w:r w:rsidR="00B552E1">
        <w:t xml:space="preserve">. </w:t>
      </w:r>
    </w:p>
    <w:p w:rsidR="008834E3" w:rsidRPr="008834E3" w:rsidRDefault="008834E3" w:rsidP="005908ED">
      <w:pPr>
        <w:widowControl/>
        <w:spacing w:before="120" w:after="120"/>
        <w:rPr>
          <w:u w:val="single"/>
        </w:rPr>
      </w:pPr>
      <w:r w:rsidRPr="008834E3">
        <w:rPr>
          <w:u w:val="single"/>
        </w:rPr>
        <w:lastRenderedPageBreak/>
        <w:t>Analysis versus teripar</w:t>
      </w:r>
      <w:r w:rsidR="00B3484E">
        <w:rPr>
          <w:u w:val="single"/>
        </w:rPr>
        <w:t>a</w:t>
      </w:r>
      <w:r w:rsidRPr="008834E3">
        <w:rPr>
          <w:u w:val="single"/>
        </w:rPr>
        <w:t>tide (later-line population)</w:t>
      </w:r>
    </w:p>
    <w:p w:rsidR="008834E3" w:rsidRDefault="008834E3" w:rsidP="00995778">
      <w:pPr>
        <w:pStyle w:val="ListParagraph"/>
      </w:pPr>
      <w:r>
        <w:t xml:space="preserve">The PBAC noted there were numerous issues with the comparison versus teriparatide including </w:t>
      </w:r>
      <w:r w:rsidRPr="00D8495F">
        <w:t>the unknown clinical importance of BMD outcomes, the exchangeability</w:t>
      </w:r>
      <w:r>
        <w:t xml:space="preserve"> and</w:t>
      </w:r>
      <w:r w:rsidRPr="00D8495F">
        <w:t xml:space="preserve"> applicability </w:t>
      </w:r>
      <w:r>
        <w:t>issues with</w:t>
      </w:r>
      <w:r w:rsidRPr="00D8495F">
        <w:t xml:space="preserve"> the indirect analysis of fracture outcomes, the lack of comparative data in patients with prior anti-resorptive therapy and lack of comparative data on residual effectiveness with and without subsequent anti-resorptive therapy</w:t>
      </w:r>
      <w:r>
        <w:t>.</w:t>
      </w:r>
      <w:r w:rsidR="00786E3C" w:rsidRPr="00786E3C">
        <w:t xml:space="preserve"> </w:t>
      </w:r>
      <w:r w:rsidR="00786E3C">
        <w:t xml:space="preserve">The PBAC considered the claim of non-inferior efficacy uncertain, however noted that further data may not be available to increase the certainty for this claim. In this context, the PBAC considered any </w:t>
      </w:r>
      <w:r w:rsidR="00FC3788">
        <w:t xml:space="preserve">economic evaluation </w:t>
      </w:r>
      <w:r w:rsidR="00786E3C">
        <w:t>versus teripar</w:t>
      </w:r>
      <w:r w:rsidR="00FC3788">
        <w:t>a</w:t>
      </w:r>
      <w:r w:rsidR="00786E3C">
        <w:t>tide would need to be informed by conservative assumptions.</w:t>
      </w:r>
    </w:p>
    <w:p w:rsidR="008834E3" w:rsidRDefault="008834E3" w:rsidP="00995778">
      <w:pPr>
        <w:pStyle w:val="ListParagraph"/>
      </w:pPr>
      <w:r w:rsidRPr="00D772F0">
        <w:t xml:space="preserve">The </w:t>
      </w:r>
      <w:r>
        <w:t xml:space="preserve">PBAC </w:t>
      </w:r>
      <w:r w:rsidRPr="00D772F0">
        <w:t>considered that the claim of similar safety compared to teriparatide was not adequately supported given the higher rates of cardiovascular adverse events reported in the STRUCTURE trial in the context of the broader concerns about cardiovascular safety with romosozumab reported in other trials</w:t>
      </w:r>
      <w:r>
        <w:t xml:space="preserve">. </w:t>
      </w:r>
      <w:r w:rsidRPr="00D772F0">
        <w:t xml:space="preserve">The STRUCTURE trial (romosozumab versus teriparatide) </w:t>
      </w:r>
      <w:r>
        <w:t>reported that</w:t>
      </w:r>
      <w:r w:rsidRPr="00D772F0">
        <w:t xml:space="preserve"> that the i</w:t>
      </w:r>
      <w:r>
        <w:t xml:space="preserve">ncidence of treatment-emergent </w:t>
      </w:r>
      <w:r w:rsidRPr="00D772F0">
        <w:t xml:space="preserve">serious cardiac </w:t>
      </w:r>
      <w:r>
        <w:t xml:space="preserve">disorders adverse events </w:t>
      </w:r>
      <w:r w:rsidRPr="00D772F0">
        <w:t>was 0.9% (2/214) in the teriparatide arm, versus 2.3% (5/218) in the romosozumab arm</w:t>
      </w:r>
      <w:r>
        <w:t xml:space="preserve">. </w:t>
      </w:r>
    </w:p>
    <w:p w:rsidR="007377DC" w:rsidRDefault="007377DC" w:rsidP="00995778">
      <w:pPr>
        <w:pStyle w:val="ListParagraph"/>
      </w:pPr>
      <w:r w:rsidRPr="00DE360E">
        <w:t xml:space="preserve">The PBAC noted the cost-minimisation analysis </w:t>
      </w:r>
      <w:r>
        <w:t xml:space="preserve">of romosozumab compared to </w:t>
      </w:r>
      <w:r w:rsidRPr="00DE360E">
        <w:t xml:space="preserve">teriparatide </w:t>
      </w:r>
      <w:r>
        <w:t>was based on dosage regimens in the relevant product information documents</w:t>
      </w:r>
      <w:r w:rsidR="00B10DBF">
        <w:t>. The PBAC</w:t>
      </w:r>
      <w:r w:rsidR="00D92FEE">
        <w:t xml:space="preserve"> </w:t>
      </w:r>
      <w:r>
        <w:t xml:space="preserve">considered a more appropriate methodology </w:t>
      </w:r>
      <w:r w:rsidRPr="00541863">
        <w:t xml:space="preserve">would be to apply trial-based equi-effective doses taking into </w:t>
      </w:r>
      <w:r w:rsidR="00B10DBF" w:rsidRPr="00541863">
        <w:t xml:space="preserve">account </w:t>
      </w:r>
      <w:r w:rsidRPr="00541863">
        <w:t>the mean dose administered to patients</w:t>
      </w:r>
      <w:r w:rsidR="00B10DBF" w:rsidRPr="00541863">
        <w:t xml:space="preserve"> over the relevant treatment periods (12 months for romosozumab and 18 months for teripar</w:t>
      </w:r>
      <w:r w:rsidR="00922E11" w:rsidRPr="00541863">
        <w:t>a</w:t>
      </w:r>
      <w:r w:rsidR="00B10DBF" w:rsidRPr="00541863">
        <w:t>tide)</w:t>
      </w:r>
      <w:r w:rsidRPr="00541863">
        <w:t xml:space="preserve">. The </w:t>
      </w:r>
      <w:r w:rsidR="00541863">
        <w:t>economic evaluation</w:t>
      </w:r>
      <w:r>
        <w:t xml:space="preserve"> should incorporate any </w:t>
      </w:r>
      <w:r w:rsidR="00B10DBF" w:rsidDel="007B761D">
        <w:t>costs associated with monitoring and managing the cardiovascular adverse events observed for romosozumab</w:t>
      </w:r>
      <w:r w:rsidR="00922E11">
        <w:t>.</w:t>
      </w:r>
    </w:p>
    <w:p w:rsidR="009A7468" w:rsidRDefault="00EB1F96" w:rsidP="00995778">
      <w:pPr>
        <w:pStyle w:val="ListParagraph"/>
      </w:pPr>
      <w:r w:rsidRPr="0095692D">
        <w:t xml:space="preserve">The PBAC considered the financial estimates for </w:t>
      </w:r>
      <w:r w:rsidR="007C761E">
        <w:t>the ‘later line</w:t>
      </w:r>
      <w:r w:rsidRPr="0095692D">
        <w:t>’ population were highly uncertain</w:t>
      </w:r>
      <w:r>
        <w:t>.</w:t>
      </w:r>
      <w:r w:rsidRPr="0049654F">
        <w:t xml:space="preserve"> </w:t>
      </w:r>
      <w:r>
        <w:t>The PBAC noted the approach to estimating the eligible population did not consider the pool of prevalent patients that may be appropriate for treatment with romosozumab</w:t>
      </w:r>
      <w:r w:rsidR="00F00A18">
        <w:t xml:space="preserve"> </w:t>
      </w:r>
      <w:r>
        <w:t>which significantly underestimate</w:t>
      </w:r>
      <w:r w:rsidR="00DD259B">
        <w:t>d</w:t>
      </w:r>
      <w:r>
        <w:t xml:space="preserve"> the treated patient population</w:t>
      </w:r>
      <w:r w:rsidR="006A0AE4">
        <w:t xml:space="preserve">. </w:t>
      </w:r>
    </w:p>
    <w:p w:rsidR="00551FFE" w:rsidRDefault="009A7468" w:rsidP="00995778">
      <w:pPr>
        <w:pStyle w:val="ListParagraph"/>
      </w:pPr>
      <w:r>
        <w:t>The PBAC noted the net cost to the PBS/RPBS for the ‘later line’ population was high in the context of a cost-minimisation (</w:t>
      </w:r>
      <w:r w:rsidR="00331DA4">
        <w:t>less than $10</w:t>
      </w:r>
      <w:r>
        <w:t xml:space="preserve"> million in Year 1, increasing to </w:t>
      </w:r>
      <w:r w:rsidR="00331DA4">
        <w:t xml:space="preserve">$10 - $20 </w:t>
      </w:r>
      <w:r>
        <w:t xml:space="preserve">million in Year 6). The high net cost was due to the additional growth in the use of anabolic agents that would occur with the availability of romosozumab. The PBAC considered the assumptions associated with the market growth and the uptake rates of romosozumab were poorly justified. </w:t>
      </w:r>
    </w:p>
    <w:p w:rsidR="009A7468" w:rsidRDefault="00922E11" w:rsidP="00995778">
      <w:pPr>
        <w:pStyle w:val="ListParagraph"/>
      </w:pPr>
      <w:r>
        <w:t xml:space="preserve">The PBAC </w:t>
      </w:r>
      <w:r w:rsidR="00551FFE">
        <w:t>noted</w:t>
      </w:r>
      <w:r w:rsidR="00B73971">
        <w:t xml:space="preserve"> that the</w:t>
      </w:r>
      <w:r w:rsidR="00551FFE">
        <w:t xml:space="preserve"> </w:t>
      </w:r>
      <w:r w:rsidR="006A1AFA">
        <w:t xml:space="preserve">financial estimates </w:t>
      </w:r>
      <w:r w:rsidR="00551FFE">
        <w:t xml:space="preserve">assumed that romosozumab would be used in patients other than those currently treated with teriparatide (i.e. due to the submission’s </w:t>
      </w:r>
      <w:r w:rsidR="00B73971">
        <w:t>assumptions around uptake due to market growth</w:t>
      </w:r>
      <w:r w:rsidR="00551FFE">
        <w:t>). The PBAC considered that it was not clear</w:t>
      </w:r>
      <w:r w:rsidR="006A1AFA" w:rsidRPr="006A1AFA">
        <w:t xml:space="preserve"> whether romosozumab would be cost-effective if it is used in a broader population than those patients who currently receive teriparatide</w:t>
      </w:r>
      <w:r w:rsidR="006A1AFA">
        <w:t xml:space="preserve">. </w:t>
      </w:r>
      <w:r w:rsidR="00551FFE">
        <w:lastRenderedPageBreak/>
        <w:t>The PBAC also considered</w:t>
      </w:r>
      <w:r w:rsidR="00B73971">
        <w:t xml:space="preserve"> </w:t>
      </w:r>
      <w:r>
        <w:t xml:space="preserve">there was a high potential for leakage into the broader first-line setting, where the cost-effectiveness of romosozumab was uncertain. </w:t>
      </w:r>
      <w:r w:rsidR="009A7468">
        <w:t xml:space="preserve"> </w:t>
      </w:r>
    </w:p>
    <w:p w:rsidR="008834E3" w:rsidRDefault="008834E3" w:rsidP="005908ED">
      <w:pPr>
        <w:widowControl/>
        <w:spacing w:before="120" w:after="120"/>
        <w:rPr>
          <w:u w:val="single"/>
        </w:rPr>
      </w:pPr>
      <w:r w:rsidRPr="00BE009B">
        <w:rPr>
          <w:u w:val="single"/>
        </w:rPr>
        <w:t>Analysis versus alendronate (‘additional’ population)</w:t>
      </w:r>
    </w:p>
    <w:p w:rsidR="00D87F4A" w:rsidRDefault="008834E3" w:rsidP="00995778">
      <w:pPr>
        <w:pStyle w:val="ListParagraph"/>
      </w:pPr>
      <w:r>
        <w:t>T</w:t>
      </w:r>
      <w:r w:rsidR="00B552E1">
        <w:t xml:space="preserve">he PBAC considered </w:t>
      </w:r>
      <w:r w:rsidR="0051295B">
        <w:t xml:space="preserve">alendronate was the appropriate comparator in this population but noted </w:t>
      </w:r>
      <w:r w:rsidR="00B552E1">
        <w:t>comparative evidence against denosumab would have been informative as it is the therapy most likely to be replaced in clinical practice</w:t>
      </w:r>
      <w:r w:rsidR="006A0AE4">
        <w:t xml:space="preserve"> for this patient population</w:t>
      </w:r>
      <w:r w:rsidR="00B552E1">
        <w:t xml:space="preserve">.  </w:t>
      </w:r>
    </w:p>
    <w:p w:rsidR="009865B2" w:rsidRPr="00B455E3" w:rsidRDefault="00172F84" w:rsidP="00995778">
      <w:pPr>
        <w:pStyle w:val="ListParagraph"/>
      </w:pPr>
      <w:r>
        <w:t xml:space="preserve">The PBAC considered the data presented supported a claim of superior efficacy compared to alendronate. </w:t>
      </w:r>
      <w:r w:rsidR="00CA5952">
        <w:t xml:space="preserve">The PBAC considered that treatment </w:t>
      </w:r>
      <w:r w:rsidR="009865B2" w:rsidRPr="00E217BE">
        <w:t>with romosozumab followed by alendronate was associated with statistically significant decreases in vertebral (including clinical vertebral) fractures, clinical fractures and non-vertebral fractures (including hip) over</w:t>
      </w:r>
      <w:r w:rsidR="009865B2">
        <w:t xml:space="preserve"> a median of 33 months</w:t>
      </w:r>
      <w:r w:rsidR="009865B2" w:rsidRPr="00E217BE">
        <w:t xml:space="preserve"> </w:t>
      </w:r>
      <w:r w:rsidR="009865B2" w:rsidRPr="00421471">
        <w:t>compared to alendronate alone.</w:t>
      </w:r>
      <w:r w:rsidR="00CA5952">
        <w:t xml:space="preserve"> </w:t>
      </w:r>
      <w:r w:rsidR="00E144DD">
        <w:t xml:space="preserve">However, the PBAC considered the long-term comparative efficacy of romosozumab was </w:t>
      </w:r>
      <w:r w:rsidR="00907DA0">
        <w:t>uncertain</w:t>
      </w:r>
      <w:r w:rsidR="00E144DD">
        <w:t xml:space="preserve"> and that maintenance of the treatment effect after discontinuation of romosozumab would likely depend on persistence </w:t>
      </w:r>
      <w:r w:rsidR="00274CA6">
        <w:t xml:space="preserve">with </w:t>
      </w:r>
      <w:r w:rsidR="00E144DD">
        <w:t xml:space="preserve">anti-resorptive therapy. </w:t>
      </w:r>
    </w:p>
    <w:p w:rsidR="00F00A18" w:rsidRDefault="00DE1DEE" w:rsidP="00995778">
      <w:pPr>
        <w:pStyle w:val="ListParagraph"/>
      </w:pPr>
      <w:r>
        <w:t xml:space="preserve">The PBAC noted the submission did not </w:t>
      </w:r>
      <w:r w:rsidR="00172F84">
        <w:t xml:space="preserve">specify </w:t>
      </w:r>
      <w:r>
        <w:t xml:space="preserve">a comparative safety claim for </w:t>
      </w:r>
      <w:r w:rsidR="00876A54">
        <w:t xml:space="preserve">romosozumab </w:t>
      </w:r>
      <w:r>
        <w:t xml:space="preserve">compared to alendronate but considered it was likely to be of inferior safety </w:t>
      </w:r>
      <w:r w:rsidR="00F40C40">
        <w:t xml:space="preserve">compared </w:t>
      </w:r>
      <w:r>
        <w:t>to alendronate</w:t>
      </w:r>
      <w:r w:rsidR="006F46FD">
        <w:t xml:space="preserve"> given the number of serious cardiovascular events reported in the romosozumab arm of the ARCH trial. </w:t>
      </w:r>
      <w:r w:rsidR="00B30B8D" w:rsidRPr="00B455E3">
        <w:t xml:space="preserve"> </w:t>
      </w:r>
    </w:p>
    <w:p w:rsidR="008B49C5" w:rsidRDefault="00F00A18" w:rsidP="00995778">
      <w:pPr>
        <w:pStyle w:val="ListParagraph"/>
      </w:pPr>
      <w:r w:rsidRPr="005413B8">
        <w:t xml:space="preserve">The PBAC noted </w:t>
      </w:r>
      <w:r>
        <w:t>an additional analysis of the ARCH, BRIDGE and FRAME trials was conducted to further investigate serious cardiovascular adverse events. The report concluded that a causal relationship between romosozumab and serious cardiovascular events could not be confirmed or refuted based on the available data.</w:t>
      </w:r>
      <w:r w:rsidR="00DD259B">
        <w:t xml:space="preserve"> </w:t>
      </w:r>
    </w:p>
    <w:p w:rsidR="00F00A18" w:rsidRDefault="007377DC" w:rsidP="00995778">
      <w:pPr>
        <w:pStyle w:val="ListParagraph"/>
      </w:pPr>
      <w:r>
        <w:t xml:space="preserve">For the cost-utility analysis versus alendronate, the PBAC noted the significant concerns regarding the economic model and agreed with the ESC </w:t>
      </w:r>
      <w:r w:rsidRPr="008C40CA">
        <w:t xml:space="preserve">that the economic model </w:t>
      </w:r>
      <w:r>
        <w:t xml:space="preserve">comparing romosozumab and alendronate </w:t>
      </w:r>
      <w:r w:rsidRPr="008C40CA">
        <w:t>did not form a reliable basis for decision making due to the overestimation of fracture risk and treatment effect, the assumption of continuing treatment effect (which relied on adherence and persistence rates unlikely to be achieved in the PBS population), and potentially unreliable fracture disutilities</w:t>
      </w:r>
      <w:r w:rsidR="00EB1F96">
        <w:t>.</w:t>
      </w:r>
      <w:r w:rsidR="006A0AE4">
        <w:t xml:space="preserve"> </w:t>
      </w:r>
    </w:p>
    <w:p w:rsidR="00E2789B" w:rsidRDefault="00E2789B" w:rsidP="00995778">
      <w:pPr>
        <w:pStyle w:val="ListParagraph"/>
      </w:pPr>
      <w:r w:rsidRPr="0095692D">
        <w:t>The PBAC considered the financial estimates for the ‘additional’ population were highly uncertain</w:t>
      </w:r>
      <w:r>
        <w:t>.</w:t>
      </w:r>
      <w:r w:rsidRPr="0049654F">
        <w:t xml:space="preserve"> </w:t>
      </w:r>
      <w:r>
        <w:t xml:space="preserve">The PBAC considered the estimated total number of patients treated with romosozumab in the ‘additional’ population to be an underestimate with uptake in </w:t>
      </w:r>
      <w:r w:rsidRPr="00B61129">
        <w:t>&lt;1% of the treated osteoporosis population</w:t>
      </w:r>
      <w:r w:rsidRPr="0095692D">
        <w:t>.</w:t>
      </w:r>
      <w:r>
        <w:t xml:space="preserve"> The PBAC noted the approach to estimating the eligible population did not consider the pool of prevalent patients that may be appropriate for treatment with romosozumab which would significantly underestimate the treated patient population</w:t>
      </w:r>
      <w:r w:rsidR="00EB1F96">
        <w:t>.</w:t>
      </w:r>
    </w:p>
    <w:p w:rsidR="007377DC" w:rsidRDefault="00CE0F1C" w:rsidP="00D94836">
      <w:pPr>
        <w:keepNext/>
        <w:keepLines/>
        <w:widowControl/>
        <w:spacing w:before="120" w:after="120"/>
        <w:rPr>
          <w:u w:val="single"/>
        </w:rPr>
      </w:pPr>
      <w:r>
        <w:rPr>
          <w:u w:val="single"/>
        </w:rPr>
        <w:lastRenderedPageBreak/>
        <w:t>Overall comments</w:t>
      </w:r>
    </w:p>
    <w:p w:rsidR="009A7468" w:rsidRPr="009A7468" w:rsidRDefault="00B61129" w:rsidP="00D94836">
      <w:pPr>
        <w:pStyle w:val="ListParagraph"/>
        <w:keepNext/>
        <w:keepLines/>
      </w:pPr>
      <w:r w:rsidRPr="00065A40">
        <w:t xml:space="preserve">The PBAC considered there is a </w:t>
      </w:r>
      <w:r w:rsidR="006F4187">
        <w:t xml:space="preserve">clinical </w:t>
      </w:r>
      <w:r w:rsidRPr="00065A40">
        <w:t xml:space="preserve">need for additional options </w:t>
      </w:r>
      <w:r w:rsidR="00377E3F">
        <w:t xml:space="preserve">for the treatment of </w:t>
      </w:r>
      <w:r w:rsidRPr="00065A40">
        <w:t>severe osteoporosis</w:t>
      </w:r>
      <w:r w:rsidR="00F41ACC">
        <w:t xml:space="preserve"> in later-line settings</w:t>
      </w:r>
      <w:r w:rsidRPr="00065A40">
        <w:t xml:space="preserve"> </w:t>
      </w:r>
      <w:r w:rsidR="006F4187">
        <w:t xml:space="preserve">given the </w:t>
      </w:r>
      <w:r w:rsidR="00B26A91">
        <w:t>more limited alternative therapies available in this setting</w:t>
      </w:r>
      <w:r w:rsidR="006F4187">
        <w:t>.</w:t>
      </w:r>
      <w:r w:rsidR="00250F01" w:rsidRPr="00250F01">
        <w:t xml:space="preserve"> </w:t>
      </w:r>
      <w:r w:rsidR="00250F01">
        <w:t xml:space="preserve">The PBAC considered the risk of cardiac adverse events with romosozumab may be more manageable in a small population of patients with a higher level of fracture risk and </w:t>
      </w:r>
      <w:r w:rsidR="00541863">
        <w:t xml:space="preserve">more </w:t>
      </w:r>
      <w:r w:rsidR="00250F01">
        <w:t xml:space="preserve">limited alternative treatment options. </w:t>
      </w:r>
    </w:p>
    <w:p w:rsidR="003D1C91" w:rsidRDefault="007377DC" w:rsidP="00995778">
      <w:pPr>
        <w:pStyle w:val="ListParagraph"/>
      </w:pPr>
      <w:r>
        <w:t xml:space="preserve">The PBAC considered that any resubmission </w:t>
      </w:r>
      <w:r w:rsidR="008F0722">
        <w:t xml:space="preserve">for romosozumab </w:t>
      </w:r>
      <w:r>
        <w:t xml:space="preserve">would need to be a major submission and should focus on the later-line population, should </w:t>
      </w:r>
      <w:r w:rsidR="009A7468">
        <w:t xml:space="preserve">it </w:t>
      </w:r>
      <w:r>
        <w:t xml:space="preserve">be recommended by the TGA. The resubmission should address the following issues. </w:t>
      </w:r>
    </w:p>
    <w:p w:rsidR="003750BB" w:rsidRDefault="0099614E" w:rsidP="005908ED">
      <w:pPr>
        <w:pStyle w:val="ListParagraph"/>
        <w:numPr>
          <w:ilvl w:val="2"/>
          <w:numId w:val="1"/>
        </w:numPr>
        <w:ind w:left="993" w:hanging="426"/>
      </w:pPr>
      <w:r>
        <w:t>T</w:t>
      </w:r>
      <w:r w:rsidR="003750BB">
        <w:t>he uncertainty with the clinical claim of non-inferior efficacy for romosozumab</w:t>
      </w:r>
      <w:r w:rsidR="00BD3653">
        <w:t xml:space="preserve"> and teriparatide</w:t>
      </w:r>
      <w:r>
        <w:t xml:space="preserve"> (to the extent possible)</w:t>
      </w:r>
      <w:r w:rsidR="00BD3653">
        <w:t>. The PBAC considered that the economic analysis, including the</w:t>
      </w:r>
      <w:r w:rsidR="00800A25">
        <w:t xml:space="preserve"> </w:t>
      </w:r>
      <w:r>
        <w:t xml:space="preserve">use of </w:t>
      </w:r>
      <w:r w:rsidR="00B376A9">
        <w:t xml:space="preserve">trial-based </w:t>
      </w:r>
      <w:r w:rsidR="00BD3653">
        <w:t xml:space="preserve">equi-effective doses, should be based on conservative </w:t>
      </w:r>
      <w:r w:rsidR="00BD3653" w:rsidRPr="00920AB8">
        <w:t>assumptions given the uncertainty in the clinical data.</w:t>
      </w:r>
    </w:p>
    <w:p w:rsidR="00A724C6" w:rsidRDefault="00BD3653" w:rsidP="005908ED">
      <w:pPr>
        <w:pStyle w:val="ListParagraph"/>
        <w:numPr>
          <w:ilvl w:val="2"/>
          <w:numId w:val="1"/>
        </w:numPr>
        <w:ind w:left="993" w:hanging="426"/>
      </w:pPr>
      <w:r>
        <w:t xml:space="preserve">The impact of </w:t>
      </w:r>
      <w:r w:rsidR="00920AB8">
        <w:t xml:space="preserve">the </w:t>
      </w:r>
      <w:r>
        <w:t xml:space="preserve">inferior safety </w:t>
      </w:r>
      <w:r w:rsidR="00920AB8">
        <w:t xml:space="preserve">profile for </w:t>
      </w:r>
      <w:r>
        <w:t xml:space="preserve">romosozumab versus teriparatide </w:t>
      </w:r>
      <w:r w:rsidR="00E0534F">
        <w:t>on</w:t>
      </w:r>
      <w:r>
        <w:t xml:space="preserve"> the economic analysis.</w:t>
      </w:r>
      <w:r w:rsidR="007B761D" w:rsidRPr="007B761D">
        <w:t xml:space="preserve"> </w:t>
      </w:r>
      <w:r w:rsidR="007B761D" w:rsidDel="007B761D">
        <w:t>Th</w:t>
      </w:r>
      <w:r w:rsidR="00E0534F">
        <w:t>e</w:t>
      </w:r>
      <w:r w:rsidR="007B761D" w:rsidDel="007B761D">
        <w:t xml:space="preserve"> analysis should include the costs associated with monitoring and managing the cardiovascular adverse events observed for romosozumab.</w:t>
      </w:r>
    </w:p>
    <w:p w:rsidR="00DC4E78" w:rsidRDefault="00A96B31" w:rsidP="005908ED">
      <w:pPr>
        <w:pStyle w:val="ListParagraph"/>
        <w:numPr>
          <w:ilvl w:val="2"/>
          <w:numId w:val="1"/>
        </w:numPr>
        <w:ind w:left="993" w:hanging="426"/>
      </w:pPr>
      <w:r>
        <w:t>Revised financial estimate</w:t>
      </w:r>
      <w:r w:rsidR="00125B46">
        <w:t>s</w:t>
      </w:r>
      <w:r>
        <w:t xml:space="preserve"> incorporating</w:t>
      </w:r>
      <w:r w:rsidR="006A1AFA">
        <w:t>:</w:t>
      </w:r>
      <w:r>
        <w:t xml:space="preserve"> </w:t>
      </w:r>
      <w:r w:rsidR="005F5C8C">
        <w:t>prevalent patients</w:t>
      </w:r>
      <w:r w:rsidR="00EA4873">
        <w:t xml:space="preserve"> </w:t>
      </w:r>
      <w:r w:rsidR="00F34FFF">
        <w:t>to more appropriately identify the relevant treated patient population</w:t>
      </w:r>
      <w:r w:rsidR="006A1AFA">
        <w:t>; and a</w:t>
      </w:r>
      <w:r>
        <w:t xml:space="preserve">dditional </w:t>
      </w:r>
      <w:r w:rsidR="00F34FFF">
        <w:t xml:space="preserve">justification of </w:t>
      </w:r>
      <w:r>
        <w:t xml:space="preserve">the </w:t>
      </w:r>
      <w:r w:rsidR="00F34FFF">
        <w:t xml:space="preserve">expected </w:t>
      </w:r>
      <w:r w:rsidR="00475812">
        <w:t xml:space="preserve">market growth should romosozumab be listed and </w:t>
      </w:r>
      <w:r w:rsidR="00DC4E78">
        <w:t xml:space="preserve">uptake of romosozumab. </w:t>
      </w:r>
    </w:p>
    <w:p w:rsidR="00EE1C27" w:rsidRDefault="00DC4E78" w:rsidP="005908ED">
      <w:pPr>
        <w:pStyle w:val="ListParagraph"/>
        <w:numPr>
          <w:ilvl w:val="2"/>
          <w:numId w:val="1"/>
        </w:numPr>
        <w:ind w:left="993" w:hanging="426"/>
      </w:pPr>
      <w:r>
        <w:t>The risk of use outside the intended population. The PBAC considered that it was not clear</w:t>
      </w:r>
      <w:r w:rsidRPr="006A1AFA">
        <w:t xml:space="preserve"> whether romosozumab would be cost-effective if it is used in a</w:t>
      </w:r>
      <w:r>
        <w:t xml:space="preserve"> </w:t>
      </w:r>
      <w:r w:rsidRPr="006A1AFA">
        <w:t>broader population than those patients who currently receive teriparatide</w:t>
      </w:r>
      <w:r>
        <w:t>,</w:t>
      </w:r>
      <w:r w:rsidR="005D24EB">
        <w:t xml:space="preserve"> </w:t>
      </w:r>
      <w:r w:rsidR="00F34FFF">
        <w:t xml:space="preserve">and </w:t>
      </w:r>
      <w:r w:rsidR="006A1AFA">
        <w:t xml:space="preserve">there </w:t>
      </w:r>
      <w:r>
        <w:t xml:space="preserve">is </w:t>
      </w:r>
      <w:r w:rsidR="006A1AFA">
        <w:t>potential for leakage into the broader first-line setting.</w:t>
      </w:r>
    </w:p>
    <w:p w:rsidR="00B552E1" w:rsidRDefault="008C4E66" w:rsidP="005908ED">
      <w:pPr>
        <w:pStyle w:val="ListParagraph"/>
        <w:numPr>
          <w:ilvl w:val="2"/>
          <w:numId w:val="1"/>
        </w:numPr>
        <w:ind w:left="993" w:hanging="426"/>
      </w:pPr>
      <w:r>
        <w:t>Additional</w:t>
      </w:r>
      <w:r w:rsidR="00F34FFF">
        <w:t xml:space="preserve"> information </w:t>
      </w:r>
      <w:r w:rsidR="00B552E1">
        <w:t xml:space="preserve">regarding </w:t>
      </w:r>
      <w:r w:rsidR="00BF655B">
        <w:t xml:space="preserve">the </w:t>
      </w:r>
      <w:r w:rsidR="00B552E1">
        <w:t>self-administrat</w:t>
      </w:r>
      <w:r w:rsidR="005F5C8C">
        <w:t>i</w:t>
      </w:r>
      <w:r w:rsidR="00B552E1">
        <w:t>on</w:t>
      </w:r>
      <w:r w:rsidR="00BF655B">
        <w:t xml:space="preserve"> of romosozumab</w:t>
      </w:r>
      <w:r w:rsidR="00F34FFF">
        <w:t xml:space="preserve"> and </w:t>
      </w:r>
      <w:r w:rsidR="00125B46">
        <w:t xml:space="preserve">how </w:t>
      </w:r>
      <w:r w:rsidR="00F34FFF">
        <w:t xml:space="preserve">this may impact on the </w:t>
      </w:r>
      <w:r w:rsidR="00125B46">
        <w:t>effectiveness of</w:t>
      </w:r>
      <w:r w:rsidR="00F34FFF">
        <w:t xml:space="preserve"> the product.</w:t>
      </w:r>
    </w:p>
    <w:p w:rsidR="00EA4873" w:rsidRDefault="00EA4873" w:rsidP="005908ED">
      <w:pPr>
        <w:pStyle w:val="ListParagraph"/>
        <w:numPr>
          <w:ilvl w:val="2"/>
          <w:numId w:val="1"/>
        </w:numPr>
        <w:ind w:left="993" w:hanging="426"/>
      </w:pPr>
      <w:r>
        <w:t xml:space="preserve">Additional information to address the concerns regarding </w:t>
      </w:r>
      <w:r w:rsidR="00E2789B">
        <w:t>the use of on-going anti-</w:t>
      </w:r>
      <w:r w:rsidR="00880D5D">
        <w:t xml:space="preserve"> </w:t>
      </w:r>
      <w:r w:rsidR="0099614E">
        <w:t>resorptives</w:t>
      </w:r>
      <w:r w:rsidR="00E2789B">
        <w:t xml:space="preserve"> after cessation of romosozumab.</w:t>
      </w:r>
    </w:p>
    <w:p w:rsidR="008C4E66" w:rsidRDefault="008C4E66" w:rsidP="005908ED">
      <w:pPr>
        <w:pStyle w:val="ListParagraph"/>
        <w:numPr>
          <w:ilvl w:val="2"/>
          <w:numId w:val="1"/>
        </w:numPr>
        <w:ind w:left="993" w:hanging="426"/>
      </w:pPr>
      <w:r>
        <w:t>A revised restriction criteria incorporating a 12 month treatment limit</w:t>
      </w:r>
      <w:r w:rsidR="00D85745">
        <w:t xml:space="preserve"> per lifetime</w:t>
      </w:r>
      <w:r>
        <w:t xml:space="preserve">, consistent with proposed TGA registration. </w:t>
      </w:r>
    </w:p>
    <w:p w:rsidR="00B552E1" w:rsidRDefault="00090C3A" w:rsidP="00995778">
      <w:pPr>
        <w:pStyle w:val="ListParagraph"/>
      </w:pPr>
      <w:r>
        <w:t>The PBAC noted that this submission is eligible for an Independent Review</w:t>
      </w:r>
    </w:p>
    <w:p w:rsidR="005908ED" w:rsidRDefault="005908ED" w:rsidP="00B552E1">
      <w:pPr>
        <w:widowControl/>
        <w:rPr>
          <w:b/>
        </w:rPr>
      </w:pPr>
    </w:p>
    <w:p w:rsidR="005908ED" w:rsidRPr="005908ED" w:rsidRDefault="00B552E1" w:rsidP="00B552E1">
      <w:pPr>
        <w:widowControl/>
        <w:rPr>
          <w:b/>
        </w:rPr>
      </w:pPr>
      <w:r w:rsidRPr="005908ED">
        <w:rPr>
          <w:b/>
        </w:rPr>
        <w:t xml:space="preserve">Outcome: </w:t>
      </w:r>
    </w:p>
    <w:p w:rsidR="00C92006" w:rsidRDefault="005908ED" w:rsidP="005908ED">
      <w:pPr>
        <w:widowControl/>
      </w:pPr>
      <w:r>
        <w:t>R</w:t>
      </w:r>
      <w:r w:rsidR="00B552E1">
        <w:t>ejected</w:t>
      </w:r>
    </w:p>
    <w:p w:rsidR="001D2221" w:rsidRDefault="001D2221" w:rsidP="005908ED">
      <w:pPr>
        <w:widowControl/>
      </w:pPr>
    </w:p>
    <w:p w:rsidR="001D2221" w:rsidRPr="00D94836" w:rsidRDefault="001D2221" w:rsidP="001D2221">
      <w:pPr>
        <w:pStyle w:val="Heading1"/>
      </w:pPr>
      <w:r w:rsidRPr="00D94836">
        <w:lastRenderedPageBreak/>
        <w:t>Context for Decision</w:t>
      </w:r>
    </w:p>
    <w:p w:rsidR="001D2221" w:rsidRPr="001D2221" w:rsidRDefault="001D2221" w:rsidP="001D2221">
      <w:pPr>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D2221" w:rsidRPr="00D94836" w:rsidRDefault="001D2221" w:rsidP="001D2221">
      <w:pPr>
        <w:pStyle w:val="Heading1"/>
      </w:pPr>
      <w:r w:rsidRPr="00D94836">
        <w:t>Sponsor’s Comment</w:t>
      </w:r>
    </w:p>
    <w:p w:rsidR="001D2221" w:rsidRDefault="003C6410" w:rsidP="005908ED">
      <w:pPr>
        <w:widowControl/>
        <w:rPr>
          <w:rFonts w:ascii="Arial Narrow" w:hAnsi="Arial Narrow"/>
          <w:color w:val="0000FF"/>
          <w:sz w:val="20"/>
          <w:szCs w:val="20"/>
        </w:rPr>
      </w:pPr>
      <w:r w:rsidRPr="003C6410">
        <w:rPr>
          <w:rFonts w:asciiTheme="minorHAnsi" w:hAnsiTheme="minorHAnsi"/>
          <w:bCs/>
          <w:lang w:val="en-GB"/>
        </w:rPr>
        <w:t>Amgen is disappointed with this initial rejection but will continue to work with the PBAC to make romosozumab available on the PBS for osteoporosis patients at high risk of fracture.</w:t>
      </w:r>
      <w:r>
        <w:rPr>
          <w:rFonts w:asciiTheme="minorHAnsi" w:hAnsiTheme="minorHAnsi"/>
          <w:bCs/>
          <w:lang w:val="en-GB"/>
        </w:rPr>
        <w:t xml:space="preserve"> </w:t>
      </w:r>
      <w:r w:rsidRPr="003C6410">
        <w:rPr>
          <w:rFonts w:asciiTheme="minorHAnsi" w:hAnsiTheme="minorHAnsi"/>
          <w:bCs/>
        </w:rPr>
        <w:t xml:space="preserve">At the time the PBAC considered romosozumab, it was not registered anywhere in the world.  As of July 2019, romosozumab has been approved for registration in the USA, Canada, Japan, South Korea and Australia. </w:t>
      </w:r>
    </w:p>
    <w:sectPr w:rsidR="001D2221" w:rsidSect="00E21358">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D50" w:rsidRDefault="00DE4D50" w:rsidP="00124A51">
      <w:r>
        <w:separator/>
      </w:r>
    </w:p>
    <w:p w:rsidR="00DE4D50" w:rsidRDefault="00DE4D50"/>
  </w:endnote>
  <w:endnote w:type="continuationSeparator" w:id="0">
    <w:p w:rsidR="00DE4D50" w:rsidRDefault="00DE4D50" w:rsidP="00124A51">
      <w:r>
        <w:continuationSeparator/>
      </w:r>
    </w:p>
    <w:p w:rsidR="00DE4D50" w:rsidRDefault="00DE4D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8A5" w:rsidRDefault="00A23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410" w:rsidRDefault="003C6410" w:rsidP="00B455E3">
    <w:pPr>
      <w:pStyle w:val="Footer"/>
      <w:jc w:val="center"/>
      <w:rPr>
        <w:b/>
      </w:rPr>
    </w:pPr>
  </w:p>
  <w:p w:rsidR="003C6410" w:rsidRPr="00F60002" w:rsidRDefault="003C6410" w:rsidP="00B455E3">
    <w:pPr>
      <w:pStyle w:val="Footer"/>
      <w:jc w:val="center"/>
    </w:pPr>
    <w:r>
      <w:rPr>
        <w:noProof/>
      </w:rPr>
      <w:fldChar w:fldCharType="begin"/>
    </w:r>
    <w:r>
      <w:rPr>
        <w:noProof/>
      </w:rPr>
      <w:instrText xml:space="preserve"> PAGE   \* MERGEFORMAT </w:instrText>
    </w:r>
    <w:r>
      <w:rPr>
        <w:noProof/>
      </w:rPr>
      <w:fldChar w:fldCharType="separate"/>
    </w:r>
    <w:r w:rsidR="007C2EC1">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8A5" w:rsidRDefault="00A23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D50" w:rsidRDefault="00DE4D50" w:rsidP="00124A51">
      <w:r>
        <w:separator/>
      </w:r>
    </w:p>
    <w:p w:rsidR="00DE4D50" w:rsidRDefault="00DE4D50"/>
  </w:footnote>
  <w:footnote w:type="continuationSeparator" w:id="0">
    <w:p w:rsidR="00DE4D50" w:rsidRDefault="00DE4D50" w:rsidP="00124A51">
      <w:r>
        <w:continuationSeparator/>
      </w:r>
    </w:p>
    <w:p w:rsidR="00DE4D50" w:rsidRDefault="00DE4D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8A5" w:rsidRDefault="00A23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410" w:rsidRPr="00995778" w:rsidRDefault="003C6410" w:rsidP="00F60002">
    <w:pPr>
      <w:tabs>
        <w:tab w:val="left" w:pos="142"/>
        <w:tab w:val="right" w:pos="9027"/>
      </w:tabs>
      <w:jc w:val="center"/>
      <w:rPr>
        <w:i/>
        <w:szCs w:val="24"/>
      </w:rPr>
    </w:pPr>
    <w:r>
      <w:rPr>
        <w:i/>
        <w:szCs w:val="24"/>
      </w:rPr>
      <w:t>Public Summary Document</w:t>
    </w:r>
    <w:r w:rsidRPr="00995778">
      <w:rPr>
        <w:i/>
        <w:szCs w:val="24"/>
      </w:rPr>
      <w:t xml:space="preserve"> – November 2018 PBAC meeting</w:t>
    </w:r>
  </w:p>
  <w:p w:rsidR="003C6410" w:rsidRDefault="003C641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8A5" w:rsidRDefault="00A23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369F9"/>
    <w:multiLevelType w:val="hybridMultilevel"/>
    <w:tmpl w:val="AC54C58E"/>
    <w:lvl w:ilvl="0" w:tplc="D494AD58">
      <w:start w:val="32"/>
      <w:numFmt w:val="bullet"/>
      <w:lvlText w:val="-"/>
      <w:lvlJc w:val="left"/>
      <w:pPr>
        <w:ind w:left="1800" w:hanging="360"/>
      </w:pPr>
      <w:rPr>
        <w:rFonts w:ascii="Calibri" w:eastAsia="Times New Roman" w:hAnsi="Calibri" w:cs="Calibri" w:hint="default"/>
        <w:i/>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FB25657"/>
    <w:multiLevelType w:val="hybridMultilevel"/>
    <w:tmpl w:val="3F005D1C"/>
    <w:lvl w:ilvl="0" w:tplc="D494AD58">
      <w:start w:val="32"/>
      <w:numFmt w:val="bullet"/>
      <w:lvlText w:val="-"/>
      <w:lvlJc w:val="left"/>
      <w:pPr>
        <w:ind w:left="720" w:hanging="360"/>
      </w:pPr>
      <w:rPr>
        <w:rFonts w:ascii="Calibri" w:eastAsia="Times New Roman" w:hAnsi="Calibri" w:cs="Calibri" w:hint="default"/>
        <w: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C09DD"/>
    <w:multiLevelType w:val="hybridMultilevel"/>
    <w:tmpl w:val="3648B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4E6825"/>
    <w:multiLevelType w:val="multilevel"/>
    <w:tmpl w:val="B95A3C9C"/>
    <w:lvl w:ilvl="0">
      <w:start w:val="1"/>
      <w:numFmt w:val="decimal"/>
      <w:lvlText w:val="%1"/>
      <w:lvlJc w:val="left"/>
      <w:pPr>
        <w:ind w:left="432" w:hanging="432"/>
      </w:pPr>
      <w:rPr>
        <w:rFonts w:hint="default"/>
        <w:b/>
      </w:rPr>
    </w:lvl>
    <w:lvl w:ilvl="1">
      <w:start w:val="1"/>
      <w:numFmt w:val="decimal"/>
      <w:lvlText w:val="%1.%2"/>
      <w:lvlJc w:val="left"/>
      <w:pPr>
        <w:ind w:left="1002" w:hanging="576"/>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35C9116C"/>
    <w:multiLevelType w:val="hybridMultilevel"/>
    <w:tmpl w:val="599AD0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67D185E"/>
    <w:multiLevelType w:val="hybridMultilevel"/>
    <w:tmpl w:val="FEB860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pStyle w:val="Bulletpoints"/>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9003B"/>
    <w:multiLevelType w:val="hybridMultilevel"/>
    <w:tmpl w:val="227C61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4C430CE"/>
    <w:multiLevelType w:val="hybridMultilevel"/>
    <w:tmpl w:val="FB8A8538"/>
    <w:lvl w:ilvl="0" w:tplc="2976D908">
      <w:start w:val="1"/>
      <w:numFmt w:val="decimal"/>
      <w:lvlText w:val="%1."/>
      <w:lvlJc w:val="left"/>
      <w:pPr>
        <w:tabs>
          <w:tab w:val="num" w:pos="360"/>
        </w:tabs>
        <w:ind w:left="360" w:hanging="360"/>
      </w:pPr>
      <w:rPr>
        <w:rFonts w:ascii="Arial" w:hAnsi="Arial"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9" w15:restartNumberingAfterBreak="0">
    <w:nsid w:val="5EC03AF7"/>
    <w:multiLevelType w:val="hybridMultilevel"/>
    <w:tmpl w:val="C6A649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641125E7"/>
    <w:multiLevelType w:val="hybridMultilevel"/>
    <w:tmpl w:val="EE061F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90A6E8C"/>
    <w:multiLevelType w:val="hybridMultilevel"/>
    <w:tmpl w:val="B18245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84D033C"/>
    <w:multiLevelType w:val="multilevel"/>
    <w:tmpl w:val="E71E23F0"/>
    <w:lvl w:ilvl="0">
      <w:start w:val="1"/>
      <w:numFmt w:val="decimal"/>
      <w:pStyle w:val="PBACHeading1"/>
      <w:lvlText w:val="%1"/>
      <w:lvlJc w:val="left"/>
      <w:pPr>
        <w:ind w:left="720" w:hanging="720"/>
      </w:pPr>
      <w:rPr>
        <w:rFonts w:hint="default"/>
        <w:b/>
      </w:rPr>
    </w:lvl>
    <w:lvl w:ilvl="1">
      <w:start w:val="1"/>
      <w:numFmt w:val="decimal"/>
      <w:pStyle w:val="ListParagraph"/>
      <w:lvlText w:val="%1.%2"/>
      <w:lvlJc w:val="left"/>
      <w:pPr>
        <w:ind w:left="720" w:hanging="720"/>
      </w:pPr>
      <w:rPr>
        <w:rFont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D516566"/>
    <w:multiLevelType w:val="hybridMultilevel"/>
    <w:tmpl w:val="A17237FE"/>
    <w:lvl w:ilvl="0" w:tplc="6504B6EE">
      <w:start w:val="1"/>
      <w:numFmt w:val="bullet"/>
      <w:lvlText w:val="•"/>
      <w:lvlJc w:val="left"/>
      <w:pPr>
        <w:tabs>
          <w:tab w:val="num" w:pos="720"/>
        </w:tabs>
        <w:ind w:left="720" w:hanging="360"/>
      </w:pPr>
      <w:rPr>
        <w:rFonts w:ascii="Times New Roman" w:hAnsi="Times New Roman" w:hint="default"/>
      </w:rPr>
    </w:lvl>
    <w:lvl w:ilvl="1" w:tplc="7D103BBE" w:tentative="1">
      <w:start w:val="1"/>
      <w:numFmt w:val="bullet"/>
      <w:lvlText w:val="•"/>
      <w:lvlJc w:val="left"/>
      <w:pPr>
        <w:tabs>
          <w:tab w:val="num" w:pos="1440"/>
        </w:tabs>
        <w:ind w:left="1440" w:hanging="360"/>
      </w:pPr>
      <w:rPr>
        <w:rFonts w:ascii="Times New Roman" w:hAnsi="Times New Roman" w:hint="default"/>
      </w:rPr>
    </w:lvl>
    <w:lvl w:ilvl="2" w:tplc="6FB051FA" w:tentative="1">
      <w:start w:val="1"/>
      <w:numFmt w:val="bullet"/>
      <w:lvlText w:val="•"/>
      <w:lvlJc w:val="left"/>
      <w:pPr>
        <w:tabs>
          <w:tab w:val="num" w:pos="2160"/>
        </w:tabs>
        <w:ind w:left="2160" w:hanging="360"/>
      </w:pPr>
      <w:rPr>
        <w:rFonts w:ascii="Times New Roman" w:hAnsi="Times New Roman" w:hint="default"/>
      </w:rPr>
    </w:lvl>
    <w:lvl w:ilvl="3" w:tplc="48CE58DE" w:tentative="1">
      <w:start w:val="1"/>
      <w:numFmt w:val="bullet"/>
      <w:lvlText w:val="•"/>
      <w:lvlJc w:val="left"/>
      <w:pPr>
        <w:tabs>
          <w:tab w:val="num" w:pos="2880"/>
        </w:tabs>
        <w:ind w:left="2880" w:hanging="360"/>
      </w:pPr>
      <w:rPr>
        <w:rFonts w:ascii="Times New Roman" w:hAnsi="Times New Roman" w:hint="default"/>
      </w:rPr>
    </w:lvl>
    <w:lvl w:ilvl="4" w:tplc="AF18AA78" w:tentative="1">
      <w:start w:val="1"/>
      <w:numFmt w:val="bullet"/>
      <w:lvlText w:val="•"/>
      <w:lvlJc w:val="left"/>
      <w:pPr>
        <w:tabs>
          <w:tab w:val="num" w:pos="3600"/>
        </w:tabs>
        <w:ind w:left="3600" w:hanging="360"/>
      </w:pPr>
      <w:rPr>
        <w:rFonts w:ascii="Times New Roman" w:hAnsi="Times New Roman" w:hint="default"/>
      </w:rPr>
    </w:lvl>
    <w:lvl w:ilvl="5" w:tplc="7190076E" w:tentative="1">
      <w:start w:val="1"/>
      <w:numFmt w:val="bullet"/>
      <w:lvlText w:val="•"/>
      <w:lvlJc w:val="left"/>
      <w:pPr>
        <w:tabs>
          <w:tab w:val="num" w:pos="4320"/>
        </w:tabs>
        <w:ind w:left="4320" w:hanging="360"/>
      </w:pPr>
      <w:rPr>
        <w:rFonts w:ascii="Times New Roman" w:hAnsi="Times New Roman" w:hint="default"/>
      </w:rPr>
    </w:lvl>
    <w:lvl w:ilvl="6" w:tplc="8B78244A" w:tentative="1">
      <w:start w:val="1"/>
      <w:numFmt w:val="bullet"/>
      <w:lvlText w:val="•"/>
      <w:lvlJc w:val="left"/>
      <w:pPr>
        <w:tabs>
          <w:tab w:val="num" w:pos="5040"/>
        </w:tabs>
        <w:ind w:left="5040" w:hanging="360"/>
      </w:pPr>
      <w:rPr>
        <w:rFonts w:ascii="Times New Roman" w:hAnsi="Times New Roman" w:hint="default"/>
      </w:rPr>
    </w:lvl>
    <w:lvl w:ilvl="7" w:tplc="94A6270A" w:tentative="1">
      <w:start w:val="1"/>
      <w:numFmt w:val="bullet"/>
      <w:lvlText w:val="•"/>
      <w:lvlJc w:val="left"/>
      <w:pPr>
        <w:tabs>
          <w:tab w:val="num" w:pos="5760"/>
        </w:tabs>
        <w:ind w:left="5760" w:hanging="360"/>
      </w:pPr>
      <w:rPr>
        <w:rFonts w:ascii="Times New Roman" w:hAnsi="Times New Roman" w:hint="default"/>
      </w:rPr>
    </w:lvl>
    <w:lvl w:ilvl="8" w:tplc="FE06EBAA"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6"/>
  </w:num>
  <w:num w:numId="3">
    <w:abstractNumId w:val="4"/>
  </w:num>
  <w:num w:numId="4">
    <w:abstractNumId w:val="7"/>
  </w:num>
  <w:num w:numId="5">
    <w:abstractNumId w:val="11"/>
  </w:num>
  <w:num w:numId="6">
    <w:abstractNumId w:val="9"/>
  </w:num>
  <w:num w:numId="7">
    <w:abstractNumId w:val="0"/>
  </w:num>
  <w:num w:numId="8">
    <w:abstractNumId w:val="5"/>
  </w:num>
  <w:num w:numId="9">
    <w:abstractNumId w:val="10"/>
  </w:num>
  <w:num w:numId="10">
    <w:abstractNumId w:val="6"/>
  </w:num>
  <w:num w:numId="11">
    <w:abstractNumId w:val="6"/>
  </w:num>
  <w:num w:numId="12">
    <w:abstractNumId w:val="6"/>
  </w:num>
  <w:num w:numId="13">
    <w:abstractNumId w:val="6"/>
  </w:num>
  <w:num w:numId="14">
    <w:abstractNumId w:val="1"/>
  </w:num>
  <w:num w:numId="15">
    <w:abstractNumId w:val="12"/>
  </w:num>
  <w:num w:numId="16">
    <w:abstractNumId w:val="12"/>
  </w:num>
  <w:num w:numId="17">
    <w:abstractNumId w:val="8"/>
  </w:num>
  <w:num w:numId="18">
    <w:abstractNumId w:val="3"/>
  </w:num>
  <w:num w:numId="19">
    <w:abstractNumId w:val="2"/>
  </w:num>
  <w:num w:numId="20">
    <w:abstractNumId w:val="13"/>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oNotTrackFormattin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AEB1A49-CC76-41FA-A5F9-02444951E797}"/>
    <w:docVar w:name="dgnword-eventsink" w:val="111025856"/>
  </w:docVars>
  <w:rsids>
    <w:rsidRoot w:val="00E65E79"/>
    <w:rsid w:val="00000790"/>
    <w:rsid w:val="0000110B"/>
    <w:rsid w:val="00001E40"/>
    <w:rsid w:val="000033FA"/>
    <w:rsid w:val="00003499"/>
    <w:rsid w:val="000035E0"/>
    <w:rsid w:val="000038EF"/>
    <w:rsid w:val="000039B7"/>
    <w:rsid w:val="00003FC4"/>
    <w:rsid w:val="00004FBD"/>
    <w:rsid w:val="00010FDF"/>
    <w:rsid w:val="00011CE9"/>
    <w:rsid w:val="0001268D"/>
    <w:rsid w:val="0001296C"/>
    <w:rsid w:val="00013247"/>
    <w:rsid w:val="00014066"/>
    <w:rsid w:val="0001445B"/>
    <w:rsid w:val="00014C49"/>
    <w:rsid w:val="00014F67"/>
    <w:rsid w:val="000156DE"/>
    <w:rsid w:val="00015886"/>
    <w:rsid w:val="000162EF"/>
    <w:rsid w:val="00016AD6"/>
    <w:rsid w:val="00017F03"/>
    <w:rsid w:val="00021359"/>
    <w:rsid w:val="00021585"/>
    <w:rsid w:val="00021D91"/>
    <w:rsid w:val="0002225F"/>
    <w:rsid w:val="00022BE4"/>
    <w:rsid w:val="00023763"/>
    <w:rsid w:val="00024033"/>
    <w:rsid w:val="00024744"/>
    <w:rsid w:val="00024B77"/>
    <w:rsid w:val="00025299"/>
    <w:rsid w:val="000274B7"/>
    <w:rsid w:val="0003054E"/>
    <w:rsid w:val="000307F1"/>
    <w:rsid w:val="00030DC8"/>
    <w:rsid w:val="000314DF"/>
    <w:rsid w:val="00031536"/>
    <w:rsid w:val="00031A93"/>
    <w:rsid w:val="000334D4"/>
    <w:rsid w:val="0003384C"/>
    <w:rsid w:val="00033863"/>
    <w:rsid w:val="0003450B"/>
    <w:rsid w:val="00034A24"/>
    <w:rsid w:val="000350F4"/>
    <w:rsid w:val="00035DC0"/>
    <w:rsid w:val="000362EA"/>
    <w:rsid w:val="00036512"/>
    <w:rsid w:val="00036829"/>
    <w:rsid w:val="00036AB6"/>
    <w:rsid w:val="000371E4"/>
    <w:rsid w:val="00037F9D"/>
    <w:rsid w:val="00040895"/>
    <w:rsid w:val="00041A25"/>
    <w:rsid w:val="00041D07"/>
    <w:rsid w:val="00041D8B"/>
    <w:rsid w:val="0004218D"/>
    <w:rsid w:val="00042FAD"/>
    <w:rsid w:val="00043C37"/>
    <w:rsid w:val="000445BA"/>
    <w:rsid w:val="00045017"/>
    <w:rsid w:val="0004549A"/>
    <w:rsid w:val="00045A2B"/>
    <w:rsid w:val="00045B6D"/>
    <w:rsid w:val="0004698F"/>
    <w:rsid w:val="00047129"/>
    <w:rsid w:val="000508FB"/>
    <w:rsid w:val="00051A86"/>
    <w:rsid w:val="00052420"/>
    <w:rsid w:val="00052DAF"/>
    <w:rsid w:val="000539D0"/>
    <w:rsid w:val="0005409D"/>
    <w:rsid w:val="00054332"/>
    <w:rsid w:val="00054429"/>
    <w:rsid w:val="00054621"/>
    <w:rsid w:val="000546D7"/>
    <w:rsid w:val="0005485C"/>
    <w:rsid w:val="00054932"/>
    <w:rsid w:val="00055847"/>
    <w:rsid w:val="00055AB3"/>
    <w:rsid w:val="00055DD8"/>
    <w:rsid w:val="000578BD"/>
    <w:rsid w:val="000616BD"/>
    <w:rsid w:val="00062C77"/>
    <w:rsid w:val="00063ABC"/>
    <w:rsid w:val="00065568"/>
    <w:rsid w:val="0006558D"/>
    <w:rsid w:val="00065A40"/>
    <w:rsid w:val="00066360"/>
    <w:rsid w:val="00070FA7"/>
    <w:rsid w:val="00071248"/>
    <w:rsid w:val="000720B9"/>
    <w:rsid w:val="000737F7"/>
    <w:rsid w:val="000744AE"/>
    <w:rsid w:val="00076535"/>
    <w:rsid w:val="0007672F"/>
    <w:rsid w:val="00076A50"/>
    <w:rsid w:val="00076EFC"/>
    <w:rsid w:val="000774F0"/>
    <w:rsid w:val="00080909"/>
    <w:rsid w:val="00081193"/>
    <w:rsid w:val="000812CA"/>
    <w:rsid w:val="00082012"/>
    <w:rsid w:val="0008258D"/>
    <w:rsid w:val="000835F9"/>
    <w:rsid w:val="00083D36"/>
    <w:rsid w:val="00083E99"/>
    <w:rsid w:val="00084010"/>
    <w:rsid w:val="000856C5"/>
    <w:rsid w:val="0008621D"/>
    <w:rsid w:val="000866B4"/>
    <w:rsid w:val="0008675F"/>
    <w:rsid w:val="0008724A"/>
    <w:rsid w:val="00087CE8"/>
    <w:rsid w:val="000900FA"/>
    <w:rsid w:val="00090ADE"/>
    <w:rsid w:val="00090C3A"/>
    <w:rsid w:val="00090C7E"/>
    <w:rsid w:val="0009224C"/>
    <w:rsid w:val="00092600"/>
    <w:rsid w:val="0009262B"/>
    <w:rsid w:val="00093310"/>
    <w:rsid w:val="000935F8"/>
    <w:rsid w:val="0009389E"/>
    <w:rsid w:val="00094443"/>
    <w:rsid w:val="0009445C"/>
    <w:rsid w:val="000945E2"/>
    <w:rsid w:val="00095FE5"/>
    <w:rsid w:val="000960F0"/>
    <w:rsid w:val="00096284"/>
    <w:rsid w:val="0009682B"/>
    <w:rsid w:val="00096D29"/>
    <w:rsid w:val="000A2498"/>
    <w:rsid w:val="000A38B1"/>
    <w:rsid w:val="000A413A"/>
    <w:rsid w:val="000A5C42"/>
    <w:rsid w:val="000A5DFB"/>
    <w:rsid w:val="000A6B1B"/>
    <w:rsid w:val="000A6B35"/>
    <w:rsid w:val="000A6E78"/>
    <w:rsid w:val="000A76B1"/>
    <w:rsid w:val="000A7D08"/>
    <w:rsid w:val="000A7FA9"/>
    <w:rsid w:val="000B0670"/>
    <w:rsid w:val="000B0AB6"/>
    <w:rsid w:val="000B0E75"/>
    <w:rsid w:val="000B3EAA"/>
    <w:rsid w:val="000B467B"/>
    <w:rsid w:val="000B503E"/>
    <w:rsid w:val="000B50B8"/>
    <w:rsid w:val="000B515E"/>
    <w:rsid w:val="000B54A7"/>
    <w:rsid w:val="000B59B9"/>
    <w:rsid w:val="000B6266"/>
    <w:rsid w:val="000B6CAC"/>
    <w:rsid w:val="000B7612"/>
    <w:rsid w:val="000C0793"/>
    <w:rsid w:val="000C0883"/>
    <w:rsid w:val="000C0BC1"/>
    <w:rsid w:val="000C1243"/>
    <w:rsid w:val="000C1832"/>
    <w:rsid w:val="000C2C5A"/>
    <w:rsid w:val="000C3DF9"/>
    <w:rsid w:val="000C415C"/>
    <w:rsid w:val="000C5C28"/>
    <w:rsid w:val="000C6713"/>
    <w:rsid w:val="000C68B2"/>
    <w:rsid w:val="000C6F34"/>
    <w:rsid w:val="000C7A20"/>
    <w:rsid w:val="000D161C"/>
    <w:rsid w:val="000D1B4A"/>
    <w:rsid w:val="000D1BA0"/>
    <w:rsid w:val="000D1BCA"/>
    <w:rsid w:val="000D1BFC"/>
    <w:rsid w:val="000D1F25"/>
    <w:rsid w:val="000D259B"/>
    <w:rsid w:val="000D281A"/>
    <w:rsid w:val="000D326A"/>
    <w:rsid w:val="000D3969"/>
    <w:rsid w:val="000D489B"/>
    <w:rsid w:val="000D51FB"/>
    <w:rsid w:val="000D5961"/>
    <w:rsid w:val="000D75FA"/>
    <w:rsid w:val="000E0265"/>
    <w:rsid w:val="000E04C6"/>
    <w:rsid w:val="000E0A11"/>
    <w:rsid w:val="000E0CFA"/>
    <w:rsid w:val="000E135D"/>
    <w:rsid w:val="000E1ABB"/>
    <w:rsid w:val="000E3ADE"/>
    <w:rsid w:val="000E4F1A"/>
    <w:rsid w:val="000F00BA"/>
    <w:rsid w:val="000F19E2"/>
    <w:rsid w:val="000F1D8D"/>
    <w:rsid w:val="000F27A6"/>
    <w:rsid w:val="000F316A"/>
    <w:rsid w:val="000F3C74"/>
    <w:rsid w:val="000F3D6A"/>
    <w:rsid w:val="000F4BB8"/>
    <w:rsid w:val="000F501E"/>
    <w:rsid w:val="000F611E"/>
    <w:rsid w:val="000F7127"/>
    <w:rsid w:val="000F7144"/>
    <w:rsid w:val="00100656"/>
    <w:rsid w:val="00100816"/>
    <w:rsid w:val="00100E11"/>
    <w:rsid w:val="00100F8A"/>
    <w:rsid w:val="001011B9"/>
    <w:rsid w:val="00101256"/>
    <w:rsid w:val="00102C1E"/>
    <w:rsid w:val="00105AE2"/>
    <w:rsid w:val="00105BA8"/>
    <w:rsid w:val="00105F16"/>
    <w:rsid w:val="00106B80"/>
    <w:rsid w:val="0010731C"/>
    <w:rsid w:val="0011032E"/>
    <w:rsid w:val="001103BA"/>
    <w:rsid w:val="0011260A"/>
    <w:rsid w:val="0011348B"/>
    <w:rsid w:val="00113E69"/>
    <w:rsid w:val="001141D4"/>
    <w:rsid w:val="0011580D"/>
    <w:rsid w:val="00115870"/>
    <w:rsid w:val="00115982"/>
    <w:rsid w:val="00115F13"/>
    <w:rsid w:val="00116C53"/>
    <w:rsid w:val="00117BAE"/>
    <w:rsid w:val="00121244"/>
    <w:rsid w:val="00121799"/>
    <w:rsid w:val="001222FC"/>
    <w:rsid w:val="00123538"/>
    <w:rsid w:val="00124A51"/>
    <w:rsid w:val="00124D68"/>
    <w:rsid w:val="00125233"/>
    <w:rsid w:val="00125B46"/>
    <w:rsid w:val="00126207"/>
    <w:rsid w:val="00126621"/>
    <w:rsid w:val="00127650"/>
    <w:rsid w:val="00127C66"/>
    <w:rsid w:val="001301E9"/>
    <w:rsid w:val="001302AF"/>
    <w:rsid w:val="00131B09"/>
    <w:rsid w:val="00131D82"/>
    <w:rsid w:val="001322C3"/>
    <w:rsid w:val="0013306C"/>
    <w:rsid w:val="001332CE"/>
    <w:rsid w:val="00133822"/>
    <w:rsid w:val="00133D36"/>
    <w:rsid w:val="00134039"/>
    <w:rsid w:val="001349C7"/>
    <w:rsid w:val="00134A12"/>
    <w:rsid w:val="00135E67"/>
    <w:rsid w:val="0013609A"/>
    <w:rsid w:val="0013690C"/>
    <w:rsid w:val="00136997"/>
    <w:rsid w:val="00137645"/>
    <w:rsid w:val="0014015A"/>
    <w:rsid w:val="00140B9C"/>
    <w:rsid w:val="00140E99"/>
    <w:rsid w:val="00142DA7"/>
    <w:rsid w:val="00142DF8"/>
    <w:rsid w:val="001436CF"/>
    <w:rsid w:val="00144AC7"/>
    <w:rsid w:val="00145540"/>
    <w:rsid w:val="001456B0"/>
    <w:rsid w:val="00146841"/>
    <w:rsid w:val="00146DF4"/>
    <w:rsid w:val="001471B2"/>
    <w:rsid w:val="001473DF"/>
    <w:rsid w:val="00147525"/>
    <w:rsid w:val="00147F8B"/>
    <w:rsid w:val="00150230"/>
    <w:rsid w:val="00150C09"/>
    <w:rsid w:val="00150E5D"/>
    <w:rsid w:val="00150E9D"/>
    <w:rsid w:val="00151F57"/>
    <w:rsid w:val="0015288C"/>
    <w:rsid w:val="00152A8F"/>
    <w:rsid w:val="00153BC9"/>
    <w:rsid w:val="00153E58"/>
    <w:rsid w:val="00155509"/>
    <w:rsid w:val="0015589F"/>
    <w:rsid w:val="001558C9"/>
    <w:rsid w:val="00155C29"/>
    <w:rsid w:val="00157130"/>
    <w:rsid w:val="00157604"/>
    <w:rsid w:val="001576B1"/>
    <w:rsid w:val="00157D29"/>
    <w:rsid w:val="0016071F"/>
    <w:rsid w:val="00160A4C"/>
    <w:rsid w:val="00160E44"/>
    <w:rsid w:val="00161664"/>
    <w:rsid w:val="0016253D"/>
    <w:rsid w:val="00162913"/>
    <w:rsid w:val="00162AC7"/>
    <w:rsid w:val="00162C5B"/>
    <w:rsid w:val="00163EFF"/>
    <w:rsid w:val="00164005"/>
    <w:rsid w:val="001661FB"/>
    <w:rsid w:val="0016764E"/>
    <w:rsid w:val="00167BEA"/>
    <w:rsid w:val="00170AAF"/>
    <w:rsid w:val="00171276"/>
    <w:rsid w:val="00172F84"/>
    <w:rsid w:val="00173565"/>
    <w:rsid w:val="00173B07"/>
    <w:rsid w:val="00175186"/>
    <w:rsid w:val="0017528D"/>
    <w:rsid w:val="00175498"/>
    <w:rsid w:val="0017609D"/>
    <w:rsid w:val="00177308"/>
    <w:rsid w:val="00177359"/>
    <w:rsid w:val="0018045E"/>
    <w:rsid w:val="00180936"/>
    <w:rsid w:val="00181208"/>
    <w:rsid w:val="00181D9C"/>
    <w:rsid w:val="0018207A"/>
    <w:rsid w:val="001839CA"/>
    <w:rsid w:val="00184582"/>
    <w:rsid w:val="001858FC"/>
    <w:rsid w:val="00186CED"/>
    <w:rsid w:val="0018740A"/>
    <w:rsid w:val="0018752F"/>
    <w:rsid w:val="0019162F"/>
    <w:rsid w:val="00191E62"/>
    <w:rsid w:val="00191EFF"/>
    <w:rsid w:val="0019240C"/>
    <w:rsid w:val="00193BE8"/>
    <w:rsid w:val="0019476A"/>
    <w:rsid w:val="00195222"/>
    <w:rsid w:val="00196C1C"/>
    <w:rsid w:val="001975D8"/>
    <w:rsid w:val="00197E18"/>
    <w:rsid w:val="001A35A2"/>
    <w:rsid w:val="001A37A9"/>
    <w:rsid w:val="001A43FA"/>
    <w:rsid w:val="001A4726"/>
    <w:rsid w:val="001A59FB"/>
    <w:rsid w:val="001A6354"/>
    <w:rsid w:val="001A7AE8"/>
    <w:rsid w:val="001A7BE9"/>
    <w:rsid w:val="001B05DA"/>
    <w:rsid w:val="001B204E"/>
    <w:rsid w:val="001B3443"/>
    <w:rsid w:val="001B40A8"/>
    <w:rsid w:val="001B4519"/>
    <w:rsid w:val="001B4D20"/>
    <w:rsid w:val="001B4F99"/>
    <w:rsid w:val="001B510F"/>
    <w:rsid w:val="001B77AD"/>
    <w:rsid w:val="001C0D94"/>
    <w:rsid w:val="001C1C2B"/>
    <w:rsid w:val="001C25E1"/>
    <w:rsid w:val="001C2A9B"/>
    <w:rsid w:val="001C428D"/>
    <w:rsid w:val="001C4299"/>
    <w:rsid w:val="001C4510"/>
    <w:rsid w:val="001C512C"/>
    <w:rsid w:val="001C5F94"/>
    <w:rsid w:val="001C6E66"/>
    <w:rsid w:val="001C7987"/>
    <w:rsid w:val="001D060E"/>
    <w:rsid w:val="001D2221"/>
    <w:rsid w:val="001D25DD"/>
    <w:rsid w:val="001D2627"/>
    <w:rsid w:val="001D2EF9"/>
    <w:rsid w:val="001D5621"/>
    <w:rsid w:val="001D6320"/>
    <w:rsid w:val="001D64E3"/>
    <w:rsid w:val="001D78B3"/>
    <w:rsid w:val="001E0599"/>
    <w:rsid w:val="001E0D30"/>
    <w:rsid w:val="001E238E"/>
    <w:rsid w:val="001E2483"/>
    <w:rsid w:val="001E24B3"/>
    <w:rsid w:val="001E2750"/>
    <w:rsid w:val="001E2B1E"/>
    <w:rsid w:val="001E2F49"/>
    <w:rsid w:val="001E30D4"/>
    <w:rsid w:val="001E4FE9"/>
    <w:rsid w:val="001E52EB"/>
    <w:rsid w:val="001E5AC1"/>
    <w:rsid w:val="001E5DE1"/>
    <w:rsid w:val="001E61D2"/>
    <w:rsid w:val="001E6313"/>
    <w:rsid w:val="001E6359"/>
    <w:rsid w:val="001E68C4"/>
    <w:rsid w:val="001E7185"/>
    <w:rsid w:val="001E740C"/>
    <w:rsid w:val="001E7461"/>
    <w:rsid w:val="001E7571"/>
    <w:rsid w:val="001F0989"/>
    <w:rsid w:val="001F1235"/>
    <w:rsid w:val="001F1CB3"/>
    <w:rsid w:val="001F38B5"/>
    <w:rsid w:val="001F6357"/>
    <w:rsid w:val="001F6C79"/>
    <w:rsid w:val="001F7361"/>
    <w:rsid w:val="001F7BCD"/>
    <w:rsid w:val="002010A7"/>
    <w:rsid w:val="002011B0"/>
    <w:rsid w:val="0020205F"/>
    <w:rsid w:val="0020206F"/>
    <w:rsid w:val="0020239B"/>
    <w:rsid w:val="00203181"/>
    <w:rsid w:val="00203364"/>
    <w:rsid w:val="00203554"/>
    <w:rsid w:val="00203783"/>
    <w:rsid w:val="002037B6"/>
    <w:rsid w:val="0020385F"/>
    <w:rsid w:val="00206E70"/>
    <w:rsid w:val="00207021"/>
    <w:rsid w:val="0020732F"/>
    <w:rsid w:val="002073EE"/>
    <w:rsid w:val="002079A2"/>
    <w:rsid w:val="00207D00"/>
    <w:rsid w:val="002105C1"/>
    <w:rsid w:val="00213016"/>
    <w:rsid w:val="002132C1"/>
    <w:rsid w:val="0021330E"/>
    <w:rsid w:val="00213C45"/>
    <w:rsid w:val="002157A8"/>
    <w:rsid w:val="00217C37"/>
    <w:rsid w:val="00220248"/>
    <w:rsid w:val="002204B0"/>
    <w:rsid w:val="00220780"/>
    <w:rsid w:val="00220C5F"/>
    <w:rsid w:val="0022184D"/>
    <w:rsid w:val="00222182"/>
    <w:rsid w:val="00222A02"/>
    <w:rsid w:val="0022324A"/>
    <w:rsid w:val="002232BE"/>
    <w:rsid w:val="00223B49"/>
    <w:rsid w:val="002242EE"/>
    <w:rsid w:val="00224DD4"/>
    <w:rsid w:val="0022631E"/>
    <w:rsid w:val="00226A28"/>
    <w:rsid w:val="0022762D"/>
    <w:rsid w:val="002309CC"/>
    <w:rsid w:val="0023209F"/>
    <w:rsid w:val="00232797"/>
    <w:rsid w:val="0023358B"/>
    <w:rsid w:val="00233BEC"/>
    <w:rsid w:val="00233F1A"/>
    <w:rsid w:val="0023629D"/>
    <w:rsid w:val="00236616"/>
    <w:rsid w:val="00237255"/>
    <w:rsid w:val="002400D8"/>
    <w:rsid w:val="00240A4D"/>
    <w:rsid w:val="00240AC8"/>
    <w:rsid w:val="00240E1B"/>
    <w:rsid w:val="00241C5C"/>
    <w:rsid w:val="002424AF"/>
    <w:rsid w:val="002431CD"/>
    <w:rsid w:val="00243390"/>
    <w:rsid w:val="002439DC"/>
    <w:rsid w:val="00244DC8"/>
    <w:rsid w:val="00245334"/>
    <w:rsid w:val="002458BA"/>
    <w:rsid w:val="00245BC5"/>
    <w:rsid w:val="0024636C"/>
    <w:rsid w:val="00247925"/>
    <w:rsid w:val="00247B32"/>
    <w:rsid w:val="00250000"/>
    <w:rsid w:val="00250559"/>
    <w:rsid w:val="00250A16"/>
    <w:rsid w:val="00250F01"/>
    <w:rsid w:val="00251028"/>
    <w:rsid w:val="00251E60"/>
    <w:rsid w:val="00252A6F"/>
    <w:rsid w:val="002530D1"/>
    <w:rsid w:val="002530F8"/>
    <w:rsid w:val="0025357F"/>
    <w:rsid w:val="00254C24"/>
    <w:rsid w:val="00254DCF"/>
    <w:rsid w:val="0025534B"/>
    <w:rsid w:val="00255A9A"/>
    <w:rsid w:val="00255BB7"/>
    <w:rsid w:val="00255E2B"/>
    <w:rsid w:val="00256F2E"/>
    <w:rsid w:val="00257308"/>
    <w:rsid w:val="00257541"/>
    <w:rsid w:val="00260F12"/>
    <w:rsid w:val="00261042"/>
    <w:rsid w:val="00261F95"/>
    <w:rsid w:val="0026234B"/>
    <w:rsid w:val="00262A1A"/>
    <w:rsid w:val="00262A87"/>
    <w:rsid w:val="00263F10"/>
    <w:rsid w:val="00264D26"/>
    <w:rsid w:val="00265B3C"/>
    <w:rsid w:val="00267285"/>
    <w:rsid w:val="00267642"/>
    <w:rsid w:val="00267AEA"/>
    <w:rsid w:val="00267EFF"/>
    <w:rsid w:val="002700E6"/>
    <w:rsid w:val="00270D29"/>
    <w:rsid w:val="002714A8"/>
    <w:rsid w:val="00271563"/>
    <w:rsid w:val="00271585"/>
    <w:rsid w:val="00271732"/>
    <w:rsid w:val="0027294B"/>
    <w:rsid w:val="0027311B"/>
    <w:rsid w:val="0027422E"/>
    <w:rsid w:val="00274A90"/>
    <w:rsid w:val="00274CA6"/>
    <w:rsid w:val="00275873"/>
    <w:rsid w:val="00275C5A"/>
    <w:rsid w:val="00277B58"/>
    <w:rsid w:val="00281014"/>
    <w:rsid w:val="00281C40"/>
    <w:rsid w:val="00281F61"/>
    <w:rsid w:val="002822F6"/>
    <w:rsid w:val="00283D7B"/>
    <w:rsid w:val="002852AD"/>
    <w:rsid w:val="002856DB"/>
    <w:rsid w:val="00285ACA"/>
    <w:rsid w:val="002862A4"/>
    <w:rsid w:val="002865F7"/>
    <w:rsid w:val="002874AF"/>
    <w:rsid w:val="002875C6"/>
    <w:rsid w:val="002900A1"/>
    <w:rsid w:val="002904C8"/>
    <w:rsid w:val="0029059A"/>
    <w:rsid w:val="00295594"/>
    <w:rsid w:val="00295964"/>
    <w:rsid w:val="002964E8"/>
    <w:rsid w:val="00296D6A"/>
    <w:rsid w:val="00297BB6"/>
    <w:rsid w:val="002A0519"/>
    <w:rsid w:val="002A14AB"/>
    <w:rsid w:val="002A1FCC"/>
    <w:rsid w:val="002A28C2"/>
    <w:rsid w:val="002A2F50"/>
    <w:rsid w:val="002A3883"/>
    <w:rsid w:val="002A6A26"/>
    <w:rsid w:val="002A715D"/>
    <w:rsid w:val="002A79E4"/>
    <w:rsid w:val="002B0668"/>
    <w:rsid w:val="002B097D"/>
    <w:rsid w:val="002B09A4"/>
    <w:rsid w:val="002B0D8C"/>
    <w:rsid w:val="002B0F0D"/>
    <w:rsid w:val="002B129E"/>
    <w:rsid w:val="002B1C1F"/>
    <w:rsid w:val="002B1E89"/>
    <w:rsid w:val="002B1F53"/>
    <w:rsid w:val="002B2F2C"/>
    <w:rsid w:val="002B2FB1"/>
    <w:rsid w:val="002B432F"/>
    <w:rsid w:val="002B44DD"/>
    <w:rsid w:val="002B494B"/>
    <w:rsid w:val="002B62B3"/>
    <w:rsid w:val="002B6754"/>
    <w:rsid w:val="002B6CCE"/>
    <w:rsid w:val="002B73CD"/>
    <w:rsid w:val="002C1E22"/>
    <w:rsid w:val="002C2510"/>
    <w:rsid w:val="002C2775"/>
    <w:rsid w:val="002C27C1"/>
    <w:rsid w:val="002C29D9"/>
    <w:rsid w:val="002C37F7"/>
    <w:rsid w:val="002C43C7"/>
    <w:rsid w:val="002C5099"/>
    <w:rsid w:val="002C5889"/>
    <w:rsid w:val="002C5ABF"/>
    <w:rsid w:val="002C5B1A"/>
    <w:rsid w:val="002C71CE"/>
    <w:rsid w:val="002D0C91"/>
    <w:rsid w:val="002D184A"/>
    <w:rsid w:val="002D1DD5"/>
    <w:rsid w:val="002D44AF"/>
    <w:rsid w:val="002D46A8"/>
    <w:rsid w:val="002D4CDF"/>
    <w:rsid w:val="002D4D14"/>
    <w:rsid w:val="002D577C"/>
    <w:rsid w:val="002D608D"/>
    <w:rsid w:val="002D70BD"/>
    <w:rsid w:val="002E0BAC"/>
    <w:rsid w:val="002E0CDF"/>
    <w:rsid w:val="002E15B9"/>
    <w:rsid w:val="002E1C26"/>
    <w:rsid w:val="002E2158"/>
    <w:rsid w:val="002E2167"/>
    <w:rsid w:val="002E26C6"/>
    <w:rsid w:val="002E344C"/>
    <w:rsid w:val="002E72BB"/>
    <w:rsid w:val="002E7722"/>
    <w:rsid w:val="002F07BA"/>
    <w:rsid w:val="002F0B08"/>
    <w:rsid w:val="002F0DA9"/>
    <w:rsid w:val="002F2ECF"/>
    <w:rsid w:val="002F3CB4"/>
    <w:rsid w:val="002F52B7"/>
    <w:rsid w:val="002F531D"/>
    <w:rsid w:val="002F643C"/>
    <w:rsid w:val="002F6C28"/>
    <w:rsid w:val="002F71C0"/>
    <w:rsid w:val="00300B4F"/>
    <w:rsid w:val="00300F46"/>
    <w:rsid w:val="00301017"/>
    <w:rsid w:val="0030155F"/>
    <w:rsid w:val="00301B9D"/>
    <w:rsid w:val="00301FB1"/>
    <w:rsid w:val="0030312B"/>
    <w:rsid w:val="00303446"/>
    <w:rsid w:val="00303863"/>
    <w:rsid w:val="00303A77"/>
    <w:rsid w:val="0030587B"/>
    <w:rsid w:val="0030595C"/>
    <w:rsid w:val="00305AA3"/>
    <w:rsid w:val="00305E44"/>
    <w:rsid w:val="00306671"/>
    <w:rsid w:val="00306D98"/>
    <w:rsid w:val="0030786C"/>
    <w:rsid w:val="0031031A"/>
    <w:rsid w:val="00310652"/>
    <w:rsid w:val="00310981"/>
    <w:rsid w:val="003117B9"/>
    <w:rsid w:val="00313523"/>
    <w:rsid w:val="003135DD"/>
    <w:rsid w:val="0031367A"/>
    <w:rsid w:val="00314EF9"/>
    <w:rsid w:val="00315498"/>
    <w:rsid w:val="003219B0"/>
    <w:rsid w:val="00322107"/>
    <w:rsid w:val="00322751"/>
    <w:rsid w:val="00322846"/>
    <w:rsid w:val="003235DB"/>
    <w:rsid w:val="00324102"/>
    <w:rsid w:val="003241CC"/>
    <w:rsid w:val="00324B17"/>
    <w:rsid w:val="00325433"/>
    <w:rsid w:val="003255C4"/>
    <w:rsid w:val="00325AA3"/>
    <w:rsid w:val="0032649A"/>
    <w:rsid w:val="003267B0"/>
    <w:rsid w:val="00326BC4"/>
    <w:rsid w:val="00326DA7"/>
    <w:rsid w:val="003270E4"/>
    <w:rsid w:val="0032765B"/>
    <w:rsid w:val="00330F5C"/>
    <w:rsid w:val="00331DA4"/>
    <w:rsid w:val="003321EB"/>
    <w:rsid w:val="0033405F"/>
    <w:rsid w:val="0033498E"/>
    <w:rsid w:val="00336101"/>
    <w:rsid w:val="003366C9"/>
    <w:rsid w:val="003371B0"/>
    <w:rsid w:val="003400BA"/>
    <w:rsid w:val="00340C43"/>
    <w:rsid w:val="00340DF1"/>
    <w:rsid w:val="00341D0D"/>
    <w:rsid w:val="00341E85"/>
    <w:rsid w:val="00342286"/>
    <w:rsid w:val="00342909"/>
    <w:rsid w:val="00342BC0"/>
    <w:rsid w:val="00343523"/>
    <w:rsid w:val="00343761"/>
    <w:rsid w:val="00343B66"/>
    <w:rsid w:val="00344C29"/>
    <w:rsid w:val="003460AA"/>
    <w:rsid w:val="0034679F"/>
    <w:rsid w:val="00346B80"/>
    <w:rsid w:val="00347EBA"/>
    <w:rsid w:val="003500EE"/>
    <w:rsid w:val="00350EFB"/>
    <w:rsid w:val="003517F9"/>
    <w:rsid w:val="00351D23"/>
    <w:rsid w:val="0035620E"/>
    <w:rsid w:val="003600DF"/>
    <w:rsid w:val="003607DD"/>
    <w:rsid w:val="0036146C"/>
    <w:rsid w:val="003615C3"/>
    <w:rsid w:val="003624C4"/>
    <w:rsid w:val="00362981"/>
    <w:rsid w:val="00363FF5"/>
    <w:rsid w:val="003641B2"/>
    <w:rsid w:val="00364552"/>
    <w:rsid w:val="003654AC"/>
    <w:rsid w:val="00365C42"/>
    <w:rsid w:val="0036711E"/>
    <w:rsid w:val="00367179"/>
    <w:rsid w:val="003710CF"/>
    <w:rsid w:val="003716BF"/>
    <w:rsid w:val="0037358A"/>
    <w:rsid w:val="0037375B"/>
    <w:rsid w:val="00373FA2"/>
    <w:rsid w:val="003750BB"/>
    <w:rsid w:val="003750F6"/>
    <w:rsid w:val="003752A3"/>
    <w:rsid w:val="003760FC"/>
    <w:rsid w:val="00376959"/>
    <w:rsid w:val="00377425"/>
    <w:rsid w:val="00377E3F"/>
    <w:rsid w:val="00380478"/>
    <w:rsid w:val="003815DB"/>
    <w:rsid w:val="003816F6"/>
    <w:rsid w:val="00383541"/>
    <w:rsid w:val="0038365C"/>
    <w:rsid w:val="0038369B"/>
    <w:rsid w:val="00383B78"/>
    <w:rsid w:val="00383BEE"/>
    <w:rsid w:val="0038423B"/>
    <w:rsid w:val="003845A5"/>
    <w:rsid w:val="00385A9D"/>
    <w:rsid w:val="003866D0"/>
    <w:rsid w:val="00386C81"/>
    <w:rsid w:val="003870B3"/>
    <w:rsid w:val="003902B1"/>
    <w:rsid w:val="00390420"/>
    <w:rsid w:val="003917AA"/>
    <w:rsid w:val="00392477"/>
    <w:rsid w:val="00392D6D"/>
    <w:rsid w:val="0039300C"/>
    <w:rsid w:val="00396896"/>
    <w:rsid w:val="00396FD0"/>
    <w:rsid w:val="003A0DE3"/>
    <w:rsid w:val="003A1050"/>
    <w:rsid w:val="003A14C7"/>
    <w:rsid w:val="003A1A7A"/>
    <w:rsid w:val="003A2392"/>
    <w:rsid w:val="003A2831"/>
    <w:rsid w:val="003A3ED1"/>
    <w:rsid w:val="003A42F0"/>
    <w:rsid w:val="003A44DA"/>
    <w:rsid w:val="003A52DC"/>
    <w:rsid w:val="003A6425"/>
    <w:rsid w:val="003A7378"/>
    <w:rsid w:val="003A75BF"/>
    <w:rsid w:val="003A7C9C"/>
    <w:rsid w:val="003B0151"/>
    <w:rsid w:val="003B0B76"/>
    <w:rsid w:val="003B137B"/>
    <w:rsid w:val="003B1B63"/>
    <w:rsid w:val="003B5B61"/>
    <w:rsid w:val="003B5B7C"/>
    <w:rsid w:val="003B6133"/>
    <w:rsid w:val="003B65FC"/>
    <w:rsid w:val="003B6D66"/>
    <w:rsid w:val="003B721D"/>
    <w:rsid w:val="003C0F83"/>
    <w:rsid w:val="003C1654"/>
    <w:rsid w:val="003C2084"/>
    <w:rsid w:val="003C34CE"/>
    <w:rsid w:val="003C423E"/>
    <w:rsid w:val="003C4709"/>
    <w:rsid w:val="003C57EE"/>
    <w:rsid w:val="003C5F2F"/>
    <w:rsid w:val="003C6104"/>
    <w:rsid w:val="003C629D"/>
    <w:rsid w:val="003C6410"/>
    <w:rsid w:val="003C66AA"/>
    <w:rsid w:val="003C6DC7"/>
    <w:rsid w:val="003C7D19"/>
    <w:rsid w:val="003D024A"/>
    <w:rsid w:val="003D02FF"/>
    <w:rsid w:val="003D1828"/>
    <w:rsid w:val="003D18DC"/>
    <w:rsid w:val="003D1C91"/>
    <w:rsid w:val="003D1DE4"/>
    <w:rsid w:val="003D2422"/>
    <w:rsid w:val="003D2A76"/>
    <w:rsid w:val="003D39A1"/>
    <w:rsid w:val="003D3F66"/>
    <w:rsid w:val="003D3FBF"/>
    <w:rsid w:val="003D4A30"/>
    <w:rsid w:val="003D5702"/>
    <w:rsid w:val="003D6BC9"/>
    <w:rsid w:val="003D6DD0"/>
    <w:rsid w:val="003D77C4"/>
    <w:rsid w:val="003D79BB"/>
    <w:rsid w:val="003D7C98"/>
    <w:rsid w:val="003E0543"/>
    <w:rsid w:val="003E4237"/>
    <w:rsid w:val="003E5579"/>
    <w:rsid w:val="003E57AF"/>
    <w:rsid w:val="003E6F1F"/>
    <w:rsid w:val="003E706E"/>
    <w:rsid w:val="003F0F31"/>
    <w:rsid w:val="003F1277"/>
    <w:rsid w:val="003F129C"/>
    <w:rsid w:val="003F1469"/>
    <w:rsid w:val="003F30C4"/>
    <w:rsid w:val="003F4156"/>
    <w:rsid w:val="003F4A10"/>
    <w:rsid w:val="003F5445"/>
    <w:rsid w:val="003F68E8"/>
    <w:rsid w:val="003F6F2B"/>
    <w:rsid w:val="00400895"/>
    <w:rsid w:val="00400B29"/>
    <w:rsid w:val="00400F22"/>
    <w:rsid w:val="00401278"/>
    <w:rsid w:val="0040323D"/>
    <w:rsid w:val="00403EB7"/>
    <w:rsid w:val="0040504B"/>
    <w:rsid w:val="0040543F"/>
    <w:rsid w:val="00405C35"/>
    <w:rsid w:val="00406850"/>
    <w:rsid w:val="00406FFC"/>
    <w:rsid w:val="00407BA3"/>
    <w:rsid w:val="00410708"/>
    <w:rsid w:val="00410DC1"/>
    <w:rsid w:val="00410EB5"/>
    <w:rsid w:val="00410EC7"/>
    <w:rsid w:val="00411B39"/>
    <w:rsid w:val="004127A1"/>
    <w:rsid w:val="00412D1C"/>
    <w:rsid w:val="00413528"/>
    <w:rsid w:val="0041391E"/>
    <w:rsid w:val="00413A1E"/>
    <w:rsid w:val="00414476"/>
    <w:rsid w:val="00414C2E"/>
    <w:rsid w:val="004151CF"/>
    <w:rsid w:val="0041572A"/>
    <w:rsid w:val="0041590E"/>
    <w:rsid w:val="00415BAD"/>
    <w:rsid w:val="00415CB1"/>
    <w:rsid w:val="00416218"/>
    <w:rsid w:val="00416364"/>
    <w:rsid w:val="0041678A"/>
    <w:rsid w:val="00420AA6"/>
    <w:rsid w:val="00420B9F"/>
    <w:rsid w:val="00420F05"/>
    <w:rsid w:val="00421455"/>
    <w:rsid w:val="00421471"/>
    <w:rsid w:val="00421C44"/>
    <w:rsid w:val="00422260"/>
    <w:rsid w:val="00422535"/>
    <w:rsid w:val="00423BBF"/>
    <w:rsid w:val="0042413F"/>
    <w:rsid w:val="004243A9"/>
    <w:rsid w:val="004253F2"/>
    <w:rsid w:val="00425B6B"/>
    <w:rsid w:val="0042767D"/>
    <w:rsid w:val="00430744"/>
    <w:rsid w:val="004319F8"/>
    <w:rsid w:val="00431E55"/>
    <w:rsid w:val="00431F5F"/>
    <w:rsid w:val="004321F6"/>
    <w:rsid w:val="00433044"/>
    <w:rsid w:val="00433332"/>
    <w:rsid w:val="00433D83"/>
    <w:rsid w:val="00434DC2"/>
    <w:rsid w:val="00434F83"/>
    <w:rsid w:val="00435896"/>
    <w:rsid w:val="00435F4D"/>
    <w:rsid w:val="00437190"/>
    <w:rsid w:val="004375B9"/>
    <w:rsid w:val="0043777D"/>
    <w:rsid w:val="004428D0"/>
    <w:rsid w:val="00442A04"/>
    <w:rsid w:val="004436DC"/>
    <w:rsid w:val="004443A7"/>
    <w:rsid w:val="0044442C"/>
    <w:rsid w:val="00444668"/>
    <w:rsid w:val="0044473E"/>
    <w:rsid w:val="00445941"/>
    <w:rsid w:val="004464EB"/>
    <w:rsid w:val="00446D84"/>
    <w:rsid w:val="00447D26"/>
    <w:rsid w:val="00450A41"/>
    <w:rsid w:val="00451B27"/>
    <w:rsid w:val="004521BC"/>
    <w:rsid w:val="004525FB"/>
    <w:rsid w:val="00453647"/>
    <w:rsid w:val="0045442B"/>
    <w:rsid w:val="004547CD"/>
    <w:rsid w:val="00455372"/>
    <w:rsid w:val="00455B61"/>
    <w:rsid w:val="00455D45"/>
    <w:rsid w:val="00455FA4"/>
    <w:rsid w:val="0045684F"/>
    <w:rsid w:val="00456CD6"/>
    <w:rsid w:val="00456D05"/>
    <w:rsid w:val="00457767"/>
    <w:rsid w:val="0046134F"/>
    <w:rsid w:val="004614A6"/>
    <w:rsid w:val="00461B56"/>
    <w:rsid w:val="00463785"/>
    <w:rsid w:val="00464595"/>
    <w:rsid w:val="0046695D"/>
    <w:rsid w:val="00467C30"/>
    <w:rsid w:val="00471317"/>
    <w:rsid w:val="004714B3"/>
    <w:rsid w:val="00472A79"/>
    <w:rsid w:val="00472D7E"/>
    <w:rsid w:val="00473F19"/>
    <w:rsid w:val="00474344"/>
    <w:rsid w:val="0047470E"/>
    <w:rsid w:val="00474F85"/>
    <w:rsid w:val="00475812"/>
    <w:rsid w:val="00475AB9"/>
    <w:rsid w:val="00475E22"/>
    <w:rsid w:val="0047690A"/>
    <w:rsid w:val="00477C6D"/>
    <w:rsid w:val="004801AB"/>
    <w:rsid w:val="00480868"/>
    <w:rsid w:val="0048088E"/>
    <w:rsid w:val="00480C4D"/>
    <w:rsid w:val="00480EC3"/>
    <w:rsid w:val="00482178"/>
    <w:rsid w:val="004824E9"/>
    <w:rsid w:val="00482720"/>
    <w:rsid w:val="004835E7"/>
    <w:rsid w:val="00484038"/>
    <w:rsid w:val="00484FD6"/>
    <w:rsid w:val="004867E2"/>
    <w:rsid w:val="004869A3"/>
    <w:rsid w:val="00487024"/>
    <w:rsid w:val="004873CB"/>
    <w:rsid w:val="004879E0"/>
    <w:rsid w:val="00487B63"/>
    <w:rsid w:val="00491B3A"/>
    <w:rsid w:val="00491B4D"/>
    <w:rsid w:val="00492CFD"/>
    <w:rsid w:val="004949F7"/>
    <w:rsid w:val="00494DD5"/>
    <w:rsid w:val="00495ABD"/>
    <w:rsid w:val="004962D2"/>
    <w:rsid w:val="0049654F"/>
    <w:rsid w:val="004965EA"/>
    <w:rsid w:val="00497EF1"/>
    <w:rsid w:val="004A0C3B"/>
    <w:rsid w:val="004A0DA1"/>
    <w:rsid w:val="004A2893"/>
    <w:rsid w:val="004A411C"/>
    <w:rsid w:val="004A52E9"/>
    <w:rsid w:val="004A6597"/>
    <w:rsid w:val="004A6849"/>
    <w:rsid w:val="004A725D"/>
    <w:rsid w:val="004A7427"/>
    <w:rsid w:val="004A7834"/>
    <w:rsid w:val="004A7848"/>
    <w:rsid w:val="004B009E"/>
    <w:rsid w:val="004B00D2"/>
    <w:rsid w:val="004B1CB4"/>
    <w:rsid w:val="004B2F18"/>
    <w:rsid w:val="004B36D2"/>
    <w:rsid w:val="004B3DDB"/>
    <w:rsid w:val="004B4245"/>
    <w:rsid w:val="004B44FD"/>
    <w:rsid w:val="004B4829"/>
    <w:rsid w:val="004B5CFC"/>
    <w:rsid w:val="004B6DBB"/>
    <w:rsid w:val="004B774D"/>
    <w:rsid w:val="004B7AE7"/>
    <w:rsid w:val="004C0E30"/>
    <w:rsid w:val="004C1B06"/>
    <w:rsid w:val="004C2830"/>
    <w:rsid w:val="004C28ED"/>
    <w:rsid w:val="004C31CD"/>
    <w:rsid w:val="004C3396"/>
    <w:rsid w:val="004C3484"/>
    <w:rsid w:val="004C3BE5"/>
    <w:rsid w:val="004C41CC"/>
    <w:rsid w:val="004C4284"/>
    <w:rsid w:val="004C4AED"/>
    <w:rsid w:val="004C4CCB"/>
    <w:rsid w:val="004C7B16"/>
    <w:rsid w:val="004D2C2D"/>
    <w:rsid w:val="004D365B"/>
    <w:rsid w:val="004D384F"/>
    <w:rsid w:val="004D51E2"/>
    <w:rsid w:val="004D5DBA"/>
    <w:rsid w:val="004D6267"/>
    <w:rsid w:val="004D7227"/>
    <w:rsid w:val="004D732A"/>
    <w:rsid w:val="004E0588"/>
    <w:rsid w:val="004E0C2F"/>
    <w:rsid w:val="004E0E7F"/>
    <w:rsid w:val="004E0EB8"/>
    <w:rsid w:val="004E1B4D"/>
    <w:rsid w:val="004E2ADC"/>
    <w:rsid w:val="004E43B2"/>
    <w:rsid w:val="004E4565"/>
    <w:rsid w:val="004E5199"/>
    <w:rsid w:val="004E5AAB"/>
    <w:rsid w:val="004E5DA5"/>
    <w:rsid w:val="004E669E"/>
    <w:rsid w:val="004F1003"/>
    <w:rsid w:val="004F1865"/>
    <w:rsid w:val="004F1D02"/>
    <w:rsid w:val="004F1F10"/>
    <w:rsid w:val="004F2679"/>
    <w:rsid w:val="004F2744"/>
    <w:rsid w:val="004F2F21"/>
    <w:rsid w:val="004F305D"/>
    <w:rsid w:val="004F3135"/>
    <w:rsid w:val="004F494A"/>
    <w:rsid w:val="004F6108"/>
    <w:rsid w:val="004F6913"/>
    <w:rsid w:val="004F7061"/>
    <w:rsid w:val="004F7865"/>
    <w:rsid w:val="004F7D2B"/>
    <w:rsid w:val="00500473"/>
    <w:rsid w:val="00500FDC"/>
    <w:rsid w:val="00501A6F"/>
    <w:rsid w:val="00501B09"/>
    <w:rsid w:val="0050219B"/>
    <w:rsid w:val="00502ABD"/>
    <w:rsid w:val="00503F17"/>
    <w:rsid w:val="00504D2D"/>
    <w:rsid w:val="005051DB"/>
    <w:rsid w:val="0050570B"/>
    <w:rsid w:val="0050678D"/>
    <w:rsid w:val="00506890"/>
    <w:rsid w:val="00506928"/>
    <w:rsid w:val="00507A6A"/>
    <w:rsid w:val="00507AC9"/>
    <w:rsid w:val="00507D2F"/>
    <w:rsid w:val="00510CF5"/>
    <w:rsid w:val="00511E17"/>
    <w:rsid w:val="0051295B"/>
    <w:rsid w:val="0051343B"/>
    <w:rsid w:val="005147DC"/>
    <w:rsid w:val="00514FEA"/>
    <w:rsid w:val="005152B5"/>
    <w:rsid w:val="00515460"/>
    <w:rsid w:val="00515D5D"/>
    <w:rsid w:val="00516171"/>
    <w:rsid w:val="005175E0"/>
    <w:rsid w:val="005175E1"/>
    <w:rsid w:val="00517D24"/>
    <w:rsid w:val="0052078D"/>
    <w:rsid w:val="00521319"/>
    <w:rsid w:val="00522BC8"/>
    <w:rsid w:val="00523A53"/>
    <w:rsid w:val="00523C28"/>
    <w:rsid w:val="00523D94"/>
    <w:rsid w:val="00525A5D"/>
    <w:rsid w:val="00525ED3"/>
    <w:rsid w:val="00525EE2"/>
    <w:rsid w:val="00526EDA"/>
    <w:rsid w:val="00527774"/>
    <w:rsid w:val="00530DAE"/>
    <w:rsid w:val="00530DCD"/>
    <w:rsid w:val="00530FC2"/>
    <w:rsid w:val="005310E6"/>
    <w:rsid w:val="00531271"/>
    <w:rsid w:val="00531835"/>
    <w:rsid w:val="00531EE5"/>
    <w:rsid w:val="00532BE8"/>
    <w:rsid w:val="0053322F"/>
    <w:rsid w:val="0053335D"/>
    <w:rsid w:val="00533E8A"/>
    <w:rsid w:val="005347A7"/>
    <w:rsid w:val="00534E4E"/>
    <w:rsid w:val="00534E79"/>
    <w:rsid w:val="00535BFE"/>
    <w:rsid w:val="00536E1E"/>
    <w:rsid w:val="00536F42"/>
    <w:rsid w:val="00537182"/>
    <w:rsid w:val="005404AB"/>
    <w:rsid w:val="005413B8"/>
    <w:rsid w:val="005417BE"/>
    <w:rsid w:val="00541863"/>
    <w:rsid w:val="005421A2"/>
    <w:rsid w:val="0054230F"/>
    <w:rsid w:val="00542743"/>
    <w:rsid w:val="00542C2D"/>
    <w:rsid w:val="0054305A"/>
    <w:rsid w:val="0054332C"/>
    <w:rsid w:val="00546ECC"/>
    <w:rsid w:val="005476F3"/>
    <w:rsid w:val="00547D25"/>
    <w:rsid w:val="00550CFB"/>
    <w:rsid w:val="005510AB"/>
    <w:rsid w:val="005518DB"/>
    <w:rsid w:val="00551985"/>
    <w:rsid w:val="00551E27"/>
    <w:rsid w:val="00551FFE"/>
    <w:rsid w:val="00552ABE"/>
    <w:rsid w:val="00552BD3"/>
    <w:rsid w:val="00555109"/>
    <w:rsid w:val="00555388"/>
    <w:rsid w:val="0055621B"/>
    <w:rsid w:val="00556924"/>
    <w:rsid w:val="00557CE2"/>
    <w:rsid w:val="00560AEE"/>
    <w:rsid w:val="00561094"/>
    <w:rsid w:val="0056117C"/>
    <w:rsid w:val="005618C9"/>
    <w:rsid w:val="005623F0"/>
    <w:rsid w:val="00562E57"/>
    <w:rsid w:val="0056318D"/>
    <w:rsid w:val="00563D43"/>
    <w:rsid w:val="00565A0F"/>
    <w:rsid w:val="00565F9F"/>
    <w:rsid w:val="00566080"/>
    <w:rsid w:val="0056696F"/>
    <w:rsid w:val="00567231"/>
    <w:rsid w:val="00567A55"/>
    <w:rsid w:val="00567DBE"/>
    <w:rsid w:val="00570164"/>
    <w:rsid w:val="0057020D"/>
    <w:rsid w:val="005717BA"/>
    <w:rsid w:val="00571896"/>
    <w:rsid w:val="00572269"/>
    <w:rsid w:val="0057244A"/>
    <w:rsid w:val="00574479"/>
    <w:rsid w:val="00574C0F"/>
    <w:rsid w:val="0057590A"/>
    <w:rsid w:val="00575D8D"/>
    <w:rsid w:val="00576145"/>
    <w:rsid w:val="00576760"/>
    <w:rsid w:val="00576972"/>
    <w:rsid w:val="00577005"/>
    <w:rsid w:val="00577BCD"/>
    <w:rsid w:val="00581858"/>
    <w:rsid w:val="00583699"/>
    <w:rsid w:val="00584148"/>
    <w:rsid w:val="0058585F"/>
    <w:rsid w:val="00585B3E"/>
    <w:rsid w:val="00585B69"/>
    <w:rsid w:val="00585CDD"/>
    <w:rsid w:val="00586CFF"/>
    <w:rsid w:val="00587058"/>
    <w:rsid w:val="0058793F"/>
    <w:rsid w:val="005908ED"/>
    <w:rsid w:val="00591334"/>
    <w:rsid w:val="00591957"/>
    <w:rsid w:val="00593C43"/>
    <w:rsid w:val="00594B97"/>
    <w:rsid w:val="00594C3A"/>
    <w:rsid w:val="0059548E"/>
    <w:rsid w:val="0059582D"/>
    <w:rsid w:val="005961F2"/>
    <w:rsid w:val="00596F99"/>
    <w:rsid w:val="0059788F"/>
    <w:rsid w:val="00597BF9"/>
    <w:rsid w:val="005A0CA5"/>
    <w:rsid w:val="005A105B"/>
    <w:rsid w:val="005A130B"/>
    <w:rsid w:val="005A373D"/>
    <w:rsid w:val="005A44BD"/>
    <w:rsid w:val="005A55BF"/>
    <w:rsid w:val="005A5CDB"/>
    <w:rsid w:val="005A6014"/>
    <w:rsid w:val="005A6ACE"/>
    <w:rsid w:val="005A7260"/>
    <w:rsid w:val="005B0042"/>
    <w:rsid w:val="005B0BF0"/>
    <w:rsid w:val="005B2022"/>
    <w:rsid w:val="005B2284"/>
    <w:rsid w:val="005B3A12"/>
    <w:rsid w:val="005B3A27"/>
    <w:rsid w:val="005B4B33"/>
    <w:rsid w:val="005B5857"/>
    <w:rsid w:val="005B667B"/>
    <w:rsid w:val="005B6B93"/>
    <w:rsid w:val="005B73A1"/>
    <w:rsid w:val="005B750D"/>
    <w:rsid w:val="005B7E16"/>
    <w:rsid w:val="005C0298"/>
    <w:rsid w:val="005C0E0A"/>
    <w:rsid w:val="005C1B83"/>
    <w:rsid w:val="005C1CE2"/>
    <w:rsid w:val="005C1FF5"/>
    <w:rsid w:val="005C272A"/>
    <w:rsid w:val="005C2916"/>
    <w:rsid w:val="005C2D00"/>
    <w:rsid w:val="005C2D55"/>
    <w:rsid w:val="005C346B"/>
    <w:rsid w:val="005C36E6"/>
    <w:rsid w:val="005C4A5D"/>
    <w:rsid w:val="005C4B0B"/>
    <w:rsid w:val="005C5517"/>
    <w:rsid w:val="005C5534"/>
    <w:rsid w:val="005C5750"/>
    <w:rsid w:val="005C765D"/>
    <w:rsid w:val="005D0098"/>
    <w:rsid w:val="005D044D"/>
    <w:rsid w:val="005D0873"/>
    <w:rsid w:val="005D0ABD"/>
    <w:rsid w:val="005D18AD"/>
    <w:rsid w:val="005D1C28"/>
    <w:rsid w:val="005D1CE2"/>
    <w:rsid w:val="005D20D4"/>
    <w:rsid w:val="005D24EB"/>
    <w:rsid w:val="005D2558"/>
    <w:rsid w:val="005D26B4"/>
    <w:rsid w:val="005D2B81"/>
    <w:rsid w:val="005D2C2E"/>
    <w:rsid w:val="005D3CE4"/>
    <w:rsid w:val="005D49C6"/>
    <w:rsid w:val="005D56EF"/>
    <w:rsid w:val="005D7C3E"/>
    <w:rsid w:val="005E0633"/>
    <w:rsid w:val="005E06F7"/>
    <w:rsid w:val="005E0FCA"/>
    <w:rsid w:val="005E1510"/>
    <w:rsid w:val="005E1C14"/>
    <w:rsid w:val="005E3660"/>
    <w:rsid w:val="005E6CBC"/>
    <w:rsid w:val="005E7039"/>
    <w:rsid w:val="005E73C0"/>
    <w:rsid w:val="005F129E"/>
    <w:rsid w:val="005F162B"/>
    <w:rsid w:val="005F1B92"/>
    <w:rsid w:val="005F208F"/>
    <w:rsid w:val="005F22FD"/>
    <w:rsid w:val="005F2706"/>
    <w:rsid w:val="005F3DD8"/>
    <w:rsid w:val="005F4D50"/>
    <w:rsid w:val="005F5986"/>
    <w:rsid w:val="005F5C66"/>
    <w:rsid w:val="005F5C8C"/>
    <w:rsid w:val="005F63CE"/>
    <w:rsid w:val="005F6A8F"/>
    <w:rsid w:val="005F6FC2"/>
    <w:rsid w:val="005F782E"/>
    <w:rsid w:val="005F7C4A"/>
    <w:rsid w:val="0060125F"/>
    <w:rsid w:val="00603262"/>
    <w:rsid w:val="006037F1"/>
    <w:rsid w:val="006039BC"/>
    <w:rsid w:val="00603A27"/>
    <w:rsid w:val="00603DB9"/>
    <w:rsid w:val="006050AE"/>
    <w:rsid w:val="006063A8"/>
    <w:rsid w:val="00607669"/>
    <w:rsid w:val="00607AFD"/>
    <w:rsid w:val="006102C4"/>
    <w:rsid w:val="006104D7"/>
    <w:rsid w:val="006110BB"/>
    <w:rsid w:val="00612365"/>
    <w:rsid w:val="00612F97"/>
    <w:rsid w:val="0061345D"/>
    <w:rsid w:val="00613742"/>
    <w:rsid w:val="00614268"/>
    <w:rsid w:val="00614563"/>
    <w:rsid w:val="006164EA"/>
    <w:rsid w:val="00616802"/>
    <w:rsid w:val="00617E12"/>
    <w:rsid w:val="00620268"/>
    <w:rsid w:val="00621477"/>
    <w:rsid w:val="00621BE0"/>
    <w:rsid w:val="00622567"/>
    <w:rsid w:val="006230FC"/>
    <w:rsid w:val="00623536"/>
    <w:rsid w:val="0062480E"/>
    <w:rsid w:val="00624D8D"/>
    <w:rsid w:val="0062502B"/>
    <w:rsid w:val="006275CC"/>
    <w:rsid w:val="00627827"/>
    <w:rsid w:val="00627AA2"/>
    <w:rsid w:val="006303F5"/>
    <w:rsid w:val="006305D7"/>
    <w:rsid w:val="0063158F"/>
    <w:rsid w:val="0063187B"/>
    <w:rsid w:val="00631D6B"/>
    <w:rsid w:val="006330A1"/>
    <w:rsid w:val="00633AD3"/>
    <w:rsid w:val="00633B98"/>
    <w:rsid w:val="00634668"/>
    <w:rsid w:val="0063479F"/>
    <w:rsid w:val="00635231"/>
    <w:rsid w:val="0063528E"/>
    <w:rsid w:val="006353F0"/>
    <w:rsid w:val="00635FE5"/>
    <w:rsid w:val="006364A1"/>
    <w:rsid w:val="00636B25"/>
    <w:rsid w:val="00636F70"/>
    <w:rsid w:val="00637BFD"/>
    <w:rsid w:val="00640095"/>
    <w:rsid w:val="006404CD"/>
    <w:rsid w:val="00640C1F"/>
    <w:rsid w:val="00641C4E"/>
    <w:rsid w:val="006457EA"/>
    <w:rsid w:val="00645837"/>
    <w:rsid w:val="00645A9A"/>
    <w:rsid w:val="006471CC"/>
    <w:rsid w:val="006476E1"/>
    <w:rsid w:val="006505DE"/>
    <w:rsid w:val="0065079F"/>
    <w:rsid w:val="00650B2E"/>
    <w:rsid w:val="006510CC"/>
    <w:rsid w:val="00651F23"/>
    <w:rsid w:val="006526B2"/>
    <w:rsid w:val="0065379F"/>
    <w:rsid w:val="00654EF5"/>
    <w:rsid w:val="006568B6"/>
    <w:rsid w:val="00657992"/>
    <w:rsid w:val="00657E5F"/>
    <w:rsid w:val="00661C6B"/>
    <w:rsid w:val="0066354F"/>
    <w:rsid w:val="00663AE0"/>
    <w:rsid w:val="006666E3"/>
    <w:rsid w:val="0067035C"/>
    <w:rsid w:val="006734A2"/>
    <w:rsid w:val="00674D77"/>
    <w:rsid w:val="00674E42"/>
    <w:rsid w:val="00675330"/>
    <w:rsid w:val="00676CDF"/>
    <w:rsid w:val="00676EF1"/>
    <w:rsid w:val="00677111"/>
    <w:rsid w:val="0067716E"/>
    <w:rsid w:val="00680F4C"/>
    <w:rsid w:val="006812D3"/>
    <w:rsid w:val="00681619"/>
    <w:rsid w:val="00682112"/>
    <w:rsid w:val="00682180"/>
    <w:rsid w:val="00683685"/>
    <w:rsid w:val="00684759"/>
    <w:rsid w:val="006865BB"/>
    <w:rsid w:val="00686957"/>
    <w:rsid w:val="006872BA"/>
    <w:rsid w:val="00687F58"/>
    <w:rsid w:val="006910A8"/>
    <w:rsid w:val="00691648"/>
    <w:rsid w:val="006917D7"/>
    <w:rsid w:val="00691E25"/>
    <w:rsid w:val="00693C9E"/>
    <w:rsid w:val="00693CDB"/>
    <w:rsid w:val="00694F44"/>
    <w:rsid w:val="006957CD"/>
    <w:rsid w:val="00696F89"/>
    <w:rsid w:val="006A03EA"/>
    <w:rsid w:val="006A0616"/>
    <w:rsid w:val="006A0AE4"/>
    <w:rsid w:val="006A1A5C"/>
    <w:rsid w:val="006A1AFA"/>
    <w:rsid w:val="006A2F25"/>
    <w:rsid w:val="006A364B"/>
    <w:rsid w:val="006A46E4"/>
    <w:rsid w:val="006A4733"/>
    <w:rsid w:val="006A4910"/>
    <w:rsid w:val="006A7C31"/>
    <w:rsid w:val="006A7E5F"/>
    <w:rsid w:val="006B023D"/>
    <w:rsid w:val="006B0F73"/>
    <w:rsid w:val="006B1A3C"/>
    <w:rsid w:val="006B1D62"/>
    <w:rsid w:val="006B1F96"/>
    <w:rsid w:val="006B261B"/>
    <w:rsid w:val="006B2C90"/>
    <w:rsid w:val="006B2F1A"/>
    <w:rsid w:val="006B32AE"/>
    <w:rsid w:val="006B4A8F"/>
    <w:rsid w:val="006B4CDA"/>
    <w:rsid w:val="006B5C46"/>
    <w:rsid w:val="006B6DD0"/>
    <w:rsid w:val="006B7F49"/>
    <w:rsid w:val="006B7F63"/>
    <w:rsid w:val="006C04A8"/>
    <w:rsid w:val="006C069D"/>
    <w:rsid w:val="006C098B"/>
    <w:rsid w:val="006C16E6"/>
    <w:rsid w:val="006C1C44"/>
    <w:rsid w:val="006C2A8E"/>
    <w:rsid w:val="006C30DD"/>
    <w:rsid w:val="006C4024"/>
    <w:rsid w:val="006C41B7"/>
    <w:rsid w:val="006C42A0"/>
    <w:rsid w:val="006C4D6C"/>
    <w:rsid w:val="006C5F77"/>
    <w:rsid w:val="006C6F6D"/>
    <w:rsid w:val="006C7AB0"/>
    <w:rsid w:val="006D2281"/>
    <w:rsid w:val="006D2A5F"/>
    <w:rsid w:val="006D2D25"/>
    <w:rsid w:val="006D3C7D"/>
    <w:rsid w:val="006D3FB0"/>
    <w:rsid w:val="006D4552"/>
    <w:rsid w:val="006D4E2C"/>
    <w:rsid w:val="006D551F"/>
    <w:rsid w:val="006D5C54"/>
    <w:rsid w:val="006D5D5F"/>
    <w:rsid w:val="006D654B"/>
    <w:rsid w:val="006E097C"/>
    <w:rsid w:val="006E2D8C"/>
    <w:rsid w:val="006E3E80"/>
    <w:rsid w:val="006E465B"/>
    <w:rsid w:val="006E6D44"/>
    <w:rsid w:val="006F029F"/>
    <w:rsid w:val="006F06F7"/>
    <w:rsid w:val="006F0BB6"/>
    <w:rsid w:val="006F0F0E"/>
    <w:rsid w:val="006F1697"/>
    <w:rsid w:val="006F1B90"/>
    <w:rsid w:val="006F306C"/>
    <w:rsid w:val="006F4187"/>
    <w:rsid w:val="006F4446"/>
    <w:rsid w:val="006F46FD"/>
    <w:rsid w:val="006F4EAC"/>
    <w:rsid w:val="006F554B"/>
    <w:rsid w:val="006F5C2E"/>
    <w:rsid w:val="006F63A5"/>
    <w:rsid w:val="006F6A06"/>
    <w:rsid w:val="00700CCE"/>
    <w:rsid w:val="0070128A"/>
    <w:rsid w:val="0070142B"/>
    <w:rsid w:val="007014BD"/>
    <w:rsid w:val="0070276E"/>
    <w:rsid w:val="007028D6"/>
    <w:rsid w:val="00702B89"/>
    <w:rsid w:val="00702F8F"/>
    <w:rsid w:val="00703E49"/>
    <w:rsid w:val="007045EB"/>
    <w:rsid w:val="00706EE2"/>
    <w:rsid w:val="00710999"/>
    <w:rsid w:val="00710D5D"/>
    <w:rsid w:val="00711A36"/>
    <w:rsid w:val="00712501"/>
    <w:rsid w:val="00712EA0"/>
    <w:rsid w:val="00713C06"/>
    <w:rsid w:val="00714F24"/>
    <w:rsid w:val="0071529C"/>
    <w:rsid w:val="007172AD"/>
    <w:rsid w:val="00717684"/>
    <w:rsid w:val="00720380"/>
    <w:rsid w:val="007203EC"/>
    <w:rsid w:val="0072085D"/>
    <w:rsid w:val="00721686"/>
    <w:rsid w:val="00721D69"/>
    <w:rsid w:val="00721EB9"/>
    <w:rsid w:val="00722B1B"/>
    <w:rsid w:val="00722EDB"/>
    <w:rsid w:val="00723118"/>
    <w:rsid w:val="0072416F"/>
    <w:rsid w:val="007253C5"/>
    <w:rsid w:val="007255BB"/>
    <w:rsid w:val="007259A5"/>
    <w:rsid w:val="007264B2"/>
    <w:rsid w:val="00727C94"/>
    <w:rsid w:val="007303B6"/>
    <w:rsid w:val="00730CA9"/>
    <w:rsid w:val="00731CF1"/>
    <w:rsid w:val="00731EAE"/>
    <w:rsid w:val="00735033"/>
    <w:rsid w:val="00735328"/>
    <w:rsid w:val="00735B18"/>
    <w:rsid w:val="0073626C"/>
    <w:rsid w:val="0073685B"/>
    <w:rsid w:val="00737002"/>
    <w:rsid w:val="007377DC"/>
    <w:rsid w:val="0074058A"/>
    <w:rsid w:val="0074135D"/>
    <w:rsid w:val="0074248F"/>
    <w:rsid w:val="00743559"/>
    <w:rsid w:val="00743BD1"/>
    <w:rsid w:val="00745906"/>
    <w:rsid w:val="00746272"/>
    <w:rsid w:val="007465BE"/>
    <w:rsid w:val="007469E0"/>
    <w:rsid w:val="0075016C"/>
    <w:rsid w:val="00750896"/>
    <w:rsid w:val="00752100"/>
    <w:rsid w:val="00752142"/>
    <w:rsid w:val="007523F9"/>
    <w:rsid w:val="0075546C"/>
    <w:rsid w:val="00756EA7"/>
    <w:rsid w:val="00757073"/>
    <w:rsid w:val="007573E8"/>
    <w:rsid w:val="0075743E"/>
    <w:rsid w:val="00760550"/>
    <w:rsid w:val="00760C4E"/>
    <w:rsid w:val="00760FC0"/>
    <w:rsid w:val="00761046"/>
    <w:rsid w:val="00765B1A"/>
    <w:rsid w:val="00765BF0"/>
    <w:rsid w:val="0076688E"/>
    <w:rsid w:val="007677E1"/>
    <w:rsid w:val="00767946"/>
    <w:rsid w:val="00767AA4"/>
    <w:rsid w:val="00771BD6"/>
    <w:rsid w:val="00771ECD"/>
    <w:rsid w:val="00772F90"/>
    <w:rsid w:val="00773C0C"/>
    <w:rsid w:val="0077436A"/>
    <w:rsid w:val="00774E79"/>
    <w:rsid w:val="0077544B"/>
    <w:rsid w:val="007754AD"/>
    <w:rsid w:val="00775995"/>
    <w:rsid w:val="007766A7"/>
    <w:rsid w:val="007776E6"/>
    <w:rsid w:val="00780B26"/>
    <w:rsid w:val="00781825"/>
    <w:rsid w:val="007826ED"/>
    <w:rsid w:val="00784373"/>
    <w:rsid w:val="007843F2"/>
    <w:rsid w:val="00786E3C"/>
    <w:rsid w:val="00787983"/>
    <w:rsid w:val="00787DCF"/>
    <w:rsid w:val="007908B0"/>
    <w:rsid w:val="00790D82"/>
    <w:rsid w:val="007915C1"/>
    <w:rsid w:val="0079266F"/>
    <w:rsid w:val="00792750"/>
    <w:rsid w:val="0079350B"/>
    <w:rsid w:val="00793D60"/>
    <w:rsid w:val="00794579"/>
    <w:rsid w:val="007948EC"/>
    <w:rsid w:val="00794CD0"/>
    <w:rsid w:val="0079551C"/>
    <w:rsid w:val="00795A74"/>
    <w:rsid w:val="00796ADC"/>
    <w:rsid w:val="007A0A12"/>
    <w:rsid w:val="007A0D2D"/>
    <w:rsid w:val="007A132D"/>
    <w:rsid w:val="007A20CA"/>
    <w:rsid w:val="007A2DF1"/>
    <w:rsid w:val="007A382A"/>
    <w:rsid w:val="007A3ACE"/>
    <w:rsid w:val="007A3D7F"/>
    <w:rsid w:val="007A431F"/>
    <w:rsid w:val="007A4577"/>
    <w:rsid w:val="007A49D9"/>
    <w:rsid w:val="007A4CA3"/>
    <w:rsid w:val="007A4E82"/>
    <w:rsid w:val="007A51B7"/>
    <w:rsid w:val="007A54EA"/>
    <w:rsid w:val="007A5524"/>
    <w:rsid w:val="007A5713"/>
    <w:rsid w:val="007A649A"/>
    <w:rsid w:val="007A7E40"/>
    <w:rsid w:val="007B026D"/>
    <w:rsid w:val="007B0D1D"/>
    <w:rsid w:val="007B0D68"/>
    <w:rsid w:val="007B0EEE"/>
    <w:rsid w:val="007B186F"/>
    <w:rsid w:val="007B251D"/>
    <w:rsid w:val="007B4674"/>
    <w:rsid w:val="007B4F58"/>
    <w:rsid w:val="007B528D"/>
    <w:rsid w:val="007B5D70"/>
    <w:rsid w:val="007B5DED"/>
    <w:rsid w:val="007B5E6F"/>
    <w:rsid w:val="007B68E5"/>
    <w:rsid w:val="007B761D"/>
    <w:rsid w:val="007B77D1"/>
    <w:rsid w:val="007C1162"/>
    <w:rsid w:val="007C1ACF"/>
    <w:rsid w:val="007C1B3F"/>
    <w:rsid w:val="007C1CD9"/>
    <w:rsid w:val="007C242F"/>
    <w:rsid w:val="007C2EC1"/>
    <w:rsid w:val="007C361D"/>
    <w:rsid w:val="007C3894"/>
    <w:rsid w:val="007C446D"/>
    <w:rsid w:val="007C4B84"/>
    <w:rsid w:val="007C616A"/>
    <w:rsid w:val="007C761E"/>
    <w:rsid w:val="007D004F"/>
    <w:rsid w:val="007D07CF"/>
    <w:rsid w:val="007D0B38"/>
    <w:rsid w:val="007D1423"/>
    <w:rsid w:val="007D4F09"/>
    <w:rsid w:val="007D5440"/>
    <w:rsid w:val="007D5F35"/>
    <w:rsid w:val="007D62B6"/>
    <w:rsid w:val="007D69F3"/>
    <w:rsid w:val="007D723C"/>
    <w:rsid w:val="007D7B1F"/>
    <w:rsid w:val="007E2413"/>
    <w:rsid w:val="007E45F8"/>
    <w:rsid w:val="007E56BE"/>
    <w:rsid w:val="007E76DB"/>
    <w:rsid w:val="007E7B7C"/>
    <w:rsid w:val="007F00CB"/>
    <w:rsid w:val="007F04AF"/>
    <w:rsid w:val="007F0C92"/>
    <w:rsid w:val="007F0F89"/>
    <w:rsid w:val="007F1017"/>
    <w:rsid w:val="007F3AB7"/>
    <w:rsid w:val="007F4A3F"/>
    <w:rsid w:val="007F4A61"/>
    <w:rsid w:val="007F4FEC"/>
    <w:rsid w:val="007F52E1"/>
    <w:rsid w:val="007F61C2"/>
    <w:rsid w:val="007F6F61"/>
    <w:rsid w:val="007F7A4E"/>
    <w:rsid w:val="008003B3"/>
    <w:rsid w:val="008006CC"/>
    <w:rsid w:val="00800A25"/>
    <w:rsid w:val="0080144F"/>
    <w:rsid w:val="00801683"/>
    <w:rsid w:val="00801BF1"/>
    <w:rsid w:val="00801ED4"/>
    <w:rsid w:val="00802686"/>
    <w:rsid w:val="008044EF"/>
    <w:rsid w:val="00805142"/>
    <w:rsid w:val="00805B38"/>
    <w:rsid w:val="00806ED7"/>
    <w:rsid w:val="00807A8B"/>
    <w:rsid w:val="00807E2A"/>
    <w:rsid w:val="00810BC5"/>
    <w:rsid w:val="00810EC5"/>
    <w:rsid w:val="00811383"/>
    <w:rsid w:val="008119E0"/>
    <w:rsid w:val="00812149"/>
    <w:rsid w:val="00812424"/>
    <w:rsid w:val="00812CAC"/>
    <w:rsid w:val="00814044"/>
    <w:rsid w:val="00814933"/>
    <w:rsid w:val="00814B63"/>
    <w:rsid w:val="0081543F"/>
    <w:rsid w:val="008156E2"/>
    <w:rsid w:val="00815852"/>
    <w:rsid w:val="00815A6C"/>
    <w:rsid w:val="00815BEB"/>
    <w:rsid w:val="008166EF"/>
    <w:rsid w:val="00816D50"/>
    <w:rsid w:val="00817280"/>
    <w:rsid w:val="00817A49"/>
    <w:rsid w:val="00823AB7"/>
    <w:rsid w:val="00825103"/>
    <w:rsid w:val="00825751"/>
    <w:rsid w:val="008263E9"/>
    <w:rsid w:val="008264EB"/>
    <w:rsid w:val="00827CE9"/>
    <w:rsid w:val="00831133"/>
    <w:rsid w:val="00833B05"/>
    <w:rsid w:val="00834800"/>
    <w:rsid w:val="008354E2"/>
    <w:rsid w:val="008358F7"/>
    <w:rsid w:val="008362B4"/>
    <w:rsid w:val="008376B4"/>
    <w:rsid w:val="0084035D"/>
    <w:rsid w:val="00840CA2"/>
    <w:rsid w:val="00840E67"/>
    <w:rsid w:val="0084101E"/>
    <w:rsid w:val="008416AD"/>
    <w:rsid w:val="00841BDF"/>
    <w:rsid w:val="008426E5"/>
    <w:rsid w:val="00842845"/>
    <w:rsid w:val="0084374F"/>
    <w:rsid w:val="00843926"/>
    <w:rsid w:val="0084407B"/>
    <w:rsid w:val="00844608"/>
    <w:rsid w:val="008446C8"/>
    <w:rsid w:val="00844EC0"/>
    <w:rsid w:val="008466D0"/>
    <w:rsid w:val="00846C97"/>
    <w:rsid w:val="00847DF5"/>
    <w:rsid w:val="00850350"/>
    <w:rsid w:val="00850727"/>
    <w:rsid w:val="0085309D"/>
    <w:rsid w:val="008536AA"/>
    <w:rsid w:val="00853EA4"/>
    <w:rsid w:val="008555A3"/>
    <w:rsid w:val="00855692"/>
    <w:rsid w:val="00855DF3"/>
    <w:rsid w:val="0085645A"/>
    <w:rsid w:val="008565D6"/>
    <w:rsid w:val="00856897"/>
    <w:rsid w:val="00856D0A"/>
    <w:rsid w:val="00856E9A"/>
    <w:rsid w:val="008575B1"/>
    <w:rsid w:val="00857820"/>
    <w:rsid w:val="0086075D"/>
    <w:rsid w:val="008607BF"/>
    <w:rsid w:val="008617B2"/>
    <w:rsid w:val="00862502"/>
    <w:rsid w:val="008630E7"/>
    <w:rsid w:val="008638EA"/>
    <w:rsid w:val="00864114"/>
    <w:rsid w:val="00864139"/>
    <w:rsid w:val="00864DC4"/>
    <w:rsid w:val="0086524D"/>
    <w:rsid w:val="008660D4"/>
    <w:rsid w:val="008678D2"/>
    <w:rsid w:val="00867A2E"/>
    <w:rsid w:val="00867B12"/>
    <w:rsid w:val="00867F57"/>
    <w:rsid w:val="00870277"/>
    <w:rsid w:val="00871FA9"/>
    <w:rsid w:val="008728E9"/>
    <w:rsid w:val="00872C6D"/>
    <w:rsid w:val="00872D15"/>
    <w:rsid w:val="00874582"/>
    <w:rsid w:val="00874991"/>
    <w:rsid w:val="00875ED5"/>
    <w:rsid w:val="008761F6"/>
    <w:rsid w:val="00876A54"/>
    <w:rsid w:val="00876F9D"/>
    <w:rsid w:val="00876FF4"/>
    <w:rsid w:val="00880D5D"/>
    <w:rsid w:val="00880F63"/>
    <w:rsid w:val="00882874"/>
    <w:rsid w:val="008834E3"/>
    <w:rsid w:val="00883787"/>
    <w:rsid w:val="00885F2A"/>
    <w:rsid w:val="00886CD2"/>
    <w:rsid w:val="00886F25"/>
    <w:rsid w:val="0088701A"/>
    <w:rsid w:val="0088732E"/>
    <w:rsid w:val="0088762A"/>
    <w:rsid w:val="008920DF"/>
    <w:rsid w:val="0089257D"/>
    <w:rsid w:val="00892A36"/>
    <w:rsid w:val="00893239"/>
    <w:rsid w:val="00893B70"/>
    <w:rsid w:val="00893C2E"/>
    <w:rsid w:val="00894489"/>
    <w:rsid w:val="00895002"/>
    <w:rsid w:val="008950EC"/>
    <w:rsid w:val="00896305"/>
    <w:rsid w:val="008963A5"/>
    <w:rsid w:val="0089699D"/>
    <w:rsid w:val="0089716B"/>
    <w:rsid w:val="0089751B"/>
    <w:rsid w:val="0089777B"/>
    <w:rsid w:val="008A0404"/>
    <w:rsid w:val="008A065D"/>
    <w:rsid w:val="008A17D7"/>
    <w:rsid w:val="008A246B"/>
    <w:rsid w:val="008A2571"/>
    <w:rsid w:val="008A305D"/>
    <w:rsid w:val="008A3363"/>
    <w:rsid w:val="008A3371"/>
    <w:rsid w:val="008A3C3E"/>
    <w:rsid w:val="008A3DBF"/>
    <w:rsid w:val="008A40D8"/>
    <w:rsid w:val="008A4CC3"/>
    <w:rsid w:val="008A4CF9"/>
    <w:rsid w:val="008A4DE8"/>
    <w:rsid w:val="008A759F"/>
    <w:rsid w:val="008A79DE"/>
    <w:rsid w:val="008B0042"/>
    <w:rsid w:val="008B0679"/>
    <w:rsid w:val="008B0B27"/>
    <w:rsid w:val="008B0C43"/>
    <w:rsid w:val="008B0E97"/>
    <w:rsid w:val="008B1757"/>
    <w:rsid w:val="008B277C"/>
    <w:rsid w:val="008B2EF6"/>
    <w:rsid w:val="008B381E"/>
    <w:rsid w:val="008B3ED8"/>
    <w:rsid w:val="008B4262"/>
    <w:rsid w:val="008B49C5"/>
    <w:rsid w:val="008B67F0"/>
    <w:rsid w:val="008B68ED"/>
    <w:rsid w:val="008B74BF"/>
    <w:rsid w:val="008B7D7E"/>
    <w:rsid w:val="008C0617"/>
    <w:rsid w:val="008C0731"/>
    <w:rsid w:val="008C073D"/>
    <w:rsid w:val="008C0B33"/>
    <w:rsid w:val="008C0DBA"/>
    <w:rsid w:val="008C11B1"/>
    <w:rsid w:val="008C172E"/>
    <w:rsid w:val="008C2503"/>
    <w:rsid w:val="008C2BEA"/>
    <w:rsid w:val="008C3522"/>
    <w:rsid w:val="008C36DE"/>
    <w:rsid w:val="008C40CA"/>
    <w:rsid w:val="008C4E66"/>
    <w:rsid w:val="008C4F11"/>
    <w:rsid w:val="008C60A0"/>
    <w:rsid w:val="008C63BC"/>
    <w:rsid w:val="008C7ECB"/>
    <w:rsid w:val="008D03A5"/>
    <w:rsid w:val="008D0558"/>
    <w:rsid w:val="008D16AF"/>
    <w:rsid w:val="008D3619"/>
    <w:rsid w:val="008D3961"/>
    <w:rsid w:val="008D43B0"/>
    <w:rsid w:val="008D4755"/>
    <w:rsid w:val="008D47C4"/>
    <w:rsid w:val="008D4C3D"/>
    <w:rsid w:val="008D5480"/>
    <w:rsid w:val="008D5928"/>
    <w:rsid w:val="008D596B"/>
    <w:rsid w:val="008D5E9B"/>
    <w:rsid w:val="008D67C5"/>
    <w:rsid w:val="008D72E7"/>
    <w:rsid w:val="008E0D3C"/>
    <w:rsid w:val="008E1B9E"/>
    <w:rsid w:val="008E1D79"/>
    <w:rsid w:val="008E278B"/>
    <w:rsid w:val="008E27A7"/>
    <w:rsid w:val="008E320B"/>
    <w:rsid w:val="008E3A3C"/>
    <w:rsid w:val="008E443D"/>
    <w:rsid w:val="008E4A39"/>
    <w:rsid w:val="008E4B2B"/>
    <w:rsid w:val="008E4F6B"/>
    <w:rsid w:val="008E54C4"/>
    <w:rsid w:val="008E55AB"/>
    <w:rsid w:val="008E6D6A"/>
    <w:rsid w:val="008E6F61"/>
    <w:rsid w:val="008F017B"/>
    <w:rsid w:val="008F0533"/>
    <w:rsid w:val="008F0621"/>
    <w:rsid w:val="008F0722"/>
    <w:rsid w:val="008F0A94"/>
    <w:rsid w:val="008F0FB8"/>
    <w:rsid w:val="008F120A"/>
    <w:rsid w:val="008F2279"/>
    <w:rsid w:val="008F27E0"/>
    <w:rsid w:val="008F345B"/>
    <w:rsid w:val="008F35D2"/>
    <w:rsid w:val="008F3BB4"/>
    <w:rsid w:val="008F4882"/>
    <w:rsid w:val="008F48E7"/>
    <w:rsid w:val="008F48EB"/>
    <w:rsid w:val="008F4F0B"/>
    <w:rsid w:val="008F52A7"/>
    <w:rsid w:val="008F601F"/>
    <w:rsid w:val="008F659A"/>
    <w:rsid w:val="008F6CE6"/>
    <w:rsid w:val="008F6D50"/>
    <w:rsid w:val="008F72FA"/>
    <w:rsid w:val="008F74B0"/>
    <w:rsid w:val="008F757C"/>
    <w:rsid w:val="00901BC2"/>
    <w:rsid w:val="009032D3"/>
    <w:rsid w:val="0090441B"/>
    <w:rsid w:val="009046C4"/>
    <w:rsid w:val="00904E59"/>
    <w:rsid w:val="00905361"/>
    <w:rsid w:val="009062A5"/>
    <w:rsid w:val="009066AB"/>
    <w:rsid w:val="009074E0"/>
    <w:rsid w:val="00907DA0"/>
    <w:rsid w:val="00911272"/>
    <w:rsid w:val="009115F5"/>
    <w:rsid w:val="00911D95"/>
    <w:rsid w:val="009126E2"/>
    <w:rsid w:val="00912BDB"/>
    <w:rsid w:val="0091333E"/>
    <w:rsid w:val="009135D6"/>
    <w:rsid w:val="00913F87"/>
    <w:rsid w:val="00914C77"/>
    <w:rsid w:val="009154DF"/>
    <w:rsid w:val="0091678D"/>
    <w:rsid w:val="00920AB8"/>
    <w:rsid w:val="009228EA"/>
    <w:rsid w:val="00922C24"/>
    <w:rsid w:val="00922E11"/>
    <w:rsid w:val="0092369B"/>
    <w:rsid w:val="00925805"/>
    <w:rsid w:val="00925BB5"/>
    <w:rsid w:val="00926361"/>
    <w:rsid w:val="0092745B"/>
    <w:rsid w:val="009308C8"/>
    <w:rsid w:val="009309D7"/>
    <w:rsid w:val="0093167C"/>
    <w:rsid w:val="0093189D"/>
    <w:rsid w:val="0093203C"/>
    <w:rsid w:val="009327E7"/>
    <w:rsid w:val="00932ABD"/>
    <w:rsid w:val="00932DDE"/>
    <w:rsid w:val="00934509"/>
    <w:rsid w:val="00935247"/>
    <w:rsid w:val="00936554"/>
    <w:rsid w:val="00936614"/>
    <w:rsid w:val="00937E24"/>
    <w:rsid w:val="0094065F"/>
    <w:rsid w:val="009418D2"/>
    <w:rsid w:val="00941DAE"/>
    <w:rsid w:val="00943D18"/>
    <w:rsid w:val="00943DAB"/>
    <w:rsid w:val="00943FF1"/>
    <w:rsid w:val="009440DB"/>
    <w:rsid w:val="0094489D"/>
    <w:rsid w:val="00944B82"/>
    <w:rsid w:val="00944D6D"/>
    <w:rsid w:val="0094580F"/>
    <w:rsid w:val="0094607F"/>
    <w:rsid w:val="0094697E"/>
    <w:rsid w:val="00947196"/>
    <w:rsid w:val="009510A2"/>
    <w:rsid w:val="00951399"/>
    <w:rsid w:val="00951821"/>
    <w:rsid w:val="009519E8"/>
    <w:rsid w:val="00952CE3"/>
    <w:rsid w:val="00953257"/>
    <w:rsid w:val="0095408D"/>
    <w:rsid w:val="00955111"/>
    <w:rsid w:val="009552E2"/>
    <w:rsid w:val="0095692D"/>
    <w:rsid w:val="009577D0"/>
    <w:rsid w:val="0096007E"/>
    <w:rsid w:val="009606F1"/>
    <w:rsid w:val="0096079E"/>
    <w:rsid w:val="009629E8"/>
    <w:rsid w:val="00962CB9"/>
    <w:rsid w:val="009630C9"/>
    <w:rsid w:val="00963C61"/>
    <w:rsid w:val="00964190"/>
    <w:rsid w:val="00964312"/>
    <w:rsid w:val="009643EE"/>
    <w:rsid w:val="00964A18"/>
    <w:rsid w:val="00965A38"/>
    <w:rsid w:val="00965B8A"/>
    <w:rsid w:val="00970159"/>
    <w:rsid w:val="00970615"/>
    <w:rsid w:val="00970C3F"/>
    <w:rsid w:val="009717AC"/>
    <w:rsid w:val="00971F28"/>
    <w:rsid w:val="00972717"/>
    <w:rsid w:val="00972ABE"/>
    <w:rsid w:val="0097406D"/>
    <w:rsid w:val="009749D8"/>
    <w:rsid w:val="00975B2B"/>
    <w:rsid w:val="00976912"/>
    <w:rsid w:val="00976A54"/>
    <w:rsid w:val="00976B2A"/>
    <w:rsid w:val="00976B77"/>
    <w:rsid w:val="00981EB5"/>
    <w:rsid w:val="00983A52"/>
    <w:rsid w:val="00983E57"/>
    <w:rsid w:val="009845B2"/>
    <w:rsid w:val="009848B8"/>
    <w:rsid w:val="00984F73"/>
    <w:rsid w:val="00985B6D"/>
    <w:rsid w:val="009865B2"/>
    <w:rsid w:val="0098675D"/>
    <w:rsid w:val="00986D5C"/>
    <w:rsid w:val="00987F90"/>
    <w:rsid w:val="00990FF2"/>
    <w:rsid w:val="009924CF"/>
    <w:rsid w:val="009930E9"/>
    <w:rsid w:val="00993BFF"/>
    <w:rsid w:val="009948F6"/>
    <w:rsid w:val="0099494B"/>
    <w:rsid w:val="00995041"/>
    <w:rsid w:val="009952E8"/>
    <w:rsid w:val="00995778"/>
    <w:rsid w:val="00995EF7"/>
    <w:rsid w:val="0099614E"/>
    <w:rsid w:val="00996B1A"/>
    <w:rsid w:val="009972CD"/>
    <w:rsid w:val="00997C55"/>
    <w:rsid w:val="009A00C9"/>
    <w:rsid w:val="009A045C"/>
    <w:rsid w:val="009A11CE"/>
    <w:rsid w:val="009A15E8"/>
    <w:rsid w:val="009A1CEB"/>
    <w:rsid w:val="009A21E2"/>
    <w:rsid w:val="009A220F"/>
    <w:rsid w:val="009A256D"/>
    <w:rsid w:val="009A6328"/>
    <w:rsid w:val="009A6D73"/>
    <w:rsid w:val="009A7468"/>
    <w:rsid w:val="009A763A"/>
    <w:rsid w:val="009A7D48"/>
    <w:rsid w:val="009A7F10"/>
    <w:rsid w:val="009B0214"/>
    <w:rsid w:val="009B0B9D"/>
    <w:rsid w:val="009B0D21"/>
    <w:rsid w:val="009B18FB"/>
    <w:rsid w:val="009B1F46"/>
    <w:rsid w:val="009B2650"/>
    <w:rsid w:val="009B29EA"/>
    <w:rsid w:val="009B3372"/>
    <w:rsid w:val="009B3E26"/>
    <w:rsid w:val="009B3F9B"/>
    <w:rsid w:val="009B4E36"/>
    <w:rsid w:val="009B5788"/>
    <w:rsid w:val="009B5BF1"/>
    <w:rsid w:val="009B63D1"/>
    <w:rsid w:val="009B68EF"/>
    <w:rsid w:val="009B6BC3"/>
    <w:rsid w:val="009B70E6"/>
    <w:rsid w:val="009C2589"/>
    <w:rsid w:val="009C2AE8"/>
    <w:rsid w:val="009C48DC"/>
    <w:rsid w:val="009C4AAF"/>
    <w:rsid w:val="009C5AD5"/>
    <w:rsid w:val="009C6CEA"/>
    <w:rsid w:val="009C7160"/>
    <w:rsid w:val="009C734A"/>
    <w:rsid w:val="009C7878"/>
    <w:rsid w:val="009C7B85"/>
    <w:rsid w:val="009C7E8D"/>
    <w:rsid w:val="009D0592"/>
    <w:rsid w:val="009D14CD"/>
    <w:rsid w:val="009D2C27"/>
    <w:rsid w:val="009D2DC4"/>
    <w:rsid w:val="009D390A"/>
    <w:rsid w:val="009D4AE4"/>
    <w:rsid w:val="009D53FD"/>
    <w:rsid w:val="009D57DA"/>
    <w:rsid w:val="009D5B91"/>
    <w:rsid w:val="009D600B"/>
    <w:rsid w:val="009D65B8"/>
    <w:rsid w:val="009D6AFE"/>
    <w:rsid w:val="009D6D6B"/>
    <w:rsid w:val="009D7207"/>
    <w:rsid w:val="009D792E"/>
    <w:rsid w:val="009D7B24"/>
    <w:rsid w:val="009E0688"/>
    <w:rsid w:val="009E0DFE"/>
    <w:rsid w:val="009E19C6"/>
    <w:rsid w:val="009E2391"/>
    <w:rsid w:val="009E2B2F"/>
    <w:rsid w:val="009E4C07"/>
    <w:rsid w:val="009E4F7C"/>
    <w:rsid w:val="009E5FD3"/>
    <w:rsid w:val="009E6D79"/>
    <w:rsid w:val="009E7668"/>
    <w:rsid w:val="009E7C40"/>
    <w:rsid w:val="009F13FB"/>
    <w:rsid w:val="009F154B"/>
    <w:rsid w:val="009F2752"/>
    <w:rsid w:val="009F2CF0"/>
    <w:rsid w:val="009F37A0"/>
    <w:rsid w:val="009F46A2"/>
    <w:rsid w:val="009F59DD"/>
    <w:rsid w:val="009F6F63"/>
    <w:rsid w:val="00A0019E"/>
    <w:rsid w:val="00A0086E"/>
    <w:rsid w:val="00A008F1"/>
    <w:rsid w:val="00A00A4E"/>
    <w:rsid w:val="00A00EED"/>
    <w:rsid w:val="00A01184"/>
    <w:rsid w:val="00A02175"/>
    <w:rsid w:val="00A03870"/>
    <w:rsid w:val="00A03C7B"/>
    <w:rsid w:val="00A03D43"/>
    <w:rsid w:val="00A04380"/>
    <w:rsid w:val="00A051B1"/>
    <w:rsid w:val="00A05652"/>
    <w:rsid w:val="00A05AE6"/>
    <w:rsid w:val="00A05C20"/>
    <w:rsid w:val="00A06079"/>
    <w:rsid w:val="00A065CB"/>
    <w:rsid w:val="00A07079"/>
    <w:rsid w:val="00A07836"/>
    <w:rsid w:val="00A07846"/>
    <w:rsid w:val="00A10B87"/>
    <w:rsid w:val="00A11CD0"/>
    <w:rsid w:val="00A1234E"/>
    <w:rsid w:val="00A1318C"/>
    <w:rsid w:val="00A13948"/>
    <w:rsid w:val="00A1555B"/>
    <w:rsid w:val="00A155C5"/>
    <w:rsid w:val="00A164BE"/>
    <w:rsid w:val="00A16AD8"/>
    <w:rsid w:val="00A17823"/>
    <w:rsid w:val="00A200C0"/>
    <w:rsid w:val="00A2138C"/>
    <w:rsid w:val="00A219F2"/>
    <w:rsid w:val="00A21CF3"/>
    <w:rsid w:val="00A238A5"/>
    <w:rsid w:val="00A25E92"/>
    <w:rsid w:val="00A27917"/>
    <w:rsid w:val="00A27AEC"/>
    <w:rsid w:val="00A302B7"/>
    <w:rsid w:val="00A30B9E"/>
    <w:rsid w:val="00A320DB"/>
    <w:rsid w:val="00A33234"/>
    <w:rsid w:val="00A33276"/>
    <w:rsid w:val="00A337AC"/>
    <w:rsid w:val="00A34533"/>
    <w:rsid w:val="00A35BB3"/>
    <w:rsid w:val="00A35D16"/>
    <w:rsid w:val="00A37BCD"/>
    <w:rsid w:val="00A423A4"/>
    <w:rsid w:val="00A42F29"/>
    <w:rsid w:val="00A43C59"/>
    <w:rsid w:val="00A45503"/>
    <w:rsid w:val="00A475AB"/>
    <w:rsid w:val="00A50DCE"/>
    <w:rsid w:val="00A50ECD"/>
    <w:rsid w:val="00A518F3"/>
    <w:rsid w:val="00A52454"/>
    <w:rsid w:val="00A52729"/>
    <w:rsid w:val="00A52E72"/>
    <w:rsid w:val="00A53675"/>
    <w:rsid w:val="00A546D8"/>
    <w:rsid w:val="00A54986"/>
    <w:rsid w:val="00A54FCD"/>
    <w:rsid w:val="00A55159"/>
    <w:rsid w:val="00A564D7"/>
    <w:rsid w:val="00A56B6A"/>
    <w:rsid w:val="00A578DC"/>
    <w:rsid w:val="00A578EA"/>
    <w:rsid w:val="00A60809"/>
    <w:rsid w:val="00A61085"/>
    <w:rsid w:val="00A62E57"/>
    <w:rsid w:val="00A63224"/>
    <w:rsid w:val="00A65AB3"/>
    <w:rsid w:val="00A6725B"/>
    <w:rsid w:val="00A67580"/>
    <w:rsid w:val="00A70605"/>
    <w:rsid w:val="00A7164E"/>
    <w:rsid w:val="00A7169A"/>
    <w:rsid w:val="00A71A41"/>
    <w:rsid w:val="00A71F3C"/>
    <w:rsid w:val="00A724C6"/>
    <w:rsid w:val="00A728FD"/>
    <w:rsid w:val="00A73134"/>
    <w:rsid w:val="00A736DC"/>
    <w:rsid w:val="00A74AEE"/>
    <w:rsid w:val="00A76F50"/>
    <w:rsid w:val="00A773E4"/>
    <w:rsid w:val="00A777B2"/>
    <w:rsid w:val="00A7786A"/>
    <w:rsid w:val="00A81F4E"/>
    <w:rsid w:val="00A82ECC"/>
    <w:rsid w:val="00A8357E"/>
    <w:rsid w:val="00A8525F"/>
    <w:rsid w:val="00A85B2E"/>
    <w:rsid w:val="00A861E5"/>
    <w:rsid w:val="00A86E8B"/>
    <w:rsid w:val="00A87164"/>
    <w:rsid w:val="00A900B4"/>
    <w:rsid w:val="00A91530"/>
    <w:rsid w:val="00A92E45"/>
    <w:rsid w:val="00A93072"/>
    <w:rsid w:val="00A93953"/>
    <w:rsid w:val="00A94106"/>
    <w:rsid w:val="00A945F0"/>
    <w:rsid w:val="00A9462F"/>
    <w:rsid w:val="00A954F8"/>
    <w:rsid w:val="00A9552B"/>
    <w:rsid w:val="00A959D8"/>
    <w:rsid w:val="00A95C67"/>
    <w:rsid w:val="00A961E0"/>
    <w:rsid w:val="00A96B31"/>
    <w:rsid w:val="00A975A7"/>
    <w:rsid w:val="00AA06DB"/>
    <w:rsid w:val="00AA0D83"/>
    <w:rsid w:val="00AA0F5C"/>
    <w:rsid w:val="00AA113D"/>
    <w:rsid w:val="00AA373E"/>
    <w:rsid w:val="00AA3968"/>
    <w:rsid w:val="00AA3E88"/>
    <w:rsid w:val="00AA43D4"/>
    <w:rsid w:val="00AA4B63"/>
    <w:rsid w:val="00AA52F3"/>
    <w:rsid w:val="00AA54D0"/>
    <w:rsid w:val="00AA6351"/>
    <w:rsid w:val="00AA6C7D"/>
    <w:rsid w:val="00AA6CA7"/>
    <w:rsid w:val="00AA775E"/>
    <w:rsid w:val="00AA7FD6"/>
    <w:rsid w:val="00AB042A"/>
    <w:rsid w:val="00AB0C2D"/>
    <w:rsid w:val="00AB0EBD"/>
    <w:rsid w:val="00AB1D34"/>
    <w:rsid w:val="00AB1EE1"/>
    <w:rsid w:val="00AB25A7"/>
    <w:rsid w:val="00AB2920"/>
    <w:rsid w:val="00AB2D34"/>
    <w:rsid w:val="00AB2EE7"/>
    <w:rsid w:val="00AB31B3"/>
    <w:rsid w:val="00AB3430"/>
    <w:rsid w:val="00AB4AD1"/>
    <w:rsid w:val="00AB4CB9"/>
    <w:rsid w:val="00AB5505"/>
    <w:rsid w:val="00AB57A4"/>
    <w:rsid w:val="00AB7CFA"/>
    <w:rsid w:val="00AC0B53"/>
    <w:rsid w:val="00AC140B"/>
    <w:rsid w:val="00AC1D49"/>
    <w:rsid w:val="00AC28B7"/>
    <w:rsid w:val="00AC3596"/>
    <w:rsid w:val="00AC47D3"/>
    <w:rsid w:val="00AC5B48"/>
    <w:rsid w:val="00AC685E"/>
    <w:rsid w:val="00AD24A7"/>
    <w:rsid w:val="00AD2B04"/>
    <w:rsid w:val="00AD37AA"/>
    <w:rsid w:val="00AD4ACA"/>
    <w:rsid w:val="00AD6046"/>
    <w:rsid w:val="00AD6502"/>
    <w:rsid w:val="00AD687C"/>
    <w:rsid w:val="00AD69F4"/>
    <w:rsid w:val="00AD7331"/>
    <w:rsid w:val="00AE077B"/>
    <w:rsid w:val="00AE1027"/>
    <w:rsid w:val="00AE152F"/>
    <w:rsid w:val="00AE1ACD"/>
    <w:rsid w:val="00AE1F77"/>
    <w:rsid w:val="00AE2DD8"/>
    <w:rsid w:val="00AE39D3"/>
    <w:rsid w:val="00AE3B61"/>
    <w:rsid w:val="00AE4A34"/>
    <w:rsid w:val="00AE561B"/>
    <w:rsid w:val="00AE5A74"/>
    <w:rsid w:val="00AE6D6B"/>
    <w:rsid w:val="00AE739D"/>
    <w:rsid w:val="00AE77EF"/>
    <w:rsid w:val="00AE788C"/>
    <w:rsid w:val="00AF11F6"/>
    <w:rsid w:val="00AF1315"/>
    <w:rsid w:val="00AF19BF"/>
    <w:rsid w:val="00AF2138"/>
    <w:rsid w:val="00AF2DC3"/>
    <w:rsid w:val="00AF502E"/>
    <w:rsid w:val="00AF5BE1"/>
    <w:rsid w:val="00AF5D2E"/>
    <w:rsid w:val="00B00DDF"/>
    <w:rsid w:val="00B017AF"/>
    <w:rsid w:val="00B0185F"/>
    <w:rsid w:val="00B02588"/>
    <w:rsid w:val="00B033E5"/>
    <w:rsid w:val="00B03661"/>
    <w:rsid w:val="00B03A63"/>
    <w:rsid w:val="00B04440"/>
    <w:rsid w:val="00B044BF"/>
    <w:rsid w:val="00B04F81"/>
    <w:rsid w:val="00B059D2"/>
    <w:rsid w:val="00B05E92"/>
    <w:rsid w:val="00B063D7"/>
    <w:rsid w:val="00B06C72"/>
    <w:rsid w:val="00B07297"/>
    <w:rsid w:val="00B104CA"/>
    <w:rsid w:val="00B109C7"/>
    <w:rsid w:val="00B10DBF"/>
    <w:rsid w:val="00B1207F"/>
    <w:rsid w:val="00B12407"/>
    <w:rsid w:val="00B1414F"/>
    <w:rsid w:val="00B15E78"/>
    <w:rsid w:val="00B17273"/>
    <w:rsid w:val="00B1793A"/>
    <w:rsid w:val="00B17F54"/>
    <w:rsid w:val="00B201A4"/>
    <w:rsid w:val="00B209DF"/>
    <w:rsid w:val="00B2138F"/>
    <w:rsid w:val="00B213A6"/>
    <w:rsid w:val="00B23101"/>
    <w:rsid w:val="00B238CD"/>
    <w:rsid w:val="00B24DF6"/>
    <w:rsid w:val="00B25840"/>
    <w:rsid w:val="00B26075"/>
    <w:rsid w:val="00B260E1"/>
    <w:rsid w:val="00B26A91"/>
    <w:rsid w:val="00B300EC"/>
    <w:rsid w:val="00B30B8D"/>
    <w:rsid w:val="00B30BA0"/>
    <w:rsid w:val="00B31059"/>
    <w:rsid w:val="00B3119F"/>
    <w:rsid w:val="00B311B1"/>
    <w:rsid w:val="00B3484E"/>
    <w:rsid w:val="00B34FE2"/>
    <w:rsid w:val="00B350BA"/>
    <w:rsid w:val="00B3518F"/>
    <w:rsid w:val="00B35292"/>
    <w:rsid w:val="00B357D8"/>
    <w:rsid w:val="00B3624C"/>
    <w:rsid w:val="00B36BD7"/>
    <w:rsid w:val="00B36CBC"/>
    <w:rsid w:val="00B37174"/>
    <w:rsid w:val="00B376A9"/>
    <w:rsid w:val="00B37BFC"/>
    <w:rsid w:val="00B40358"/>
    <w:rsid w:val="00B4118C"/>
    <w:rsid w:val="00B411F1"/>
    <w:rsid w:val="00B41614"/>
    <w:rsid w:val="00B41FC4"/>
    <w:rsid w:val="00B42851"/>
    <w:rsid w:val="00B42F80"/>
    <w:rsid w:val="00B43350"/>
    <w:rsid w:val="00B435CB"/>
    <w:rsid w:val="00B43F2D"/>
    <w:rsid w:val="00B455E3"/>
    <w:rsid w:val="00B45A2B"/>
    <w:rsid w:val="00B45CAD"/>
    <w:rsid w:val="00B46B8E"/>
    <w:rsid w:val="00B47716"/>
    <w:rsid w:val="00B50AF8"/>
    <w:rsid w:val="00B50D0C"/>
    <w:rsid w:val="00B50DB8"/>
    <w:rsid w:val="00B50EAD"/>
    <w:rsid w:val="00B516F1"/>
    <w:rsid w:val="00B53654"/>
    <w:rsid w:val="00B53801"/>
    <w:rsid w:val="00B53905"/>
    <w:rsid w:val="00B54713"/>
    <w:rsid w:val="00B54B5B"/>
    <w:rsid w:val="00B55199"/>
    <w:rsid w:val="00B552E1"/>
    <w:rsid w:val="00B5562E"/>
    <w:rsid w:val="00B55E36"/>
    <w:rsid w:val="00B5609A"/>
    <w:rsid w:val="00B5631A"/>
    <w:rsid w:val="00B5690C"/>
    <w:rsid w:val="00B56CB0"/>
    <w:rsid w:val="00B57000"/>
    <w:rsid w:val="00B572A7"/>
    <w:rsid w:val="00B604DE"/>
    <w:rsid w:val="00B60670"/>
    <w:rsid w:val="00B60682"/>
    <w:rsid w:val="00B60918"/>
    <w:rsid w:val="00B60939"/>
    <w:rsid w:val="00B60AFD"/>
    <w:rsid w:val="00B61129"/>
    <w:rsid w:val="00B61F49"/>
    <w:rsid w:val="00B62715"/>
    <w:rsid w:val="00B62AD5"/>
    <w:rsid w:val="00B62C35"/>
    <w:rsid w:val="00B63D97"/>
    <w:rsid w:val="00B63EEB"/>
    <w:rsid w:val="00B65714"/>
    <w:rsid w:val="00B65842"/>
    <w:rsid w:val="00B6591B"/>
    <w:rsid w:val="00B65A11"/>
    <w:rsid w:val="00B661DE"/>
    <w:rsid w:val="00B66C38"/>
    <w:rsid w:val="00B67350"/>
    <w:rsid w:val="00B70F8B"/>
    <w:rsid w:val="00B712FA"/>
    <w:rsid w:val="00B730B0"/>
    <w:rsid w:val="00B73971"/>
    <w:rsid w:val="00B74453"/>
    <w:rsid w:val="00B753B9"/>
    <w:rsid w:val="00B761E8"/>
    <w:rsid w:val="00B7747F"/>
    <w:rsid w:val="00B818A4"/>
    <w:rsid w:val="00B81C79"/>
    <w:rsid w:val="00B834F5"/>
    <w:rsid w:val="00B84117"/>
    <w:rsid w:val="00B843AC"/>
    <w:rsid w:val="00B84D19"/>
    <w:rsid w:val="00B85AA2"/>
    <w:rsid w:val="00B8649C"/>
    <w:rsid w:val="00B8722D"/>
    <w:rsid w:val="00B87F0A"/>
    <w:rsid w:val="00B9031F"/>
    <w:rsid w:val="00B9107E"/>
    <w:rsid w:val="00B910FA"/>
    <w:rsid w:val="00B92D0B"/>
    <w:rsid w:val="00B92E3F"/>
    <w:rsid w:val="00B93BF1"/>
    <w:rsid w:val="00B94208"/>
    <w:rsid w:val="00B948F6"/>
    <w:rsid w:val="00B94945"/>
    <w:rsid w:val="00B94A4B"/>
    <w:rsid w:val="00B94B37"/>
    <w:rsid w:val="00B952E5"/>
    <w:rsid w:val="00B95597"/>
    <w:rsid w:val="00B95921"/>
    <w:rsid w:val="00B95C32"/>
    <w:rsid w:val="00B96509"/>
    <w:rsid w:val="00B96D0F"/>
    <w:rsid w:val="00BA09D0"/>
    <w:rsid w:val="00BA11DD"/>
    <w:rsid w:val="00BA19FD"/>
    <w:rsid w:val="00BA322D"/>
    <w:rsid w:val="00BA34DB"/>
    <w:rsid w:val="00BA451C"/>
    <w:rsid w:val="00BA53AD"/>
    <w:rsid w:val="00BA6304"/>
    <w:rsid w:val="00BA6474"/>
    <w:rsid w:val="00BA6E5C"/>
    <w:rsid w:val="00BA7E13"/>
    <w:rsid w:val="00BB06AD"/>
    <w:rsid w:val="00BB0BDD"/>
    <w:rsid w:val="00BB13B8"/>
    <w:rsid w:val="00BB177F"/>
    <w:rsid w:val="00BB1E7C"/>
    <w:rsid w:val="00BB25DF"/>
    <w:rsid w:val="00BB2A73"/>
    <w:rsid w:val="00BB2F86"/>
    <w:rsid w:val="00BB47E3"/>
    <w:rsid w:val="00BB4ACC"/>
    <w:rsid w:val="00BB4E72"/>
    <w:rsid w:val="00BB6024"/>
    <w:rsid w:val="00BB703E"/>
    <w:rsid w:val="00BB7405"/>
    <w:rsid w:val="00BB7538"/>
    <w:rsid w:val="00BC032F"/>
    <w:rsid w:val="00BC03DF"/>
    <w:rsid w:val="00BC10E0"/>
    <w:rsid w:val="00BC198E"/>
    <w:rsid w:val="00BC3631"/>
    <w:rsid w:val="00BC47F3"/>
    <w:rsid w:val="00BC7080"/>
    <w:rsid w:val="00BC7223"/>
    <w:rsid w:val="00BD06C8"/>
    <w:rsid w:val="00BD0A58"/>
    <w:rsid w:val="00BD221E"/>
    <w:rsid w:val="00BD2611"/>
    <w:rsid w:val="00BD3653"/>
    <w:rsid w:val="00BD4381"/>
    <w:rsid w:val="00BD4451"/>
    <w:rsid w:val="00BD447F"/>
    <w:rsid w:val="00BD4AFC"/>
    <w:rsid w:val="00BD6895"/>
    <w:rsid w:val="00BD68A3"/>
    <w:rsid w:val="00BD6938"/>
    <w:rsid w:val="00BD6CF3"/>
    <w:rsid w:val="00BD791F"/>
    <w:rsid w:val="00BD7FE7"/>
    <w:rsid w:val="00BE009B"/>
    <w:rsid w:val="00BE0239"/>
    <w:rsid w:val="00BE1430"/>
    <w:rsid w:val="00BE2180"/>
    <w:rsid w:val="00BE21A3"/>
    <w:rsid w:val="00BE21F2"/>
    <w:rsid w:val="00BE2C35"/>
    <w:rsid w:val="00BE3519"/>
    <w:rsid w:val="00BE4275"/>
    <w:rsid w:val="00BE4945"/>
    <w:rsid w:val="00BE636B"/>
    <w:rsid w:val="00BE7E99"/>
    <w:rsid w:val="00BE7F16"/>
    <w:rsid w:val="00BF0F95"/>
    <w:rsid w:val="00BF1851"/>
    <w:rsid w:val="00BF2433"/>
    <w:rsid w:val="00BF2FDE"/>
    <w:rsid w:val="00BF406A"/>
    <w:rsid w:val="00BF45A1"/>
    <w:rsid w:val="00BF533A"/>
    <w:rsid w:val="00BF61C9"/>
    <w:rsid w:val="00BF6545"/>
    <w:rsid w:val="00BF655B"/>
    <w:rsid w:val="00BF685C"/>
    <w:rsid w:val="00BF6C94"/>
    <w:rsid w:val="00BF781A"/>
    <w:rsid w:val="00BF7FA7"/>
    <w:rsid w:val="00C00424"/>
    <w:rsid w:val="00C004CC"/>
    <w:rsid w:val="00C0099E"/>
    <w:rsid w:val="00C02355"/>
    <w:rsid w:val="00C025C0"/>
    <w:rsid w:val="00C04597"/>
    <w:rsid w:val="00C04EB1"/>
    <w:rsid w:val="00C06BC1"/>
    <w:rsid w:val="00C10028"/>
    <w:rsid w:val="00C12338"/>
    <w:rsid w:val="00C124B8"/>
    <w:rsid w:val="00C12C14"/>
    <w:rsid w:val="00C1300F"/>
    <w:rsid w:val="00C13512"/>
    <w:rsid w:val="00C13E54"/>
    <w:rsid w:val="00C1513A"/>
    <w:rsid w:val="00C159BB"/>
    <w:rsid w:val="00C16C46"/>
    <w:rsid w:val="00C17469"/>
    <w:rsid w:val="00C17E39"/>
    <w:rsid w:val="00C200AA"/>
    <w:rsid w:val="00C202C4"/>
    <w:rsid w:val="00C21529"/>
    <w:rsid w:val="00C21EE1"/>
    <w:rsid w:val="00C22CA2"/>
    <w:rsid w:val="00C22EC7"/>
    <w:rsid w:val="00C2340E"/>
    <w:rsid w:val="00C237ED"/>
    <w:rsid w:val="00C23C4F"/>
    <w:rsid w:val="00C2408D"/>
    <w:rsid w:val="00C2461C"/>
    <w:rsid w:val="00C24632"/>
    <w:rsid w:val="00C25418"/>
    <w:rsid w:val="00C25D9C"/>
    <w:rsid w:val="00C268D1"/>
    <w:rsid w:val="00C26C2D"/>
    <w:rsid w:val="00C27702"/>
    <w:rsid w:val="00C2778B"/>
    <w:rsid w:val="00C311FC"/>
    <w:rsid w:val="00C31649"/>
    <w:rsid w:val="00C31AB3"/>
    <w:rsid w:val="00C32CD7"/>
    <w:rsid w:val="00C33845"/>
    <w:rsid w:val="00C36F48"/>
    <w:rsid w:val="00C372AC"/>
    <w:rsid w:val="00C37A36"/>
    <w:rsid w:val="00C37BA6"/>
    <w:rsid w:val="00C40385"/>
    <w:rsid w:val="00C40A38"/>
    <w:rsid w:val="00C40D10"/>
    <w:rsid w:val="00C421C8"/>
    <w:rsid w:val="00C423FA"/>
    <w:rsid w:val="00C42A2B"/>
    <w:rsid w:val="00C46216"/>
    <w:rsid w:val="00C46A0D"/>
    <w:rsid w:val="00C46A2F"/>
    <w:rsid w:val="00C46E73"/>
    <w:rsid w:val="00C46F63"/>
    <w:rsid w:val="00C4712E"/>
    <w:rsid w:val="00C475AA"/>
    <w:rsid w:val="00C529AD"/>
    <w:rsid w:val="00C539B8"/>
    <w:rsid w:val="00C54F85"/>
    <w:rsid w:val="00C55451"/>
    <w:rsid w:val="00C567AA"/>
    <w:rsid w:val="00C57F13"/>
    <w:rsid w:val="00C6188C"/>
    <w:rsid w:val="00C6201C"/>
    <w:rsid w:val="00C62194"/>
    <w:rsid w:val="00C63ED9"/>
    <w:rsid w:val="00C650FB"/>
    <w:rsid w:val="00C65576"/>
    <w:rsid w:val="00C66165"/>
    <w:rsid w:val="00C66279"/>
    <w:rsid w:val="00C66ABD"/>
    <w:rsid w:val="00C70FEC"/>
    <w:rsid w:val="00C71489"/>
    <w:rsid w:val="00C7151A"/>
    <w:rsid w:val="00C71CC9"/>
    <w:rsid w:val="00C71F60"/>
    <w:rsid w:val="00C72241"/>
    <w:rsid w:val="00C7228F"/>
    <w:rsid w:val="00C74D81"/>
    <w:rsid w:val="00C750C8"/>
    <w:rsid w:val="00C7560F"/>
    <w:rsid w:val="00C77772"/>
    <w:rsid w:val="00C77EA3"/>
    <w:rsid w:val="00C80351"/>
    <w:rsid w:val="00C80A0E"/>
    <w:rsid w:val="00C81927"/>
    <w:rsid w:val="00C81DDB"/>
    <w:rsid w:val="00C8213F"/>
    <w:rsid w:val="00C82704"/>
    <w:rsid w:val="00C827E5"/>
    <w:rsid w:val="00C82D25"/>
    <w:rsid w:val="00C835BD"/>
    <w:rsid w:val="00C839B2"/>
    <w:rsid w:val="00C84102"/>
    <w:rsid w:val="00C85DA3"/>
    <w:rsid w:val="00C86571"/>
    <w:rsid w:val="00C876A0"/>
    <w:rsid w:val="00C8797A"/>
    <w:rsid w:val="00C87EBC"/>
    <w:rsid w:val="00C900B8"/>
    <w:rsid w:val="00C900CD"/>
    <w:rsid w:val="00C903E3"/>
    <w:rsid w:val="00C90A7C"/>
    <w:rsid w:val="00C90C71"/>
    <w:rsid w:val="00C92006"/>
    <w:rsid w:val="00C92142"/>
    <w:rsid w:val="00C931CF"/>
    <w:rsid w:val="00C938CF"/>
    <w:rsid w:val="00C93F3D"/>
    <w:rsid w:val="00C94324"/>
    <w:rsid w:val="00C9624D"/>
    <w:rsid w:val="00C969DA"/>
    <w:rsid w:val="00C977BE"/>
    <w:rsid w:val="00CA1690"/>
    <w:rsid w:val="00CA2064"/>
    <w:rsid w:val="00CA2B23"/>
    <w:rsid w:val="00CA2B99"/>
    <w:rsid w:val="00CA2C77"/>
    <w:rsid w:val="00CA3ED7"/>
    <w:rsid w:val="00CA444F"/>
    <w:rsid w:val="00CA4669"/>
    <w:rsid w:val="00CA5245"/>
    <w:rsid w:val="00CA5430"/>
    <w:rsid w:val="00CA5952"/>
    <w:rsid w:val="00CA6BB3"/>
    <w:rsid w:val="00CA7121"/>
    <w:rsid w:val="00CA71F4"/>
    <w:rsid w:val="00CA7B09"/>
    <w:rsid w:val="00CB039E"/>
    <w:rsid w:val="00CB0AE8"/>
    <w:rsid w:val="00CB2446"/>
    <w:rsid w:val="00CB2F2A"/>
    <w:rsid w:val="00CB356C"/>
    <w:rsid w:val="00CB4C80"/>
    <w:rsid w:val="00CB4F7B"/>
    <w:rsid w:val="00CB5268"/>
    <w:rsid w:val="00CB52F4"/>
    <w:rsid w:val="00CB5B1A"/>
    <w:rsid w:val="00CB6B22"/>
    <w:rsid w:val="00CB740A"/>
    <w:rsid w:val="00CB7736"/>
    <w:rsid w:val="00CB7C95"/>
    <w:rsid w:val="00CB7F5F"/>
    <w:rsid w:val="00CC0593"/>
    <w:rsid w:val="00CC14CF"/>
    <w:rsid w:val="00CC1A9E"/>
    <w:rsid w:val="00CC1B39"/>
    <w:rsid w:val="00CC21EC"/>
    <w:rsid w:val="00CC6542"/>
    <w:rsid w:val="00CC6875"/>
    <w:rsid w:val="00CC6907"/>
    <w:rsid w:val="00CC7D9A"/>
    <w:rsid w:val="00CD22E9"/>
    <w:rsid w:val="00CD291F"/>
    <w:rsid w:val="00CD4349"/>
    <w:rsid w:val="00CD5200"/>
    <w:rsid w:val="00CD626C"/>
    <w:rsid w:val="00CD6ADC"/>
    <w:rsid w:val="00CD797D"/>
    <w:rsid w:val="00CD7F47"/>
    <w:rsid w:val="00CE071D"/>
    <w:rsid w:val="00CE0E74"/>
    <w:rsid w:val="00CE0F1C"/>
    <w:rsid w:val="00CE28D0"/>
    <w:rsid w:val="00CE2A5A"/>
    <w:rsid w:val="00CE3741"/>
    <w:rsid w:val="00CE40B5"/>
    <w:rsid w:val="00CE436F"/>
    <w:rsid w:val="00CE438B"/>
    <w:rsid w:val="00CE58B4"/>
    <w:rsid w:val="00CE6274"/>
    <w:rsid w:val="00CE6A6C"/>
    <w:rsid w:val="00CE7538"/>
    <w:rsid w:val="00CE7671"/>
    <w:rsid w:val="00CE76B3"/>
    <w:rsid w:val="00CF1D32"/>
    <w:rsid w:val="00CF2071"/>
    <w:rsid w:val="00CF20EE"/>
    <w:rsid w:val="00CF2B8D"/>
    <w:rsid w:val="00CF2F02"/>
    <w:rsid w:val="00CF3FB0"/>
    <w:rsid w:val="00CF456B"/>
    <w:rsid w:val="00CF5A22"/>
    <w:rsid w:val="00CF6688"/>
    <w:rsid w:val="00D00DF5"/>
    <w:rsid w:val="00D00E8B"/>
    <w:rsid w:val="00D01E1D"/>
    <w:rsid w:val="00D0262E"/>
    <w:rsid w:val="00D03DF8"/>
    <w:rsid w:val="00D0550A"/>
    <w:rsid w:val="00D061B7"/>
    <w:rsid w:val="00D10114"/>
    <w:rsid w:val="00D110BD"/>
    <w:rsid w:val="00D12148"/>
    <w:rsid w:val="00D12A26"/>
    <w:rsid w:val="00D12BFE"/>
    <w:rsid w:val="00D13014"/>
    <w:rsid w:val="00D13675"/>
    <w:rsid w:val="00D13678"/>
    <w:rsid w:val="00D13ED7"/>
    <w:rsid w:val="00D141E1"/>
    <w:rsid w:val="00D14FDE"/>
    <w:rsid w:val="00D15934"/>
    <w:rsid w:val="00D159D7"/>
    <w:rsid w:val="00D15FC4"/>
    <w:rsid w:val="00D168F3"/>
    <w:rsid w:val="00D17625"/>
    <w:rsid w:val="00D17736"/>
    <w:rsid w:val="00D17D6C"/>
    <w:rsid w:val="00D17F49"/>
    <w:rsid w:val="00D21832"/>
    <w:rsid w:val="00D21EA1"/>
    <w:rsid w:val="00D22D83"/>
    <w:rsid w:val="00D22E3D"/>
    <w:rsid w:val="00D22EBE"/>
    <w:rsid w:val="00D231FD"/>
    <w:rsid w:val="00D24596"/>
    <w:rsid w:val="00D25F94"/>
    <w:rsid w:val="00D26F06"/>
    <w:rsid w:val="00D27314"/>
    <w:rsid w:val="00D2754D"/>
    <w:rsid w:val="00D2796C"/>
    <w:rsid w:val="00D27B27"/>
    <w:rsid w:val="00D30D4D"/>
    <w:rsid w:val="00D316A5"/>
    <w:rsid w:val="00D31878"/>
    <w:rsid w:val="00D31B07"/>
    <w:rsid w:val="00D31CB5"/>
    <w:rsid w:val="00D325F1"/>
    <w:rsid w:val="00D33BE9"/>
    <w:rsid w:val="00D34AD9"/>
    <w:rsid w:val="00D34F3F"/>
    <w:rsid w:val="00D356B9"/>
    <w:rsid w:val="00D357FF"/>
    <w:rsid w:val="00D40007"/>
    <w:rsid w:val="00D41F4E"/>
    <w:rsid w:val="00D420F5"/>
    <w:rsid w:val="00D424C7"/>
    <w:rsid w:val="00D42CD5"/>
    <w:rsid w:val="00D431E7"/>
    <w:rsid w:val="00D43B2A"/>
    <w:rsid w:val="00D45702"/>
    <w:rsid w:val="00D45D75"/>
    <w:rsid w:val="00D47575"/>
    <w:rsid w:val="00D47C34"/>
    <w:rsid w:val="00D52107"/>
    <w:rsid w:val="00D52A82"/>
    <w:rsid w:val="00D53ABB"/>
    <w:rsid w:val="00D547B3"/>
    <w:rsid w:val="00D54968"/>
    <w:rsid w:val="00D55843"/>
    <w:rsid w:val="00D569C3"/>
    <w:rsid w:val="00D56B9D"/>
    <w:rsid w:val="00D577D5"/>
    <w:rsid w:val="00D604B9"/>
    <w:rsid w:val="00D61224"/>
    <w:rsid w:val="00D63765"/>
    <w:rsid w:val="00D64887"/>
    <w:rsid w:val="00D661A4"/>
    <w:rsid w:val="00D66435"/>
    <w:rsid w:val="00D70F16"/>
    <w:rsid w:val="00D72053"/>
    <w:rsid w:val="00D724F4"/>
    <w:rsid w:val="00D729F3"/>
    <w:rsid w:val="00D737DD"/>
    <w:rsid w:val="00D739FF"/>
    <w:rsid w:val="00D7410C"/>
    <w:rsid w:val="00D74D8E"/>
    <w:rsid w:val="00D76A44"/>
    <w:rsid w:val="00D770C9"/>
    <w:rsid w:val="00D772F0"/>
    <w:rsid w:val="00D77905"/>
    <w:rsid w:val="00D811E8"/>
    <w:rsid w:val="00D815EF"/>
    <w:rsid w:val="00D818B8"/>
    <w:rsid w:val="00D81C3E"/>
    <w:rsid w:val="00D81E64"/>
    <w:rsid w:val="00D81F90"/>
    <w:rsid w:val="00D82254"/>
    <w:rsid w:val="00D82D2D"/>
    <w:rsid w:val="00D84060"/>
    <w:rsid w:val="00D8495F"/>
    <w:rsid w:val="00D85730"/>
    <w:rsid w:val="00D85745"/>
    <w:rsid w:val="00D86B80"/>
    <w:rsid w:val="00D87641"/>
    <w:rsid w:val="00D87F4A"/>
    <w:rsid w:val="00D90C62"/>
    <w:rsid w:val="00D91923"/>
    <w:rsid w:val="00D92FEE"/>
    <w:rsid w:val="00D93652"/>
    <w:rsid w:val="00D93753"/>
    <w:rsid w:val="00D94836"/>
    <w:rsid w:val="00D952E6"/>
    <w:rsid w:val="00D95CD2"/>
    <w:rsid w:val="00D9608A"/>
    <w:rsid w:val="00D96527"/>
    <w:rsid w:val="00D96BCC"/>
    <w:rsid w:val="00DA1397"/>
    <w:rsid w:val="00DA1C53"/>
    <w:rsid w:val="00DA1FA1"/>
    <w:rsid w:val="00DA30B1"/>
    <w:rsid w:val="00DA3167"/>
    <w:rsid w:val="00DA37A9"/>
    <w:rsid w:val="00DA4A82"/>
    <w:rsid w:val="00DA4BE5"/>
    <w:rsid w:val="00DA4DC3"/>
    <w:rsid w:val="00DA7425"/>
    <w:rsid w:val="00DA77A5"/>
    <w:rsid w:val="00DB05A6"/>
    <w:rsid w:val="00DB08E4"/>
    <w:rsid w:val="00DB1A7C"/>
    <w:rsid w:val="00DB2330"/>
    <w:rsid w:val="00DB280B"/>
    <w:rsid w:val="00DB4610"/>
    <w:rsid w:val="00DB484F"/>
    <w:rsid w:val="00DB4DFC"/>
    <w:rsid w:val="00DB58A1"/>
    <w:rsid w:val="00DB5F1A"/>
    <w:rsid w:val="00DB619B"/>
    <w:rsid w:val="00DB6B08"/>
    <w:rsid w:val="00DB6CBB"/>
    <w:rsid w:val="00DB6D9A"/>
    <w:rsid w:val="00DB6DA2"/>
    <w:rsid w:val="00DC04F6"/>
    <w:rsid w:val="00DC062F"/>
    <w:rsid w:val="00DC3213"/>
    <w:rsid w:val="00DC3C57"/>
    <w:rsid w:val="00DC4286"/>
    <w:rsid w:val="00DC441F"/>
    <w:rsid w:val="00DC4DED"/>
    <w:rsid w:val="00DC4E78"/>
    <w:rsid w:val="00DC5501"/>
    <w:rsid w:val="00DC59AA"/>
    <w:rsid w:val="00DC5F69"/>
    <w:rsid w:val="00DD055A"/>
    <w:rsid w:val="00DD259B"/>
    <w:rsid w:val="00DD273C"/>
    <w:rsid w:val="00DD2A0A"/>
    <w:rsid w:val="00DD2B47"/>
    <w:rsid w:val="00DD3B34"/>
    <w:rsid w:val="00DD3F28"/>
    <w:rsid w:val="00DD4537"/>
    <w:rsid w:val="00DD49B4"/>
    <w:rsid w:val="00DD4E15"/>
    <w:rsid w:val="00DD620D"/>
    <w:rsid w:val="00DD6BB6"/>
    <w:rsid w:val="00DD784D"/>
    <w:rsid w:val="00DE03CF"/>
    <w:rsid w:val="00DE1DEE"/>
    <w:rsid w:val="00DE2AAE"/>
    <w:rsid w:val="00DE2C8A"/>
    <w:rsid w:val="00DE3138"/>
    <w:rsid w:val="00DE360E"/>
    <w:rsid w:val="00DE37F8"/>
    <w:rsid w:val="00DE3D03"/>
    <w:rsid w:val="00DE401A"/>
    <w:rsid w:val="00DE44DF"/>
    <w:rsid w:val="00DE47D2"/>
    <w:rsid w:val="00DE4D50"/>
    <w:rsid w:val="00DE4FCB"/>
    <w:rsid w:val="00DE599F"/>
    <w:rsid w:val="00DE76AE"/>
    <w:rsid w:val="00DE7832"/>
    <w:rsid w:val="00DF0D3E"/>
    <w:rsid w:val="00DF18FC"/>
    <w:rsid w:val="00DF3ABD"/>
    <w:rsid w:val="00DF4AC4"/>
    <w:rsid w:val="00DF539B"/>
    <w:rsid w:val="00DF5D2B"/>
    <w:rsid w:val="00DF6B88"/>
    <w:rsid w:val="00E00911"/>
    <w:rsid w:val="00E00E8E"/>
    <w:rsid w:val="00E011F0"/>
    <w:rsid w:val="00E02497"/>
    <w:rsid w:val="00E0355D"/>
    <w:rsid w:val="00E03C3B"/>
    <w:rsid w:val="00E0534F"/>
    <w:rsid w:val="00E05630"/>
    <w:rsid w:val="00E06DBB"/>
    <w:rsid w:val="00E074E0"/>
    <w:rsid w:val="00E10149"/>
    <w:rsid w:val="00E11CF4"/>
    <w:rsid w:val="00E11E4B"/>
    <w:rsid w:val="00E11FE2"/>
    <w:rsid w:val="00E122BB"/>
    <w:rsid w:val="00E125A2"/>
    <w:rsid w:val="00E13256"/>
    <w:rsid w:val="00E13927"/>
    <w:rsid w:val="00E144DD"/>
    <w:rsid w:val="00E16372"/>
    <w:rsid w:val="00E16527"/>
    <w:rsid w:val="00E16639"/>
    <w:rsid w:val="00E16AF5"/>
    <w:rsid w:val="00E20E4D"/>
    <w:rsid w:val="00E20ED6"/>
    <w:rsid w:val="00E21344"/>
    <w:rsid w:val="00E21358"/>
    <w:rsid w:val="00E217BE"/>
    <w:rsid w:val="00E21853"/>
    <w:rsid w:val="00E21ABE"/>
    <w:rsid w:val="00E21B65"/>
    <w:rsid w:val="00E2248D"/>
    <w:rsid w:val="00E2249B"/>
    <w:rsid w:val="00E22A0D"/>
    <w:rsid w:val="00E22C27"/>
    <w:rsid w:val="00E231AC"/>
    <w:rsid w:val="00E2346C"/>
    <w:rsid w:val="00E23E75"/>
    <w:rsid w:val="00E26894"/>
    <w:rsid w:val="00E2771E"/>
    <w:rsid w:val="00E2789B"/>
    <w:rsid w:val="00E30844"/>
    <w:rsid w:val="00E30DD0"/>
    <w:rsid w:val="00E31244"/>
    <w:rsid w:val="00E31A76"/>
    <w:rsid w:val="00E32B45"/>
    <w:rsid w:val="00E34948"/>
    <w:rsid w:val="00E359FA"/>
    <w:rsid w:val="00E360CE"/>
    <w:rsid w:val="00E36AAC"/>
    <w:rsid w:val="00E37569"/>
    <w:rsid w:val="00E375EC"/>
    <w:rsid w:val="00E37D7C"/>
    <w:rsid w:val="00E40296"/>
    <w:rsid w:val="00E40EE0"/>
    <w:rsid w:val="00E41596"/>
    <w:rsid w:val="00E419C6"/>
    <w:rsid w:val="00E41E30"/>
    <w:rsid w:val="00E42711"/>
    <w:rsid w:val="00E42B86"/>
    <w:rsid w:val="00E43211"/>
    <w:rsid w:val="00E43B0D"/>
    <w:rsid w:val="00E43D70"/>
    <w:rsid w:val="00E451C1"/>
    <w:rsid w:val="00E466F3"/>
    <w:rsid w:val="00E46C60"/>
    <w:rsid w:val="00E4766A"/>
    <w:rsid w:val="00E47B2C"/>
    <w:rsid w:val="00E50801"/>
    <w:rsid w:val="00E51560"/>
    <w:rsid w:val="00E521CC"/>
    <w:rsid w:val="00E5246D"/>
    <w:rsid w:val="00E54347"/>
    <w:rsid w:val="00E54DB7"/>
    <w:rsid w:val="00E54FAD"/>
    <w:rsid w:val="00E55299"/>
    <w:rsid w:val="00E55424"/>
    <w:rsid w:val="00E55BB5"/>
    <w:rsid w:val="00E56C80"/>
    <w:rsid w:val="00E5714D"/>
    <w:rsid w:val="00E57C9B"/>
    <w:rsid w:val="00E57DEE"/>
    <w:rsid w:val="00E57EFF"/>
    <w:rsid w:val="00E61E92"/>
    <w:rsid w:val="00E63DD1"/>
    <w:rsid w:val="00E63F12"/>
    <w:rsid w:val="00E64894"/>
    <w:rsid w:val="00E649E6"/>
    <w:rsid w:val="00E65497"/>
    <w:rsid w:val="00E65A12"/>
    <w:rsid w:val="00E65E79"/>
    <w:rsid w:val="00E66636"/>
    <w:rsid w:val="00E66BA2"/>
    <w:rsid w:val="00E66ECB"/>
    <w:rsid w:val="00E67416"/>
    <w:rsid w:val="00E67B51"/>
    <w:rsid w:val="00E718B6"/>
    <w:rsid w:val="00E72061"/>
    <w:rsid w:val="00E723BA"/>
    <w:rsid w:val="00E729FE"/>
    <w:rsid w:val="00E732BC"/>
    <w:rsid w:val="00E73581"/>
    <w:rsid w:val="00E737D0"/>
    <w:rsid w:val="00E75C79"/>
    <w:rsid w:val="00E76498"/>
    <w:rsid w:val="00E80750"/>
    <w:rsid w:val="00E80AB6"/>
    <w:rsid w:val="00E82B70"/>
    <w:rsid w:val="00E82D52"/>
    <w:rsid w:val="00E833AB"/>
    <w:rsid w:val="00E833F7"/>
    <w:rsid w:val="00E83BDF"/>
    <w:rsid w:val="00E84423"/>
    <w:rsid w:val="00E84B2D"/>
    <w:rsid w:val="00E84E30"/>
    <w:rsid w:val="00E85535"/>
    <w:rsid w:val="00E8629A"/>
    <w:rsid w:val="00E86E3A"/>
    <w:rsid w:val="00E87A1D"/>
    <w:rsid w:val="00E87AEA"/>
    <w:rsid w:val="00E87D59"/>
    <w:rsid w:val="00E87E1A"/>
    <w:rsid w:val="00E87F93"/>
    <w:rsid w:val="00E87FA6"/>
    <w:rsid w:val="00E91E8F"/>
    <w:rsid w:val="00E926A5"/>
    <w:rsid w:val="00E9284D"/>
    <w:rsid w:val="00E93A22"/>
    <w:rsid w:val="00E93D7E"/>
    <w:rsid w:val="00E93FDA"/>
    <w:rsid w:val="00E94B5A"/>
    <w:rsid w:val="00E95716"/>
    <w:rsid w:val="00E95B0E"/>
    <w:rsid w:val="00E9736F"/>
    <w:rsid w:val="00E97D78"/>
    <w:rsid w:val="00E97D82"/>
    <w:rsid w:val="00EA00BF"/>
    <w:rsid w:val="00EA17C3"/>
    <w:rsid w:val="00EA29A7"/>
    <w:rsid w:val="00EA2CAA"/>
    <w:rsid w:val="00EA3864"/>
    <w:rsid w:val="00EA4873"/>
    <w:rsid w:val="00EA583A"/>
    <w:rsid w:val="00EB0A14"/>
    <w:rsid w:val="00EB15B6"/>
    <w:rsid w:val="00EB1F96"/>
    <w:rsid w:val="00EB2149"/>
    <w:rsid w:val="00EB3E31"/>
    <w:rsid w:val="00EB4916"/>
    <w:rsid w:val="00EB7452"/>
    <w:rsid w:val="00EB793E"/>
    <w:rsid w:val="00EC00C9"/>
    <w:rsid w:val="00EC0BD9"/>
    <w:rsid w:val="00EC1CA8"/>
    <w:rsid w:val="00EC2649"/>
    <w:rsid w:val="00EC2F54"/>
    <w:rsid w:val="00EC446F"/>
    <w:rsid w:val="00EC765F"/>
    <w:rsid w:val="00EC7892"/>
    <w:rsid w:val="00ED05B3"/>
    <w:rsid w:val="00ED0795"/>
    <w:rsid w:val="00ED0C73"/>
    <w:rsid w:val="00ED0D07"/>
    <w:rsid w:val="00ED1385"/>
    <w:rsid w:val="00ED2C7D"/>
    <w:rsid w:val="00ED2D1B"/>
    <w:rsid w:val="00ED3084"/>
    <w:rsid w:val="00ED43FD"/>
    <w:rsid w:val="00ED4FC0"/>
    <w:rsid w:val="00ED5242"/>
    <w:rsid w:val="00ED57EA"/>
    <w:rsid w:val="00ED59CE"/>
    <w:rsid w:val="00ED661B"/>
    <w:rsid w:val="00ED70DF"/>
    <w:rsid w:val="00EE07D3"/>
    <w:rsid w:val="00EE1C27"/>
    <w:rsid w:val="00EE1D7E"/>
    <w:rsid w:val="00EE22AF"/>
    <w:rsid w:val="00EE26D7"/>
    <w:rsid w:val="00EE3385"/>
    <w:rsid w:val="00EE3F63"/>
    <w:rsid w:val="00EE65B4"/>
    <w:rsid w:val="00EE6CF1"/>
    <w:rsid w:val="00EE77CD"/>
    <w:rsid w:val="00EF0171"/>
    <w:rsid w:val="00EF04D7"/>
    <w:rsid w:val="00EF054D"/>
    <w:rsid w:val="00EF1934"/>
    <w:rsid w:val="00EF1B25"/>
    <w:rsid w:val="00EF254B"/>
    <w:rsid w:val="00EF3667"/>
    <w:rsid w:val="00EF4747"/>
    <w:rsid w:val="00EF4BF8"/>
    <w:rsid w:val="00EF4C3B"/>
    <w:rsid w:val="00EF539E"/>
    <w:rsid w:val="00EF5F91"/>
    <w:rsid w:val="00EF619C"/>
    <w:rsid w:val="00EF7D6F"/>
    <w:rsid w:val="00F005A2"/>
    <w:rsid w:val="00F00A18"/>
    <w:rsid w:val="00F00C9B"/>
    <w:rsid w:val="00F015A0"/>
    <w:rsid w:val="00F01A40"/>
    <w:rsid w:val="00F02253"/>
    <w:rsid w:val="00F02418"/>
    <w:rsid w:val="00F02DFC"/>
    <w:rsid w:val="00F03729"/>
    <w:rsid w:val="00F03C2E"/>
    <w:rsid w:val="00F04A66"/>
    <w:rsid w:val="00F0516C"/>
    <w:rsid w:val="00F06609"/>
    <w:rsid w:val="00F067A2"/>
    <w:rsid w:val="00F075D3"/>
    <w:rsid w:val="00F101C5"/>
    <w:rsid w:val="00F1030B"/>
    <w:rsid w:val="00F1162B"/>
    <w:rsid w:val="00F12263"/>
    <w:rsid w:val="00F12533"/>
    <w:rsid w:val="00F1263A"/>
    <w:rsid w:val="00F1319C"/>
    <w:rsid w:val="00F145ED"/>
    <w:rsid w:val="00F14A05"/>
    <w:rsid w:val="00F14EC0"/>
    <w:rsid w:val="00F151BD"/>
    <w:rsid w:val="00F15AC8"/>
    <w:rsid w:val="00F15C9A"/>
    <w:rsid w:val="00F1642A"/>
    <w:rsid w:val="00F16EBC"/>
    <w:rsid w:val="00F1746E"/>
    <w:rsid w:val="00F17F50"/>
    <w:rsid w:val="00F2026A"/>
    <w:rsid w:val="00F21288"/>
    <w:rsid w:val="00F225BB"/>
    <w:rsid w:val="00F22659"/>
    <w:rsid w:val="00F2274E"/>
    <w:rsid w:val="00F22F62"/>
    <w:rsid w:val="00F235CE"/>
    <w:rsid w:val="00F24625"/>
    <w:rsid w:val="00F24837"/>
    <w:rsid w:val="00F2554F"/>
    <w:rsid w:val="00F2575F"/>
    <w:rsid w:val="00F26359"/>
    <w:rsid w:val="00F26533"/>
    <w:rsid w:val="00F2742E"/>
    <w:rsid w:val="00F27565"/>
    <w:rsid w:val="00F30797"/>
    <w:rsid w:val="00F309B6"/>
    <w:rsid w:val="00F310D4"/>
    <w:rsid w:val="00F31C80"/>
    <w:rsid w:val="00F31D5A"/>
    <w:rsid w:val="00F33DE9"/>
    <w:rsid w:val="00F34FFF"/>
    <w:rsid w:val="00F35230"/>
    <w:rsid w:val="00F355C4"/>
    <w:rsid w:val="00F3619A"/>
    <w:rsid w:val="00F40AAA"/>
    <w:rsid w:val="00F40BA7"/>
    <w:rsid w:val="00F40C40"/>
    <w:rsid w:val="00F41ACC"/>
    <w:rsid w:val="00F43E6D"/>
    <w:rsid w:val="00F446D1"/>
    <w:rsid w:val="00F45587"/>
    <w:rsid w:val="00F45850"/>
    <w:rsid w:val="00F46CB6"/>
    <w:rsid w:val="00F47DE8"/>
    <w:rsid w:val="00F5171E"/>
    <w:rsid w:val="00F52CC2"/>
    <w:rsid w:val="00F52D0F"/>
    <w:rsid w:val="00F53518"/>
    <w:rsid w:val="00F54002"/>
    <w:rsid w:val="00F542C1"/>
    <w:rsid w:val="00F55071"/>
    <w:rsid w:val="00F55E73"/>
    <w:rsid w:val="00F55ECA"/>
    <w:rsid w:val="00F55EDA"/>
    <w:rsid w:val="00F55F03"/>
    <w:rsid w:val="00F56713"/>
    <w:rsid w:val="00F60002"/>
    <w:rsid w:val="00F60092"/>
    <w:rsid w:val="00F61216"/>
    <w:rsid w:val="00F627B5"/>
    <w:rsid w:val="00F62CB1"/>
    <w:rsid w:val="00F645E0"/>
    <w:rsid w:val="00F6508A"/>
    <w:rsid w:val="00F652B6"/>
    <w:rsid w:val="00F65488"/>
    <w:rsid w:val="00F65F4B"/>
    <w:rsid w:val="00F66456"/>
    <w:rsid w:val="00F664E3"/>
    <w:rsid w:val="00F66F7F"/>
    <w:rsid w:val="00F67260"/>
    <w:rsid w:val="00F6734A"/>
    <w:rsid w:val="00F702B9"/>
    <w:rsid w:val="00F70C9D"/>
    <w:rsid w:val="00F717EA"/>
    <w:rsid w:val="00F71A5E"/>
    <w:rsid w:val="00F71AF2"/>
    <w:rsid w:val="00F71EFF"/>
    <w:rsid w:val="00F7327B"/>
    <w:rsid w:val="00F7376D"/>
    <w:rsid w:val="00F73965"/>
    <w:rsid w:val="00F74CD9"/>
    <w:rsid w:val="00F75D76"/>
    <w:rsid w:val="00F76EC2"/>
    <w:rsid w:val="00F770A9"/>
    <w:rsid w:val="00F7781A"/>
    <w:rsid w:val="00F803A7"/>
    <w:rsid w:val="00F80A7B"/>
    <w:rsid w:val="00F80C92"/>
    <w:rsid w:val="00F80E5D"/>
    <w:rsid w:val="00F8189C"/>
    <w:rsid w:val="00F81C90"/>
    <w:rsid w:val="00F845CE"/>
    <w:rsid w:val="00F851CE"/>
    <w:rsid w:val="00F85FE1"/>
    <w:rsid w:val="00F86756"/>
    <w:rsid w:val="00F8709F"/>
    <w:rsid w:val="00F878D2"/>
    <w:rsid w:val="00F87ED0"/>
    <w:rsid w:val="00F90862"/>
    <w:rsid w:val="00F90FD6"/>
    <w:rsid w:val="00F91219"/>
    <w:rsid w:val="00F919B2"/>
    <w:rsid w:val="00F91DE5"/>
    <w:rsid w:val="00F91EA1"/>
    <w:rsid w:val="00F929C7"/>
    <w:rsid w:val="00F93F30"/>
    <w:rsid w:val="00F94112"/>
    <w:rsid w:val="00F95954"/>
    <w:rsid w:val="00F95E67"/>
    <w:rsid w:val="00F960EA"/>
    <w:rsid w:val="00F977CB"/>
    <w:rsid w:val="00F97A78"/>
    <w:rsid w:val="00FA034B"/>
    <w:rsid w:val="00FA0B20"/>
    <w:rsid w:val="00FA1830"/>
    <w:rsid w:val="00FA2028"/>
    <w:rsid w:val="00FA2031"/>
    <w:rsid w:val="00FA24E7"/>
    <w:rsid w:val="00FA62E5"/>
    <w:rsid w:val="00FA79BE"/>
    <w:rsid w:val="00FB2FCB"/>
    <w:rsid w:val="00FB3F95"/>
    <w:rsid w:val="00FB4396"/>
    <w:rsid w:val="00FB4822"/>
    <w:rsid w:val="00FB7527"/>
    <w:rsid w:val="00FC1074"/>
    <w:rsid w:val="00FC1507"/>
    <w:rsid w:val="00FC1884"/>
    <w:rsid w:val="00FC2F41"/>
    <w:rsid w:val="00FC2FB9"/>
    <w:rsid w:val="00FC371D"/>
    <w:rsid w:val="00FC3788"/>
    <w:rsid w:val="00FC3B2C"/>
    <w:rsid w:val="00FC523D"/>
    <w:rsid w:val="00FC5D8A"/>
    <w:rsid w:val="00FC5F0B"/>
    <w:rsid w:val="00FC637C"/>
    <w:rsid w:val="00FC7F03"/>
    <w:rsid w:val="00FD1948"/>
    <w:rsid w:val="00FD1CF8"/>
    <w:rsid w:val="00FD2100"/>
    <w:rsid w:val="00FD26AC"/>
    <w:rsid w:val="00FD313E"/>
    <w:rsid w:val="00FD436C"/>
    <w:rsid w:val="00FD446D"/>
    <w:rsid w:val="00FD5A3F"/>
    <w:rsid w:val="00FD6394"/>
    <w:rsid w:val="00FD6535"/>
    <w:rsid w:val="00FE0E6C"/>
    <w:rsid w:val="00FE10B4"/>
    <w:rsid w:val="00FE1A1D"/>
    <w:rsid w:val="00FE201C"/>
    <w:rsid w:val="00FE4EE7"/>
    <w:rsid w:val="00FE50CB"/>
    <w:rsid w:val="00FE55C5"/>
    <w:rsid w:val="00FE70C3"/>
    <w:rsid w:val="00FE74F6"/>
    <w:rsid w:val="00FF0344"/>
    <w:rsid w:val="00FF3DCF"/>
    <w:rsid w:val="00FF492C"/>
    <w:rsid w:val="00FF4A21"/>
    <w:rsid w:val="00FF4AAD"/>
    <w:rsid w:val="00FF4E16"/>
    <w:rsid w:val="00FF5AA3"/>
    <w:rsid w:val="00FF5AD8"/>
    <w:rsid w:val="00FF6D9E"/>
    <w:rsid w:val="00FF7619"/>
    <w:rsid w:val="00FF77F5"/>
    <w:rsid w:val="00FF7F6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7" w:semiHidden="1" w:unhideWhenUsed="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PBACHeading1"/>
    <w:next w:val="Normal"/>
    <w:link w:val="Heading1Char"/>
    <w:uiPriority w:val="1"/>
    <w:qFormat/>
    <w:rsid w:val="00995778"/>
    <w:pPr>
      <w:numPr>
        <w:numId w:val="0"/>
      </w:numPr>
      <w:outlineLvl w:val="0"/>
    </w:pPr>
  </w:style>
  <w:style w:type="paragraph" w:styleId="Heading2">
    <w:name w:val="heading 2"/>
    <w:basedOn w:val="Normal"/>
    <w:next w:val="Normal"/>
    <w:link w:val="Heading2Char"/>
    <w:qFormat/>
    <w:rsid w:val="00995778"/>
    <w:pPr>
      <w:spacing w:before="120" w:after="120"/>
      <w:outlineLvl w:val="1"/>
    </w:pPr>
    <w:rPr>
      <w:b/>
      <w:i/>
      <w:sz w:val="28"/>
      <w:szCs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qFormat/>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95778"/>
    <w:rPr>
      <w:rFonts w:ascii="Calibri" w:hAnsi="Calibri" w:cs="Arial"/>
      <w:b/>
      <w:i/>
      <w:snapToGrid w:val="0"/>
      <w:sz w:val="28"/>
      <w:szCs w:val="28"/>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995778"/>
    <w:pPr>
      <w:widowControl/>
      <w:numPr>
        <w:ilvl w:val="1"/>
        <w:numId w:val="1"/>
      </w:numPr>
      <w:spacing w:after="120"/>
    </w:pPr>
  </w:style>
  <w:style w:type="character" w:customStyle="1" w:styleId="ListParagraphChar">
    <w:name w:val="List Paragraph Char"/>
    <w:aliases w:val="Numbered para Char,BulletPoints Char"/>
    <w:basedOn w:val="DefaultParagraphFont"/>
    <w:link w:val="ListParagraph"/>
    <w:uiPriority w:val="34"/>
    <w:locked/>
    <w:rsid w:val="00995778"/>
    <w:rPr>
      <w:rFonts w:ascii="Calibri" w:hAnsi="Calibri" w:cs="Arial"/>
      <w:snapToGrid w:val="0"/>
      <w:sz w:val="24"/>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spacing w:before="480" w:line="276" w:lineRule="auto"/>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995778"/>
    <w:pPr>
      <w:keepNext/>
      <w:keepLines/>
      <w:numPr>
        <w:numId w:val="1"/>
      </w:numPr>
      <w:spacing w:before="240" w:after="12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basedOn w:val="Normal"/>
    <w:link w:val="TableTextChar0"/>
    <w:qFormat/>
    <w:rsid w:val="00F71EFF"/>
    <w:pPr>
      <w:keepNext/>
      <w:widowControl/>
      <w:spacing w:before="40" w:after="40"/>
      <w:jc w:val="left"/>
    </w:pPr>
    <w:rPr>
      <w:rFonts w:ascii="Arial Narrow" w:eastAsiaTheme="minorHAnsi" w:hAnsi="Arial Narrow" w:cstheme="minorBidi"/>
      <w:snapToGrid/>
      <w:sz w:val="20"/>
    </w:rPr>
  </w:style>
  <w:style w:type="paragraph" w:customStyle="1" w:styleId="TableHeading0">
    <w:name w:val="Table Heading"/>
    <w:basedOn w:val="Normal"/>
    <w:qFormat/>
    <w:rsid w:val="00F71EFF"/>
    <w:pPr>
      <w:keepNext/>
      <w:widowControl/>
      <w:spacing w:after="60"/>
      <w:jc w:val="left"/>
    </w:pPr>
    <w:rPr>
      <w:rFonts w:ascii="Arial Narrow" w:eastAsiaTheme="minorHAnsi" w:hAnsi="Arial Narrow" w:cstheme="minorBidi"/>
      <w:b/>
      <w:snapToGrid/>
      <w:sz w:val="20"/>
    </w:rPr>
  </w:style>
  <w:style w:type="character" w:customStyle="1" w:styleId="TableTextChar0">
    <w:name w:val="Table Text Char"/>
    <w:link w:val="TableText0"/>
    <w:locked/>
    <w:rsid w:val="00F71EFF"/>
    <w:rPr>
      <w:rFonts w:ascii="Arial Narrow" w:eastAsiaTheme="minorHAnsi" w:hAnsi="Arial Narrow" w:cstheme="minorBidi"/>
      <w:szCs w:val="22"/>
      <w:lang w:eastAsia="en-US"/>
    </w:rPr>
  </w:style>
  <w:style w:type="paragraph" w:customStyle="1" w:styleId="V50Instructions">
    <w:name w:val="V5.0 Instructions"/>
    <w:basedOn w:val="Normal"/>
    <w:link w:val="V50InstructionsChar"/>
    <w:qFormat/>
    <w:rsid w:val="003D02FF"/>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3D02FF"/>
    <w:rPr>
      <w:rFonts w:asciiTheme="minorHAnsi" w:eastAsiaTheme="minorHAnsi" w:hAnsiTheme="minorHAnsi" w:cstheme="minorBidi"/>
      <w:color w:val="4BACC6" w:themeColor="accent5"/>
      <w:sz w:val="24"/>
      <w:szCs w:val="22"/>
      <w:lang w:eastAsia="en-US"/>
    </w:rPr>
  </w:style>
  <w:style w:type="character" w:customStyle="1" w:styleId="COMBodyChar">
    <w:name w:val="COMBody Char"/>
    <w:basedOn w:val="DefaultParagraphFont"/>
    <w:link w:val="COMBody"/>
    <w:locked/>
    <w:rsid w:val="000445BA"/>
    <w:rPr>
      <w:rFonts w:ascii="Calibri" w:hAnsi="Calibri" w:cs="Arial"/>
      <w:sz w:val="24"/>
    </w:rPr>
  </w:style>
  <w:style w:type="paragraph" w:customStyle="1" w:styleId="COMBody">
    <w:name w:val="COMBody"/>
    <w:basedOn w:val="Normal"/>
    <w:link w:val="COMBodyChar"/>
    <w:qFormat/>
    <w:rsid w:val="000445BA"/>
    <w:pPr>
      <w:snapToGrid w:val="0"/>
    </w:pPr>
    <w:rPr>
      <w:snapToGrid/>
      <w:szCs w:val="20"/>
      <w:lang w:eastAsia="en-AU"/>
    </w:rPr>
  </w:style>
  <w:style w:type="paragraph" w:styleId="FootnoteText">
    <w:name w:val="footnote text"/>
    <w:basedOn w:val="Normal"/>
    <w:link w:val="FootnoteTextChar"/>
    <w:semiHidden/>
    <w:unhideWhenUsed/>
    <w:rsid w:val="00C46216"/>
    <w:rPr>
      <w:sz w:val="20"/>
      <w:szCs w:val="20"/>
    </w:rPr>
  </w:style>
  <w:style w:type="character" w:customStyle="1" w:styleId="FootnoteTextChar">
    <w:name w:val="Footnote Text Char"/>
    <w:basedOn w:val="DefaultParagraphFont"/>
    <w:link w:val="FootnoteText"/>
    <w:semiHidden/>
    <w:rsid w:val="00C46216"/>
    <w:rPr>
      <w:rFonts w:ascii="Calibri" w:hAnsi="Calibri" w:cs="Arial"/>
      <w:snapToGrid w:val="0"/>
      <w:lang w:eastAsia="en-US"/>
    </w:rPr>
  </w:style>
  <w:style w:type="character" w:styleId="FootnoteReference">
    <w:name w:val="footnote reference"/>
    <w:basedOn w:val="DefaultParagraphFont"/>
    <w:semiHidden/>
    <w:unhideWhenUsed/>
    <w:rsid w:val="00C46216"/>
    <w:rPr>
      <w:vertAlign w:val="superscript"/>
    </w:rPr>
  </w:style>
  <w:style w:type="paragraph" w:styleId="BodyText3">
    <w:name w:val="Body Text 3"/>
    <w:basedOn w:val="Normal"/>
    <w:link w:val="BodyText3Char"/>
    <w:semiHidden/>
    <w:unhideWhenUsed/>
    <w:rsid w:val="00760550"/>
    <w:pPr>
      <w:spacing w:after="120"/>
    </w:pPr>
    <w:rPr>
      <w:sz w:val="16"/>
      <w:szCs w:val="16"/>
    </w:rPr>
  </w:style>
  <w:style w:type="character" w:customStyle="1" w:styleId="BodyText3Char">
    <w:name w:val="Body Text 3 Char"/>
    <w:basedOn w:val="DefaultParagraphFont"/>
    <w:link w:val="BodyText3"/>
    <w:semiHidden/>
    <w:rsid w:val="00760550"/>
    <w:rPr>
      <w:rFonts w:ascii="Calibri" w:hAnsi="Calibri" w:cs="Arial"/>
      <w:snapToGrid w:val="0"/>
      <w:sz w:val="16"/>
      <w:szCs w:val="16"/>
      <w:lang w:eastAsia="en-US"/>
    </w:rPr>
  </w:style>
  <w:style w:type="paragraph" w:customStyle="1" w:styleId="COMtbl-HEADLeftAligned">
    <w:name w:val="COMtbl-HEAD Left Aligned"/>
    <w:basedOn w:val="Normal"/>
    <w:qFormat/>
    <w:rsid w:val="002079A2"/>
    <w:pPr>
      <w:tabs>
        <w:tab w:val="left" w:pos="720"/>
      </w:tabs>
      <w:jc w:val="left"/>
    </w:pPr>
    <w:rPr>
      <w:rFonts w:ascii="Arial Narrow" w:hAnsi="Arial Narrow"/>
      <w:b/>
      <w:sz w:val="20"/>
      <w:szCs w:val="20"/>
    </w:rPr>
  </w:style>
  <w:style w:type="paragraph" w:customStyle="1" w:styleId="COMtbl-HEADCentred">
    <w:name w:val="COMtbl-HEAD Centred"/>
    <w:basedOn w:val="COMtbl-HEADLeftAligned"/>
    <w:qFormat/>
    <w:rsid w:val="002079A2"/>
    <w:pPr>
      <w:jc w:val="center"/>
    </w:pPr>
  </w:style>
  <w:style w:type="paragraph" w:customStyle="1" w:styleId="COMtbl-textLeftAligned">
    <w:name w:val="COMtbl-text Left Aligned"/>
    <w:basedOn w:val="COMtbl-HEADLeftAligned"/>
    <w:qFormat/>
    <w:rsid w:val="002079A2"/>
    <w:rPr>
      <w:b w:val="0"/>
    </w:rPr>
  </w:style>
  <w:style w:type="paragraph" w:customStyle="1" w:styleId="COMtbl-textCentred">
    <w:name w:val="COMtbl-text Centred"/>
    <w:basedOn w:val="COMtbl-HEADCentred"/>
    <w:qFormat/>
    <w:rsid w:val="002079A2"/>
    <w:rPr>
      <w:b w:val="0"/>
    </w:rPr>
  </w:style>
  <w:style w:type="character" w:customStyle="1" w:styleId="li-content">
    <w:name w:val="li-content"/>
    <w:basedOn w:val="DefaultParagraphFont"/>
    <w:rsid w:val="00691E25"/>
    <w:rPr>
      <w:color w:val="000000"/>
    </w:rPr>
  </w:style>
  <w:style w:type="paragraph" w:customStyle="1" w:styleId="Indication">
    <w:name w:val="Indication"/>
    <w:basedOn w:val="Normal"/>
    <w:uiPriority w:val="1"/>
    <w:qFormat/>
    <w:rsid w:val="00B350BA"/>
    <w:pPr>
      <w:widowControl/>
      <w:spacing w:before="120" w:after="120" w:line="300" w:lineRule="atLeast"/>
      <w:ind w:left="284"/>
      <w:jc w:val="left"/>
    </w:pPr>
    <w:rPr>
      <w:rFonts w:ascii="Cambria" w:eastAsia="Cambria" w:hAnsi="Cambria" w:cs="Times New Roman"/>
      <w:i/>
      <w:noProof/>
      <w:snapToGrid/>
      <w:sz w:val="22"/>
      <w:szCs w:val="20"/>
    </w:rPr>
  </w:style>
  <w:style w:type="character" w:styleId="IntenseReference">
    <w:name w:val="Intense Reference"/>
    <w:basedOn w:val="DefaultParagraphFont"/>
    <w:uiPriority w:val="32"/>
    <w:qFormat/>
    <w:rsid w:val="0030312B"/>
    <w:rPr>
      <w:b/>
      <w:bCs/>
      <w:i/>
      <w:smallCaps/>
      <w:color w:val="C0504D" w:themeColor="accent2"/>
      <w:spacing w:val="5"/>
      <w:u w:val="none"/>
    </w:rPr>
  </w:style>
  <w:style w:type="character" w:customStyle="1" w:styleId="Heading1Char">
    <w:name w:val="Heading 1 Char"/>
    <w:basedOn w:val="DefaultParagraphFont"/>
    <w:link w:val="Heading1"/>
    <w:uiPriority w:val="1"/>
    <w:rsid w:val="00F91DE5"/>
    <w:rPr>
      <w:rFonts w:ascii="Calibri" w:hAnsi="Calibri" w:cs="Arial"/>
      <w:b/>
      <w:snapToGrid w:val="0"/>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981102">
      <w:bodyDiv w:val="1"/>
      <w:marLeft w:val="0"/>
      <w:marRight w:val="0"/>
      <w:marTop w:val="0"/>
      <w:marBottom w:val="0"/>
      <w:divBdr>
        <w:top w:val="none" w:sz="0" w:space="0" w:color="auto"/>
        <w:left w:val="none" w:sz="0" w:space="0" w:color="auto"/>
        <w:bottom w:val="none" w:sz="0" w:space="0" w:color="auto"/>
        <w:right w:val="none" w:sz="0" w:space="0" w:color="auto"/>
      </w:divBdr>
    </w:div>
    <w:div w:id="466510662">
      <w:bodyDiv w:val="1"/>
      <w:marLeft w:val="0"/>
      <w:marRight w:val="0"/>
      <w:marTop w:val="0"/>
      <w:marBottom w:val="0"/>
      <w:divBdr>
        <w:top w:val="none" w:sz="0" w:space="0" w:color="auto"/>
        <w:left w:val="none" w:sz="0" w:space="0" w:color="auto"/>
        <w:bottom w:val="none" w:sz="0" w:space="0" w:color="auto"/>
        <w:right w:val="none" w:sz="0" w:space="0" w:color="auto"/>
      </w:divBdr>
      <w:divsChild>
        <w:div w:id="565652340">
          <w:marLeft w:val="360"/>
          <w:marRight w:val="0"/>
          <w:marTop w:val="264"/>
          <w:marBottom w:val="0"/>
          <w:divBdr>
            <w:top w:val="none" w:sz="0" w:space="0" w:color="auto"/>
            <w:left w:val="none" w:sz="0" w:space="0" w:color="auto"/>
            <w:bottom w:val="none" w:sz="0" w:space="0" w:color="auto"/>
            <w:right w:val="none" w:sz="0" w:space="0" w:color="auto"/>
          </w:divBdr>
        </w:div>
      </w:divsChild>
    </w:div>
    <w:div w:id="1000617565">
      <w:bodyDiv w:val="1"/>
      <w:marLeft w:val="0"/>
      <w:marRight w:val="0"/>
      <w:marTop w:val="0"/>
      <w:marBottom w:val="0"/>
      <w:divBdr>
        <w:top w:val="none" w:sz="0" w:space="0" w:color="auto"/>
        <w:left w:val="none" w:sz="0" w:space="0" w:color="auto"/>
        <w:bottom w:val="none" w:sz="0" w:space="0" w:color="auto"/>
        <w:right w:val="none" w:sz="0" w:space="0" w:color="auto"/>
      </w:divBdr>
      <w:divsChild>
        <w:div w:id="114176608">
          <w:marLeft w:val="0"/>
          <w:marRight w:val="0"/>
          <w:marTop w:val="0"/>
          <w:marBottom w:val="0"/>
          <w:divBdr>
            <w:top w:val="none" w:sz="0" w:space="0" w:color="auto"/>
            <w:left w:val="none" w:sz="0" w:space="0" w:color="auto"/>
            <w:bottom w:val="none" w:sz="0" w:space="0" w:color="auto"/>
            <w:right w:val="none" w:sz="0" w:space="0" w:color="auto"/>
          </w:divBdr>
        </w:div>
        <w:div w:id="636958525">
          <w:marLeft w:val="0"/>
          <w:marRight w:val="0"/>
          <w:marTop w:val="0"/>
          <w:marBottom w:val="0"/>
          <w:divBdr>
            <w:top w:val="none" w:sz="0" w:space="0" w:color="auto"/>
            <w:left w:val="none" w:sz="0" w:space="0" w:color="auto"/>
            <w:bottom w:val="none" w:sz="0" w:space="0" w:color="auto"/>
            <w:right w:val="none" w:sz="0" w:space="0" w:color="auto"/>
          </w:divBdr>
        </w:div>
      </w:divsChild>
    </w:div>
    <w:div w:id="182230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BA1F1-2725-4C28-AFB3-34D44D77D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12113</Words>
  <Characters>73927</Characters>
  <Application>Microsoft Office Word</Application>
  <DocSecurity>0</DocSecurity>
  <Lines>616</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2019-08-02T02:20:00Z</dcterms:created>
  <dcterms:modified xsi:type="dcterms:W3CDTF">2019-08-14T00:28:00Z</dcterms:modified>
</cp:coreProperties>
</file>