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006435" w:rsidRDefault="00D740F4" w:rsidP="002C53C8">
      <w:pPr>
        <w:widowControl/>
        <w:ind w:left="851" w:hanging="851"/>
        <w:jc w:val="left"/>
        <w:outlineLvl w:val="0"/>
        <w:rPr>
          <w:b/>
          <w:sz w:val="36"/>
          <w:szCs w:val="36"/>
        </w:rPr>
      </w:pPr>
      <w:r w:rsidRPr="00006435">
        <w:rPr>
          <w:b/>
          <w:sz w:val="36"/>
          <w:szCs w:val="36"/>
        </w:rPr>
        <w:t>5.14</w:t>
      </w:r>
      <w:r w:rsidR="00B60939" w:rsidRPr="00006435">
        <w:rPr>
          <w:b/>
          <w:sz w:val="36"/>
          <w:szCs w:val="36"/>
        </w:rPr>
        <w:tab/>
      </w:r>
      <w:r w:rsidR="00FE30DF" w:rsidRPr="00006435">
        <w:rPr>
          <w:b/>
          <w:sz w:val="36"/>
          <w:szCs w:val="36"/>
        </w:rPr>
        <w:t>SARILUMAB</w:t>
      </w:r>
      <w:r w:rsidR="00B60939" w:rsidRPr="00006435">
        <w:rPr>
          <w:b/>
          <w:sz w:val="36"/>
          <w:szCs w:val="36"/>
        </w:rPr>
        <w:t>,</w:t>
      </w:r>
      <w:r w:rsidR="0005593F" w:rsidRPr="00006435">
        <w:rPr>
          <w:b/>
          <w:sz w:val="36"/>
          <w:szCs w:val="36"/>
        </w:rPr>
        <w:t xml:space="preserve"> </w:t>
      </w:r>
      <w:r w:rsidR="0005593F" w:rsidRPr="00006435">
        <w:rPr>
          <w:b/>
          <w:sz w:val="36"/>
          <w:szCs w:val="36"/>
        </w:rPr>
        <w:br/>
      </w:r>
      <w:r w:rsidR="003D630B" w:rsidRPr="00006435">
        <w:rPr>
          <w:b/>
          <w:sz w:val="36"/>
          <w:szCs w:val="36"/>
        </w:rPr>
        <w:t xml:space="preserve">Injection, 150 mg in 1.14 mL </w:t>
      </w:r>
      <w:r w:rsidR="00FE30DF" w:rsidRPr="00006435">
        <w:rPr>
          <w:b/>
          <w:sz w:val="36"/>
          <w:szCs w:val="36"/>
        </w:rPr>
        <w:t>pre</w:t>
      </w:r>
      <w:r w:rsidR="003D630B" w:rsidRPr="00006435">
        <w:rPr>
          <w:b/>
          <w:sz w:val="36"/>
          <w:szCs w:val="36"/>
        </w:rPr>
        <w:t>-</w:t>
      </w:r>
      <w:r w:rsidR="00FE30DF" w:rsidRPr="00006435">
        <w:rPr>
          <w:b/>
          <w:sz w:val="36"/>
          <w:szCs w:val="36"/>
        </w:rPr>
        <w:t>filled syringe</w:t>
      </w:r>
      <w:r w:rsidR="003D630B" w:rsidRPr="00006435">
        <w:rPr>
          <w:b/>
          <w:sz w:val="36"/>
          <w:szCs w:val="36"/>
        </w:rPr>
        <w:t xml:space="preserve">, </w:t>
      </w:r>
      <w:r w:rsidR="000D1196">
        <w:rPr>
          <w:b/>
          <w:sz w:val="36"/>
          <w:szCs w:val="36"/>
        </w:rPr>
        <w:br/>
      </w:r>
      <w:r w:rsidR="003D630B" w:rsidRPr="00006435">
        <w:rPr>
          <w:b/>
          <w:sz w:val="36"/>
          <w:szCs w:val="36"/>
        </w:rPr>
        <w:t>200 mg in 1.14 mL pre-filled syringe</w:t>
      </w:r>
      <w:r w:rsidR="00B60939" w:rsidRPr="00006435">
        <w:rPr>
          <w:b/>
          <w:sz w:val="36"/>
          <w:szCs w:val="36"/>
        </w:rPr>
        <w:t xml:space="preserve">, </w:t>
      </w:r>
      <w:r w:rsidR="0005593F" w:rsidRPr="00006435">
        <w:rPr>
          <w:b/>
          <w:sz w:val="36"/>
          <w:szCs w:val="36"/>
        </w:rPr>
        <w:br/>
      </w:r>
      <w:proofErr w:type="spellStart"/>
      <w:r w:rsidR="00FE30DF" w:rsidRPr="00006435">
        <w:rPr>
          <w:b/>
          <w:sz w:val="36"/>
          <w:szCs w:val="36"/>
        </w:rPr>
        <w:t>Kevzara</w:t>
      </w:r>
      <w:proofErr w:type="spellEnd"/>
      <w:r w:rsidR="00B60939" w:rsidRPr="0074560A">
        <w:rPr>
          <w:b/>
          <w:sz w:val="36"/>
          <w:szCs w:val="36"/>
        </w:rPr>
        <w:t>®</w:t>
      </w:r>
      <w:r w:rsidR="00B60939" w:rsidRPr="00006435">
        <w:rPr>
          <w:b/>
          <w:sz w:val="36"/>
          <w:szCs w:val="36"/>
        </w:rPr>
        <w:t xml:space="preserve">, </w:t>
      </w:r>
      <w:r w:rsidR="0005593F" w:rsidRPr="00006435">
        <w:rPr>
          <w:b/>
          <w:sz w:val="36"/>
          <w:szCs w:val="36"/>
        </w:rPr>
        <w:t>Sanofi-Aventis Australia Pty Limited</w:t>
      </w:r>
    </w:p>
    <w:p w:rsidR="00B50DB8" w:rsidRPr="00006435" w:rsidRDefault="00B50DB8" w:rsidP="00127F36">
      <w:pPr>
        <w:pStyle w:val="PBACHeading1"/>
      </w:pPr>
      <w:bookmarkStart w:id="0" w:name="_Toc524441608"/>
      <w:r w:rsidRPr="00006435">
        <w:t>Purpose of Application</w:t>
      </w:r>
      <w:bookmarkEnd w:id="0"/>
    </w:p>
    <w:p w:rsidR="002C2775" w:rsidRPr="00006435" w:rsidRDefault="001E0BE8" w:rsidP="002C53C8">
      <w:pPr>
        <w:pStyle w:val="ListParagraph"/>
        <w:keepNext/>
        <w:widowControl/>
        <w:numPr>
          <w:ilvl w:val="1"/>
          <w:numId w:val="3"/>
        </w:numPr>
      </w:pPr>
      <w:r w:rsidRPr="00006435">
        <w:t xml:space="preserve">The submission requested an </w:t>
      </w:r>
      <w:r w:rsidR="008B1757" w:rsidRPr="00006435">
        <w:t xml:space="preserve">Authority </w:t>
      </w:r>
      <w:proofErr w:type="gramStart"/>
      <w:r w:rsidR="008B1757" w:rsidRPr="00006435">
        <w:t>Required</w:t>
      </w:r>
      <w:proofErr w:type="gramEnd"/>
      <w:r w:rsidR="008B1757" w:rsidRPr="00006435">
        <w:t xml:space="preserve"> listing for </w:t>
      </w:r>
      <w:proofErr w:type="spellStart"/>
      <w:r w:rsidRPr="00006435">
        <w:t>sarilumab</w:t>
      </w:r>
      <w:proofErr w:type="spellEnd"/>
      <w:r w:rsidRPr="00006435">
        <w:t xml:space="preserve"> (SAR)</w:t>
      </w:r>
      <w:r w:rsidR="008B1757" w:rsidRPr="00006435">
        <w:t xml:space="preserve"> </w:t>
      </w:r>
      <w:r w:rsidR="00C84841" w:rsidRPr="00006435">
        <w:t xml:space="preserve">for the </w:t>
      </w:r>
      <w:r w:rsidR="008B1757" w:rsidRPr="00006435">
        <w:t xml:space="preserve">treatment of </w:t>
      </w:r>
      <w:r w:rsidRPr="00006435">
        <w:t>severe rheumato</w:t>
      </w:r>
      <w:r w:rsidR="00313745" w:rsidRPr="00006435">
        <w:t>id arthritis (RA) of</w:t>
      </w:r>
      <w:r w:rsidRPr="00006435">
        <w:t xml:space="preserve"> patients meeting certain criteria</w:t>
      </w:r>
      <w:r w:rsidR="008B1757" w:rsidRPr="00006435">
        <w:t xml:space="preserve">. </w:t>
      </w:r>
      <w:r w:rsidRPr="00006435">
        <w:t xml:space="preserve"> </w:t>
      </w:r>
      <w:r w:rsidRPr="00006435">
        <w:rPr>
          <w:iCs/>
        </w:rPr>
        <w:t>This is the first submission of SAR for RA considered by the PBAC.</w:t>
      </w:r>
    </w:p>
    <w:p w:rsidR="001E0BE8" w:rsidRPr="00006435" w:rsidRDefault="001E0BE8" w:rsidP="002C53C8">
      <w:pPr>
        <w:pStyle w:val="ListParagraph"/>
        <w:widowControl/>
        <w:numPr>
          <w:ilvl w:val="1"/>
          <w:numId w:val="3"/>
        </w:numPr>
        <w:spacing w:after="120"/>
      </w:pPr>
      <w:r w:rsidRPr="00006435">
        <w:t xml:space="preserve">The basis for the requested listing was a cost-minimisation analysis to </w:t>
      </w:r>
      <w:proofErr w:type="spellStart"/>
      <w:r w:rsidRPr="00006435">
        <w:t>tocilizumab</w:t>
      </w:r>
      <w:proofErr w:type="spellEnd"/>
      <w:r w:rsidRPr="00006435">
        <w:t xml:space="preserve"> (TCZ) subcutaneous (SC) formulation, which is a pharmacological analogue.  </w:t>
      </w:r>
      <w:r w:rsidRPr="00006435">
        <w:rPr>
          <w:iCs/>
        </w:rPr>
        <w:t>There are two TCZ formulations listed on the PBS</w:t>
      </w:r>
      <w:r w:rsidR="00DF37E8" w:rsidRPr="00006435">
        <w:rPr>
          <w:iCs/>
        </w:rPr>
        <w:t>:</w:t>
      </w:r>
      <w:r w:rsidRPr="00006435">
        <w:rPr>
          <w:iCs/>
        </w:rPr>
        <w:t xml:space="preserve"> an intravenous (IV) injection since 2010, and a SC injection since 2016.</w:t>
      </w:r>
    </w:p>
    <w:p w:rsidR="00463F46" w:rsidRPr="00006435" w:rsidRDefault="00463F46" w:rsidP="002C53C8">
      <w:pPr>
        <w:widowControl/>
        <w:rPr>
          <w:rStyle w:val="CommentReference"/>
        </w:rPr>
      </w:pPr>
      <w:r w:rsidRPr="00006435">
        <w:rPr>
          <w:rStyle w:val="CommentReference"/>
        </w:rPr>
        <w:t xml:space="preserve">Table </w:t>
      </w:r>
      <w:r w:rsidR="0049246D" w:rsidRPr="00006435">
        <w:rPr>
          <w:rStyle w:val="CommentReference"/>
        </w:rPr>
        <w:t>1</w:t>
      </w:r>
      <w:r w:rsidRPr="00006435">
        <w:rPr>
          <w:rStyle w:val="CommentReference"/>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components of the clinical issue addressed by the submission"/>
      </w:tblPr>
      <w:tblGrid>
        <w:gridCol w:w="1271"/>
        <w:gridCol w:w="7909"/>
      </w:tblGrid>
      <w:tr w:rsidR="008B1757" w:rsidRPr="00006435" w:rsidTr="00F32D2F">
        <w:trPr>
          <w:cantSplit/>
          <w:tblHeader/>
        </w:trPr>
        <w:tc>
          <w:tcPr>
            <w:tcW w:w="1271" w:type="dxa"/>
            <w:shd w:val="clear" w:color="auto" w:fill="auto"/>
          </w:tcPr>
          <w:p w:rsidR="008B1757" w:rsidRPr="00006435" w:rsidRDefault="008B1757" w:rsidP="002C53C8">
            <w:pPr>
              <w:pStyle w:val="Tabletext"/>
              <w:rPr>
                <w:b/>
                <w:szCs w:val="20"/>
              </w:rPr>
            </w:pPr>
            <w:r w:rsidRPr="00006435">
              <w:rPr>
                <w:b/>
              </w:rPr>
              <w:t>Component</w:t>
            </w:r>
          </w:p>
        </w:tc>
        <w:tc>
          <w:tcPr>
            <w:tcW w:w="7909" w:type="dxa"/>
            <w:shd w:val="clear" w:color="auto" w:fill="auto"/>
          </w:tcPr>
          <w:p w:rsidR="008B1757" w:rsidRPr="00006435" w:rsidRDefault="008B1757" w:rsidP="002C53C8">
            <w:pPr>
              <w:pStyle w:val="Tabletext"/>
              <w:jc w:val="center"/>
              <w:rPr>
                <w:b/>
              </w:rPr>
            </w:pPr>
            <w:r w:rsidRPr="00006435">
              <w:rPr>
                <w:b/>
              </w:rPr>
              <w:t>Description</w:t>
            </w:r>
          </w:p>
        </w:tc>
      </w:tr>
      <w:tr w:rsidR="001E0BE8" w:rsidRPr="00006435" w:rsidTr="00F32D2F">
        <w:trPr>
          <w:cantSplit/>
        </w:trPr>
        <w:tc>
          <w:tcPr>
            <w:tcW w:w="1271" w:type="dxa"/>
            <w:shd w:val="clear" w:color="auto" w:fill="auto"/>
          </w:tcPr>
          <w:p w:rsidR="001E0BE8" w:rsidRPr="00006435" w:rsidRDefault="001E0BE8" w:rsidP="002C53C8">
            <w:pPr>
              <w:pStyle w:val="Tabletext"/>
            </w:pPr>
            <w:r w:rsidRPr="00006435">
              <w:t>Population</w:t>
            </w:r>
          </w:p>
        </w:tc>
        <w:tc>
          <w:tcPr>
            <w:tcW w:w="7909" w:type="dxa"/>
            <w:shd w:val="clear" w:color="auto" w:fill="auto"/>
            <w:vAlign w:val="center"/>
          </w:tcPr>
          <w:p w:rsidR="001E0BE8" w:rsidRPr="00006435" w:rsidRDefault="001E0BE8" w:rsidP="002C53C8">
            <w:pPr>
              <w:pStyle w:val="Tabletext"/>
            </w:pPr>
            <w:r w:rsidRPr="00006435">
              <w:t xml:space="preserve">Adults with severe RA and an inadequate response to </w:t>
            </w:r>
            <w:proofErr w:type="spellStart"/>
            <w:r w:rsidRPr="00006435">
              <w:t>cDMARDs</w:t>
            </w:r>
            <w:proofErr w:type="spellEnd"/>
          </w:p>
        </w:tc>
      </w:tr>
      <w:tr w:rsidR="001E0BE8" w:rsidRPr="00006435" w:rsidTr="00F32D2F">
        <w:trPr>
          <w:cantSplit/>
        </w:trPr>
        <w:tc>
          <w:tcPr>
            <w:tcW w:w="1271" w:type="dxa"/>
            <w:shd w:val="clear" w:color="auto" w:fill="auto"/>
          </w:tcPr>
          <w:p w:rsidR="001E0BE8" w:rsidRPr="00006435" w:rsidRDefault="001E0BE8" w:rsidP="002C53C8">
            <w:pPr>
              <w:pStyle w:val="Tabletext"/>
            </w:pPr>
            <w:r w:rsidRPr="00006435">
              <w:t>Intervention</w:t>
            </w:r>
          </w:p>
        </w:tc>
        <w:tc>
          <w:tcPr>
            <w:tcW w:w="7909" w:type="dxa"/>
            <w:shd w:val="clear" w:color="auto" w:fill="auto"/>
            <w:vAlign w:val="center"/>
          </w:tcPr>
          <w:p w:rsidR="001E0BE8" w:rsidRPr="00006435" w:rsidRDefault="001E0BE8" w:rsidP="002C53C8">
            <w:pPr>
              <w:pStyle w:val="Tabletext"/>
            </w:pPr>
            <w:r w:rsidRPr="00006435">
              <w:t xml:space="preserve">SAR 200mg SC </w:t>
            </w:r>
            <w:r w:rsidR="00313745" w:rsidRPr="00006435">
              <w:t>q2w</w:t>
            </w:r>
            <w:r w:rsidRPr="00006435">
              <w:t xml:space="preserve">; dose modification (interruption and temporary dose reduction to 150mg </w:t>
            </w:r>
            <w:r w:rsidR="00313745" w:rsidRPr="00006435">
              <w:t>q2w</w:t>
            </w:r>
            <w:r w:rsidRPr="00006435">
              <w:t>) recommended for management of neutropenia, thrombocytopenia and elevated liver enzymes.</w:t>
            </w:r>
          </w:p>
        </w:tc>
      </w:tr>
      <w:tr w:rsidR="001E0BE8" w:rsidRPr="00006435" w:rsidTr="00F32D2F">
        <w:trPr>
          <w:cantSplit/>
        </w:trPr>
        <w:tc>
          <w:tcPr>
            <w:tcW w:w="1271" w:type="dxa"/>
            <w:shd w:val="clear" w:color="auto" w:fill="auto"/>
          </w:tcPr>
          <w:p w:rsidR="001E0BE8" w:rsidRPr="00006435" w:rsidRDefault="001E0BE8" w:rsidP="002C53C8">
            <w:pPr>
              <w:pStyle w:val="Tabletext"/>
            </w:pPr>
            <w:r w:rsidRPr="00006435">
              <w:t>Comparator</w:t>
            </w:r>
          </w:p>
        </w:tc>
        <w:tc>
          <w:tcPr>
            <w:tcW w:w="7909" w:type="dxa"/>
            <w:shd w:val="clear" w:color="auto" w:fill="auto"/>
            <w:vAlign w:val="center"/>
          </w:tcPr>
          <w:p w:rsidR="001E0BE8" w:rsidRPr="00006435" w:rsidRDefault="001E0BE8" w:rsidP="002C53C8">
            <w:pPr>
              <w:pStyle w:val="Tabletext"/>
            </w:pPr>
            <w:r w:rsidRPr="00006435">
              <w:t xml:space="preserve">TCZ </w:t>
            </w:r>
            <w:r w:rsidR="00313745" w:rsidRPr="00006435">
              <w:t xml:space="preserve">SC </w:t>
            </w:r>
            <w:r w:rsidRPr="00006435">
              <w:t xml:space="preserve">162mg </w:t>
            </w:r>
            <w:proofErr w:type="spellStart"/>
            <w:r w:rsidR="00313745" w:rsidRPr="00006435">
              <w:t>qw</w:t>
            </w:r>
            <w:proofErr w:type="spellEnd"/>
            <w:r w:rsidRPr="00006435">
              <w:t xml:space="preserve">; dose modification (interruption and temporary dose frequency reduction to 162mg </w:t>
            </w:r>
            <w:r w:rsidR="00313745" w:rsidRPr="00006435">
              <w:t>q2w</w:t>
            </w:r>
            <w:r w:rsidRPr="00006435">
              <w:t>) recommended for management of neutropenia, thrombocytopenia and elevated liver enzymes.</w:t>
            </w:r>
          </w:p>
          <w:p w:rsidR="00F32D2F" w:rsidRPr="00006435" w:rsidRDefault="00313745" w:rsidP="002C53C8">
            <w:pPr>
              <w:pStyle w:val="Tabletext"/>
              <w:rPr>
                <w:iCs/>
              </w:rPr>
            </w:pPr>
            <w:r w:rsidRPr="00006435">
              <w:rPr>
                <w:iCs/>
              </w:rPr>
              <w:t xml:space="preserve">The submission did not nominate TCZ IV 8mg/kg q4w as a relevant comparator (dose reduction to 4mg/kg q4w for </w:t>
            </w:r>
            <w:r w:rsidR="00AD01CD" w:rsidRPr="00006435">
              <w:rPr>
                <w:iCs/>
              </w:rPr>
              <w:t>adverse events), but included in</w:t>
            </w:r>
            <w:r w:rsidRPr="00006435">
              <w:rPr>
                <w:iCs/>
              </w:rPr>
              <w:t xml:space="preserve"> the clinical claim given the clinical evidence for TCZ was primarily for the IV formulation.</w:t>
            </w:r>
          </w:p>
        </w:tc>
      </w:tr>
      <w:tr w:rsidR="008B1757" w:rsidRPr="00006435" w:rsidTr="00F32D2F">
        <w:trPr>
          <w:cantSplit/>
        </w:trPr>
        <w:tc>
          <w:tcPr>
            <w:tcW w:w="1271" w:type="dxa"/>
            <w:shd w:val="clear" w:color="auto" w:fill="auto"/>
          </w:tcPr>
          <w:p w:rsidR="008B1757" w:rsidRPr="00006435" w:rsidRDefault="008B1757" w:rsidP="002C53C8">
            <w:pPr>
              <w:pStyle w:val="Tabletext"/>
            </w:pPr>
            <w:r w:rsidRPr="00006435">
              <w:t>Outcomes</w:t>
            </w:r>
          </w:p>
        </w:tc>
        <w:tc>
          <w:tcPr>
            <w:tcW w:w="7909" w:type="dxa"/>
            <w:shd w:val="clear" w:color="auto" w:fill="auto"/>
          </w:tcPr>
          <w:p w:rsidR="001E0BE8" w:rsidRPr="00006435" w:rsidRDefault="001E0BE8" w:rsidP="002C53C8">
            <w:pPr>
              <w:pStyle w:val="Tabletext"/>
            </w:pPr>
            <w:r w:rsidRPr="00006435">
              <w:t>ACR response (20%, 50%, 70%), at Week 12</w:t>
            </w:r>
            <w:r w:rsidR="00D96439" w:rsidRPr="00006435">
              <w:t xml:space="preserve"> and 24</w:t>
            </w:r>
            <w:r w:rsidRPr="00006435">
              <w:t>.</w:t>
            </w:r>
          </w:p>
          <w:p w:rsidR="008B1757" w:rsidRPr="00006435" w:rsidRDefault="001E0BE8" w:rsidP="002C53C8">
            <w:pPr>
              <w:pStyle w:val="Tabletext"/>
            </w:pPr>
            <w:r w:rsidRPr="00006435">
              <w:rPr>
                <w:iCs/>
              </w:rPr>
              <w:t>In its consideration of past submissions for RA, the PBAC had accepted that an ACR5</w:t>
            </w:r>
            <w:r w:rsidR="008B1B59" w:rsidRPr="00006435">
              <w:rPr>
                <w:iCs/>
              </w:rPr>
              <w:t>0</w:t>
            </w:r>
            <w:r w:rsidRPr="00006435">
              <w:rPr>
                <w:iCs/>
              </w:rPr>
              <w:t xml:space="preserve"> response was a reasonable treatment target, and is consistent with the PBS response criteria.  </w:t>
            </w:r>
            <w:r w:rsidR="00D96439" w:rsidRPr="00006435">
              <w:rPr>
                <w:iCs/>
              </w:rPr>
              <w:t xml:space="preserve">Given response to initial treatment is assessed after 12 weeks under the </w:t>
            </w:r>
            <w:r w:rsidRPr="00006435">
              <w:rPr>
                <w:iCs/>
              </w:rPr>
              <w:t>proposed listing</w:t>
            </w:r>
            <w:r w:rsidR="00D96439" w:rsidRPr="00006435">
              <w:rPr>
                <w:iCs/>
              </w:rPr>
              <w:t xml:space="preserve">, </w:t>
            </w:r>
            <w:r w:rsidR="00BC3813" w:rsidRPr="00006435">
              <w:rPr>
                <w:iCs/>
              </w:rPr>
              <w:t>ACR50 at Week 12 is the most relevant outcome</w:t>
            </w:r>
            <w:r w:rsidR="000A52B4" w:rsidRPr="00006435">
              <w:rPr>
                <w:iCs/>
              </w:rPr>
              <w:t>.</w:t>
            </w:r>
          </w:p>
        </w:tc>
      </w:tr>
      <w:tr w:rsidR="008B1757" w:rsidRPr="00006435" w:rsidTr="00F32D2F">
        <w:trPr>
          <w:cantSplit/>
        </w:trPr>
        <w:tc>
          <w:tcPr>
            <w:tcW w:w="1271" w:type="dxa"/>
            <w:shd w:val="clear" w:color="auto" w:fill="auto"/>
          </w:tcPr>
          <w:p w:rsidR="008B1757" w:rsidRPr="00006435" w:rsidRDefault="008B1757" w:rsidP="002C53C8">
            <w:pPr>
              <w:pStyle w:val="Tabletext"/>
            </w:pPr>
            <w:r w:rsidRPr="00006435">
              <w:t>Clinical claim</w:t>
            </w:r>
          </w:p>
        </w:tc>
        <w:tc>
          <w:tcPr>
            <w:tcW w:w="7909" w:type="dxa"/>
            <w:shd w:val="clear" w:color="auto" w:fill="auto"/>
          </w:tcPr>
          <w:p w:rsidR="00BE286C" w:rsidRPr="00006435" w:rsidRDefault="00BE286C" w:rsidP="002C53C8">
            <w:pPr>
              <w:pStyle w:val="Tabletext"/>
            </w:pPr>
            <w:r w:rsidRPr="00006435">
              <w:t>In severe RA, SAR is non-inferior in terms of efficacy and safety versus TCZ.</w:t>
            </w:r>
          </w:p>
          <w:p w:rsidR="008B1757" w:rsidRPr="00006435" w:rsidRDefault="00F32D2F" w:rsidP="002C53C8">
            <w:pPr>
              <w:pStyle w:val="Tabletext"/>
            </w:pPr>
            <w:r w:rsidRPr="00006435">
              <w:rPr>
                <w:iCs/>
              </w:rPr>
              <w:t>T</w:t>
            </w:r>
            <w:r w:rsidR="00BE286C" w:rsidRPr="00006435">
              <w:rPr>
                <w:iCs/>
              </w:rPr>
              <w:t>he majority of the evidence presented in the submission compared SAR 200mg q2w and TCZ IV 8mg/kg q4w</w:t>
            </w:r>
            <w:r w:rsidR="00E06400" w:rsidRPr="00006435">
              <w:rPr>
                <w:iCs/>
              </w:rPr>
              <w:t xml:space="preserve"> at Week 24</w:t>
            </w:r>
            <w:r w:rsidRPr="00006435">
              <w:rPr>
                <w:iCs/>
              </w:rPr>
              <w:t>.  T</w:t>
            </w:r>
            <w:r w:rsidR="00BE286C" w:rsidRPr="00006435">
              <w:rPr>
                <w:iCs/>
              </w:rPr>
              <w:t xml:space="preserve">he PBAC has previously accepted that TCZ SC 162mg </w:t>
            </w:r>
            <w:proofErr w:type="spellStart"/>
            <w:r w:rsidR="00BE286C" w:rsidRPr="00006435">
              <w:rPr>
                <w:iCs/>
              </w:rPr>
              <w:t>qw</w:t>
            </w:r>
            <w:proofErr w:type="spellEnd"/>
            <w:r w:rsidR="00BE286C" w:rsidRPr="00006435">
              <w:rPr>
                <w:iCs/>
              </w:rPr>
              <w:t xml:space="preserve"> is equivalent to TCZ IV 8mg/kg q4w.  The evidence presented also supported non-inferiority across the reduced dose regimens (SAR 150mg q2w, TCZ IV 4mg/kg q4w, and TCZ SC 162mg q2w).</w:t>
            </w:r>
          </w:p>
        </w:tc>
      </w:tr>
    </w:tbl>
    <w:p w:rsidR="000A6CB9" w:rsidRPr="00006435" w:rsidRDefault="000A6CB9" w:rsidP="002C53C8">
      <w:pPr>
        <w:pStyle w:val="TableFooter"/>
        <w:widowControl/>
      </w:pPr>
      <w:r w:rsidRPr="00006435">
        <w:t xml:space="preserve">Abbreviations: </w:t>
      </w:r>
      <w:proofErr w:type="spellStart"/>
      <w:r w:rsidRPr="00006435">
        <w:t>cDMARDs</w:t>
      </w:r>
      <w:proofErr w:type="spellEnd"/>
      <w:r w:rsidRPr="00006435">
        <w:t>=conventional disease-modifying anti-rheumatic drugs; SAR=</w:t>
      </w:r>
      <w:proofErr w:type="spellStart"/>
      <w:r w:rsidRPr="00006435">
        <w:t>sarilumab</w:t>
      </w:r>
      <w:proofErr w:type="spellEnd"/>
      <w:r w:rsidRPr="00006435">
        <w:t>; TCZ=</w:t>
      </w:r>
      <w:proofErr w:type="spellStart"/>
      <w:r w:rsidRPr="00006435">
        <w:t>tocilizumab</w:t>
      </w:r>
      <w:proofErr w:type="spellEnd"/>
      <w:r w:rsidRPr="00006435">
        <w:t xml:space="preserve">; SC=subcutaneous; IV=intravenous; ACR=American College of Rheumatology; </w:t>
      </w:r>
      <w:proofErr w:type="spellStart"/>
      <w:r w:rsidRPr="00006435">
        <w:t>qw</w:t>
      </w:r>
      <w:proofErr w:type="spellEnd"/>
      <w:r w:rsidRPr="00006435">
        <w:t>=every week; q2w=every second week; q4w=every four weeks;</w:t>
      </w:r>
    </w:p>
    <w:p w:rsidR="00DA7207" w:rsidRPr="00FE33C4" w:rsidRDefault="00BE286C" w:rsidP="00FE33C4">
      <w:pPr>
        <w:pStyle w:val="TableFooter"/>
        <w:widowControl/>
        <w:rPr>
          <w:sz w:val="20"/>
        </w:rPr>
      </w:pPr>
      <w:r w:rsidRPr="00006435">
        <w:t xml:space="preserve">Source: </w:t>
      </w:r>
      <w:r w:rsidR="008B1757" w:rsidRPr="00006435">
        <w:t>Table</w:t>
      </w:r>
      <w:r w:rsidRPr="00006435">
        <w:t xml:space="preserve"> 1.1</w:t>
      </w:r>
      <w:r w:rsidR="008B1757" w:rsidRPr="00006435">
        <w:t>, p</w:t>
      </w:r>
      <w:r w:rsidRPr="00006435">
        <w:t>2</w:t>
      </w:r>
      <w:r w:rsidR="008B1757" w:rsidRPr="00006435">
        <w:t xml:space="preserve"> of the submission.</w:t>
      </w:r>
    </w:p>
    <w:p w:rsidR="00B60939" w:rsidRPr="00006435" w:rsidRDefault="00B50DB8" w:rsidP="00127F36">
      <w:pPr>
        <w:pStyle w:val="PBACHeading1"/>
      </w:pPr>
      <w:bookmarkStart w:id="1" w:name="_Toc524441609"/>
      <w:r w:rsidRPr="00006435">
        <w:t>Requested listing</w:t>
      </w:r>
      <w:bookmarkEnd w:id="1"/>
    </w:p>
    <w:p w:rsidR="00907F2F" w:rsidRPr="00006435" w:rsidRDefault="0053532F" w:rsidP="002C53C8">
      <w:pPr>
        <w:pStyle w:val="ListParagraph"/>
        <w:widowControl/>
        <w:numPr>
          <w:ilvl w:val="1"/>
          <w:numId w:val="3"/>
        </w:numPr>
      </w:pPr>
      <w:r w:rsidRPr="00006435">
        <w:t xml:space="preserve">The Sponsor requested </w:t>
      </w:r>
      <w:r w:rsidR="007D2E88" w:rsidRPr="00006435">
        <w:t xml:space="preserve">PBS listing of SAR 200mg and 150mg formulations, as a prefilled syringe and auto-injector.  The listing of the 200mg formulation provides for initial (16 weeks) </w:t>
      </w:r>
      <w:r w:rsidRPr="00006435">
        <w:t>and continuing</w:t>
      </w:r>
      <w:r w:rsidR="007D2E88" w:rsidRPr="00006435">
        <w:t xml:space="preserve"> (24 weeks)</w:t>
      </w:r>
      <w:r w:rsidRPr="00006435">
        <w:t xml:space="preserve"> treatment</w:t>
      </w:r>
      <w:r w:rsidR="007D2E88" w:rsidRPr="00006435">
        <w:t>; the listing of the 150mg formulation provides for continuing (</w:t>
      </w:r>
      <w:r w:rsidR="007D2E88" w:rsidRPr="00006435">
        <w:rPr>
          <w:iCs/>
        </w:rPr>
        <w:t>maximum duration undefined</w:t>
      </w:r>
      <w:r w:rsidR="007D2E88" w:rsidRPr="00006435">
        <w:t>) treatment for patients with adverse events requiring temporary dose reduction.</w:t>
      </w:r>
    </w:p>
    <w:tbl>
      <w:tblPr>
        <w:tblW w:w="4984" w:type="pct"/>
        <w:tblInd w:w="28" w:type="dxa"/>
        <w:tblCellMar>
          <w:left w:w="28" w:type="dxa"/>
          <w:right w:w="28" w:type="dxa"/>
        </w:tblCellMar>
        <w:tblLook w:val="0000" w:firstRow="0" w:lastRow="0" w:firstColumn="0" w:lastColumn="0" w:noHBand="0" w:noVBand="0"/>
      </w:tblPr>
      <w:tblGrid>
        <w:gridCol w:w="1531"/>
        <w:gridCol w:w="1490"/>
        <w:gridCol w:w="828"/>
        <w:gridCol w:w="828"/>
        <w:gridCol w:w="830"/>
        <w:gridCol w:w="1368"/>
        <w:gridCol w:w="779"/>
        <w:gridCol w:w="1344"/>
      </w:tblGrid>
      <w:tr w:rsidR="003B1C2A" w:rsidRPr="00006435" w:rsidTr="00234930">
        <w:trPr>
          <w:cantSplit/>
          <w:trHeight w:val="463"/>
        </w:trPr>
        <w:tc>
          <w:tcPr>
            <w:tcW w:w="1679" w:type="pct"/>
            <w:gridSpan w:val="2"/>
            <w:tcBorders>
              <w:top w:val="single" w:sz="4" w:space="0" w:color="auto"/>
              <w:bottom w:val="single" w:sz="4" w:space="0" w:color="auto"/>
            </w:tcBorders>
            <w:vAlign w:val="center"/>
          </w:tcPr>
          <w:p w:rsidR="003B1C2A" w:rsidRPr="00006435" w:rsidRDefault="003B1C2A" w:rsidP="002C53C8">
            <w:pPr>
              <w:keepNext/>
              <w:widowControl/>
              <w:jc w:val="left"/>
              <w:rPr>
                <w:rFonts w:ascii="Arial Narrow" w:hAnsi="Arial Narrow"/>
                <w:b/>
                <w:sz w:val="20"/>
              </w:rPr>
            </w:pPr>
            <w:r w:rsidRPr="00006435">
              <w:rPr>
                <w:rFonts w:ascii="Arial Narrow" w:hAnsi="Arial Narrow"/>
                <w:b/>
                <w:sz w:val="20"/>
              </w:rPr>
              <w:lastRenderedPageBreak/>
              <w:t>Name, Restriction,</w:t>
            </w:r>
          </w:p>
          <w:p w:rsidR="003B1C2A" w:rsidRPr="00006435" w:rsidRDefault="003B1C2A" w:rsidP="002C53C8">
            <w:pPr>
              <w:keepNext/>
              <w:widowControl/>
              <w:jc w:val="left"/>
              <w:rPr>
                <w:rFonts w:ascii="Arial Narrow" w:hAnsi="Arial Narrow"/>
                <w:b/>
                <w:sz w:val="20"/>
              </w:rPr>
            </w:pPr>
            <w:r w:rsidRPr="00006435">
              <w:rPr>
                <w:rFonts w:ascii="Arial Narrow" w:hAnsi="Arial Narrow"/>
                <w:b/>
                <w:sz w:val="20"/>
              </w:rPr>
              <w:t>Manner of administration and form</w:t>
            </w:r>
          </w:p>
        </w:tc>
        <w:tc>
          <w:tcPr>
            <w:tcW w:w="460" w:type="pct"/>
            <w:tcBorders>
              <w:top w:val="single" w:sz="4" w:space="0" w:color="auto"/>
              <w:bottom w:val="single" w:sz="4" w:space="0" w:color="auto"/>
            </w:tcBorders>
            <w:vAlign w:val="center"/>
          </w:tcPr>
          <w:p w:rsidR="003B1C2A" w:rsidRPr="00006435" w:rsidRDefault="003B1C2A" w:rsidP="002C53C8">
            <w:pPr>
              <w:keepNext/>
              <w:widowControl/>
              <w:jc w:val="center"/>
              <w:rPr>
                <w:rFonts w:ascii="Arial Narrow" w:hAnsi="Arial Narrow"/>
                <w:b/>
                <w:sz w:val="20"/>
              </w:rPr>
            </w:pPr>
            <w:r w:rsidRPr="00006435">
              <w:rPr>
                <w:rFonts w:ascii="Arial Narrow" w:hAnsi="Arial Narrow"/>
                <w:b/>
                <w:sz w:val="20"/>
              </w:rPr>
              <w:t>Max.</w:t>
            </w:r>
          </w:p>
          <w:p w:rsidR="003B1C2A" w:rsidRPr="00006435" w:rsidRDefault="003B1C2A" w:rsidP="002C53C8">
            <w:pPr>
              <w:keepNext/>
              <w:widowControl/>
              <w:jc w:val="center"/>
              <w:rPr>
                <w:rFonts w:ascii="Arial Narrow" w:hAnsi="Arial Narrow"/>
                <w:b/>
                <w:sz w:val="20"/>
              </w:rPr>
            </w:pPr>
            <w:r w:rsidRPr="00006435">
              <w:rPr>
                <w:rFonts w:ascii="Arial Narrow" w:hAnsi="Arial Narrow"/>
                <w:b/>
                <w:sz w:val="20"/>
              </w:rPr>
              <w:t>Qty (packs)</w:t>
            </w:r>
          </w:p>
        </w:tc>
        <w:tc>
          <w:tcPr>
            <w:tcW w:w="460" w:type="pct"/>
            <w:tcBorders>
              <w:top w:val="single" w:sz="4" w:space="0" w:color="auto"/>
              <w:bottom w:val="single" w:sz="4" w:space="0" w:color="auto"/>
            </w:tcBorders>
            <w:vAlign w:val="center"/>
          </w:tcPr>
          <w:p w:rsidR="003B1C2A" w:rsidRPr="00006435" w:rsidRDefault="003B1C2A" w:rsidP="002C53C8">
            <w:pPr>
              <w:keepNext/>
              <w:widowControl/>
              <w:jc w:val="center"/>
              <w:rPr>
                <w:rFonts w:ascii="Arial Narrow" w:hAnsi="Arial Narrow"/>
                <w:b/>
                <w:sz w:val="20"/>
              </w:rPr>
            </w:pPr>
            <w:r w:rsidRPr="00006435">
              <w:rPr>
                <w:rFonts w:ascii="Arial Narrow" w:hAnsi="Arial Narrow"/>
                <w:b/>
                <w:sz w:val="20"/>
              </w:rPr>
              <w:t>Max.</w:t>
            </w:r>
          </w:p>
          <w:p w:rsidR="003B1C2A" w:rsidRPr="00006435" w:rsidRDefault="003B1C2A" w:rsidP="002C53C8">
            <w:pPr>
              <w:keepNext/>
              <w:widowControl/>
              <w:jc w:val="center"/>
              <w:rPr>
                <w:rFonts w:ascii="Arial Narrow" w:hAnsi="Arial Narrow" w:cs="Times New Roman"/>
                <w:b/>
                <w:sz w:val="20"/>
              </w:rPr>
            </w:pPr>
            <w:r w:rsidRPr="00006435">
              <w:rPr>
                <w:rFonts w:ascii="Arial Narrow" w:hAnsi="Arial Narrow"/>
                <w:b/>
                <w:sz w:val="20"/>
              </w:rPr>
              <w:t>Qty (units)</w:t>
            </w:r>
          </w:p>
        </w:tc>
        <w:tc>
          <w:tcPr>
            <w:tcW w:w="461" w:type="pct"/>
            <w:tcBorders>
              <w:top w:val="single" w:sz="4" w:space="0" w:color="auto"/>
              <w:bottom w:val="single" w:sz="4" w:space="0" w:color="auto"/>
            </w:tcBorders>
            <w:vAlign w:val="center"/>
          </w:tcPr>
          <w:p w:rsidR="003B1C2A" w:rsidRPr="00006435" w:rsidRDefault="003B1C2A" w:rsidP="002C53C8">
            <w:pPr>
              <w:keepNext/>
              <w:widowControl/>
              <w:jc w:val="center"/>
              <w:rPr>
                <w:rFonts w:ascii="Arial Narrow" w:hAnsi="Arial Narrow"/>
                <w:b/>
                <w:sz w:val="20"/>
              </w:rPr>
            </w:pPr>
            <w:r w:rsidRPr="00006435">
              <w:rPr>
                <w:rFonts w:ascii="Arial Narrow" w:hAnsi="Arial Narrow" w:cs="Times New Roman"/>
                <w:b/>
                <w:sz w:val="20"/>
              </w:rPr>
              <w:t>№</w:t>
            </w:r>
            <w:r w:rsidRPr="00006435">
              <w:rPr>
                <w:rFonts w:ascii="Arial Narrow" w:hAnsi="Arial Narrow"/>
                <w:b/>
                <w:sz w:val="20"/>
              </w:rPr>
              <w:t>.of</w:t>
            </w:r>
          </w:p>
          <w:p w:rsidR="003B1C2A" w:rsidRPr="00006435" w:rsidRDefault="003B1C2A" w:rsidP="002C53C8">
            <w:pPr>
              <w:keepNext/>
              <w:widowControl/>
              <w:jc w:val="center"/>
              <w:rPr>
                <w:rFonts w:ascii="Arial Narrow" w:hAnsi="Arial Narrow"/>
                <w:b/>
                <w:sz w:val="20"/>
              </w:rPr>
            </w:pPr>
            <w:r w:rsidRPr="00006435">
              <w:rPr>
                <w:rFonts w:ascii="Arial Narrow" w:hAnsi="Arial Narrow"/>
                <w:b/>
                <w:sz w:val="20"/>
              </w:rPr>
              <w:t>Rpts</w:t>
            </w:r>
          </w:p>
        </w:tc>
        <w:tc>
          <w:tcPr>
            <w:tcW w:w="760" w:type="pct"/>
            <w:tcBorders>
              <w:top w:val="single" w:sz="4" w:space="0" w:color="auto"/>
              <w:bottom w:val="single" w:sz="4" w:space="0" w:color="auto"/>
            </w:tcBorders>
            <w:vAlign w:val="center"/>
          </w:tcPr>
          <w:p w:rsidR="003B1C2A" w:rsidRPr="00006435" w:rsidRDefault="003B1C2A" w:rsidP="002C53C8">
            <w:pPr>
              <w:keepNext/>
              <w:widowControl/>
              <w:jc w:val="center"/>
              <w:rPr>
                <w:rFonts w:ascii="Arial Narrow" w:hAnsi="Arial Narrow"/>
                <w:b/>
                <w:sz w:val="20"/>
              </w:rPr>
            </w:pPr>
            <w:r w:rsidRPr="00006435">
              <w:rPr>
                <w:rFonts w:ascii="Arial Narrow" w:hAnsi="Arial Narrow"/>
                <w:b/>
                <w:sz w:val="20"/>
              </w:rPr>
              <w:t>Dispensed Price for Max. Qty</w:t>
            </w:r>
          </w:p>
        </w:tc>
        <w:tc>
          <w:tcPr>
            <w:tcW w:w="1180" w:type="pct"/>
            <w:gridSpan w:val="2"/>
            <w:tcBorders>
              <w:top w:val="single" w:sz="4" w:space="0" w:color="auto"/>
              <w:bottom w:val="single" w:sz="4" w:space="0" w:color="auto"/>
            </w:tcBorders>
            <w:vAlign w:val="center"/>
          </w:tcPr>
          <w:p w:rsidR="003B1C2A" w:rsidRPr="00006435" w:rsidRDefault="003B1C2A" w:rsidP="002C53C8">
            <w:pPr>
              <w:keepNext/>
              <w:widowControl/>
              <w:jc w:val="center"/>
              <w:rPr>
                <w:rFonts w:ascii="Arial Narrow" w:hAnsi="Arial Narrow"/>
                <w:b/>
                <w:sz w:val="20"/>
              </w:rPr>
            </w:pPr>
            <w:r w:rsidRPr="00006435">
              <w:rPr>
                <w:rFonts w:ascii="Arial Narrow" w:hAnsi="Arial Narrow"/>
                <w:b/>
                <w:sz w:val="20"/>
              </w:rPr>
              <w:t>Proprietary Name and Manufacturer</w:t>
            </w:r>
          </w:p>
        </w:tc>
      </w:tr>
      <w:tr w:rsidR="00234930" w:rsidRPr="00006435" w:rsidTr="00234930">
        <w:trPr>
          <w:cantSplit/>
          <w:trHeight w:val="70"/>
        </w:trPr>
        <w:tc>
          <w:tcPr>
            <w:tcW w:w="1679" w:type="pct"/>
            <w:gridSpan w:val="2"/>
            <w:vAlign w:val="center"/>
          </w:tcPr>
          <w:p w:rsidR="00234930" w:rsidRPr="00006435" w:rsidRDefault="00234930" w:rsidP="002C53C8">
            <w:pPr>
              <w:keepNext/>
              <w:widowControl/>
              <w:jc w:val="left"/>
              <w:rPr>
                <w:rFonts w:ascii="Arial Narrow" w:hAnsi="Arial Narrow"/>
                <w:sz w:val="20"/>
                <w:szCs w:val="20"/>
              </w:rPr>
            </w:pPr>
            <w:r w:rsidRPr="00006435">
              <w:rPr>
                <w:rFonts w:ascii="Arial Narrow" w:hAnsi="Arial Narrow"/>
                <w:sz w:val="20"/>
                <w:szCs w:val="20"/>
                <w:u w:val="single"/>
              </w:rPr>
              <w:t>Initial treatment 1 or 2, balance of supply</w:t>
            </w:r>
          </w:p>
        </w:tc>
        <w:tc>
          <w:tcPr>
            <w:tcW w:w="460" w:type="pct"/>
            <w:vAlign w:val="center"/>
          </w:tcPr>
          <w:p w:rsidR="00234930" w:rsidRPr="00006435" w:rsidRDefault="00234930" w:rsidP="002C53C8">
            <w:pPr>
              <w:keepNext/>
              <w:widowControl/>
              <w:jc w:val="center"/>
              <w:rPr>
                <w:rFonts w:ascii="Arial Narrow" w:hAnsi="Arial Narrow"/>
                <w:sz w:val="20"/>
              </w:rPr>
            </w:pPr>
          </w:p>
        </w:tc>
        <w:tc>
          <w:tcPr>
            <w:tcW w:w="460" w:type="pct"/>
          </w:tcPr>
          <w:p w:rsidR="00234930" w:rsidRPr="00006435" w:rsidRDefault="00234930" w:rsidP="002C53C8">
            <w:pPr>
              <w:keepNext/>
              <w:widowControl/>
              <w:jc w:val="center"/>
              <w:rPr>
                <w:rFonts w:ascii="Arial Narrow" w:hAnsi="Arial Narrow"/>
                <w:sz w:val="20"/>
              </w:rPr>
            </w:pPr>
          </w:p>
        </w:tc>
        <w:tc>
          <w:tcPr>
            <w:tcW w:w="461" w:type="pct"/>
            <w:vAlign w:val="center"/>
          </w:tcPr>
          <w:p w:rsidR="00234930" w:rsidRPr="00006435" w:rsidRDefault="00234930" w:rsidP="002C53C8">
            <w:pPr>
              <w:keepNext/>
              <w:widowControl/>
              <w:jc w:val="center"/>
              <w:rPr>
                <w:rFonts w:ascii="Arial Narrow" w:hAnsi="Arial Narrow"/>
                <w:sz w:val="20"/>
              </w:rPr>
            </w:pPr>
          </w:p>
        </w:tc>
        <w:tc>
          <w:tcPr>
            <w:tcW w:w="760" w:type="pct"/>
            <w:vAlign w:val="center"/>
          </w:tcPr>
          <w:p w:rsidR="00234930" w:rsidRPr="00006435" w:rsidRDefault="00234930" w:rsidP="002C53C8">
            <w:pPr>
              <w:keepNext/>
              <w:widowControl/>
              <w:jc w:val="center"/>
              <w:rPr>
                <w:rFonts w:ascii="Arial Narrow" w:hAnsi="Arial Narrow"/>
                <w:sz w:val="20"/>
              </w:rPr>
            </w:pPr>
          </w:p>
        </w:tc>
        <w:tc>
          <w:tcPr>
            <w:tcW w:w="433" w:type="pct"/>
            <w:vMerge w:val="restart"/>
            <w:vAlign w:val="center"/>
          </w:tcPr>
          <w:p w:rsidR="00234930" w:rsidRPr="00006435" w:rsidRDefault="00234930" w:rsidP="002C53C8">
            <w:pPr>
              <w:keepNext/>
              <w:widowControl/>
              <w:jc w:val="center"/>
              <w:rPr>
                <w:rFonts w:ascii="Arial Narrow" w:hAnsi="Arial Narrow"/>
                <w:sz w:val="20"/>
                <w:szCs w:val="20"/>
              </w:rPr>
            </w:pPr>
            <w:proofErr w:type="spellStart"/>
            <w:r w:rsidRPr="00006435">
              <w:rPr>
                <w:rFonts w:ascii="Arial Narrow" w:hAnsi="Arial Narrow"/>
                <w:sz w:val="20"/>
                <w:szCs w:val="20"/>
              </w:rPr>
              <w:t>Kevzara</w:t>
            </w:r>
            <w:proofErr w:type="spellEnd"/>
            <w:r w:rsidRPr="00006435">
              <w:rPr>
                <w:rFonts w:ascii="Arial Narrow" w:hAnsi="Arial Narrow"/>
                <w:sz w:val="20"/>
                <w:szCs w:val="20"/>
              </w:rPr>
              <w:t>®</w:t>
            </w:r>
          </w:p>
        </w:tc>
        <w:tc>
          <w:tcPr>
            <w:tcW w:w="747" w:type="pct"/>
            <w:vMerge w:val="restart"/>
            <w:vAlign w:val="center"/>
          </w:tcPr>
          <w:p w:rsidR="00234930" w:rsidRPr="00006435" w:rsidRDefault="003223B8" w:rsidP="002C53C8">
            <w:pPr>
              <w:keepNext/>
              <w:widowControl/>
              <w:rPr>
                <w:rFonts w:ascii="Arial Narrow" w:hAnsi="Arial Narrow"/>
                <w:sz w:val="20"/>
                <w:szCs w:val="20"/>
              </w:rPr>
            </w:pPr>
            <w:r w:rsidRPr="00006435">
              <w:rPr>
                <w:rFonts w:ascii="Arial Narrow" w:hAnsi="Arial Narrow"/>
                <w:sz w:val="20"/>
                <w:szCs w:val="20"/>
              </w:rPr>
              <w:t>Sanofi-Aventis</w:t>
            </w:r>
          </w:p>
        </w:tc>
      </w:tr>
      <w:tr w:rsidR="00234930" w:rsidRPr="00006435" w:rsidTr="00234930">
        <w:trPr>
          <w:cantSplit/>
          <w:trHeight w:val="80"/>
        </w:trPr>
        <w:tc>
          <w:tcPr>
            <w:tcW w:w="1679" w:type="pct"/>
            <w:gridSpan w:val="2"/>
            <w:vAlign w:val="center"/>
          </w:tcPr>
          <w:p w:rsidR="00234930" w:rsidRPr="00006435" w:rsidRDefault="00234930" w:rsidP="002C53C8">
            <w:pPr>
              <w:keepNext/>
              <w:widowControl/>
              <w:jc w:val="left"/>
              <w:rPr>
                <w:rFonts w:ascii="Arial Narrow" w:hAnsi="Arial Narrow"/>
                <w:smallCaps/>
                <w:sz w:val="20"/>
                <w:szCs w:val="20"/>
              </w:rPr>
            </w:pPr>
            <w:r w:rsidRPr="00006435">
              <w:rPr>
                <w:rFonts w:ascii="Arial Narrow" w:hAnsi="Arial Narrow"/>
                <w:sz w:val="20"/>
                <w:szCs w:val="20"/>
              </w:rPr>
              <w:t>SARILUMAB, prefilled syringe, 200mg</w:t>
            </w:r>
          </w:p>
        </w:tc>
        <w:tc>
          <w:tcPr>
            <w:tcW w:w="4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3</w:t>
            </w:r>
          </w:p>
        </w:tc>
        <w:tc>
          <w:tcPr>
            <w:tcW w:w="7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w:t>
            </w:r>
            <w:r w:rsidR="00B049C2">
              <w:rPr>
                <w:rFonts w:ascii="Arial Narrow" w:hAnsi="Arial Narrow"/>
                <w:noProof/>
                <w:color w:val="000000"/>
                <w:sz w:val="20"/>
                <w:szCs w:val="20"/>
                <w:highlight w:val="black"/>
              </w:rPr>
              <w:t>''''''''''''''''</w:t>
            </w:r>
            <w:r w:rsidR="00EC15A1" w:rsidRPr="00006435">
              <w:rPr>
                <w:rFonts w:ascii="Arial Narrow" w:hAnsi="Arial Narrow"/>
                <w:sz w:val="20"/>
                <w:szCs w:val="20"/>
                <w:vertAlign w:val="superscript"/>
              </w:rPr>
              <w:t>a</w:t>
            </w:r>
          </w:p>
        </w:tc>
        <w:tc>
          <w:tcPr>
            <w:tcW w:w="433" w:type="pct"/>
            <w:vMerge/>
            <w:vAlign w:val="center"/>
          </w:tcPr>
          <w:p w:rsidR="00234930" w:rsidRPr="00006435" w:rsidRDefault="00234930" w:rsidP="002C53C8">
            <w:pPr>
              <w:keepNext/>
              <w:widowControl/>
              <w:jc w:val="center"/>
              <w:rPr>
                <w:rFonts w:ascii="Arial Narrow" w:hAnsi="Arial Narrow"/>
                <w:sz w:val="20"/>
              </w:rPr>
            </w:pPr>
          </w:p>
        </w:tc>
        <w:tc>
          <w:tcPr>
            <w:tcW w:w="747" w:type="pct"/>
            <w:vMerge/>
            <w:vAlign w:val="center"/>
          </w:tcPr>
          <w:p w:rsidR="00234930" w:rsidRPr="00006435" w:rsidRDefault="00234930" w:rsidP="002C53C8">
            <w:pPr>
              <w:keepNext/>
              <w:widowControl/>
              <w:jc w:val="center"/>
              <w:rPr>
                <w:rFonts w:ascii="Arial Narrow" w:hAnsi="Arial Narrow"/>
                <w:sz w:val="20"/>
              </w:rPr>
            </w:pPr>
          </w:p>
        </w:tc>
      </w:tr>
      <w:tr w:rsidR="00234930" w:rsidRPr="00006435" w:rsidTr="00234930">
        <w:trPr>
          <w:cantSplit/>
          <w:trHeight w:val="191"/>
        </w:trPr>
        <w:tc>
          <w:tcPr>
            <w:tcW w:w="1679" w:type="pct"/>
            <w:gridSpan w:val="2"/>
            <w:vAlign w:val="center"/>
          </w:tcPr>
          <w:p w:rsidR="00234930" w:rsidRPr="00006435" w:rsidRDefault="00234930" w:rsidP="002C53C8">
            <w:pPr>
              <w:keepNext/>
              <w:widowControl/>
              <w:jc w:val="left"/>
              <w:rPr>
                <w:rFonts w:ascii="Arial Narrow" w:hAnsi="Arial Narrow"/>
                <w:smallCaps/>
                <w:sz w:val="20"/>
                <w:szCs w:val="20"/>
              </w:rPr>
            </w:pPr>
            <w:r w:rsidRPr="00006435">
              <w:rPr>
                <w:rFonts w:ascii="Arial Narrow" w:hAnsi="Arial Narrow"/>
                <w:sz w:val="20"/>
                <w:szCs w:val="20"/>
              </w:rPr>
              <w:t>SARILUMAB, auto-injector, 200mg</w:t>
            </w:r>
          </w:p>
        </w:tc>
        <w:tc>
          <w:tcPr>
            <w:tcW w:w="4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3</w:t>
            </w:r>
          </w:p>
        </w:tc>
        <w:tc>
          <w:tcPr>
            <w:tcW w:w="7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w:t>
            </w:r>
            <w:r w:rsidR="00B049C2">
              <w:rPr>
                <w:rFonts w:ascii="Arial Narrow" w:hAnsi="Arial Narrow"/>
                <w:noProof/>
                <w:color w:val="000000"/>
                <w:sz w:val="20"/>
                <w:szCs w:val="20"/>
                <w:highlight w:val="black"/>
              </w:rPr>
              <w:t>'''''''''''''''''</w:t>
            </w:r>
            <w:r w:rsidR="00EC15A1" w:rsidRPr="00006435">
              <w:rPr>
                <w:rFonts w:ascii="Arial Narrow" w:hAnsi="Arial Narrow"/>
                <w:sz w:val="20"/>
                <w:szCs w:val="20"/>
                <w:vertAlign w:val="superscript"/>
              </w:rPr>
              <w:t>a</w:t>
            </w:r>
          </w:p>
        </w:tc>
        <w:tc>
          <w:tcPr>
            <w:tcW w:w="433" w:type="pct"/>
            <w:vMerge/>
            <w:vAlign w:val="center"/>
          </w:tcPr>
          <w:p w:rsidR="00234930" w:rsidRPr="00006435" w:rsidRDefault="00234930" w:rsidP="002C53C8">
            <w:pPr>
              <w:keepNext/>
              <w:widowControl/>
              <w:jc w:val="center"/>
              <w:rPr>
                <w:rFonts w:ascii="Arial Narrow" w:hAnsi="Arial Narrow"/>
                <w:sz w:val="20"/>
              </w:rPr>
            </w:pPr>
          </w:p>
        </w:tc>
        <w:tc>
          <w:tcPr>
            <w:tcW w:w="747" w:type="pct"/>
            <w:vMerge/>
            <w:vAlign w:val="center"/>
          </w:tcPr>
          <w:p w:rsidR="00234930" w:rsidRPr="00006435" w:rsidRDefault="00234930" w:rsidP="002C53C8">
            <w:pPr>
              <w:keepNext/>
              <w:widowControl/>
              <w:jc w:val="center"/>
              <w:rPr>
                <w:rFonts w:ascii="Arial Narrow" w:hAnsi="Arial Narrow"/>
                <w:sz w:val="20"/>
              </w:rPr>
            </w:pPr>
          </w:p>
        </w:tc>
      </w:tr>
      <w:tr w:rsidR="00234930" w:rsidRPr="00006435" w:rsidTr="00234930">
        <w:trPr>
          <w:cantSplit/>
          <w:trHeight w:val="80"/>
        </w:trPr>
        <w:tc>
          <w:tcPr>
            <w:tcW w:w="1679" w:type="pct"/>
            <w:gridSpan w:val="2"/>
          </w:tcPr>
          <w:p w:rsidR="003223B8" w:rsidRPr="00006435" w:rsidRDefault="003223B8" w:rsidP="002C53C8">
            <w:pPr>
              <w:keepNext/>
              <w:widowControl/>
              <w:jc w:val="left"/>
              <w:rPr>
                <w:rFonts w:ascii="Arial Narrow" w:hAnsi="Arial Narrow"/>
                <w:sz w:val="20"/>
                <w:szCs w:val="20"/>
                <w:u w:val="single"/>
              </w:rPr>
            </w:pPr>
          </w:p>
          <w:p w:rsidR="00234930" w:rsidRPr="00006435" w:rsidRDefault="00234930" w:rsidP="002C53C8">
            <w:pPr>
              <w:keepNext/>
              <w:widowControl/>
              <w:jc w:val="left"/>
              <w:rPr>
                <w:rFonts w:ascii="Arial Narrow" w:hAnsi="Arial Narrow"/>
                <w:smallCaps/>
                <w:sz w:val="20"/>
                <w:szCs w:val="20"/>
              </w:rPr>
            </w:pPr>
            <w:r w:rsidRPr="00006435">
              <w:rPr>
                <w:rFonts w:ascii="Arial Narrow" w:hAnsi="Arial Narrow"/>
                <w:sz w:val="20"/>
                <w:szCs w:val="20"/>
                <w:u w:val="single"/>
              </w:rPr>
              <w:t>Continuing treatment, balance of supply</w:t>
            </w:r>
          </w:p>
        </w:tc>
        <w:tc>
          <w:tcPr>
            <w:tcW w:w="460" w:type="pct"/>
            <w:vAlign w:val="center"/>
          </w:tcPr>
          <w:p w:rsidR="00234930" w:rsidRPr="00006435" w:rsidRDefault="00234930" w:rsidP="002C53C8">
            <w:pPr>
              <w:keepNext/>
              <w:widowControl/>
              <w:jc w:val="center"/>
              <w:rPr>
                <w:rFonts w:ascii="Arial Narrow" w:hAnsi="Arial Narrow"/>
                <w:sz w:val="20"/>
              </w:rPr>
            </w:pPr>
          </w:p>
        </w:tc>
        <w:tc>
          <w:tcPr>
            <w:tcW w:w="460" w:type="pct"/>
            <w:vAlign w:val="center"/>
          </w:tcPr>
          <w:p w:rsidR="00234930" w:rsidRPr="00006435" w:rsidRDefault="00234930" w:rsidP="002C53C8">
            <w:pPr>
              <w:keepNext/>
              <w:widowControl/>
              <w:jc w:val="center"/>
              <w:rPr>
                <w:rFonts w:ascii="Arial Narrow" w:hAnsi="Arial Narrow"/>
                <w:sz w:val="20"/>
              </w:rPr>
            </w:pPr>
          </w:p>
        </w:tc>
        <w:tc>
          <w:tcPr>
            <w:tcW w:w="461" w:type="pct"/>
            <w:vAlign w:val="center"/>
          </w:tcPr>
          <w:p w:rsidR="00234930" w:rsidRPr="00006435" w:rsidRDefault="00234930" w:rsidP="002C53C8">
            <w:pPr>
              <w:keepNext/>
              <w:widowControl/>
              <w:jc w:val="center"/>
              <w:rPr>
                <w:rFonts w:ascii="Arial Narrow" w:hAnsi="Arial Narrow"/>
                <w:sz w:val="20"/>
              </w:rPr>
            </w:pPr>
          </w:p>
        </w:tc>
        <w:tc>
          <w:tcPr>
            <w:tcW w:w="760" w:type="pct"/>
            <w:vAlign w:val="center"/>
          </w:tcPr>
          <w:p w:rsidR="00234930" w:rsidRPr="00006435" w:rsidRDefault="00234930" w:rsidP="002C53C8">
            <w:pPr>
              <w:keepNext/>
              <w:widowControl/>
              <w:jc w:val="center"/>
              <w:rPr>
                <w:rFonts w:ascii="Arial Narrow" w:hAnsi="Arial Narrow"/>
                <w:sz w:val="20"/>
              </w:rPr>
            </w:pPr>
          </w:p>
        </w:tc>
        <w:tc>
          <w:tcPr>
            <w:tcW w:w="433" w:type="pct"/>
            <w:vMerge/>
            <w:vAlign w:val="center"/>
          </w:tcPr>
          <w:p w:rsidR="00234930" w:rsidRPr="00006435" w:rsidRDefault="00234930" w:rsidP="002C53C8">
            <w:pPr>
              <w:keepNext/>
              <w:widowControl/>
              <w:jc w:val="center"/>
              <w:rPr>
                <w:rFonts w:ascii="Arial Narrow" w:hAnsi="Arial Narrow"/>
                <w:sz w:val="20"/>
              </w:rPr>
            </w:pPr>
          </w:p>
        </w:tc>
        <w:tc>
          <w:tcPr>
            <w:tcW w:w="747" w:type="pct"/>
            <w:vMerge/>
            <w:vAlign w:val="center"/>
          </w:tcPr>
          <w:p w:rsidR="00234930" w:rsidRPr="00006435" w:rsidRDefault="00234930" w:rsidP="002C53C8">
            <w:pPr>
              <w:keepNext/>
              <w:widowControl/>
              <w:jc w:val="center"/>
              <w:rPr>
                <w:rFonts w:ascii="Arial Narrow" w:hAnsi="Arial Narrow"/>
                <w:sz w:val="20"/>
              </w:rPr>
            </w:pPr>
          </w:p>
        </w:tc>
      </w:tr>
      <w:tr w:rsidR="00234930" w:rsidRPr="00006435" w:rsidTr="00234930">
        <w:trPr>
          <w:cantSplit/>
          <w:trHeight w:val="80"/>
        </w:trPr>
        <w:tc>
          <w:tcPr>
            <w:tcW w:w="1679" w:type="pct"/>
            <w:gridSpan w:val="2"/>
            <w:vAlign w:val="center"/>
          </w:tcPr>
          <w:p w:rsidR="00234930" w:rsidRPr="00006435" w:rsidRDefault="00234930" w:rsidP="002C53C8">
            <w:pPr>
              <w:keepNext/>
              <w:widowControl/>
              <w:jc w:val="left"/>
              <w:rPr>
                <w:rFonts w:ascii="Arial Narrow" w:hAnsi="Arial Narrow"/>
                <w:smallCaps/>
                <w:sz w:val="20"/>
                <w:szCs w:val="20"/>
              </w:rPr>
            </w:pPr>
            <w:r w:rsidRPr="00006435">
              <w:rPr>
                <w:rFonts w:ascii="Arial Narrow" w:hAnsi="Arial Narrow"/>
                <w:sz w:val="20"/>
                <w:szCs w:val="20"/>
              </w:rPr>
              <w:t>SARILUMAB, prefilled syringe, 200mg</w:t>
            </w:r>
          </w:p>
        </w:tc>
        <w:tc>
          <w:tcPr>
            <w:tcW w:w="4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234930" w:rsidRPr="00006435" w:rsidRDefault="00234930" w:rsidP="002C53C8">
            <w:pPr>
              <w:keepNext/>
              <w:widowControl/>
              <w:jc w:val="center"/>
              <w:rPr>
                <w:rFonts w:ascii="Arial Narrow" w:hAnsi="Arial Narrow"/>
                <w:sz w:val="20"/>
                <w:szCs w:val="20"/>
              </w:rPr>
            </w:pPr>
            <w:r w:rsidRPr="00006435">
              <w:rPr>
                <w:rFonts w:ascii="Arial Narrow" w:hAnsi="Arial Narrow"/>
                <w:sz w:val="20"/>
                <w:szCs w:val="20"/>
              </w:rPr>
              <w:t>5</w:t>
            </w:r>
          </w:p>
        </w:tc>
        <w:tc>
          <w:tcPr>
            <w:tcW w:w="760" w:type="pct"/>
            <w:vAlign w:val="center"/>
          </w:tcPr>
          <w:p w:rsidR="00234930" w:rsidRPr="00006435" w:rsidRDefault="00FE33C4" w:rsidP="002C53C8">
            <w:pPr>
              <w:keepNext/>
              <w:widowControl/>
              <w:jc w:val="center"/>
              <w:rPr>
                <w:rFonts w:ascii="Arial Narrow" w:hAnsi="Arial Narrow"/>
                <w:sz w:val="20"/>
                <w:szCs w:val="20"/>
              </w:rPr>
            </w:pPr>
            <w:r w:rsidRPr="00006435">
              <w:rPr>
                <w:rFonts w:ascii="Arial Narrow" w:hAnsi="Arial Narrow"/>
                <w:sz w:val="20"/>
                <w:szCs w:val="20"/>
              </w:rPr>
              <w:t>$</w:t>
            </w:r>
            <w:r w:rsidR="00B049C2">
              <w:rPr>
                <w:rFonts w:ascii="Arial Narrow" w:hAnsi="Arial Narrow"/>
                <w:noProof/>
                <w:color w:val="000000"/>
                <w:sz w:val="20"/>
                <w:szCs w:val="20"/>
                <w:highlight w:val="black"/>
              </w:rPr>
              <w:t>'''''''''''''''</w:t>
            </w:r>
            <w:r w:rsidRPr="00006435">
              <w:rPr>
                <w:rFonts w:ascii="Arial Narrow" w:hAnsi="Arial Narrow"/>
                <w:sz w:val="20"/>
                <w:szCs w:val="20"/>
                <w:vertAlign w:val="superscript"/>
              </w:rPr>
              <w:t>a</w:t>
            </w:r>
          </w:p>
        </w:tc>
        <w:tc>
          <w:tcPr>
            <w:tcW w:w="433" w:type="pct"/>
            <w:vMerge/>
            <w:vAlign w:val="center"/>
          </w:tcPr>
          <w:p w:rsidR="00234930" w:rsidRPr="00006435" w:rsidRDefault="00234930" w:rsidP="002C53C8">
            <w:pPr>
              <w:keepNext/>
              <w:widowControl/>
              <w:jc w:val="center"/>
              <w:rPr>
                <w:rFonts w:ascii="Arial Narrow" w:hAnsi="Arial Narrow"/>
                <w:sz w:val="20"/>
              </w:rPr>
            </w:pPr>
          </w:p>
        </w:tc>
        <w:tc>
          <w:tcPr>
            <w:tcW w:w="747" w:type="pct"/>
            <w:vMerge/>
            <w:vAlign w:val="center"/>
          </w:tcPr>
          <w:p w:rsidR="00234930" w:rsidRPr="00006435" w:rsidRDefault="00234930" w:rsidP="002C53C8">
            <w:pPr>
              <w:keepNext/>
              <w:widowControl/>
              <w:jc w:val="center"/>
              <w:rPr>
                <w:rFonts w:ascii="Arial Narrow" w:hAnsi="Arial Narrow"/>
                <w:sz w:val="20"/>
              </w:rPr>
            </w:pPr>
          </w:p>
        </w:tc>
      </w:tr>
      <w:tr w:rsidR="00FE33C4" w:rsidRPr="00006435" w:rsidTr="00C1405B">
        <w:trPr>
          <w:cantSplit/>
          <w:trHeight w:val="247"/>
        </w:trPr>
        <w:tc>
          <w:tcPr>
            <w:tcW w:w="1679" w:type="pct"/>
            <w:gridSpan w:val="2"/>
            <w:vAlign w:val="center"/>
          </w:tcPr>
          <w:p w:rsidR="00FE33C4" w:rsidRPr="00006435" w:rsidRDefault="00FE33C4" w:rsidP="00FE33C4">
            <w:pPr>
              <w:keepNext/>
              <w:widowControl/>
              <w:jc w:val="left"/>
              <w:rPr>
                <w:rFonts w:ascii="Arial Narrow" w:hAnsi="Arial Narrow"/>
                <w:smallCaps/>
                <w:sz w:val="20"/>
                <w:szCs w:val="20"/>
              </w:rPr>
            </w:pPr>
            <w:r w:rsidRPr="00006435">
              <w:rPr>
                <w:rFonts w:ascii="Arial Narrow" w:hAnsi="Arial Narrow"/>
                <w:sz w:val="20"/>
                <w:szCs w:val="20"/>
              </w:rPr>
              <w:t>SARILUMAB, auto-injector, 200mg</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5</w:t>
            </w:r>
          </w:p>
        </w:tc>
        <w:tc>
          <w:tcPr>
            <w:tcW w:w="760" w:type="pct"/>
          </w:tcPr>
          <w:p w:rsidR="00FE33C4" w:rsidRDefault="00FE33C4" w:rsidP="00FE33C4">
            <w:pPr>
              <w:jc w:val="center"/>
            </w:pPr>
            <w:r w:rsidRPr="00DB487B">
              <w:rPr>
                <w:rFonts w:ascii="Arial Narrow" w:hAnsi="Arial Narrow"/>
                <w:sz w:val="20"/>
                <w:szCs w:val="20"/>
              </w:rPr>
              <w:t>$</w:t>
            </w:r>
            <w:r w:rsidR="00B049C2">
              <w:rPr>
                <w:rFonts w:ascii="Arial Narrow" w:hAnsi="Arial Narrow"/>
                <w:noProof/>
                <w:color w:val="000000"/>
                <w:sz w:val="20"/>
                <w:szCs w:val="20"/>
                <w:highlight w:val="black"/>
              </w:rPr>
              <w:t>''''''''''''''''</w:t>
            </w:r>
            <w:r w:rsidRPr="00DB487B">
              <w:rPr>
                <w:rFonts w:ascii="Arial Narrow" w:hAnsi="Arial Narrow"/>
                <w:sz w:val="20"/>
                <w:szCs w:val="20"/>
                <w:vertAlign w:val="superscript"/>
              </w:rPr>
              <w:t>a</w:t>
            </w:r>
          </w:p>
        </w:tc>
        <w:tc>
          <w:tcPr>
            <w:tcW w:w="433" w:type="pct"/>
            <w:vMerge/>
            <w:vAlign w:val="center"/>
          </w:tcPr>
          <w:p w:rsidR="00FE33C4" w:rsidRPr="00006435" w:rsidRDefault="00FE33C4" w:rsidP="00FE33C4">
            <w:pPr>
              <w:keepNext/>
              <w:widowControl/>
              <w:jc w:val="center"/>
              <w:rPr>
                <w:rFonts w:ascii="Arial Narrow" w:hAnsi="Arial Narrow"/>
                <w:sz w:val="20"/>
              </w:rPr>
            </w:pPr>
          </w:p>
        </w:tc>
        <w:tc>
          <w:tcPr>
            <w:tcW w:w="747" w:type="pct"/>
            <w:vMerge/>
            <w:vAlign w:val="center"/>
          </w:tcPr>
          <w:p w:rsidR="00FE33C4" w:rsidRPr="00006435" w:rsidRDefault="00FE33C4" w:rsidP="00FE33C4">
            <w:pPr>
              <w:keepNext/>
              <w:widowControl/>
              <w:jc w:val="center"/>
              <w:rPr>
                <w:rFonts w:ascii="Arial Narrow" w:hAnsi="Arial Narrow"/>
                <w:sz w:val="20"/>
              </w:rPr>
            </w:pPr>
          </w:p>
        </w:tc>
      </w:tr>
      <w:tr w:rsidR="00FE33C4" w:rsidRPr="00006435" w:rsidTr="00C1405B">
        <w:trPr>
          <w:cantSplit/>
          <w:trHeight w:val="83"/>
        </w:trPr>
        <w:tc>
          <w:tcPr>
            <w:tcW w:w="1679" w:type="pct"/>
            <w:gridSpan w:val="2"/>
            <w:vAlign w:val="center"/>
          </w:tcPr>
          <w:p w:rsidR="00FE33C4" w:rsidRPr="00006435" w:rsidRDefault="00FE33C4" w:rsidP="00FE33C4">
            <w:pPr>
              <w:keepNext/>
              <w:widowControl/>
              <w:jc w:val="left"/>
              <w:rPr>
                <w:rFonts w:ascii="Arial Narrow" w:hAnsi="Arial Narrow"/>
                <w:smallCaps/>
                <w:sz w:val="20"/>
                <w:szCs w:val="20"/>
              </w:rPr>
            </w:pPr>
            <w:r w:rsidRPr="00006435">
              <w:rPr>
                <w:rFonts w:ascii="Arial Narrow" w:hAnsi="Arial Narrow"/>
                <w:sz w:val="20"/>
                <w:szCs w:val="20"/>
              </w:rPr>
              <w:t>SARILUMAB, prefilled syringe, 150mg</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0</w:t>
            </w:r>
          </w:p>
        </w:tc>
        <w:tc>
          <w:tcPr>
            <w:tcW w:w="760" w:type="pct"/>
          </w:tcPr>
          <w:p w:rsidR="00FE33C4" w:rsidRDefault="00FE33C4" w:rsidP="00FE33C4">
            <w:pPr>
              <w:jc w:val="center"/>
            </w:pPr>
            <w:r w:rsidRPr="00DB487B">
              <w:rPr>
                <w:rFonts w:ascii="Arial Narrow" w:hAnsi="Arial Narrow"/>
                <w:sz w:val="20"/>
                <w:szCs w:val="20"/>
              </w:rPr>
              <w:t>$</w:t>
            </w:r>
            <w:r w:rsidR="00B049C2">
              <w:rPr>
                <w:rFonts w:ascii="Arial Narrow" w:hAnsi="Arial Narrow"/>
                <w:noProof/>
                <w:color w:val="000000"/>
                <w:sz w:val="20"/>
                <w:szCs w:val="20"/>
                <w:highlight w:val="black"/>
              </w:rPr>
              <w:t>''''''''''''''''</w:t>
            </w:r>
            <w:r w:rsidRPr="00DB487B">
              <w:rPr>
                <w:rFonts w:ascii="Arial Narrow" w:hAnsi="Arial Narrow"/>
                <w:sz w:val="20"/>
                <w:szCs w:val="20"/>
                <w:vertAlign w:val="superscript"/>
              </w:rPr>
              <w:t>a</w:t>
            </w:r>
          </w:p>
        </w:tc>
        <w:tc>
          <w:tcPr>
            <w:tcW w:w="433" w:type="pct"/>
            <w:vMerge/>
            <w:vAlign w:val="center"/>
          </w:tcPr>
          <w:p w:rsidR="00FE33C4" w:rsidRPr="00006435" w:rsidRDefault="00FE33C4" w:rsidP="00FE33C4">
            <w:pPr>
              <w:keepNext/>
              <w:widowControl/>
              <w:jc w:val="center"/>
              <w:rPr>
                <w:rFonts w:ascii="Arial Narrow" w:hAnsi="Arial Narrow"/>
                <w:sz w:val="20"/>
              </w:rPr>
            </w:pPr>
          </w:p>
        </w:tc>
        <w:tc>
          <w:tcPr>
            <w:tcW w:w="747" w:type="pct"/>
            <w:vMerge/>
            <w:vAlign w:val="center"/>
          </w:tcPr>
          <w:p w:rsidR="00FE33C4" w:rsidRPr="00006435" w:rsidRDefault="00FE33C4" w:rsidP="00FE33C4">
            <w:pPr>
              <w:keepNext/>
              <w:widowControl/>
              <w:jc w:val="center"/>
              <w:rPr>
                <w:rFonts w:ascii="Arial Narrow" w:hAnsi="Arial Narrow"/>
                <w:sz w:val="20"/>
              </w:rPr>
            </w:pPr>
          </w:p>
        </w:tc>
      </w:tr>
      <w:tr w:rsidR="00FE33C4" w:rsidRPr="00006435" w:rsidTr="00C1405B">
        <w:trPr>
          <w:cantSplit/>
          <w:trHeight w:val="80"/>
        </w:trPr>
        <w:tc>
          <w:tcPr>
            <w:tcW w:w="1679" w:type="pct"/>
            <w:gridSpan w:val="2"/>
            <w:vAlign w:val="center"/>
          </w:tcPr>
          <w:p w:rsidR="00FE33C4" w:rsidRPr="00006435" w:rsidRDefault="00FE33C4" w:rsidP="00FE33C4">
            <w:pPr>
              <w:keepNext/>
              <w:widowControl/>
              <w:jc w:val="left"/>
              <w:rPr>
                <w:rFonts w:ascii="Arial Narrow" w:hAnsi="Arial Narrow"/>
                <w:smallCaps/>
                <w:sz w:val="20"/>
                <w:szCs w:val="20"/>
              </w:rPr>
            </w:pPr>
            <w:r w:rsidRPr="00006435">
              <w:rPr>
                <w:rFonts w:ascii="Arial Narrow" w:hAnsi="Arial Narrow"/>
                <w:sz w:val="20"/>
                <w:szCs w:val="20"/>
              </w:rPr>
              <w:t>SARILUMAB, auto-injector, 150mg</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0</w:t>
            </w:r>
          </w:p>
        </w:tc>
        <w:tc>
          <w:tcPr>
            <w:tcW w:w="760" w:type="pct"/>
          </w:tcPr>
          <w:p w:rsidR="00FE33C4" w:rsidRDefault="00FE33C4" w:rsidP="00FE33C4">
            <w:pPr>
              <w:jc w:val="center"/>
            </w:pPr>
            <w:r w:rsidRPr="00DB487B">
              <w:rPr>
                <w:rFonts w:ascii="Arial Narrow" w:hAnsi="Arial Narrow"/>
                <w:sz w:val="20"/>
                <w:szCs w:val="20"/>
              </w:rPr>
              <w:t>$</w:t>
            </w:r>
            <w:r w:rsidR="00B049C2">
              <w:rPr>
                <w:rFonts w:ascii="Arial Narrow" w:hAnsi="Arial Narrow"/>
                <w:noProof/>
                <w:color w:val="000000"/>
                <w:sz w:val="20"/>
                <w:szCs w:val="20"/>
                <w:highlight w:val="black"/>
              </w:rPr>
              <w:t>'''''''''''''''</w:t>
            </w:r>
            <w:r w:rsidRPr="00DB487B">
              <w:rPr>
                <w:rFonts w:ascii="Arial Narrow" w:hAnsi="Arial Narrow"/>
                <w:sz w:val="20"/>
                <w:szCs w:val="20"/>
                <w:vertAlign w:val="superscript"/>
              </w:rPr>
              <w:t>a</w:t>
            </w:r>
          </w:p>
        </w:tc>
        <w:tc>
          <w:tcPr>
            <w:tcW w:w="433" w:type="pct"/>
            <w:vMerge/>
            <w:vAlign w:val="center"/>
          </w:tcPr>
          <w:p w:rsidR="00FE33C4" w:rsidRPr="00006435" w:rsidRDefault="00FE33C4" w:rsidP="00FE33C4">
            <w:pPr>
              <w:keepNext/>
              <w:widowControl/>
              <w:jc w:val="center"/>
              <w:rPr>
                <w:rFonts w:ascii="Arial Narrow" w:hAnsi="Arial Narrow"/>
                <w:sz w:val="20"/>
              </w:rPr>
            </w:pPr>
          </w:p>
        </w:tc>
        <w:tc>
          <w:tcPr>
            <w:tcW w:w="747" w:type="pct"/>
            <w:vMerge/>
            <w:vAlign w:val="center"/>
          </w:tcPr>
          <w:p w:rsidR="00FE33C4" w:rsidRPr="00006435" w:rsidRDefault="00FE33C4" w:rsidP="00FE33C4">
            <w:pPr>
              <w:keepNext/>
              <w:widowControl/>
              <w:jc w:val="center"/>
              <w:rPr>
                <w:rFonts w:ascii="Arial Narrow" w:hAnsi="Arial Narrow"/>
                <w:sz w:val="20"/>
              </w:rPr>
            </w:pPr>
          </w:p>
        </w:tc>
      </w:tr>
      <w:tr w:rsidR="00234930" w:rsidRPr="00006435" w:rsidTr="00234930">
        <w:trPr>
          <w:cantSplit/>
          <w:trHeight w:val="101"/>
        </w:trPr>
        <w:tc>
          <w:tcPr>
            <w:tcW w:w="1679" w:type="pct"/>
            <w:gridSpan w:val="2"/>
          </w:tcPr>
          <w:p w:rsidR="003223B8" w:rsidRPr="00006435" w:rsidRDefault="003223B8" w:rsidP="002C53C8">
            <w:pPr>
              <w:keepNext/>
              <w:widowControl/>
              <w:jc w:val="left"/>
              <w:rPr>
                <w:rFonts w:ascii="Arial Narrow" w:hAnsi="Arial Narrow"/>
                <w:sz w:val="20"/>
                <w:szCs w:val="20"/>
                <w:u w:val="single"/>
              </w:rPr>
            </w:pPr>
          </w:p>
          <w:p w:rsidR="00234930" w:rsidRPr="00006435" w:rsidRDefault="00234930" w:rsidP="002C53C8">
            <w:pPr>
              <w:keepNext/>
              <w:widowControl/>
              <w:jc w:val="left"/>
              <w:rPr>
                <w:rFonts w:ascii="Arial Narrow" w:hAnsi="Arial Narrow"/>
                <w:smallCaps/>
                <w:sz w:val="20"/>
                <w:szCs w:val="20"/>
              </w:rPr>
            </w:pPr>
            <w:r w:rsidRPr="00006435">
              <w:rPr>
                <w:rFonts w:ascii="Arial Narrow" w:hAnsi="Arial Narrow"/>
                <w:sz w:val="20"/>
                <w:szCs w:val="20"/>
                <w:u w:val="single"/>
              </w:rPr>
              <w:t>Grandfathered patients</w:t>
            </w:r>
          </w:p>
        </w:tc>
        <w:tc>
          <w:tcPr>
            <w:tcW w:w="460" w:type="pct"/>
            <w:vAlign w:val="center"/>
          </w:tcPr>
          <w:p w:rsidR="00234930" w:rsidRPr="00006435" w:rsidRDefault="00234930" w:rsidP="002C53C8">
            <w:pPr>
              <w:keepNext/>
              <w:widowControl/>
              <w:jc w:val="center"/>
              <w:rPr>
                <w:rFonts w:ascii="Arial Narrow" w:hAnsi="Arial Narrow"/>
                <w:sz w:val="20"/>
              </w:rPr>
            </w:pPr>
          </w:p>
        </w:tc>
        <w:tc>
          <w:tcPr>
            <w:tcW w:w="460" w:type="pct"/>
          </w:tcPr>
          <w:p w:rsidR="00234930" w:rsidRPr="00006435" w:rsidRDefault="00234930" w:rsidP="002C53C8">
            <w:pPr>
              <w:keepNext/>
              <w:widowControl/>
              <w:jc w:val="center"/>
              <w:rPr>
                <w:rFonts w:ascii="Arial Narrow" w:hAnsi="Arial Narrow"/>
                <w:sz w:val="20"/>
              </w:rPr>
            </w:pPr>
          </w:p>
        </w:tc>
        <w:tc>
          <w:tcPr>
            <w:tcW w:w="461" w:type="pct"/>
            <w:vAlign w:val="center"/>
          </w:tcPr>
          <w:p w:rsidR="00234930" w:rsidRPr="00006435" w:rsidRDefault="00234930" w:rsidP="002C53C8">
            <w:pPr>
              <w:keepNext/>
              <w:widowControl/>
              <w:jc w:val="center"/>
              <w:rPr>
                <w:rFonts w:ascii="Arial Narrow" w:hAnsi="Arial Narrow"/>
                <w:sz w:val="20"/>
              </w:rPr>
            </w:pPr>
          </w:p>
        </w:tc>
        <w:tc>
          <w:tcPr>
            <w:tcW w:w="760" w:type="pct"/>
            <w:vAlign w:val="center"/>
          </w:tcPr>
          <w:p w:rsidR="00234930" w:rsidRPr="00006435" w:rsidRDefault="00234930" w:rsidP="002C53C8">
            <w:pPr>
              <w:keepNext/>
              <w:widowControl/>
              <w:jc w:val="center"/>
              <w:rPr>
                <w:rFonts w:ascii="Arial Narrow" w:hAnsi="Arial Narrow"/>
                <w:sz w:val="20"/>
              </w:rPr>
            </w:pPr>
          </w:p>
        </w:tc>
        <w:tc>
          <w:tcPr>
            <w:tcW w:w="433" w:type="pct"/>
            <w:vMerge/>
            <w:vAlign w:val="center"/>
          </w:tcPr>
          <w:p w:rsidR="00234930" w:rsidRPr="00006435" w:rsidRDefault="00234930" w:rsidP="002C53C8">
            <w:pPr>
              <w:keepNext/>
              <w:widowControl/>
              <w:jc w:val="center"/>
              <w:rPr>
                <w:rFonts w:ascii="Arial Narrow" w:hAnsi="Arial Narrow"/>
                <w:sz w:val="20"/>
              </w:rPr>
            </w:pPr>
          </w:p>
        </w:tc>
        <w:tc>
          <w:tcPr>
            <w:tcW w:w="747" w:type="pct"/>
            <w:vMerge/>
            <w:vAlign w:val="center"/>
          </w:tcPr>
          <w:p w:rsidR="00234930" w:rsidRPr="00006435" w:rsidRDefault="00234930" w:rsidP="002C53C8">
            <w:pPr>
              <w:keepNext/>
              <w:widowControl/>
              <w:jc w:val="center"/>
              <w:rPr>
                <w:rFonts w:ascii="Arial Narrow" w:hAnsi="Arial Narrow"/>
                <w:sz w:val="20"/>
              </w:rPr>
            </w:pPr>
          </w:p>
        </w:tc>
      </w:tr>
      <w:tr w:rsidR="00FE33C4" w:rsidRPr="00006435" w:rsidTr="00C1405B">
        <w:trPr>
          <w:cantSplit/>
          <w:trHeight w:val="80"/>
        </w:trPr>
        <w:tc>
          <w:tcPr>
            <w:tcW w:w="1679" w:type="pct"/>
            <w:gridSpan w:val="2"/>
            <w:vAlign w:val="center"/>
          </w:tcPr>
          <w:p w:rsidR="00FE33C4" w:rsidRPr="00006435" w:rsidRDefault="00FE33C4" w:rsidP="00FE33C4">
            <w:pPr>
              <w:keepNext/>
              <w:widowControl/>
              <w:jc w:val="left"/>
              <w:rPr>
                <w:rFonts w:ascii="Arial Narrow" w:hAnsi="Arial Narrow"/>
                <w:smallCaps/>
                <w:sz w:val="20"/>
                <w:szCs w:val="20"/>
              </w:rPr>
            </w:pPr>
            <w:r w:rsidRPr="00006435">
              <w:rPr>
                <w:rFonts w:ascii="Arial Narrow" w:hAnsi="Arial Narrow"/>
                <w:sz w:val="20"/>
                <w:szCs w:val="20"/>
              </w:rPr>
              <w:t>SARILUMAB, prefilled syringe, 200mg</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1</w:t>
            </w:r>
          </w:p>
        </w:tc>
        <w:tc>
          <w:tcPr>
            <w:tcW w:w="460"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2</w:t>
            </w:r>
          </w:p>
        </w:tc>
        <w:tc>
          <w:tcPr>
            <w:tcW w:w="461" w:type="pct"/>
            <w:vAlign w:val="center"/>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5</w:t>
            </w:r>
          </w:p>
        </w:tc>
        <w:tc>
          <w:tcPr>
            <w:tcW w:w="760" w:type="pct"/>
          </w:tcPr>
          <w:p w:rsidR="00FE33C4" w:rsidRDefault="00FE33C4" w:rsidP="00FE33C4">
            <w:pPr>
              <w:jc w:val="center"/>
            </w:pPr>
            <w:r w:rsidRPr="00894535">
              <w:rPr>
                <w:rFonts w:ascii="Arial Narrow" w:hAnsi="Arial Narrow"/>
                <w:sz w:val="20"/>
                <w:szCs w:val="20"/>
              </w:rPr>
              <w:t>$</w:t>
            </w:r>
            <w:r w:rsidR="00B049C2">
              <w:rPr>
                <w:rFonts w:ascii="Arial Narrow" w:hAnsi="Arial Narrow"/>
                <w:noProof/>
                <w:color w:val="000000"/>
                <w:sz w:val="20"/>
                <w:szCs w:val="20"/>
                <w:highlight w:val="black"/>
              </w:rPr>
              <w:t>'''''''''''''''</w:t>
            </w:r>
            <w:r w:rsidRPr="00894535">
              <w:rPr>
                <w:rFonts w:ascii="Arial Narrow" w:hAnsi="Arial Narrow"/>
                <w:sz w:val="20"/>
                <w:szCs w:val="20"/>
                <w:vertAlign w:val="superscript"/>
              </w:rPr>
              <w:t>a</w:t>
            </w:r>
          </w:p>
        </w:tc>
        <w:tc>
          <w:tcPr>
            <w:tcW w:w="433" w:type="pct"/>
            <w:vMerge/>
            <w:vAlign w:val="center"/>
          </w:tcPr>
          <w:p w:rsidR="00FE33C4" w:rsidRPr="00006435" w:rsidRDefault="00FE33C4" w:rsidP="00FE33C4">
            <w:pPr>
              <w:keepNext/>
              <w:widowControl/>
              <w:jc w:val="center"/>
              <w:rPr>
                <w:rFonts w:ascii="Arial Narrow" w:hAnsi="Arial Narrow"/>
                <w:sz w:val="20"/>
              </w:rPr>
            </w:pPr>
          </w:p>
        </w:tc>
        <w:tc>
          <w:tcPr>
            <w:tcW w:w="747" w:type="pct"/>
            <w:vMerge/>
            <w:vAlign w:val="center"/>
          </w:tcPr>
          <w:p w:rsidR="00FE33C4" w:rsidRPr="00006435" w:rsidRDefault="00FE33C4" w:rsidP="00FE33C4">
            <w:pPr>
              <w:keepNext/>
              <w:widowControl/>
              <w:jc w:val="center"/>
              <w:rPr>
                <w:rFonts w:ascii="Arial Narrow" w:hAnsi="Arial Narrow"/>
                <w:sz w:val="20"/>
              </w:rPr>
            </w:pPr>
          </w:p>
        </w:tc>
      </w:tr>
      <w:tr w:rsidR="00FE33C4" w:rsidRPr="00006435" w:rsidTr="003223B8">
        <w:trPr>
          <w:cantSplit/>
          <w:trHeight w:val="80"/>
        </w:trPr>
        <w:tc>
          <w:tcPr>
            <w:tcW w:w="1679" w:type="pct"/>
            <w:gridSpan w:val="2"/>
          </w:tcPr>
          <w:p w:rsidR="00FE33C4" w:rsidRPr="00006435" w:rsidRDefault="00FE33C4" w:rsidP="00FE33C4">
            <w:pPr>
              <w:keepNext/>
              <w:widowControl/>
              <w:jc w:val="left"/>
              <w:rPr>
                <w:rFonts w:ascii="Arial Narrow" w:hAnsi="Arial Narrow"/>
                <w:smallCaps/>
                <w:sz w:val="20"/>
                <w:szCs w:val="20"/>
              </w:rPr>
            </w:pPr>
            <w:r w:rsidRPr="00006435">
              <w:rPr>
                <w:rFonts w:ascii="Arial Narrow" w:hAnsi="Arial Narrow"/>
                <w:sz w:val="20"/>
                <w:szCs w:val="20"/>
              </w:rPr>
              <w:t>SARILUMAB, auto-injector, 200mg</w:t>
            </w:r>
          </w:p>
        </w:tc>
        <w:tc>
          <w:tcPr>
            <w:tcW w:w="460" w:type="pct"/>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1</w:t>
            </w:r>
          </w:p>
        </w:tc>
        <w:tc>
          <w:tcPr>
            <w:tcW w:w="460" w:type="pct"/>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2</w:t>
            </w:r>
          </w:p>
        </w:tc>
        <w:tc>
          <w:tcPr>
            <w:tcW w:w="461" w:type="pct"/>
          </w:tcPr>
          <w:p w:rsidR="00FE33C4" w:rsidRPr="00006435" w:rsidRDefault="00FE33C4" w:rsidP="00FE33C4">
            <w:pPr>
              <w:keepNext/>
              <w:widowControl/>
              <w:jc w:val="center"/>
              <w:rPr>
                <w:rFonts w:ascii="Arial Narrow" w:hAnsi="Arial Narrow"/>
                <w:sz w:val="20"/>
                <w:szCs w:val="20"/>
              </w:rPr>
            </w:pPr>
            <w:r w:rsidRPr="00006435">
              <w:rPr>
                <w:rFonts w:ascii="Arial Narrow" w:hAnsi="Arial Narrow"/>
                <w:sz w:val="20"/>
                <w:szCs w:val="20"/>
              </w:rPr>
              <w:t>5</w:t>
            </w:r>
          </w:p>
          <w:p w:rsidR="00FE33C4" w:rsidRPr="00006435" w:rsidRDefault="00FE33C4" w:rsidP="00FE33C4">
            <w:pPr>
              <w:keepNext/>
              <w:widowControl/>
              <w:jc w:val="center"/>
              <w:rPr>
                <w:rFonts w:ascii="Arial Narrow" w:hAnsi="Arial Narrow"/>
                <w:sz w:val="20"/>
                <w:szCs w:val="20"/>
              </w:rPr>
            </w:pPr>
          </w:p>
        </w:tc>
        <w:tc>
          <w:tcPr>
            <w:tcW w:w="760" w:type="pct"/>
          </w:tcPr>
          <w:p w:rsidR="00FE33C4" w:rsidRDefault="00FE33C4" w:rsidP="00FE33C4">
            <w:pPr>
              <w:jc w:val="center"/>
            </w:pPr>
            <w:r w:rsidRPr="00894535">
              <w:rPr>
                <w:rFonts w:ascii="Arial Narrow" w:hAnsi="Arial Narrow"/>
                <w:sz w:val="20"/>
                <w:szCs w:val="20"/>
              </w:rPr>
              <w:t>$</w:t>
            </w:r>
            <w:r w:rsidR="00B049C2">
              <w:rPr>
                <w:rFonts w:ascii="Arial Narrow" w:hAnsi="Arial Narrow"/>
                <w:noProof/>
                <w:color w:val="000000"/>
                <w:sz w:val="20"/>
                <w:szCs w:val="20"/>
                <w:highlight w:val="black"/>
              </w:rPr>
              <w:t>'''''''''''''''''</w:t>
            </w:r>
            <w:r w:rsidRPr="00894535">
              <w:rPr>
                <w:rFonts w:ascii="Arial Narrow" w:hAnsi="Arial Narrow"/>
                <w:sz w:val="20"/>
                <w:szCs w:val="20"/>
                <w:vertAlign w:val="superscript"/>
              </w:rPr>
              <w:t>a</w:t>
            </w:r>
          </w:p>
        </w:tc>
        <w:tc>
          <w:tcPr>
            <w:tcW w:w="433" w:type="pct"/>
            <w:vMerge/>
            <w:vAlign w:val="center"/>
          </w:tcPr>
          <w:p w:rsidR="00FE33C4" w:rsidRPr="00006435" w:rsidRDefault="00FE33C4" w:rsidP="00FE33C4">
            <w:pPr>
              <w:keepNext/>
              <w:widowControl/>
              <w:jc w:val="center"/>
              <w:rPr>
                <w:rFonts w:ascii="Arial Narrow" w:hAnsi="Arial Narrow"/>
                <w:sz w:val="20"/>
              </w:rPr>
            </w:pPr>
          </w:p>
        </w:tc>
        <w:tc>
          <w:tcPr>
            <w:tcW w:w="747" w:type="pct"/>
            <w:vMerge/>
            <w:vAlign w:val="center"/>
          </w:tcPr>
          <w:p w:rsidR="00FE33C4" w:rsidRPr="00006435" w:rsidRDefault="00FE33C4" w:rsidP="00FE33C4">
            <w:pPr>
              <w:keepNext/>
              <w:widowControl/>
              <w:jc w:val="center"/>
              <w:rPr>
                <w:rFonts w:ascii="Arial Narrow" w:hAnsi="Arial Narrow"/>
                <w:sz w:val="20"/>
              </w:rPr>
            </w:pP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hideMark/>
          </w:tcPr>
          <w:p w:rsidR="00234930" w:rsidRPr="00006435" w:rsidRDefault="00234930" w:rsidP="002C53C8">
            <w:pPr>
              <w:pStyle w:val="Tabletext"/>
              <w:rPr>
                <w:lang w:eastAsia="en-AU"/>
              </w:rPr>
            </w:pPr>
            <w:r w:rsidRPr="00006435">
              <w:rPr>
                <w:lang w:eastAsia="en-AU"/>
              </w:rPr>
              <w:t>Category</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t>General Schedule (Section 85)</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hideMark/>
          </w:tcPr>
          <w:p w:rsidR="00234930" w:rsidRPr="00006435" w:rsidRDefault="00234930" w:rsidP="002C53C8">
            <w:pPr>
              <w:pStyle w:val="Tabletext"/>
              <w:rPr>
                <w:lang w:eastAsia="en-AU"/>
              </w:rPr>
            </w:pPr>
            <w:r w:rsidRPr="00006435">
              <w:rPr>
                <w:lang w:eastAsia="en-AU"/>
              </w:rPr>
              <w:t>PBS indication:</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t>Severe active rheumatoid arthritis</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b/>
                <w:bCs/>
              </w:rPr>
            </w:pPr>
            <w:r w:rsidRPr="00006435">
              <w:rPr>
                <w:b/>
                <w:bCs/>
              </w:rPr>
              <w:t>SAR 200mg formulation</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bCs/>
                <w:lang w:eastAsia="en-AU"/>
              </w:rPr>
            </w:pPr>
            <w:r w:rsidRPr="00006435">
              <w:rPr>
                <w:bCs/>
              </w:rPr>
              <w:t>Restriction:</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rFonts w:cs="Arial"/>
              </w:rPr>
            </w:pPr>
            <w:r w:rsidRPr="00006435">
              <w:t>Authority Required - In Writing</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hideMark/>
          </w:tcPr>
          <w:p w:rsidR="00234930" w:rsidRPr="00006435" w:rsidRDefault="00234930" w:rsidP="002C53C8">
            <w:pPr>
              <w:pStyle w:val="Tabletext"/>
              <w:rPr>
                <w:lang w:eastAsia="en-AU"/>
              </w:rPr>
            </w:pPr>
            <w:r w:rsidRPr="00006435">
              <w:rPr>
                <w:lang w:eastAsia="en-AU"/>
              </w:rPr>
              <w:t>Treatment phase:</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rFonts w:cs="Arial"/>
              </w:rPr>
              <w:t>Initial treatment – Initial 1 (new patient or patient recommencing after a break of &gt;24 months)</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lang w:eastAsia="en-AU"/>
              </w:rPr>
              <w:t>Clinical criteria:</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numPr>
                <w:ilvl w:val="0"/>
                <w:numId w:val="1"/>
              </w:numPr>
              <w:ind w:left="261" w:hanging="176"/>
            </w:pPr>
            <w:r w:rsidRPr="00006435">
              <w:t>Patient must have severe active rheumatoid arthritis, AND</w:t>
            </w:r>
          </w:p>
          <w:p w:rsidR="00234930" w:rsidRPr="00006435" w:rsidRDefault="00234930" w:rsidP="002C53C8">
            <w:pPr>
              <w:pStyle w:val="Tabletext"/>
              <w:numPr>
                <w:ilvl w:val="0"/>
                <w:numId w:val="1"/>
              </w:numPr>
              <w:ind w:left="261" w:hanging="176"/>
            </w:pPr>
            <w:r w:rsidRPr="00006435">
              <w:t>Patient must have received no PBS-subsidised treatment with a biological disease anti-rheumatic drug (</w:t>
            </w:r>
            <w:proofErr w:type="spellStart"/>
            <w:r w:rsidRPr="00006435">
              <w:t>bDMARD</w:t>
            </w:r>
            <w:proofErr w:type="spellEnd"/>
            <w:r w:rsidRPr="00006435">
              <w:t>) for the condition in the previous 12 months, AND</w:t>
            </w:r>
          </w:p>
          <w:p w:rsidR="00234930" w:rsidRPr="00006435" w:rsidRDefault="00234930" w:rsidP="002C53C8">
            <w:pPr>
              <w:pStyle w:val="Tabletext"/>
              <w:numPr>
                <w:ilvl w:val="0"/>
                <w:numId w:val="1"/>
              </w:numPr>
              <w:ind w:left="261" w:hanging="176"/>
            </w:pPr>
            <w:r w:rsidRPr="00006435">
              <w:t xml:space="preserve">Patient must not have failed previous PBS-subsidised treatment with </w:t>
            </w:r>
            <w:proofErr w:type="spellStart"/>
            <w:r w:rsidRPr="00006435">
              <w:t>sarilumab</w:t>
            </w:r>
            <w:proofErr w:type="spellEnd"/>
            <w:r w:rsidRPr="00006435">
              <w:t xml:space="preserve"> for this condition, and not have already failed, or ceased to respond to, PBS-subsidised </w:t>
            </w:r>
            <w:proofErr w:type="spellStart"/>
            <w:r w:rsidRPr="00006435">
              <w:t>bDMARD</w:t>
            </w:r>
            <w:proofErr w:type="spellEnd"/>
            <w:r w:rsidRPr="00006435">
              <w:t xml:space="preserve"> treatment for this condition 5 times, AND </w:t>
            </w:r>
          </w:p>
          <w:p w:rsidR="00234930" w:rsidRPr="00006435" w:rsidRDefault="00234930" w:rsidP="002C53C8">
            <w:pPr>
              <w:pStyle w:val="Tabletext"/>
              <w:numPr>
                <w:ilvl w:val="0"/>
                <w:numId w:val="1"/>
              </w:numPr>
              <w:ind w:left="261" w:hanging="176"/>
            </w:pPr>
            <w:r w:rsidRPr="00006435">
              <w:t>Patient must have failed, in the 24 months immediately prior to the date of application, to achieve an adequate response to a trial of at least 6 months of intensive treatment with disease modifying anti-rheumatic drugs (DMARDs); AND</w:t>
            </w:r>
          </w:p>
          <w:p w:rsidR="00234930" w:rsidRPr="00006435" w:rsidRDefault="00234930" w:rsidP="002C53C8">
            <w:pPr>
              <w:pStyle w:val="Tabletext"/>
              <w:numPr>
                <w:ilvl w:val="0"/>
                <w:numId w:val="1"/>
              </w:numPr>
              <w:ind w:left="261" w:hanging="176"/>
              <w:rPr>
                <w:lang w:eastAsia="en-AU"/>
              </w:rPr>
            </w:pPr>
            <w:r w:rsidRPr="00006435">
              <w:t xml:space="preserve">Patients must not receive more than </w:t>
            </w:r>
            <w:r w:rsidRPr="00006435">
              <w:rPr>
                <w:bCs/>
              </w:rPr>
              <w:t>16 weeks of treatment</w:t>
            </w:r>
            <w:r w:rsidRPr="00006435">
              <w:t xml:space="preserve"> under this restriction.</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lang w:eastAsia="en-AU"/>
              </w:rPr>
              <w:t>Treatment phase:</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t>Continuing treatment</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lang w:eastAsia="en-AU"/>
              </w:rPr>
              <w:t>Clinical criteria:</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numPr>
                <w:ilvl w:val="0"/>
                <w:numId w:val="1"/>
              </w:numPr>
              <w:ind w:left="261" w:hanging="176"/>
            </w:pPr>
            <w:r w:rsidRPr="00006435">
              <w:t xml:space="preserve">Patient must have a history of severe active rheumatoid arthritis, AND </w:t>
            </w:r>
          </w:p>
          <w:p w:rsidR="00234930" w:rsidRPr="00006435" w:rsidRDefault="00234930" w:rsidP="002C53C8">
            <w:pPr>
              <w:pStyle w:val="Tabletext"/>
              <w:numPr>
                <w:ilvl w:val="0"/>
                <w:numId w:val="1"/>
              </w:numPr>
              <w:ind w:left="261" w:hanging="176"/>
            </w:pPr>
            <w:r w:rsidRPr="00006435">
              <w:t xml:space="preserve">Patient must have demonstrated an adequate response to treatment with </w:t>
            </w:r>
            <w:proofErr w:type="spellStart"/>
            <w:r w:rsidRPr="00006435">
              <w:t>sarilumab</w:t>
            </w:r>
            <w:proofErr w:type="spellEnd"/>
            <w:r w:rsidRPr="00006435">
              <w:t xml:space="preserve">, AND </w:t>
            </w:r>
          </w:p>
          <w:p w:rsidR="00234930" w:rsidRPr="00006435" w:rsidRDefault="00234930" w:rsidP="002C53C8">
            <w:pPr>
              <w:pStyle w:val="Tabletext"/>
              <w:numPr>
                <w:ilvl w:val="0"/>
                <w:numId w:val="1"/>
              </w:numPr>
              <w:ind w:left="261" w:hanging="176"/>
            </w:pPr>
            <w:r w:rsidRPr="00006435">
              <w:t xml:space="preserve">Patient must have received </w:t>
            </w:r>
            <w:proofErr w:type="spellStart"/>
            <w:r w:rsidRPr="00006435">
              <w:t>sarilumab</w:t>
            </w:r>
            <w:proofErr w:type="spellEnd"/>
            <w:r w:rsidRPr="00006435">
              <w:t xml:space="preserve"> as their most recent course of PBS-subsidised biological disease modifying anti-rheumatic (</w:t>
            </w:r>
            <w:proofErr w:type="spellStart"/>
            <w:r w:rsidRPr="00006435">
              <w:t>bDMARD</w:t>
            </w:r>
            <w:proofErr w:type="spellEnd"/>
            <w:r w:rsidRPr="00006435">
              <w:t>) treatment, AND</w:t>
            </w:r>
          </w:p>
          <w:p w:rsidR="00234930" w:rsidRPr="00006435" w:rsidRDefault="00234930" w:rsidP="002C53C8">
            <w:pPr>
              <w:pStyle w:val="Tabletext"/>
              <w:numPr>
                <w:ilvl w:val="0"/>
                <w:numId w:val="1"/>
              </w:numPr>
              <w:ind w:left="261" w:hanging="176"/>
              <w:rPr>
                <w:lang w:eastAsia="en-AU"/>
              </w:rPr>
            </w:pPr>
            <w:r w:rsidRPr="00006435">
              <w:t xml:space="preserve">Patients must not receive more than </w:t>
            </w:r>
            <w:r w:rsidRPr="00006435">
              <w:rPr>
                <w:bCs/>
              </w:rPr>
              <w:t>24 weeks of treatment</w:t>
            </w:r>
            <w:r w:rsidRPr="00006435">
              <w:t xml:space="preserve"> per continuing treatment course under this restriction.</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color w:val="000000"/>
                <w:szCs w:val="24"/>
                <w:lang w:eastAsia="en-AU"/>
              </w:rPr>
            </w:pPr>
            <w:r w:rsidRPr="00006435">
              <w:rPr>
                <w:b/>
                <w:bCs/>
              </w:rPr>
              <w:t>SAR 150mg formulation</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bCs/>
              </w:rPr>
              <w:t>Restriction:</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pPr>
            <w:r w:rsidRPr="00006435">
              <w:t>Authority required- Streamlined</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lang w:eastAsia="en-AU"/>
              </w:rPr>
              <w:t>Treatment phase:</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color w:val="000000"/>
                <w:szCs w:val="24"/>
                <w:lang w:eastAsia="en-AU"/>
              </w:rPr>
            </w:pPr>
            <w:r w:rsidRPr="00006435">
              <w:t>Continuing treatment</w:t>
            </w:r>
          </w:p>
        </w:tc>
      </w:tr>
      <w:tr w:rsidR="00234930" w:rsidRPr="00006435" w:rsidTr="0023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pct"/>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rPr>
                <w:lang w:eastAsia="en-AU"/>
              </w:rPr>
            </w:pPr>
            <w:r w:rsidRPr="00006435">
              <w:rPr>
                <w:lang w:eastAsia="en-AU"/>
              </w:rPr>
              <w:t>Clinical criteria:</w:t>
            </w:r>
          </w:p>
        </w:tc>
        <w:tc>
          <w:tcPr>
            <w:tcW w:w="4149" w:type="pct"/>
            <w:gridSpan w:val="7"/>
            <w:tcBorders>
              <w:top w:val="single" w:sz="4" w:space="0" w:color="auto"/>
              <w:left w:val="single" w:sz="4" w:space="0" w:color="auto"/>
              <w:bottom w:val="single" w:sz="4" w:space="0" w:color="auto"/>
              <w:right w:val="single" w:sz="4" w:space="0" w:color="auto"/>
            </w:tcBorders>
          </w:tcPr>
          <w:p w:rsidR="00234930" w:rsidRPr="00006435" w:rsidRDefault="00234930" w:rsidP="002C53C8">
            <w:pPr>
              <w:pStyle w:val="Tabletext"/>
              <w:numPr>
                <w:ilvl w:val="0"/>
                <w:numId w:val="1"/>
              </w:numPr>
              <w:ind w:left="261" w:hanging="176"/>
            </w:pPr>
            <w:r w:rsidRPr="00006435">
              <w:t>Patient must have a history of severe active rheumatoid arthritis, AND</w:t>
            </w:r>
          </w:p>
          <w:p w:rsidR="00234930" w:rsidRPr="00006435" w:rsidRDefault="00234930" w:rsidP="002C53C8">
            <w:pPr>
              <w:pStyle w:val="Tabletext"/>
              <w:numPr>
                <w:ilvl w:val="0"/>
                <w:numId w:val="1"/>
              </w:numPr>
              <w:ind w:left="261" w:hanging="176"/>
            </w:pPr>
            <w:r w:rsidRPr="00006435">
              <w:t xml:space="preserve">Patient must have demonstrated an adequate response to treatment with </w:t>
            </w:r>
            <w:proofErr w:type="spellStart"/>
            <w:r w:rsidRPr="00006435">
              <w:t>sarilumab</w:t>
            </w:r>
            <w:proofErr w:type="spellEnd"/>
            <w:r w:rsidRPr="00006435">
              <w:t xml:space="preserve">, AND </w:t>
            </w:r>
          </w:p>
          <w:p w:rsidR="00234930" w:rsidRPr="00006435" w:rsidRDefault="00234930" w:rsidP="002C53C8">
            <w:pPr>
              <w:pStyle w:val="Tabletext"/>
              <w:numPr>
                <w:ilvl w:val="0"/>
                <w:numId w:val="1"/>
              </w:numPr>
              <w:ind w:left="261" w:hanging="176"/>
              <w:rPr>
                <w:color w:val="000000"/>
                <w:szCs w:val="24"/>
                <w:lang w:eastAsia="en-AU"/>
              </w:rPr>
            </w:pPr>
            <w:r w:rsidRPr="00006435">
              <w:t xml:space="preserve">Patient must have received </w:t>
            </w:r>
            <w:proofErr w:type="spellStart"/>
            <w:r w:rsidRPr="00006435">
              <w:t>sarilumab</w:t>
            </w:r>
            <w:proofErr w:type="spellEnd"/>
            <w:r w:rsidRPr="00006435">
              <w:t xml:space="preserve"> as their most recent course of PBS-subsidised biological disease modifying anti-rheumatic (</w:t>
            </w:r>
            <w:proofErr w:type="spellStart"/>
            <w:r w:rsidRPr="00006435">
              <w:t>bDMARD</w:t>
            </w:r>
            <w:proofErr w:type="spellEnd"/>
            <w:r w:rsidRPr="00006435">
              <w:t>) treatment</w:t>
            </w:r>
          </w:p>
        </w:tc>
      </w:tr>
    </w:tbl>
    <w:p w:rsidR="00EC15A1" w:rsidRPr="00006435" w:rsidRDefault="003223B8" w:rsidP="002C53C8">
      <w:pPr>
        <w:pStyle w:val="TableFooter"/>
        <w:widowControl/>
        <w:tabs>
          <w:tab w:val="left" w:pos="142"/>
        </w:tabs>
      </w:pPr>
      <w:r w:rsidRPr="00006435">
        <w:rPr>
          <w:vertAlign w:val="superscript"/>
        </w:rPr>
        <w:t>a</w:t>
      </w:r>
      <w:r w:rsidR="00EC15A1" w:rsidRPr="00006435">
        <w:rPr>
          <w:vertAlign w:val="superscript"/>
        </w:rPr>
        <w:tab/>
      </w:r>
      <w:r w:rsidR="00EC15A1" w:rsidRPr="00006435">
        <w:t>Requested effective price, updated from $</w:t>
      </w:r>
      <w:r w:rsidR="00B049C2">
        <w:rPr>
          <w:noProof/>
          <w:color w:val="000000"/>
          <w:highlight w:val="black"/>
        </w:rPr>
        <w:t>'''''''''''''''</w:t>
      </w:r>
      <w:r w:rsidR="00EC15A1" w:rsidRPr="00006435">
        <w:t xml:space="preserve"> in the submission based on most recent pharmacy mark up and dispensing fees; requested </w:t>
      </w:r>
      <w:r w:rsidR="004E5EFE" w:rsidRPr="00006435">
        <w:t xml:space="preserve">published </w:t>
      </w:r>
      <w:r w:rsidR="00EC15A1" w:rsidRPr="00006435">
        <w:t xml:space="preserve"> price is $</w:t>
      </w:r>
      <w:r w:rsidR="00B049C2">
        <w:rPr>
          <w:noProof/>
          <w:color w:val="000000"/>
          <w:highlight w:val="black"/>
        </w:rPr>
        <w:t>''''''''''''''''''</w:t>
      </w:r>
      <w:r w:rsidR="00EC15A1" w:rsidRPr="00006435">
        <w:t>.</w:t>
      </w:r>
    </w:p>
    <w:p w:rsidR="00B60939" w:rsidRPr="00006435" w:rsidRDefault="00EC15A1" w:rsidP="002C53C8">
      <w:pPr>
        <w:widowControl/>
        <w:rPr>
          <w:rFonts w:ascii="Arial Narrow" w:hAnsi="Arial Narrow"/>
          <w:sz w:val="18"/>
          <w:szCs w:val="16"/>
        </w:rPr>
      </w:pPr>
      <w:r w:rsidRPr="00006435">
        <w:rPr>
          <w:rFonts w:ascii="Arial Narrow" w:hAnsi="Arial Narrow"/>
          <w:sz w:val="18"/>
          <w:szCs w:val="16"/>
        </w:rPr>
        <w:t>Source: pp24-30 of the submission</w:t>
      </w:r>
    </w:p>
    <w:p w:rsidR="00EC15A1" w:rsidRPr="00006435" w:rsidRDefault="00EC15A1" w:rsidP="00127F36">
      <w:pPr>
        <w:pStyle w:val="TableFooter"/>
      </w:pPr>
    </w:p>
    <w:p w:rsidR="001920D3" w:rsidRPr="00006435" w:rsidRDefault="00C84841" w:rsidP="002C53C8">
      <w:pPr>
        <w:pStyle w:val="ListParagraph"/>
        <w:widowControl/>
        <w:numPr>
          <w:ilvl w:val="1"/>
          <w:numId w:val="3"/>
        </w:numPr>
      </w:pPr>
      <w:r w:rsidRPr="00006435">
        <w:t>The submission stated that a</w:t>
      </w:r>
      <w:r w:rsidR="001920D3" w:rsidRPr="00006435">
        <w:t xml:space="preserve"> STREAMLINED listing of the 150mg formulation is necessary to ensure the availability of continuous treatment for patients without a break while awaiting approval.  The Sponsor did not request repeats for the 150mg </w:t>
      </w:r>
      <w:r w:rsidR="001920D3" w:rsidRPr="00006435">
        <w:lastRenderedPageBreak/>
        <w:t xml:space="preserve">strength formulation because the dose is temporary and patients require regular follow-up and monitoring of adverse events.  </w:t>
      </w:r>
      <w:r w:rsidR="00470F25" w:rsidRPr="00006435">
        <w:t xml:space="preserve">The PBAC considered that a streamlined authority listing was not appropriate and any listing for the 150mg strength should be more closely aligned with the standard criteria for continuation with </w:t>
      </w:r>
      <w:proofErr w:type="spellStart"/>
      <w:r w:rsidR="00470F25" w:rsidRPr="00006435">
        <w:t>bDMARDs</w:t>
      </w:r>
      <w:proofErr w:type="spellEnd"/>
      <w:r w:rsidR="00470F25" w:rsidRPr="00006435">
        <w:t xml:space="preserve"> for RA.</w:t>
      </w:r>
    </w:p>
    <w:p w:rsidR="00591957" w:rsidRPr="00006435" w:rsidRDefault="00EF601A" w:rsidP="002C53C8">
      <w:pPr>
        <w:pStyle w:val="ListParagraph"/>
        <w:widowControl/>
        <w:numPr>
          <w:ilvl w:val="1"/>
          <w:numId w:val="3"/>
        </w:numPr>
      </w:pPr>
      <w:r w:rsidRPr="00006435">
        <w:rPr>
          <w:iCs/>
        </w:rPr>
        <w:t xml:space="preserve">The wording of the restrictions are consistent with other </w:t>
      </w:r>
      <w:proofErr w:type="spellStart"/>
      <w:r w:rsidRPr="00006435">
        <w:rPr>
          <w:iCs/>
        </w:rPr>
        <w:t>bDMARDs</w:t>
      </w:r>
      <w:proofErr w:type="spellEnd"/>
      <w:r w:rsidRPr="00006435">
        <w:rPr>
          <w:iCs/>
        </w:rPr>
        <w:t xml:space="preserve"> listed on the PBS for RA, although additional wording should be considered to clarify that patients treated with the 150mg formulation must also abide by the same total treatment durations as patients treated with the 200mg formulation.</w:t>
      </w:r>
    </w:p>
    <w:p w:rsidR="001920D3" w:rsidRPr="00006435" w:rsidRDefault="001920D3" w:rsidP="002C53C8">
      <w:pPr>
        <w:pStyle w:val="ListParagraph"/>
        <w:widowControl/>
        <w:numPr>
          <w:ilvl w:val="1"/>
          <w:numId w:val="3"/>
        </w:numPr>
        <w:rPr>
          <w:iCs/>
        </w:rPr>
      </w:pPr>
      <w:r w:rsidRPr="00006435">
        <w:t>A special pricing arrangement was requested that included a published price of $</w:t>
      </w:r>
      <w:r w:rsidR="00B049C2">
        <w:rPr>
          <w:noProof/>
          <w:color w:val="000000"/>
          <w:highlight w:val="black"/>
        </w:rPr>
        <w:t>'''''''''''''''</w:t>
      </w:r>
      <w:r w:rsidRPr="00006435">
        <w:t xml:space="preserve"> and an effective price of $</w:t>
      </w:r>
      <w:r w:rsidR="00B049C2">
        <w:rPr>
          <w:noProof/>
          <w:color w:val="000000"/>
          <w:highlight w:val="black"/>
        </w:rPr>
        <w:t>''''''''''''</w:t>
      </w:r>
      <w:r w:rsidRPr="00006435">
        <w:t xml:space="preserve">.  </w:t>
      </w:r>
      <w:r w:rsidRPr="00006435">
        <w:rPr>
          <w:iCs/>
        </w:rPr>
        <w:t>The effective price requested in the submission ($</w:t>
      </w:r>
      <w:r w:rsidR="00B049C2">
        <w:rPr>
          <w:iCs/>
          <w:noProof/>
          <w:color w:val="000000"/>
          <w:highlight w:val="black"/>
        </w:rPr>
        <w:t>'''''''''''''</w:t>
      </w:r>
      <w:r w:rsidRPr="00006435">
        <w:rPr>
          <w:iCs/>
        </w:rPr>
        <w:t>) was amended during the evaluation to account for updated pharmacy mark up and dispensing fees.</w:t>
      </w:r>
    </w:p>
    <w:p w:rsidR="007454EA" w:rsidRPr="00006435" w:rsidRDefault="00257A2E" w:rsidP="007454EA">
      <w:pPr>
        <w:pStyle w:val="ListParagraph"/>
        <w:widowControl/>
        <w:numPr>
          <w:ilvl w:val="1"/>
          <w:numId w:val="3"/>
        </w:numPr>
        <w:rPr>
          <w:iCs/>
        </w:rPr>
      </w:pPr>
      <w:r w:rsidRPr="00006435">
        <w:t xml:space="preserve">The same price was requested for </w:t>
      </w:r>
      <w:r w:rsidR="00C84841" w:rsidRPr="00006435">
        <w:t xml:space="preserve">both </w:t>
      </w:r>
      <w:r w:rsidRPr="00006435">
        <w:t xml:space="preserve">the 200mg and 150mg strength formulations on the basis that treatment response is maintained 24 weeks after dose reduction in the long-term extension study (EXTEND).  </w:t>
      </w:r>
      <w:r w:rsidRPr="00006435">
        <w:rPr>
          <w:iCs/>
        </w:rPr>
        <w:t xml:space="preserve">However, the proposed price equivalence between the SAR 150mg and SAR 200mg formulations would result in a significant price advantage </w:t>
      </w:r>
      <w:r w:rsidR="00145D79" w:rsidRPr="00006435">
        <w:rPr>
          <w:iCs/>
        </w:rPr>
        <w:t xml:space="preserve">(double the cost) </w:t>
      </w:r>
      <w:r w:rsidRPr="00006435">
        <w:rPr>
          <w:iCs/>
        </w:rPr>
        <w:t>for SAR compared to TCZ at the reduced dosages for the management of adverse events</w:t>
      </w:r>
      <w:r w:rsidR="00307AEB" w:rsidRPr="00006435">
        <w:rPr>
          <w:iCs/>
        </w:rPr>
        <w:t xml:space="preserve">. </w:t>
      </w:r>
    </w:p>
    <w:p w:rsidR="007454EA" w:rsidRPr="00F3476E" w:rsidRDefault="007454EA" w:rsidP="007454EA">
      <w:pPr>
        <w:pStyle w:val="ListParagraph"/>
        <w:ind w:left="709"/>
        <w:rPr>
          <w:i/>
        </w:rPr>
      </w:pPr>
      <w:r w:rsidRPr="00F3476E">
        <w:rPr>
          <w:i/>
        </w:rPr>
        <w:t>For more detail on PBAC’s view, see section 7 PBAC outcome.</w:t>
      </w:r>
    </w:p>
    <w:p w:rsidR="00B50DB8" w:rsidRPr="00006435" w:rsidRDefault="00B50DB8" w:rsidP="00127F36">
      <w:pPr>
        <w:pStyle w:val="PBACHeading1"/>
      </w:pPr>
      <w:bookmarkStart w:id="2" w:name="_Toc524441610"/>
      <w:r w:rsidRPr="00006435">
        <w:t>Background</w:t>
      </w:r>
      <w:bookmarkEnd w:id="2"/>
    </w:p>
    <w:p w:rsidR="00B60939" w:rsidRPr="00006435" w:rsidRDefault="00591957" w:rsidP="00127F36">
      <w:pPr>
        <w:pStyle w:val="Heading2"/>
      </w:pPr>
      <w:r w:rsidRPr="00006435">
        <w:t>Registration status</w:t>
      </w:r>
    </w:p>
    <w:p w:rsidR="00DE1BF3" w:rsidRPr="00006435" w:rsidRDefault="00E3093F" w:rsidP="002C53C8">
      <w:pPr>
        <w:pStyle w:val="ListParagraph"/>
        <w:widowControl/>
        <w:numPr>
          <w:ilvl w:val="1"/>
          <w:numId w:val="3"/>
        </w:numPr>
      </w:pPr>
      <w:r w:rsidRPr="00006435">
        <w:t xml:space="preserve">TGA status at the time of </w:t>
      </w:r>
      <w:r w:rsidR="00812273" w:rsidRPr="00006435">
        <w:t>PBAC consideration</w:t>
      </w:r>
      <w:r w:rsidRPr="00006435">
        <w:t>:</w:t>
      </w:r>
      <w:r w:rsidRPr="00006435">
        <w:rPr>
          <w:b/>
        </w:rPr>
        <w:t xml:space="preserve"> </w:t>
      </w:r>
      <w:r w:rsidR="00823E44" w:rsidRPr="00006435">
        <w:t>The submission was made unde</w:t>
      </w:r>
      <w:r w:rsidR="008F6D0E" w:rsidRPr="00006435">
        <w:t>r the TGA/PBAC Parallel Process and the second round Clinical Evaluation Report was provided with the submission.</w:t>
      </w:r>
      <w:r w:rsidR="00823E44" w:rsidRPr="00006435">
        <w:t xml:space="preserve">  </w:t>
      </w:r>
      <w:proofErr w:type="spellStart"/>
      <w:r w:rsidR="00641EF7" w:rsidRPr="00006435">
        <w:t>Sarilumab</w:t>
      </w:r>
      <w:proofErr w:type="spellEnd"/>
      <w:r w:rsidR="00641EF7" w:rsidRPr="00006435">
        <w:t xml:space="preserve"> was TGA registered on 14 September 2018</w:t>
      </w:r>
      <w:r w:rsidR="00BD1EF7" w:rsidRPr="00006435">
        <w:t>, with the following indication:</w:t>
      </w:r>
    </w:p>
    <w:p w:rsidR="00BD1EF7" w:rsidRPr="00F3476E" w:rsidRDefault="00BD1EF7" w:rsidP="002C53C8">
      <w:pPr>
        <w:widowControl/>
        <w:autoSpaceDE w:val="0"/>
        <w:autoSpaceDN w:val="0"/>
        <w:adjustRightInd w:val="0"/>
        <w:spacing w:after="120"/>
        <w:ind w:left="720"/>
        <w:jc w:val="left"/>
        <w:rPr>
          <w:rFonts w:cs="Calibri"/>
          <w:iCs/>
          <w:snapToGrid/>
          <w:szCs w:val="24"/>
          <w:lang w:eastAsia="en-AU"/>
        </w:rPr>
      </w:pPr>
      <w:r w:rsidRPr="00F3476E">
        <w:rPr>
          <w:rFonts w:cs="Calibri"/>
          <w:snapToGrid/>
          <w:szCs w:val="24"/>
          <w:lang w:eastAsia="en-AU"/>
        </w:rPr>
        <w:t>“</w:t>
      </w:r>
      <w:proofErr w:type="spellStart"/>
      <w:r w:rsidRPr="00F3476E">
        <w:rPr>
          <w:rFonts w:cs="Calibri"/>
          <w:iCs/>
          <w:snapToGrid/>
          <w:szCs w:val="24"/>
          <w:lang w:eastAsia="en-AU"/>
        </w:rPr>
        <w:t>Kevzara</w:t>
      </w:r>
      <w:proofErr w:type="spellEnd"/>
      <w:r w:rsidRPr="00F3476E">
        <w:rPr>
          <w:rFonts w:cs="Calibri"/>
          <w:iCs/>
          <w:snapToGrid/>
          <w:szCs w:val="24"/>
          <w:lang w:eastAsia="en-AU"/>
        </w:rPr>
        <w:t xml:space="preserve"> in combination with non-biological Disease-Modifying Anti-Rheumatic Drugs (DMARDs) or as monotherapy is indicated for the treatment of moderate to severe active Rheumatoid Arthritis in adult patients who have had an inadequate response or intolerance to one or more DMARDs.</w:t>
      </w:r>
      <w:r w:rsidRPr="00F3476E">
        <w:rPr>
          <w:rFonts w:cs="Calibri"/>
          <w:snapToGrid/>
          <w:szCs w:val="24"/>
          <w:lang w:eastAsia="en-AU"/>
        </w:rPr>
        <w:t>”</w:t>
      </w:r>
    </w:p>
    <w:p w:rsidR="00DE1BF3" w:rsidRPr="00006435" w:rsidRDefault="00DE1BF3" w:rsidP="002C53C8">
      <w:pPr>
        <w:pStyle w:val="ListParagraph"/>
        <w:widowControl/>
        <w:numPr>
          <w:ilvl w:val="1"/>
          <w:numId w:val="3"/>
        </w:numPr>
      </w:pPr>
      <w:r w:rsidRPr="00006435">
        <w:rPr>
          <w:iCs/>
        </w:rPr>
        <w:t>The TGA previously considered an application to register SAR for the treatment of RA in December 2016, but the Sponsor voluntarily withdrew the application due to disagreement over the recommended starting dose</w:t>
      </w:r>
      <w:r w:rsidR="00004656" w:rsidRPr="00006435">
        <w:rPr>
          <w:iCs/>
        </w:rPr>
        <w:t xml:space="preserve"> (150mg q2w, with the option to increase to 200mg q2w if clinically appropriate)</w:t>
      </w:r>
      <w:r w:rsidR="00470F25" w:rsidRPr="00006435">
        <w:rPr>
          <w:iCs/>
        </w:rPr>
        <w:t>.</w:t>
      </w:r>
      <w:r w:rsidRPr="00006435">
        <w:rPr>
          <w:iCs/>
        </w:rPr>
        <w:t xml:space="preserve"> </w:t>
      </w:r>
      <w:r w:rsidR="004E5EFE" w:rsidRPr="00006435">
        <w:rPr>
          <w:iCs/>
        </w:rPr>
        <w:t xml:space="preserve">The most recent </w:t>
      </w:r>
      <w:r w:rsidRPr="00006435">
        <w:rPr>
          <w:iCs/>
        </w:rPr>
        <w:t>TGA application</w:t>
      </w:r>
      <w:r w:rsidR="00C84841" w:rsidRPr="00006435">
        <w:rPr>
          <w:iCs/>
        </w:rPr>
        <w:t xml:space="preserve">, </w:t>
      </w:r>
      <w:r w:rsidR="00004656" w:rsidRPr="00006435">
        <w:rPr>
          <w:iCs/>
        </w:rPr>
        <w:t>which included new evidence</w:t>
      </w:r>
      <w:r w:rsidRPr="00006435">
        <w:rPr>
          <w:iCs/>
        </w:rPr>
        <w:t xml:space="preserve">, </w:t>
      </w:r>
      <w:r w:rsidR="004E5EFE" w:rsidRPr="00006435">
        <w:rPr>
          <w:iCs/>
        </w:rPr>
        <w:t>was approved with a</w:t>
      </w:r>
      <w:r w:rsidRPr="00006435">
        <w:rPr>
          <w:iCs/>
        </w:rPr>
        <w:t xml:space="preserve"> recommended starting dose of 200mg </w:t>
      </w:r>
      <w:r w:rsidR="00C84841" w:rsidRPr="00006435">
        <w:t>every two weeks</w:t>
      </w:r>
      <w:r w:rsidR="00C84841" w:rsidRPr="00006435">
        <w:rPr>
          <w:iCs/>
        </w:rPr>
        <w:t xml:space="preserve"> (</w:t>
      </w:r>
      <w:r w:rsidRPr="00006435">
        <w:rPr>
          <w:iCs/>
        </w:rPr>
        <w:t>q2w</w:t>
      </w:r>
      <w:r w:rsidR="00C84841" w:rsidRPr="00006435">
        <w:rPr>
          <w:iCs/>
        </w:rPr>
        <w:t>)</w:t>
      </w:r>
      <w:r w:rsidRPr="00006435">
        <w:rPr>
          <w:iCs/>
        </w:rPr>
        <w:t xml:space="preserve"> with subsequent </w:t>
      </w:r>
      <w:r w:rsidR="00004656" w:rsidRPr="00006435">
        <w:rPr>
          <w:iCs/>
        </w:rPr>
        <w:t xml:space="preserve">(temporary) </w:t>
      </w:r>
      <w:r w:rsidRPr="00006435">
        <w:rPr>
          <w:iCs/>
        </w:rPr>
        <w:t xml:space="preserve">dose reduction </w:t>
      </w:r>
      <w:r w:rsidR="00004656" w:rsidRPr="00006435">
        <w:rPr>
          <w:iCs/>
        </w:rPr>
        <w:t>to 150mg q2w for the management of adverse events.</w:t>
      </w:r>
    </w:p>
    <w:p w:rsidR="007454EA" w:rsidRPr="00F3476E" w:rsidRDefault="007454EA" w:rsidP="007454EA">
      <w:pPr>
        <w:pStyle w:val="ListParagraph"/>
        <w:ind w:left="709"/>
        <w:rPr>
          <w:i/>
        </w:rPr>
      </w:pPr>
      <w:r w:rsidRPr="00F3476E">
        <w:rPr>
          <w:i/>
        </w:rPr>
        <w:t>For more detail on PBAC’s view, see section 7 PBAC outcome.</w:t>
      </w:r>
    </w:p>
    <w:p w:rsidR="00B50DB8" w:rsidRPr="00127F36" w:rsidRDefault="00203181" w:rsidP="00127F36">
      <w:pPr>
        <w:pStyle w:val="PBACHeading1"/>
      </w:pPr>
      <w:bookmarkStart w:id="3" w:name="_Toc524441611"/>
      <w:r w:rsidRPr="00127F36">
        <w:lastRenderedPageBreak/>
        <w:t xml:space="preserve">Population and </w:t>
      </w:r>
      <w:r w:rsidR="008E0D3C" w:rsidRPr="00127F36">
        <w:t>d</w:t>
      </w:r>
      <w:r w:rsidRPr="00127F36">
        <w:t>isease</w:t>
      </w:r>
      <w:bookmarkEnd w:id="3"/>
    </w:p>
    <w:p w:rsidR="000348F2" w:rsidRPr="00006435" w:rsidRDefault="000348F2" w:rsidP="002C53C8">
      <w:pPr>
        <w:pStyle w:val="ListParagraph"/>
        <w:keepNext/>
        <w:widowControl/>
        <w:numPr>
          <w:ilvl w:val="1"/>
          <w:numId w:val="3"/>
        </w:numPr>
      </w:pPr>
      <w:r w:rsidRPr="00006435">
        <w:t>RA is a chronic, progressive, debilitating autoimmune disease that occurs in approximately 1% of the adult population.  The disease is characterised by chronic inflammation of the synovium, which over time results in damage to the joints leading to pain and disability, and reduces life expectancy.  The onset of RA may occur at any age, but most commonly occurs in people aged 40 to 70 years.</w:t>
      </w:r>
    </w:p>
    <w:p w:rsidR="006A2905" w:rsidRPr="00006435" w:rsidRDefault="006A2905" w:rsidP="002C53C8">
      <w:pPr>
        <w:pStyle w:val="ListParagraph"/>
        <w:widowControl/>
        <w:numPr>
          <w:ilvl w:val="1"/>
          <w:numId w:val="3"/>
        </w:numPr>
      </w:pPr>
      <w:r w:rsidRPr="00006435">
        <w:t>The clinical management algorithm for severe RA is well established.  To qualify for initial therapy with a biologic Disease-Modifying Anti-Rheumatoid Drug</w:t>
      </w:r>
      <w:r w:rsidR="00476237" w:rsidRPr="00006435">
        <w:t xml:space="preserve"> (</w:t>
      </w:r>
      <w:proofErr w:type="spellStart"/>
      <w:r w:rsidR="00476237" w:rsidRPr="00006435">
        <w:t>bDMARD</w:t>
      </w:r>
      <w:proofErr w:type="spellEnd"/>
      <w:r w:rsidR="00313745" w:rsidRPr="00006435">
        <w:t>)</w:t>
      </w:r>
      <w:r w:rsidRPr="00006435">
        <w:t xml:space="preserve"> </w:t>
      </w:r>
      <w:r w:rsidR="00313745" w:rsidRPr="00006435">
        <w:t>or target synthetic DMARD (</w:t>
      </w:r>
      <w:proofErr w:type="spellStart"/>
      <w:r w:rsidRPr="00006435">
        <w:t>tsDMARD</w:t>
      </w:r>
      <w:proofErr w:type="spellEnd"/>
      <w:r w:rsidRPr="00006435">
        <w:t xml:space="preserve">), patients must first have failed to achieve an adequate response to at least six months of therapy with </w:t>
      </w:r>
      <w:r w:rsidR="00476237" w:rsidRPr="00006435">
        <w:t>conventional DMARDs (such as methotrexate)</w:t>
      </w:r>
      <w:r w:rsidRPr="00006435">
        <w:t xml:space="preserve">.  Continued treatment is dependent on demonstrating and maintaining a response to therapy.  Over a lifetime, patients are restricted to fail or cease to respond to a maximum of five </w:t>
      </w:r>
      <w:proofErr w:type="spellStart"/>
      <w:r w:rsidRPr="00006435">
        <w:t>bDMARDs</w:t>
      </w:r>
      <w:proofErr w:type="spellEnd"/>
      <w:r w:rsidRPr="00006435">
        <w:t>/</w:t>
      </w:r>
      <w:proofErr w:type="spellStart"/>
      <w:r w:rsidRPr="00006435">
        <w:t>tsDMARDs</w:t>
      </w:r>
      <w:proofErr w:type="spellEnd"/>
      <w:r w:rsidRPr="00006435">
        <w:t>, and patients may only fail or cease to respond to each drug once.</w:t>
      </w:r>
    </w:p>
    <w:p w:rsidR="00F141F1" w:rsidRPr="00006435" w:rsidRDefault="00A52DE5" w:rsidP="002C53C8">
      <w:pPr>
        <w:pStyle w:val="ListParagraph"/>
        <w:widowControl/>
        <w:numPr>
          <w:ilvl w:val="1"/>
          <w:numId w:val="3"/>
        </w:numPr>
      </w:pPr>
      <w:r w:rsidRPr="00006435">
        <w:t>SAR is a</w:t>
      </w:r>
      <w:r w:rsidR="00C5417D" w:rsidRPr="00006435">
        <w:t xml:space="preserve"> humanised immunoglobulin G subclass 1 (IgG1) monoclonal antibody that binds to interleukin 6 (IL-6) receptors.  IL-6 is involved in diverse physiological processes such as migration and activation of T-cells, B-cells, monocytes and osteoclasts leading to systemic inflammation, synovial inflammation and bone erosion in patients with RA.  The reduction of inflammation that occurs with IL-6 receptor blockade is associated with laboratory changes such as decrease in </w:t>
      </w:r>
      <w:r w:rsidR="00E81611" w:rsidRPr="00006435">
        <w:t xml:space="preserve">absolute neutrophil count </w:t>
      </w:r>
      <w:r w:rsidR="00C5417D" w:rsidRPr="00006435">
        <w:t>and elevation in lipids.</w:t>
      </w:r>
    </w:p>
    <w:p w:rsidR="00E55BB5" w:rsidRPr="00006435" w:rsidRDefault="00F141F1" w:rsidP="002C53C8">
      <w:pPr>
        <w:pStyle w:val="ListParagraph"/>
        <w:widowControl/>
        <w:numPr>
          <w:ilvl w:val="1"/>
          <w:numId w:val="3"/>
        </w:numPr>
      </w:pPr>
      <w:r w:rsidRPr="00006435">
        <w:t xml:space="preserve">SAR would become one of several </w:t>
      </w:r>
      <w:proofErr w:type="spellStart"/>
      <w:r w:rsidR="00C5417D" w:rsidRPr="00006435">
        <w:t>bDMARDs</w:t>
      </w:r>
      <w:proofErr w:type="spellEnd"/>
      <w:r w:rsidRPr="00006435">
        <w:t xml:space="preserve"> </w:t>
      </w:r>
      <w:r w:rsidR="00C5417D" w:rsidRPr="00006435">
        <w:t xml:space="preserve">and the second IL-6 inhibitor </w:t>
      </w:r>
      <w:r w:rsidRPr="00006435">
        <w:t>listed on the PBS listed for patients with severe active RA</w:t>
      </w:r>
      <w:r w:rsidR="00C5417D" w:rsidRPr="00006435">
        <w:t xml:space="preserve">.  </w:t>
      </w:r>
      <w:r w:rsidR="00B04B24" w:rsidRPr="00006435">
        <w:t xml:space="preserve">The recommended dose is SAR 200mg SC every two weeks </w:t>
      </w:r>
      <w:r w:rsidR="000F365A" w:rsidRPr="00006435">
        <w:t xml:space="preserve">(q2w) </w:t>
      </w:r>
      <w:r w:rsidR="00B04B24" w:rsidRPr="00006435">
        <w:t xml:space="preserve">with dose modification (interruption and temporary dose reduction to 150mg </w:t>
      </w:r>
      <w:r w:rsidR="000F365A" w:rsidRPr="00006435">
        <w:t>q2w</w:t>
      </w:r>
      <w:r w:rsidR="00B04B24" w:rsidRPr="00006435">
        <w:t>) recommended for management of neutropenia, thrombocytopenia and elevated liver enzymes.</w:t>
      </w:r>
    </w:p>
    <w:p w:rsidR="007454EA" w:rsidRPr="00F3476E" w:rsidRDefault="007454EA" w:rsidP="007454EA">
      <w:pPr>
        <w:pStyle w:val="ListParagraph"/>
        <w:ind w:left="709"/>
        <w:rPr>
          <w:i/>
        </w:rPr>
      </w:pPr>
      <w:r w:rsidRPr="00F3476E">
        <w:rPr>
          <w:i/>
        </w:rPr>
        <w:t>For more detail on PBAC’s view, see section 7 PBAC outcome.</w:t>
      </w:r>
    </w:p>
    <w:p w:rsidR="00B50DB8" w:rsidRPr="00006435" w:rsidRDefault="00B50DB8" w:rsidP="00127F36">
      <w:pPr>
        <w:pStyle w:val="PBACHeading1"/>
      </w:pPr>
      <w:bookmarkStart w:id="4" w:name="_Toc524441612"/>
      <w:r w:rsidRPr="00006435">
        <w:t>Comparator</w:t>
      </w:r>
      <w:bookmarkEnd w:id="4"/>
    </w:p>
    <w:p w:rsidR="005002BA" w:rsidRPr="00006435" w:rsidRDefault="00B04B24" w:rsidP="002C53C8">
      <w:pPr>
        <w:pStyle w:val="ListParagraph"/>
        <w:widowControl/>
        <w:numPr>
          <w:ilvl w:val="1"/>
          <w:numId w:val="3"/>
        </w:numPr>
      </w:pPr>
      <w:r w:rsidRPr="00006435">
        <w:rPr>
          <w:rFonts w:cs="Calibri"/>
          <w:snapToGrid/>
          <w:szCs w:val="24"/>
          <w:lang w:eastAsia="en-AU"/>
        </w:rPr>
        <w:t xml:space="preserve">The submission nominated </w:t>
      </w:r>
      <w:proofErr w:type="spellStart"/>
      <w:r w:rsidR="00EF6F05" w:rsidRPr="00006435">
        <w:rPr>
          <w:rFonts w:cs="Calibri"/>
          <w:snapToGrid/>
          <w:szCs w:val="24"/>
          <w:lang w:eastAsia="en-AU"/>
        </w:rPr>
        <w:t>tocilizumab</w:t>
      </w:r>
      <w:proofErr w:type="spellEnd"/>
      <w:r w:rsidR="00EF6F05" w:rsidRPr="00006435">
        <w:rPr>
          <w:rFonts w:cs="Calibri"/>
          <w:snapToGrid/>
          <w:szCs w:val="24"/>
          <w:lang w:eastAsia="en-AU"/>
        </w:rPr>
        <w:t xml:space="preserve"> (</w:t>
      </w:r>
      <w:r w:rsidRPr="00006435">
        <w:rPr>
          <w:rFonts w:cs="Calibri"/>
          <w:snapToGrid/>
          <w:szCs w:val="24"/>
          <w:lang w:eastAsia="en-AU"/>
        </w:rPr>
        <w:t>TCZ</w:t>
      </w:r>
      <w:r w:rsidR="00EF6F05" w:rsidRPr="00006435">
        <w:rPr>
          <w:rFonts w:cs="Calibri"/>
          <w:snapToGrid/>
          <w:szCs w:val="24"/>
          <w:lang w:eastAsia="en-AU"/>
        </w:rPr>
        <w:t>)</w:t>
      </w:r>
      <w:r w:rsidRPr="00006435">
        <w:rPr>
          <w:rFonts w:cs="Calibri"/>
          <w:snapToGrid/>
          <w:szCs w:val="24"/>
          <w:lang w:eastAsia="en-AU"/>
        </w:rPr>
        <w:t>, and specifically the SC formulation</w:t>
      </w:r>
      <w:r w:rsidR="00D853A4" w:rsidRPr="00006435">
        <w:rPr>
          <w:rFonts w:cs="Calibri"/>
          <w:snapToGrid/>
          <w:szCs w:val="24"/>
          <w:lang w:eastAsia="en-AU"/>
        </w:rPr>
        <w:t>,</w:t>
      </w:r>
      <w:r w:rsidRPr="00006435">
        <w:rPr>
          <w:rFonts w:cs="Calibri"/>
          <w:snapToGrid/>
          <w:szCs w:val="24"/>
          <w:lang w:eastAsia="en-AU"/>
        </w:rPr>
        <w:t xml:space="preserve"> as </w:t>
      </w:r>
      <w:r w:rsidR="00995F20" w:rsidRPr="00006435">
        <w:rPr>
          <w:rFonts w:cs="Calibri"/>
          <w:snapToGrid/>
          <w:szCs w:val="24"/>
          <w:lang w:eastAsia="en-AU"/>
        </w:rPr>
        <w:t xml:space="preserve">an </w:t>
      </w:r>
      <w:r w:rsidRPr="00006435">
        <w:rPr>
          <w:rFonts w:cs="Calibri"/>
          <w:iCs/>
          <w:snapToGrid/>
          <w:szCs w:val="24"/>
          <w:lang w:eastAsia="en-AU"/>
        </w:rPr>
        <w:t>appropriate</w:t>
      </w:r>
      <w:r w:rsidRPr="00006435">
        <w:rPr>
          <w:rFonts w:cs="Calibri"/>
          <w:snapToGrid/>
          <w:szCs w:val="24"/>
          <w:lang w:eastAsia="en-AU"/>
        </w:rPr>
        <w:t xml:space="preserve"> comparator.  </w:t>
      </w:r>
      <w:r w:rsidR="002F4843" w:rsidRPr="00006435">
        <w:rPr>
          <w:rFonts w:cs="Calibri"/>
          <w:snapToGrid/>
          <w:szCs w:val="24"/>
          <w:lang w:eastAsia="en-AU"/>
        </w:rPr>
        <w:t xml:space="preserve">TCZ is an IL-6 inhibitor (a pharmacological analogue), the only IL-6 inhibitor listed on the PBS for RA, and the SC formulation is the same route of administration as SAR.  </w:t>
      </w:r>
      <w:r w:rsidR="005002BA" w:rsidRPr="00006435">
        <w:rPr>
          <w:rFonts w:cs="Calibri"/>
          <w:iCs/>
          <w:snapToGrid/>
          <w:szCs w:val="24"/>
          <w:lang w:eastAsia="en-AU"/>
        </w:rPr>
        <w:t xml:space="preserve">However, </w:t>
      </w:r>
      <w:proofErr w:type="spellStart"/>
      <w:r w:rsidR="005A5B2A" w:rsidRPr="00006435">
        <w:rPr>
          <w:rFonts w:cs="Calibri"/>
          <w:iCs/>
          <w:snapToGrid/>
          <w:szCs w:val="24"/>
          <w:lang w:eastAsia="en-AU"/>
        </w:rPr>
        <w:t>abatacept</w:t>
      </w:r>
      <w:proofErr w:type="spellEnd"/>
      <w:r w:rsidR="005A5B2A" w:rsidRPr="00006435">
        <w:rPr>
          <w:rFonts w:cs="Calibri"/>
          <w:iCs/>
          <w:snapToGrid/>
          <w:szCs w:val="24"/>
          <w:lang w:eastAsia="en-AU"/>
        </w:rPr>
        <w:t xml:space="preserve">, </w:t>
      </w:r>
      <w:proofErr w:type="spellStart"/>
      <w:r w:rsidR="005A5B2A" w:rsidRPr="00006435">
        <w:rPr>
          <w:rFonts w:cs="Calibri"/>
          <w:iCs/>
          <w:snapToGrid/>
          <w:szCs w:val="24"/>
          <w:lang w:eastAsia="en-AU"/>
        </w:rPr>
        <w:t>adalimumab</w:t>
      </w:r>
      <w:proofErr w:type="spellEnd"/>
      <w:r w:rsidR="005A5B2A" w:rsidRPr="00006435">
        <w:rPr>
          <w:rFonts w:cs="Calibri"/>
          <w:iCs/>
          <w:snapToGrid/>
          <w:szCs w:val="24"/>
          <w:lang w:eastAsia="en-AU"/>
        </w:rPr>
        <w:t xml:space="preserve">, </w:t>
      </w:r>
      <w:proofErr w:type="spellStart"/>
      <w:r w:rsidR="003223B8" w:rsidRPr="00006435">
        <w:rPr>
          <w:rFonts w:cs="Calibri"/>
          <w:iCs/>
          <w:snapToGrid/>
          <w:szCs w:val="24"/>
          <w:lang w:eastAsia="en-AU"/>
        </w:rPr>
        <w:t>certolizumab</w:t>
      </w:r>
      <w:proofErr w:type="spellEnd"/>
      <w:r w:rsidR="005A5B2A" w:rsidRPr="00006435">
        <w:rPr>
          <w:rFonts w:cs="Calibri"/>
          <w:iCs/>
          <w:snapToGrid/>
          <w:szCs w:val="24"/>
          <w:lang w:eastAsia="en-AU"/>
        </w:rPr>
        <w:t xml:space="preserve"> </w:t>
      </w:r>
      <w:proofErr w:type="spellStart"/>
      <w:r w:rsidR="005A5B2A" w:rsidRPr="00006435">
        <w:rPr>
          <w:rFonts w:cs="Calibri"/>
          <w:iCs/>
          <w:snapToGrid/>
          <w:szCs w:val="24"/>
          <w:lang w:eastAsia="en-AU"/>
        </w:rPr>
        <w:t>pegol</w:t>
      </w:r>
      <w:proofErr w:type="spellEnd"/>
      <w:r w:rsidR="005A5B2A" w:rsidRPr="00006435">
        <w:rPr>
          <w:rFonts w:cs="Calibri"/>
          <w:iCs/>
          <w:snapToGrid/>
          <w:szCs w:val="24"/>
          <w:lang w:eastAsia="en-AU"/>
        </w:rPr>
        <w:t xml:space="preserve">, etanercept, </w:t>
      </w:r>
      <w:proofErr w:type="spellStart"/>
      <w:r w:rsidR="001A57AA" w:rsidRPr="00006435">
        <w:rPr>
          <w:rFonts w:cs="Calibri"/>
          <w:iCs/>
          <w:snapToGrid/>
          <w:szCs w:val="24"/>
          <w:lang w:eastAsia="en-AU"/>
        </w:rPr>
        <w:t>golimumab</w:t>
      </w:r>
      <w:proofErr w:type="spellEnd"/>
      <w:r w:rsidR="001A57AA" w:rsidRPr="00006435">
        <w:rPr>
          <w:rFonts w:cs="Calibri"/>
          <w:iCs/>
          <w:snapToGrid/>
          <w:szCs w:val="24"/>
          <w:lang w:eastAsia="en-AU"/>
        </w:rPr>
        <w:t xml:space="preserve">, infliximab, rituximab and </w:t>
      </w:r>
      <w:proofErr w:type="spellStart"/>
      <w:r w:rsidR="001A57AA" w:rsidRPr="00006435">
        <w:rPr>
          <w:rFonts w:cs="Calibri"/>
          <w:iCs/>
          <w:snapToGrid/>
          <w:szCs w:val="24"/>
          <w:lang w:eastAsia="en-AU"/>
        </w:rPr>
        <w:t>tofacitinib</w:t>
      </w:r>
      <w:proofErr w:type="spellEnd"/>
      <w:r w:rsidR="005002BA" w:rsidRPr="00006435">
        <w:rPr>
          <w:rFonts w:cs="Calibri"/>
          <w:iCs/>
          <w:snapToGrid/>
          <w:szCs w:val="24"/>
          <w:lang w:eastAsia="en-AU"/>
        </w:rPr>
        <w:t xml:space="preserve"> are also listed on the PBS listed for the treatment of severe </w:t>
      </w:r>
      <w:r w:rsidR="00D67904" w:rsidRPr="00006435">
        <w:rPr>
          <w:rFonts w:cs="Calibri"/>
          <w:iCs/>
          <w:snapToGrid/>
          <w:szCs w:val="24"/>
          <w:lang w:eastAsia="en-AU"/>
        </w:rPr>
        <w:t>RA</w:t>
      </w:r>
      <w:r w:rsidR="005002BA" w:rsidRPr="00006435">
        <w:rPr>
          <w:rFonts w:cs="Calibri"/>
          <w:iCs/>
          <w:snapToGrid/>
          <w:szCs w:val="24"/>
          <w:lang w:eastAsia="en-AU"/>
        </w:rPr>
        <w:t xml:space="preserve"> and may be replaced by TCZ</w:t>
      </w:r>
      <w:r w:rsidR="00D67904" w:rsidRPr="00006435">
        <w:rPr>
          <w:rFonts w:cs="Calibri"/>
          <w:iCs/>
          <w:snapToGrid/>
          <w:szCs w:val="24"/>
          <w:lang w:eastAsia="en-AU"/>
        </w:rPr>
        <w:t>,</w:t>
      </w:r>
      <w:r w:rsidR="005002BA" w:rsidRPr="00006435">
        <w:rPr>
          <w:rFonts w:cs="Calibri"/>
          <w:iCs/>
          <w:snapToGrid/>
          <w:szCs w:val="24"/>
          <w:lang w:eastAsia="en-AU"/>
        </w:rPr>
        <w:t xml:space="preserve"> and are therefore also relevant comparators.</w:t>
      </w:r>
      <w:r w:rsidR="00995F20" w:rsidRPr="00006435">
        <w:rPr>
          <w:rFonts w:cs="Calibri"/>
          <w:snapToGrid/>
          <w:szCs w:val="24"/>
          <w:lang w:eastAsia="en-AU"/>
        </w:rPr>
        <w:t xml:space="preserve"> </w:t>
      </w:r>
      <w:r w:rsidR="00D67904" w:rsidRPr="00006435">
        <w:rPr>
          <w:rFonts w:cs="Calibri"/>
          <w:snapToGrid/>
          <w:szCs w:val="24"/>
          <w:lang w:eastAsia="en-AU"/>
        </w:rPr>
        <w:t xml:space="preserve"> </w:t>
      </w:r>
      <w:r w:rsidR="00995F20" w:rsidRPr="00006435">
        <w:rPr>
          <w:rFonts w:cs="Calibri"/>
          <w:snapToGrid/>
          <w:szCs w:val="24"/>
          <w:lang w:eastAsia="en-AU"/>
        </w:rPr>
        <w:t xml:space="preserve">The PBAC has previously noted that </w:t>
      </w:r>
      <w:proofErr w:type="spellStart"/>
      <w:r w:rsidR="00995F20" w:rsidRPr="00006435">
        <w:rPr>
          <w:rFonts w:cs="Calibri"/>
          <w:snapToGrid/>
          <w:szCs w:val="24"/>
          <w:lang w:eastAsia="en-AU"/>
        </w:rPr>
        <w:t>tocilizumab</w:t>
      </w:r>
      <w:proofErr w:type="spellEnd"/>
      <w:r w:rsidR="00995F20" w:rsidRPr="00006435">
        <w:rPr>
          <w:rFonts w:cs="Calibri"/>
          <w:snapToGrid/>
          <w:szCs w:val="24"/>
          <w:lang w:eastAsia="en-AU"/>
        </w:rPr>
        <w:t xml:space="preserve"> is non-inferior to other </w:t>
      </w:r>
      <w:proofErr w:type="spellStart"/>
      <w:r w:rsidR="003223B8" w:rsidRPr="00006435">
        <w:rPr>
          <w:rFonts w:cs="Calibri"/>
          <w:snapToGrid/>
          <w:szCs w:val="24"/>
          <w:lang w:eastAsia="en-AU"/>
        </w:rPr>
        <w:t>bDMARDs</w:t>
      </w:r>
      <w:proofErr w:type="spellEnd"/>
      <w:r w:rsidR="00995F20" w:rsidRPr="00006435">
        <w:rPr>
          <w:rFonts w:cs="Calibri"/>
          <w:snapToGrid/>
          <w:szCs w:val="24"/>
          <w:lang w:eastAsia="en-AU"/>
        </w:rPr>
        <w:t xml:space="preserve"> for the treatment of RA (PSD, paragraph 6.5, March 2016).</w:t>
      </w:r>
    </w:p>
    <w:p w:rsidR="00145D79" w:rsidRPr="00006435" w:rsidRDefault="00305817" w:rsidP="002C53C8">
      <w:pPr>
        <w:pStyle w:val="ListParagraph"/>
        <w:widowControl/>
        <w:numPr>
          <w:ilvl w:val="1"/>
          <w:numId w:val="3"/>
        </w:numPr>
      </w:pPr>
      <w:r w:rsidRPr="00006435">
        <w:rPr>
          <w:iCs/>
        </w:rPr>
        <w:t xml:space="preserve">Under section </w:t>
      </w:r>
      <w:r w:rsidRPr="00006435">
        <w:rPr>
          <w:rFonts w:cs="Calibri"/>
          <w:iCs/>
          <w:snapToGrid/>
          <w:szCs w:val="24"/>
          <w:lang w:eastAsia="en-AU"/>
        </w:rPr>
        <w:t xml:space="preserve">101(3B) of the National Health Act (1953) </w:t>
      </w:r>
      <w:r w:rsidRPr="00006435">
        <w:t xml:space="preserve">where therapy involving the use of a particular drug or medicinal preparation, or a class of drugs and medicinal </w:t>
      </w:r>
      <w:r w:rsidRPr="00006435">
        <w:lastRenderedPageBreak/>
        <w:t>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w:t>
      </w:r>
      <w:r w:rsidRPr="00006435">
        <w:rPr>
          <w:rFonts w:cs="Calibri"/>
          <w:iCs/>
          <w:snapToGrid/>
          <w:szCs w:val="24"/>
          <w:lang w:eastAsia="en-AU"/>
        </w:rPr>
        <w:t>-</w:t>
      </w:r>
      <w:r w:rsidRPr="00006435">
        <w:t>mentioned therapy, for some patients, provides a significant improvement in efficacy or reduction of toxicity over the alternative therapy or therapies</w:t>
      </w:r>
      <w:r w:rsidRPr="00006435">
        <w:rPr>
          <w:rFonts w:cs="Calibri"/>
          <w:iCs/>
          <w:snapToGrid/>
          <w:szCs w:val="24"/>
          <w:lang w:eastAsia="en-AU"/>
        </w:rPr>
        <w:t>.</w:t>
      </w:r>
      <w:r w:rsidR="00FB16C6" w:rsidRPr="00006435">
        <w:rPr>
          <w:rFonts w:cs="Calibri"/>
          <w:iCs/>
          <w:snapToGrid/>
          <w:szCs w:val="24"/>
          <w:lang w:eastAsia="en-AU"/>
        </w:rPr>
        <w:t xml:space="preserve"> The PBS therapeutic relativity sheets show</w:t>
      </w:r>
      <w:r w:rsidR="00712B47" w:rsidRPr="00006435">
        <w:rPr>
          <w:rFonts w:cs="Calibri"/>
          <w:iCs/>
          <w:snapToGrid/>
          <w:szCs w:val="24"/>
          <w:lang w:eastAsia="en-AU"/>
        </w:rPr>
        <w:t xml:space="preserve"> that</w:t>
      </w:r>
      <w:r w:rsidR="00FB16C6" w:rsidRPr="00006435">
        <w:rPr>
          <w:rFonts w:cs="Calibri"/>
          <w:iCs/>
          <w:snapToGrid/>
          <w:szCs w:val="24"/>
          <w:lang w:eastAsia="en-AU"/>
        </w:rPr>
        <w:t xml:space="preserve"> all </w:t>
      </w:r>
      <w:proofErr w:type="spellStart"/>
      <w:r w:rsidR="00FB16C6" w:rsidRPr="00006435">
        <w:rPr>
          <w:rFonts w:cs="Calibri"/>
          <w:iCs/>
          <w:snapToGrid/>
          <w:szCs w:val="24"/>
          <w:lang w:eastAsia="en-AU"/>
        </w:rPr>
        <w:t>bDMARDs</w:t>
      </w:r>
      <w:proofErr w:type="spellEnd"/>
      <w:r w:rsidR="00FB16C6" w:rsidRPr="00006435">
        <w:rPr>
          <w:rFonts w:cs="Calibri"/>
          <w:iCs/>
          <w:snapToGrid/>
          <w:szCs w:val="24"/>
          <w:lang w:eastAsia="en-AU"/>
        </w:rPr>
        <w:t xml:space="preserve"> (and </w:t>
      </w:r>
      <w:proofErr w:type="spellStart"/>
      <w:r w:rsidR="00FB16C6" w:rsidRPr="00006435">
        <w:rPr>
          <w:rFonts w:cs="Calibri"/>
          <w:iCs/>
          <w:snapToGrid/>
          <w:szCs w:val="24"/>
          <w:lang w:eastAsia="en-AU"/>
        </w:rPr>
        <w:t>tofacitinib</w:t>
      </w:r>
      <w:proofErr w:type="spellEnd"/>
      <w:r w:rsidR="00FB16C6" w:rsidRPr="00006435">
        <w:rPr>
          <w:rFonts w:cs="Calibri"/>
          <w:iCs/>
          <w:snapToGrid/>
          <w:szCs w:val="24"/>
          <w:lang w:eastAsia="en-AU"/>
        </w:rPr>
        <w:t xml:space="preserve">) currently PBS listed for RA </w:t>
      </w:r>
      <w:r w:rsidR="00712B47" w:rsidRPr="00006435">
        <w:rPr>
          <w:rFonts w:cs="Calibri"/>
          <w:iCs/>
          <w:snapToGrid/>
          <w:szCs w:val="24"/>
          <w:lang w:eastAsia="en-AU"/>
        </w:rPr>
        <w:t xml:space="preserve">are </w:t>
      </w:r>
      <w:r w:rsidR="00FB16C6" w:rsidRPr="00006435">
        <w:rPr>
          <w:rFonts w:cs="Calibri"/>
          <w:iCs/>
          <w:snapToGrid/>
          <w:szCs w:val="24"/>
          <w:lang w:eastAsia="en-AU"/>
        </w:rPr>
        <w:t>cost</w:t>
      </w:r>
      <w:r w:rsidR="00712B47" w:rsidRPr="00006435">
        <w:rPr>
          <w:rFonts w:cs="Calibri"/>
          <w:iCs/>
          <w:snapToGrid/>
          <w:szCs w:val="24"/>
          <w:lang w:eastAsia="en-AU"/>
        </w:rPr>
        <w:t>-</w:t>
      </w:r>
      <w:r w:rsidR="00FB16C6" w:rsidRPr="00006435">
        <w:rPr>
          <w:rFonts w:cs="Calibri"/>
          <w:iCs/>
          <w:snapToGrid/>
          <w:szCs w:val="24"/>
          <w:lang w:eastAsia="en-AU"/>
        </w:rPr>
        <w:t>minimis</w:t>
      </w:r>
      <w:r w:rsidR="00712B47" w:rsidRPr="00006435">
        <w:rPr>
          <w:rFonts w:cs="Calibri"/>
          <w:iCs/>
          <w:snapToGrid/>
          <w:szCs w:val="24"/>
          <w:lang w:eastAsia="en-AU"/>
        </w:rPr>
        <w:t>ed</w:t>
      </w:r>
      <w:r w:rsidR="00FB16C6" w:rsidRPr="00006435">
        <w:rPr>
          <w:rFonts w:cs="Calibri"/>
          <w:iCs/>
          <w:snapToGrid/>
          <w:szCs w:val="24"/>
          <w:lang w:eastAsia="en-AU"/>
        </w:rPr>
        <w:t xml:space="preserve"> with one or more </w:t>
      </w:r>
      <w:r w:rsidR="00712B47" w:rsidRPr="00006435">
        <w:rPr>
          <w:rFonts w:cs="Calibri"/>
          <w:iCs/>
          <w:snapToGrid/>
          <w:szCs w:val="24"/>
          <w:lang w:eastAsia="en-AU"/>
        </w:rPr>
        <w:t xml:space="preserve">of the </w:t>
      </w:r>
      <w:r w:rsidR="00FB16C6" w:rsidRPr="00006435">
        <w:rPr>
          <w:rFonts w:cs="Calibri"/>
          <w:iCs/>
          <w:snapToGrid/>
          <w:szCs w:val="24"/>
          <w:lang w:eastAsia="en-AU"/>
        </w:rPr>
        <w:t xml:space="preserve">alternative </w:t>
      </w:r>
      <w:proofErr w:type="spellStart"/>
      <w:r w:rsidR="00712B47" w:rsidRPr="00006435">
        <w:rPr>
          <w:rFonts w:cs="Calibri"/>
          <w:iCs/>
          <w:snapToGrid/>
          <w:szCs w:val="24"/>
          <w:lang w:eastAsia="en-AU"/>
        </w:rPr>
        <w:t>bDMARD</w:t>
      </w:r>
      <w:proofErr w:type="spellEnd"/>
      <w:r w:rsidR="00712B47" w:rsidRPr="00006435">
        <w:rPr>
          <w:rFonts w:cs="Calibri"/>
          <w:iCs/>
          <w:snapToGrid/>
          <w:szCs w:val="24"/>
          <w:lang w:eastAsia="en-AU"/>
        </w:rPr>
        <w:t xml:space="preserve"> </w:t>
      </w:r>
      <w:r w:rsidR="00FB16C6" w:rsidRPr="00006435">
        <w:rPr>
          <w:rFonts w:cs="Calibri"/>
          <w:iCs/>
          <w:snapToGrid/>
          <w:szCs w:val="24"/>
          <w:lang w:eastAsia="en-AU"/>
        </w:rPr>
        <w:t>therapies.</w:t>
      </w:r>
    </w:p>
    <w:p w:rsidR="007454EA" w:rsidRPr="00F3476E" w:rsidRDefault="007454EA" w:rsidP="007454EA">
      <w:pPr>
        <w:pStyle w:val="ListParagraph"/>
        <w:ind w:left="709"/>
        <w:rPr>
          <w:i/>
        </w:rPr>
      </w:pPr>
      <w:r w:rsidRPr="00F3476E">
        <w:rPr>
          <w:i/>
        </w:rPr>
        <w:t>For more detail on PBAC’s view, see section 7 PBAC outcome.</w:t>
      </w:r>
    </w:p>
    <w:p w:rsidR="00B50DB8" w:rsidRPr="00006435" w:rsidRDefault="00BD6CF3" w:rsidP="00127F36">
      <w:pPr>
        <w:pStyle w:val="PBACHeading1"/>
      </w:pPr>
      <w:bookmarkStart w:id="5" w:name="_Toc524441613"/>
      <w:r w:rsidRPr="00006435">
        <w:t>C</w:t>
      </w:r>
      <w:r w:rsidR="00B50DB8" w:rsidRPr="00006435">
        <w:t>onsideration of the evidence</w:t>
      </w:r>
      <w:bookmarkEnd w:id="5"/>
    </w:p>
    <w:p w:rsidR="007454EA" w:rsidRPr="00F3476E" w:rsidRDefault="007454EA" w:rsidP="00127F36">
      <w:pPr>
        <w:pStyle w:val="Heading2"/>
      </w:pPr>
      <w:bookmarkStart w:id="6" w:name="_Toc524441614"/>
      <w:r w:rsidRPr="00F3476E">
        <w:t>Sponsor hearing</w:t>
      </w:r>
    </w:p>
    <w:p w:rsidR="007454EA" w:rsidRPr="00F3476E" w:rsidRDefault="007454EA" w:rsidP="007454EA">
      <w:pPr>
        <w:numPr>
          <w:ilvl w:val="1"/>
          <w:numId w:val="3"/>
        </w:numPr>
        <w:spacing w:after="120"/>
        <w:rPr>
          <w:bCs/>
        </w:rPr>
      </w:pPr>
      <w:r w:rsidRPr="00F3476E">
        <w:rPr>
          <w:bCs/>
        </w:rPr>
        <w:t>There was no hearing for this item.</w:t>
      </w:r>
    </w:p>
    <w:p w:rsidR="007454EA" w:rsidRPr="00F3476E" w:rsidRDefault="007454EA" w:rsidP="00127F36">
      <w:pPr>
        <w:pStyle w:val="Heading2"/>
      </w:pPr>
      <w:r w:rsidRPr="00F3476E">
        <w:t>Consumer comments</w:t>
      </w:r>
    </w:p>
    <w:p w:rsidR="007454EA" w:rsidRPr="00F3476E" w:rsidRDefault="007454EA" w:rsidP="007454EA">
      <w:pPr>
        <w:numPr>
          <w:ilvl w:val="1"/>
          <w:numId w:val="3"/>
        </w:numPr>
        <w:spacing w:after="120"/>
        <w:rPr>
          <w:bCs/>
        </w:rPr>
      </w:pPr>
      <w:r w:rsidRPr="00F3476E">
        <w:rPr>
          <w:bCs/>
        </w:rPr>
        <w:t>The PBAC noted there were no consumer comments received for this item.</w:t>
      </w:r>
    </w:p>
    <w:p w:rsidR="00B60939" w:rsidRPr="00127F36" w:rsidRDefault="00B60939" w:rsidP="00127F36">
      <w:pPr>
        <w:pStyle w:val="Heading2"/>
      </w:pPr>
      <w:r w:rsidRPr="00127F36">
        <w:t>Clinical trials</w:t>
      </w:r>
      <w:bookmarkEnd w:id="6"/>
    </w:p>
    <w:p w:rsidR="008C156B" w:rsidRPr="00006435" w:rsidRDefault="008C156B" w:rsidP="002C53C8">
      <w:pPr>
        <w:pStyle w:val="ListParagraph"/>
        <w:widowControl/>
        <w:numPr>
          <w:ilvl w:val="1"/>
          <w:numId w:val="3"/>
        </w:numPr>
      </w:pPr>
      <w:r w:rsidRPr="00006435">
        <w:t xml:space="preserve">The submission identified but excluded one head-to-head </w:t>
      </w:r>
      <w:r w:rsidR="0089209A" w:rsidRPr="00006435">
        <w:t xml:space="preserve">safety </w:t>
      </w:r>
      <w:r w:rsidRPr="00006435">
        <w:t>trial</w:t>
      </w:r>
      <w:r w:rsidR="00556C9B" w:rsidRPr="00006435">
        <w:t xml:space="preserve"> from the efficacy comparison</w:t>
      </w:r>
      <w:r w:rsidRPr="00006435">
        <w:t xml:space="preserve"> (ASCERTAIN) comparing SAR+MTX vs TCZ IV+MTX on the basis that the trial dose of TCZ IV (4mg-8mg/kg q4w titration regimen) does not match the approved dose (8mg/kg q4w).  </w:t>
      </w:r>
      <w:r w:rsidR="005C5115" w:rsidRPr="00006435">
        <w:t xml:space="preserve">This was reasonable. </w:t>
      </w:r>
      <w:r w:rsidR="00BA50C0" w:rsidRPr="00006435">
        <w:t xml:space="preserve"> </w:t>
      </w:r>
      <w:r w:rsidRPr="00006435">
        <w:rPr>
          <w:iCs/>
        </w:rPr>
        <w:t>Patients commenced on TCZ 4mg/kg q4w but 60.8% increased to TCZ 8mg/kg q4w during the treatment period, most after Week 4.</w:t>
      </w:r>
      <w:r w:rsidR="00C53C0E" w:rsidRPr="00006435">
        <w:rPr>
          <w:iCs/>
        </w:rPr>
        <w:t xml:space="preserve">  </w:t>
      </w:r>
      <w:r w:rsidR="008239E9" w:rsidRPr="00006435">
        <w:rPr>
          <w:iCs/>
        </w:rPr>
        <w:t>Results</w:t>
      </w:r>
      <w:r w:rsidR="00C53C0E" w:rsidRPr="00006435">
        <w:rPr>
          <w:iCs/>
        </w:rPr>
        <w:t xml:space="preserve"> from ASCERTAIN </w:t>
      </w:r>
      <w:r w:rsidR="00266E40" w:rsidRPr="00006435">
        <w:rPr>
          <w:iCs/>
        </w:rPr>
        <w:t xml:space="preserve">indicated </w:t>
      </w:r>
      <w:r w:rsidR="008239E9" w:rsidRPr="00006435">
        <w:rPr>
          <w:iCs/>
        </w:rPr>
        <w:t xml:space="preserve">similar efficacy (not powered) and safety for patients treated with </w:t>
      </w:r>
      <w:r w:rsidR="00266E40" w:rsidRPr="00006435">
        <w:rPr>
          <w:iCs/>
        </w:rPr>
        <w:t>SAR 200mg q2w and the TCZ IV titration dose.</w:t>
      </w:r>
    </w:p>
    <w:p w:rsidR="008E0D3C" w:rsidRPr="00006435" w:rsidRDefault="006E0B73" w:rsidP="002C53C8">
      <w:pPr>
        <w:pStyle w:val="ListParagraph"/>
        <w:widowControl/>
        <w:numPr>
          <w:ilvl w:val="1"/>
          <w:numId w:val="3"/>
        </w:numPr>
        <w:rPr>
          <w:rStyle w:val="CommentReference"/>
          <w:rFonts w:ascii="Calibri" w:hAnsi="Calibri"/>
          <w:b w:val="0"/>
          <w:sz w:val="24"/>
          <w:szCs w:val="22"/>
        </w:rPr>
      </w:pPr>
      <w:r w:rsidRPr="00006435">
        <w:rPr>
          <w:rFonts w:cs="Calibri"/>
          <w:snapToGrid/>
          <w:szCs w:val="24"/>
          <w:lang w:eastAsia="en-AU"/>
        </w:rPr>
        <w:t>The</w:t>
      </w:r>
      <w:r w:rsidRPr="00006435">
        <w:t xml:space="preserve"> submission was based on </w:t>
      </w:r>
      <w:r w:rsidRPr="00006435">
        <w:rPr>
          <w:u w:val="single"/>
        </w:rPr>
        <w:t>three</w:t>
      </w:r>
      <w:r w:rsidRPr="00006435">
        <w:t xml:space="preserve"> </w:t>
      </w:r>
      <w:r w:rsidR="005C5115" w:rsidRPr="00006435">
        <w:t>placebo (</w:t>
      </w:r>
      <w:r w:rsidRPr="00006435">
        <w:t>PBO</w:t>
      </w:r>
      <w:r w:rsidR="005C5115" w:rsidRPr="00006435">
        <w:t>)</w:t>
      </w:r>
      <w:r w:rsidRPr="00006435">
        <w:t xml:space="preserve"> </w:t>
      </w:r>
      <w:r w:rsidR="008C156B" w:rsidRPr="00006435">
        <w:t>or</w:t>
      </w:r>
      <w:r w:rsidRPr="00006435">
        <w:t xml:space="preserve"> </w:t>
      </w:r>
      <w:proofErr w:type="spellStart"/>
      <w:r w:rsidR="008C156B" w:rsidRPr="00006435">
        <w:t>adalimumab</w:t>
      </w:r>
      <w:proofErr w:type="spellEnd"/>
      <w:r w:rsidR="008C156B" w:rsidRPr="00006435">
        <w:t xml:space="preserve"> </w:t>
      </w:r>
      <w:r w:rsidRPr="00006435">
        <w:t xml:space="preserve">(ADA) controlled trials of SAR, </w:t>
      </w:r>
      <w:r w:rsidRPr="00006435">
        <w:rPr>
          <w:u w:val="single"/>
        </w:rPr>
        <w:t>seven</w:t>
      </w:r>
      <w:r w:rsidR="008C156B" w:rsidRPr="00006435">
        <w:t xml:space="preserve"> PBO or</w:t>
      </w:r>
      <w:r w:rsidRPr="00006435">
        <w:t xml:space="preserve"> ADA controlled trials of TCZ IV, </w:t>
      </w:r>
      <w:r w:rsidRPr="00006435">
        <w:rPr>
          <w:u w:val="single"/>
        </w:rPr>
        <w:t>one</w:t>
      </w:r>
      <w:r w:rsidRPr="00006435">
        <w:t xml:space="preserve"> PBO controlled trial of TCZ SC, and </w:t>
      </w:r>
      <w:r w:rsidRPr="00006435">
        <w:rPr>
          <w:u w:val="single"/>
        </w:rPr>
        <w:t>one</w:t>
      </w:r>
      <w:r w:rsidRPr="00006435">
        <w:t xml:space="preserve"> trial comparing TCZ IV and TCZ SC dosing regimens</w:t>
      </w:r>
      <w:r w:rsidR="008C156B" w:rsidRPr="00006435">
        <w:t>, summarised in the table below</w:t>
      </w:r>
      <w:r w:rsidRPr="00006435">
        <w:t xml:space="preserve">.  Long-term safety data was presented from </w:t>
      </w:r>
      <w:r w:rsidRPr="00006435">
        <w:rPr>
          <w:u w:val="single"/>
        </w:rPr>
        <w:t>one</w:t>
      </w:r>
      <w:r w:rsidRPr="00006435">
        <w:t xml:space="preserve"> extension study (EXTEND), which investigated safety and efficacy of SAR for up to five years.</w:t>
      </w:r>
    </w:p>
    <w:p w:rsidR="00463F46" w:rsidRPr="00006435" w:rsidRDefault="00463F46" w:rsidP="002C53C8">
      <w:pPr>
        <w:widowControl/>
        <w:rPr>
          <w:rStyle w:val="CommentReference"/>
        </w:rPr>
      </w:pPr>
      <w:bookmarkStart w:id="7" w:name="_GoBack"/>
      <w:r w:rsidRPr="00006435">
        <w:rPr>
          <w:rStyle w:val="CommentReference"/>
        </w:rPr>
        <w:t xml:space="preserve">Table </w:t>
      </w:r>
      <w:r w:rsidR="0049246D" w:rsidRPr="00006435">
        <w:rPr>
          <w:rStyle w:val="CommentReference"/>
        </w:rPr>
        <w:t>2</w:t>
      </w:r>
      <w:r w:rsidRPr="00006435">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6236"/>
        <w:gridCol w:w="1652"/>
      </w:tblGrid>
      <w:tr w:rsidR="008C156B" w:rsidRPr="00006435" w:rsidTr="004F77F6">
        <w:trPr>
          <w:tblHeader/>
        </w:trPr>
        <w:tc>
          <w:tcPr>
            <w:tcW w:w="626" w:type="pct"/>
            <w:vAlign w:val="center"/>
          </w:tcPr>
          <w:bookmarkEnd w:id="7"/>
          <w:p w:rsidR="008C156B" w:rsidRPr="00006435" w:rsidRDefault="008C156B" w:rsidP="002C53C8">
            <w:pPr>
              <w:pStyle w:val="Tabletext"/>
              <w:rPr>
                <w:b/>
              </w:rPr>
            </w:pPr>
            <w:r w:rsidRPr="00006435">
              <w:rPr>
                <w:b/>
              </w:rPr>
              <w:t>Trial ID</w:t>
            </w:r>
          </w:p>
        </w:tc>
        <w:tc>
          <w:tcPr>
            <w:tcW w:w="3458" w:type="pct"/>
            <w:vAlign w:val="center"/>
          </w:tcPr>
          <w:p w:rsidR="008C156B" w:rsidRPr="00006435" w:rsidRDefault="008C156B" w:rsidP="002C53C8">
            <w:pPr>
              <w:pStyle w:val="Tabletext"/>
              <w:jc w:val="center"/>
              <w:rPr>
                <w:b/>
              </w:rPr>
            </w:pPr>
            <w:r w:rsidRPr="00006435">
              <w:rPr>
                <w:b/>
              </w:rPr>
              <w:t>Protocol title/ Publication title</w:t>
            </w:r>
          </w:p>
        </w:tc>
        <w:tc>
          <w:tcPr>
            <w:tcW w:w="916" w:type="pct"/>
            <w:vAlign w:val="center"/>
          </w:tcPr>
          <w:p w:rsidR="008C156B" w:rsidRPr="00006435" w:rsidRDefault="008C156B" w:rsidP="002C53C8">
            <w:pPr>
              <w:pStyle w:val="Tabletext"/>
              <w:jc w:val="center"/>
              <w:rPr>
                <w:b/>
              </w:rPr>
            </w:pPr>
            <w:r w:rsidRPr="00006435">
              <w:rPr>
                <w:b/>
              </w:rPr>
              <w:t>Publication citation</w:t>
            </w:r>
          </w:p>
        </w:tc>
      </w:tr>
      <w:tr w:rsidR="008C156B" w:rsidRPr="00006435" w:rsidTr="00F3476E">
        <w:trPr>
          <w:trHeight w:val="70"/>
        </w:trPr>
        <w:tc>
          <w:tcPr>
            <w:tcW w:w="5000" w:type="pct"/>
            <w:gridSpan w:val="3"/>
            <w:shd w:val="clear" w:color="auto" w:fill="F2F2F2"/>
            <w:vAlign w:val="center"/>
          </w:tcPr>
          <w:p w:rsidR="008C156B" w:rsidRPr="00006435" w:rsidRDefault="008C156B" w:rsidP="002C53C8">
            <w:pPr>
              <w:pStyle w:val="Tabletext"/>
              <w:rPr>
                <w:rFonts w:ascii="Times" w:hAnsi="Times"/>
              </w:rPr>
            </w:pPr>
            <w:r w:rsidRPr="00006435">
              <w:rPr>
                <w:b/>
                <w:bCs/>
              </w:rPr>
              <w:t>SAR (+MTX) vs PBO (+MTX)</w:t>
            </w:r>
          </w:p>
        </w:tc>
      </w:tr>
      <w:tr w:rsidR="008C156B" w:rsidRPr="00006435" w:rsidTr="004F77F6">
        <w:trPr>
          <w:trHeight w:val="70"/>
        </w:trPr>
        <w:tc>
          <w:tcPr>
            <w:tcW w:w="626" w:type="pct"/>
            <w:vMerge w:val="restart"/>
            <w:vAlign w:val="center"/>
          </w:tcPr>
          <w:p w:rsidR="008C156B" w:rsidRPr="00006435" w:rsidRDefault="008C156B" w:rsidP="002C53C8">
            <w:pPr>
              <w:pStyle w:val="Tabletext"/>
              <w:rPr>
                <w:rFonts w:ascii="Times" w:hAnsi="Times"/>
              </w:rPr>
            </w:pPr>
            <w:r w:rsidRPr="00006435">
              <w:t>MOBILITY-B</w:t>
            </w:r>
          </w:p>
        </w:tc>
        <w:tc>
          <w:tcPr>
            <w:tcW w:w="3458" w:type="pct"/>
            <w:tcBorders>
              <w:bottom w:val="nil"/>
            </w:tcBorders>
            <w:vAlign w:val="center"/>
          </w:tcPr>
          <w:p w:rsidR="008C156B" w:rsidRPr="00006435" w:rsidRDefault="008C156B" w:rsidP="002C53C8">
            <w:pPr>
              <w:pStyle w:val="Tabletext"/>
            </w:pPr>
            <w:r w:rsidRPr="00006435">
              <w:t xml:space="preserve">A randomized, double-blind, placebo-controlled, multicenter, two-part, dose ranging and confirmatory study with an operationally seamless design, evaluating efficacy and safety of SAR153191 on top of methotrexate (MTX) in patients with active. </w:t>
            </w:r>
            <w:proofErr w:type="gramStart"/>
            <w:r w:rsidRPr="00006435">
              <w:t>rheumatoid</w:t>
            </w:r>
            <w:proofErr w:type="gramEnd"/>
            <w:r w:rsidRPr="00006435">
              <w:t xml:space="preserve"> arthritis who are inadequate responders to MTX therapy.</w:t>
            </w:r>
          </w:p>
        </w:tc>
        <w:tc>
          <w:tcPr>
            <w:tcW w:w="916" w:type="pct"/>
            <w:tcBorders>
              <w:bottom w:val="nil"/>
            </w:tcBorders>
            <w:vAlign w:val="center"/>
          </w:tcPr>
          <w:p w:rsidR="008C156B" w:rsidRPr="00006435" w:rsidRDefault="008C156B" w:rsidP="002C53C8">
            <w:pPr>
              <w:pStyle w:val="Tabletext"/>
              <w:rPr>
                <w:rFonts w:ascii="Times" w:hAnsi="Times"/>
              </w:rPr>
            </w:pPr>
            <w:r w:rsidRPr="00006435">
              <w:t>Clinical study report – report date: 20/08/2015</w:t>
            </w:r>
          </w:p>
        </w:tc>
      </w:tr>
      <w:tr w:rsidR="008C156B" w:rsidRPr="00006435" w:rsidTr="004F77F6">
        <w:trPr>
          <w:trHeight w:val="70"/>
        </w:trPr>
        <w:tc>
          <w:tcPr>
            <w:tcW w:w="626" w:type="pct"/>
            <w:vMerge/>
            <w:vAlign w:val="center"/>
          </w:tcPr>
          <w:p w:rsidR="008C156B" w:rsidRPr="00006435" w:rsidRDefault="008C156B" w:rsidP="002C53C8">
            <w:pPr>
              <w:pStyle w:val="Tabletext"/>
            </w:pPr>
          </w:p>
        </w:tc>
        <w:tc>
          <w:tcPr>
            <w:tcW w:w="3458" w:type="pct"/>
            <w:tcBorders>
              <w:top w:val="nil"/>
            </w:tcBorders>
            <w:vAlign w:val="center"/>
          </w:tcPr>
          <w:p w:rsidR="008C156B" w:rsidRPr="00006435" w:rsidRDefault="008C156B" w:rsidP="002C53C8">
            <w:pPr>
              <w:pStyle w:val="Tabletext"/>
            </w:pPr>
            <w:r w:rsidRPr="00006435">
              <w:t xml:space="preserve">Genovese M.C., Fleischmann R., </w:t>
            </w:r>
            <w:proofErr w:type="spellStart"/>
            <w:r w:rsidRPr="00006435">
              <w:t>Kivitz</w:t>
            </w:r>
            <w:proofErr w:type="spellEnd"/>
            <w:r w:rsidRPr="00006435">
              <w:t xml:space="preserve"> A.J., et al, </w:t>
            </w:r>
            <w:proofErr w:type="spellStart"/>
            <w:r w:rsidRPr="00006435">
              <w:t>Sarilumab</w:t>
            </w:r>
            <w:proofErr w:type="spellEnd"/>
            <w:r w:rsidRPr="00006435">
              <w:t xml:space="preserve"> plus methotrexate in patients with active rheumatoid arthritis and inadequate response to methotrexate: results of a phase III study.</w:t>
            </w:r>
          </w:p>
        </w:tc>
        <w:tc>
          <w:tcPr>
            <w:tcW w:w="916" w:type="pct"/>
            <w:tcBorders>
              <w:top w:val="nil"/>
            </w:tcBorders>
            <w:vAlign w:val="center"/>
          </w:tcPr>
          <w:p w:rsidR="008C156B" w:rsidRPr="00006435" w:rsidRDefault="008C156B" w:rsidP="002C53C8">
            <w:pPr>
              <w:pStyle w:val="Tabletext"/>
            </w:pPr>
            <w:proofErr w:type="spellStart"/>
            <w:r w:rsidRPr="00006435">
              <w:t>Arth</w:t>
            </w:r>
            <w:proofErr w:type="spellEnd"/>
            <w:r w:rsidRPr="00006435">
              <w:t xml:space="preserve"> </w:t>
            </w:r>
            <w:proofErr w:type="spellStart"/>
            <w:r w:rsidRPr="00006435">
              <w:t>Rheumatol</w:t>
            </w:r>
            <w:proofErr w:type="spellEnd"/>
            <w:r w:rsidRPr="00006435">
              <w:t xml:space="preserve"> 2015: 67:1424–37</w:t>
            </w:r>
          </w:p>
        </w:tc>
      </w:tr>
      <w:tr w:rsidR="008C156B" w:rsidRPr="00006435" w:rsidTr="004F77F6">
        <w:trPr>
          <w:trHeight w:val="70"/>
        </w:trPr>
        <w:tc>
          <w:tcPr>
            <w:tcW w:w="626" w:type="pct"/>
            <w:vMerge w:val="restart"/>
            <w:vAlign w:val="center"/>
          </w:tcPr>
          <w:p w:rsidR="008C156B" w:rsidRPr="00006435" w:rsidRDefault="008C156B" w:rsidP="002C53C8">
            <w:pPr>
              <w:pStyle w:val="Tabletext"/>
            </w:pPr>
            <w:r w:rsidRPr="00006435">
              <w:lastRenderedPageBreak/>
              <w:t>TARGET</w:t>
            </w:r>
          </w:p>
        </w:tc>
        <w:tc>
          <w:tcPr>
            <w:tcW w:w="3458" w:type="pct"/>
            <w:tcBorders>
              <w:bottom w:val="nil"/>
            </w:tcBorders>
            <w:vAlign w:val="center"/>
          </w:tcPr>
          <w:p w:rsidR="008C156B" w:rsidRPr="00006435" w:rsidRDefault="008C156B" w:rsidP="002C53C8">
            <w:pPr>
              <w:pStyle w:val="Tabletext"/>
            </w:pPr>
            <w:r w:rsidRPr="00006435">
              <w:t xml:space="preserve">A randomized, double-blind, double-dummy study assessing the safety and tolerability of </w:t>
            </w:r>
            <w:proofErr w:type="spellStart"/>
            <w:r w:rsidRPr="00006435">
              <w:t>sarilumab</w:t>
            </w:r>
            <w:proofErr w:type="spellEnd"/>
            <w:r w:rsidRPr="00006435">
              <w:t xml:space="preserve"> and </w:t>
            </w:r>
            <w:proofErr w:type="spellStart"/>
            <w:r w:rsidRPr="00006435">
              <w:t>tocilizumab</w:t>
            </w:r>
            <w:proofErr w:type="spellEnd"/>
            <w:r w:rsidR="00991F7F" w:rsidRPr="00006435">
              <w:t xml:space="preserve"> (in combination with conventional DMARD therapy)</w:t>
            </w:r>
            <w:r w:rsidRPr="00006435">
              <w:t xml:space="preserve"> in patients with rheumatoid arthritis who are inadequate responders to or intolerant of TNF antagonists.</w:t>
            </w:r>
          </w:p>
        </w:tc>
        <w:tc>
          <w:tcPr>
            <w:tcW w:w="916" w:type="pct"/>
            <w:tcBorders>
              <w:bottom w:val="nil"/>
            </w:tcBorders>
            <w:vAlign w:val="center"/>
          </w:tcPr>
          <w:p w:rsidR="008C156B" w:rsidRPr="00006435" w:rsidRDefault="008C156B" w:rsidP="002C53C8">
            <w:pPr>
              <w:pStyle w:val="Tabletext"/>
            </w:pPr>
            <w:r w:rsidRPr="00006435">
              <w:t>Clinical study report – report date: 24/07/2014</w:t>
            </w:r>
          </w:p>
        </w:tc>
      </w:tr>
      <w:tr w:rsidR="008C156B" w:rsidRPr="00006435" w:rsidTr="004F77F6">
        <w:trPr>
          <w:trHeight w:val="70"/>
        </w:trPr>
        <w:tc>
          <w:tcPr>
            <w:tcW w:w="626" w:type="pct"/>
            <w:vMerge/>
            <w:vAlign w:val="center"/>
          </w:tcPr>
          <w:p w:rsidR="008C156B" w:rsidRPr="00006435" w:rsidRDefault="008C156B" w:rsidP="002C53C8">
            <w:pPr>
              <w:pStyle w:val="Tabletext"/>
            </w:pPr>
          </w:p>
        </w:tc>
        <w:tc>
          <w:tcPr>
            <w:tcW w:w="3458" w:type="pct"/>
            <w:tcBorders>
              <w:top w:val="nil"/>
            </w:tcBorders>
            <w:vAlign w:val="center"/>
          </w:tcPr>
          <w:p w:rsidR="008C156B" w:rsidRPr="00006435" w:rsidRDefault="008C156B" w:rsidP="002C53C8">
            <w:pPr>
              <w:pStyle w:val="Tabletext"/>
            </w:pPr>
            <w:r w:rsidRPr="00006435">
              <w:t xml:space="preserve">Fleischmann, R., van </w:t>
            </w:r>
            <w:proofErr w:type="spellStart"/>
            <w:r w:rsidRPr="00006435">
              <w:t>Adelsberg</w:t>
            </w:r>
            <w:proofErr w:type="spellEnd"/>
            <w:r w:rsidRPr="00006435">
              <w:t xml:space="preserve">, J., Lin, Y., et al. </w:t>
            </w:r>
            <w:proofErr w:type="spellStart"/>
            <w:r w:rsidRPr="00006435">
              <w:t>Sarilumab</w:t>
            </w:r>
            <w:proofErr w:type="spellEnd"/>
            <w:r w:rsidRPr="00006435">
              <w:t xml:space="preserve"> and </w:t>
            </w:r>
            <w:proofErr w:type="spellStart"/>
            <w:r w:rsidRPr="00006435">
              <w:t>Nonbiologic</w:t>
            </w:r>
            <w:proofErr w:type="spellEnd"/>
            <w:r w:rsidRPr="00006435">
              <w:t xml:space="preserve"> Disease-Modifying </w:t>
            </w:r>
            <w:proofErr w:type="spellStart"/>
            <w:r w:rsidRPr="00006435">
              <w:t>Antirheumatic</w:t>
            </w:r>
            <w:proofErr w:type="spellEnd"/>
            <w:r w:rsidRPr="00006435">
              <w:t xml:space="preserve"> Drugs in Patients With Active Rheumatoid Arthritis and Inadequate Response or Intolerance to </w:t>
            </w:r>
            <w:proofErr w:type="spellStart"/>
            <w:r w:rsidRPr="00006435">
              <w:t>Tumor</w:t>
            </w:r>
            <w:proofErr w:type="spellEnd"/>
            <w:r w:rsidRPr="00006435">
              <w:t xml:space="preserve"> Necrosis Factor Inhibitors. </w:t>
            </w:r>
          </w:p>
        </w:tc>
        <w:tc>
          <w:tcPr>
            <w:tcW w:w="916" w:type="pct"/>
            <w:tcBorders>
              <w:top w:val="nil"/>
            </w:tcBorders>
            <w:vAlign w:val="center"/>
          </w:tcPr>
          <w:p w:rsidR="008C156B" w:rsidRPr="00006435" w:rsidRDefault="008C156B" w:rsidP="002C53C8">
            <w:pPr>
              <w:pStyle w:val="Tabletext"/>
            </w:pPr>
            <w:proofErr w:type="spellStart"/>
            <w:r w:rsidRPr="00006435">
              <w:t>Arth</w:t>
            </w:r>
            <w:proofErr w:type="spellEnd"/>
            <w:r w:rsidRPr="00006435">
              <w:t xml:space="preserve"> </w:t>
            </w:r>
            <w:proofErr w:type="spellStart"/>
            <w:r w:rsidRPr="00006435">
              <w:t>Rheumatol</w:t>
            </w:r>
            <w:proofErr w:type="spellEnd"/>
            <w:r w:rsidRPr="00006435">
              <w:t xml:space="preserve"> 2017: 69(2): 277-290</w:t>
            </w:r>
          </w:p>
        </w:tc>
      </w:tr>
      <w:tr w:rsidR="008C156B" w:rsidRPr="00006435" w:rsidTr="00F3476E">
        <w:tc>
          <w:tcPr>
            <w:tcW w:w="5000" w:type="pct"/>
            <w:gridSpan w:val="3"/>
            <w:tcBorders>
              <w:top w:val="single" w:sz="4" w:space="0" w:color="auto"/>
              <w:bottom w:val="single" w:sz="4" w:space="0" w:color="auto"/>
            </w:tcBorders>
            <w:shd w:val="clear" w:color="auto" w:fill="F2F2F2"/>
            <w:vAlign w:val="center"/>
          </w:tcPr>
          <w:p w:rsidR="008C156B" w:rsidRPr="00006435" w:rsidRDefault="008C156B" w:rsidP="002C53C8">
            <w:pPr>
              <w:pStyle w:val="Tabletext"/>
              <w:rPr>
                <w:b/>
                <w:bCs/>
              </w:rPr>
            </w:pPr>
            <w:r w:rsidRPr="00006435">
              <w:rPr>
                <w:b/>
                <w:bCs/>
              </w:rPr>
              <w:t>SAR vs ADA</w:t>
            </w:r>
          </w:p>
        </w:tc>
      </w:tr>
      <w:tr w:rsidR="008C156B" w:rsidRPr="00006435" w:rsidTr="004F77F6">
        <w:tc>
          <w:tcPr>
            <w:tcW w:w="626" w:type="pct"/>
            <w:vMerge w:val="restart"/>
            <w:tcBorders>
              <w:top w:val="single" w:sz="4" w:space="0" w:color="auto"/>
            </w:tcBorders>
            <w:vAlign w:val="center"/>
          </w:tcPr>
          <w:p w:rsidR="008C156B" w:rsidRPr="00006435" w:rsidRDefault="008C156B" w:rsidP="002C53C8">
            <w:pPr>
              <w:pStyle w:val="Tabletext"/>
            </w:pPr>
            <w:r w:rsidRPr="00006435">
              <w:t>MONARCH</w:t>
            </w:r>
          </w:p>
        </w:tc>
        <w:tc>
          <w:tcPr>
            <w:tcW w:w="3458" w:type="pct"/>
            <w:tcBorders>
              <w:top w:val="single" w:sz="4" w:space="0" w:color="auto"/>
              <w:bottom w:val="nil"/>
            </w:tcBorders>
            <w:vAlign w:val="center"/>
          </w:tcPr>
          <w:p w:rsidR="008C156B" w:rsidRPr="00006435" w:rsidRDefault="008C156B" w:rsidP="002C53C8">
            <w:pPr>
              <w:pStyle w:val="Tabletext"/>
            </w:pPr>
            <w:r w:rsidRPr="00006435">
              <w:t xml:space="preserve">A randomized, double-blind, parallel-group study assessing the efficacy and safety of </w:t>
            </w:r>
            <w:proofErr w:type="spellStart"/>
            <w:r w:rsidRPr="00006435">
              <w:t>sarilumab</w:t>
            </w:r>
            <w:proofErr w:type="spellEnd"/>
            <w:r w:rsidRPr="00006435">
              <w:t xml:space="preserve"> monotherapy versus </w:t>
            </w:r>
            <w:proofErr w:type="spellStart"/>
            <w:r w:rsidRPr="00006435">
              <w:t>adalimumab</w:t>
            </w:r>
            <w:proofErr w:type="spellEnd"/>
            <w:r w:rsidRPr="00006435">
              <w:t xml:space="preserve"> monotherapy in patients with rheumatoid arthritis.</w:t>
            </w:r>
          </w:p>
        </w:tc>
        <w:tc>
          <w:tcPr>
            <w:tcW w:w="916" w:type="pct"/>
            <w:tcBorders>
              <w:top w:val="single" w:sz="4" w:space="0" w:color="auto"/>
              <w:bottom w:val="nil"/>
            </w:tcBorders>
            <w:vAlign w:val="center"/>
          </w:tcPr>
          <w:p w:rsidR="008C156B" w:rsidRPr="00006435" w:rsidRDefault="008C156B" w:rsidP="002C53C8">
            <w:pPr>
              <w:pStyle w:val="Tabletext"/>
            </w:pPr>
            <w:r w:rsidRPr="00006435">
              <w:t>Clinical study report – report date: 17/05/2016</w:t>
            </w:r>
          </w:p>
        </w:tc>
      </w:tr>
      <w:tr w:rsidR="008C156B" w:rsidRPr="00006435" w:rsidTr="004F77F6">
        <w:tc>
          <w:tcPr>
            <w:tcW w:w="626" w:type="pct"/>
            <w:vMerge/>
            <w:tcBorders>
              <w:bottom w:val="single" w:sz="4" w:space="0" w:color="auto"/>
            </w:tcBorders>
            <w:vAlign w:val="center"/>
          </w:tcPr>
          <w:p w:rsidR="008C156B" w:rsidRPr="00006435" w:rsidRDefault="008C156B" w:rsidP="002C53C8">
            <w:pPr>
              <w:pStyle w:val="Tabletext"/>
            </w:pPr>
          </w:p>
        </w:tc>
        <w:tc>
          <w:tcPr>
            <w:tcW w:w="3458" w:type="pct"/>
            <w:tcBorders>
              <w:top w:val="nil"/>
              <w:bottom w:val="single" w:sz="4" w:space="0" w:color="auto"/>
            </w:tcBorders>
            <w:vAlign w:val="center"/>
          </w:tcPr>
          <w:p w:rsidR="008C156B" w:rsidRPr="00006435" w:rsidRDefault="008C156B" w:rsidP="002C53C8">
            <w:pPr>
              <w:pStyle w:val="Tabletext"/>
            </w:pPr>
            <w:proofErr w:type="spellStart"/>
            <w:r w:rsidRPr="00006435">
              <w:t>Burmester</w:t>
            </w:r>
            <w:proofErr w:type="spellEnd"/>
            <w:r w:rsidRPr="00006435">
              <w:t xml:space="preserve">, G., Yong, L., Patel, R., et al. Efficacy and safety of </w:t>
            </w:r>
            <w:proofErr w:type="spellStart"/>
            <w:r w:rsidRPr="00006435">
              <w:t>sarilumab</w:t>
            </w:r>
            <w:proofErr w:type="spellEnd"/>
            <w:r w:rsidRPr="00006435">
              <w:t xml:space="preserve"> monotherapy versus </w:t>
            </w:r>
            <w:proofErr w:type="spellStart"/>
            <w:r w:rsidRPr="00006435">
              <w:t>adalimumab</w:t>
            </w:r>
            <w:proofErr w:type="spellEnd"/>
            <w:r w:rsidRPr="00006435">
              <w:t xml:space="preserve"> monotherapy for the treatment of patients with active rheumatoid arthritis (MONARCH): a randomised, double-blind, parallel-group phase III trial. </w:t>
            </w:r>
          </w:p>
        </w:tc>
        <w:tc>
          <w:tcPr>
            <w:tcW w:w="916" w:type="pct"/>
            <w:tcBorders>
              <w:top w:val="nil"/>
              <w:bottom w:val="single" w:sz="4" w:space="0" w:color="auto"/>
            </w:tcBorders>
            <w:vAlign w:val="center"/>
          </w:tcPr>
          <w:p w:rsidR="008C156B" w:rsidRPr="00006435" w:rsidRDefault="008C156B" w:rsidP="002C53C8">
            <w:pPr>
              <w:pStyle w:val="Tabletext"/>
            </w:pPr>
            <w:r w:rsidRPr="00006435">
              <w:t>Ann Rheum Dis 2017: 76:840–847</w:t>
            </w:r>
          </w:p>
        </w:tc>
      </w:tr>
      <w:tr w:rsidR="008C156B" w:rsidRPr="00006435" w:rsidTr="00F3476E">
        <w:tc>
          <w:tcPr>
            <w:tcW w:w="5000" w:type="pct"/>
            <w:gridSpan w:val="3"/>
            <w:tcBorders>
              <w:top w:val="single" w:sz="4" w:space="0" w:color="auto"/>
              <w:bottom w:val="single" w:sz="4" w:space="0" w:color="auto"/>
            </w:tcBorders>
            <w:shd w:val="clear" w:color="auto" w:fill="F2F2F2"/>
            <w:vAlign w:val="center"/>
          </w:tcPr>
          <w:p w:rsidR="008C156B" w:rsidRPr="00006435" w:rsidRDefault="008C156B" w:rsidP="002C53C8">
            <w:pPr>
              <w:pStyle w:val="Tabletext"/>
            </w:pPr>
            <w:r w:rsidRPr="00006435">
              <w:rPr>
                <w:b/>
                <w:bCs/>
              </w:rPr>
              <w:t>TCZ IV (+MTX) vs PBO (+MTX)</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OPTION</w:t>
            </w:r>
          </w:p>
        </w:tc>
        <w:tc>
          <w:tcPr>
            <w:tcW w:w="3458" w:type="pct"/>
            <w:tcBorders>
              <w:top w:val="single" w:sz="4" w:space="0" w:color="auto"/>
              <w:bottom w:val="single" w:sz="4" w:space="0" w:color="auto"/>
            </w:tcBorders>
            <w:vAlign w:val="center"/>
          </w:tcPr>
          <w:p w:rsidR="008C156B" w:rsidRPr="00006435" w:rsidRDefault="008C156B" w:rsidP="002C53C8">
            <w:pPr>
              <w:pStyle w:val="Tabletext"/>
            </w:pPr>
            <w:proofErr w:type="spellStart"/>
            <w:r w:rsidRPr="00006435">
              <w:t>Smolen</w:t>
            </w:r>
            <w:proofErr w:type="spellEnd"/>
            <w:r w:rsidRPr="00006435">
              <w:t xml:space="preserve"> J.S., Beaulieu A., </w:t>
            </w:r>
            <w:proofErr w:type="spellStart"/>
            <w:r w:rsidRPr="00006435">
              <w:t>Rubbert</w:t>
            </w:r>
            <w:proofErr w:type="spellEnd"/>
            <w:r w:rsidRPr="00006435">
              <w:t xml:space="preserve">-Roth A., et al, Effect of interleukin-6 receptor inhibition with </w:t>
            </w:r>
            <w:proofErr w:type="spellStart"/>
            <w:r w:rsidRPr="00006435">
              <w:t>tocilizumab</w:t>
            </w:r>
            <w:proofErr w:type="spellEnd"/>
            <w:r w:rsidRPr="00006435">
              <w:t xml:space="preserve"> in patients with RA (OPTION study): a double-blind, placebo-controlled, randomised trial.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Lancet 2008; 371(9617):987- 997</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MEASURE</w:t>
            </w:r>
          </w:p>
        </w:tc>
        <w:tc>
          <w:tcPr>
            <w:tcW w:w="3458" w:type="pct"/>
            <w:tcBorders>
              <w:top w:val="single" w:sz="4" w:space="0" w:color="auto"/>
              <w:bottom w:val="single" w:sz="4" w:space="0" w:color="auto"/>
            </w:tcBorders>
            <w:vAlign w:val="center"/>
          </w:tcPr>
          <w:p w:rsidR="008C156B" w:rsidRPr="00006435" w:rsidRDefault="008C156B" w:rsidP="002C53C8">
            <w:pPr>
              <w:pStyle w:val="Tabletext"/>
            </w:pPr>
            <w:proofErr w:type="spellStart"/>
            <w:r w:rsidRPr="00006435">
              <w:t>McInnes</w:t>
            </w:r>
            <w:proofErr w:type="spellEnd"/>
            <w:r w:rsidRPr="00006435">
              <w:t xml:space="preserve"> I.B., Thompson L., Giles J.T., et al, Effect of interleukin-6 receptor blockade on surrogates of vascular risk in rheumatoid arthritis: MEASURE, a randomised, placebo-controlled study.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Ann Rheum Dis 2015; 74: 694–702.</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LITHE</w:t>
            </w:r>
          </w:p>
        </w:tc>
        <w:tc>
          <w:tcPr>
            <w:tcW w:w="3458" w:type="pct"/>
            <w:tcBorders>
              <w:top w:val="single" w:sz="4" w:space="0" w:color="auto"/>
              <w:bottom w:val="single" w:sz="4" w:space="0" w:color="auto"/>
            </w:tcBorders>
            <w:vAlign w:val="center"/>
          </w:tcPr>
          <w:p w:rsidR="008C156B" w:rsidRPr="00006435" w:rsidRDefault="008C156B" w:rsidP="002C53C8">
            <w:pPr>
              <w:pStyle w:val="Tabletext"/>
            </w:pPr>
            <w:r w:rsidRPr="00006435">
              <w:t xml:space="preserve">Kremer J.M., Blanco R., </w:t>
            </w:r>
            <w:proofErr w:type="spellStart"/>
            <w:r w:rsidRPr="00006435">
              <w:t>Brzosko</w:t>
            </w:r>
            <w:proofErr w:type="spellEnd"/>
            <w:r w:rsidRPr="00006435">
              <w:t xml:space="preserve"> M., et al, </w:t>
            </w:r>
            <w:proofErr w:type="spellStart"/>
            <w:r w:rsidRPr="00006435">
              <w:t>Tocilizumab</w:t>
            </w:r>
            <w:proofErr w:type="spellEnd"/>
            <w:r w:rsidRPr="00006435">
              <w:t xml:space="preserve"> inhibits structural joint damage in rheumatoid arthritis patients with inadequate responses to methotrexate: Results from the double-blind treatment phase of a randomized placebo-controlled trial of </w:t>
            </w:r>
            <w:proofErr w:type="spellStart"/>
            <w:r w:rsidRPr="00006435">
              <w:t>tocilizumab</w:t>
            </w:r>
            <w:proofErr w:type="spellEnd"/>
            <w:r w:rsidRPr="00006435">
              <w:t xml:space="preserve"> safety and prevention of structural joint damage at one year.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Arthritis and Rheumatism 2011; 63(3): 609-621</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TOWARD</w:t>
            </w:r>
          </w:p>
        </w:tc>
        <w:tc>
          <w:tcPr>
            <w:tcW w:w="3458" w:type="pct"/>
            <w:tcBorders>
              <w:top w:val="single" w:sz="4" w:space="0" w:color="auto"/>
              <w:bottom w:val="single" w:sz="4" w:space="0" w:color="auto"/>
            </w:tcBorders>
            <w:vAlign w:val="center"/>
          </w:tcPr>
          <w:p w:rsidR="008C156B" w:rsidRPr="00006435" w:rsidRDefault="008C156B" w:rsidP="002C53C8">
            <w:pPr>
              <w:pStyle w:val="Tabletext"/>
            </w:pPr>
            <w:r w:rsidRPr="00006435">
              <w:t xml:space="preserve">Genovese J., McKay J.D., </w:t>
            </w:r>
            <w:proofErr w:type="spellStart"/>
            <w:r w:rsidRPr="00006435">
              <w:t>Nasonov</w:t>
            </w:r>
            <w:proofErr w:type="spellEnd"/>
            <w:r w:rsidRPr="00006435">
              <w:t xml:space="preserve"> E.L., et al, Interleukin-6 receptor inhibition with </w:t>
            </w:r>
            <w:proofErr w:type="spellStart"/>
            <w:r w:rsidRPr="00006435">
              <w:t>tocilizumab</w:t>
            </w:r>
            <w:proofErr w:type="spellEnd"/>
            <w:r w:rsidRPr="00006435">
              <w:t xml:space="preserve"> reduces disease activity in rheumatoid arthritis with inadequate response to disease-modifying anti-rheumatic drugs.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Arthritis and Rheumatism 2008, 58(10): 2968-2980</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ROSE</w:t>
            </w:r>
          </w:p>
        </w:tc>
        <w:tc>
          <w:tcPr>
            <w:tcW w:w="3458" w:type="pct"/>
            <w:tcBorders>
              <w:top w:val="single" w:sz="4" w:space="0" w:color="auto"/>
              <w:bottom w:val="single" w:sz="4" w:space="0" w:color="auto"/>
            </w:tcBorders>
            <w:vAlign w:val="center"/>
          </w:tcPr>
          <w:p w:rsidR="008C156B" w:rsidRPr="00006435" w:rsidRDefault="008C156B" w:rsidP="002C53C8">
            <w:pPr>
              <w:pStyle w:val="Tabletext"/>
            </w:pPr>
            <w:proofErr w:type="spellStart"/>
            <w:r w:rsidRPr="00006435">
              <w:t>Yazici</w:t>
            </w:r>
            <w:proofErr w:type="spellEnd"/>
            <w:r w:rsidRPr="00006435">
              <w:t xml:space="preserve"> Y., Curtis J.R., </w:t>
            </w:r>
            <w:proofErr w:type="spellStart"/>
            <w:r w:rsidRPr="00006435">
              <w:t>Ince</w:t>
            </w:r>
            <w:proofErr w:type="spellEnd"/>
            <w:r w:rsidRPr="00006435">
              <w:t xml:space="preserve"> A., et al. Efficacy of </w:t>
            </w:r>
            <w:proofErr w:type="spellStart"/>
            <w:r w:rsidRPr="00006435">
              <w:t>tocilizumab</w:t>
            </w:r>
            <w:proofErr w:type="spellEnd"/>
            <w:r w:rsidRPr="00006435">
              <w:t xml:space="preserve"> in patients with moderate to severe active rheumatoid arthritis and a previous inadequate response to disease-modifying </w:t>
            </w:r>
            <w:proofErr w:type="spellStart"/>
            <w:r w:rsidRPr="00006435">
              <w:t>antirheumatic</w:t>
            </w:r>
            <w:proofErr w:type="spellEnd"/>
            <w:r w:rsidRPr="00006435">
              <w:t xml:space="preserve"> drugs: the ROSE study.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Ann Rheum Dis 2012;71:198–205</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BREVACTA</w:t>
            </w:r>
          </w:p>
        </w:tc>
        <w:tc>
          <w:tcPr>
            <w:tcW w:w="3458" w:type="pct"/>
            <w:tcBorders>
              <w:top w:val="single" w:sz="4" w:space="0" w:color="auto"/>
              <w:bottom w:val="single" w:sz="4" w:space="0" w:color="auto"/>
            </w:tcBorders>
            <w:vAlign w:val="center"/>
          </w:tcPr>
          <w:p w:rsidR="008C156B" w:rsidRPr="00006435" w:rsidRDefault="008C156B" w:rsidP="002C53C8">
            <w:pPr>
              <w:pStyle w:val="Tabletext"/>
            </w:pPr>
            <w:proofErr w:type="spellStart"/>
            <w:r w:rsidRPr="00006435">
              <w:t>Kivitz</w:t>
            </w:r>
            <w:proofErr w:type="spellEnd"/>
            <w:r w:rsidRPr="00006435">
              <w:t xml:space="preserve"> A., </w:t>
            </w:r>
            <w:proofErr w:type="spellStart"/>
            <w:r w:rsidRPr="00006435">
              <w:t>Olech</w:t>
            </w:r>
            <w:proofErr w:type="spellEnd"/>
            <w:r w:rsidRPr="00006435">
              <w:t xml:space="preserve"> E., </w:t>
            </w:r>
            <w:proofErr w:type="spellStart"/>
            <w:r w:rsidRPr="00006435">
              <w:t>Borofsky</w:t>
            </w:r>
            <w:proofErr w:type="spellEnd"/>
            <w:r w:rsidRPr="00006435">
              <w:t xml:space="preserve"> M., et al, Subcutaneous </w:t>
            </w:r>
            <w:proofErr w:type="spellStart"/>
            <w:r w:rsidRPr="00006435">
              <w:t>tocilizumab</w:t>
            </w:r>
            <w:proofErr w:type="spellEnd"/>
            <w:r w:rsidRPr="00006435">
              <w:t xml:space="preserve"> versus placebo in combination with disease-modifying </w:t>
            </w:r>
            <w:proofErr w:type="spellStart"/>
            <w:r w:rsidRPr="00006435">
              <w:t>antirheumatic</w:t>
            </w:r>
            <w:proofErr w:type="spellEnd"/>
            <w:r w:rsidRPr="00006435">
              <w:t xml:space="preserve"> drugs in patients with rheumatoid arthritis.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Arthritis Care and Research 2014, 66(11): 1653-1661</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RADIATE</w:t>
            </w:r>
          </w:p>
        </w:tc>
        <w:tc>
          <w:tcPr>
            <w:tcW w:w="3458" w:type="pct"/>
            <w:tcBorders>
              <w:top w:val="single" w:sz="4" w:space="0" w:color="auto"/>
              <w:bottom w:val="single" w:sz="4" w:space="0" w:color="auto"/>
            </w:tcBorders>
            <w:vAlign w:val="center"/>
          </w:tcPr>
          <w:p w:rsidR="008C156B" w:rsidRPr="00006435" w:rsidRDefault="008C156B" w:rsidP="002C53C8">
            <w:pPr>
              <w:pStyle w:val="Tabletext"/>
            </w:pPr>
            <w:r w:rsidRPr="00006435">
              <w:t xml:space="preserve">Emery P., Keystone E., Tony H.P., et al, IL-6 receptor inhibition with </w:t>
            </w:r>
            <w:proofErr w:type="spellStart"/>
            <w:r w:rsidRPr="00006435">
              <w:t>tocilizumab</w:t>
            </w:r>
            <w:proofErr w:type="spellEnd"/>
            <w:r w:rsidRPr="00006435">
              <w:t xml:space="preserve"> improves treatment outcomes in patients with rheumatoid arthritis refractory to anti-tumour necrosis factor biologicals: results from a 24-week multicentre randomised placebo-controlled trial.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Annals of the Rheumatic Diseases 2008; 67: 1516-1523</w:t>
            </w:r>
          </w:p>
        </w:tc>
      </w:tr>
      <w:tr w:rsidR="008C156B" w:rsidRPr="00006435" w:rsidTr="00F3476E">
        <w:tc>
          <w:tcPr>
            <w:tcW w:w="5000" w:type="pct"/>
            <w:gridSpan w:val="3"/>
            <w:tcBorders>
              <w:top w:val="single" w:sz="4" w:space="0" w:color="auto"/>
              <w:bottom w:val="single" w:sz="4" w:space="0" w:color="auto"/>
            </w:tcBorders>
            <w:shd w:val="clear" w:color="auto" w:fill="F2F2F2"/>
            <w:vAlign w:val="center"/>
          </w:tcPr>
          <w:p w:rsidR="008C156B" w:rsidRPr="00006435" w:rsidRDefault="008C156B" w:rsidP="002C53C8">
            <w:pPr>
              <w:pStyle w:val="Tabletext"/>
            </w:pPr>
            <w:r w:rsidRPr="00006435">
              <w:rPr>
                <w:b/>
                <w:bCs/>
              </w:rPr>
              <w:t>TCZ IV vs ADA</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ADACTA</w:t>
            </w:r>
          </w:p>
        </w:tc>
        <w:tc>
          <w:tcPr>
            <w:tcW w:w="3458" w:type="pct"/>
            <w:tcBorders>
              <w:top w:val="single" w:sz="4" w:space="0" w:color="auto"/>
              <w:bottom w:val="single" w:sz="4" w:space="0" w:color="auto"/>
            </w:tcBorders>
            <w:vAlign w:val="center"/>
          </w:tcPr>
          <w:p w:rsidR="008C156B" w:rsidRPr="00006435" w:rsidRDefault="008C156B" w:rsidP="002C53C8">
            <w:pPr>
              <w:pStyle w:val="Tabletext"/>
            </w:pPr>
            <w:proofErr w:type="spellStart"/>
            <w:r w:rsidRPr="00006435">
              <w:t>Gabay</w:t>
            </w:r>
            <w:proofErr w:type="spellEnd"/>
            <w:r w:rsidRPr="00006435">
              <w:t xml:space="preserve"> C., Emery P., van Vollenhoven R., et al. </w:t>
            </w:r>
            <w:proofErr w:type="spellStart"/>
            <w:r w:rsidRPr="00006435">
              <w:t>Tocilizumab</w:t>
            </w:r>
            <w:proofErr w:type="spellEnd"/>
            <w:r w:rsidRPr="00006435">
              <w:t xml:space="preserve"> monotherapy versus </w:t>
            </w:r>
            <w:proofErr w:type="spellStart"/>
            <w:r w:rsidRPr="00006435">
              <w:t>adalimumab</w:t>
            </w:r>
            <w:proofErr w:type="spellEnd"/>
            <w:r w:rsidRPr="00006435">
              <w:t xml:space="preserve"> monotherapy for treatment of rheumatoid arthritis (ADACTA): a randomised, double-blind, controlled phase 4 trial. </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Lancet 2013; 381: 1541–50</w:t>
            </w:r>
          </w:p>
        </w:tc>
      </w:tr>
      <w:tr w:rsidR="008C156B" w:rsidRPr="00006435" w:rsidTr="00F3476E">
        <w:tc>
          <w:tcPr>
            <w:tcW w:w="5000" w:type="pct"/>
            <w:gridSpan w:val="3"/>
            <w:tcBorders>
              <w:top w:val="single" w:sz="4" w:space="0" w:color="auto"/>
              <w:bottom w:val="single" w:sz="4" w:space="0" w:color="auto"/>
            </w:tcBorders>
            <w:shd w:val="clear" w:color="auto" w:fill="F2F2F2"/>
            <w:vAlign w:val="center"/>
          </w:tcPr>
          <w:p w:rsidR="008C156B" w:rsidRPr="00006435" w:rsidRDefault="008C156B" w:rsidP="002C53C8">
            <w:pPr>
              <w:pStyle w:val="Tabletext"/>
              <w:rPr>
                <w:b/>
                <w:bCs/>
              </w:rPr>
            </w:pPr>
            <w:r w:rsidRPr="00006435">
              <w:rPr>
                <w:b/>
                <w:bCs/>
              </w:rPr>
              <w:t>TCZ IV vs TCZ SC</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SUMMACTA</w:t>
            </w:r>
          </w:p>
        </w:tc>
        <w:tc>
          <w:tcPr>
            <w:tcW w:w="3458" w:type="pct"/>
            <w:tcBorders>
              <w:top w:val="single" w:sz="4" w:space="0" w:color="auto"/>
              <w:bottom w:val="single" w:sz="4" w:space="0" w:color="auto"/>
            </w:tcBorders>
            <w:vAlign w:val="center"/>
          </w:tcPr>
          <w:p w:rsidR="008C156B" w:rsidRPr="00006435" w:rsidRDefault="008C156B" w:rsidP="002C53C8">
            <w:pPr>
              <w:pStyle w:val="Tabletext"/>
            </w:pPr>
            <w:proofErr w:type="spellStart"/>
            <w:r w:rsidRPr="00006435">
              <w:t>Burmester</w:t>
            </w:r>
            <w:proofErr w:type="spellEnd"/>
            <w:r w:rsidRPr="00006435">
              <w:t xml:space="preserve"> G., </w:t>
            </w:r>
            <w:proofErr w:type="spellStart"/>
            <w:r w:rsidRPr="00006435">
              <w:t>Rubbert</w:t>
            </w:r>
            <w:proofErr w:type="spellEnd"/>
            <w:r w:rsidRPr="00006435">
              <w:t xml:space="preserve">-Roth A., </w:t>
            </w:r>
            <w:proofErr w:type="spellStart"/>
            <w:r w:rsidRPr="00006435">
              <w:t>Cantagrel</w:t>
            </w:r>
            <w:proofErr w:type="spellEnd"/>
            <w:r w:rsidRPr="00006435">
              <w:t xml:space="preserve"> A., et al, A randomised, double-blind, parallel-group study of the safety and efficacy of subcutaneous </w:t>
            </w:r>
            <w:proofErr w:type="spellStart"/>
            <w:r w:rsidRPr="00006435">
              <w:t>tocilizumab</w:t>
            </w:r>
            <w:proofErr w:type="spellEnd"/>
            <w:r w:rsidRPr="00006435">
              <w:t xml:space="preserve"> versus intravenous </w:t>
            </w:r>
            <w:proofErr w:type="spellStart"/>
            <w:r w:rsidRPr="00006435">
              <w:t>tocilizumab</w:t>
            </w:r>
            <w:proofErr w:type="spellEnd"/>
            <w:r w:rsidRPr="00006435">
              <w:t xml:space="preserve"> in combination with traditional disease-modifying </w:t>
            </w:r>
            <w:proofErr w:type="spellStart"/>
            <w:r w:rsidRPr="00006435">
              <w:t>antirheumatic</w:t>
            </w:r>
            <w:proofErr w:type="spellEnd"/>
            <w:r w:rsidRPr="00006435">
              <w:t xml:space="preserve"> drugs in patients with moderate to severe rheumatoid arthritis (SUMMACTA study).</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Annals of the Rheumatic Diseases 2014, 73: 69-74.</w:t>
            </w:r>
          </w:p>
        </w:tc>
      </w:tr>
      <w:tr w:rsidR="008C156B" w:rsidRPr="00006435" w:rsidTr="00F3476E">
        <w:tc>
          <w:tcPr>
            <w:tcW w:w="5000" w:type="pct"/>
            <w:gridSpan w:val="3"/>
            <w:tcBorders>
              <w:top w:val="single" w:sz="4" w:space="0" w:color="auto"/>
              <w:bottom w:val="single" w:sz="4" w:space="0" w:color="auto"/>
            </w:tcBorders>
            <w:shd w:val="clear" w:color="auto" w:fill="F2F2F2"/>
            <w:vAlign w:val="center"/>
          </w:tcPr>
          <w:p w:rsidR="008C156B" w:rsidRPr="00006435" w:rsidRDefault="008C156B" w:rsidP="002C53C8">
            <w:pPr>
              <w:pStyle w:val="Tabletext"/>
              <w:rPr>
                <w:b/>
                <w:bCs/>
              </w:rPr>
            </w:pPr>
            <w:r w:rsidRPr="00006435">
              <w:rPr>
                <w:b/>
                <w:bCs/>
              </w:rPr>
              <w:t>EXTENSION STUDY</w:t>
            </w:r>
          </w:p>
        </w:tc>
      </w:tr>
      <w:tr w:rsidR="008C156B" w:rsidRPr="00006435" w:rsidTr="004F77F6">
        <w:tc>
          <w:tcPr>
            <w:tcW w:w="626" w:type="pct"/>
            <w:tcBorders>
              <w:top w:val="single" w:sz="4" w:space="0" w:color="auto"/>
              <w:bottom w:val="single" w:sz="4" w:space="0" w:color="auto"/>
            </w:tcBorders>
            <w:vAlign w:val="center"/>
          </w:tcPr>
          <w:p w:rsidR="008C156B" w:rsidRPr="00006435" w:rsidRDefault="008C156B" w:rsidP="002C53C8">
            <w:pPr>
              <w:pStyle w:val="Tabletext"/>
            </w:pPr>
            <w:r w:rsidRPr="00006435">
              <w:t>EXTEND</w:t>
            </w:r>
          </w:p>
        </w:tc>
        <w:tc>
          <w:tcPr>
            <w:tcW w:w="3458" w:type="pct"/>
            <w:tcBorders>
              <w:top w:val="single" w:sz="4" w:space="0" w:color="auto"/>
              <w:bottom w:val="single" w:sz="4" w:space="0" w:color="auto"/>
            </w:tcBorders>
            <w:vAlign w:val="center"/>
          </w:tcPr>
          <w:p w:rsidR="008C156B" w:rsidRPr="00006435" w:rsidRDefault="008C156B" w:rsidP="002C53C8">
            <w:pPr>
              <w:pStyle w:val="Tabletext"/>
            </w:pPr>
            <w:r w:rsidRPr="00006435">
              <w:t>A multi-</w:t>
            </w:r>
            <w:proofErr w:type="spellStart"/>
            <w:r w:rsidRPr="00006435">
              <w:t>center</w:t>
            </w:r>
            <w:proofErr w:type="spellEnd"/>
            <w:r w:rsidRPr="00006435">
              <w:t xml:space="preserve">, uncontrolled extension study evaluating the efficacy and safety of </w:t>
            </w:r>
            <w:proofErr w:type="spellStart"/>
            <w:r w:rsidRPr="00006435">
              <w:t>sarilumab</w:t>
            </w:r>
            <w:proofErr w:type="spellEnd"/>
            <w:r w:rsidRPr="00006435">
              <w:t xml:space="preserve"> in patients with active Rheumatoid Arthritis (RA) (interim analysis).</w:t>
            </w:r>
          </w:p>
        </w:tc>
        <w:tc>
          <w:tcPr>
            <w:tcW w:w="916" w:type="pct"/>
            <w:tcBorders>
              <w:top w:val="single" w:sz="4" w:space="0" w:color="auto"/>
              <w:bottom w:val="single" w:sz="4" w:space="0" w:color="auto"/>
            </w:tcBorders>
            <w:vAlign w:val="center"/>
          </w:tcPr>
          <w:p w:rsidR="008C156B" w:rsidRPr="00006435" w:rsidRDefault="008C156B" w:rsidP="002C53C8">
            <w:pPr>
              <w:pStyle w:val="Tabletext"/>
            </w:pPr>
            <w:r w:rsidRPr="00006435">
              <w:t>Interim clinical study report – report date 23/5/2016.</w:t>
            </w:r>
          </w:p>
        </w:tc>
      </w:tr>
    </w:tbl>
    <w:p w:rsidR="008C156B" w:rsidRPr="00006435" w:rsidRDefault="008C156B" w:rsidP="002C53C8">
      <w:pPr>
        <w:pStyle w:val="TableFooter"/>
        <w:widowControl/>
        <w:tabs>
          <w:tab w:val="left" w:pos="142"/>
        </w:tabs>
      </w:pPr>
      <w:r w:rsidRPr="00006435">
        <w:lastRenderedPageBreak/>
        <w:t>^</w:t>
      </w:r>
      <w:r w:rsidRPr="00006435">
        <w:tab/>
      </w:r>
      <w:proofErr w:type="gramStart"/>
      <w:r w:rsidRPr="00006435">
        <w:t>only</w:t>
      </w:r>
      <w:proofErr w:type="gramEnd"/>
      <w:r w:rsidRPr="00006435">
        <w:t xml:space="preserve"> main publication presented in table</w:t>
      </w:r>
    </w:p>
    <w:p w:rsidR="008C156B" w:rsidRPr="00006435" w:rsidRDefault="008C156B" w:rsidP="002C53C8">
      <w:pPr>
        <w:pStyle w:val="TableFooter"/>
        <w:widowControl/>
      </w:pPr>
      <w:r w:rsidRPr="00006435">
        <w:t>Source: Table 2.2.1, pp37-44 of the submission.</w:t>
      </w:r>
    </w:p>
    <w:p w:rsidR="00812273" w:rsidRPr="00006435" w:rsidRDefault="00812273" w:rsidP="002C53C8">
      <w:pPr>
        <w:pStyle w:val="TableFooter"/>
        <w:widowControl/>
        <w:rPr>
          <w:sz w:val="20"/>
        </w:rPr>
      </w:pPr>
    </w:p>
    <w:p w:rsidR="00C1015C" w:rsidRPr="00006435" w:rsidRDefault="000F365A" w:rsidP="002C53C8">
      <w:pPr>
        <w:pStyle w:val="ListParagraph"/>
        <w:widowControl/>
        <w:numPr>
          <w:ilvl w:val="1"/>
          <w:numId w:val="3"/>
        </w:numPr>
      </w:pPr>
      <w:r w:rsidRPr="00006435">
        <w:t>The submission presented</w:t>
      </w:r>
      <w:r w:rsidR="008B1C85" w:rsidRPr="00006435">
        <w:t xml:space="preserve"> </w:t>
      </w:r>
      <w:r w:rsidRPr="00006435">
        <w:t xml:space="preserve">indirect comparisons for all </w:t>
      </w:r>
      <w:r w:rsidR="0069112C" w:rsidRPr="00006435">
        <w:t xml:space="preserve">combinations </w:t>
      </w:r>
      <w:r w:rsidR="002E0661" w:rsidRPr="00006435">
        <w:t>of SAR, TCZ IV and TCZ SC at full and reduced doses</w:t>
      </w:r>
      <w:r w:rsidR="008B1C85" w:rsidRPr="00006435">
        <w:t xml:space="preserve"> reported in the trials</w:t>
      </w:r>
      <w:r w:rsidRPr="00006435">
        <w:t xml:space="preserve">.  </w:t>
      </w:r>
      <w:r w:rsidR="00D853A4" w:rsidRPr="00006435">
        <w:rPr>
          <w:iCs/>
        </w:rPr>
        <w:t xml:space="preserve">The evaluation considered that </w:t>
      </w:r>
      <w:r w:rsidR="00C1015C" w:rsidRPr="00006435">
        <w:rPr>
          <w:iCs/>
        </w:rPr>
        <w:t>comparison</w:t>
      </w:r>
      <w:r w:rsidR="00D853A4" w:rsidRPr="00006435">
        <w:rPr>
          <w:iCs/>
        </w:rPr>
        <w:t>s</w:t>
      </w:r>
      <w:r w:rsidR="00C1015C" w:rsidRPr="00006435">
        <w:rPr>
          <w:iCs/>
        </w:rPr>
        <w:t xml:space="preserve"> </w:t>
      </w:r>
      <w:r w:rsidR="008B1C85" w:rsidRPr="00006435">
        <w:rPr>
          <w:iCs/>
        </w:rPr>
        <w:t>at</w:t>
      </w:r>
      <w:r w:rsidR="00C1015C" w:rsidRPr="00006435">
        <w:rPr>
          <w:iCs/>
        </w:rPr>
        <w:t xml:space="preserve"> the recommended doses without dose reduction is most relevant for assessing patient response on the PBS, given all patients will commence treatment at the recommended doses</w:t>
      </w:r>
      <w:r w:rsidR="00D853A4" w:rsidRPr="00006435">
        <w:rPr>
          <w:iCs/>
        </w:rPr>
        <w:t>,</w:t>
      </w:r>
      <w:r w:rsidR="00C1015C" w:rsidRPr="00006435">
        <w:rPr>
          <w:iCs/>
        </w:rPr>
        <w:t xml:space="preserve"> dose reduction is temporary</w:t>
      </w:r>
      <w:r w:rsidR="00D853A4" w:rsidRPr="00006435">
        <w:rPr>
          <w:iCs/>
        </w:rPr>
        <w:t>,</w:t>
      </w:r>
      <w:r w:rsidR="00C1015C" w:rsidRPr="00006435">
        <w:rPr>
          <w:iCs/>
        </w:rPr>
        <w:t xml:space="preserve"> and it will likely affect a minority of patients (~15%).</w:t>
      </w:r>
    </w:p>
    <w:p w:rsidR="00266060" w:rsidRPr="00006435" w:rsidRDefault="008F120A" w:rsidP="002C53C8">
      <w:pPr>
        <w:pStyle w:val="ListParagraph"/>
        <w:widowControl/>
        <w:numPr>
          <w:ilvl w:val="1"/>
          <w:numId w:val="3"/>
        </w:numPr>
        <w:rPr>
          <w:iCs/>
        </w:rPr>
      </w:pPr>
      <w:r w:rsidRPr="00006435">
        <w:t>The key features of the direct randomised trials are summarised in the table below.</w:t>
      </w:r>
      <w:r w:rsidR="00930C38" w:rsidRPr="00006435">
        <w:t xml:space="preserve">  </w:t>
      </w:r>
      <w:r w:rsidR="00324A26" w:rsidRPr="00006435">
        <w:rPr>
          <w:iCs/>
        </w:rPr>
        <w:t>T</w:t>
      </w:r>
      <w:r w:rsidR="00930C38" w:rsidRPr="00006435">
        <w:rPr>
          <w:iCs/>
        </w:rPr>
        <w:t xml:space="preserve">reatment arms </w:t>
      </w:r>
      <w:r w:rsidR="004D7D9B" w:rsidRPr="00006435">
        <w:rPr>
          <w:iCs/>
        </w:rPr>
        <w:t xml:space="preserve">at the </w:t>
      </w:r>
      <w:r w:rsidR="00324A26" w:rsidRPr="00006435">
        <w:rPr>
          <w:iCs/>
        </w:rPr>
        <w:t xml:space="preserve">reduced </w:t>
      </w:r>
      <w:r w:rsidR="004D7D9B" w:rsidRPr="00006435">
        <w:rPr>
          <w:iCs/>
        </w:rPr>
        <w:t>dose regimens of SAR and TCZ are</w:t>
      </w:r>
      <w:r w:rsidR="00324A26" w:rsidRPr="00006435">
        <w:rPr>
          <w:iCs/>
        </w:rPr>
        <w:t xml:space="preserve"> not</w:t>
      </w:r>
      <w:r w:rsidR="004D7D9B" w:rsidRPr="00006435">
        <w:rPr>
          <w:iCs/>
        </w:rPr>
        <w:t xml:space="preserve"> presented</w:t>
      </w:r>
      <w:r w:rsidR="00930C38" w:rsidRPr="00006435">
        <w:rPr>
          <w:iCs/>
        </w:rPr>
        <w:t xml:space="preserve">.  </w:t>
      </w:r>
      <w:r w:rsidR="003D0E5A" w:rsidRPr="00006435">
        <w:rPr>
          <w:iCs/>
        </w:rPr>
        <w:t>O</w:t>
      </w:r>
      <w:r w:rsidR="004D7D9B" w:rsidRPr="00006435">
        <w:rPr>
          <w:iCs/>
        </w:rPr>
        <w:t>nly five of the TCZ trials (TOWARD, ROSE, SUMMACTA, ADACTA, RADIATE) and none of the SAR trials seemingly permitted patients to undergo the dose interruption / dose reduction recommended in the respective product information.</w:t>
      </w:r>
      <w:r w:rsidR="00266060" w:rsidRPr="00006435">
        <w:rPr>
          <w:iCs/>
        </w:rPr>
        <w:t xml:space="preserve">  To account for differences across the trial populations and concomitant therapy, the submission appropriately categorised the trials into three populations, based on failed prior treatment (</w:t>
      </w:r>
      <w:proofErr w:type="spellStart"/>
      <w:r w:rsidR="00266060" w:rsidRPr="00006435">
        <w:rPr>
          <w:iCs/>
        </w:rPr>
        <w:t>cDMARD</w:t>
      </w:r>
      <w:proofErr w:type="spellEnd"/>
      <w:r w:rsidR="00266060" w:rsidRPr="00006435">
        <w:rPr>
          <w:iCs/>
        </w:rPr>
        <w:t xml:space="preserve"> or </w:t>
      </w:r>
      <w:proofErr w:type="spellStart"/>
      <w:r w:rsidR="00266060" w:rsidRPr="00006435">
        <w:rPr>
          <w:iCs/>
        </w:rPr>
        <w:t>bDMARD</w:t>
      </w:r>
      <w:proofErr w:type="spellEnd"/>
      <w:r w:rsidR="00266060" w:rsidRPr="00006435">
        <w:rPr>
          <w:iCs/>
        </w:rPr>
        <w:t xml:space="preserve">) and concomitant therapy (combined use with </w:t>
      </w:r>
      <w:proofErr w:type="spellStart"/>
      <w:r w:rsidR="00266060" w:rsidRPr="00006435">
        <w:rPr>
          <w:iCs/>
        </w:rPr>
        <w:t>cDMARDs</w:t>
      </w:r>
      <w:proofErr w:type="spellEnd"/>
      <w:r w:rsidR="00266060" w:rsidRPr="00006435">
        <w:rPr>
          <w:iCs/>
        </w:rPr>
        <w:t xml:space="preserve"> or monotherapy).</w:t>
      </w:r>
    </w:p>
    <w:p w:rsidR="00EC406E" w:rsidRPr="00006435" w:rsidRDefault="00EC406E" w:rsidP="002C53C8">
      <w:pPr>
        <w:pStyle w:val="ListParagraph"/>
        <w:widowControl/>
        <w:numPr>
          <w:ilvl w:val="1"/>
          <w:numId w:val="3"/>
        </w:numPr>
        <w:rPr>
          <w:iCs/>
        </w:rPr>
      </w:pPr>
      <w:r w:rsidRPr="00006435">
        <w:rPr>
          <w:iCs/>
        </w:rPr>
        <w:t>The PBAC previously considered evidence from five of the nine TCZ trials (OPTION, LITHE, TOWARD, RADIATE, SUMMACTA) when it recommended the IV and SC formulations in 2010 and 2016 respectively (see TCZ IV PSD March 2010, TCZ SC PSD March 2016).  The other trials included in the submission were published after the Committee considered the TCZ IV formulation (MEASURE, ROSE, ADACTA), or did not investigate the recommended dose of TCZ SC (BREVACTA).  Patients in BREVACTA (not presented below) received PBO or TSC SC at the reduced dosing frequency (162mg q2w), which is not the relevant dose of TSC SC for assessing initial response.</w:t>
      </w:r>
    </w:p>
    <w:p w:rsidR="00463F46" w:rsidRPr="00006435" w:rsidRDefault="00463F46" w:rsidP="002C53C8">
      <w:pPr>
        <w:keepNext/>
        <w:widowControl/>
        <w:rPr>
          <w:rStyle w:val="CommentReference"/>
        </w:rPr>
      </w:pPr>
      <w:r w:rsidRPr="00006435">
        <w:rPr>
          <w:rStyle w:val="CommentReference"/>
        </w:rPr>
        <w:lastRenderedPageBreak/>
        <w:t xml:space="preserve">Table </w:t>
      </w:r>
      <w:r w:rsidR="0049246D" w:rsidRPr="00006435">
        <w:rPr>
          <w:rStyle w:val="CommentReference"/>
        </w:rPr>
        <w:t>3</w:t>
      </w:r>
      <w:r w:rsidRPr="00006435">
        <w:rPr>
          <w:rStyle w:val="CommentReference"/>
        </w:rPr>
        <w:t>: Key features of the included evidence (excluding BREVACTA</w:t>
      </w:r>
      <w:r w:rsidRPr="00006435">
        <w:rPr>
          <w:rStyle w:val="CommentReference"/>
          <w:vertAlign w:val="superscript"/>
        </w:rPr>
        <w:t>#</w:t>
      </w:r>
      <w:r w:rsidRPr="00006435">
        <w:rPr>
          <w:rStyle w:val="CommentReferenc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6"/>
        <w:gridCol w:w="421"/>
        <w:gridCol w:w="1980"/>
        <w:gridCol w:w="2410"/>
        <w:gridCol w:w="567"/>
        <w:gridCol w:w="1418"/>
        <w:gridCol w:w="1225"/>
      </w:tblGrid>
      <w:tr w:rsidR="005C168D" w:rsidRPr="00006435" w:rsidTr="00F3476E">
        <w:trPr>
          <w:cantSplit/>
          <w:tblHeader/>
        </w:trPr>
        <w:tc>
          <w:tcPr>
            <w:tcW w:w="996" w:type="dxa"/>
            <w:shd w:val="clear" w:color="auto" w:fill="auto"/>
            <w:vAlign w:val="center"/>
          </w:tcPr>
          <w:p w:rsidR="005C168D" w:rsidRPr="00F3476E" w:rsidRDefault="005C168D" w:rsidP="00F3476E">
            <w:pPr>
              <w:keepNext/>
              <w:widowControl/>
              <w:jc w:val="left"/>
              <w:rPr>
                <w:rFonts w:ascii="Arial Narrow" w:hAnsi="Arial Narrow"/>
                <w:b/>
                <w:bCs/>
                <w:sz w:val="20"/>
                <w:szCs w:val="20"/>
              </w:rPr>
            </w:pPr>
            <w:r w:rsidRPr="00F3476E">
              <w:rPr>
                <w:rFonts w:ascii="Arial Narrow" w:hAnsi="Arial Narrow"/>
                <w:b/>
                <w:bCs/>
                <w:sz w:val="20"/>
                <w:szCs w:val="20"/>
              </w:rPr>
              <w:t>Trial</w:t>
            </w:r>
          </w:p>
        </w:tc>
        <w:tc>
          <w:tcPr>
            <w:tcW w:w="421" w:type="dxa"/>
            <w:shd w:val="clear" w:color="auto" w:fill="auto"/>
            <w:vAlign w:val="center"/>
          </w:tcPr>
          <w:p w:rsidR="005C168D" w:rsidRPr="00F3476E" w:rsidRDefault="005C168D" w:rsidP="00F3476E">
            <w:pPr>
              <w:keepNext/>
              <w:widowControl/>
              <w:jc w:val="center"/>
              <w:rPr>
                <w:rFonts w:ascii="Arial Narrow" w:hAnsi="Arial Narrow"/>
                <w:b/>
                <w:bCs/>
                <w:sz w:val="20"/>
                <w:szCs w:val="20"/>
              </w:rPr>
            </w:pPr>
            <w:r w:rsidRPr="00F3476E">
              <w:rPr>
                <w:rFonts w:ascii="Arial Narrow" w:hAnsi="Arial Narrow"/>
                <w:b/>
                <w:bCs/>
                <w:sz w:val="20"/>
                <w:szCs w:val="20"/>
              </w:rPr>
              <w:t>N</w:t>
            </w:r>
          </w:p>
        </w:tc>
        <w:tc>
          <w:tcPr>
            <w:tcW w:w="1980" w:type="dxa"/>
            <w:shd w:val="clear" w:color="auto" w:fill="auto"/>
            <w:vAlign w:val="center"/>
          </w:tcPr>
          <w:p w:rsidR="005C168D" w:rsidRPr="00F3476E" w:rsidRDefault="005C168D" w:rsidP="00F3476E">
            <w:pPr>
              <w:keepNext/>
              <w:widowControl/>
              <w:jc w:val="center"/>
              <w:rPr>
                <w:rFonts w:ascii="Arial Narrow" w:hAnsi="Arial Narrow"/>
                <w:b/>
                <w:bCs/>
                <w:sz w:val="20"/>
                <w:szCs w:val="20"/>
              </w:rPr>
            </w:pPr>
            <w:r w:rsidRPr="00F3476E">
              <w:rPr>
                <w:rFonts w:ascii="Arial Narrow" w:hAnsi="Arial Narrow"/>
                <w:b/>
                <w:bCs/>
                <w:sz w:val="20"/>
                <w:szCs w:val="20"/>
              </w:rPr>
              <w:t>Design / duration</w:t>
            </w:r>
          </w:p>
        </w:tc>
        <w:tc>
          <w:tcPr>
            <w:tcW w:w="2410" w:type="dxa"/>
            <w:shd w:val="clear" w:color="auto" w:fill="auto"/>
            <w:vAlign w:val="center"/>
          </w:tcPr>
          <w:p w:rsidR="005C168D" w:rsidRPr="00F3476E" w:rsidRDefault="005C168D" w:rsidP="00F3476E">
            <w:pPr>
              <w:keepNext/>
              <w:widowControl/>
              <w:jc w:val="center"/>
              <w:rPr>
                <w:rFonts w:ascii="Arial Narrow" w:hAnsi="Arial Narrow"/>
                <w:b/>
                <w:bCs/>
                <w:sz w:val="20"/>
                <w:szCs w:val="20"/>
              </w:rPr>
            </w:pPr>
            <w:r w:rsidRPr="00F3476E">
              <w:rPr>
                <w:rFonts w:ascii="Arial Narrow" w:hAnsi="Arial Narrow"/>
                <w:b/>
                <w:bCs/>
                <w:sz w:val="20"/>
                <w:szCs w:val="20"/>
              </w:rPr>
              <w:t>Relevant comparison (recommended starting dose)</w:t>
            </w:r>
          </w:p>
        </w:tc>
        <w:tc>
          <w:tcPr>
            <w:tcW w:w="567" w:type="dxa"/>
            <w:shd w:val="clear" w:color="auto" w:fill="auto"/>
            <w:vAlign w:val="center"/>
          </w:tcPr>
          <w:p w:rsidR="005C168D" w:rsidRPr="00F3476E" w:rsidRDefault="005C168D" w:rsidP="00F3476E">
            <w:pPr>
              <w:keepNext/>
              <w:widowControl/>
              <w:jc w:val="center"/>
              <w:rPr>
                <w:rFonts w:ascii="Arial Narrow" w:hAnsi="Arial Narrow"/>
                <w:b/>
                <w:bCs/>
                <w:sz w:val="20"/>
                <w:szCs w:val="20"/>
              </w:rPr>
            </w:pPr>
            <w:r w:rsidRPr="00F3476E">
              <w:rPr>
                <w:rFonts w:ascii="Arial Narrow" w:hAnsi="Arial Narrow"/>
                <w:b/>
                <w:bCs/>
                <w:sz w:val="20"/>
                <w:szCs w:val="20"/>
              </w:rPr>
              <w:t>Bias</w:t>
            </w:r>
          </w:p>
        </w:tc>
        <w:tc>
          <w:tcPr>
            <w:tcW w:w="1418" w:type="dxa"/>
            <w:shd w:val="clear" w:color="auto" w:fill="auto"/>
            <w:vAlign w:val="center"/>
          </w:tcPr>
          <w:p w:rsidR="005C168D" w:rsidRPr="00F3476E" w:rsidRDefault="005C168D" w:rsidP="00F3476E">
            <w:pPr>
              <w:keepNext/>
              <w:widowControl/>
              <w:jc w:val="center"/>
              <w:rPr>
                <w:rFonts w:ascii="Arial Narrow" w:hAnsi="Arial Narrow"/>
                <w:b/>
                <w:bCs/>
                <w:sz w:val="20"/>
                <w:szCs w:val="20"/>
              </w:rPr>
            </w:pPr>
            <w:r w:rsidRPr="00F3476E">
              <w:rPr>
                <w:rFonts w:ascii="Arial Narrow" w:hAnsi="Arial Narrow"/>
                <w:b/>
                <w:bCs/>
                <w:sz w:val="20"/>
                <w:szCs w:val="20"/>
              </w:rPr>
              <w:t>Patient population</w:t>
            </w:r>
          </w:p>
        </w:tc>
        <w:tc>
          <w:tcPr>
            <w:tcW w:w="1225" w:type="dxa"/>
            <w:shd w:val="clear" w:color="auto" w:fill="auto"/>
            <w:vAlign w:val="center"/>
          </w:tcPr>
          <w:p w:rsidR="005C168D" w:rsidRPr="00F3476E" w:rsidRDefault="005C168D" w:rsidP="00F3476E">
            <w:pPr>
              <w:keepNext/>
              <w:widowControl/>
              <w:jc w:val="center"/>
              <w:rPr>
                <w:rFonts w:ascii="Arial Narrow" w:hAnsi="Arial Narrow"/>
                <w:b/>
                <w:bCs/>
                <w:sz w:val="20"/>
                <w:szCs w:val="20"/>
              </w:rPr>
            </w:pPr>
            <w:r w:rsidRPr="00F3476E">
              <w:rPr>
                <w:rFonts w:ascii="Arial Narrow" w:hAnsi="Arial Narrow"/>
                <w:b/>
                <w:bCs/>
                <w:sz w:val="20"/>
                <w:szCs w:val="20"/>
              </w:rPr>
              <w:t>Key outcomes</w:t>
            </w:r>
          </w:p>
        </w:tc>
      </w:tr>
      <w:tr w:rsidR="005C168D" w:rsidRPr="00006435" w:rsidTr="00F3476E">
        <w:trPr>
          <w:cantSplit/>
        </w:trPr>
        <w:tc>
          <w:tcPr>
            <w:tcW w:w="9017" w:type="dxa"/>
            <w:gridSpan w:val="7"/>
            <w:shd w:val="clear" w:color="auto" w:fill="auto"/>
            <w:vAlign w:val="center"/>
          </w:tcPr>
          <w:p w:rsidR="005C168D" w:rsidRPr="00F3476E" w:rsidRDefault="005C168D" w:rsidP="00F3476E">
            <w:pPr>
              <w:keepNext/>
              <w:widowControl/>
              <w:rPr>
                <w:rFonts w:ascii="Arial Narrow" w:hAnsi="Arial Narrow"/>
                <w:sz w:val="20"/>
                <w:szCs w:val="20"/>
              </w:rPr>
            </w:pPr>
            <w:r w:rsidRPr="00F3476E">
              <w:rPr>
                <w:rFonts w:ascii="Arial Narrow" w:hAnsi="Arial Narrow"/>
                <w:b/>
                <w:bCs/>
                <w:color w:val="C0504D"/>
                <w:sz w:val="20"/>
                <w:szCs w:val="20"/>
              </w:rPr>
              <w:t xml:space="preserve">POPULATION: </w:t>
            </w:r>
            <w:proofErr w:type="spellStart"/>
            <w:r w:rsidRPr="00F3476E">
              <w:rPr>
                <w:rFonts w:ascii="Arial Narrow" w:hAnsi="Arial Narrow"/>
                <w:b/>
                <w:bCs/>
                <w:color w:val="C0504D"/>
                <w:sz w:val="20"/>
                <w:szCs w:val="20"/>
              </w:rPr>
              <w:t>cDMARD</w:t>
            </w:r>
            <w:proofErr w:type="spellEnd"/>
            <w:r w:rsidRPr="00F3476E">
              <w:rPr>
                <w:rFonts w:ascii="Arial Narrow" w:hAnsi="Arial Narrow"/>
                <w:b/>
                <w:bCs/>
                <w:color w:val="C0504D"/>
                <w:sz w:val="20"/>
                <w:szCs w:val="20"/>
              </w:rPr>
              <w:t xml:space="preserve"> IR, </w:t>
            </w:r>
            <w:proofErr w:type="spellStart"/>
            <w:r w:rsidRPr="00F3476E">
              <w:rPr>
                <w:rFonts w:ascii="Arial Narrow" w:hAnsi="Arial Narrow"/>
                <w:b/>
                <w:bCs/>
                <w:color w:val="C0504D"/>
                <w:sz w:val="20"/>
                <w:szCs w:val="20"/>
              </w:rPr>
              <w:t>cDMARD</w:t>
            </w:r>
            <w:proofErr w:type="spellEnd"/>
            <w:r w:rsidRPr="00F3476E">
              <w:rPr>
                <w:rFonts w:ascii="Arial Narrow" w:hAnsi="Arial Narrow"/>
                <w:b/>
                <w:bCs/>
                <w:color w:val="C0504D"/>
                <w:sz w:val="20"/>
                <w:szCs w:val="20"/>
              </w:rPr>
              <w:t xml:space="preserve"> concomitant</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MOBILITY-B</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797*</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vertAlign w:val="superscript"/>
              </w:rPr>
            </w:pPr>
            <w:r w:rsidRPr="00F3476E">
              <w:rPr>
                <w:rFonts w:ascii="Arial Narrow" w:hAnsi="Arial Narrow"/>
                <w:sz w:val="20"/>
                <w:szCs w:val="20"/>
              </w:rPr>
              <w:t xml:space="preserve">P3,MC,R,DB 52wks; </w:t>
            </w:r>
            <w:proofErr w:type="spellStart"/>
            <w:r w:rsidRPr="00F3476E">
              <w:rPr>
                <w:rFonts w:ascii="Arial Narrow" w:hAnsi="Arial Narrow"/>
                <w:sz w:val="20"/>
                <w:szCs w:val="20"/>
              </w:rPr>
              <w:t>bDMARD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a</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SAR 200mg SC q2w + MTX;</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PBO + MTX</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MTX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OPTION</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409*</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vertAlign w:val="superscript"/>
              </w:rPr>
            </w:pPr>
            <w:r w:rsidRPr="00F3476E">
              <w:rPr>
                <w:rFonts w:ascii="Arial Narrow" w:hAnsi="Arial Narrow"/>
                <w:sz w:val="20"/>
                <w:szCs w:val="20"/>
              </w:rPr>
              <w:t xml:space="preserve">P3,MC,R,DB 24wks; </w:t>
            </w:r>
            <w:proofErr w:type="spellStart"/>
            <w:r w:rsidRPr="00F3476E">
              <w:rPr>
                <w:rFonts w:ascii="Arial Narrow" w:hAnsi="Arial Narrow"/>
                <w:sz w:val="20"/>
                <w:szCs w:val="20"/>
              </w:rPr>
              <w:t>bDMARD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b</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 + MTX;</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PBO + MTX</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MTX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MEASURE</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132</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vertAlign w:val="superscript"/>
              </w:rPr>
            </w:pPr>
            <w:r w:rsidRPr="00F3476E">
              <w:rPr>
                <w:rFonts w:ascii="Arial Narrow" w:hAnsi="Arial Narrow"/>
                <w:sz w:val="20"/>
                <w:szCs w:val="20"/>
              </w:rPr>
              <w:t xml:space="preserve">P3,MC,R,DB 24wks; </w:t>
            </w:r>
            <w:proofErr w:type="spellStart"/>
            <w:r w:rsidRPr="00F3476E">
              <w:rPr>
                <w:rFonts w:ascii="Arial Narrow" w:hAnsi="Arial Narrow"/>
                <w:sz w:val="20"/>
                <w:szCs w:val="20"/>
              </w:rPr>
              <w:t>bDMARD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c</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 + MTX;</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PBO + MTX</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MTX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LITHE</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791*</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 xml:space="preserve">P3,MC,R,DB 52wks; </w:t>
            </w:r>
            <w:proofErr w:type="spellStart"/>
            <w:r w:rsidRPr="00F3476E">
              <w:rPr>
                <w:rFonts w:ascii="Arial Narrow" w:hAnsi="Arial Narrow"/>
                <w:sz w:val="20"/>
                <w:szCs w:val="20"/>
              </w:rPr>
              <w:t>bD</w:t>
            </w:r>
            <w:r w:rsidR="00E9229B" w:rsidRPr="00F3476E">
              <w:rPr>
                <w:rFonts w:ascii="Arial Narrow" w:hAnsi="Arial Narrow"/>
                <w:sz w:val="20"/>
                <w:szCs w:val="20"/>
              </w:rPr>
              <w:t>M</w:t>
            </w:r>
            <w:r w:rsidRPr="00F3476E">
              <w:rPr>
                <w:rFonts w:ascii="Arial Narrow" w:hAnsi="Arial Narrow"/>
                <w:sz w:val="20"/>
                <w:szCs w:val="20"/>
              </w:rPr>
              <w:t>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d</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 + MTX;</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PBO + MTX</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MTX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TOWARD</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1220</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 xml:space="preserve">P3,MC,R,DB 24wks; </w:t>
            </w:r>
            <w:proofErr w:type="spellStart"/>
            <w:r w:rsidRPr="00F3476E">
              <w:rPr>
                <w:rFonts w:ascii="Arial Narrow" w:hAnsi="Arial Narrow"/>
                <w:sz w:val="20"/>
                <w:szCs w:val="20"/>
              </w:rPr>
              <w:t>cDMARD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e</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q4w+cDMARD;</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 xml:space="preserve">PBO + </w:t>
            </w:r>
            <w:proofErr w:type="spellStart"/>
            <w:r w:rsidRPr="00F3476E">
              <w:rPr>
                <w:rFonts w:ascii="Arial Narrow" w:hAnsi="Arial Narrow"/>
                <w:sz w:val="20"/>
                <w:szCs w:val="20"/>
              </w:rPr>
              <w:t>cDMARD</w:t>
            </w:r>
            <w:proofErr w:type="spellEnd"/>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proofErr w:type="spellStart"/>
            <w:r w:rsidRPr="00F3476E">
              <w:rPr>
                <w:rFonts w:ascii="Arial Narrow" w:hAnsi="Arial Narrow"/>
                <w:sz w:val="20"/>
                <w:szCs w:val="20"/>
              </w:rPr>
              <w:t>cDMARD</w:t>
            </w:r>
            <w:proofErr w:type="spellEnd"/>
            <w:r w:rsidRPr="00F3476E">
              <w:rPr>
                <w:rFonts w:ascii="Arial Narrow" w:hAnsi="Arial Narrow"/>
                <w:sz w:val="20"/>
                <w:szCs w:val="20"/>
              </w:rPr>
              <w:t xml:space="preserve">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ROSE</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619</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P3b,MC,R,DB 24wks;</w:t>
            </w:r>
          </w:p>
          <w:p w:rsidR="005C168D" w:rsidRPr="00F3476E" w:rsidRDefault="00E9229B" w:rsidP="00F3476E">
            <w:pPr>
              <w:keepNext/>
              <w:widowControl/>
              <w:jc w:val="center"/>
              <w:rPr>
                <w:rFonts w:ascii="Arial Narrow" w:hAnsi="Arial Narrow"/>
                <w:sz w:val="20"/>
                <w:szCs w:val="20"/>
              </w:rPr>
            </w:pPr>
            <w:proofErr w:type="spellStart"/>
            <w:r w:rsidRPr="00F3476E">
              <w:rPr>
                <w:rFonts w:ascii="Arial Narrow" w:hAnsi="Arial Narrow"/>
                <w:sz w:val="20"/>
                <w:szCs w:val="20"/>
              </w:rPr>
              <w:t>bDMARD</w:t>
            </w:r>
            <w:proofErr w:type="spellEnd"/>
            <w:r w:rsidR="005C168D" w:rsidRPr="00F3476E">
              <w:rPr>
                <w:rFonts w:ascii="Arial Narrow" w:hAnsi="Arial Narrow"/>
                <w:sz w:val="20"/>
                <w:szCs w:val="20"/>
              </w:rPr>
              <w:t xml:space="preserve"> rescue wk16</w:t>
            </w:r>
            <w:r w:rsidR="005C168D" w:rsidRPr="00F3476E">
              <w:rPr>
                <w:rFonts w:ascii="Arial Narrow" w:hAnsi="Arial Narrow"/>
                <w:sz w:val="20"/>
                <w:szCs w:val="20"/>
                <w:vertAlign w:val="superscript"/>
              </w:rPr>
              <w:t>f</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q4w+cDMARD;</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 xml:space="preserve">PBO + </w:t>
            </w:r>
            <w:proofErr w:type="spellStart"/>
            <w:r w:rsidRPr="00F3476E">
              <w:rPr>
                <w:rFonts w:ascii="Arial Narrow" w:hAnsi="Arial Narrow"/>
                <w:sz w:val="20"/>
                <w:szCs w:val="20"/>
              </w:rPr>
              <w:t>cDMARD</w:t>
            </w:r>
            <w:proofErr w:type="spellEnd"/>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proofErr w:type="spellStart"/>
            <w:r w:rsidRPr="00F3476E">
              <w:rPr>
                <w:rFonts w:ascii="Arial Narrow" w:hAnsi="Arial Narrow"/>
                <w:sz w:val="20"/>
                <w:szCs w:val="20"/>
              </w:rPr>
              <w:t>cDMARD</w:t>
            </w:r>
            <w:proofErr w:type="spellEnd"/>
            <w:r w:rsidRPr="00F3476E">
              <w:rPr>
                <w:rFonts w:ascii="Arial Narrow" w:hAnsi="Arial Narrow"/>
                <w:sz w:val="20"/>
                <w:szCs w:val="20"/>
              </w:rPr>
              <w:t xml:space="preserve">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SUMMACTA</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1262</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P3,MC,R,DD,DB 24wks;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No rescue.</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q4w+cDMARD;</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 xml:space="preserve">TCZ 162mg SC </w:t>
            </w:r>
            <w:proofErr w:type="spellStart"/>
            <w:r w:rsidRPr="00F3476E">
              <w:rPr>
                <w:rFonts w:ascii="Arial Narrow" w:hAnsi="Arial Narrow"/>
                <w:sz w:val="20"/>
                <w:szCs w:val="20"/>
              </w:rPr>
              <w:t>qw+cDMARD</w:t>
            </w:r>
            <w:proofErr w:type="spellEnd"/>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proofErr w:type="spellStart"/>
            <w:r w:rsidRPr="00F3476E">
              <w:rPr>
                <w:rFonts w:ascii="Arial Narrow" w:hAnsi="Arial Narrow"/>
                <w:sz w:val="20"/>
                <w:szCs w:val="20"/>
              </w:rPr>
              <w:t>cDMARD</w:t>
            </w:r>
            <w:proofErr w:type="spellEnd"/>
            <w:r w:rsidRPr="00F3476E">
              <w:rPr>
                <w:rFonts w:ascii="Arial Narrow" w:hAnsi="Arial Narrow"/>
                <w:sz w:val="20"/>
                <w:szCs w:val="20"/>
              </w:rPr>
              <w:t xml:space="preserve">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017" w:type="dxa"/>
            <w:gridSpan w:val="7"/>
            <w:shd w:val="clear" w:color="auto" w:fill="auto"/>
          </w:tcPr>
          <w:p w:rsidR="005C168D" w:rsidRPr="00F3476E" w:rsidRDefault="005C168D" w:rsidP="00F3476E">
            <w:pPr>
              <w:keepNext/>
              <w:widowControl/>
              <w:rPr>
                <w:rFonts w:ascii="Arial Narrow" w:hAnsi="Arial Narrow"/>
                <w:sz w:val="20"/>
                <w:szCs w:val="20"/>
              </w:rPr>
            </w:pPr>
            <w:r w:rsidRPr="00F3476E">
              <w:rPr>
                <w:rFonts w:ascii="Arial Narrow" w:hAnsi="Arial Narrow"/>
                <w:b/>
                <w:bCs/>
                <w:color w:val="4F81BD"/>
                <w:sz w:val="20"/>
                <w:szCs w:val="20"/>
              </w:rPr>
              <w:t xml:space="preserve">POPULATION: </w:t>
            </w:r>
            <w:proofErr w:type="spellStart"/>
            <w:r w:rsidRPr="00F3476E">
              <w:rPr>
                <w:rFonts w:ascii="Arial Narrow" w:hAnsi="Arial Narrow"/>
                <w:b/>
                <w:bCs/>
                <w:color w:val="4F81BD"/>
                <w:sz w:val="20"/>
                <w:szCs w:val="20"/>
              </w:rPr>
              <w:t>cDMARD</w:t>
            </w:r>
            <w:proofErr w:type="spellEnd"/>
            <w:r w:rsidRPr="00F3476E">
              <w:rPr>
                <w:rFonts w:ascii="Arial Narrow" w:hAnsi="Arial Narrow"/>
                <w:b/>
                <w:bCs/>
                <w:color w:val="4F81BD"/>
                <w:sz w:val="20"/>
                <w:szCs w:val="20"/>
              </w:rPr>
              <w:t xml:space="preserve"> IR, monotherapy</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MONARCH</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369</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P3,MC,R,DD, DB 24wk;</w:t>
            </w:r>
          </w:p>
          <w:p w:rsidR="005C168D" w:rsidRPr="00F3476E" w:rsidRDefault="005C168D" w:rsidP="00F3476E">
            <w:pPr>
              <w:keepNext/>
              <w:widowControl/>
              <w:jc w:val="center"/>
              <w:rPr>
                <w:rFonts w:ascii="Arial Narrow" w:hAnsi="Arial Narrow"/>
                <w:sz w:val="20"/>
                <w:szCs w:val="20"/>
                <w:vertAlign w:val="superscript"/>
              </w:rPr>
            </w:pPr>
            <w:proofErr w:type="spellStart"/>
            <w:r w:rsidRPr="00F3476E">
              <w:rPr>
                <w:rFonts w:ascii="Arial Narrow" w:hAnsi="Arial Narrow"/>
                <w:sz w:val="20"/>
                <w:szCs w:val="20"/>
              </w:rPr>
              <w:t>bDMARD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g</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SAR 200mg SC q2w;</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ADA 40mg SC q2w</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MTX IR/INT</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ADACTA</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326</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P4,MC,R,DD,DB 24wks;</w:t>
            </w:r>
          </w:p>
          <w:p w:rsidR="005C168D" w:rsidRPr="00F3476E" w:rsidRDefault="005C168D" w:rsidP="00F3476E">
            <w:pPr>
              <w:keepNext/>
              <w:widowControl/>
              <w:jc w:val="center"/>
              <w:rPr>
                <w:rFonts w:ascii="Arial Narrow" w:hAnsi="Arial Narrow"/>
                <w:sz w:val="20"/>
                <w:szCs w:val="20"/>
              </w:rPr>
            </w:pPr>
            <w:proofErr w:type="spellStart"/>
            <w:r w:rsidRPr="00F3476E">
              <w:rPr>
                <w:rFonts w:ascii="Arial Narrow" w:hAnsi="Arial Narrow"/>
                <w:sz w:val="20"/>
                <w:szCs w:val="20"/>
              </w:rPr>
              <w:t>bDMARD</w:t>
            </w:r>
            <w:proofErr w:type="spellEnd"/>
            <w:r w:rsidRPr="00F3476E">
              <w:rPr>
                <w:rFonts w:ascii="Arial Narrow" w:hAnsi="Arial Narrow"/>
                <w:sz w:val="20"/>
                <w:szCs w:val="20"/>
              </w:rPr>
              <w:t xml:space="preserve"> rescue wk16</w:t>
            </w:r>
            <w:r w:rsidRPr="00F3476E">
              <w:rPr>
                <w:rFonts w:ascii="Arial Narrow" w:hAnsi="Arial Narrow"/>
                <w:sz w:val="20"/>
                <w:szCs w:val="20"/>
                <w:vertAlign w:val="superscript"/>
              </w:rPr>
              <w:t>h</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ADA 40mg SC q2w</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MTX IR/INT</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017" w:type="dxa"/>
            <w:gridSpan w:val="7"/>
            <w:shd w:val="clear" w:color="auto" w:fill="auto"/>
          </w:tcPr>
          <w:p w:rsidR="005C168D" w:rsidRPr="00F3476E" w:rsidRDefault="005C168D" w:rsidP="00F3476E">
            <w:pPr>
              <w:keepNext/>
              <w:widowControl/>
              <w:rPr>
                <w:rFonts w:ascii="Arial Narrow" w:hAnsi="Arial Narrow"/>
                <w:sz w:val="20"/>
                <w:szCs w:val="20"/>
              </w:rPr>
            </w:pPr>
            <w:r w:rsidRPr="00F3476E">
              <w:rPr>
                <w:rFonts w:ascii="Arial Narrow" w:hAnsi="Arial Narrow"/>
                <w:b/>
                <w:bCs/>
                <w:color w:val="9BBB59"/>
                <w:sz w:val="20"/>
                <w:szCs w:val="20"/>
              </w:rPr>
              <w:t xml:space="preserve">POPULATION: </w:t>
            </w:r>
            <w:proofErr w:type="spellStart"/>
            <w:r w:rsidRPr="00F3476E">
              <w:rPr>
                <w:rFonts w:ascii="Arial Narrow" w:hAnsi="Arial Narrow"/>
                <w:b/>
                <w:bCs/>
                <w:color w:val="9BBB59"/>
                <w:sz w:val="20"/>
                <w:szCs w:val="20"/>
              </w:rPr>
              <w:t>bDMARD</w:t>
            </w:r>
            <w:proofErr w:type="spellEnd"/>
            <w:r w:rsidRPr="00F3476E">
              <w:rPr>
                <w:rFonts w:ascii="Arial Narrow" w:hAnsi="Arial Narrow"/>
                <w:b/>
                <w:bCs/>
                <w:color w:val="9BBB59"/>
                <w:sz w:val="20"/>
                <w:szCs w:val="20"/>
              </w:rPr>
              <w:t xml:space="preserve">-IR. </w:t>
            </w:r>
            <w:proofErr w:type="spellStart"/>
            <w:r w:rsidRPr="00F3476E">
              <w:rPr>
                <w:rFonts w:ascii="Arial Narrow" w:hAnsi="Arial Narrow"/>
                <w:b/>
                <w:bCs/>
                <w:color w:val="9BBB59"/>
                <w:sz w:val="20"/>
                <w:szCs w:val="20"/>
              </w:rPr>
              <w:t>cDMARD</w:t>
            </w:r>
            <w:proofErr w:type="spellEnd"/>
            <w:r w:rsidRPr="00F3476E">
              <w:rPr>
                <w:rFonts w:ascii="Arial Narrow" w:hAnsi="Arial Narrow"/>
                <w:b/>
                <w:bCs/>
                <w:color w:val="9BBB59"/>
                <w:sz w:val="20"/>
                <w:szCs w:val="20"/>
              </w:rPr>
              <w:t xml:space="preserve"> concomitant</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TARGET</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365*</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P3,MC,R,DB 24wks;</w:t>
            </w:r>
          </w:p>
          <w:p w:rsidR="005C168D" w:rsidRPr="00F3476E" w:rsidRDefault="00E9229B" w:rsidP="00F3476E">
            <w:pPr>
              <w:keepNext/>
              <w:widowControl/>
              <w:jc w:val="center"/>
              <w:rPr>
                <w:rFonts w:ascii="Arial Narrow" w:hAnsi="Arial Narrow"/>
                <w:sz w:val="20"/>
                <w:szCs w:val="20"/>
              </w:rPr>
            </w:pPr>
            <w:proofErr w:type="spellStart"/>
            <w:r w:rsidRPr="00F3476E">
              <w:rPr>
                <w:rFonts w:ascii="Arial Narrow" w:hAnsi="Arial Narrow"/>
                <w:sz w:val="20"/>
                <w:szCs w:val="20"/>
              </w:rPr>
              <w:t>bDMARD</w:t>
            </w:r>
            <w:proofErr w:type="spellEnd"/>
            <w:r w:rsidR="005C168D" w:rsidRPr="00F3476E">
              <w:rPr>
                <w:rFonts w:ascii="Arial Narrow" w:hAnsi="Arial Narrow"/>
                <w:sz w:val="20"/>
                <w:szCs w:val="20"/>
              </w:rPr>
              <w:t xml:space="preserve"> rescue wk12</w:t>
            </w:r>
            <w:r w:rsidR="005C168D" w:rsidRPr="00F3476E">
              <w:rPr>
                <w:rFonts w:ascii="Arial Narrow" w:hAnsi="Arial Narrow"/>
                <w:sz w:val="20"/>
                <w:szCs w:val="20"/>
                <w:vertAlign w:val="superscript"/>
              </w:rPr>
              <w:t>i</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SAR 200mg SC q2w+cDMARD;</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 xml:space="preserve">PBO + </w:t>
            </w:r>
            <w:proofErr w:type="spellStart"/>
            <w:r w:rsidRPr="00F3476E">
              <w:rPr>
                <w:rFonts w:ascii="Arial Narrow" w:hAnsi="Arial Narrow"/>
                <w:sz w:val="20"/>
                <w:szCs w:val="20"/>
              </w:rPr>
              <w:t>cDMARD</w:t>
            </w:r>
            <w:proofErr w:type="spellEnd"/>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TNFα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r w:rsidR="005C168D" w:rsidRPr="00006435" w:rsidTr="00F3476E">
        <w:trPr>
          <w:cantSplit/>
        </w:trPr>
        <w:tc>
          <w:tcPr>
            <w:tcW w:w="996" w:type="dxa"/>
            <w:shd w:val="clear" w:color="auto" w:fill="auto"/>
            <w:vAlign w:val="center"/>
          </w:tcPr>
          <w:p w:rsidR="005C168D" w:rsidRPr="00F3476E" w:rsidRDefault="005C168D" w:rsidP="00F3476E">
            <w:pPr>
              <w:keepNext/>
              <w:widowControl/>
              <w:jc w:val="left"/>
              <w:rPr>
                <w:rFonts w:ascii="Arial Narrow" w:hAnsi="Arial Narrow"/>
                <w:sz w:val="20"/>
                <w:szCs w:val="20"/>
              </w:rPr>
            </w:pPr>
            <w:r w:rsidRPr="00F3476E">
              <w:rPr>
                <w:rFonts w:ascii="Arial Narrow" w:hAnsi="Arial Narrow"/>
                <w:sz w:val="20"/>
                <w:szCs w:val="20"/>
              </w:rPr>
              <w:t>RADIATE</w:t>
            </w:r>
          </w:p>
        </w:tc>
        <w:tc>
          <w:tcPr>
            <w:tcW w:w="421"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335*</w:t>
            </w:r>
          </w:p>
        </w:tc>
        <w:tc>
          <w:tcPr>
            <w:tcW w:w="198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P3,MC,R,DB 24wks;</w:t>
            </w:r>
          </w:p>
          <w:p w:rsidR="005C168D" w:rsidRPr="00F3476E" w:rsidRDefault="00E9229B" w:rsidP="00F3476E">
            <w:pPr>
              <w:keepNext/>
              <w:widowControl/>
              <w:jc w:val="center"/>
              <w:rPr>
                <w:rFonts w:ascii="Arial Narrow" w:hAnsi="Arial Narrow"/>
                <w:sz w:val="20"/>
                <w:szCs w:val="20"/>
              </w:rPr>
            </w:pPr>
            <w:proofErr w:type="spellStart"/>
            <w:r w:rsidRPr="00F3476E">
              <w:rPr>
                <w:rFonts w:ascii="Arial Narrow" w:hAnsi="Arial Narrow"/>
                <w:sz w:val="20"/>
                <w:szCs w:val="20"/>
              </w:rPr>
              <w:t>bDMARD</w:t>
            </w:r>
            <w:proofErr w:type="spellEnd"/>
            <w:r w:rsidR="005C168D" w:rsidRPr="00F3476E">
              <w:rPr>
                <w:rFonts w:ascii="Arial Narrow" w:hAnsi="Arial Narrow"/>
                <w:sz w:val="20"/>
                <w:szCs w:val="20"/>
              </w:rPr>
              <w:t xml:space="preserve"> rescue wk16</w:t>
            </w:r>
            <w:r w:rsidR="005C168D" w:rsidRPr="00F3476E">
              <w:rPr>
                <w:rFonts w:ascii="Arial Narrow" w:hAnsi="Arial Narrow"/>
                <w:sz w:val="20"/>
                <w:szCs w:val="20"/>
                <w:vertAlign w:val="superscript"/>
              </w:rPr>
              <w:t>j</w:t>
            </w:r>
          </w:p>
        </w:tc>
        <w:tc>
          <w:tcPr>
            <w:tcW w:w="2410"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TCZ 8mg/kg IV q4w + MTX;</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PBO + MTX</w:t>
            </w:r>
          </w:p>
        </w:tc>
        <w:tc>
          <w:tcPr>
            <w:tcW w:w="567"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Low</w:t>
            </w:r>
          </w:p>
        </w:tc>
        <w:tc>
          <w:tcPr>
            <w:tcW w:w="1418"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Active RA (M-S);</w:t>
            </w:r>
          </w:p>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TNFα IR</w:t>
            </w:r>
          </w:p>
        </w:tc>
        <w:tc>
          <w:tcPr>
            <w:tcW w:w="1225" w:type="dxa"/>
            <w:shd w:val="clear" w:color="auto" w:fill="auto"/>
            <w:vAlign w:val="center"/>
          </w:tcPr>
          <w:p w:rsidR="005C168D" w:rsidRPr="00F3476E" w:rsidRDefault="005C168D" w:rsidP="00F3476E">
            <w:pPr>
              <w:keepNext/>
              <w:widowControl/>
              <w:jc w:val="center"/>
              <w:rPr>
                <w:rFonts w:ascii="Arial Narrow" w:hAnsi="Arial Narrow"/>
                <w:sz w:val="20"/>
                <w:szCs w:val="20"/>
              </w:rPr>
            </w:pPr>
            <w:r w:rsidRPr="00F3476E">
              <w:rPr>
                <w:rFonts w:ascii="Arial Narrow" w:hAnsi="Arial Narrow"/>
                <w:sz w:val="20"/>
                <w:szCs w:val="20"/>
              </w:rPr>
              <w:t>ACR response</w:t>
            </w:r>
          </w:p>
        </w:tc>
      </w:tr>
    </w:tbl>
    <w:p w:rsidR="005C168D" w:rsidRPr="00006435" w:rsidRDefault="005C168D" w:rsidP="002C53C8">
      <w:pPr>
        <w:widowControl/>
        <w:tabs>
          <w:tab w:val="left" w:pos="142"/>
        </w:tabs>
        <w:rPr>
          <w:rFonts w:ascii="Arial Narrow" w:hAnsi="Arial Narrow"/>
          <w:sz w:val="18"/>
          <w:szCs w:val="16"/>
        </w:rPr>
      </w:pPr>
      <w:r w:rsidRPr="00006435">
        <w:rPr>
          <w:rFonts w:ascii="Arial Narrow" w:hAnsi="Arial Narrow"/>
          <w:sz w:val="18"/>
          <w:szCs w:val="16"/>
        </w:rPr>
        <w:t>#</w:t>
      </w:r>
      <w:r w:rsidRPr="00006435">
        <w:rPr>
          <w:rFonts w:ascii="Arial Narrow" w:hAnsi="Arial Narrow"/>
          <w:sz w:val="18"/>
          <w:szCs w:val="16"/>
        </w:rPr>
        <w:tab/>
        <w:t>BREVACTA randomised patients to the reduced dose regimen of TCZ SC 162mg q2w, and was not relevant for the primary comparison</w:t>
      </w:r>
    </w:p>
    <w:p w:rsidR="005C168D" w:rsidRPr="00006435" w:rsidRDefault="005C168D" w:rsidP="002C53C8">
      <w:pPr>
        <w:widowControl/>
        <w:tabs>
          <w:tab w:val="left" w:pos="142"/>
        </w:tabs>
        <w:rPr>
          <w:rFonts w:ascii="Arial Narrow" w:hAnsi="Arial Narrow"/>
          <w:sz w:val="18"/>
          <w:szCs w:val="16"/>
        </w:rPr>
      </w:pPr>
      <w:r w:rsidRPr="00006435">
        <w:rPr>
          <w:rFonts w:ascii="Arial Narrow" w:hAnsi="Arial Narrow"/>
          <w:sz w:val="18"/>
          <w:szCs w:val="16"/>
        </w:rPr>
        <w:t>*</w:t>
      </w:r>
      <w:r w:rsidRPr="00006435">
        <w:rPr>
          <w:rFonts w:ascii="Arial Narrow" w:hAnsi="Arial Narrow"/>
          <w:sz w:val="18"/>
          <w:szCs w:val="16"/>
        </w:rPr>
        <w:tab/>
        <w:t>Number randomised to treatment arms included in the submission.</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a</w:t>
      </w:r>
      <w:proofErr w:type="gramEnd"/>
      <w:r w:rsidRPr="00006435">
        <w:rPr>
          <w:rFonts w:ascii="Arial Narrow" w:hAnsi="Arial Narrow"/>
          <w:sz w:val="18"/>
          <w:szCs w:val="16"/>
        </w:rPr>
        <w:tab/>
        <w:t>SAR 200mg q2w offered from Week 16 if &lt;20% improvement from baseline in SJC or TJC at two consecutive assessments</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b</w:t>
      </w:r>
      <w:proofErr w:type="gramEnd"/>
      <w:r w:rsidRPr="00006435">
        <w:rPr>
          <w:rFonts w:ascii="Arial Narrow" w:hAnsi="Arial Narrow"/>
          <w:sz w:val="18"/>
          <w:szCs w:val="16"/>
        </w:rPr>
        <w:tab/>
        <w:t>TCZ 8mg/kg q4w (and steroids) offered from Week 16 if &lt;20% improvement from baseline in both TJC and SJC.</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c</w:t>
      </w:r>
      <w:proofErr w:type="gramEnd"/>
      <w:r w:rsidRPr="00006435">
        <w:rPr>
          <w:rFonts w:ascii="Arial Narrow" w:hAnsi="Arial Narrow"/>
          <w:sz w:val="18"/>
          <w:szCs w:val="16"/>
        </w:rPr>
        <w:tab/>
        <w:t>TCZ 8mg/kg q4w offered from Week 16 if &lt;20% improvement from baseline in both TJC and SJC after doses at Week 8/12.</w:t>
      </w:r>
    </w:p>
    <w:p w:rsidR="005C168D" w:rsidRPr="00006435" w:rsidRDefault="005C168D" w:rsidP="002C53C8">
      <w:pPr>
        <w:widowControl/>
        <w:tabs>
          <w:tab w:val="left" w:pos="142"/>
        </w:tabs>
        <w:ind w:left="135" w:hanging="135"/>
        <w:rPr>
          <w:rFonts w:ascii="Arial Narrow" w:hAnsi="Arial Narrow"/>
          <w:sz w:val="18"/>
          <w:szCs w:val="16"/>
          <w:vertAlign w:val="superscript"/>
        </w:rPr>
      </w:pPr>
      <w:r w:rsidRPr="00006435">
        <w:rPr>
          <w:rFonts w:ascii="Arial Narrow" w:hAnsi="Arial Narrow"/>
          <w:sz w:val="18"/>
          <w:szCs w:val="16"/>
          <w:vertAlign w:val="superscript"/>
        </w:rPr>
        <w:t>d</w:t>
      </w:r>
      <w:r w:rsidRPr="00006435">
        <w:rPr>
          <w:rFonts w:ascii="Arial Narrow" w:hAnsi="Arial Narrow"/>
          <w:sz w:val="18"/>
          <w:szCs w:val="16"/>
          <w:vertAlign w:val="superscript"/>
        </w:rPr>
        <w:tab/>
      </w:r>
      <w:r w:rsidRPr="00006435">
        <w:rPr>
          <w:rFonts w:ascii="Arial Narrow" w:hAnsi="Arial Narrow"/>
          <w:sz w:val="18"/>
          <w:szCs w:val="16"/>
        </w:rPr>
        <w:t>TCZ 4 and 8mg/kg q4w (and steroids) offered from Week 16 to patients in the control arm and TCZ 8mg/kg arm respectively, if &lt;20% improvement from baseline in both TJC and SJC.  If no improvement persisted after three doses, TCZ 8mg/kg offered.</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e</w:t>
      </w:r>
      <w:proofErr w:type="gramEnd"/>
      <w:r w:rsidRPr="00006435">
        <w:rPr>
          <w:rFonts w:ascii="Arial Narrow" w:hAnsi="Arial Narrow"/>
          <w:sz w:val="18"/>
          <w:szCs w:val="16"/>
        </w:rPr>
        <w:tab/>
        <w:t>DMARD adjustment (and steroids) offered from Week 16 if &lt;20% improvement from baseline in both TJC and SJC.</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f</w:t>
      </w:r>
      <w:proofErr w:type="gramEnd"/>
      <w:r w:rsidRPr="00006435">
        <w:rPr>
          <w:rFonts w:ascii="Arial Narrow" w:hAnsi="Arial Narrow"/>
          <w:sz w:val="18"/>
          <w:szCs w:val="16"/>
        </w:rPr>
        <w:tab/>
        <w:t>TCZ 8mg/kg q4w offered from Week 16 if &lt;20% improvement from baseline in both TJC and SJC.</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g</w:t>
      </w:r>
      <w:proofErr w:type="gramEnd"/>
      <w:r w:rsidRPr="00006435">
        <w:rPr>
          <w:rFonts w:ascii="Arial Narrow" w:hAnsi="Arial Narrow"/>
          <w:sz w:val="18"/>
          <w:szCs w:val="16"/>
        </w:rPr>
        <w:tab/>
        <w:t xml:space="preserve">ADA 40mg </w:t>
      </w:r>
      <w:proofErr w:type="spellStart"/>
      <w:r w:rsidRPr="00006435">
        <w:rPr>
          <w:rFonts w:ascii="Arial Narrow" w:hAnsi="Arial Narrow"/>
          <w:sz w:val="18"/>
          <w:szCs w:val="16"/>
        </w:rPr>
        <w:t>qw</w:t>
      </w:r>
      <w:proofErr w:type="spellEnd"/>
      <w:r w:rsidRPr="00006435">
        <w:rPr>
          <w:rFonts w:ascii="Arial Narrow" w:hAnsi="Arial Narrow"/>
          <w:sz w:val="18"/>
          <w:szCs w:val="16"/>
        </w:rPr>
        <w:t xml:space="preserve"> or matching placebo in SAR arm offered from Week 16 if &lt;20% improvement from baseline in both TJC and SJC.</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h</w:t>
      </w:r>
      <w:proofErr w:type="gramEnd"/>
      <w:r w:rsidRPr="00006435">
        <w:rPr>
          <w:rFonts w:ascii="Arial Narrow" w:hAnsi="Arial Narrow"/>
          <w:sz w:val="18"/>
          <w:szCs w:val="16"/>
          <w:vertAlign w:val="superscript"/>
        </w:rPr>
        <w:tab/>
      </w:r>
      <w:r w:rsidRPr="00006435">
        <w:rPr>
          <w:rFonts w:ascii="Arial Narrow" w:hAnsi="Arial Narrow"/>
          <w:sz w:val="18"/>
          <w:szCs w:val="16"/>
        </w:rPr>
        <w:t xml:space="preserve">ADA 40mg </w:t>
      </w:r>
      <w:proofErr w:type="spellStart"/>
      <w:r w:rsidRPr="00006435">
        <w:rPr>
          <w:rFonts w:ascii="Arial Narrow" w:hAnsi="Arial Narrow"/>
          <w:sz w:val="18"/>
          <w:szCs w:val="16"/>
        </w:rPr>
        <w:t>qw</w:t>
      </w:r>
      <w:proofErr w:type="spellEnd"/>
      <w:r w:rsidRPr="00006435">
        <w:rPr>
          <w:rFonts w:ascii="Arial Narrow" w:hAnsi="Arial Narrow"/>
          <w:sz w:val="18"/>
          <w:szCs w:val="16"/>
        </w:rPr>
        <w:t xml:space="preserve"> or matching placebo in TCZ arm offered from Week 16 if &lt;20% improvement from baseline in both TJC and SJC.</w:t>
      </w:r>
    </w:p>
    <w:p w:rsidR="005C168D" w:rsidRPr="00006435" w:rsidRDefault="005C168D" w:rsidP="002C53C8">
      <w:pPr>
        <w:widowControl/>
        <w:tabs>
          <w:tab w:val="left" w:pos="142"/>
        </w:tabs>
        <w:ind w:left="135" w:hanging="135"/>
        <w:rPr>
          <w:rFonts w:ascii="Arial Narrow" w:hAnsi="Arial Narrow"/>
          <w:sz w:val="18"/>
          <w:szCs w:val="16"/>
        </w:rPr>
      </w:pPr>
      <w:proofErr w:type="spellStart"/>
      <w:proofErr w:type="gramStart"/>
      <w:r w:rsidRPr="00006435">
        <w:rPr>
          <w:rFonts w:ascii="Arial Narrow" w:hAnsi="Arial Narrow"/>
          <w:sz w:val="18"/>
          <w:szCs w:val="16"/>
          <w:vertAlign w:val="superscript"/>
        </w:rPr>
        <w:t>i</w:t>
      </w:r>
      <w:proofErr w:type="spellEnd"/>
      <w:proofErr w:type="gramEnd"/>
      <w:r w:rsidRPr="00006435">
        <w:rPr>
          <w:rFonts w:ascii="Arial Narrow" w:hAnsi="Arial Narrow"/>
          <w:sz w:val="18"/>
          <w:szCs w:val="16"/>
        </w:rPr>
        <w:tab/>
        <w:t>SAR 200mg q2w offered from Week 12 if &lt;20% improvement from baseline in the SJC or TJC for 2 joint assessments ≥4 weeks apart.</w:t>
      </w:r>
    </w:p>
    <w:p w:rsidR="005C168D" w:rsidRPr="00006435" w:rsidRDefault="005C168D" w:rsidP="002C53C8">
      <w:pPr>
        <w:widowControl/>
        <w:tabs>
          <w:tab w:val="left" w:pos="142"/>
        </w:tabs>
        <w:ind w:left="135" w:hanging="135"/>
        <w:rPr>
          <w:rFonts w:ascii="Arial Narrow" w:hAnsi="Arial Narrow"/>
          <w:sz w:val="18"/>
          <w:szCs w:val="16"/>
        </w:rPr>
      </w:pPr>
      <w:proofErr w:type="gramStart"/>
      <w:r w:rsidRPr="00006435">
        <w:rPr>
          <w:rFonts w:ascii="Arial Narrow" w:hAnsi="Arial Narrow"/>
          <w:sz w:val="18"/>
          <w:szCs w:val="16"/>
          <w:vertAlign w:val="superscript"/>
        </w:rPr>
        <w:t>j</w:t>
      </w:r>
      <w:proofErr w:type="gramEnd"/>
      <w:r w:rsidRPr="00006435">
        <w:rPr>
          <w:rFonts w:ascii="Arial Narrow" w:hAnsi="Arial Narrow"/>
          <w:sz w:val="18"/>
          <w:szCs w:val="16"/>
        </w:rPr>
        <w:tab/>
        <w:t>TCZ 8mg/kg q4w offered from Week 16 if &lt;20% improvement from baseline in both TJC and SJC.</w:t>
      </w:r>
    </w:p>
    <w:p w:rsidR="005C168D" w:rsidRPr="00006435" w:rsidRDefault="005C168D" w:rsidP="002C53C8">
      <w:pPr>
        <w:widowControl/>
        <w:tabs>
          <w:tab w:val="left" w:pos="0"/>
        </w:tabs>
        <w:rPr>
          <w:rFonts w:ascii="Arial Narrow" w:hAnsi="Arial Narrow"/>
          <w:sz w:val="18"/>
          <w:szCs w:val="16"/>
        </w:rPr>
      </w:pPr>
      <w:r w:rsidRPr="00006435">
        <w:rPr>
          <w:rFonts w:ascii="Arial Narrow" w:hAnsi="Arial Narrow"/>
          <w:sz w:val="18"/>
          <w:szCs w:val="16"/>
        </w:rPr>
        <w:t>Abbreviations: P=phase; OL=open label; PBO = placebo; R = randomised; DB = double blind; DD = double dummy; MC = multicentre; SAR=</w:t>
      </w:r>
      <w:proofErr w:type="spellStart"/>
      <w:r w:rsidRPr="00006435">
        <w:rPr>
          <w:rFonts w:ascii="Arial Narrow" w:hAnsi="Arial Narrow"/>
          <w:sz w:val="18"/>
          <w:szCs w:val="16"/>
        </w:rPr>
        <w:t>sarilumab</w:t>
      </w:r>
      <w:proofErr w:type="spellEnd"/>
      <w:r w:rsidRPr="00006435">
        <w:rPr>
          <w:rFonts w:ascii="Arial Narrow" w:hAnsi="Arial Narrow"/>
          <w:sz w:val="18"/>
          <w:szCs w:val="16"/>
        </w:rPr>
        <w:t>; TCZ=</w:t>
      </w:r>
      <w:proofErr w:type="spellStart"/>
      <w:r w:rsidRPr="00006435">
        <w:rPr>
          <w:rFonts w:ascii="Arial Narrow" w:hAnsi="Arial Narrow"/>
          <w:sz w:val="18"/>
          <w:szCs w:val="16"/>
        </w:rPr>
        <w:t>tocilizumab</w:t>
      </w:r>
      <w:proofErr w:type="spellEnd"/>
      <w:r w:rsidRPr="00006435">
        <w:rPr>
          <w:rFonts w:ascii="Arial Narrow" w:hAnsi="Arial Narrow"/>
          <w:sz w:val="18"/>
          <w:szCs w:val="16"/>
        </w:rPr>
        <w:t xml:space="preserve">; MTX=methotrexate; </w:t>
      </w:r>
      <w:proofErr w:type="spellStart"/>
      <w:r w:rsidRPr="00006435">
        <w:rPr>
          <w:rFonts w:ascii="Arial Narrow" w:hAnsi="Arial Narrow"/>
          <w:sz w:val="18"/>
          <w:szCs w:val="16"/>
        </w:rPr>
        <w:t>cDMARD</w:t>
      </w:r>
      <w:proofErr w:type="spellEnd"/>
      <w:r w:rsidRPr="00006435">
        <w:rPr>
          <w:rFonts w:ascii="Arial Narrow" w:hAnsi="Arial Narrow"/>
          <w:sz w:val="18"/>
          <w:szCs w:val="16"/>
        </w:rPr>
        <w:t>=conventional disease-modifying anti-rheumatic drug; PBO=placebo; TNFα = tumour necrosis factor alpha blocker</w:t>
      </w:r>
    </w:p>
    <w:p w:rsidR="005C168D" w:rsidRPr="00006435" w:rsidRDefault="005C168D" w:rsidP="002C53C8">
      <w:pPr>
        <w:widowControl/>
        <w:tabs>
          <w:tab w:val="left" w:pos="142"/>
        </w:tabs>
      </w:pPr>
      <w:r w:rsidRPr="00006435">
        <w:rPr>
          <w:rFonts w:ascii="Arial Narrow" w:hAnsi="Arial Narrow"/>
          <w:sz w:val="18"/>
          <w:szCs w:val="16"/>
        </w:rPr>
        <w:t>Source: Compiled during the evaluation; Table 2.3.1, pp49-59 of the submission; Table 2.3.2, pp62-64 of the submission</w:t>
      </w:r>
    </w:p>
    <w:p w:rsidR="007F1017" w:rsidRPr="00006435" w:rsidRDefault="007F1017" w:rsidP="00127F36">
      <w:pPr>
        <w:pStyle w:val="TableFooter"/>
      </w:pPr>
    </w:p>
    <w:p w:rsidR="00891D32" w:rsidRPr="00006435" w:rsidRDefault="00891D32" w:rsidP="002C53C8">
      <w:pPr>
        <w:pStyle w:val="ListParagraph"/>
        <w:widowControl/>
        <w:numPr>
          <w:ilvl w:val="1"/>
          <w:numId w:val="3"/>
        </w:numPr>
        <w:rPr>
          <w:iCs/>
        </w:rPr>
      </w:pPr>
      <w:r w:rsidRPr="00006435">
        <w:rPr>
          <w:iCs/>
        </w:rPr>
        <w:t xml:space="preserve">All trials were phase 3 or 4, multicentre, randomised, PBO or active controlled superiority trials (with the exception of SUMMACTA, a non-inferiority trial) with a double-blind period of at least 24 weeks.  However, all but one trial permitted patients with &lt;20% improvement in </w:t>
      </w:r>
      <w:r w:rsidR="00D8391A" w:rsidRPr="00006435">
        <w:rPr>
          <w:iCs/>
        </w:rPr>
        <w:t>tender joint count (</w:t>
      </w:r>
      <w:r w:rsidRPr="00006435">
        <w:rPr>
          <w:iCs/>
        </w:rPr>
        <w:t>TJC</w:t>
      </w:r>
      <w:r w:rsidR="00D8391A" w:rsidRPr="00006435">
        <w:rPr>
          <w:iCs/>
        </w:rPr>
        <w:t>)</w:t>
      </w:r>
      <w:r w:rsidRPr="00006435">
        <w:rPr>
          <w:iCs/>
        </w:rPr>
        <w:t xml:space="preserve"> and/or </w:t>
      </w:r>
      <w:r w:rsidR="00D8391A" w:rsidRPr="00006435">
        <w:rPr>
          <w:iCs/>
        </w:rPr>
        <w:t>swollen joint count (</w:t>
      </w:r>
      <w:r w:rsidRPr="00006435">
        <w:rPr>
          <w:iCs/>
        </w:rPr>
        <w:t>SJC</w:t>
      </w:r>
      <w:r w:rsidR="00D8391A" w:rsidRPr="00006435">
        <w:rPr>
          <w:iCs/>
        </w:rPr>
        <w:t>)</w:t>
      </w:r>
      <w:r w:rsidRPr="00006435">
        <w:rPr>
          <w:iCs/>
        </w:rPr>
        <w:t xml:space="preserve"> by Week 12 or 16 access to rescue therapy (‘early escape’), with many patients in the control arm receiv</w:t>
      </w:r>
      <w:r w:rsidR="009657A4" w:rsidRPr="00006435">
        <w:rPr>
          <w:iCs/>
        </w:rPr>
        <w:t>ing</w:t>
      </w:r>
      <w:r w:rsidRPr="00006435">
        <w:rPr>
          <w:iCs/>
        </w:rPr>
        <w:t xml:space="preserve"> active </w:t>
      </w:r>
      <w:proofErr w:type="spellStart"/>
      <w:r w:rsidRPr="00006435">
        <w:rPr>
          <w:iCs/>
        </w:rPr>
        <w:t>bDMARD</w:t>
      </w:r>
      <w:proofErr w:type="spellEnd"/>
      <w:r w:rsidRPr="00006435">
        <w:rPr>
          <w:iCs/>
        </w:rPr>
        <w:t xml:space="preserve"> therapy and patients in the active arms becoming un-blinded to treatment.  </w:t>
      </w:r>
      <w:r w:rsidR="00440051" w:rsidRPr="00006435">
        <w:rPr>
          <w:iCs/>
        </w:rPr>
        <w:t xml:space="preserve">With the exception of TOWARD (which only offered </w:t>
      </w:r>
      <w:proofErr w:type="spellStart"/>
      <w:r w:rsidR="00440051" w:rsidRPr="00006435">
        <w:rPr>
          <w:iCs/>
        </w:rPr>
        <w:t>cDMARD</w:t>
      </w:r>
      <w:proofErr w:type="spellEnd"/>
      <w:r w:rsidR="00440051" w:rsidRPr="00006435">
        <w:rPr>
          <w:iCs/>
        </w:rPr>
        <w:t xml:space="preserve"> adjustment as a rescue), between 28-43% of patients randomised to </w:t>
      </w:r>
      <w:r w:rsidR="00440051" w:rsidRPr="00006435">
        <w:rPr>
          <w:iCs/>
        </w:rPr>
        <w:lastRenderedPageBreak/>
        <w:t xml:space="preserve">PBO and 9-17% randomised to a SAR or TCZ received rescue therapy.  </w:t>
      </w:r>
      <w:r w:rsidRPr="00006435">
        <w:rPr>
          <w:iCs/>
        </w:rPr>
        <w:t>All trials classified patients who received rescue therapy (or withdrew prematurely) as non-responders after Week 12/16 irrespective of response.</w:t>
      </w:r>
    </w:p>
    <w:p w:rsidR="00B60939" w:rsidRPr="00006435" w:rsidRDefault="00B60939" w:rsidP="00127F36">
      <w:pPr>
        <w:pStyle w:val="Heading2"/>
      </w:pPr>
      <w:bookmarkStart w:id="8" w:name="_Toc524441615"/>
      <w:r w:rsidRPr="00006435">
        <w:t>Comparative effectiveness</w:t>
      </w:r>
      <w:bookmarkEnd w:id="8"/>
    </w:p>
    <w:p w:rsidR="00DA3167" w:rsidRPr="00006435" w:rsidRDefault="00D8391A" w:rsidP="002C53C8">
      <w:pPr>
        <w:pStyle w:val="ListParagraph"/>
        <w:widowControl/>
        <w:numPr>
          <w:ilvl w:val="1"/>
          <w:numId w:val="3"/>
        </w:numPr>
        <w:rPr>
          <w:iCs/>
        </w:rPr>
      </w:pPr>
      <w:r w:rsidRPr="00006435">
        <w:rPr>
          <w:iCs/>
        </w:rPr>
        <w:t xml:space="preserve">Under the PBS restrictions for </w:t>
      </w:r>
      <w:proofErr w:type="spellStart"/>
      <w:r w:rsidRPr="00006435">
        <w:rPr>
          <w:iCs/>
        </w:rPr>
        <w:t>bDMARD</w:t>
      </w:r>
      <w:r w:rsidR="009657A4" w:rsidRPr="00006435">
        <w:rPr>
          <w:iCs/>
        </w:rPr>
        <w:t>s</w:t>
      </w:r>
      <w:proofErr w:type="spellEnd"/>
      <w:r w:rsidRPr="00006435">
        <w:rPr>
          <w:iCs/>
        </w:rPr>
        <w:t xml:space="preserve"> </w:t>
      </w:r>
      <w:r w:rsidR="00147F4E" w:rsidRPr="00006435">
        <w:rPr>
          <w:iCs/>
        </w:rPr>
        <w:t>for</w:t>
      </w:r>
      <w:r w:rsidRPr="00006435">
        <w:rPr>
          <w:iCs/>
        </w:rPr>
        <w:t xml:space="preserve"> RA, continued treatment is dependent on demonstrating and maintaining response to therapy, assessed after a minimum of 12 weeks following initiation (and every 24 weeks ongoing thereafter).  The response criteria is a composite outcome requiring a 50% improvement from baseline in TJC/SJC and </w:t>
      </w:r>
      <w:r w:rsidR="009657A4" w:rsidRPr="00006435">
        <w:rPr>
          <w:iCs/>
        </w:rPr>
        <w:t xml:space="preserve">a </w:t>
      </w:r>
      <w:r w:rsidRPr="00006435">
        <w:rPr>
          <w:iCs/>
        </w:rPr>
        <w:t xml:space="preserve">20% (or below absolute thresholds) improvement in acute phase reactants </w:t>
      </w:r>
      <w:r w:rsidR="00BC4F82" w:rsidRPr="00F3476E">
        <w:rPr>
          <w:rFonts w:cs="Calibri"/>
          <w:szCs w:val="24"/>
        </w:rPr>
        <w:t>erythrocyte sedimentation rate</w:t>
      </w:r>
      <w:r w:rsidR="00BC4F82" w:rsidRPr="00F3476E">
        <w:rPr>
          <w:rFonts w:cs="Calibri"/>
          <w:iCs/>
          <w:szCs w:val="24"/>
        </w:rPr>
        <w:t xml:space="preserve"> (</w:t>
      </w:r>
      <w:r w:rsidRPr="00F3476E">
        <w:rPr>
          <w:rFonts w:cs="Calibri"/>
          <w:iCs/>
          <w:szCs w:val="24"/>
        </w:rPr>
        <w:t>ESR</w:t>
      </w:r>
      <w:r w:rsidR="00BC4F82" w:rsidRPr="00F3476E">
        <w:rPr>
          <w:rFonts w:cs="Calibri"/>
          <w:iCs/>
          <w:szCs w:val="24"/>
        </w:rPr>
        <w:t>)</w:t>
      </w:r>
      <w:r w:rsidRPr="00F3476E">
        <w:rPr>
          <w:rFonts w:cs="Calibri"/>
          <w:iCs/>
          <w:szCs w:val="24"/>
        </w:rPr>
        <w:t xml:space="preserve"> or </w:t>
      </w:r>
      <w:r w:rsidR="00BC4F82" w:rsidRPr="00F3476E">
        <w:rPr>
          <w:rFonts w:cs="Calibri"/>
          <w:szCs w:val="24"/>
        </w:rPr>
        <w:t>C-reactive protein (</w:t>
      </w:r>
      <w:r w:rsidRPr="00F3476E">
        <w:rPr>
          <w:rFonts w:cs="Calibri"/>
          <w:iCs/>
          <w:szCs w:val="24"/>
        </w:rPr>
        <w:t>CRP</w:t>
      </w:r>
      <w:r w:rsidR="00BC4F82" w:rsidRPr="00F3476E">
        <w:rPr>
          <w:rFonts w:cs="Calibri"/>
          <w:iCs/>
          <w:szCs w:val="24"/>
        </w:rPr>
        <w:t>)</w:t>
      </w:r>
      <w:r w:rsidRPr="00F3476E">
        <w:rPr>
          <w:rFonts w:cs="Calibri"/>
          <w:iCs/>
          <w:szCs w:val="24"/>
        </w:rPr>
        <w:t>.</w:t>
      </w:r>
      <w:r w:rsidRPr="00006435">
        <w:rPr>
          <w:iCs/>
        </w:rPr>
        <w:t xml:space="preserve">  The response criteria on the PBS are </w:t>
      </w:r>
      <w:r w:rsidR="005F22B5" w:rsidRPr="00006435">
        <w:rPr>
          <w:iCs/>
        </w:rPr>
        <w:t xml:space="preserve">most </w:t>
      </w:r>
      <w:r w:rsidRPr="00006435">
        <w:rPr>
          <w:iCs/>
        </w:rPr>
        <w:t>similar to the American College of Rheumatology (ACR) 50%</w:t>
      </w:r>
      <w:r w:rsidR="005F22B5" w:rsidRPr="00006435">
        <w:rPr>
          <w:iCs/>
        </w:rPr>
        <w:t xml:space="preserve"> </w:t>
      </w:r>
      <w:r w:rsidRPr="00006435">
        <w:rPr>
          <w:iCs/>
        </w:rPr>
        <w:t>response criteria</w:t>
      </w:r>
      <w:r w:rsidR="00DA3167" w:rsidRPr="00006435">
        <w:rPr>
          <w:rFonts w:cs="Calibri"/>
          <w:iCs/>
          <w:snapToGrid/>
          <w:szCs w:val="24"/>
          <w:lang w:eastAsia="en-AU"/>
        </w:rPr>
        <w:t>.</w:t>
      </w:r>
    </w:p>
    <w:p w:rsidR="005F22B5" w:rsidRPr="00006435" w:rsidRDefault="008A1E1F" w:rsidP="002C53C8">
      <w:pPr>
        <w:pStyle w:val="ListParagraph"/>
        <w:widowControl/>
        <w:numPr>
          <w:ilvl w:val="1"/>
          <w:numId w:val="3"/>
        </w:numPr>
        <w:rPr>
          <w:iCs/>
        </w:rPr>
      </w:pPr>
      <w:r w:rsidRPr="00006435">
        <w:t xml:space="preserve">The submission presented indirect comparisons across several outcomes (ACR20, ACR50, ACR70, ΔHAQ-DI, ΔDAS28-ESR), primarily at Week 24.  </w:t>
      </w:r>
      <w:r w:rsidR="0039550F" w:rsidRPr="00006435">
        <w:rPr>
          <w:iCs/>
        </w:rPr>
        <w:t xml:space="preserve">In its consideration of past submissions for RA, the PBAC </w:t>
      </w:r>
      <w:r w:rsidR="009657A4" w:rsidRPr="00006435">
        <w:rPr>
          <w:iCs/>
        </w:rPr>
        <w:t xml:space="preserve">has </w:t>
      </w:r>
      <w:r w:rsidR="0039550F" w:rsidRPr="00006435">
        <w:rPr>
          <w:iCs/>
        </w:rPr>
        <w:t>accepted that an ACR5</w:t>
      </w:r>
      <w:r w:rsidR="00DA7493" w:rsidRPr="00006435">
        <w:rPr>
          <w:iCs/>
        </w:rPr>
        <w:t>0</w:t>
      </w:r>
      <w:r w:rsidR="0039550F" w:rsidRPr="00006435">
        <w:rPr>
          <w:iCs/>
        </w:rPr>
        <w:t xml:space="preserve"> response represented a reasonable treatment target, and assessment of response at Week 12 corresponded with assessment of response to initial treatment on the PBS.</w:t>
      </w:r>
      <w:r w:rsidR="00C502E3" w:rsidRPr="00006435">
        <w:t xml:space="preserve"> </w:t>
      </w:r>
    </w:p>
    <w:p w:rsidR="008A1E1F" w:rsidRPr="00006435" w:rsidRDefault="00056E78" w:rsidP="002C53C8">
      <w:pPr>
        <w:pStyle w:val="ListParagraph"/>
        <w:widowControl/>
        <w:numPr>
          <w:ilvl w:val="1"/>
          <w:numId w:val="3"/>
        </w:numPr>
        <w:rPr>
          <w:iCs/>
        </w:rPr>
      </w:pPr>
      <w:r w:rsidRPr="00006435">
        <w:t xml:space="preserve">ACR50 at Week 24 is summarised in Table </w:t>
      </w:r>
      <w:r w:rsidR="00955D0F" w:rsidRPr="00006435">
        <w:t xml:space="preserve">4 </w:t>
      </w:r>
      <w:r w:rsidRPr="00006435">
        <w:t>below.</w:t>
      </w:r>
      <w:r w:rsidR="00A91AC8" w:rsidRPr="00006435">
        <w:t xml:space="preserve">  </w:t>
      </w:r>
      <w:r w:rsidR="0039550F" w:rsidRPr="00006435">
        <w:t xml:space="preserve">Given large variations between PBO response rates </w:t>
      </w:r>
      <w:r w:rsidR="00EB0AF3" w:rsidRPr="00006435">
        <w:t>(</w:t>
      </w:r>
      <w:r w:rsidR="0039550F" w:rsidRPr="00006435">
        <w:t>observed across multiple outcomes</w:t>
      </w:r>
      <w:r w:rsidR="00EB0AF3" w:rsidRPr="00006435">
        <w:t>)</w:t>
      </w:r>
      <w:r w:rsidR="0039550F" w:rsidRPr="00006435">
        <w:t xml:space="preserve">, the submission </w:t>
      </w:r>
      <w:r w:rsidR="00CB5DA7" w:rsidRPr="00006435">
        <w:t>concluded that</w:t>
      </w:r>
      <w:r w:rsidR="0039550F" w:rsidRPr="00006435">
        <w:t xml:space="preserve"> indirect comparison </w:t>
      </w:r>
      <w:r w:rsidR="00CB5DA7" w:rsidRPr="00006435">
        <w:t>using</w:t>
      </w:r>
      <w:r w:rsidR="0039550F" w:rsidRPr="00006435">
        <w:t xml:space="preserve"> risk difference (RD) would be less biased than using odd</w:t>
      </w:r>
      <w:r w:rsidR="006D3591" w:rsidRPr="00006435">
        <w:t>s</w:t>
      </w:r>
      <w:r w:rsidR="0039550F" w:rsidRPr="00006435">
        <w:t xml:space="preserve"> ratio (OR).  </w:t>
      </w:r>
      <w:r w:rsidR="00C502E3" w:rsidRPr="00006435">
        <w:rPr>
          <w:iCs/>
        </w:rPr>
        <w:t xml:space="preserve">Due to incomplete reporting in the submission, the RD statistics presented below were calculated during the evaluation.  There were slight differences between the RD in the submission and those presented below due largely to rounding error.  </w:t>
      </w:r>
      <w:r w:rsidR="00A91AC8" w:rsidRPr="00006435">
        <w:rPr>
          <w:iCs/>
        </w:rPr>
        <w:t>The results demonstrated</w:t>
      </w:r>
      <w:r w:rsidR="008A1E1F" w:rsidRPr="00006435">
        <w:rPr>
          <w:iCs/>
        </w:rPr>
        <w:t>:</w:t>
      </w:r>
      <w:r w:rsidR="00E60791" w:rsidRPr="00006435">
        <w:rPr>
          <w:iCs/>
        </w:rPr>
        <w:t xml:space="preserve"> </w:t>
      </w:r>
    </w:p>
    <w:p w:rsidR="008A1E1F" w:rsidRPr="00006435" w:rsidRDefault="00A91AC8" w:rsidP="00CE47CC">
      <w:pPr>
        <w:pStyle w:val="ListParagraph"/>
        <w:widowControl/>
        <w:numPr>
          <w:ilvl w:val="0"/>
          <w:numId w:val="36"/>
        </w:numPr>
        <w:spacing w:after="120"/>
        <w:ind w:left="1077" w:hanging="357"/>
        <w:rPr>
          <w:iCs/>
        </w:rPr>
      </w:pPr>
      <w:r w:rsidRPr="00006435">
        <w:rPr>
          <w:iCs/>
        </w:rPr>
        <w:t xml:space="preserve">in combination with </w:t>
      </w:r>
      <w:proofErr w:type="spellStart"/>
      <w:r w:rsidRPr="00006435">
        <w:rPr>
          <w:iCs/>
        </w:rPr>
        <w:t>cDMARDs</w:t>
      </w:r>
      <w:proofErr w:type="spellEnd"/>
      <w:r w:rsidRPr="00006435">
        <w:rPr>
          <w:iCs/>
        </w:rPr>
        <w:t>, SAR 200mg q2w and TCZ IV 8mg/kg q4w were more effective than PBO at producing a response at Week 24;</w:t>
      </w:r>
    </w:p>
    <w:p w:rsidR="008A1E1F" w:rsidRPr="00006435" w:rsidRDefault="00E60791" w:rsidP="00CE47CC">
      <w:pPr>
        <w:pStyle w:val="ListParagraph"/>
        <w:widowControl/>
        <w:numPr>
          <w:ilvl w:val="0"/>
          <w:numId w:val="36"/>
        </w:numPr>
        <w:spacing w:after="120"/>
        <w:ind w:left="1077" w:hanging="357"/>
        <w:rPr>
          <w:iCs/>
        </w:rPr>
      </w:pPr>
      <w:r w:rsidRPr="00006435">
        <w:rPr>
          <w:iCs/>
        </w:rPr>
        <w:t>i</w:t>
      </w:r>
      <w:r w:rsidR="00A91AC8" w:rsidRPr="00006435">
        <w:rPr>
          <w:iCs/>
        </w:rPr>
        <w:t xml:space="preserve">n combination with </w:t>
      </w:r>
      <w:proofErr w:type="spellStart"/>
      <w:r w:rsidR="00A91AC8" w:rsidRPr="00006435">
        <w:rPr>
          <w:iCs/>
        </w:rPr>
        <w:t>cDMARDs</w:t>
      </w:r>
      <w:proofErr w:type="spellEnd"/>
      <w:r w:rsidR="00A91AC8" w:rsidRPr="00006435">
        <w:rPr>
          <w:iCs/>
        </w:rPr>
        <w:t xml:space="preserve">, response at Week 24 was similar for TCZ SC 162mg </w:t>
      </w:r>
      <w:proofErr w:type="spellStart"/>
      <w:r w:rsidR="00A91AC8" w:rsidRPr="00006435">
        <w:rPr>
          <w:iCs/>
        </w:rPr>
        <w:t>qw</w:t>
      </w:r>
      <w:proofErr w:type="spellEnd"/>
      <w:r w:rsidR="00A91AC8" w:rsidRPr="00006435">
        <w:rPr>
          <w:iCs/>
        </w:rPr>
        <w:t xml:space="preserve"> and TCZ IV 8mg/kg q4w;</w:t>
      </w:r>
      <w:r w:rsidRPr="00006435">
        <w:rPr>
          <w:iCs/>
        </w:rPr>
        <w:t xml:space="preserve"> </w:t>
      </w:r>
    </w:p>
    <w:p w:rsidR="008A1E1F" w:rsidRPr="00006435" w:rsidRDefault="00A91AC8" w:rsidP="00CE47CC">
      <w:pPr>
        <w:pStyle w:val="ListParagraph"/>
        <w:widowControl/>
        <w:numPr>
          <w:ilvl w:val="0"/>
          <w:numId w:val="36"/>
        </w:numPr>
        <w:spacing w:after="120"/>
        <w:ind w:left="1077" w:hanging="357"/>
        <w:rPr>
          <w:iCs/>
        </w:rPr>
      </w:pPr>
      <w:r w:rsidRPr="00006435">
        <w:rPr>
          <w:iCs/>
        </w:rPr>
        <w:t>as monotherapy, SAR 200mg q2w and TCZ IV 8mg/kg q4w were more effective than ADA 40mg q2w at producing a response at Week 24; and</w:t>
      </w:r>
      <w:r w:rsidR="00E60791" w:rsidRPr="00006435">
        <w:rPr>
          <w:iCs/>
        </w:rPr>
        <w:t xml:space="preserve"> </w:t>
      </w:r>
    </w:p>
    <w:p w:rsidR="00A91AC8" w:rsidRPr="00006435" w:rsidRDefault="00A91AC8" w:rsidP="00CE47CC">
      <w:pPr>
        <w:pStyle w:val="ListParagraph"/>
        <w:widowControl/>
        <w:numPr>
          <w:ilvl w:val="0"/>
          <w:numId w:val="36"/>
        </w:numPr>
        <w:spacing w:after="120"/>
        <w:ind w:left="1077" w:hanging="357"/>
        <w:rPr>
          <w:iCs/>
        </w:rPr>
      </w:pPr>
      <w:proofErr w:type="gramStart"/>
      <w:r w:rsidRPr="00006435">
        <w:rPr>
          <w:iCs/>
        </w:rPr>
        <w:t>indirect</w:t>
      </w:r>
      <w:proofErr w:type="gramEnd"/>
      <w:r w:rsidRPr="00006435">
        <w:rPr>
          <w:iCs/>
        </w:rPr>
        <w:t xml:space="preserve"> comparison based on </w:t>
      </w:r>
      <w:r w:rsidR="00336BA8" w:rsidRPr="00006435">
        <w:rPr>
          <w:iCs/>
        </w:rPr>
        <w:t>RD</w:t>
      </w:r>
      <w:r w:rsidRPr="00006435">
        <w:rPr>
          <w:iCs/>
        </w:rPr>
        <w:t xml:space="preserve"> did not show any statistically significant differences between SAR 200mg q2w, TCZ IV 8mg/kg q4w or TCZ SC 162mg </w:t>
      </w:r>
      <w:proofErr w:type="spellStart"/>
      <w:r w:rsidRPr="00006435">
        <w:rPr>
          <w:iCs/>
        </w:rPr>
        <w:t>qw</w:t>
      </w:r>
      <w:proofErr w:type="spellEnd"/>
      <w:r w:rsidRPr="00006435">
        <w:rPr>
          <w:iCs/>
        </w:rPr>
        <w:t xml:space="preserve">, either as monotherapy or in combination with </w:t>
      </w:r>
      <w:proofErr w:type="spellStart"/>
      <w:r w:rsidRPr="00006435">
        <w:rPr>
          <w:iCs/>
        </w:rPr>
        <w:t>cDMARDs</w:t>
      </w:r>
      <w:proofErr w:type="spellEnd"/>
      <w:r w:rsidRPr="00006435">
        <w:rPr>
          <w:iCs/>
        </w:rPr>
        <w:t>.</w:t>
      </w:r>
    </w:p>
    <w:p w:rsidR="00336BA8" w:rsidRPr="00006435" w:rsidRDefault="00336BA8" w:rsidP="002C53C8">
      <w:pPr>
        <w:pStyle w:val="ListParagraph"/>
        <w:widowControl/>
        <w:numPr>
          <w:ilvl w:val="1"/>
          <w:numId w:val="3"/>
        </w:numPr>
      </w:pPr>
      <w:r w:rsidRPr="00006435">
        <w:rPr>
          <w:iCs/>
        </w:rPr>
        <w:t>The submission did not nominate or apply a minimum clinically important difference (MCID) for ACR response.  The PBAC previously considered an MCID for ACR20 at Week 12 based on the RR statistic of 0.4, but no statistical rationale was provided.  No established MCID for ACR was identified in the literature.</w:t>
      </w:r>
    </w:p>
    <w:p w:rsidR="00463F46" w:rsidRPr="00006435" w:rsidRDefault="00463F46" w:rsidP="002C53C8">
      <w:pPr>
        <w:widowControl/>
        <w:rPr>
          <w:rFonts w:ascii="Arial Narrow" w:hAnsi="Arial Narrow"/>
          <w:b/>
          <w:bCs/>
          <w:sz w:val="20"/>
          <w:szCs w:val="18"/>
        </w:rPr>
      </w:pPr>
      <w:r w:rsidRPr="00006435">
        <w:rPr>
          <w:rFonts w:ascii="Arial Narrow" w:hAnsi="Arial Narrow"/>
          <w:b/>
          <w:bCs/>
          <w:sz w:val="20"/>
          <w:szCs w:val="18"/>
        </w:rPr>
        <w:lastRenderedPageBreak/>
        <w:t xml:space="preserve">Table </w:t>
      </w:r>
      <w:r w:rsidR="0049246D" w:rsidRPr="00006435">
        <w:rPr>
          <w:rFonts w:ascii="Arial Narrow" w:hAnsi="Arial Narrow"/>
          <w:b/>
          <w:bCs/>
          <w:sz w:val="20"/>
          <w:szCs w:val="18"/>
        </w:rPr>
        <w:t>4</w:t>
      </w:r>
      <w:r w:rsidRPr="00006435">
        <w:rPr>
          <w:rFonts w:ascii="Arial Narrow" w:hAnsi="Arial Narrow"/>
          <w:b/>
          <w:bCs/>
          <w:sz w:val="20"/>
          <w:szCs w:val="18"/>
        </w:rPr>
        <w:t xml:space="preserve">: ACR50 response at Week 24 at the recommended doses of SAR and TCZ without dose reduction (SAR 200mg q2w, TCZ IV 8mg/kg q4w and TCZ SC 162mg </w:t>
      </w:r>
      <w:proofErr w:type="spellStart"/>
      <w:r w:rsidRPr="00006435">
        <w:rPr>
          <w:rFonts w:ascii="Arial Narrow" w:hAnsi="Arial Narrow"/>
          <w:b/>
          <w:bCs/>
          <w:sz w:val="20"/>
          <w:szCs w:val="18"/>
        </w:rPr>
        <w:t>qw</w:t>
      </w:r>
      <w:proofErr w:type="spellEnd"/>
      <w:r w:rsidRPr="00006435">
        <w:rPr>
          <w:rFonts w:ascii="Arial Narrow" w:hAnsi="Arial Narrow"/>
          <w:b/>
          <w:bCs/>
          <w:sz w:val="20"/>
          <w:szCs w:val="18"/>
        </w:rPr>
        <w:t>), and indirect comparisons presented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1063"/>
        <w:gridCol w:w="1063"/>
        <w:gridCol w:w="1417"/>
        <w:gridCol w:w="1418"/>
        <w:gridCol w:w="852"/>
        <w:gridCol w:w="662"/>
      </w:tblGrid>
      <w:tr w:rsidR="00056E78" w:rsidRPr="00006435" w:rsidTr="00F3476E">
        <w:trPr>
          <w:tblHeader/>
        </w:trPr>
        <w:tc>
          <w:tcPr>
            <w:tcW w:w="2552" w:type="dxa"/>
            <w:tcBorders>
              <w:left w:val="nil"/>
              <w:bottom w:val="single" w:sz="4" w:space="0" w:color="auto"/>
              <w:right w:val="nil"/>
            </w:tcBorders>
            <w:shd w:val="clear" w:color="auto" w:fill="auto"/>
            <w:vAlign w:val="center"/>
          </w:tcPr>
          <w:p w:rsidR="00056E78" w:rsidRPr="00F3476E" w:rsidRDefault="00056E78" w:rsidP="00F3476E">
            <w:pPr>
              <w:widowControl/>
              <w:jc w:val="left"/>
              <w:rPr>
                <w:rFonts w:ascii="Arial Narrow" w:hAnsi="Arial Narrow"/>
                <w:b/>
                <w:bCs/>
                <w:sz w:val="20"/>
                <w:szCs w:val="20"/>
              </w:rPr>
            </w:pPr>
            <w:r w:rsidRPr="00F3476E">
              <w:rPr>
                <w:rFonts w:ascii="Arial Narrow" w:hAnsi="Arial Narrow"/>
                <w:b/>
                <w:bCs/>
                <w:sz w:val="20"/>
                <w:szCs w:val="20"/>
              </w:rPr>
              <w:t>Trial</w:t>
            </w:r>
          </w:p>
        </w:tc>
        <w:tc>
          <w:tcPr>
            <w:tcW w:w="1063" w:type="dxa"/>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b/>
                <w:bCs/>
                <w:sz w:val="20"/>
                <w:szCs w:val="20"/>
              </w:rPr>
            </w:pPr>
            <w:r w:rsidRPr="00F3476E">
              <w:rPr>
                <w:rFonts w:ascii="Arial Narrow" w:hAnsi="Arial Narrow"/>
                <w:b/>
                <w:bCs/>
                <w:sz w:val="20"/>
                <w:szCs w:val="20"/>
              </w:rPr>
              <w:t>Drug</w:t>
            </w:r>
          </w:p>
          <w:p w:rsidR="00056E78" w:rsidRPr="00F3476E" w:rsidRDefault="00056E78" w:rsidP="00F3476E">
            <w:pPr>
              <w:widowControl/>
              <w:jc w:val="center"/>
              <w:rPr>
                <w:rFonts w:ascii="Arial Narrow" w:hAnsi="Arial Narrow"/>
                <w:b/>
                <w:bCs/>
                <w:sz w:val="20"/>
                <w:szCs w:val="20"/>
              </w:rPr>
            </w:pPr>
            <w:proofErr w:type="gramStart"/>
            <w:r w:rsidRPr="00F3476E">
              <w:rPr>
                <w:rFonts w:ascii="Arial Narrow" w:hAnsi="Arial Narrow"/>
                <w:b/>
                <w:bCs/>
                <w:sz w:val="20"/>
                <w:szCs w:val="20"/>
              </w:rPr>
              <w:t>n/N</w:t>
            </w:r>
            <w:proofErr w:type="gramEnd"/>
            <w:r w:rsidRPr="00F3476E">
              <w:rPr>
                <w:rFonts w:ascii="Arial Narrow" w:hAnsi="Arial Narrow"/>
                <w:b/>
                <w:bCs/>
                <w:sz w:val="20"/>
                <w:szCs w:val="20"/>
              </w:rPr>
              <w:t xml:space="preserve"> (%)</w:t>
            </w:r>
          </w:p>
        </w:tc>
        <w:tc>
          <w:tcPr>
            <w:tcW w:w="1063" w:type="dxa"/>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b/>
                <w:bCs/>
                <w:sz w:val="20"/>
                <w:szCs w:val="20"/>
              </w:rPr>
            </w:pPr>
            <w:r w:rsidRPr="00F3476E">
              <w:rPr>
                <w:rFonts w:ascii="Arial Narrow" w:hAnsi="Arial Narrow"/>
                <w:b/>
                <w:bCs/>
                <w:sz w:val="20"/>
                <w:szCs w:val="20"/>
              </w:rPr>
              <w:t>Control</w:t>
            </w:r>
          </w:p>
          <w:p w:rsidR="00056E78" w:rsidRPr="00F3476E" w:rsidRDefault="00056E78" w:rsidP="00F3476E">
            <w:pPr>
              <w:widowControl/>
              <w:jc w:val="center"/>
              <w:rPr>
                <w:rFonts w:ascii="Arial Narrow" w:hAnsi="Arial Narrow"/>
                <w:b/>
                <w:bCs/>
                <w:sz w:val="20"/>
                <w:szCs w:val="20"/>
              </w:rPr>
            </w:pPr>
            <w:proofErr w:type="gramStart"/>
            <w:r w:rsidRPr="00F3476E">
              <w:rPr>
                <w:rFonts w:ascii="Arial Narrow" w:hAnsi="Arial Narrow"/>
                <w:b/>
                <w:bCs/>
                <w:sz w:val="20"/>
                <w:szCs w:val="20"/>
              </w:rPr>
              <w:t>n/N</w:t>
            </w:r>
            <w:proofErr w:type="gramEnd"/>
            <w:r w:rsidRPr="00F3476E">
              <w:rPr>
                <w:rFonts w:ascii="Arial Narrow" w:hAnsi="Arial Narrow"/>
                <w:b/>
                <w:bCs/>
                <w:sz w:val="20"/>
                <w:szCs w:val="20"/>
              </w:rPr>
              <w:t xml:space="preserve"> (%)</w:t>
            </w:r>
          </w:p>
        </w:tc>
        <w:tc>
          <w:tcPr>
            <w:tcW w:w="1417" w:type="dxa"/>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b/>
                <w:bCs/>
                <w:sz w:val="20"/>
                <w:szCs w:val="20"/>
                <w:vertAlign w:val="superscript"/>
              </w:rPr>
            </w:pPr>
            <w:r w:rsidRPr="00F3476E">
              <w:rPr>
                <w:rFonts w:ascii="Arial Narrow" w:hAnsi="Arial Narrow"/>
                <w:b/>
                <w:bCs/>
                <w:sz w:val="20"/>
                <w:szCs w:val="20"/>
              </w:rPr>
              <w:t>OR</w:t>
            </w:r>
            <w:r w:rsidRPr="00F3476E">
              <w:rPr>
                <w:rFonts w:ascii="Arial Narrow" w:hAnsi="Arial Narrow"/>
                <w:b/>
                <w:bCs/>
                <w:sz w:val="20"/>
                <w:szCs w:val="20"/>
                <w:vertAlign w:val="superscript"/>
              </w:rPr>
              <w:t>#</w:t>
            </w:r>
          </w:p>
          <w:p w:rsidR="00056E78" w:rsidRPr="00F3476E" w:rsidRDefault="00056E78" w:rsidP="00F3476E">
            <w:pPr>
              <w:widowControl/>
              <w:jc w:val="center"/>
              <w:rPr>
                <w:rFonts w:ascii="Arial Narrow" w:hAnsi="Arial Narrow"/>
                <w:b/>
                <w:bCs/>
                <w:sz w:val="20"/>
                <w:szCs w:val="20"/>
              </w:rPr>
            </w:pPr>
            <w:r w:rsidRPr="00F3476E">
              <w:rPr>
                <w:rFonts w:ascii="Arial Narrow" w:hAnsi="Arial Narrow"/>
                <w:b/>
                <w:bCs/>
                <w:sz w:val="20"/>
                <w:szCs w:val="20"/>
              </w:rPr>
              <w:t>(95%CI)</w:t>
            </w:r>
          </w:p>
        </w:tc>
        <w:tc>
          <w:tcPr>
            <w:tcW w:w="1418" w:type="dxa"/>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b/>
                <w:bCs/>
                <w:sz w:val="20"/>
                <w:szCs w:val="20"/>
                <w:vertAlign w:val="superscript"/>
              </w:rPr>
            </w:pPr>
            <w:r w:rsidRPr="00F3476E">
              <w:rPr>
                <w:rFonts w:ascii="Arial Narrow" w:hAnsi="Arial Narrow"/>
                <w:b/>
                <w:bCs/>
                <w:sz w:val="20"/>
                <w:szCs w:val="20"/>
              </w:rPr>
              <w:t>RD</w:t>
            </w:r>
            <w:r w:rsidRPr="00F3476E">
              <w:rPr>
                <w:rFonts w:ascii="Arial Narrow" w:hAnsi="Arial Narrow"/>
                <w:b/>
                <w:bCs/>
                <w:sz w:val="20"/>
                <w:szCs w:val="20"/>
                <w:vertAlign w:val="superscript"/>
              </w:rPr>
              <w:t>#</w:t>
            </w:r>
          </w:p>
          <w:p w:rsidR="00056E78" w:rsidRPr="00F3476E" w:rsidRDefault="00056E78" w:rsidP="00F3476E">
            <w:pPr>
              <w:widowControl/>
              <w:jc w:val="center"/>
              <w:rPr>
                <w:rFonts w:ascii="Arial Narrow" w:hAnsi="Arial Narrow"/>
                <w:b/>
                <w:bCs/>
                <w:sz w:val="20"/>
                <w:szCs w:val="20"/>
              </w:rPr>
            </w:pPr>
            <w:r w:rsidRPr="00F3476E">
              <w:rPr>
                <w:rFonts w:ascii="Arial Narrow" w:hAnsi="Arial Narrow"/>
                <w:b/>
                <w:bCs/>
                <w:sz w:val="20"/>
                <w:szCs w:val="20"/>
              </w:rPr>
              <w:t>(95%CI)</w:t>
            </w:r>
          </w:p>
        </w:tc>
        <w:tc>
          <w:tcPr>
            <w:tcW w:w="852" w:type="dxa"/>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b/>
                <w:bCs/>
                <w:sz w:val="20"/>
                <w:szCs w:val="20"/>
              </w:rPr>
            </w:pPr>
          </w:p>
        </w:tc>
        <w:tc>
          <w:tcPr>
            <w:tcW w:w="662" w:type="dxa"/>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b/>
                <w:bCs/>
                <w:sz w:val="20"/>
                <w:szCs w:val="20"/>
                <w:vertAlign w:val="superscript"/>
              </w:rPr>
            </w:pPr>
            <w:r w:rsidRPr="00F3476E">
              <w:rPr>
                <w:rFonts w:ascii="Arial Narrow" w:hAnsi="Arial Narrow"/>
                <w:b/>
                <w:bCs/>
                <w:sz w:val="20"/>
                <w:szCs w:val="20"/>
              </w:rPr>
              <w:t>NNT</w:t>
            </w:r>
            <w:r w:rsidRPr="00F3476E">
              <w:rPr>
                <w:rFonts w:ascii="Arial Narrow" w:hAnsi="Arial Narrow"/>
                <w:b/>
                <w:bCs/>
                <w:sz w:val="20"/>
                <w:szCs w:val="20"/>
                <w:vertAlign w:val="superscript"/>
              </w:rPr>
              <w:t>#</w:t>
            </w:r>
          </w:p>
          <w:p w:rsidR="00056E78" w:rsidRPr="00F3476E" w:rsidRDefault="00056E78" w:rsidP="00F3476E">
            <w:pPr>
              <w:widowControl/>
              <w:jc w:val="center"/>
              <w:rPr>
                <w:rFonts w:ascii="Arial Narrow" w:hAnsi="Arial Narrow"/>
                <w:b/>
                <w:bCs/>
                <w:sz w:val="20"/>
                <w:szCs w:val="20"/>
              </w:rPr>
            </w:pPr>
            <w:r w:rsidRPr="00F3476E">
              <w:rPr>
                <w:rFonts w:ascii="Arial Narrow" w:hAnsi="Arial Narrow"/>
                <w:b/>
                <w:bCs/>
                <w:sz w:val="20"/>
                <w:szCs w:val="20"/>
              </w:rPr>
              <w:t>(95%CI)</w:t>
            </w:r>
          </w:p>
        </w:tc>
      </w:tr>
      <w:tr w:rsidR="00056E78" w:rsidRPr="00006435" w:rsidTr="00F3476E">
        <w:tc>
          <w:tcPr>
            <w:tcW w:w="4678" w:type="dxa"/>
            <w:gridSpan w:val="3"/>
            <w:tcBorders>
              <w:left w:val="nil"/>
              <w:bottom w:val="nil"/>
              <w:right w:val="nil"/>
            </w:tcBorders>
            <w:shd w:val="clear" w:color="auto" w:fill="auto"/>
          </w:tcPr>
          <w:p w:rsidR="00056E78" w:rsidRPr="00F3476E" w:rsidRDefault="00056E78" w:rsidP="00F3476E">
            <w:pPr>
              <w:widowControl/>
              <w:rPr>
                <w:rFonts w:ascii="Arial Narrow" w:hAnsi="Arial Narrow"/>
                <w:b/>
                <w:bCs/>
                <w:color w:val="C0504D"/>
                <w:sz w:val="20"/>
                <w:szCs w:val="20"/>
                <w:u w:val="single"/>
              </w:rPr>
            </w:pPr>
            <w:proofErr w:type="spellStart"/>
            <w:r w:rsidRPr="00F3476E">
              <w:rPr>
                <w:rFonts w:ascii="Arial Narrow" w:hAnsi="Arial Narrow"/>
                <w:b/>
                <w:bCs/>
                <w:color w:val="C0504D"/>
                <w:sz w:val="20"/>
                <w:szCs w:val="20"/>
                <w:u w:val="single"/>
              </w:rPr>
              <w:t>cDMARD</w:t>
            </w:r>
            <w:proofErr w:type="spellEnd"/>
            <w:r w:rsidRPr="00F3476E">
              <w:rPr>
                <w:rFonts w:ascii="Arial Narrow" w:hAnsi="Arial Narrow"/>
                <w:b/>
                <w:bCs/>
                <w:color w:val="C0504D"/>
                <w:sz w:val="20"/>
                <w:szCs w:val="20"/>
                <w:u w:val="single"/>
              </w:rPr>
              <w:t xml:space="preserve"> IR, </w:t>
            </w:r>
            <w:proofErr w:type="spellStart"/>
            <w:r w:rsidRPr="00F3476E">
              <w:rPr>
                <w:rFonts w:ascii="Arial Narrow" w:hAnsi="Arial Narrow"/>
                <w:b/>
                <w:bCs/>
                <w:color w:val="C0504D"/>
                <w:sz w:val="20"/>
                <w:szCs w:val="20"/>
                <w:u w:val="single"/>
              </w:rPr>
              <w:t>cDMARD</w:t>
            </w:r>
            <w:proofErr w:type="spellEnd"/>
            <w:r w:rsidRPr="00F3476E">
              <w:rPr>
                <w:rFonts w:ascii="Arial Narrow" w:hAnsi="Arial Narrow"/>
                <w:b/>
                <w:bCs/>
                <w:color w:val="C0504D"/>
                <w:sz w:val="20"/>
                <w:szCs w:val="20"/>
                <w:u w:val="single"/>
              </w:rPr>
              <w:t xml:space="preserve"> concomitant</w:t>
            </w:r>
          </w:p>
        </w:tc>
        <w:tc>
          <w:tcPr>
            <w:tcW w:w="1417" w:type="dxa"/>
            <w:tcBorders>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val="restart"/>
            <w:tcBorders>
              <w:left w:val="nil"/>
              <w:bottom w:val="single" w:sz="4" w:space="0" w:color="auto"/>
              <w:right w:val="nil"/>
            </w:tcBorders>
            <w:shd w:val="clear" w:color="auto" w:fill="auto"/>
            <w:vAlign w:val="center"/>
          </w:tcPr>
          <w:p w:rsidR="00056E78" w:rsidRPr="00F3476E" w:rsidRDefault="00B049C2" w:rsidP="00F3476E">
            <w:pPr>
              <w:widowControl/>
              <w:jc w:val="center"/>
              <w:rPr>
                <w:rFonts w:ascii="Arial Narrow" w:hAnsi="Arial Narrow"/>
                <w:sz w:val="20"/>
                <w:szCs w:val="20"/>
              </w:rPr>
            </w:pPr>
            <w:r>
              <w:rPr>
                <w:rFonts w:ascii="Arial Narrow" w:hAnsi="Arial Narrow"/>
                <w:noProof/>
                <w:snapToGrid/>
                <w:sz w:val="20"/>
                <w:szCs w:val="20"/>
                <w:lang w:eastAsia="en-AU"/>
              </w:rPr>
              <w:drawing>
                <wp:inline distT="0" distB="0" distL="0" distR="0">
                  <wp:extent cx="551209" cy="5555615"/>
                  <wp:effectExtent l="0" t="0" r="0" b="0"/>
                  <wp:docPr id="1" name="Picture 6" title="Embedded image in Table 4 - ACR50 response at week 24 meta-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title="Embedded image in Table 4 - ACR50 response at week 24 meta-analy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80" cy="5555615"/>
                          </a:xfrm>
                          <a:prstGeom prst="rect">
                            <a:avLst/>
                          </a:prstGeom>
                          <a:noFill/>
                        </pic:spPr>
                      </pic:pic>
                    </a:graphicData>
                  </a:graphic>
                </wp:inline>
              </w:drawing>
            </w:r>
          </w:p>
        </w:tc>
        <w:tc>
          <w:tcPr>
            <w:tcW w:w="662" w:type="dxa"/>
            <w:tcBorders>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b/>
                <w:bCs/>
                <w:sz w:val="20"/>
                <w:szCs w:val="20"/>
              </w:rPr>
            </w:pPr>
            <w:r w:rsidRPr="00F3476E">
              <w:rPr>
                <w:rFonts w:ascii="Arial Narrow" w:hAnsi="Arial Narrow"/>
                <w:b/>
                <w:bCs/>
                <w:sz w:val="20"/>
                <w:szCs w:val="20"/>
              </w:rPr>
              <w:t>COMPARISON: SAR v PBO</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MOBILITY-B. SAR 200mg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182/399(46)</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66/398(17)</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4.22 (3.03,5.87)</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0.29 (0.23,0.35)</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3(3,4)</w:t>
            </w: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ind w:left="-30"/>
              <w:rPr>
                <w:rFonts w:ascii="Arial Narrow" w:hAnsi="Arial Narrow"/>
                <w:b/>
                <w:bCs/>
                <w:sz w:val="20"/>
                <w:szCs w:val="20"/>
              </w:rPr>
            </w:pPr>
            <w:r w:rsidRPr="00F3476E">
              <w:rPr>
                <w:rFonts w:ascii="Arial Narrow" w:hAnsi="Arial Narrow"/>
                <w:b/>
                <w:bCs/>
                <w:sz w:val="20"/>
                <w:szCs w:val="20"/>
              </w:rPr>
              <w:t>COMPARISON: TCZ v PBO</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OPTION. TCZ IV 8mg/kg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90/205(44)</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22/204(11)</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6.47(3.84,10.90)</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0.33 (0.25,0.41)</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3(2,4)</w:t>
            </w: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MEASURE. TCZ IV 8mg/kg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22/69(32)</w:t>
            </w:r>
            <w:r w:rsidRPr="00F3476E">
              <w:rPr>
                <w:rFonts w:ascii="Arial Narrow" w:hAnsi="Arial Narrow"/>
                <w:sz w:val="20"/>
                <w:szCs w:val="20"/>
                <w:vertAlign w:val="superscript"/>
              </w:rPr>
              <w:t>a</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10/63(15)</w:t>
            </w:r>
            <w:r w:rsidRPr="00F3476E">
              <w:rPr>
                <w:rFonts w:ascii="Arial Narrow" w:hAnsi="Arial Narrow"/>
                <w:sz w:val="20"/>
                <w:szCs w:val="20"/>
                <w:vertAlign w:val="superscript"/>
              </w:rPr>
              <w:t>a</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2.48 (1.07,5.77)</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0.16 (0.02,0.30)</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6(3,50)</w:t>
            </w: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LITHE. TCZ IV 8mg/kg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131/398(33)</w:t>
            </w:r>
            <w:r w:rsidRPr="00F3476E">
              <w:rPr>
                <w:rFonts w:ascii="Arial Narrow" w:hAnsi="Arial Narrow"/>
                <w:sz w:val="20"/>
                <w:szCs w:val="20"/>
                <w:vertAlign w:val="superscript"/>
              </w:rPr>
              <w:t>a</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39/393(10)</w:t>
            </w:r>
            <w:r w:rsidRPr="00F3476E">
              <w:rPr>
                <w:rFonts w:ascii="Arial Narrow" w:hAnsi="Arial Narrow"/>
                <w:sz w:val="20"/>
                <w:szCs w:val="20"/>
                <w:vertAlign w:val="superscript"/>
              </w:rPr>
              <w:t>a</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4.45 (3.01,6.59)</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0.23 (0.18,0.28)</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4(4,6)</w:t>
            </w: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TOWARD. TCZ IV 8mg/kg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302/803(38)</w:t>
            </w:r>
            <w:r w:rsidRPr="00F3476E">
              <w:rPr>
                <w:rFonts w:ascii="Arial Narrow" w:hAnsi="Arial Narrow"/>
                <w:sz w:val="20"/>
                <w:szCs w:val="20"/>
                <w:vertAlign w:val="superscript"/>
              </w:rPr>
              <w:t>b</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37/413(9)</w:t>
            </w:r>
            <w:r w:rsidRPr="00F3476E">
              <w:rPr>
                <w:rFonts w:ascii="Arial Narrow" w:hAnsi="Arial Narrow"/>
                <w:sz w:val="20"/>
                <w:szCs w:val="20"/>
                <w:vertAlign w:val="superscript"/>
              </w:rPr>
              <w:t>b</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6.13 (4.25,8.84)</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0.29 (0.24,0.33)</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3(3,4)</w:t>
            </w: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ROSE. TCZ IV 8mg/kg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123/409(30)</w:t>
            </w:r>
            <w:r w:rsidRPr="00F3476E">
              <w:rPr>
                <w:rFonts w:ascii="Arial Narrow" w:hAnsi="Arial Narrow"/>
                <w:sz w:val="20"/>
                <w:szCs w:val="20"/>
                <w:vertAlign w:val="superscript"/>
              </w:rPr>
              <w:t>b</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23/205(11)</w:t>
            </w:r>
            <w:r w:rsidRPr="00F3476E">
              <w:rPr>
                <w:rFonts w:ascii="Arial Narrow" w:hAnsi="Arial Narrow"/>
                <w:sz w:val="20"/>
                <w:szCs w:val="20"/>
                <w:vertAlign w:val="superscript"/>
              </w:rPr>
              <w:t>b</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3.40 (2.10,5.51)</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0.19 (0.13,0.25)</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5(4,8)</w:t>
            </w:r>
          </w:p>
        </w:tc>
      </w:tr>
      <w:tr w:rsidR="00056E78" w:rsidRPr="00006435" w:rsidTr="00F3476E">
        <w:tc>
          <w:tcPr>
            <w:tcW w:w="2552" w:type="dxa"/>
            <w:tcBorders>
              <w:top w:val="nil"/>
              <w:left w:val="nil"/>
              <w:bottom w:val="nil"/>
              <w:right w:val="nil"/>
            </w:tcBorders>
            <w:shd w:val="clear" w:color="auto" w:fill="D9D9D9"/>
            <w:vAlign w:val="center"/>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Meta-analysis (TCZ IV)</w:t>
            </w:r>
          </w:p>
        </w:tc>
        <w:tc>
          <w:tcPr>
            <w:tcW w:w="1063" w:type="dxa"/>
            <w:tcBorders>
              <w:top w:val="nil"/>
              <w:left w:val="nil"/>
              <w:bottom w:val="nil"/>
              <w:right w:val="nil"/>
            </w:tcBorders>
            <w:shd w:val="clear" w:color="auto" w:fill="D9D9D9"/>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668/1884(35)</w:t>
            </w:r>
          </w:p>
        </w:tc>
        <w:tc>
          <w:tcPr>
            <w:tcW w:w="1063" w:type="dxa"/>
            <w:tcBorders>
              <w:top w:val="nil"/>
              <w:left w:val="nil"/>
              <w:bottom w:val="nil"/>
              <w:right w:val="nil"/>
            </w:tcBorders>
            <w:shd w:val="clear" w:color="auto" w:fill="D9D9D9"/>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131/1278(10)</w:t>
            </w:r>
          </w:p>
        </w:tc>
        <w:tc>
          <w:tcPr>
            <w:tcW w:w="1417" w:type="dxa"/>
            <w:tcBorders>
              <w:top w:val="nil"/>
              <w:left w:val="nil"/>
              <w:bottom w:val="nil"/>
              <w:right w:val="nil"/>
            </w:tcBorders>
            <w:shd w:val="clear" w:color="auto" w:fill="D9D9D9"/>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4.65 (3.47,6.24)</w:t>
            </w:r>
          </w:p>
        </w:tc>
        <w:tc>
          <w:tcPr>
            <w:tcW w:w="1418" w:type="dxa"/>
            <w:tcBorders>
              <w:top w:val="nil"/>
              <w:left w:val="nil"/>
              <w:bottom w:val="nil"/>
              <w:right w:val="nil"/>
            </w:tcBorders>
            <w:shd w:val="clear" w:color="auto" w:fill="D9D9D9"/>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0.25 (0.19,0.30)</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D9D9D9"/>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4(3,5)</w:t>
            </w:r>
          </w:p>
        </w:tc>
      </w:tr>
      <w:tr w:rsidR="00056E78" w:rsidRPr="00006435" w:rsidTr="00F3476E">
        <w:tc>
          <w:tcPr>
            <w:tcW w:w="4678" w:type="dxa"/>
            <w:gridSpan w:val="3"/>
            <w:tcBorders>
              <w:top w:val="nil"/>
              <w:left w:val="nil"/>
              <w:bottom w:val="nil"/>
              <w:right w:val="nil"/>
            </w:tcBorders>
            <w:shd w:val="clear" w:color="auto" w:fill="auto"/>
            <w:vAlign w:val="center"/>
          </w:tcPr>
          <w:p w:rsidR="00056E78" w:rsidRPr="00F3476E" w:rsidRDefault="00056E78" w:rsidP="00F3476E">
            <w:pPr>
              <w:widowControl/>
              <w:rPr>
                <w:rFonts w:ascii="Arial Narrow" w:hAnsi="Arial Narrow"/>
                <w:b/>
                <w:bCs/>
                <w:sz w:val="20"/>
                <w:szCs w:val="20"/>
              </w:rPr>
            </w:pPr>
            <w:r w:rsidRPr="00F3476E">
              <w:rPr>
                <w:rFonts w:ascii="Arial Narrow" w:hAnsi="Arial Narrow"/>
                <w:b/>
                <w:bCs/>
                <w:sz w:val="20"/>
                <w:szCs w:val="20"/>
              </w:rPr>
              <w:t xml:space="preserve">COMPARISON: TCZ SC </w:t>
            </w:r>
            <w:proofErr w:type="spellStart"/>
            <w:r w:rsidRPr="00F3476E">
              <w:rPr>
                <w:rFonts w:ascii="Arial Narrow" w:hAnsi="Arial Narrow"/>
                <w:b/>
                <w:bCs/>
                <w:sz w:val="20"/>
                <w:szCs w:val="20"/>
              </w:rPr>
              <w:t>qw</w:t>
            </w:r>
            <w:proofErr w:type="spellEnd"/>
            <w:r w:rsidRPr="00F3476E">
              <w:rPr>
                <w:rFonts w:ascii="Arial Narrow" w:hAnsi="Arial Narrow"/>
                <w:b/>
                <w:bCs/>
                <w:sz w:val="20"/>
                <w:szCs w:val="20"/>
              </w:rPr>
              <w:t xml:space="preserve"> v TCZ IV</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single" w:sz="4" w:space="0" w:color="auto"/>
              <w:right w:val="nil"/>
            </w:tcBorders>
            <w:shd w:val="clear" w:color="auto" w:fill="auto"/>
            <w:vAlign w:val="center"/>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SUMMACTA 162mg v 8mg/kg</w:t>
            </w:r>
          </w:p>
        </w:tc>
        <w:tc>
          <w:tcPr>
            <w:tcW w:w="1063"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262/558(47)</w:t>
            </w:r>
            <w:r w:rsidRPr="00F3476E">
              <w:rPr>
                <w:rFonts w:ascii="Arial Narrow" w:hAnsi="Arial Narrow"/>
                <w:sz w:val="20"/>
                <w:szCs w:val="20"/>
                <w:vertAlign w:val="superscript"/>
              </w:rPr>
              <w:t>b</w:t>
            </w:r>
          </w:p>
        </w:tc>
        <w:tc>
          <w:tcPr>
            <w:tcW w:w="1063"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vertAlign w:val="superscript"/>
              </w:rPr>
            </w:pPr>
            <w:r w:rsidRPr="00F3476E">
              <w:rPr>
                <w:rFonts w:ascii="Arial Narrow" w:hAnsi="Arial Narrow"/>
                <w:sz w:val="20"/>
                <w:szCs w:val="20"/>
              </w:rPr>
              <w:t>263/537(49)</w:t>
            </w:r>
            <w:r w:rsidRPr="00F3476E">
              <w:rPr>
                <w:rFonts w:ascii="Arial Narrow" w:hAnsi="Arial Narrow"/>
                <w:sz w:val="20"/>
                <w:szCs w:val="20"/>
                <w:vertAlign w:val="superscript"/>
              </w:rPr>
              <w:t>b</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0.92 (0.73,1.17)</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-0.02 (-0.08,0.04)</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r w:rsidR="00056E78" w:rsidRPr="00006435" w:rsidTr="00F3476E">
        <w:tc>
          <w:tcPr>
            <w:tcW w:w="4678" w:type="dxa"/>
            <w:gridSpan w:val="3"/>
            <w:tcBorders>
              <w:left w:val="nil"/>
              <w:bottom w:val="nil"/>
              <w:right w:val="nil"/>
            </w:tcBorders>
            <w:shd w:val="clear" w:color="auto" w:fill="auto"/>
          </w:tcPr>
          <w:p w:rsidR="00056E78" w:rsidRPr="00F3476E" w:rsidRDefault="00056E78" w:rsidP="00F3476E">
            <w:pPr>
              <w:widowControl/>
              <w:rPr>
                <w:rFonts w:ascii="Arial Narrow" w:hAnsi="Arial Narrow"/>
                <w:color w:val="4F81BD"/>
                <w:sz w:val="20"/>
                <w:szCs w:val="20"/>
                <w:u w:val="single"/>
              </w:rPr>
            </w:pPr>
            <w:proofErr w:type="spellStart"/>
            <w:r w:rsidRPr="00F3476E">
              <w:rPr>
                <w:rFonts w:ascii="Arial Narrow" w:hAnsi="Arial Narrow"/>
                <w:b/>
                <w:bCs/>
                <w:color w:val="4F81BD"/>
                <w:sz w:val="20"/>
                <w:szCs w:val="20"/>
                <w:u w:val="single"/>
              </w:rPr>
              <w:t>cDMARD</w:t>
            </w:r>
            <w:proofErr w:type="spellEnd"/>
            <w:r w:rsidRPr="00F3476E">
              <w:rPr>
                <w:rFonts w:ascii="Arial Narrow" w:hAnsi="Arial Narrow"/>
                <w:b/>
                <w:bCs/>
                <w:color w:val="4F81BD"/>
                <w:sz w:val="20"/>
                <w:szCs w:val="20"/>
                <w:u w:val="single"/>
              </w:rPr>
              <w:t xml:space="preserve"> IR, monotherapy</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b/>
                <w:bCs/>
                <w:sz w:val="20"/>
                <w:szCs w:val="20"/>
              </w:rPr>
            </w:pPr>
            <w:r w:rsidRPr="00F3476E">
              <w:rPr>
                <w:rFonts w:ascii="Arial Narrow" w:hAnsi="Arial Narrow"/>
                <w:b/>
                <w:bCs/>
                <w:sz w:val="20"/>
                <w:szCs w:val="20"/>
              </w:rPr>
              <w:t>COMPARISON: SAR v ADA 40mg</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MONARCH. SAR 200mg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84/184(46)</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55/185(30)</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1.99 (1.29,3.05)</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0.16 (0.06,0.26)</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6(4,17)</w:t>
            </w: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b/>
                <w:bCs/>
                <w:sz w:val="20"/>
                <w:szCs w:val="20"/>
              </w:rPr>
              <w:t>COMPARISON: TCZ v ADA 40mg</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sing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ADACTA. TCZ IV 8mg/kg</w:t>
            </w:r>
          </w:p>
        </w:tc>
        <w:tc>
          <w:tcPr>
            <w:tcW w:w="1063"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77/163(47)</w:t>
            </w:r>
          </w:p>
        </w:tc>
        <w:tc>
          <w:tcPr>
            <w:tcW w:w="1063"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45/162(28)</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2.33 (1.47,3.69)</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0.19 (0.09,0.30)</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5(3,11)</w:t>
            </w:r>
          </w:p>
        </w:tc>
      </w:tr>
      <w:tr w:rsidR="00056E78" w:rsidRPr="00006435" w:rsidTr="00F3476E">
        <w:tc>
          <w:tcPr>
            <w:tcW w:w="4678" w:type="dxa"/>
            <w:gridSpan w:val="3"/>
            <w:tcBorders>
              <w:left w:val="nil"/>
              <w:bottom w:val="nil"/>
              <w:right w:val="nil"/>
            </w:tcBorders>
            <w:shd w:val="clear" w:color="auto" w:fill="auto"/>
          </w:tcPr>
          <w:p w:rsidR="00056E78" w:rsidRPr="00F3476E" w:rsidRDefault="00056E78" w:rsidP="00F3476E">
            <w:pPr>
              <w:widowControl/>
              <w:rPr>
                <w:rFonts w:ascii="Arial Narrow" w:hAnsi="Arial Narrow"/>
                <w:color w:val="9BBB59"/>
                <w:sz w:val="20"/>
                <w:szCs w:val="20"/>
                <w:u w:val="single"/>
              </w:rPr>
            </w:pPr>
            <w:proofErr w:type="spellStart"/>
            <w:proofErr w:type="gramStart"/>
            <w:r w:rsidRPr="00F3476E">
              <w:rPr>
                <w:rFonts w:ascii="Arial Narrow" w:hAnsi="Arial Narrow"/>
                <w:b/>
                <w:bCs/>
                <w:color w:val="9BBB59"/>
                <w:sz w:val="20"/>
                <w:szCs w:val="20"/>
                <w:u w:val="single"/>
              </w:rPr>
              <w:t>bDMARD</w:t>
            </w:r>
            <w:proofErr w:type="spellEnd"/>
            <w:r w:rsidRPr="00F3476E">
              <w:rPr>
                <w:rFonts w:ascii="Arial Narrow" w:hAnsi="Arial Narrow"/>
                <w:b/>
                <w:bCs/>
                <w:color w:val="9BBB59"/>
                <w:sz w:val="20"/>
                <w:szCs w:val="20"/>
                <w:u w:val="single"/>
              </w:rPr>
              <w:t>-IR</w:t>
            </w:r>
            <w:proofErr w:type="gramEnd"/>
            <w:r w:rsidRPr="00F3476E">
              <w:rPr>
                <w:rFonts w:ascii="Arial Narrow" w:hAnsi="Arial Narrow"/>
                <w:b/>
                <w:bCs/>
                <w:color w:val="9BBB59"/>
                <w:sz w:val="20"/>
                <w:szCs w:val="20"/>
                <w:u w:val="single"/>
              </w:rPr>
              <w:t xml:space="preserve">. </w:t>
            </w:r>
            <w:proofErr w:type="spellStart"/>
            <w:r w:rsidRPr="00F3476E">
              <w:rPr>
                <w:rFonts w:ascii="Arial Narrow" w:hAnsi="Arial Narrow"/>
                <w:b/>
                <w:bCs/>
                <w:color w:val="9BBB59"/>
                <w:sz w:val="20"/>
                <w:szCs w:val="20"/>
                <w:u w:val="single"/>
              </w:rPr>
              <w:t>cDMARD</w:t>
            </w:r>
            <w:proofErr w:type="spellEnd"/>
            <w:r w:rsidRPr="00F3476E">
              <w:rPr>
                <w:rFonts w:ascii="Arial Narrow" w:hAnsi="Arial Narrow"/>
                <w:b/>
                <w:bCs/>
                <w:color w:val="9BBB59"/>
                <w:sz w:val="20"/>
                <w:szCs w:val="20"/>
                <w:u w:val="single"/>
              </w:rPr>
              <w:t xml:space="preserve"> concomitant</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b/>
                <w:bCs/>
                <w:color w:val="984806"/>
                <w:sz w:val="20"/>
                <w:szCs w:val="20"/>
              </w:rPr>
            </w:pPr>
            <w:r w:rsidRPr="00F3476E">
              <w:rPr>
                <w:rFonts w:ascii="Arial Narrow" w:hAnsi="Arial Narrow"/>
                <w:b/>
                <w:bCs/>
                <w:sz w:val="20"/>
                <w:szCs w:val="20"/>
              </w:rPr>
              <w:t>COMPARISON: SAR v PBO</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TARGET. SAR 200mg</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75/184 (41)</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33/181 (18)</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3.09 (1.91,4.98)</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0.23 (0.13,0.32)</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4(3,8)</w:t>
            </w: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b/>
                <w:bCs/>
                <w:sz w:val="20"/>
                <w:szCs w:val="20"/>
              </w:rPr>
              <w:t>COMPARISON: TCZ v PBO</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sing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RADIATE. TCZ IV 8mg/kg</w:t>
            </w:r>
          </w:p>
        </w:tc>
        <w:tc>
          <w:tcPr>
            <w:tcW w:w="1063"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49/170 (29)</w:t>
            </w:r>
          </w:p>
        </w:tc>
        <w:tc>
          <w:tcPr>
            <w:tcW w:w="1063"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6/158 (4)</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10.26(4.25,24.75)</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0.25 (0.18,0.32)</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4(3,6)</w:t>
            </w:r>
          </w:p>
        </w:tc>
      </w:tr>
      <w:tr w:rsidR="00056E78" w:rsidRPr="00006435" w:rsidTr="00F3476E">
        <w:tc>
          <w:tcPr>
            <w:tcW w:w="4678" w:type="dxa"/>
            <w:gridSpan w:val="3"/>
            <w:tcBorders>
              <w:left w:val="nil"/>
              <w:bottom w:val="nil"/>
              <w:right w:val="nil"/>
            </w:tcBorders>
            <w:shd w:val="clear" w:color="auto" w:fill="auto"/>
          </w:tcPr>
          <w:p w:rsidR="00056E78" w:rsidRPr="00F3476E" w:rsidRDefault="00056E78" w:rsidP="00F3476E">
            <w:pPr>
              <w:widowControl/>
              <w:rPr>
                <w:rFonts w:ascii="Arial Narrow" w:hAnsi="Arial Narrow"/>
                <w:b/>
                <w:bCs/>
                <w:color w:val="F79646"/>
                <w:sz w:val="20"/>
                <w:szCs w:val="20"/>
                <w:u w:val="single"/>
              </w:rPr>
            </w:pPr>
            <w:proofErr w:type="spellStart"/>
            <w:r w:rsidRPr="00F3476E">
              <w:rPr>
                <w:rFonts w:ascii="Arial Narrow" w:hAnsi="Arial Narrow"/>
                <w:b/>
                <w:bCs/>
                <w:color w:val="F79646"/>
                <w:sz w:val="20"/>
                <w:szCs w:val="20"/>
                <w:u w:val="single"/>
              </w:rPr>
              <w:t>cDMARD</w:t>
            </w:r>
            <w:proofErr w:type="spellEnd"/>
            <w:r w:rsidRPr="00F3476E">
              <w:rPr>
                <w:rFonts w:ascii="Arial Narrow" w:hAnsi="Arial Narrow"/>
                <w:b/>
                <w:bCs/>
                <w:color w:val="F79646"/>
                <w:sz w:val="20"/>
                <w:szCs w:val="20"/>
                <w:u w:val="single"/>
              </w:rPr>
              <w:t>/</w:t>
            </w:r>
            <w:proofErr w:type="spellStart"/>
            <w:r w:rsidRPr="00F3476E">
              <w:rPr>
                <w:rFonts w:ascii="Arial Narrow" w:hAnsi="Arial Narrow"/>
                <w:b/>
                <w:bCs/>
                <w:color w:val="F79646"/>
                <w:sz w:val="20"/>
                <w:szCs w:val="20"/>
                <w:u w:val="single"/>
              </w:rPr>
              <w:t>bDMARD</w:t>
            </w:r>
            <w:proofErr w:type="spellEnd"/>
            <w:r w:rsidRPr="00F3476E">
              <w:rPr>
                <w:rFonts w:ascii="Arial Narrow" w:hAnsi="Arial Narrow"/>
                <w:b/>
                <w:bCs/>
                <w:color w:val="F79646"/>
                <w:sz w:val="20"/>
                <w:szCs w:val="20"/>
                <w:u w:val="single"/>
              </w:rPr>
              <w:t xml:space="preserve">-IR, </w:t>
            </w:r>
            <w:proofErr w:type="spellStart"/>
            <w:r w:rsidRPr="00F3476E">
              <w:rPr>
                <w:rFonts w:ascii="Arial Narrow" w:hAnsi="Arial Narrow"/>
                <w:b/>
                <w:bCs/>
                <w:color w:val="F79646"/>
                <w:sz w:val="20"/>
                <w:szCs w:val="20"/>
                <w:u w:val="single"/>
              </w:rPr>
              <w:t>cDMARD</w:t>
            </w:r>
            <w:proofErr w:type="spellEnd"/>
            <w:r w:rsidRPr="00F3476E">
              <w:rPr>
                <w:rFonts w:ascii="Arial Narrow" w:hAnsi="Arial Narrow"/>
                <w:b/>
                <w:bCs/>
                <w:color w:val="F79646"/>
                <w:sz w:val="20"/>
                <w:szCs w:val="20"/>
                <w:u w:val="single"/>
              </w:rPr>
              <w:t xml:space="preserve"> concomitant</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2552" w:type="dxa"/>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Meta-analysis SAR*</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257/583(44)</w:t>
            </w:r>
          </w:p>
        </w:tc>
        <w:tc>
          <w:tcPr>
            <w:tcW w:w="1063"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99/579(17)</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3.79 (2.84,5.07)</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0.27 (0.21,0.33)</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4(3,5)</w:t>
            </w:r>
          </w:p>
        </w:tc>
      </w:tr>
      <w:tr w:rsidR="00056E78" w:rsidRPr="00006435" w:rsidTr="00F3476E">
        <w:tc>
          <w:tcPr>
            <w:tcW w:w="2552" w:type="dxa"/>
            <w:tcBorders>
              <w:top w:val="nil"/>
              <w:left w:val="nil"/>
              <w:bottom w:val="doub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Meta-analysis TCZ IV*</w:t>
            </w:r>
          </w:p>
        </w:tc>
        <w:tc>
          <w:tcPr>
            <w:tcW w:w="1063" w:type="dxa"/>
            <w:tcBorders>
              <w:top w:val="nil"/>
              <w:left w:val="nil"/>
              <w:bottom w:val="doub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717/2054(35)</w:t>
            </w:r>
          </w:p>
        </w:tc>
        <w:tc>
          <w:tcPr>
            <w:tcW w:w="1063" w:type="dxa"/>
            <w:tcBorders>
              <w:top w:val="nil"/>
              <w:left w:val="nil"/>
              <w:bottom w:val="doub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137/1436(10)</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4.96 (3.65,6.73)</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0.25 (0.20,0.29)</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4(3,5)</w:t>
            </w:r>
          </w:p>
        </w:tc>
      </w:tr>
      <w:tr w:rsidR="00056E78" w:rsidRPr="00006435" w:rsidTr="00F3476E">
        <w:tc>
          <w:tcPr>
            <w:tcW w:w="4678" w:type="dxa"/>
            <w:gridSpan w:val="3"/>
            <w:tcBorders>
              <w:top w:val="double" w:sz="4" w:space="0" w:color="auto"/>
              <w:left w:val="nil"/>
              <w:bottom w:val="nil"/>
              <w:right w:val="nil"/>
            </w:tcBorders>
            <w:shd w:val="clear" w:color="auto" w:fill="auto"/>
          </w:tcPr>
          <w:p w:rsidR="00056E78" w:rsidRPr="00F3476E" w:rsidRDefault="00056E78" w:rsidP="00F3476E">
            <w:pPr>
              <w:widowControl/>
              <w:rPr>
                <w:rFonts w:ascii="Arial Narrow" w:hAnsi="Arial Narrow"/>
                <w:b/>
                <w:bCs/>
                <w:color w:val="244061"/>
                <w:sz w:val="20"/>
                <w:szCs w:val="20"/>
              </w:rPr>
            </w:pPr>
            <w:r w:rsidRPr="00F3476E">
              <w:rPr>
                <w:rFonts w:ascii="Arial Narrow" w:hAnsi="Arial Narrow"/>
                <w:b/>
                <w:bCs/>
                <w:sz w:val="20"/>
                <w:szCs w:val="20"/>
              </w:rPr>
              <w:t>Indirect comparisons</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color w:val="C0504D"/>
                <w:sz w:val="20"/>
                <w:szCs w:val="20"/>
                <w:u w:val="single"/>
              </w:rPr>
            </w:pPr>
            <w:proofErr w:type="spellStart"/>
            <w:r w:rsidRPr="00F3476E">
              <w:rPr>
                <w:rFonts w:ascii="Arial Narrow" w:hAnsi="Arial Narrow"/>
                <w:b/>
                <w:bCs/>
                <w:color w:val="C0504D"/>
                <w:sz w:val="20"/>
                <w:szCs w:val="20"/>
                <w:u w:val="single"/>
              </w:rPr>
              <w:t>cDMARD</w:t>
            </w:r>
            <w:proofErr w:type="spellEnd"/>
            <w:r w:rsidRPr="00F3476E">
              <w:rPr>
                <w:rFonts w:ascii="Arial Narrow" w:hAnsi="Arial Narrow"/>
                <w:b/>
                <w:bCs/>
                <w:color w:val="C0504D"/>
                <w:sz w:val="20"/>
                <w:szCs w:val="20"/>
                <w:u w:val="single"/>
              </w:rPr>
              <w:t xml:space="preserve"> IR, </w:t>
            </w:r>
            <w:proofErr w:type="spellStart"/>
            <w:r w:rsidRPr="00F3476E">
              <w:rPr>
                <w:rFonts w:ascii="Arial Narrow" w:hAnsi="Arial Narrow"/>
                <w:b/>
                <w:bCs/>
                <w:color w:val="C0504D"/>
                <w:sz w:val="20"/>
                <w:szCs w:val="20"/>
                <w:u w:val="single"/>
              </w:rPr>
              <w:t>cDMARD</w:t>
            </w:r>
            <w:proofErr w:type="spellEnd"/>
            <w:r w:rsidRPr="00F3476E">
              <w:rPr>
                <w:rFonts w:ascii="Arial Narrow" w:hAnsi="Arial Narrow"/>
                <w:b/>
                <w:bCs/>
                <w:color w:val="C0504D"/>
                <w:sz w:val="20"/>
                <w:szCs w:val="20"/>
                <w:u w:val="single"/>
              </w:rPr>
              <w:t xml:space="preserve"> concomitant</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SAR (MOBILITY-B) v TCZ IV (Meta IV)</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0.91 (0.58,1.41)</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0.04(-0.04,0.12)</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r w:rsidR="00056E78" w:rsidRPr="00006435" w:rsidTr="00F3476E">
        <w:tc>
          <w:tcPr>
            <w:tcW w:w="4678" w:type="dxa"/>
            <w:gridSpan w:val="3"/>
            <w:tcBorders>
              <w:top w:val="nil"/>
              <w:left w:val="nil"/>
              <w:bottom w:val="sing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 xml:space="preserve">SAR (MOBILITY-B) v TCZ SC </w:t>
            </w:r>
            <w:proofErr w:type="spellStart"/>
            <w:r w:rsidRPr="00F3476E">
              <w:rPr>
                <w:rFonts w:ascii="Arial Narrow" w:hAnsi="Arial Narrow"/>
                <w:sz w:val="20"/>
                <w:szCs w:val="20"/>
              </w:rPr>
              <w:t>qw</w:t>
            </w:r>
            <w:proofErr w:type="spellEnd"/>
            <w:r w:rsidRPr="00F3476E">
              <w:rPr>
                <w:rFonts w:ascii="Arial Narrow" w:hAnsi="Arial Narrow"/>
                <w:sz w:val="20"/>
                <w:szCs w:val="20"/>
              </w:rPr>
              <w:t xml:space="preserve"> (SUMMACTA), IV (Meta IV)</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0.99 (0.60,1.63)</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0.06 (-0.04,0.16)</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r w:rsidR="00056E78" w:rsidRPr="00006435" w:rsidTr="00F3476E">
        <w:tc>
          <w:tcPr>
            <w:tcW w:w="4678" w:type="dxa"/>
            <w:gridSpan w:val="3"/>
            <w:tcBorders>
              <w:top w:val="single" w:sz="4" w:space="0" w:color="auto"/>
              <w:left w:val="nil"/>
              <w:bottom w:val="nil"/>
              <w:right w:val="nil"/>
            </w:tcBorders>
            <w:shd w:val="clear" w:color="auto" w:fill="auto"/>
          </w:tcPr>
          <w:p w:rsidR="00056E78" w:rsidRPr="00F3476E" w:rsidRDefault="00056E78" w:rsidP="00F3476E">
            <w:pPr>
              <w:widowControl/>
              <w:rPr>
                <w:rFonts w:ascii="Arial Narrow" w:hAnsi="Arial Narrow"/>
                <w:color w:val="4F81BD"/>
                <w:sz w:val="20"/>
                <w:szCs w:val="20"/>
                <w:u w:val="single"/>
              </w:rPr>
            </w:pPr>
            <w:proofErr w:type="spellStart"/>
            <w:r w:rsidRPr="00F3476E">
              <w:rPr>
                <w:rFonts w:ascii="Arial Narrow" w:hAnsi="Arial Narrow"/>
                <w:b/>
                <w:bCs/>
                <w:color w:val="4F81BD"/>
                <w:sz w:val="20"/>
                <w:szCs w:val="20"/>
                <w:u w:val="single"/>
              </w:rPr>
              <w:t>cDMARD</w:t>
            </w:r>
            <w:proofErr w:type="spellEnd"/>
            <w:r w:rsidRPr="00F3476E">
              <w:rPr>
                <w:rFonts w:ascii="Arial Narrow" w:hAnsi="Arial Narrow"/>
                <w:b/>
                <w:bCs/>
                <w:color w:val="4F81BD"/>
                <w:sz w:val="20"/>
                <w:szCs w:val="20"/>
                <w:u w:val="single"/>
              </w:rPr>
              <w:t xml:space="preserve"> IR, monotherapy</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sing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SAR (MONARCH) vs TCZ IV (ADACTA)</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0.85 (0.46,1.60)</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-0.03 (-0.18,0.12)</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r w:rsidR="00056E78" w:rsidRPr="00006435" w:rsidTr="00F3476E">
        <w:tc>
          <w:tcPr>
            <w:tcW w:w="4678" w:type="dxa"/>
            <w:gridSpan w:val="3"/>
            <w:tcBorders>
              <w:top w:val="single" w:sz="4" w:space="0" w:color="auto"/>
              <w:left w:val="nil"/>
              <w:bottom w:val="nil"/>
              <w:right w:val="nil"/>
            </w:tcBorders>
            <w:shd w:val="clear" w:color="auto" w:fill="auto"/>
          </w:tcPr>
          <w:p w:rsidR="00056E78" w:rsidRPr="00F3476E" w:rsidRDefault="00056E78" w:rsidP="00F3476E">
            <w:pPr>
              <w:widowControl/>
              <w:rPr>
                <w:rFonts w:ascii="Arial Narrow" w:hAnsi="Arial Narrow"/>
                <w:color w:val="9BBB59"/>
                <w:sz w:val="20"/>
                <w:szCs w:val="20"/>
                <w:u w:val="single"/>
              </w:rPr>
            </w:pPr>
            <w:proofErr w:type="spellStart"/>
            <w:proofErr w:type="gramStart"/>
            <w:r w:rsidRPr="00F3476E">
              <w:rPr>
                <w:rFonts w:ascii="Arial Narrow" w:hAnsi="Arial Narrow"/>
                <w:b/>
                <w:bCs/>
                <w:color w:val="9BBB59"/>
                <w:sz w:val="20"/>
                <w:szCs w:val="20"/>
                <w:u w:val="single"/>
              </w:rPr>
              <w:t>bDMARD</w:t>
            </w:r>
            <w:proofErr w:type="spellEnd"/>
            <w:r w:rsidRPr="00F3476E">
              <w:rPr>
                <w:rFonts w:ascii="Arial Narrow" w:hAnsi="Arial Narrow"/>
                <w:b/>
                <w:bCs/>
                <w:color w:val="9BBB59"/>
                <w:sz w:val="20"/>
                <w:szCs w:val="20"/>
                <w:u w:val="single"/>
              </w:rPr>
              <w:t>-IR</w:t>
            </w:r>
            <w:proofErr w:type="gramEnd"/>
            <w:r w:rsidRPr="00F3476E">
              <w:rPr>
                <w:rFonts w:ascii="Arial Narrow" w:hAnsi="Arial Narrow"/>
                <w:b/>
                <w:bCs/>
                <w:color w:val="9BBB59"/>
                <w:sz w:val="20"/>
                <w:szCs w:val="20"/>
                <w:u w:val="single"/>
              </w:rPr>
              <w:t xml:space="preserve">. </w:t>
            </w:r>
            <w:proofErr w:type="spellStart"/>
            <w:r w:rsidRPr="00F3476E">
              <w:rPr>
                <w:rFonts w:ascii="Arial Narrow" w:hAnsi="Arial Narrow"/>
                <w:b/>
                <w:bCs/>
                <w:color w:val="9BBB59"/>
                <w:sz w:val="20"/>
                <w:szCs w:val="20"/>
                <w:u w:val="single"/>
              </w:rPr>
              <w:t>cDMARD</w:t>
            </w:r>
            <w:proofErr w:type="spellEnd"/>
            <w:r w:rsidRPr="00F3476E">
              <w:rPr>
                <w:rFonts w:ascii="Arial Narrow" w:hAnsi="Arial Narrow"/>
                <w:b/>
                <w:bCs/>
                <w:color w:val="9BBB59"/>
                <w:sz w:val="20"/>
                <w:szCs w:val="20"/>
                <w:u w:val="single"/>
              </w:rPr>
              <w:t xml:space="preserve"> concomitant</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sing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SAR (TARGET) vs TCZ IV (RADIATE)</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b/>
                <w:bCs/>
                <w:iCs/>
                <w:sz w:val="20"/>
                <w:szCs w:val="20"/>
              </w:rPr>
            </w:pPr>
            <w:r w:rsidRPr="00F3476E">
              <w:rPr>
                <w:rFonts w:ascii="Arial Narrow" w:hAnsi="Arial Narrow"/>
                <w:b/>
                <w:bCs/>
                <w:iCs/>
                <w:sz w:val="20"/>
                <w:szCs w:val="20"/>
              </w:rPr>
              <w:t>0.30 (0.11,0.82)</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-0.02 (-0.14,0.10)</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r w:rsidR="00056E78" w:rsidRPr="00006435" w:rsidTr="00F3476E">
        <w:tc>
          <w:tcPr>
            <w:tcW w:w="4678" w:type="dxa"/>
            <w:gridSpan w:val="3"/>
            <w:tcBorders>
              <w:top w:val="single" w:sz="4" w:space="0" w:color="auto"/>
              <w:left w:val="nil"/>
              <w:bottom w:val="nil"/>
              <w:right w:val="nil"/>
            </w:tcBorders>
            <w:shd w:val="clear" w:color="auto" w:fill="auto"/>
          </w:tcPr>
          <w:p w:rsidR="00056E78" w:rsidRPr="00F3476E" w:rsidRDefault="00056E78" w:rsidP="00F3476E">
            <w:pPr>
              <w:widowControl/>
              <w:rPr>
                <w:rFonts w:ascii="Arial Narrow" w:hAnsi="Arial Narrow"/>
                <w:b/>
                <w:bCs/>
                <w:color w:val="F79646"/>
                <w:sz w:val="20"/>
                <w:szCs w:val="20"/>
                <w:u w:val="single"/>
              </w:rPr>
            </w:pPr>
            <w:proofErr w:type="spellStart"/>
            <w:r w:rsidRPr="00F3476E">
              <w:rPr>
                <w:rFonts w:ascii="Arial Narrow" w:hAnsi="Arial Narrow"/>
                <w:b/>
                <w:bCs/>
                <w:color w:val="F79646"/>
                <w:sz w:val="20"/>
                <w:szCs w:val="20"/>
                <w:u w:val="single"/>
              </w:rPr>
              <w:t>cDMARD</w:t>
            </w:r>
            <w:proofErr w:type="spellEnd"/>
            <w:r w:rsidRPr="00F3476E">
              <w:rPr>
                <w:rFonts w:ascii="Arial Narrow" w:hAnsi="Arial Narrow"/>
                <w:b/>
                <w:bCs/>
                <w:color w:val="F79646"/>
                <w:sz w:val="20"/>
                <w:szCs w:val="20"/>
                <w:u w:val="single"/>
              </w:rPr>
              <w:t>/</w:t>
            </w:r>
            <w:proofErr w:type="spellStart"/>
            <w:r w:rsidRPr="00F3476E">
              <w:rPr>
                <w:rFonts w:ascii="Arial Narrow" w:hAnsi="Arial Narrow"/>
                <w:b/>
                <w:bCs/>
                <w:color w:val="F79646"/>
                <w:sz w:val="20"/>
                <w:szCs w:val="20"/>
                <w:u w:val="single"/>
              </w:rPr>
              <w:t>bDMARD</w:t>
            </w:r>
            <w:proofErr w:type="spellEnd"/>
            <w:r w:rsidRPr="00F3476E">
              <w:rPr>
                <w:rFonts w:ascii="Arial Narrow" w:hAnsi="Arial Narrow"/>
                <w:b/>
                <w:bCs/>
                <w:color w:val="F79646"/>
                <w:sz w:val="20"/>
                <w:szCs w:val="20"/>
                <w:u w:val="single"/>
              </w:rPr>
              <w:t xml:space="preserve">-IR, </w:t>
            </w:r>
            <w:proofErr w:type="spellStart"/>
            <w:r w:rsidRPr="00F3476E">
              <w:rPr>
                <w:rFonts w:ascii="Arial Narrow" w:hAnsi="Arial Narrow"/>
                <w:b/>
                <w:bCs/>
                <w:color w:val="F79646"/>
                <w:sz w:val="20"/>
                <w:szCs w:val="20"/>
                <w:u w:val="single"/>
              </w:rPr>
              <w:t>cDMARD</w:t>
            </w:r>
            <w:proofErr w:type="spellEnd"/>
            <w:r w:rsidRPr="00F3476E">
              <w:rPr>
                <w:rFonts w:ascii="Arial Narrow" w:hAnsi="Arial Narrow"/>
                <w:b/>
                <w:bCs/>
                <w:color w:val="F79646"/>
                <w:sz w:val="20"/>
                <w:szCs w:val="20"/>
                <w:u w:val="single"/>
              </w:rPr>
              <w:t xml:space="preserve"> concomitant</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r>
      <w:tr w:rsidR="00056E78" w:rsidRPr="00006435" w:rsidTr="00F3476E">
        <w:tc>
          <w:tcPr>
            <w:tcW w:w="4678" w:type="dxa"/>
            <w:gridSpan w:val="3"/>
            <w:tcBorders>
              <w:top w:val="nil"/>
              <w:left w:val="nil"/>
              <w:bottom w:val="nil"/>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SAR (Meta SAR*) v TCZ IV (Meta IV*)</w:t>
            </w:r>
          </w:p>
        </w:tc>
        <w:tc>
          <w:tcPr>
            <w:tcW w:w="1417"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0.76 (0.50,1.17)</w:t>
            </w:r>
          </w:p>
        </w:tc>
        <w:tc>
          <w:tcPr>
            <w:tcW w:w="1418"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0.02 (-0.06,0.10)</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nil"/>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r w:rsidR="00056E78" w:rsidRPr="00006435" w:rsidTr="00F3476E">
        <w:tc>
          <w:tcPr>
            <w:tcW w:w="4678" w:type="dxa"/>
            <w:gridSpan w:val="3"/>
            <w:tcBorders>
              <w:top w:val="nil"/>
              <w:left w:val="nil"/>
              <w:bottom w:val="single" w:sz="4" w:space="0" w:color="auto"/>
              <w:right w:val="nil"/>
            </w:tcBorders>
            <w:shd w:val="clear" w:color="auto" w:fill="auto"/>
          </w:tcPr>
          <w:p w:rsidR="00056E78" w:rsidRPr="00F3476E" w:rsidRDefault="00056E78" w:rsidP="00F3476E">
            <w:pPr>
              <w:widowControl/>
              <w:rPr>
                <w:rFonts w:ascii="Arial Narrow" w:hAnsi="Arial Narrow"/>
                <w:sz w:val="20"/>
                <w:szCs w:val="20"/>
              </w:rPr>
            </w:pPr>
            <w:r w:rsidRPr="00F3476E">
              <w:rPr>
                <w:rFonts w:ascii="Arial Narrow" w:hAnsi="Arial Narrow"/>
                <w:sz w:val="20"/>
                <w:szCs w:val="20"/>
              </w:rPr>
              <w:t xml:space="preserve">SAR (Meta SAR*) v TCZ SC </w:t>
            </w:r>
            <w:proofErr w:type="spellStart"/>
            <w:r w:rsidRPr="00F3476E">
              <w:rPr>
                <w:rFonts w:ascii="Arial Narrow" w:hAnsi="Arial Narrow"/>
                <w:sz w:val="20"/>
                <w:szCs w:val="20"/>
              </w:rPr>
              <w:t>qw</w:t>
            </w:r>
            <w:proofErr w:type="spellEnd"/>
            <w:r w:rsidRPr="00F3476E">
              <w:rPr>
                <w:rFonts w:ascii="Arial Narrow" w:hAnsi="Arial Narrow"/>
                <w:sz w:val="20"/>
                <w:szCs w:val="20"/>
              </w:rPr>
              <w:t xml:space="preserve"> (SUMMACTA), IV (Meta IV*)</w:t>
            </w:r>
          </w:p>
        </w:tc>
        <w:tc>
          <w:tcPr>
            <w:tcW w:w="1417"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0.83 (0.51,1.35)</w:t>
            </w:r>
          </w:p>
        </w:tc>
        <w:tc>
          <w:tcPr>
            <w:tcW w:w="1418"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iCs/>
                <w:sz w:val="20"/>
                <w:szCs w:val="20"/>
              </w:rPr>
            </w:pPr>
            <w:r w:rsidRPr="00F3476E">
              <w:rPr>
                <w:rFonts w:ascii="Arial Narrow" w:hAnsi="Arial Narrow"/>
                <w:iCs/>
                <w:sz w:val="20"/>
                <w:szCs w:val="20"/>
              </w:rPr>
              <w:t>0.04 (-0.06,0.14)</w:t>
            </w:r>
          </w:p>
        </w:tc>
        <w:tc>
          <w:tcPr>
            <w:tcW w:w="852" w:type="dxa"/>
            <w:vMerge/>
            <w:tcBorders>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p>
        </w:tc>
        <w:tc>
          <w:tcPr>
            <w:tcW w:w="662" w:type="dxa"/>
            <w:tcBorders>
              <w:top w:val="nil"/>
              <w:left w:val="nil"/>
              <w:bottom w:val="single" w:sz="4" w:space="0" w:color="auto"/>
              <w:right w:val="nil"/>
            </w:tcBorders>
            <w:shd w:val="clear" w:color="auto" w:fill="auto"/>
            <w:vAlign w:val="center"/>
          </w:tcPr>
          <w:p w:rsidR="00056E78" w:rsidRPr="00F3476E" w:rsidRDefault="00056E78" w:rsidP="00F3476E">
            <w:pPr>
              <w:widowControl/>
              <w:jc w:val="center"/>
              <w:rPr>
                <w:rFonts w:ascii="Arial Narrow" w:hAnsi="Arial Narrow"/>
                <w:sz w:val="20"/>
                <w:szCs w:val="20"/>
              </w:rPr>
            </w:pPr>
            <w:r w:rsidRPr="00F3476E">
              <w:rPr>
                <w:rFonts w:ascii="Arial Narrow" w:hAnsi="Arial Narrow"/>
                <w:sz w:val="20"/>
                <w:szCs w:val="20"/>
              </w:rPr>
              <w:t>NA</w:t>
            </w:r>
          </w:p>
        </w:tc>
      </w:tr>
    </w:tbl>
    <w:p w:rsidR="00056E78" w:rsidRPr="00006435" w:rsidRDefault="00056E78" w:rsidP="002C53C8">
      <w:pPr>
        <w:widowControl/>
        <w:tabs>
          <w:tab w:val="left" w:pos="142"/>
        </w:tabs>
        <w:rPr>
          <w:rFonts w:ascii="Arial Narrow" w:hAnsi="Arial Narrow"/>
          <w:sz w:val="18"/>
          <w:szCs w:val="18"/>
        </w:rPr>
      </w:pPr>
      <w:proofErr w:type="spellStart"/>
      <w:proofErr w:type="gramStart"/>
      <w:r w:rsidRPr="00006435">
        <w:rPr>
          <w:rFonts w:ascii="Arial Narrow" w:hAnsi="Arial Narrow"/>
          <w:sz w:val="18"/>
          <w:szCs w:val="16"/>
          <w:vertAlign w:val="superscript"/>
        </w:rPr>
        <w:t>a</w:t>
      </w:r>
      <w:proofErr w:type="spellEnd"/>
      <w:proofErr w:type="gramEnd"/>
      <w:r w:rsidRPr="00006435">
        <w:rPr>
          <w:rFonts w:ascii="Arial Narrow" w:hAnsi="Arial Narrow"/>
          <w:sz w:val="18"/>
          <w:szCs w:val="16"/>
        </w:rPr>
        <w:tab/>
      </w:r>
      <w:r w:rsidRPr="00006435">
        <w:rPr>
          <w:rFonts w:ascii="Arial Narrow" w:hAnsi="Arial Narrow"/>
          <w:sz w:val="18"/>
          <w:szCs w:val="18"/>
        </w:rPr>
        <w:t>Outcome presented in graph only in main publication or supplementary material; exact values not reported in manuscript</w:t>
      </w:r>
    </w:p>
    <w:p w:rsidR="00056E78" w:rsidRPr="00006435" w:rsidRDefault="00056E78" w:rsidP="002C53C8">
      <w:pPr>
        <w:widowControl/>
        <w:tabs>
          <w:tab w:val="left" w:pos="142"/>
        </w:tabs>
        <w:rPr>
          <w:rFonts w:ascii="Arial Narrow" w:hAnsi="Arial Narrow"/>
          <w:sz w:val="18"/>
          <w:szCs w:val="18"/>
        </w:rPr>
      </w:pPr>
      <w:proofErr w:type="gramStart"/>
      <w:r w:rsidRPr="00006435">
        <w:rPr>
          <w:rFonts w:ascii="Arial Narrow" w:hAnsi="Arial Narrow"/>
          <w:sz w:val="18"/>
          <w:szCs w:val="18"/>
          <w:vertAlign w:val="superscript"/>
        </w:rPr>
        <w:t>b</w:t>
      </w:r>
      <w:proofErr w:type="gramEnd"/>
      <w:r w:rsidRPr="00006435">
        <w:rPr>
          <w:rFonts w:ascii="Arial Narrow" w:hAnsi="Arial Narrow"/>
          <w:sz w:val="18"/>
          <w:szCs w:val="18"/>
          <w:vertAlign w:val="superscript"/>
        </w:rPr>
        <w:tab/>
      </w:r>
      <w:r w:rsidRPr="00006435">
        <w:rPr>
          <w:rFonts w:ascii="Arial Narrow" w:hAnsi="Arial Narrow"/>
          <w:sz w:val="18"/>
          <w:szCs w:val="18"/>
        </w:rPr>
        <w:t>Outcome reported as % rather than n/N</w:t>
      </w:r>
    </w:p>
    <w:p w:rsidR="00056E78" w:rsidRPr="00006435" w:rsidRDefault="00056E78" w:rsidP="002C53C8">
      <w:pPr>
        <w:widowControl/>
        <w:tabs>
          <w:tab w:val="left" w:pos="142"/>
        </w:tabs>
        <w:rPr>
          <w:rFonts w:ascii="Arial Narrow" w:hAnsi="Arial Narrow"/>
          <w:sz w:val="18"/>
          <w:szCs w:val="18"/>
        </w:rPr>
      </w:pPr>
      <w:r w:rsidRPr="00006435">
        <w:rPr>
          <w:rFonts w:ascii="Arial Narrow" w:hAnsi="Arial Narrow"/>
          <w:sz w:val="18"/>
          <w:szCs w:val="18"/>
          <w:vertAlign w:val="superscript"/>
        </w:rPr>
        <w:t>#</w:t>
      </w:r>
      <w:r w:rsidRPr="00006435">
        <w:rPr>
          <w:rFonts w:ascii="Arial Narrow" w:hAnsi="Arial Narrow"/>
          <w:sz w:val="18"/>
          <w:szCs w:val="18"/>
        </w:rPr>
        <w:tab/>
      </w:r>
      <w:proofErr w:type="gramStart"/>
      <w:r w:rsidRPr="00006435">
        <w:rPr>
          <w:rFonts w:ascii="Arial Narrow" w:hAnsi="Arial Narrow"/>
          <w:sz w:val="18"/>
          <w:szCs w:val="18"/>
        </w:rPr>
        <w:t>Calculated</w:t>
      </w:r>
      <w:proofErr w:type="gramEnd"/>
      <w:r w:rsidRPr="00006435">
        <w:rPr>
          <w:rFonts w:ascii="Arial Narrow" w:hAnsi="Arial Narrow"/>
          <w:sz w:val="18"/>
          <w:szCs w:val="18"/>
        </w:rPr>
        <w:t xml:space="preserve"> during the evaluation</w:t>
      </w:r>
    </w:p>
    <w:p w:rsidR="00056E78" w:rsidRPr="00006435" w:rsidRDefault="00056E78" w:rsidP="002C53C8">
      <w:pPr>
        <w:widowControl/>
        <w:tabs>
          <w:tab w:val="left" w:pos="142"/>
        </w:tabs>
        <w:rPr>
          <w:rFonts w:ascii="Arial Narrow" w:hAnsi="Arial Narrow"/>
          <w:sz w:val="18"/>
          <w:szCs w:val="18"/>
        </w:rPr>
      </w:pPr>
      <w:r w:rsidRPr="00006435">
        <w:rPr>
          <w:rFonts w:ascii="Arial Narrow" w:hAnsi="Arial Narrow"/>
          <w:sz w:val="18"/>
          <w:szCs w:val="18"/>
        </w:rPr>
        <w:t>Abbreviations: OR=odds ratio; RD=risk difference; CI=confidence interval; SAR=</w:t>
      </w:r>
      <w:proofErr w:type="spellStart"/>
      <w:r w:rsidRPr="00006435">
        <w:rPr>
          <w:rFonts w:ascii="Arial Narrow" w:hAnsi="Arial Narrow"/>
          <w:sz w:val="18"/>
          <w:szCs w:val="18"/>
        </w:rPr>
        <w:t>sarilumab</w:t>
      </w:r>
      <w:proofErr w:type="spellEnd"/>
      <w:r w:rsidRPr="00006435">
        <w:rPr>
          <w:rFonts w:ascii="Arial Narrow" w:hAnsi="Arial Narrow"/>
          <w:sz w:val="18"/>
          <w:szCs w:val="18"/>
        </w:rPr>
        <w:t>; TCZ=</w:t>
      </w:r>
      <w:proofErr w:type="spellStart"/>
      <w:r w:rsidRPr="00006435">
        <w:rPr>
          <w:rFonts w:ascii="Arial Narrow" w:hAnsi="Arial Narrow"/>
          <w:sz w:val="18"/>
          <w:szCs w:val="18"/>
        </w:rPr>
        <w:t>tocilizumab</w:t>
      </w:r>
      <w:proofErr w:type="spellEnd"/>
      <w:r w:rsidRPr="00006435">
        <w:rPr>
          <w:rFonts w:ascii="Arial Narrow" w:hAnsi="Arial Narrow"/>
          <w:sz w:val="18"/>
          <w:szCs w:val="18"/>
        </w:rPr>
        <w:t>; ADA=</w:t>
      </w:r>
      <w:proofErr w:type="spellStart"/>
      <w:r w:rsidRPr="00006435">
        <w:rPr>
          <w:rFonts w:ascii="Arial Narrow" w:hAnsi="Arial Narrow"/>
          <w:sz w:val="18"/>
          <w:szCs w:val="18"/>
        </w:rPr>
        <w:t>adalimumab</w:t>
      </w:r>
      <w:proofErr w:type="spellEnd"/>
    </w:p>
    <w:p w:rsidR="00056E78" w:rsidRPr="00006435" w:rsidRDefault="00056E78" w:rsidP="002C53C8">
      <w:pPr>
        <w:widowControl/>
        <w:spacing w:after="120"/>
        <w:rPr>
          <w:rFonts w:ascii="Arial Narrow" w:hAnsi="Arial Narrow"/>
          <w:sz w:val="18"/>
          <w:szCs w:val="18"/>
        </w:rPr>
      </w:pPr>
      <w:r w:rsidRPr="00006435">
        <w:rPr>
          <w:rFonts w:ascii="Arial Narrow" w:hAnsi="Arial Narrow"/>
          <w:sz w:val="18"/>
          <w:szCs w:val="18"/>
        </w:rPr>
        <w:t>Source: Table 2.5.6, pp118-119 of the submission; Figure 2.4, p218 of the submission</w:t>
      </w:r>
    </w:p>
    <w:p w:rsidR="002C53C8" w:rsidRPr="00006435" w:rsidRDefault="002C53C8" w:rsidP="002C53C8">
      <w:pPr>
        <w:pStyle w:val="ListParagraph"/>
        <w:widowControl/>
        <w:numPr>
          <w:ilvl w:val="1"/>
          <w:numId w:val="3"/>
        </w:numPr>
      </w:pPr>
      <w:r w:rsidRPr="00006435">
        <w:t xml:space="preserve">Other ACR response outcomes presented in the submission are summarised in Table 5.  </w:t>
      </w:r>
      <w:r w:rsidRPr="00006435">
        <w:rPr>
          <w:iCs/>
        </w:rPr>
        <w:t>The findings were consistent with the results of ACR50 at Week 24 outlined in Table 4, and did not show any statistically significant differences across the SAR and TCZ treatment arms.  Overall, the results support a conclusion of similar efficacy across the full dose regimens of SAR and TCZ.</w:t>
      </w:r>
    </w:p>
    <w:p w:rsidR="00463F46" w:rsidRPr="00006435" w:rsidRDefault="00463F46" w:rsidP="002C53C8">
      <w:pPr>
        <w:widowControl/>
        <w:rPr>
          <w:rFonts w:ascii="Arial Narrow" w:hAnsi="Arial Narrow"/>
          <w:b/>
          <w:bCs/>
          <w:sz w:val="20"/>
          <w:szCs w:val="18"/>
        </w:rPr>
      </w:pPr>
      <w:r w:rsidRPr="00006435">
        <w:rPr>
          <w:rFonts w:ascii="Arial Narrow" w:hAnsi="Arial Narrow"/>
          <w:b/>
          <w:bCs/>
          <w:sz w:val="20"/>
          <w:szCs w:val="18"/>
        </w:rPr>
        <w:lastRenderedPageBreak/>
        <w:t xml:space="preserve">Table </w:t>
      </w:r>
      <w:r w:rsidR="0049246D" w:rsidRPr="00006435">
        <w:rPr>
          <w:rFonts w:ascii="Arial Narrow" w:hAnsi="Arial Narrow"/>
          <w:b/>
          <w:bCs/>
          <w:sz w:val="20"/>
          <w:szCs w:val="18"/>
        </w:rPr>
        <w:t>5</w:t>
      </w:r>
      <w:r w:rsidRPr="00006435">
        <w:rPr>
          <w:rFonts w:ascii="Arial Narrow" w:hAnsi="Arial Narrow"/>
          <w:b/>
          <w:bCs/>
          <w:sz w:val="20"/>
          <w:szCs w:val="18"/>
        </w:rPr>
        <w:t xml:space="preserve">: Indirect comparison of other ACR response outcomes at the recommended doses of SAR and TCZ without dose reduction (SAR 200mg q2w, TCZ IV 8mg/kg q4w and TCZ SC 162mg </w:t>
      </w:r>
      <w:proofErr w:type="spellStart"/>
      <w:r w:rsidRPr="00006435">
        <w:rPr>
          <w:rFonts w:ascii="Arial Narrow" w:hAnsi="Arial Narrow"/>
          <w:b/>
          <w:bCs/>
          <w:sz w:val="20"/>
          <w:szCs w:val="18"/>
        </w:rPr>
        <w:t>qw</w:t>
      </w:r>
      <w:proofErr w:type="spellEnd"/>
      <w:r w:rsidRPr="00006435">
        <w:rPr>
          <w:rFonts w:ascii="Arial Narrow" w:hAnsi="Arial Narrow"/>
          <w:b/>
          <w:bCs/>
          <w:sz w:val="20"/>
          <w:szCs w:val="18"/>
        </w:rPr>
        <w:t>) presented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5670"/>
        <w:gridCol w:w="2076"/>
      </w:tblGrid>
      <w:tr w:rsidR="00D3170F" w:rsidRPr="00006435" w:rsidTr="00F3476E">
        <w:trPr>
          <w:tblHeader/>
        </w:trPr>
        <w:tc>
          <w:tcPr>
            <w:tcW w:w="1271" w:type="dxa"/>
            <w:shd w:val="clear" w:color="auto" w:fill="auto"/>
          </w:tcPr>
          <w:p w:rsidR="00D3170F" w:rsidRPr="00F3476E" w:rsidRDefault="00D3170F" w:rsidP="00F3476E">
            <w:pPr>
              <w:widowControl/>
              <w:rPr>
                <w:rFonts w:ascii="Arial Narrow" w:hAnsi="Arial Narrow"/>
                <w:b/>
                <w:bCs/>
                <w:sz w:val="20"/>
                <w:szCs w:val="18"/>
              </w:rPr>
            </w:pPr>
            <w:r w:rsidRPr="00F3476E">
              <w:rPr>
                <w:rFonts w:ascii="Arial Narrow" w:hAnsi="Arial Narrow"/>
                <w:b/>
                <w:bCs/>
                <w:sz w:val="20"/>
                <w:szCs w:val="18"/>
              </w:rPr>
              <w:t>Outcome</w:t>
            </w:r>
          </w:p>
        </w:tc>
        <w:tc>
          <w:tcPr>
            <w:tcW w:w="5670" w:type="dxa"/>
            <w:shd w:val="clear" w:color="auto" w:fill="auto"/>
          </w:tcPr>
          <w:p w:rsidR="00D3170F" w:rsidRPr="00F3476E" w:rsidRDefault="00D3170F" w:rsidP="00F3476E">
            <w:pPr>
              <w:widowControl/>
              <w:jc w:val="center"/>
              <w:rPr>
                <w:rFonts w:ascii="Arial Narrow" w:hAnsi="Arial Narrow"/>
                <w:b/>
                <w:bCs/>
                <w:sz w:val="20"/>
                <w:szCs w:val="18"/>
              </w:rPr>
            </w:pPr>
            <w:r w:rsidRPr="00F3476E">
              <w:rPr>
                <w:rFonts w:ascii="Arial Narrow" w:hAnsi="Arial Narrow"/>
                <w:b/>
                <w:bCs/>
                <w:sz w:val="20"/>
                <w:szCs w:val="18"/>
              </w:rPr>
              <w:t>Comparison</w:t>
            </w:r>
          </w:p>
        </w:tc>
        <w:tc>
          <w:tcPr>
            <w:tcW w:w="2076" w:type="dxa"/>
            <w:shd w:val="clear" w:color="auto" w:fill="auto"/>
          </w:tcPr>
          <w:p w:rsidR="00D3170F" w:rsidRPr="00F3476E" w:rsidRDefault="00D3170F" w:rsidP="00F3476E">
            <w:pPr>
              <w:widowControl/>
              <w:jc w:val="center"/>
              <w:rPr>
                <w:rFonts w:ascii="Arial Narrow" w:hAnsi="Arial Narrow"/>
                <w:b/>
                <w:bCs/>
                <w:sz w:val="20"/>
                <w:szCs w:val="18"/>
              </w:rPr>
            </w:pPr>
            <w:r w:rsidRPr="00F3476E">
              <w:rPr>
                <w:rFonts w:ascii="Arial Narrow" w:hAnsi="Arial Narrow"/>
                <w:b/>
                <w:bCs/>
                <w:sz w:val="20"/>
                <w:szCs w:val="18"/>
              </w:rPr>
              <w:t>Indirect comparison</w:t>
            </w:r>
          </w:p>
          <w:p w:rsidR="00D3170F" w:rsidRPr="00F3476E" w:rsidRDefault="00D3170F" w:rsidP="00F3476E">
            <w:pPr>
              <w:widowControl/>
              <w:jc w:val="center"/>
              <w:rPr>
                <w:rFonts w:ascii="Arial Narrow" w:hAnsi="Arial Narrow"/>
                <w:b/>
                <w:bCs/>
                <w:sz w:val="20"/>
                <w:szCs w:val="18"/>
              </w:rPr>
            </w:pPr>
            <w:r w:rsidRPr="00F3476E">
              <w:rPr>
                <w:rFonts w:ascii="Arial Narrow" w:hAnsi="Arial Narrow"/>
                <w:b/>
                <w:bCs/>
                <w:sz w:val="20"/>
                <w:szCs w:val="18"/>
              </w:rPr>
              <w:t>RD (95%CI)</w:t>
            </w:r>
          </w:p>
        </w:tc>
      </w:tr>
      <w:tr w:rsidR="00D3170F" w:rsidRPr="00006435" w:rsidTr="00F3476E">
        <w:tc>
          <w:tcPr>
            <w:tcW w:w="9017" w:type="dxa"/>
            <w:gridSpan w:val="3"/>
            <w:shd w:val="clear" w:color="auto" w:fill="auto"/>
          </w:tcPr>
          <w:p w:rsidR="00D3170F" w:rsidRPr="00F3476E" w:rsidRDefault="00D3170F" w:rsidP="00F3476E">
            <w:pPr>
              <w:widowControl/>
              <w:jc w:val="left"/>
              <w:rPr>
                <w:rFonts w:ascii="Arial Narrow" w:hAnsi="Arial Narrow"/>
                <w:sz w:val="20"/>
                <w:szCs w:val="18"/>
              </w:rPr>
            </w:pPr>
            <w:proofErr w:type="spellStart"/>
            <w:r w:rsidRPr="00F3476E">
              <w:rPr>
                <w:rFonts w:ascii="Arial Narrow" w:hAnsi="Arial Narrow"/>
                <w:b/>
                <w:bCs/>
                <w:color w:val="C0504D"/>
                <w:sz w:val="20"/>
                <w:szCs w:val="20"/>
              </w:rPr>
              <w:t>cDMARD</w:t>
            </w:r>
            <w:proofErr w:type="spellEnd"/>
            <w:r w:rsidRPr="00F3476E">
              <w:rPr>
                <w:rFonts w:ascii="Arial Narrow" w:hAnsi="Arial Narrow"/>
                <w:b/>
                <w:bCs/>
                <w:color w:val="C0504D"/>
                <w:sz w:val="20"/>
                <w:szCs w:val="20"/>
              </w:rPr>
              <w:t xml:space="preserve"> IR, </w:t>
            </w:r>
            <w:proofErr w:type="spellStart"/>
            <w:r w:rsidRPr="00F3476E">
              <w:rPr>
                <w:rFonts w:ascii="Arial Narrow" w:hAnsi="Arial Narrow"/>
                <w:b/>
                <w:bCs/>
                <w:color w:val="C0504D"/>
                <w:sz w:val="20"/>
                <w:szCs w:val="20"/>
              </w:rPr>
              <w:t>cDMARD</w:t>
            </w:r>
            <w:proofErr w:type="spellEnd"/>
            <w:r w:rsidRPr="00F3476E">
              <w:rPr>
                <w:rFonts w:ascii="Arial Narrow" w:hAnsi="Arial Narrow"/>
                <w:b/>
                <w:bCs/>
                <w:color w:val="C0504D"/>
                <w:sz w:val="20"/>
                <w:szCs w:val="20"/>
              </w:rPr>
              <w:t xml:space="preserve"> concomitant</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ACR20(wk24)</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Del="008E301B" w:rsidRDefault="00016B6B" w:rsidP="00F3476E">
            <w:pPr>
              <w:widowControl/>
              <w:jc w:val="center"/>
              <w:rPr>
                <w:rFonts w:ascii="Arial Narrow" w:hAnsi="Arial Narrow"/>
                <w:sz w:val="20"/>
                <w:szCs w:val="18"/>
              </w:rPr>
            </w:pPr>
            <w:r w:rsidRPr="00F3476E">
              <w:rPr>
                <w:rFonts w:ascii="Arial Narrow" w:hAnsi="Arial Narrow"/>
                <w:sz w:val="20"/>
                <w:szCs w:val="18"/>
              </w:rPr>
              <w:t>0.037 (-0.056, 0.130)</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ACR20(wk24)</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 xml:space="preserve">SAR 200mg q2w v TCZ SC 162mg </w:t>
            </w:r>
            <w:proofErr w:type="spellStart"/>
            <w:r w:rsidRPr="00F3476E">
              <w:rPr>
                <w:rFonts w:ascii="Arial Narrow" w:hAnsi="Arial Narrow"/>
                <w:sz w:val="20"/>
                <w:szCs w:val="20"/>
              </w:rPr>
              <w:t>qw</w:t>
            </w:r>
            <w:proofErr w:type="spellEnd"/>
            <w:r w:rsidRPr="00F3476E">
              <w:rPr>
                <w:rFonts w:ascii="Arial Narrow" w:hAnsi="Arial Narrow"/>
                <w:sz w:val="20"/>
                <w:szCs w:val="20"/>
              </w:rPr>
              <w:t xml:space="preserve"> via TCZ IV 8mg/kg q4w (two step)</w:t>
            </w:r>
          </w:p>
        </w:tc>
        <w:tc>
          <w:tcPr>
            <w:tcW w:w="2076" w:type="dxa"/>
            <w:shd w:val="clear" w:color="auto" w:fill="auto"/>
            <w:vAlign w:val="center"/>
          </w:tcPr>
          <w:p w:rsidR="00016B6B" w:rsidRPr="00F3476E" w:rsidDel="008E301B" w:rsidRDefault="00016B6B" w:rsidP="00F3476E">
            <w:pPr>
              <w:widowControl/>
              <w:jc w:val="center"/>
              <w:rPr>
                <w:rFonts w:ascii="Arial Narrow" w:hAnsi="Arial Narrow"/>
                <w:sz w:val="20"/>
                <w:szCs w:val="18"/>
              </w:rPr>
            </w:pPr>
            <w:r w:rsidRPr="00F3476E">
              <w:rPr>
                <w:rFonts w:ascii="Arial Narrow" w:hAnsi="Arial Narrow"/>
                <w:sz w:val="20"/>
                <w:szCs w:val="18"/>
              </w:rPr>
              <w:t>0.058 (-0.048, 0.164)</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ACR70(wk24)</w:t>
            </w:r>
          </w:p>
        </w:tc>
        <w:tc>
          <w:tcPr>
            <w:tcW w:w="5670"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0.035 (-0.030, 0.100)</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ACR70(wk24)</w:t>
            </w:r>
          </w:p>
        </w:tc>
        <w:tc>
          <w:tcPr>
            <w:tcW w:w="5670"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20"/>
              </w:rPr>
              <w:t xml:space="preserve">SAR 200mg q2w v TCZ SC 162mg </w:t>
            </w:r>
            <w:proofErr w:type="spellStart"/>
            <w:r w:rsidRPr="00F3476E">
              <w:rPr>
                <w:rFonts w:ascii="Arial Narrow" w:hAnsi="Arial Narrow"/>
                <w:sz w:val="20"/>
                <w:szCs w:val="20"/>
              </w:rPr>
              <w:t>qw</w:t>
            </w:r>
            <w:proofErr w:type="spellEnd"/>
            <w:r w:rsidRPr="00F3476E">
              <w:rPr>
                <w:rFonts w:ascii="Arial Narrow" w:hAnsi="Arial Narrow"/>
                <w:sz w:val="20"/>
                <w:szCs w:val="20"/>
              </w:rPr>
              <w:t xml:space="preserve"> via TCZ IV 8mg/kg q4w (two step)</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0.065 (-0.016, 0.146)</w:t>
            </w:r>
          </w:p>
        </w:tc>
      </w:tr>
      <w:tr w:rsidR="00016B6B" w:rsidRPr="00006435" w:rsidTr="00F3476E">
        <w:tc>
          <w:tcPr>
            <w:tcW w:w="9017" w:type="dxa"/>
            <w:gridSpan w:val="3"/>
            <w:shd w:val="clear" w:color="auto" w:fill="auto"/>
          </w:tcPr>
          <w:p w:rsidR="00016B6B" w:rsidRPr="00F3476E" w:rsidRDefault="00016B6B" w:rsidP="00F3476E">
            <w:pPr>
              <w:widowControl/>
              <w:rPr>
                <w:rFonts w:ascii="Arial Narrow" w:hAnsi="Arial Narrow"/>
                <w:sz w:val="20"/>
                <w:szCs w:val="18"/>
              </w:rPr>
            </w:pPr>
            <w:proofErr w:type="spellStart"/>
            <w:r w:rsidRPr="00F3476E">
              <w:rPr>
                <w:rFonts w:ascii="Arial Narrow" w:hAnsi="Arial Narrow"/>
                <w:b/>
                <w:bCs/>
                <w:color w:val="4F81BD"/>
                <w:sz w:val="20"/>
                <w:szCs w:val="20"/>
              </w:rPr>
              <w:t>cDMARD</w:t>
            </w:r>
            <w:proofErr w:type="spellEnd"/>
            <w:r w:rsidRPr="00F3476E">
              <w:rPr>
                <w:rFonts w:ascii="Arial Narrow" w:hAnsi="Arial Narrow"/>
                <w:b/>
                <w:bCs/>
                <w:color w:val="4F81BD"/>
                <w:sz w:val="20"/>
                <w:szCs w:val="20"/>
              </w:rPr>
              <w:t xml:space="preserve"> IR, monotherapy</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ACR20(wk24)</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Del="008E301B" w:rsidRDefault="00016B6B" w:rsidP="00F3476E">
            <w:pPr>
              <w:widowControl/>
              <w:jc w:val="center"/>
              <w:rPr>
                <w:rFonts w:ascii="Arial Narrow" w:hAnsi="Arial Narrow"/>
                <w:sz w:val="20"/>
                <w:szCs w:val="18"/>
              </w:rPr>
            </w:pPr>
            <w:r w:rsidRPr="00F3476E">
              <w:rPr>
                <w:rFonts w:ascii="Arial Narrow" w:hAnsi="Arial Narrow"/>
                <w:sz w:val="20"/>
                <w:szCs w:val="18"/>
              </w:rPr>
              <w:t>-0.023 (-0.166, 0.120)</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ACR70(wk24)</w:t>
            </w:r>
          </w:p>
        </w:tc>
        <w:tc>
          <w:tcPr>
            <w:tcW w:w="5670"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-0.031 (-0.151, 0.089)</w:t>
            </w:r>
          </w:p>
        </w:tc>
      </w:tr>
      <w:tr w:rsidR="00016B6B" w:rsidRPr="00006435" w:rsidTr="00F3476E">
        <w:tc>
          <w:tcPr>
            <w:tcW w:w="9017" w:type="dxa"/>
            <w:gridSpan w:val="3"/>
            <w:shd w:val="clear" w:color="auto" w:fill="auto"/>
          </w:tcPr>
          <w:p w:rsidR="00016B6B" w:rsidRPr="00F3476E" w:rsidRDefault="00016B6B" w:rsidP="00F3476E">
            <w:pPr>
              <w:widowControl/>
              <w:rPr>
                <w:rFonts w:ascii="Arial Narrow" w:hAnsi="Arial Narrow"/>
                <w:sz w:val="20"/>
                <w:szCs w:val="18"/>
              </w:rPr>
            </w:pPr>
            <w:proofErr w:type="spellStart"/>
            <w:proofErr w:type="gramStart"/>
            <w:r w:rsidRPr="00F3476E">
              <w:rPr>
                <w:rFonts w:ascii="Arial Narrow" w:hAnsi="Arial Narrow"/>
                <w:b/>
                <w:bCs/>
                <w:color w:val="9BBB59"/>
                <w:sz w:val="20"/>
                <w:szCs w:val="20"/>
              </w:rPr>
              <w:t>bDMARD</w:t>
            </w:r>
            <w:proofErr w:type="spellEnd"/>
            <w:r w:rsidRPr="00F3476E">
              <w:rPr>
                <w:rFonts w:ascii="Arial Narrow" w:hAnsi="Arial Narrow"/>
                <w:b/>
                <w:bCs/>
                <w:color w:val="9BBB59"/>
                <w:sz w:val="20"/>
                <w:szCs w:val="20"/>
              </w:rPr>
              <w:t>-IR</w:t>
            </w:r>
            <w:proofErr w:type="gramEnd"/>
            <w:r w:rsidRPr="00F3476E">
              <w:rPr>
                <w:rFonts w:ascii="Arial Narrow" w:hAnsi="Arial Narrow"/>
                <w:b/>
                <w:bCs/>
                <w:color w:val="9BBB59"/>
                <w:sz w:val="20"/>
                <w:szCs w:val="20"/>
              </w:rPr>
              <w:t xml:space="preserve">. </w:t>
            </w:r>
            <w:proofErr w:type="spellStart"/>
            <w:r w:rsidRPr="00F3476E">
              <w:rPr>
                <w:rFonts w:ascii="Arial Narrow" w:hAnsi="Arial Narrow"/>
                <w:b/>
                <w:bCs/>
                <w:color w:val="9BBB59"/>
                <w:sz w:val="20"/>
                <w:szCs w:val="20"/>
              </w:rPr>
              <w:t>cDMARD</w:t>
            </w:r>
            <w:proofErr w:type="spellEnd"/>
            <w:r w:rsidRPr="00F3476E">
              <w:rPr>
                <w:rFonts w:ascii="Arial Narrow" w:hAnsi="Arial Narrow"/>
                <w:b/>
                <w:bCs/>
                <w:color w:val="9BBB59"/>
                <w:sz w:val="20"/>
                <w:szCs w:val="20"/>
              </w:rPr>
              <w:t xml:space="preserve"> concomitant</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ACR20(wk12)</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-0.033 (-0.170, 0.105)</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ACR50(wk12)</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-0.003 (-0.106, 0.112)</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ACR70(wk12)</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 xml:space="preserve"> 0.044 (-0.025, 0.113)</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ACR20(wk24)</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Del="008E301B" w:rsidRDefault="00016B6B" w:rsidP="00F3476E">
            <w:pPr>
              <w:widowControl/>
              <w:jc w:val="center"/>
              <w:rPr>
                <w:rFonts w:ascii="Arial Narrow" w:hAnsi="Arial Narrow"/>
                <w:sz w:val="20"/>
                <w:szCs w:val="18"/>
              </w:rPr>
            </w:pPr>
            <w:r w:rsidRPr="00F3476E">
              <w:rPr>
                <w:rFonts w:ascii="Arial Narrow" w:hAnsi="Arial Narrow"/>
                <w:sz w:val="20"/>
                <w:szCs w:val="18"/>
              </w:rPr>
              <w:t>-0.127 (-0.270, 0.016)</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ACR70(wk24)</w:t>
            </w:r>
          </w:p>
        </w:tc>
        <w:tc>
          <w:tcPr>
            <w:tcW w:w="5670"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 xml:space="preserve"> -0.020 (-0.104, 0.064)</w:t>
            </w:r>
          </w:p>
        </w:tc>
      </w:tr>
      <w:tr w:rsidR="00016B6B" w:rsidRPr="00006435" w:rsidTr="00F3476E">
        <w:tc>
          <w:tcPr>
            <w:tcW w:w="9017" w:type="dxa"/>
            <w:gridSpan w:val="3"/>
            <w:shd w:val="clear" w:color="auto" w:fill="auto"/>
          </w:tcPr>
          <w:p w:rsidR="00016B6B" w:rsidRPr="00F3476E" w:rsidRDefault="00016B6B" w:rsidP="00F3476E">
            <w:pPr>
              <w:widowControl/>
              <w:rPr>
                <w:rFonts w:ascii="Arial Narrow" w:hAnsi="Arial Narrow"/>
                <w:sz w:val="20"/>
                <w:szCs w:val="18"/>
              </w:rPr>
            </w:pPr>
            <w:proofErr w:type="spellStart"/>
            <w:r w:rsidRPr="00F3476E">
              <w:rPr>
                <w:rFonts w:ascii="Arial Narrow" w:hAnsi="Arial Narrow"/>
                <w:b/>
                <w:bCs/>
                <w:color w:val="F79646"/>
                <w:sz w:val="20"/>
                <w:szCs w:val="20"/>
              </w:rPr>
              <w:t>cDMARD</w:t>
            </w:r>
            <w:proofErr w:type="spellEnd"/>
            <w:r w:rsidRPr="00F3476E">
              <w:rPr>
                <w:rFonts w:ascii="Arial Narrow" w:hAnsi="Arial Narrow"/>
                <w:b/>
                <w:bCs/>
                <w:color w:val="F79646"/>
                <w:sz w:val="20"/>
                <w:szCs w:val="20"/>
              </w:rPr>
              <w:t>/</w:t>
            </w:r>
            <w:proofErr w:type="spellStart"/>
            <w:r w:rsidRPr="00F3476E">
              <w:rPr>
                <w:rFonts w:ascii="Arial Narrow" w:hAnsi="Arial Narrow"/>
                <w:b/>
                <w:bCs/>
                <w:color w:val="F79646"/>
                <w:sz w:val="20"/>
                <w:szCs w:val="20"/>
              </w:rPr>
              <w:t>bDMARD</w:t>
            </w:r>
            <w:proofErr w:type="spellEnd"/>
            <w:r w:rsidRPr="00F3476E">
              <w:rPr>
                <w:rFonts w:ascii="Arial Narrow" w:hAnsi="Arial Narrow"/>
                <w:b/>
                <w:bCs/>
                <w:color w:val="F79646"/>
                <w:sz w:val="20"/>
                <w:szCs w:val="20"/>
              </w:rPr>
              <w:t xml:space="preserve">-IR, </w:t>
            </w:r>
            <w:proofErr w:type="spellStart"/>
            <w:r w:rsidRPr="00F3476E">
              <w:rPr>
                <w:rFonts w:ascii="Arial Narrow" w:hAnsi="Arial Narrow"/>
                <w:b/>
                <w:bCs/>
                <w:color w:val="F79646"/>
                <w:sz w:val="20"/>
                <w:szCs w:val="20"/>
              </w:rPr>
              <w:t>cDMARD</w:t>
            </w:r>
            <w:proofErr w:type="spellEnd"/>
            <w:r w:rsidRPr="00F3476E">
              <w:rPr>
                <w:rFonts w:ascii="Arial Narrow" w:hAnsi="Arial Narrow"/>
                <w:b/>
                <w:bCs/>
                <w:color w:val="F79646"/>
                <w:sz w:val="20"/>
                <w:szCs w:val="20"/>
              </w:rPr>
              <w:t xml:space="preserve"> concomitant</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ACR20(wk24)</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Del="008E301B" w:rsidRDefault="00F81BA0" w:rsidP="00F3476E">
            <w:pPr>
              <w:widowControl/>
              <w:jc w:val="center"/>
              <w:rPr>
                <w:rFonts w:ascii="Arial Narrow" w:hAnsi="Arial Narrow"/>
                <w:sz w:val="20"/>
                <w:szCs w:val="18"/>
              </w:rPr>
            </w:pPr>
            <w:r w:rsidRPr="00F3476E">
              <w:rPr>
                <w:rFonts w:ascii="Arial Narrow" w:hAnsi="Arial Narrow"/>
                <w:sz w:val="20"/>
                <w:szCs w:val="18"/>
              </w:rPr>
              <w:t>0.002 (-0.080, 0.084)</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ACR20(wk24)</w:t>
            </w:r>
          </w:p>
        </w:tc>
        <w:tc>
          <w:tcPr>
            <w:tcW w:w="5670" w:type="dxa"/>
            <w:shd w:val="clear" w:color="auto" w:fill="auto"/>
          </w:tcPr>
          <w:p w:rsidR="00016B6B" w:rsidRPr="00F3476E" w:rsidRDefault="00016B6B" w:rsidP="00F3476E">
            <w:pPr>
              <w:widowControl/>
              <w:rPr>
                <w:rFonts w:ascii="Arial Narrow" w:hAnsi="Arial Narrow"/>
                <w:sz w:val="20"/>
                <w:szCs w:val="20"/>
              </w:rPr>
            </w:pPr>
            <w:r w:rsidRPr="00F3476E">
              <w:rPr>
                <w:rFonts w:ascii="Arial Narrow" w:hAnsi="Arial Narrow"/>
                <w:sz w:val="20"/>
                <w:szCs w:val="20"/>
              </w:rPr>
              <w:t xml:space="preserve">SAR 200mg q2w v TCZ SC 162mg </w:t>
            </w:r>
            <w:proofErr w:type="spellStart"/>
            <w:r w:rsidRPr="00F3476E">
              <w:rPr>
                <w:rFonts w:ascii="Arial Narrow" w:hAnsi="Arial Narrow"/>
                <w:sz w:val="20"/>
                <w:szCs w:val="20"/>
              </w:rPr>
              <w:t>qw</w:t>
            </w:r>
            <w:proofErr w:type="spellEnd"/>
            <w:r w:rsidRPr="00F3476E">
              <w:rPr>
                <w:rFonts w:ascii="Arial Narrow" w:hAnsi="Arial Narrow"/>
                <w:sz w:val="20"/>
                <w:szCs w:val="20"/>
              </w:rPr>
              <w:t xml:space="preserve"> via TCZ IV 8mg/kg q4w (two step)</w:t>
            </w:r>
          </w:p>
        </w:tc>
        <w:tc>
          <w:tcPr>
            <w:tcW w:w="2076" w:type="dxa"/>
            <w:shd w:val="clear" w:color="auto" w:fill="auto"/>
            <w:vAlign w:val="center"/>
          </w:tcPr>
          <w:p w:rsidR="00016B6B" w:rsidRPr="00F3476E" w:rsidDel="008E301B" w:rsidRDefault="00F81BA0" w:rsidP="00F3476E">
            <w:pPr>
              <w:widowControl/>
              <w:jc w:val="center"/>
              <w:rPr>
                <w:rFonts w:ascii="Arial Narrow" w:hAnsi="Arial Narrow"/>
                <w:sz w:val="20"/>
                <w:szCs w:val="18"/>
              </w:rPr>
            </w:pPr>
            <w:r w:rsidRPr="00F3476E">
              <w:rPr>
                <w:rFonts w:ascii="Arial Narrow" w:hAnsi="Arial Narrow"/>
                <w:sz w:val="20"/>
                <w:szCs w:val="18"/>
              </w:rPr>
              <w:t>0.023 (-0.073, 0.119)</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ACR70(wk24)</w:t>
            </w:r>
          </w:p>
        </w:tc>
        <w:tc>
          <w:tcPr>
            <w:tcW w:w="5670"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20"/>
              </w:rPr>
              <w:t>SAR 200mg q2w v TCZ IV 8mg/kg q4w</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0.001 (-0.090, 0.092)</w:t>
            </w:r>
          </w:p>
        </w:tc>
      </w:tr>
      <w:tr w:rsidR="00016B6B" w:rsidRPr="00006435" w:rsidTr="00F3476E">
        <w:tc>
          <w:tcPr>
            <w:tcW w:w="1271"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18"/>
              </w:rPr>
              <w:t>ACR70(wk24)</w:t>
            </w:r>
          </w:p>
        </w:tc>
        <w:tc>
          <w:tcPr>
            <w:tcW w:w="5670" w:type="dxa"/>
            <w:shd w:val="clear" w:color="auto" w:fill="auto"/>
          </w:tcPr>
          <w:p w:rsidR="00016B6B" w:rsidRPr="00F3476E" w:rsidRDefault="00016B6B" w:rsidP="00F3476E">
            <w:pPr>
              <w:widowControl/>
              <w:rPr>
                <w:rFonts w:ascii="Arial Narrow" w:hAnsi="Arial Narrow"/>
                <w:sz w:val="20"/>
                <w:szCs w:val="18"/>
              </w:rPr>
            </w:pPr>
            <w:r w:rsidRPr="00F3476E">
              <w:rPr>
                <w:rFonts w:ascii="Arial Narrow" w:hAnsi="Arial Narrow"/>
                <w:sz w:val="20"/>
                <w:szCs w:val="20"/>
              </w:rPr>
              <w:t xml:space="preserve">SAR 200mg q2w v TCZ SC 162mg </w:t>
            </w:r>
            <w:proofErr w:type="spellStart"/>
            <w:r w:rsidRPr="00F3476E">
              <w:rPr>
                <w:rFonts w:ascii="Arial Narrow" w:hAnsi="Arial Narrow"/>
                <w:sz w:val="20"/>
                <w:szCs w:val="20"/>
              </w:rPr>
              <w:t>qw</w:t>
            </w:r>
            <w:proofErr w:type="spellEnd"/>
            <w:r w:rsidRPr="00F3476E">
              <w:rPr>
                <w:rFonts w:ascii="Arial Narrow" w:hAnsi="Arial Narrow"/>
                <w:sz w:val="20"/>
                <w:szCs w:val="20"/>
              </w:rPr>
              <w:t xml:space="preserve"> via TCZ IV 8mg/kg q4w (two step)</w:t>
            </w:r>
          </w:p>
        </w:tc>
        <w:tc>
          <w:tcPr>
            <w:tcW w:w="2076" w:type="dxa"/>
            <w:shd w:val="clear" w:color="auto" w:fill="auto"/>
            <w:vAlign w:val="center"/>
          </w:tcPr>
          <w:p w:rsidR="00016B6B" w:rsidRPr="00F3476E" w:rsidRDefault="00016B6B" w:rsidP="00F3476E">
            <w:pPr>
              <w:widowControl/>
              <w:jc w:val="center"/>
              <w:rPr>
                <w:rFonts w:ascii="Arial Narrow" w:hAnsi="Arial Narrow"/>
                <w:sz w:val="20"/>
                <w:szCs w:val="18"/>
              </w:rPr>
            </w:pPr>
            <w:r w:rsidRPr="00F3476E">
              <w:rPr>
                <w:rFonts w:ascii="Arial Narrow" w:hAnsi="Arial Narrow"/>
                <w:sz w:val="20"/>
                <w:szCs w:val="18"/>
              </w:rPr>
              <w:t>0.031 (-0.072, 0.134)</w:t>
            </w:r>
          </w:p>
        </w:tc>
      </w:tr>
    </w:tbl>
    <w:p w:rsidR="00D3170F" w:rsidRPr="00006435" w:rsidRDefault="00D3170F" w:rsidP="002C53C8">
      <w:pPr>
        <w:widowControl/>
        <w:rPr>
          <w:rFonts w:ascii="Arial Narrow" w:hAnsi="Arial Narrow"/>
          <w:sz w:val="18"/>
          <w:szCs w:val="16"/>
        </w:rPr>
      </w:pPr>
      <w:r w:rsidRPr="00006435">
        <w:rPr>
          <w:rFonts w:ascii="Arial Narrow" w:hAnsi="Arial Narrow"/>
          <w:sz w:val="18"/>
          <w:szCs w:val="16"/>
        </w:rPr>
        <w:t>Source: Figures 2.3, 2.4 and 2.5, pp217-219 of the submission</w:t>
      </w:r>
    </w:p>
    <w:p w:rsidR="00D3170F" w:rsidRPr="00006435" w:rsidRDefault="00D3170F" w:rsidP="00127F36">
      <w:pPr>
        <w:pStyle w:val="TableFooter"/>
      </w:pPr>
    </w:p>
    <w:p w:rsidR="00056E78" w:rsidRPr="00006435" w:rsidRDefault="00A700F8" w:rsidP="002C53C8">
      <w:pPr>
        <w:pStyle w:val="ListParagraph"/>
        <w:widowControl/>
        <w:numPr>
          <w:ilvl w:val="1"/>
          <w:numId w:val="3"/>
        </w:numPr>
      </w:pPr>
      <w:r w:rsidRPr="00006435">
        <w:rPr>
          <w:iCs/>
        </w:rPr>
        <w:t>Indirect comparisons of ACR response between the reduced dose regimens (SAR 150mg q2w, TCZ IV 4mg/kg, TCZ SC 162mg q2w) did not show a significant difference between the treatment arms based on RD for most of the comparisons.  Overall, the results support a conclusion of similar efficacy across the reduced dose regimens of SAR</w:t>
      </w:r>
      <w:r w:rsidR="00B83E8C" w:rsidRPr="00006435">
        <w:rPr>
          <w:iCs/>
        </w:rPr>
        <w:t xml:space="preserve"> and </w:t>
      </w:r>
      <w:r w:rsidRPr="00006435">
        <w:rPr>
          <w:iCs/>
        </w:rPr>
        <w:t>TCZ.</w:t>
      </w:r>
    </w:p>
    <w:p w:rsidR="00B60939" w:rsidRPr="00006435" w:rsidRDefault="00B60939" w:rsidP="00127F36">
      <w:pPr>
        <w:pStyle w:val="Heading2"/>
      </w:pPr>
      <w:bookmarkStart w:id="9" w:name="_Toc524441616"/>
      <w:r w:rsidRPr="00006435">
        <w:t>Comparative harms</w:t>
      </w:r>
      <w:bookmarkEnd w:id="9"/>
    </w:p>
    <w:p w:rsidR="009822ED" w:rsidRPr="00006435" w:rsidRDefault="00B61F64" w:rsidP="002C53C8">
      <w:pPr>
        <w:pStyle w:val="ListParagraph"/>
        <w:widowControl/>
        <w:numPr>
          <w:ilvl w:val="1"/>
          <w:numId w:val="3"/>
        </w:numPr>
        <w:rPr>
          <w:iCs/>
        </w:rPr>
      </w:pPr>
      <w:r w:rsidRPr="00006435">
        <w:rPr>
          <w:iCs/>
        </w:rPr>
        <w:t xml:space="preserve">Table </w:t>
      </w:r>
      <w:r w:rsidR="00955D0F" w:rsidRPr="00006435">
        <w:rPr>
          <w:iCs/>
        </w:rPr>
        <w:t xml:space="preserve">6 </w:t>
      </w:r>
      <w:r w:rsidRPr="00006435">
        <w:rPr>
          <w:iCs/>
        </w:rPr>
        <w:t xml:space="preserve">summarises safety outcomes for SAR 200mg q2w treatment arms in MOBILITY-B, TARGET, MONARCH and ASCERTAIN.  </w:t>
      </w:r>
      <w:r w:rsidR="009822ED" w:rsidRPr="00006435">
        <w:rPr>
          <w:iCs/>
        </w:rPr>
        <w:t xml:space="preserve">There was a higher incidence of neutropenia / leukopenia and injection site reactions reported for SAR compared </w:t>
      </w:r>
      <w:r w:rsidR="00BA5F4E" w:rsidRPr="00006435">
        <w:rPr>
          <w:iCs/>
        </w:rPr>
        <w:t xml:space="preserve">with </w:t>
      </w:r>
      <w:r w:rsidR="009822ED" w:rsidRPr="00006435">
        <w:rPr>
          <w:iCs/>
        </w:rPr>
        <w:t xml:space="preserve">all trial comparators (PBO, ADA, and TCZ 4-8mg/kg titration), and a higher incidence of upper respiratory infections and urinary tract infections compared to PBO.  Increased ALT (hepatic disorders) was also more common for SAR compared </w:t>
      </w:r>
      <w:r w:rsidR="00BA5F4E" w:rsidRPr="00006435">
        <w:rPr>
          <w:iCs/>
        </w:rPr>
        <w:t xml:space="preserve">with </w:t>
      </w:r>
      <w:r w:rsidR="009822ED" w:rsidRPr="00006435">
        <w:rPr>
          <w:iCs/>
        </w:rPr>
        <w:t>PBO and ADA, but numerically less common compared with TCZ IV 4-8mg/kg titration.  Overall, the safety profile of SAR is consistent with the anticipated effects of IL-6 inhibition.</w:t>
      </w:r>
    </w:p>
    <w:p w:rsidR="00463F46" w:rsidRPr="00006435" w:rsidRDefault="00463F46" w:rsidP="002C53C8">
      <w:pPr>
        <w:keepNext/>
        <w:widowControl/>
        <w:rPr>
          <w:rFonts w:ascii="Arial Narrow" w:hAnsi="Arial Narrow"/>
          <w:b/>
          <w:bCs/>
          <w:sz w:val="20"/>
          <w:szCs w:val="18"/>
        </w:rPr>
      </w:pPr>
      <w:r w:rsidRPr="00006435">
        <w:rPr>
          <w:rFonts w:ascii="Arial Narrow" w:hAnsi="Arial Narrow"/>
          <w:b/>
          <w:bCs/>
          <w:sz w:val="20"/>
          <w:szCs w:val="18"/>
        </w:rPr>
        <w:lastRenderedPageBreak/>
        <w:t xml:space="preserve">Table </w:t>
      </w:r>
      <w:r w:rsidR="0049246D" w:rsidRPr="00006435">
        <w:rPr>
          <w:rFonts w:ascii="Arial Narrow" w:hAnsi="Arial Narrow"/>
          <w:b/>
          <w:bCs/>
          <w:sz w:val="20"/>
          <w:szCs w:val="18"/>
        </w:rPr>
        <w:t>6</w:t>
      </w:r>
      <w:r w:rsidRPr="00006435">
        <w:rPr>
          <w:rFonts w:ascii="Arial Narrow" w:hAnsi="Arial Narrow"/>
          <w:b/>
          <w:bCs/>
          <w:sz w:val="20"/>
          <w:szCs w:val="18"/>
        </w:rPr>
        <w:t>: Summary of adverse events reported in the SAR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791"/>
        <w:gridCol w:w="791"/>
        <w:gridCol w:w="791"/>
        <w:gridCol w:w="791"/>
        <w:gridCol w:w="791"/>
        <w:gridCol w:w="791"/>
        <w:gridCol w:w="791"/>
        <w:gridCol w:w="791"/>
      </w:tblGrid>
      <w:tr w:rsidR="004E62A9" w:rsidRPr="00006435" w:rsidTr="00F3476E">
        <w:trPr>
          <w:tblHeader/>
        </w:trPr>
        <w:tc>
          <w:tcPr>
            <w:tcW w:w="2689" w:type="dxa"/>
            <w:vMerge w:val="restart"/>
            <w:shd w:val="clear" w:color="auto" w:fill="auto"/>
          </w:tcPr>
          <w:p w:rsidR="004E62A9" w:rsidRPr="00F3476E" w:rsidRDefault="004E62A9" w:rsidP="00F3476E">
            <w:pPr>
              <w:keepNext/>
              <w:widowControl/>
              <w:rPr>
                <w:rFonts w:ascii="Arial Narrow" w:hAnsi="Arial Narrow"/>
                <w:sz w:val="20"/>
                <w:szCs w:val="20"/>
              </w:rPr>
            </w:pPr>
          </w:p>
        </w:tc>
        <w:tc>
          <w:tcPr>
            <w:tcW w:w="1582" w:type="dxa"/>
            <w:gridSpan w:val="2"/>
            <w:shd w:val="clear" w:color="auto" w:fill="auto"/>
            <w:vAlign w:val="center"/>
          </w:tcPr>
          <w:p w:rsidR="004E62A9" w:rsidRPr="00F3476E" w:rsidRDefault="004E62A9" w:rsidP="00F3476E">
            <w:pPr>
              <w:keepNext/>
              <w:widowControl/>
              <w:jc w:val="center"/>
              <w:rPr>
                <w:rFonts w:ascii="Arial Narrow" w:hAnsi="Arial Narrow"/>
                <w:b/>
                <w:bCs/>
                <w:sz w:val="20"/>
                <w:szCs w:val="20"/>
                <w:vertAlign w:val="superscript"/>
              </w:rPr>
            </w:pPr>
            <w:r w:rsidRPr="00F3476E">
              <w:rPr>
                <w:rFonts w:ascii="Arial Narrow" w:hAnsi="Arial Narrow"/>
                <w:b/>
                <w:bCs/>
                <w:sz w:val="20"/>
                <w:szCs w:val="20"/>
              </w:rPr>
              <w:t>MOBILITY-B</w:t>
            </w:r>
            <w:r w:rsidR="00B61F64" w:rsidRPr="00F3476E">
              <w:rPr>
                <w:rFonts w:ascii="Arial Narrow" w:hAnsi="Arial Narrow"/>
                <w:b/>
                <w:bCs/>
                <w:sz w:val="20"/>
                <w:szCs w:val="20"/>
                <w:vertAlign w:val="superscript"/>
              </w:rPr>
              <w:t>^</w:t>
            </w:r>
          </w:p>
        </w:tc>
        <w:tc>
          <w:tcPr>
            <w:tcW w:w="1582" w:type="dxa"/>
            <w:gridSpan w:val="2"/>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TARGET</w:t>
            </w:r>
          </w:p>
        </w:tc>
        <w:tc>
          <w:tcPr>
            <w:tcW w:w="1582" w:type="dxa"/>
            <w:gridSpan w:val="2"/>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MONARCH</w:t>
            </w:r>
          </w:p>
        </w:tc>
        <w:tc>
          <w:tcPr>
            <w:tcW w:w="1582" w:type="dxa"/>
            <w:gridSpan w:val="2"/>
            <w:shd w:val="clear" w:color="auto" w:fill="auto"/>
          </w:tcPr>
          <w:p w:rsidR="004E62A9" w:rsidRPr="00F3476E" w:rsidRDefault="004E62A9" w:rsidP="00F3476E">
            <w:pPr>
              <w:keepNext/>
              <w:widowControl/>
              <w:jc w:val="center"/>
              <w:rPr>
                <w:rFonts w:ascii="Arial Narrow" w:hAnsi="Arial Narrow"/>
                <w:b/>
                <w:bCs/>
                <w:sz w:val="20"/>
                <w:szCs w:val="20"/>
                <w:vertAlign w:val="superscript"/>
              </w:rPr>
            </w:pPr>
            <w:r w:rsidRPr="00F3476E">
              <w:rPr>
                <w:rFonts w:ascii="Arial Narrow" w:hAnsi="Arial Narrow"/>
                <w:b/>
                <w:bCs/>
                <w:sz w:val="20"/>
                <w:szCs w:val="20"/>
              </w:rPr>
              <w:t>ASCERTAIN</w:t>
            </w:r>
            <w:r w:rsidR="00B61F64" w:rsidRPr="00F3476E">
              <w:rPr>
                <w:rFonts w:ascii="Arial Narrow" w:hAnsi="Arial Narrow"/>
                <w:b/>
                <w:bCs/>
                <w:sz w:val="20"/>
                <w:szCs w:val="20"/>
                <w:vertAlign w:val="superscript"/>
              </w:rPr>
              <w:t>#</w:t>
            </w:r>
          </w:p>
        </w:tc>
      </w:tr>
      <w:tr w:rsidR="004E62A9" w:rsidRPr="00006435" w:rsidTr="00F3476E">
        <w:trPr>
          <w:tblHeader/>
        </w:trPr>
        <w:tc>
          <w:tcPr>
            <w:tcW w:w="2689" w:type="dxa"/>
            <w:vMerge/>
            <w:shd w:val="clear" w:color="auto" w:fill="auto"/>
          </w:tcPr>
          <w:p w:rsidR="004E62A9" w:rsidRPr="00F3476E" w:rsidRDefault="004E62A9" w:rsidP="00F3476E">
            <w:pPr>
              <w:keepNext/>
              <w:widowControl/>
              <w:rPr>
                <w:rFonts w:ascii="Arial Narrow" w:hAnsi="Arial Narrow"/>
                <w:sz w:val="20"/>
                <w:szCs w:val="20"/>
              </w:rPr>
            </w:pPr>
          </w:p>
        </w:tc>
        <w:tc>
          <w:tcPr>
            <w:tcW w:w="791" w:type="dxa"/>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SAR 200mg</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424</w:t>
            </w:r>
          </w:p>
        </w:tc>
        <w:tc>
          <w:tcPr>
            <w:tcW w:w="791" w:type="dxa"/>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PBO</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427</w:t>
            </w:r>
          </w:p>
        </w:tc>
        <w:tc>
          <w:tcPr>
            <w:tcW w:w="791" w:type="dxa"/>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SAR 200mg</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184</w:t>
            </w:r>
          </w:p>
        </w:tc>
        <w:tc>
          <w:tcPr>
            <w:tcW w:w="791" w:type="dxa"/>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PBO</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181</w:t>
            </w:r>
          </w:p>
        </w:tc>
        <w:tc>
          <w:tcPr>
            <w:tcW w:w="791" w:type="dxa"/>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SAR 200mg</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184</w:t>
            </w:r>
          </w:p>
        </w:tc>
        <w:tc>
          <w:tcPr>
            <w:tcW w:w="791" w:type="dxa"/>
            <w:shd w:val="clear" w:color="auto" w:fill="auto"/>
            <w:vAlign w:val="center"/>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ADA 40mg</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184</w:t>
            </w:r>
          </w:p>
        </w:tc>
        <w:tc>
          <w:tcPr>
            <w:tcW w:w="791" w:type="dxa"/>
            <w:shd w:val="clear" w:color="auto" w:fill="auto"/>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SAR 200mg</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51</w:t>
            </w:r>
          </w:p>
        </w:tc>
        <w:tc>
          <w:tcPr>
            <w:tcW w:w="791" w:type="dxa"/>
            <w:shd w:val="clear" w:color="auto" w:fill="auto"/>
          </w:tcPr>
          <w:p w:rsidR="004E62A9" w:rsidRPr="00F3476E" w:rsidRDefault="004E62A9" w:rsidP="00F3476E">
            <w:pPr>
              <w:keepNext/>
              <w:widowControl/>
              <w:jc w:val="center"/>
              <w:rPr>
                <w:rFonts w:ascii="Arial Narrow" w:hAnsi="Arial Narrow"/>
                <w:b/>
                <w:bCs/>
                <w:sz w:val="20"/>
                <w:szCs w:val="20"/>
              </w:rPr>
            </w:pPr>
            <w:r w:rsidRPr="00F3476E">
              <w:rPr>
                <w:rFonts w:ascii="Arial Narrow" w:hAnsi="Arial Narrow"/>
                <w:b/>
                <w:bCs/>
                <w:sz w:val="20"/>
                <w:szCs w:val="20"/>
              </w:rPr>
              <w:t>TCZ IV 4/8mg/kg</w:t>
            </w:r>
          </w:p>
          <w:p w:rsidR="004E62A9" w:rsidRPr="00F3476E" w:rsidRDefault="00B61F64" w:rsidP="00F3476E">
            <w:pPr>
              <w:keepNext/>
              <w:widowControl/>
              <w:jc w:val="center"/>
              <w:rPr>
                <w:rFonts w:ascii="Arial Narrow" w:hAnsi="Arial Narrow"/>
                <w:b/>
                <w:bCs/>
                <w:sz w:val="20"/>
                <w:szCs w:val="20"/>
              </w:rPr>
            </w:pPr>
            <w:r w:rsidRPr="00F3476E">
              <w:rPr>
                <w:rFonts w:ascii="Arial Narrow" w:hAnsi="Arial Narrow"/>
                <w:b/>
                <w:bCs/>
                <w:sz w:val="20"/>
                <w:szCs w:val="20"/>
              </w:rPr>
              <w:t>N=</w:t>
            </w:r>
            <w:r w:rsidR="004E62A9" w:rsidRPr="00F3476E">
              <w:rPr>
                <w:rFonts w:ascii="Arial Narrow" w:hAnsi="Arial Narrow"/>
                <w:b/>
                <w:bCs/>
                <w:sz w:val="20"/>
                <w:szCs w:val="20"/>
              </w:rPr>
              <w:t>102</w:t>
            </w:r>
          </w:p>
        </w:tc>
      </w:tr>
      <w:tr w:rsidR="004E62A9" w:rsidRPr="00006435" w:rsidTr="00F3476E">
        <w:tc>
          <w:tcPr>
            <w:tcW w:w="9017" w:type="dxa"/>
            <w:gridSpan w:val="9"/>
            <w:shd w:val="clear" w:color="auto" w:fill="auto"/>
            <w:vAlign w:val="center"/>
          </w:tcPr>
          <w:p w:rsidR="004E62A9" w:rsidRPr="00F3476E" w:rsidRDefault="004E62A9" w:rsidP="00F3476E">
            <w:pPr>
              <w:keepNext/>
              <w:widowControl/>
              <w:jc w:val="left"/>
              <w:rPr>
                <w:rFonts w:ascii="Arial Narrow" w:hAnsi="Arial Narrow"/>
                <w:b/>
                <w:bCs/>
                <w:sz w:val="20"/>
                <w:szCs w:val="20"/>
              </w:rPr>
            </w:pPr>
            <w:r w:rsidRPr="00F3476E">
              <w:rPr>
                <w:rFonts w:ascii="Arial Narrow" w:hAnsi="Arial Narrow"/>
                <w:b/>
                <w:bCs/>
                <w:sz w:val="20"/>
                <w:szCs w:val="20"/>
              </w:rPr>
              <w:t>Summary of treatment emergent adverse events</w:t>
            </w:r>
          </w:p>
        </w:tc>
      </w:tr>
      <w:tr w:rsidR="004E62A9" w:rsidRPr="00006435" w:rsidTr="00F3476E">
        <w:tc>
          <w:tcPr>
            <w:tcW w:w="2689" w:type="dxa"/>
            <w:shd w:val="clear" w:color="auto" w:fill="auto"/>
          </w:tcPr>
          <w:p w:rsidR="004E62A9" w:rsidRPr="00F3476E" w:rsidRDefault="004E62A9" w:rsidP="00F3476E">
            <w:pPr>
              <w:keepNext/>
              <w:widowControl/>
              <w:rPr>
                <w:rFonts w:ascii="Arial Narrow" w:hAnsi="Arial Narrow"/>
                <w:sz w:val="20"/>
                <w:szCs w:val="20"/>
              </w:rPr>
            </w:pPr>
            <w:r w:rsidRPr="00F3476E">
              <w:rPr>
                <w:rFonts w:ascii="Arial Narrow" w:hAnsi="Arial Narrow"/>
                <w:sz w:val="20"/>
                <w:szCs w:val="20"/>
              </w:rPr>
              <w:t>Any AE</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331(78.1)</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263(61.6)</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120(65.2)</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90 (49.7)</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118(64.1)</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117(63.6)</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36 (70.6)</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68 (66.7)</w:t>
            </w:r>
          </w:p>
        </w:tc>
      </w:tr>
      <w:tr w:rsidR="004E62A9" w:rsidRPr="00006435" w:rsidTr="00F3476E">
        <w:tc>
          <w:tcPr>
            <w:tcW w:w="2689" w:type="dxa"/>
            <w:shd w:val="clear" w:color="auto" w:fill="auto"/>
          </w:tcPr>
          <w:p w:rsidR="004E62A9" w:rsidRPr="00F3476E" w:rsidRDefault="004E62A9" w:rsidP="00F3476E">
            <w:pPr>
              <w:keepNext/>
              <w:widowControl/>
              <w:rPr>
                <w:rFonts w:ascii="Arial Narrow" w:hAnsi="Arial Narrow"/>
                <w:sz w:val="20"/>
                <w:szCs w:val="20"/>
              </w:rPr>
            </w:pPr>
            <w:r w:rsidRPr="00F3476E">
              <w:rPr>
                <w:rFonts w:ascii="Arial Narrow" w:hAnsi="Arial Narrow"/>
                <w:sz w:val="20"/>
                <w:szCs w:val="20"/>
              </w:rPr>
              <w:t>Any serious AE</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48 (11.3)</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23 (5.4)</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10 (5.4)</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6 (3.3)</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9 (4.9)</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12 (6.5)</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3 (5.9)</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7 (6.9)</w:t>
            </w:r>
          </w:p>
        </w:tc>
      </w:tr>
      <w:tr w:rsidR="004E62A9" w:rsidRPr="00006435" w:rsidTr="00F3476E">
        <w:tc>
          <w:tcPr>
            <w:tcW w:w="2689" w:type="dxa"/>
            <w:shd w:val="clear" w:color="auto" w:fill="auto"/>
          </w:tcPr>
          <w:p w:rsidR="004E62A9" w:rsidRPr="00F3476E" w:rsidRDefault="004E62A9" w:rsidP="00F3476E">
            <w:pPr>
              <w:keepNext/>
              <w:widowControl/>
              <w:rPr>
                <w:rFonts w:ascii="Arial Narrow" w:hAnsi="Arial Narrow"/>
                <w:sz w:val="20"/>
                <w:szCs w:val="20"/>
              </w:rPr>
            </w:pPr>
            <w:r w:rsidRPr="00F3476E">
              <w:rPr>
                <w:rFonts w:ascii="Arial Narrow" w:hAnsi="Arial Narrow"/>
                <w:sz w:val="20"/>
                <w:szCs w:val="20"/>
              </w:rPr>
              <w:t>AE to discontinuation</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59 (13.9)</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20 (4.7)</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17 (9.2)</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8 (4.4)</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11 (6.0)</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13 (7.1)</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8 (15.7)</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4 (3.9)</w:t>
            </w:r>
          </w:p>
        </w:tc>
      </w:tr>
      <w:tr w:rsidR="004E62A9" w:rsidRPr="00006435" w:rsidTr="00F3476E">
        <w:tc>
          <w:tcPr>
            <w:tcW w:w="2689" w:type="dxa"/>
            <w:shd w:val="clear" w:color="auto" w:fill="auto"/>
          </w:tcPr>
          <w:p w:rsidR="004E62A9" w:rsidRPr="00F3476E" w:rsidRDefault="004E62A9" w:rsidP="00F3476E">
            <w:pPr>
              <w:keepNext/>
              <w:widowControl/>
              <w:rPr>
                <w:rFonts w:ascii="Arial Narrow" w:hAnsi="Arial Narrow"/>
                <w:sz w:val="20"/>
                <w:szCs w:val="20"/>
              </w:rPr>
            </w:pPr>
            <w:r w:rsidRPr="00F3476E">
              <w:rPr>
                <w:rFonts w:ascii="Arial Narrow" w:hAnsi="Arial Narrow"/>
                <w:sz w:val="20"/>
                <w:szCs w:val="20"/>
              </w:rPr>
              <w:t>AE to death</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 (0.2)</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2 (0.5)</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0 (0.0)</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 (0.6)</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 (0.5)</w:t>
            </w:r>
          </w:p>
        </w:tc>
        <w:tc>
          <w:tcPr>
            <w:tcW w:w="791" w:type="dxa"/>
            <w:shd w:val="clear" w:color="auto" w:fill="auto"/>
            <w:vAlign w:val="center"/>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0 (0.0)</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0 (0.0)</w:t>
            </w:r>
          </w:p>
        </w:tc>
        <w:tc>
          <w:tcPr>
            <w:tcW w:w="791" w:type="dxa"/>
            <w:shd w:val="clear" w:color="auto" w:fill="auto"/>
          </w:tcPr>
          <w:p w:rsidR="004E62A9" w:rsidRPr="00F3476E" w:rsidRDefault="004E62A9" w:rsidP="00F3476E">
            <w:pPr>
              <w:keepNext/>
              <w:widowControl/>
              <w:jc w:val="center"/>
              <w:rPr>
                <w:rFonts w:ascii="Arial Narrow" w:hAnsi="Arial Narrow"/>
                <w:sz w:val="20"/>
                <w:szCs w:val="20"/>
              </w:rPr>
            </w:pPr>
            <w:r w:rsidRPr="00F3476E">
              <w:rPr>
                <w:rFonts w:ascii="Arial Narrow" w:hAnsi="Arial Narrow"/>
                <w:sz w:val="20"/>
                <w:szCs w:val="20"/>
              </w:rPr>
              <w:t>1 (1.0)</w:t>
            </w:r>
          </w:p>
        </w:tc>
      </w:tr>
      <w:tr w:rsidR="004E62A9" w:rsidRPr="00006435" w:rsidTr="00F3476E">
        <w:tc>
          <w:tcPr>
            <w:tcW w:w="9017" w:type="dxa"/>
            <w:gridSpan w:val="9"/>
            <w:shd w:val="clear" w:color="auto" w:fill="auto"/>
            <w:vAlign w:val="center"/>
          </w:tcPr>
          <w:p w:rsidR="004E62A9" w:rsidRPr="00F3476E" w:rsidRDefault="004E62A9" w:rsidP="00F3476E">
            <w:pPr>
              <w:widowControl/>
              <w:jc w:val="left"/>
              <w:rPr>
                <w:rFonts w:ascii="Arial Narrow" w:hAnsi="Arial Narrow"/>
                <w:b/>
                <w:bCs/>
                <w:sz w:val="20"/>
                <w:szCs w:val="20"/>
              </w:rPr>
            </w:pPr>
            <w:r w:rsidRPr="00F3476E">
              <w:rPr>
                <w:rFonts w:ascii="Arial Narrow" w:hAnsi="Arial Narrow"/>
                <w:b/>
                <w:bCs/>
                <w:sz w:val="20"/>
                <w:szCs w:val="20"/>
              </w:rPr>
              <w:t>Adverse events of special interest</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Serious Infections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17 (4.0)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10 (2.3)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(1.1)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(1.1)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(1.1)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(1.1)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(2.0)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(2.0)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Neutropenia/Leukopenia</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67 (15.8)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(0.5)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26 (14.1)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3 (1.7)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26 (14.1)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3 (1.6)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9 (17.6)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7 (6.9)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Thrombocytopenia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6 (1.4)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5 (2.7)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Hepatic disorders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50 (11.8)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20 (4.7)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19 (10.3)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4 (2.2)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9 (4.9)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7 (3.8)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3 (5.9)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7 (6.9)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Diverticulitis/GI ulcer/perforation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4 (0.9)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2 (0.5)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(1.0)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Elevation in lipids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17 (4.0)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8 (1.9)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15 (8.2)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5 (2.8)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3 (1.6)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8 (4.3)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3 (5.9)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13 (12.7)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Anaphylaxis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Malignancy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3 (0.7)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(0.2)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(0.5)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(0.6)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(0.5)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Lupus-like syndrome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Demyelinating disorders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(0.2)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(0.5)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 (0.5)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0 (0.0) </w:t>
            </w:r>
          </w:p>
        </w:tc>
      </w:tr>
      <w:tr w:rsidR="004E62A9" w:rsidRPr="00006435" w:rsidTr="00F3476E">
        <w:tc>
          <w:tcPr>
            <w:tcW w:w="2689" w:type="dxa"/>
            <w:shd w:val="clear" w:color="auto" w:fill="auto"/>
          </w:tcPr>
          <w:p w:rsidR="004E62A9" w:rsidRPr="00F3476E" w:rsidRDefault="004E62A9" w:rsidP="00F3476E">
            <w:pPr>
              <w:widowControl/>
              <w:rPr>
                <w:rFonts w:ascii="Arial Narrow" w:hAnsi="Arial Narrow"/>
                <w:sz w:val="20"/>
                <w:szCs w:val="20"/>
              </w:rPr>
            </w:pPr>
            <w:r w:rsidRPr="00F3476E">
              <w:rPr>
                <w:rFonts w:ascii="Arial Narrow" w:hAnsi="Arial Narrow"/>
                <w:sz w:val="20"/>
                <w:szCs w:val="20"/>
              </w:rPr>
              <w:t xml:space="preserve">Injection site reactions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43 (10.1)</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5 (1.2)</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15 (8.2)</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2 (1.1)</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17 (9.2)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8 (4.3)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 xml:space="preserve">5 (9.8) </w:t>
            </w:r>
          </w:p>
        </w:tc>
        <w:tc>
          <w:tcPr>
            <w:tcW w:w="791" w:type="dxa"/>
            <w:shd w:val="clear" w:color="auto" w:fill="auto"/>
          </w:tcPr>
          <w:p w:rsidR="004E62A9" w:rsidRPr="00F3476E" w:rsidRDefault="004E62A9" w:rsidP="00F3476E">
            <w:pPr>
              <w:widowControl/>
              <w:jc w:val="center"/>
              <w:rPr>
                <w:rFonts w:ascii="Arial Narrow" w:hAnsi="Arial Narrow"/>
                <w:sz w:val="20"/>
                <w:szCs w:val="20"/>
              </w:rPr>
            </w:pPr>
            <w:r w:rsidRPr="00F3476E">
              <w:rPr>
                <w:rFonts w:ascii="Arial Narrow" w:hAnsi="Arial Narrow"/>
                <w:sz w:val="20"/>
                <w:szCs w:val="20"/>
              </w:rPr>
              <w:t>4</w:t>
            </w:r>
            <w:r w:rsidRPr="00F3476E">
              <w:rPr>
                <w:rFonts w:ascii="Arial Narrow" w:hAnsi="Arial Narrow"/>
                <w:sz w:val="20"/>
                <w:szCs w:val="20"/>
                <w:vertAlign w:val="superscript"/>
              </w:rPr>
              <w:t>a</w:t>
            </w:r>
            <w:r w:rsidRPr="00F3476E">
              <w:rPr>
                <w:rFonts w:ascii="Arial Narrow" w:hAnsi="Arial Narrow"/>
                <w:sz w:val="20"/>
                <w:szCs w:val="20"/>
              </w:rPr>
              <w:t xml:space="preserve"> (3.9) </w:t>
            </w:r>
          </w:p>
        </w:tc>
      </w:tr>
    </w:tbl>
    <w:p w:rsidR="00B61F64" w:rsidRPr="00006435" w:rsidRDefault="00B61F64" w:rsidP="002C53C8">
      <w:pPr>
        <w:widowControl/>
        <w:tabs>
          <w:tab w:val="left" w:pos="142"/>
        </w:tabs>
        <w:rPr>
          <w:rFonts w:ascii="Arial Narrow" w:hAnsi="Arial Narrow"/>
          <w:sz w:val="18"/>
          <w:szCs w:val="16"/>
        </w:rPr>
      </w:pPr>
      <w:r w:rsidRPr="00006435">
        <w:rPr>
          <w:rFonts w:ascii="Arial Narrow" w:hAnsi="Arial Narrow"/>
          <w:sz w:val="18"/>
          <w:szCs w:val="16"/>
          <w:vertAlign w:val="superscript"/>
        </w:rPr>
        <w:t>^</w:t>
      </w:r>
      <w:r w:rsidRPr="00006435">
        <w:rPr>
          <w:rFonts w:ascii="Arial Narrow" w:hAnsi="Arial Narrow"/>
          <w:sz w:val="18"/>
          <w:szCs w:val="16"/>
          <w:vertAlign w:val="superscript"/>
        </w:rPr>
        <w:tab/>
      </w:r>
      <w:r w:rsidRPr="00006435">
        <w:rPr>
          <w:rFonts w:ascii="Arial Narrow" w:hAnsi="Arial Narrow"/>
          <w:sz w:val="18"/>
          <w:szCs w:val="16"/>
        </w:rPr>
        <w:t>Safety outcomes in MOBILITY-B included patients enrolled in MOBILITY-A at the relevant doses</w:t>
      </w:r>
    </w:p>
    <w:p w:rsidR="00B61F64" w:rsidRPr="00006435" w:rsidRDefault="00B61F64" w:rsidP="002C53C8">
      <w:pPr>
        <w:widowControl/>
        <w:tabs>
          <w:tab w:val="left" w:pos="142"/>
        </w:tabs>
        <w:rPr>
          <w:rFonts w:ascii="Arial Narrow" w:hAnsi="Arial Narrow"/>
          <w:sz w:val="18"/>
          <w:szCs w:val="16"/>
        </w:rPr>
      </w:pPr>
      <w:r w:rsidRPr="00006435">
        <w:rPr>
          <w:rFonts w:ascii="Arial Narrow" w:hAnsi="Arial Narrow"/>
          <w:sz w:val="18"/>
          <w:szCs w:val="16"/>
          <w:vertAlign w:val="superscript"/>
        </w:rPr>
        <w:t>#</w:t>
      </w:r>
      <w:r w:rsidRPr="00006435">
        <w:rPr>
          <w:rFonts w:ascii="Arial Narrow" w:hAnsi="Arial Narrow"/>
          <w:sz w:val="18"/>
          <w:szCs w:val="16"/>
          <w:vertAlign w:val="superscript"/>
        </w:rPr>
        <w:tab/>
      </w:r>
      <w:r w:rsidRPr="00006435">
        <w:rPr>
          <w:rFonts w:ascii="Arial Narrow" w:hAnsi="Arial Narrow"/>
          <w:sz w:val="18"/>
          <w:szCs w:val="16"/>
        </w:rPr>
        <w:t>Supplementary trial, excluded by the submission given TCZ arm does</w:t>
      </w:r>
      <w:r w:rsidR="00470F25" w:rsidRPr="00006435">
        <w:rPr>
          <w:rFonts w:ascii="Arial Narrow" w:hAnsi="Arial Narrow"/>
          <w:sz w:val="18"/>
          <w:szCs w:val="16"/>
        </w:rPr>
        <w:t>n’t</w:t>
      </w:r>
      <w:r w:rsidRPr="00006435">
        <w:rPr>
          <w:rFonts w:ascii="Arial Narrow" w:hAnsi="Arial Narrow"/>
          <w:sz w:val="18"/>
          <w:szCs w:val="16"/>
        </w:rPr>
        <w:t xml:space="preserve"> use the approved dose</w:t>
      </w:r>
    </w:p>
    <w:p w:rsidR="004E62A9" w:rsidRPr="00006435" w:rsidRDefault="004E62A9" w:rsidP="002C53C8">
      <w:pPr>
        <w:widowControl/>
        <w:tabs>
          <w:tab w:val="left" w:pos="142"/>
        </w:tabs>
        <w:rPr>
          <w:rFonts w:ascii="Arial Narrow" w:hAnsi="Arial Narrow"/>
          <w:sz w:val="18"/>
          <w:szCs w:val="16"/>
        </w:rPr>
      </w:pPr>
      <w:proofErr w:type="gramStart"/>
      <w:r w:rsidRPr="00006435">
        <w:rPr>
          <w:rFonts w:ascii="Arial Narrow" w:hAnsi="Arial Narrow"/>
          <w:sz w:val="18"/>
          <w:szCs w:val="16"/>
          <w:vertAlign w:val="superscript"/>
        </w:rPr>
        <w:t>a</w:t>
      </w:r>
      <w:proofErr w:type="gramEnd"/>
      <w:r w:rsidRPr="00006435">
        <w:rPr>
          <w:rFonts w:ascii="Arial Narrow" w:hAnsi="Arial Narrow"/>
          <w:sz w:val="18"/>
          <w:szCs w:val="16"/>
        </w:rPr>
        <w:tab/>
        <w:t>For SC placebo</w:t>
      </w:r>
    </w:p>
    <w:p w:rsidR="004E62A9" w:rsidRPr="00006435" w:rsidRDefault="004E62A9" w:rsidP="002C53C8">
      <w:pPr>
        <w:widowControl/>
        <w:tabs>
          <w:tab w:val="left" w:pos="142"/>
        </w:tabs>
        <w:rPr>
          <w:rFonts w:ascii="Arial Narrow" w:hAnsi="Arial Narrow"/>
          <w:sz w:val="18"/>
          <w:szCs w:val="16"/>
        </w:rPr>
      </w:pPr>
      <w:r w:rsidRPr="00006435">
        <w:rPr>
          <w:rFonts w:ascii="Arial Narrow" w:hAnsi="Arial Narrow"/>
          <w:sz w:val="18"/>
          <w:szCs w:val="16"/>
        </w:rPr>
        <w:t>Abbreviations: SAR=</w:t>
      </w:r>
      <w:proofErr w:type="spellStart"/>
      <w:r w:rsidRPr="00006435">
        <w:rPr>
          <w:rFonts w:ascii="Arial Narrow" w:hAnsi="Arial Narrow"/>
          <w:sz w:val="18"/>
          <w:szCs w:val="16"/>
        </w:rPr>
        <w:t>sarilumab</w:t>
      </w:r>
      <w:proofErr w:type="spellEnd"/>
      <w:r w:rsidRPr="00006435">
        <w:rPr>
          <w:rFonts w:ascii="Arial Narrow" w:hAnsi="Arial Narrow"/>
          <w:sz w:val="18"/>
          <w:szCs w:val="16"/>
        </w:rPr>
        <w:t>; TCZ=</w:t>
      </w:r>
      <w:proofErr w:type="spellStart"/>
      <w:r w:rsidRPr="00006435">
        <w:rPr>
          <w:rFonts w:ascii="Arial Narrow" w:hAnsi="Arial Narrow"/>
          <w:sz w:val="18"/>
          <w:szCs w:val="16"/>
        </w:rPr>
        <w:t>tocilizumab</w:t>
      </w:r>
      <w:proofErr w:type="spellEnd"/>
      <w:r w:rsidRPr="00006435">
        <w:rPr>
          <w:rFonts w:ascii="Arial Narrow" w:hAnsi="Arial Narrow"/>
          <w:sz w:val="18"/>
          <w:szCs w:val="16"/>
        </w:rPr>
        <w:t>; PBO=placebo</w:t>
      </w:r>
    </w:p>
    <w:p w:rsidR="004E62A9" w:rsidRPr="00006435" w:rsidRDefault="004E62A9" w:rsidP="002C53C8">
      <w:pPr>
        <w:widowControl/>
        <w:tabs>
          <w:tab w:val="left" w:pos="142"/>
        </w:tabs>
        <w:rPr>
          <w:rFonts w:ascii="Arial Narrow" w:hAnsi="Arial Narrow"/>
          <w:sz w:val="18"/>
          <w:szCs w:val="16"/>
        </w:rPr>
      </w:pPr>
      <w:r w:rsidRPr="00006435">
        <w:rPr>
          <w:rFonts w:ascii="Arial Narrow" w:hAnsi="Arial Narrow"/>
          <w:sz w:val="18"/>
          <w:szCs w:val="16"/>
        </w:rPr>
        <w:t>Source: Tables 2.5.19, 2.5.20, 2.5.24, 2.5.25, 2.5.26, 2.5.30, 2.5.31, 2.5.32, 2.5.36, 2.5.37, 2.5.38, 2.5.42, pp158-183 of the submission</w:t>
      </w:r>
    </w:p>
    <w:p w:rsidR="004E62A9" w:rsidRPr="00006435" w:rsidRDefault="004E62A9" w:rsidP="00127F36">
      <w:pPr>
        <w:pStyle w:val="TableFooter"/>
      </w:pPr>
    </w:p>
    <w:p w:rsidR="00310581" w:rsidRPr="00006435" w:rsidRDefault="00310581" w:rsidP="002C53C8">
      <w:pPr>
        <w:pStyle w:val="ListParagraph"/>
        <w:widowControl/>
        <w:numPr>
          <w:ilvl w:val="1"/>
          <w:numId w:val="3"/>
        </w:numPr>
        <w:rPr>
          <w:iCs/>
        </w:rPr>
      </w:pPr>
      <w:r w:rsidRPr="00006435">
        <w:rPr>
          <w:iCs/>
        </w:rPr>
        <w:t>Based on data reported in the extension study EXTEND, there is no evidence to suggest that longer-term cumulative exposure to SAR would lead to adverse events not already identified in clinical trials.</w:t>
      </w:r>
    </w:p>
    <w:p w:rsidR="00B61F64" w:rsidRPr="00006435" w:rsidRDefault="00B61F64" w:rsidP="002C53C8">
      <w:pPr>
        <w:pStyle w:val="ListParagraph"/>
        <w:widowControl/>
        <w:numPr>
          <w:ilvl w:val="1"/>
          <w:numId w:val="3"/>
        </w:numPr>
        <w:rPr>
          <w:iCs/>
        </w:rPr>
      </w:pPr>
      <w:r w:rsidRPr="00006435">
        <w:rPr>
          <w:iCs/>
        </w:rPr>
        <w:t xml:space="preserve">The submission did not undertake an indirect comparison of SAR and TCZ for any safety outcomes.  Given the limited comparable safety data available, drawing any conclusions </w:t>
      </w:r>
      <w:r w:rsidR="00040507" w:rsidRPr="00006435">
        <w:rPr>
          <w:iCs/>
        </w:rPr>
        <w:t>i</w:t>
      </w:r>
      <w:r w:rsidRPr="00006435">
        <w:rPr>
          <w:iCs/>
        </w:rPr>
        <w:t>s difficult</w:t>
      </w:r>
      <w:r w:rsidR="00556C9B" w:rsidRPr="00006435">
        <w:rPr>
          <w:iCs/>
        </w:rPr>
        <w:t>;</w:t>
      </w:r>
      <w:r w:rsidRPr="00006435">
        <w:rPr>
          <w:iCs/>
        </w:rPr>
        <w:t xml:space="preserve"> </w:t>
      </w:r>
      <w:r w:rsidR="00040507" w:rsidRPr="00006435">
        <w:rPr>
          <w:iCs/>
        </w:rPr>
        <w:t>however</w:t>
      </w:r>
      <w:r w:rsidR="00556C9B" w:rsidRPr="00006435">
        <w:rPr>
          <w:iCs/>
        </w:rPr>
        <w:t>,</w:t>
      </w:r>
      <w:r w:rsidR="00040507" w:rsidRPr="00006435">
        <w:rPr>
          <w:iCs/>
        </w:rPr>
        <w:t xml:space="preserve"> the safety profiles of </w:t>
      </w:r>
      <w:r w:rsidRPr="00006435">
        <w:rPr>
          <w:iCs/>
        </w:rPr>
        <w:t>SAR and TCZ</w:t>
      </w:r>
      <w:r w:rsidR="00040507" w:rsidRPr="00006435">
        <w:rPr>
          <w:iCs/>
        </w:rPr>
        <w:t xml:space="preserve"> appeared to be similar</w:t>
      </w:r>
      <w:r w:rsidR="008F6D0E" w:rsidRPr="00006435">
        <w:rPr>
          <w:iCs/>
        </w:rPr>
        <w:t xml:space="preserve">. </w:t>
      </w:r>
      <w:r w:rsidR="00100F04" w:rsidRPr="00006435">
        <w:rPr>
          <w:iCs/>
        </w:rPr>
        <w:t>Based on naïve comparison, t</w:t>
      </w:r>
      <w:r w:rsidRPr="00006435">
        <w:rPr>
          <w:iCs/>
        </w:rPr>
        <w:t xml:space="preserve">here </w:t>
      </w:r>
      <w:r w:rsidR="00310581" w:rsidRPr="00006435">
        <w:rPr>
          <w:iCs/>
        </w:rPr>
        <w:t xml:space="preserve">may be </w:t>
      </w:r>
      <w:r w:rsidR="00745E18" w:rsidRPr="00006435">
        <w:rPr>
          <w:iCs/>
        </w:rPr>
        <w:t xml:space="preserve">a </w:t>
      </w:r>
      <w:r w:rsidR="00100F04" w:rsidRPr="00006435">
        <w:rPr>
          <w:iCs/>
        </w:rPr>
        <w:t>slightly</w:t>
      </w:r>
      <w:r w:rsidRPr="00006435">
        <w:rPr>
          <w:iCs/>
        </w:rPr>
        <w:t xml:space="preserve"> higher incidence of neutropenia associated with SAR compared to TCZ 8mg/kg.</w:t>
      </w:r>
    </w:p>
    <w:p w:rsidR="006860AC" w:rsidRPr="00006435" w:rsidRDefault="006860AC" w:rsidP="002C53C8">
      <w:pPr>
        <w:pStyle w:val="ListParagraph"/>
        <w:widowControl/>
        <w:numPr>
          <w:ilvl w:val="1"/>
          <w:numId w:val="3"/>
        </w:numPr>
        <w:rPr>
          <w:iCs/>
        </w:rPr>
      </w:pPr>
      <w:r w:rsidRPr="00006435">
        <w:rPr>
          <w:iCs/>
        </w:rPr>
        <w:t>The ESC considered</w:t>
      </w:r>
      <w:r w:rsidR="002B20C7" w:rsidRPr="00006435">
        <w:rPr>
          <w:iCs/>
        </w:rPr>
        <w:t xml:space="preserve"> </w:t>
      </w:r>
      <w:r w:rsidRPr="00006435">
        <w:rPr>
          <w:iCs/>
        </w:rPr>
        <w:t xml:space="preserve">the overall safety profiles of </w:t>
      </w:r>
      <w:r w:rsidR="00D044B4" w:rsidRPr="00006435">
        <w:rPr>
          <w:iCs/>
        </w:rPr>
        <w:t xml:space="preserve">SAR </w:t>
      </w:r>
      <w:r w:rsidRPr="00006435">
        <w:rPr>
          <w:iCs/>
        </w:rPr>
        <w:t xml:space="preserve">and </w:t>
      </w:r>
      <w:r w:rsidR="00D044B4" w:rsidRPr="00006435">
        <w:rPr>
          <w:iCs/>
        </w:rPr>
        <w:t xml:space="preserve">TCZ </w:t>
      </w:r>
      <w:r w:rsidRPr="00006435">
        <w:rPr>
          <w:iCs/>
        </w:rPr>
        <w:t>were comparable and consistent with the established profile for IL-6 inhibitors.</w:t>
      </w:r>
      <w:r w:rsidR="002B20C7" w:rsidRPr="00006435">
        <w:rPr>
          <w:iCs/>
        </w:rPr>
        <w:t xml:space="preserve"> </w:t>
      </w:r>
    </w:p>
    <w:p w:rsidR="00B60939" w:rsidRPr="00006435" w:rsidRDefault="00B60939" w:rsidP="00127F36">
      <w:pPr>
        <w:pStyle w:val="Heading2"/>
      </w:pPr>
      <w:bookmarkStart w:id="10" w:name="_Toc524441618"/>
      <w:r w:rsidRPr="00006435">
        <w:t>Clinical claim</w:t>
      </w:r>
      <w:bookmarkEnd w:id="10"/>
    </w:p>
    <w:p w:rsidR="006860AC" w:rsidRPr="00006435" w:rsidRDefault="00310581" w:rsidP="00B74807">
      <w:pPr>
        <w:pStyle w:val="ListParagraph"/>
        <w:widowControl/>
        <w:numPr>
          <w:ilvl w:val="1"/>
          <w:numId w:val="3"/>
        </w:numPr>
      </w:pPr>
      <w:r w:rsidRPr="00006435">
        <w:t xml:space="preserve">The submission described SAR as non-inferior in terms of effectiveness and safety compared with TCZ.  </w:t>
      </w:r>
      <w:r w:rsidR="00BD1EF7" w:rsidRPr="00006435">
        <w:t xml:space="preserve">The ESC </w:t>
      </w:r>
      <w:r w:rsidR="00D044B4" w:rsidRPr="00006435">
        <w:t xml:space="preserve">considered </w:t>
      </w:r>
      <w:r w:rsidR="00BD1EF7" w:rsidRPr="00006435">
        <w:t xml:space="preserve">that </w:t>
      </w:r>
      <w:r w:rsidR="00BD1EF7" w:rsidRPr="00006435">
        <w:rPr>
          <w:iCs/>
        </w:rPr>
        <w:t>t</w:t>
      </w:r>
      <w:r w:rsidRPr="00006435">
        <w:rPr>
          <w:iCs/>
        </w:rPr>
        <w:t>he evidence presented in the submission reasonably supported the</w:t>
      </w:r>
      <w:r w:rsidR="00BA50C0" w:rsidRPr="00006435">
        <w:rPr>
          <w:iCs/>
        </w:rPr>
        <w:t xml:space="preserve"> clinical</w:t>
      </w:r>
      <w:r w:rsidRPr="00006435">
        <w:rPr>
          <w:iCs/>
        </w:rPr>
        <w:t xml:space="preserve"> claim.  While the majority of the evidence presented in the submission compared ACR response between SAR 200mg q2w and TCZ IV 8mg/kg q4w, the PBAC has previously accepted that TCZ SC 162mg </w:t>
      </w:r>
      <w:proofErr w:type="spellStart"/>
      <w:r w:rsidRPr="00006435">
        <w:rPr>
          <w:iCs/>
        </w:rPr>
        <w:t>qw</w:t>
      </w:r>
      <w:proofErr w:type="spellEnd"/>
      <w:r w:rsidRPr="00006435">
        <w:rPr>
          <w:iCs/>
        </w:rPr>
        <w:t xml:space="preserve"> is equivalent to TCZ IV 8mg/kg q4w.  </w:t>
      </w:r>
      <w:r w:rsidR="00BD1EF7" w:rsidRPr="00006435">
        <w:t xml:space="preserve">The ESC </w:t>
      </w:r>
      <w:r w:rsidR="00D044B4" w:rsidRPr="00006435">
        <w:t xml:space="preserve">considered </w:t>
      </w:r>
      <w:r w:rsidR="00BD1EF7" w:rsidRPr="00006435">
        <w:t xml:space="preserve">that </w:t>
      </w:r>
      <w:r w:rsidR="00BD1EF7" w:rsidRPr="00006435">
        <w:rPr>
          <w:iCs/>
        </w:rPr>
        <w:t>t</w:t>
      </w:r>
      <w:r w:rsidRPr="00006435">
        <w:rPr>
          <w:iCs/>
        </w:rPr>
        <w:t xml:space="preserve">he evidence also supported non-inferiority between SAR and TCZ </w:t>
      </w:r>
      <w:r w:rsidR="00B76204" w:rsidRPr="00006435">
        <w:rPr>
          <w:iCs/>
        </w:rPr>
        <w:t xml:space="preserve">over 24 weeks </w:t>
      </w:r>
      <w:r w:rsidRPr="00006435">
        <w:rPr>
          <w:iCs/>
        </w:rPr>
        <w:t>when given at the reduced dosages (SAR 150mg q2w, TCZ IV 4mg/kg q4w, and TCZ SC 162mg q2w).</w:t>
      </w:r>
      <w:r w:rsidR="00BA50C0" w:rsidRPr="00006435">
        <w:rPr>
          <w:iCs/>
        </w:rPr>
        <w:t xml:space="preserve">  </w:t>
      </w:r>
      <w:r w:rsidR="00EE0DBF" w:rsidRPr="00006435">
        <w:rPr>
          <w:iCs/>
        </w:rPr>
        <w:lastRenderedPageBreak/>
        <w:t>Although formal comparison</w:t>
      </w:r>
      <w:r w:rsidR="00D96AC3" w:rsidRPr="00006435">
        <w:rPr>
          <w:iCs/>
        </w:rPr>
        <w:t>s</w:t>
      </w:r>
      <w:r w:rsidR="00EE0DBF" w:rsidRPr="00006435">
        <w:rPr>
          <w:iCs/>
        </w:rPr>
        <w:t xml:space="preserve"> of safety outcomes were not presented</w:t>
      </w:r>
      <w:r w:rsidR="004B3F9F" w:rsidRPr="00006435">
        <w:rPr>
          <w:iCs/>
        </w:rPr>
        <w:t>,</w:t>
      </w:r>
      <w:r w:rsidR="00EE0DBF" w:rsidRPr="00006435">
        <w:rPr>
          <w:iCs/>
        </w:rPr>
        <w:t xml:space="preserve"> overall the rates of adverse events appeared to be generally similar for SAR and TCZ.</w:t>
      </w:r>
      <w:r w:rsidR="006119EE" w:rsidRPr="00006435">
        <w:rPr>
          <w:iCs/>
        </w:rPr>
        <w:t xml:space="preserve"> </w:t>
      </w:r>
      <w:r w:rsidR="00B74807" w:rsidRPr="00006435">
        <w:rPr>
          <w:iCs/>
        </w:rPr>
        <w:t xml:space="preserve">The ESC also considered that SAR was likely to be non-inferior to the other </w:t>
      </w:r>
      <w:proofErr w:type="spellStart"/>
      <w:r w:rsidR="00B74807" w:rsidRPr="00006435">
        <w:rPr>
          <w:iCs/>
        </w:rPr>
        <w:t>bDMARDs</w:t>
      </w:r>
      <w:proofErr w:type="spellEnd"/>
      <w:r w:rsidR="00B74807" w:rsidRPr="00006435">
        <w:rPr>
          <w:iCs/>
        </w:rPr>
        <w:t xml:space="preserve"> PBS listed for the treatment of RA.</w:t>
      </w:r>
    </w:p>
    <w:p w:rsidR="00305817" w:rsidRPr="00006435" w:rsidRDefault="00305817" w:rsidP="002C53C8">
      <w:pPr>
        <w:pStyle w:val="ListParagraph"/>
        <w:widowControl/>
        <w:numPr>
          <w:ilvl w:val="1"/>
          <w:numId w:val="3"/>
        </w:numPr>
      </w:pPr>
      <w:r w:rsidRPr="00006435">
        <w:rPr>
          <w:iCs/>
        </w:rPr>
        <w:t xml:space="preserve">The submission did not present any data that indicated SAR could be considered superior in terms of efficacy or safety to any of the other </w:t>
      </w:r>
      <w:proofErr w:type="spellStart"/>
      <w:r w:rsidRPr="00006435">
        <w:rPr>
          <w:iCs/>
        </w:rPr>
        <w:t>bDMARDs</w:t>
      </w:r>
      <w:proofErr w:type="spellEnd"/>
      <w:r w:rsidRPr="00006435">
        <w:rPr>
          <w:iCs/>
        </w:rPr>
        <w:t xml:space="preserve"> available for the treatment of severe RA.</w:t>
      </w:r>
    </w:p>
    <w:p w:rsidR="00AE70F2" w:rsidRPr="00F3476E" w:rsidRDefault="00AE70F2" w:rsidP="00AE70F2">
      <w:pPr>
        <w:pStyle w:val="ListParagraph"/>
        <w:widowControl/>
        <w:numPr>
          <w:ilvl w:val="1"/>
          <w:numId w:val="3"/>
        </w:numPr>
        <w:spacing w:after="120"/>
        <w:ind w:left="810" w:hanging="810"/>
        <w:rPr>
          <w:szCs w:val="20"/>
        </w:rPr>
      </w:pPr>
      <w:r w:rsidRPr="00F3476E">
        <w:rPr>
          <w:szCs w:val="20"/>
        </w:rPr>
        <w:t>The PBAC considered that the claim of non-inferior comparative effectiveness</w:t>
      </w:r>
      <w:r w:rsidR="00F914F3" w:rsidRPr="00F3476E">
        <w:rPr>
          <w:szCs w:val="20"/>
        </w:rPr>
        <w:t xml:space="preserve"> with </w:t>
      </w:r>
      <w:proofErr w:type="spellStart"/>
      <w:r w:rsidR="00F914F3" w:rsidRPr="00F3476E">
        <w:rPr>
          <w:szCs w:val="20"/>
        </w:rPr>
        <w:t>tocilizumab</w:t>
      </w:r>
      <w:proofErr w:type="spellEnd"/>
      <w:r w:rsidR="00F914F3" w:rsidRPr="00F3476E">
        <w:rPr>
          <w:szCs w:val="20"/>
        </w:rPr>
        <w:t xml:space="preserve"> </w:t>
      </w:r>
      <w:r w:rsidR="00E667BB" w:rsidRPr="00F3476E">
        <w:rPr>
          <w:szCs w:val="20"/>
        </w:rPr>
        <w:t>(</w:t>
      </w:r>
      <w:r w:rsidR="00F914F3" w:rsidRPr="00F3476E">
        <w:rPr>
          <w:szCs w:val="20"/>
        </w:rPr>
        <w:t xml:space="preserve">and the other </w:t>
      </w:r>
      <w:proofErr w:type="spellStart"/>
      <w:r w:rsidR="00F914F3" w:rsidRPr="00F3476E">
        <w:rPr>
          <w:szCs w:val="20"/>
        </w:rPr>
        <w:t>bDMARDs</w:t>
      </w:r>
      <w:proofErr w:type="spellEnd"/>
      <w:r w:rsidR="00F914F3" w:rsidRPr="00F3476E">
        <w:rPr>
          <w:szCs w:val="20"/>
        </w:rPr>
        <w:t xml:space="preserve"> listed for RA</w:t>
      </w:r>
      <w:r w:rsidR="00E667BB" w:rsidRPr="00F3476E">
        <w:rPr>
          <w:szCs w:val="20"/>
        </w:rPr>
        <w:t>)</w:t>
      </w:r>
      <w:r w:rsidRPr="00F3476E">
        <w:rPr>
          <w:szCs w:val="20"/>
        </w:rPr>
        <w:t xml:space="preserve"> was reasonable.</w:t>
      </w:r>
    </w:p>
    <w:p w:rsidR="00AE70F2" w:rsidRPr="00F3476E" w:rsidRDefault="00AE70F2" w:rsidP="00AE70F2">
      <w:pPr>
        <w:pStyle w:val="ListParagraph"/>
        <w:widowControl/>
        <w:numPr>
          <w:ilvl w:val="1"/>
          <w:numId w:val="3"/>
        </w:numPr>
        <w:spacing w:after="120"/>
        <w:ind w:left="810" w:hanging="810"/>
        <w:rPr>
          <w:szCs w:val="20"/>
        </w:rPr>
      </w:pPr>
      <w:r w:rsidRPr="00F3476E">
        <w:rPr>
          <w:szCs w:val="20"/>
        </w:rPr>
        <w:t>The PBAC considered that the claim of non-inferior comparative safety</w:t>
      </w:r>
      <w:r w:rsidR="00F914F3" w:rsidRPr="00F3476E">
        <w:rPr>
          <w:szCs w:val="20"/>
        </w:rPr>
        <w:t xml:space="preserve"> with </w:t>
      </w:r>
      <w:proofErr w:type="spellStart"/>
      <w:r w:rsidR="00F914F3" w:rsidRPr="00F3476E">
        <w:rPr>
          <w:szCs w:val="20"/>
        </w:rPr>
        <w:t>tocilizumab</w:t>
      </w:r>
      <w:proofErr w:type="spellEnd"/>
      <w:r w:rsidRPr="00F3476E">
        <w:rPr>
          <w:szCs w:val="20"/>
        </w:rPr>
        <w:t xml:space="preserve"> was reasonable.</w:t>
      </w:r>
    </w:p>
    <w:p w:rsidR="00B60939" w:rsidRPr="00006435" w:rsidRDefault="00B60939" w:rsidP="00127F36">
      <w:pPr>
        <w:pStyle w:val="Heading2"/>
      </w:pPr>
      <w:bookmarkStart w:id="11" w:name="_Toc524441619"/>
      <w:r w:rsidRPr="00006435">
        <w:t>Economic analysis</w:t>
      </w:r>
      <w:bookmarkEnd w:id="11"/>
      <w:r w:rsidR="00491B3A" w:rsidRPr="00006435">
        <w:t xml:space="preserve"> </w:t>
      </w:r>
    </w:p>
    <w:p w:rsidR="000D7F8C" w:rsidRPr="00006435" w:rsidRDefault="00E940DA" w:rsidP="002C53C8">
      <w:pPr>
        <w:pStyle w:val="ListParagraph"/>
        <w:widowControl/>
        <w:numPr>
          <w:ilvl w:val="1"/>
          <w:numId w:val="3"/>
        </w:numPr>
      </w:pPr>
      <w:r w:rsidRPr="00006435">
        <w:rPr>
          <w:rFonts w:cs="Calibri"/>
          <w:snapToGrid/>
          <w:szCs w:val="24"/>
          <w:lang w:eastAsia="en-AU"/>
        </w:rPr>
        <w:t>The submission presented a</w:t>
      </w:r>
      <w:r w:rsidR="00FD7C17" w:rsidRPr="00006435">
        <w:rPr>
          <w:rFonts w:cs="Calibri"/>
          <w:snapToGrid/>
          <w:szCs w:val="24"/>
          <w:lang w:eastAsia="en-AU"/>
        </w:rPr>
        <w:t xml:space="preserve"> cost-minimisation analysis </w:t>
      </w:r>
      <w:r w:rsidRPr="00006435">
        <w:rPr>
          <w:rFonts w:cs="Calibri"/>
          <w:snapToGrid/>
          <w:szCs w:val="24"/>
          <w:lang w:eastAsia="en-AU"/>
        </w:rPr>
        <w:t xml:space="preserve">between SAR </w:t>
      </w:r>
      <w:r w:rsidR="0053752C" w:rsidRPr="00006435">
        <w:rPr>
          <w:rFonts w:cs="Calibri"/>
          <w:snapToGrid/>
          <w:szCs w:val="24"/>
          <w:lang w:eastAsia="en-AU"/>
        </w:rPr>
        <w:t xml:space="preserve">200mg </w:t>
      </w:r>
      <w:r w:rsidRPr="00006435">
        <w:rPr>
          <w:rFonts w:cs="Calibri"/>
          <w:snapToGrid/>
          <w:szCs w:val="24"/>
          <w:lang w:eastAsia="en-AU"/>
        </w:rPr>
        <w:t>and TCZ SC</w:t>
      </w:r>
      <w:r w:rsidR="0053752C" w:rsidRPr="00006435">
        <w:rPr>
          <w:rFonts w:cs="Calibri"/>
          <w:snapToGrid/>
          <w:szCs w:val="24"/>
          <w:lang w:eastAsia="en-AU"/>
        </w:rPr>
        <w:t xml:space="preserve"> 162mg</w:t>
      </w:r>
      <w:r w:rsidR="0018700B" w:rsidRPr="00006435">
        <w:rPr>
          <w:rFonts w:cs="Calibri"/>
          <w:snapToGrid/>
          <w:szCs w:val="24"/>
          <w:lang w:eastAsia="en-AU"/>
        </w:rPr>
        <w:t>, based on the published ex-man</w:t>
      </w:r>
      <w:r w:rsidR="002B20C7" w:rsidRPr="00006435">
        <w:rPr>
          <w:rFonts w:cs="Calibri"/>
          <w:snapToGrid/>
          <w:szCs w:val="24"/>
          <w:lang w:eastAsia="en-AU"/>
        </w:rPr>
        <w:t>ufacturer</w:t>
      </w:r>
      <w:r w:rsidR="0018700B" w:rsidRPr="00006435">
        <w:rPr>
          <w:rFonts w:cs="Calibri"/>
          <w:snapToGrid/>
          <w:szCs w:val="24"/>
          <w:lang w:eastAsia="en-AU"/>
        </w:rPr>
        <w:t xml:space="preserve"> price over 52 weeks</w:t>
      </w:r>
      <w:r w:rsidR="000D7F8C" w:rsidRPr="00006435">
        <w:rPr>
          <w:rFonts w:cs="Calibri"/>
          <w:snapToGrid/>
          <w:szCs w:val="24"/>
          <w:lang w:eastAsia="en-AU"/>
        </w:rPr>
        <w:t>.  The equi</w:t>
      </w:r>
      <w:r w:rsidR="000D7F8C" w:rsidRPr="00006435">
        <w:rPr>
          <w:rFonts w:cs="Calibri"/>
          <w:snapToGrid/>
          <w:szCs w:val="24"/>
          <w:lang w:eastAsia="en-AU"/>
        </w:rPr>
        <w:noBreakHyphen/>
      </w:r>
      <w:r w:rsidR="0053752C" w:rsidRPr="00006435">
        <w:rPr>
          <w:rFonts w:cs="Calibri"/>
          <w:snapToGrid/>
          <w:szCs w:val="24"/>
          <w:lang w:eastAsia="en-AU"/>
        </w:rPr>
        <w:t>effective doses we</w:t>
      </w:r>
      <w:r w:rsidRPr="00006435">
        <w:rPr>
          <w:rFonts w:cs="Calibri"/>
          <w:snapToGrid/>
          <w:szCs w:val="24"/>
          <w:lang w:eastAsia="en-AU"/>
        </w:rPr>
        <w:t xml:space="preserve">re based on the recommended doses (without dose reduction for adverse events): </w:t>
      </w:r>
      <w:r w:rsidRPr="00006435">
        <w:t xml:space="preserve">SAR 200mg q2w = TCZ SC 162mg </w:t>
      </w:r>
      <w:proofErr w:type="spellStart"/>
      <w:r w:rsidRPr="00006435">
        <w:t>qw</w:t>
      </w:r>
      <w:proofErr w:type="spellEnd"/>
      <w:r w:rsidRPr="00006435">
        <w:t>.</w:t>
      </w:r>
      <w:r w:rsidR="0018700B" w:rsidRPr="00006435">
        <w:t xml:space="preserve">  </w:t>
      </w:r>
    </w:p>
    <w:p w:rsidR="00EE0DBF" w:rsidRPr="00006435" w:rsidRDefault="00EE0DBF" w:rsidP="002C53C8">
      <w:pPr>
        <w:pStyle w:val="ListParagraph"/>
        <w:widowControl/>
        <w:numPr>
          <w:ilvl w:val="1"/>
          <w:numId w:val="3"/>
        </w:numPr>
      </w:pPr>
      <w:r w:rsidRPr="00006435">
        <w:rPr>
          <w:iCs/>
        </w:rPr>
        <w:t xml:space="preserve">The cost-minimisation analysis to TCZ did not take into account </w:t>
      </w:r>
      <w:r w:rsidR="00D96AC3" w:rsidRPr="00006435">
        <w:rPr>
          <w:iCs/>
        </w:rPr>
        <w:t>the differential dosing regimen</w:t>
      </w:r>
      <w:r w:rsidRPr="00006435">
        <w:rPr>
          <w:iCs/>
        </w:rPr>
        <w:t xml:space="preserve">s </w:t>
      </w:r>
      <w:r w:rsidR="00E41B1A" w:rsidRPr="00006435">
        <w:rPr>
          <w:iCs/>
        </w:rPr>
        <w:t xml:space="preserve">recommended </w:t>
      </w:r>
      <w:r w:rsidR="00D96AC3" w:rsidRPr="00006435">
        <w:rPr>
          <w:iCs/>
        </w:rPr>
        <w:t xml:space="preserve">in the PI </w:t>
      </w:r>
      <w:r w:rsidRPr="00006435">
        <w:rPr>
          <w:iCs/>
        </w:rPr>
        <w:t xml:space="preserve">for management of adverse events for TCZ or SAR.  </w:t>
      </w:r>
      <w:r w:rsidR="00B74807" w:rsidRPr="00006435">
        <w:rPr>
          <w:iCs/>
        </w:rPr>
        <w:t xml:space="preserve">At the reduced doses for management of adverse events the strength of TCZ SC remains the same but the frequency is reduced, whereas the strength of SAR is reduced but the frequency remains the same. </w:t>
      </w:r>
      <w:r w:rsidR="000B7441" w:rsidRPr="00006435">
        <w:rPr>
          <w:iCs/>
        </w:rPr>
        <w:t>As a result</w:t>
      </w:r>
      <w:r w:rsidR="000B7C9D" w:rsidRPr="00006435">
        <w:rPr>
          <w:iCs/>
        </w:rPr>
        <w:t>, t</w:t>
      </w:r>
      <w:r w:rsidRPr="00006435">
        <w:rPr>
          <w:iCs/>
        </w:rPr>
        <w:t xml:space="preserve">he proposed price equivalence between the SAR 150mg and SAR 200mg formulations would result in a significant price advantage (double the cost) for SAR compared to TCZ at the reduced dosages for the management of adverse events. </w:t>
      </w:r>
      <w:r w:rsidR="00E41B1A" w:rsidRPr="00006435">
        <w:rPr>
          <w:iCs/>
        </w:rPr>
        <w:t xml:space="preserve"> </w:t>
      </w:r>
    </w:p>
    <w:p w:rsidR="00E11FB3" w:rsidRPr="00006435" w:rsidRDefault="00295B9F" w:rsidP="002C53C8">
      <w:pPr>
        <w:pStyle w:val="ListParagraph"/>
        <w:widowControl/>
        <w:numPr>
          <w:ilvl w:val="1"/>
          <w:numId w:val="3"/>
        </w:numPr>
      </w:pPr>
      <w:bookmarkStart w:id="12" w:name="_Toc524441620"/>
      <w:r w:rsidRPr="00006435">
        <w:rPr>
          <w:iCs/>
        </w:rPr>
        <w:t>The PSCR</w:t>
      </w:r>
      <w:r w:rsidR="007522EE" w:rsidRPr="00006435">
        <w:rPr>
          <w:iCs/>
        </w:rPr>
        <w:t xml:space="preserve"> </w:t>
      </w:r>
      <w:r w:rsidRPr="00006435">
        <w:rPr>
          <w:iCs/>
        </w:rPr>
        <w:t xml:space="preserve">argued the 150 mg strength of </w:t>
      </w:r>
      <w:r w:rsidR="00D1019E" w:rsidRPr="00006435">
        <w:rPr>
          <w:iCs/>
        </w:rPr>
        <w:t>SAR</w:t>
      </w:r>
      <w:r w:rsidRPr="00006435">
        <w:rPr>
          <w:iCs/>
        </w:rPr>
        <w:t xml:space="preserve"> should not be listed at a lower price t</w:t>
      </w:r>
      <w:r w:rsidR="00D1019E" w:rsidRPr="00006435">
        <w:rPr>
          <w:iCs/>
        </w:rPr>
        <w:t>han</w:t>
      </w:r>
      <w:r w:rsidRPr="00006435">
        <w:rPr>
          <w:iCs/>
        </w:rPr>
        <w:t xml:space="preserve"> the standard 200 mg </w:t>
      </w:r>
      <w:r w:rsidR="00D1019E" w:rsidRPr="00006435">
        <w:rPr>
          <w:iCs/>
        </w:rPr>
        <w:t>SAR</w:t>
      </w:r>
      <w:r w:rsidRPr="00006435">
        <w:rPr>
          <w:iCs/>
        </w:rPr>
        <w:t xml:space="preserve"> injection</w:t>
      </w:r>
      <w:r w:rsidR="00E11FB3" w:rsidRPr="00006435">
        <w:rPr>
          <w:iCs/>
        </w:rPr>
        <w:t xml:space="preserve"> for the following reasons:</w:t>
      </w:r>
    </w:p>
    <w:p w:rsidR="00E11FB3" w:rsidRPr="00006435" w:rsidRDefault="00E11FB3" w:rsidP="00CE47CC">
      <w:pPr>
        <w:pStyle w:val="ListParagraph"/>
        <w:widowControl/>
        <w:numPr>
          <w:ilvl w:val="0"/>
          <w:numId w:val="35"/>
        </w:numPr>
        <w:ind w:left="1077" w:hanging="357"/>
      </w:pPr>
      <w:r w:rsidRPr="00F3476E">
        <w:rPr>
          <w:rFonts w:cs="Calibri"/>
          <w:iCs/>
          <w:szCs w:val="24"/>
        </w:rPr>
        <w:t xml:space="preserve">evidence from the EXTEND study demonstrated that for patients receiving </w:t>
      </w:r>
      <w:r w:rsidRPr="00F3476E">
        <w:rPr>
          <w:rFonts w:cs="Calibri"/>
          <w:snapToGrid/>
          <w:szCs w:val="24"/>
          <w:lang w:eastAsia="en-AU"/>
        </w:rPr>
        <w:t>treatment with and responding to the 200mgQ2W and who require a reduction in dose to 150mg Q2W, clinical efficacy in terms of ACR response and</w:t>
      </w:r>
      <w:r w:rsidR="000D7F8C" w:rsidRPr="00F3476E">
        <w:rPr>
          <w:rFonts w:cs="Calibri"/>
          <w:snapToGrid/>
          <w:szCs w:val="24"/>
          <w:lang w:eastAsia="en-AU"/>
        </w:rPr>
        <w:t xml:space="preserve"> </w:t>
      </w:r>
      <w:r w:rsidRPr="00F3476E">
        <w:rPr>
          <w:rFonts w:cs="Calibri"/>
          <w:snapToGrid/>
          <w:szCs w:val="24"/>
          <w:lang w:eastAsia="en-AU"/>
        </w:rPr>
        <w:t xml:space="preserve">improvements in </w:t>
      </w:r>
      <w:r w:rsidR="000D7F8C" w:rsidRPr="00F3476E">
        <w:rPr>
          <w:rFonts w:cs="Calibri"/>
          <w:snapToGrid/>
          <w:szCs w:val="24"/>
          <w:lang w:eastAsia="en-AU"/>
        </w:rPr>
        <w:t xml:space="preserve">quality of life </w:t>
      </w:r>
      <w:r w:rsidRPr="00F3476E">
        <w:rPr>
          <w:rFonts w:cs="Calibri"/>
          <w:snapToGrid/>
          <w:szCs w:val="24"/>
          <w:lang w:eastAsia="en-AU"/>
        </w:rPr>
        <w:t>are maintained for up to 1.5 years of follow up after dose reduction; and</w:t>
      </w:r>
    </w:p>
    <w:p w:rsidR="00E11FB3" w:rsidRPr="00006435" w:rsidRDefault="00295B9F" w:rsidP="00CE47CC">
      <w:pPr>
        <w:pStyle w:val="ListParagraph"/>
        <w:widowControl/>
        <w:numPr>
          <w:ilvl w:val="0"/>
          <w:numId w:val="35"/>
        </w:numPr>
        <w:ind w:left="1077" w:hanging="357"/>
      </w:pPr>
      <w:proofErr w:type="gramStart"/>
      <w:r w:rsidRPr="00006435">
        <w:rPr>
          <w:iCs/>
        </w:rPr>
        <w:t>the</w:t>
      </w:r>
      <w:proofErr w:type="gramEnd"/>
      <w:r w:rsidRPr="00006435">
        <w:rPr>
          <w:iCs/>
        </w:rPr>
        <w:t xml:space="preserve"> likelihood of relatively short time to resolution of adverse events (</w:t>
      </w:r>
      <w:r w:rsidR="00E11FB3" w:rsidRPr="00006435">
        <w:rPr>
          <w:iCs/>
        </w:rPr>
        <w:t xml:space="preserve">and </w:t>
      </w:r>
      <w:r w:rsidRPr="00006435">
        <w:rPr>
          <w:iCs/>
        </w:rPr>
        <w:t xml:space="preserve">therefore </w:t>
      </w:r>
      <w:r w:rsidR="00E11FB3" w:rsidRPr="00006435">
        <w:rPr>
          <w:iCs/>
        </w:rPr>
        <w:t xml:space="preserve">a </w:t>
      </w:r>
      <w:r w:rsidRPr="00006435">
        <w:rPr>
          <w:iCs/>
        </w:rPr>
        <w:t>limited time on the 150 mg dose).</w:t>
      </w:r>
    </w:p>
    <w:p w:rsidR="00E11FB3" w:rsidRPr="00006435" w:rsidRDefault="00E11FB3" w:rsidP="002C53C8">
      <w:pPr>
        <w:pStyle w:val="ListParagraph"/>
        <w:widowControl/>
        <w:numPr>
          <w:ilvl w:val="1"/>
          <w:numId w:val="3"/>
        </w:numPr>
        <w:rPr>
          <w:iCs/>
        </w:rPr>
      </w:pPr>
      <w:r w:rsidRPr="00006435">
        <w:rPr>
          <w:iCs/>
        </w:rPr>
        <w:t xml:space="preserve">The PSCR also stated that the cost per dose for a patient receiving a reduced dose of </w:t>
      </w:r>
      <w:proofErr w:type="spellStart"/>
      <w:r w:rsidRPr="00006435">
        <w:rPr>
          <w:iCs/>
        </w:rPr>
        <w:t>tocilizumab</w:t>
      </w:r>
      <w:proofErr w:type="spellEnd"/>
      <w:r w:rsidRPr="00006435">
        <w:rPr>
          <w:iCs/>
        </w:rPr>
        <w:t xml:space="preserve"> is related to pack size and that based on the information available in the Public Summary Documents for </w:t>
      </w:r>
      <w:proofErr w:type="spellStart"/>
      <w:r w:rsidRPr="00006435">
        <w:rPr>
          <w:iCs/>
        </w:rPr>
        <w:t>tocilizumab</w:t>
      </w:r>
      <w:proofErr w:type="spellEnd"/>
      <w:r w:rsidRPr="00006435">
        <w:rPr>
          <w:iCs/>
        </w:rPr>
        <w:t xml:space="preserve"> “the Sponsor has never specifically requested reimbursement of the reduced dose of </w:t>
      </w:r>
      <w:proofErr w:type="spellStart"/>
      <w:r w:rsidRPr="00006435">
        <w:rPr>
          <w:iCs/>
        </w:rPr>
        <w:t>tocilizumab</w:t>
      </w:r>
      <w:proofErr w:type="spellEnd"/>
      <w:r w:rsidRPr="00006435">
        <w:rPr>
          <w:iCs/>
        </w:rPr>
        <w:t xml:space="preserve"> in response to AEs, and </w:t>
      </w:r>
      <w:r w:rsidRPr="00006435">
        <w:rPr>
          <w:iCs/>
        </w:rPr>
        <w:lastRenderedPageBreak/>
        <w:t>therefore the appropriate cost-minimised price of this reduced dose has never been determined.”</w:t>
      </w:r>
    </w:p>
    <w:p w:rsidR="005E5731" w:rsidRPr="00006435" w:rsidRDefault="00295B9F" w:rsidP="002C53C8">
      <w:pPr>
        <w:pStyle w:val="ListParagraph"/>
        <w:widowControl/>
        <w:numPr>
          <w:ilvl w:val="1"/>
          <w:numId w:val="3"/>
        </w:numPr>
        <w:rPr>
          <w:iCs/>
        </w:rPr>
      </w:pPr>
      <w:r w:rsidRPr="00006435">
        <w:rPr>
          <w:iCs/>
        </w:rPr>
        <w:t>The ESC consider</w:t>
      </w:r>
      <w:r w:rsidR="005E5731" w:rsidRPr="00006435">
        <w:rPr>
          <w:iCs/>
        </w:rPr>
        <w:t>ed</w:t>
      </w:r>
      <w:r w:rsidRPr="00006435">
        <w:rPr>
          <w:iCs/>
        </w:rPr>
        <w:t xml:space="preserve"> that</w:t>
      </w:r>
      <w:r w:rsidR="005E5731" w:rsidRPr="00006435">
        <w:rPr>
          <w:iCs/>
        </w:rPr>
        <w:t xml:space="preserve"> the proposed price equivalence between the SAR 150mg and SAR 200mg formulations</w:t>
      </w:r>
      <w:r w:rsidR="00B74807" w:rsidRPr="00006435">
        <w:rPr>
          <w:iCs/>
        </w:rPr>
        <w:t xml:space="preserve"> may not be appropriate.</w:t>
      </w:r>
    </w:p>
    <w:p w:rsidR="002B20C7" w:rsidRPr="00006435" w:rsidRDefault="002B20C7" w:rsidP="002C53C8">
      <w:pPr>
        <w:pStyle w:val="ListParagraph"/>
        <w:widowControl/>
        <w:numPr>
          <w:ilvl w:val="1"/>
          <w:numId w:val="3"/>
        </w:numPr>
        <w:rPr>
          <w:iCs/>
        </w:rPr>
      </w:pPr>
      <w:r w:rsidRPr="00006435">
        <w:rPr>
          <w:iCs/>
        </w:rPr>
        <w:t xml:space="preserve">The pre-PBAC response reiterated the price of the 150mg and 200mg presentations should be equivalent because they provide the same clinical outcome. </w:t>
      </w:r>
    </w:p>
    <w:p w:rsidR="00B74807" w:rsidRPr="00006435" w:rsidRDefault="00B74807" w:rsidP="00B74807">
      <w:pPr>
        <w:pStyle w:val="ListParagraph"/>
        <w:widowControl/>
        <w:numPr>
          <w:ilvl w:val="1"/>
          <w:numId w:val="3"/>
        </w:numPr>
      </w:pPr>
      <w:r w:rsidRPr="00006435">
        <w:rPr>
          <w:iCs/>
        </w:rPr>
        <w:t xml:space="preserve">On the basis that non-inferiority to TCZ is accepted, a cost-minimisation approach is appropriate.  However, as the submission did not present any data that indicated SAR could be considered superior in terms of efficacy or safety to TCZ or any of the other </w:t>
      </w:r>
      <w:proofErr w:type="spellStart"/>
      <w:r w:rsidRPr="00006435">
        <w:rPr>
          <w:iCs/>
        </w:rPr>
        <w:t>bDMARDs</w:t>
      </w:r>
      <w:proofErr w:type="spellEnd"/>
      <w:r w:rsidRPr="00006435">
        <w:rPr>
          <w:iCs/>
        </w:rPr>
        <w:t xml:space="preserve"> available for the treatment of severe RA, the cost-minimisation should be to the lowest cost </w:t>
      </w:r>
      <w:proofErr w:type="spellStart"/>
      <w:r w:rsidRPr="00006435">
        <w:rPr>
          <w:iCs/>
        </w:rPr>
        <w:t>bDMARD</w:t>
      </w:r>
      <w:proofErr w:type="spellEnd"/>
      <w:r w:rsidRPr="00006435">
        <w:rPr>
          <w:iCs/>
        </w:rPr>
        <w:t xml:space="preserve"> for the treatment of severe RA currently listed on the PBS.</w:t>
      </w:r>
    </w:p>
    <w:p w:rsidR="00B60939" w:rsidRPr="00006435" w:rsidRDefault="00C25D9C" w:rsidP="00127F36">
      <w:pPr>
        <w:pStyle w:val="Heading2"/>
      </w:pPr>
      <w:r w:rsidRPr="00006435">
        <w:t>Drug cost/patient/course/year</w:t>
      </w:r>
      <w:bookmarkEnd w:id="12"/>
    </w:p>
    <w:p w:rsidR="00050B9A" w:rsidRPr="00006435" w:rsidRDefault="00873932" w:rsidP="002C53C8">
      <w:pPr>
        <w:pStyle w:val="ListParagraph"/>
        <w:widowControl/>
        <w:numPr>
          <w:ilvl w:val="1"/>
          <w:numId w:val="3"/>
        </w:numPr>
      </w:pPr>
      <w:r w:rsidRPr="00006435">
        <w:t>$</w:t>
      </w:r>
      <w:r w:rsidR="00B049C2">
        <w:rPr>
          <w:noProof/>
          <w:color w:val="000000"/>
          <w:highlight w:val="black"/>
        </w:rPr>
        <w:t>''''''''''''''''''''</w:t>
      </w:r>
      <w:r w:rsidRPr="00006435">
        <w:t xml:space="preserve"> per year</w:t>
      </w:r>
      <w:r w:rsidR="00B02022" w:rsidRPr="00006435">
        <w:t>,</w:t>
      </w:r>
      <w:r w:rsidRPr="00006435">
        <w:t xml:space="preserve"> with or without dose reduction (assuming DPMQ of $</w:t>
      </w:r>
      <w:r w:rsidR="00B049C2">
        <w:rPr>
          <w:noProof/>
          <w:color w:val="000000"/>
          <w:highlight w:val="black"/>
        </w:rPr>
        <w:t>''''''''''''''</w:t>
      </w:r>
      <w:r w:rsidRPr="00006435">
        <w:t xml:space="preserve"> and 13.05 scripts per year).</w:t>
      </w:r>
    </w:p>
    <w:p w:rsidR="00B60939" w:rsidRPr="00006435" w:rsidRDefault="00B60939" w:rsidP="00127F36">
      <w:pPr>
        <w:pStyle w:val="Heading2"/>
      </w:pPr>
      <w:bookmarkStart w:id="13" w:name="_Toc524441621"/>
      <w:r w:rsidRPr="00006435">
        <w:t>Estimated PBS usage &amp; financial implications</w:t>
      </w:r>
      <w:bookmarkEnd w:id="13"/>
    </w:p>
    <w:p w:rsidR="0072416F" w:rsidRPr="000D1196" w:rsidRDefault="00C25D9C" w:rsidP="002C53C8">
      <w:pPr>
        <w:pStyle w:val="ListParagraph"/>
        <w:widowControl/>
        <w:numPr>
          <w:ilvl w:val="1"/>
          <w:numId w:val="3"/>
        </w:numPr>
      </w:pPr>
      <w:r w:rsidRPr="00006435">
        <w:t>Th</w:t>
      </w:r>
      <w:r w:rsidR="000E5949" w:rsidRPr="00006435">
        <w:t>e</w:t>
      </w:r>
      <w:r w:rsidRPr="00006435">
        <w:t xml:space="preserve"> submission </w:t>
      </w:r>
      <w:r w:rsidR="00B201A4" w:rsidRPr="00006435">
        <w:t>wa</w:t>
      </w:r>
      <w:r w:rsidR="00873932" w:rsidRPr="00006435">
        <w:t xml:space="preserve">s </w:t>
      </w:r>
      <w:r w:rsidRPr="00006435">
        <w:t>not considered by DUSC.</w:t>
      </w:r>
      <w:r w:rsidR="00873932" w:rsidRPr="00006435">
        <w:t xml:space="preserve">  A market share approach was used to estimate the financial implications of the proposed listing, summarised in Table </w:t>
      </w:r>
      <w:r w:rsidR="00955D0F" w:rsidRPr="00006435">
        <w:t>7</w:t>
      </w:r>
      <w:r w:rsidR="00DC1FA8" w:rsidRPr="00006435">
        <w:t xml:space="preserve">.  </w:t>
      </w:r>
      <w:r w:rsidR="00382ED1" w:rsidRPr="00006435">
        <w:t>PBS claims data and the 10% sample was used to estimate s</w:t>
      </w:r>
      <w:r w:rsidR="00DC1FA8" w:rsidRPr="00006435">
        <w:t>cript numbers for initial treatment of TCZ SC (without SAR).  The submission assumed SAR would only substitute for patients otherwise treated with TCZ SC.</w:t>
      </w:r>
      <w:r w:rsidR="00EF44E6" w:rsidRPr="00006435">
        <w:t xml:space="preserve">  </w:t>
      </w:r>
      <w:r w:rsidR="00EF44E6" w:rsidRPr="00006435">
        <w:rPr>
          <w:iCs/>
        </w:rPr>
        <w:t xml:space="preserve">This assumption is not reasonable given substitution of other </w:t>
      </w:r>
      <w:proofErr w:type="spellStart"/>
      <w:r w:rsidR="00EF44E6" w:rsidRPr="00006435">
        <w:rPr>
          <w:iCs/>
        </w:rPr>
        <w:t>bDMARDs</w:t>
      </w:r>
      <w:proofErr w:type="spellEnd"/>
      <w:r w:rsidR="00EF44E6" w:rsidRPr="00006435">
        <w:rPr>
          <w:iCs/>
        </w:rPr>
        <w:t xml:space="preserve"> </w:t>
      </w:r>
      <w:r w:rsidR="005932F9" w:rsidRPr="00006435">
        <w:rPr>
          <w:iCs/>
        </w:rPr>
        <w:t xml:space="preserve">(including from the TCZ IV formulation) </w:t>
      </w:r>
      <w:r w:rsidR="00EF44E6" w:rsidRPr="00006435">
        <w:rPr>
          <w:iCs/>
        </w:rPr>
        <w:t>is possible</w:t>
      </w:r>
      <w:r w:rsidR="00BB3543" w:rsidRPr="00006435">
        <w:rPr>
          <w:iCs/>
        </w:rPr>
        <w:t>; the eligible population and assumed uptake were therefore</w:t>
      </w:r>
      <w:r w:rsidR="00EF44E6" w:rsidRPr="00006435">
        <w:rPr>
          <w:iCs/>
        </w:rPr>
        <w:t xml:space="preserve"> likely</w:t>
      </w:r>
      <w:r w:rsidR="006350C1" w:rsidRPr="00006435">
        <w:rPr>
          <w:iCs/>
        </w:rPr>
        <w:t xml:space="preserve"> </w:t>
      </w:r>
      <w:r w:rsidR="00BB3543" w:rsidRPr="00006435">
        <w:rPr>
          <w:iCs/>
        </w:rPr>
        <w:t xml:space="preserve">to have been </w:t>
      </w:r>
      <w:r w:rsidR="006350C1" w:rsidRPr="00006435">
        <w:rPr>
          <w:iCs/>
        </w:rPr>
        <w:t>underestimated</w:t>
      </w:r>
      <w:r w:rsidR="00EF44E6" w:rsidRPr="00006435">
        <w:rPr>
          <w:iCs/>
        </w:rPr>
        <w:t>.</w:t>
      </w:r>
    </w:p>
    <w:p w:rsidR="00463F46" w:rsidRPr="00006435" w:rsidRDefault="00463F46" w:rsidP="006E6EB5">
      <w:pPr>
        <w:pStyle w:val="Caption"/>
        <w:keepNext/>
        <w:keepLines/>
        <w:widowControl/>
        <w:spacing w:after="0"/>
        <w:rPr>
          <w:rFonts w:ascii="Arial Narrow" w:hAnsi="Arial Narrow"/>
          <w:color w:val="auto"/>
          <w:sz w:val="20"/>
        </w:rPr>
      </w:pPr>
      <w:r w:rsidRPr="00006435">
        <w:rPr>
          <w:rFonts w:ascii="Arial Narrow" w:hAnsi="Arial Narrow"/>
          <w:color w:val="auto"/>
          <w:sz w:val="20"/>
        </w:rPr>
        <w:lastRenderedPageBreak/>
        <w:t xml:space="preserve">Table </w:t>
      </w:r>
      <w:r w:rsidR="0049246D" w:rsidRPr="00006435">
        <w:rPr>
          <w:rFonts w:ascii="Arial Narrow" w:hAnsi="Arial Narrow"/>
          <w:color w:val="auto"/>
          <w:sz w:val="20"/>
        </w:rPr>
        <w:t>7</w:t>
      </w:r>
      <w:r w:rsidRPr="00006435">
        <w:rPr>
          <w:rFonts w:ascii="Arial Narrow" w:hAnsi="Arial Narrow"/>
          <w:color w:val="auto"/>
          <w:sz w:val="20"/>
        </w:rPr>
        <w:t>:  Estimated net cost of SAR to the PBS/RPBS (effective prices)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157"/>
        <w:gridCol w:w="1016"/>
        <w:gridCol w:w="1016"/>
        <w:gridCol w:w="1016"/>
        <w:gridCol w:w="1016"/>
        <w:gridCol w:w="1016"/>
      </w:tblGrid>
      <w:tr w:rsidR="00382ED1" w:rsidRPr="00006435" w:rsidTr="009D5A9D">
        <w:trPr>
          <w:tblHeader/>
        </w:trPr>
        <w:tc>
          <w:tcPr>
            <w:tcW w:w="2830" w:type="dxa"/>
            <w:shd w:val="clear" w:color="auto" w:fill="auto"/>
            <w:vAlign w:val="center"/>
          </w:tcPr>
          <w:p w:rsidR="00382ED1" w:rsidRPr="00006435" w:rsidRDefault="00382ED1" w:rsidP="006E6EB5">
            <w:pPr>
              <w:pStyle w:val="Tabletext"/>
              <w:keepNext/>
              <w:keepLines/>
              <w:rPr>
                <w:b/>
              </w:rPr>
            </w:pPr>
          </w:p>
        </w:tc>
        <w:tc>
          <w:tcPr>
            <w:tcW w:w="1157" w:type="dxa"/>
            <w:shd w:val="clear" w:color="auto" w:fill="auto"/>
            <w:vAlign w:val="center"/>
          </w:tcPr>
          <w:p w:rsidR="00382ED1" w:rsidRPr="00006435" w:rsidRDefault="00382ED1" w:rsidP="006E6EB5">
            <w:pPr>
              <w:pStyle w:val="Tabletext"/>
              <w:keepNext/>
              <w:keepLines/>
              <w:jc w:val="center"/>
              <w:rPr>
                <w:b/>
              </w:rPr>
            </w:pPr>
            <w:r w:rsidRPr="00006435">
              <w:rPr>
                <w:b/>
              </w:rPr>
              <w:t>Year 1</w:t>
            </w:r>
          </w:p>
        </w:tc>
        <w:tc>
          <w:tcPr>
            <w:tcW w:w="1016" w:type="dxa"/>
            <w:shd w:val="clear" w:color="auto" w:fill="auto"/>
            <w:vAlign w:val="center"/>
          </w:tcPr>
          <w:p w:rsidR="00382ED1" w:rsidRPr="00006435" w:rsidRDefault="00382ED1" w:rsidP="006E6EB5">
            <w:pPr>
              <w:pStyle w:val="Tabletext"/>
              <w:keepNext/>
              <w:keepLines/>
              <w:jc w:val="center"/>
              <w:rPr>
                <w:b/>
              </w:rPr>
            </w:pPr>
            <w:r w:rsidRPr="00006435">
              <w:rPr>
                <w:b/>
              </w:rPr>
              <w:t>Year 2</w:t>
            </w:r>
          </w:p>
        </w:tc>
        <w:tc>
          <w:tcPr>
            <w:tcW w:w="1016" w:type="dxa"/>
            <w:shd w:val="clear" w:color="auto" w:fill="auto"/>
            <w:vAlign w:val="center"/>
          </w:tcPr>
          <w:p w:rsidR="00382ED1" w:rsidRPr="00006435" w:rsidRDefault="00382ED1" w:rsidP="006E6EB5">
            <w:pPr>
              <w:pStyle w:val="Tabletext"/>
              <w:keepNext/>
              <w:keepLines/>
              <w:jc w:val="center"/>
              <w:rPr>
                <w:b/>
              </w:rPr>
            </w:pPr>
            <w:r w:rsidRPr="00006435">
              <w:rPr>
                <w:b/>
              </w:rPr>
              <w:t>Year 3</w:t>
            </w:r>
          </w:p>
        </w:tc>
        <w:tc>
          <w:tcPr>
            <w:tcW w:w="1016" w:type="dxa"/>
            <w:shd w:val="clear" w:color="auto" w:fill="auto"/>
            <w:vAlign w:val="center"/>
          </w:tcPr>
          <w:p w:rsidR="00382ED1" w:rsidRPr="00006435" w:rsidRDefault="00382ED1" w:rsidP="006E6EB5">
            <w:pPr>
              <w:pStyle w:val="Tabletext"/>
              <w:keepNext/>
              <w:keepLines/>
              <w:jc w:val="center"/>
              <w:rPr>
                <w:b/>
              </w:rPr>
            </w:pPr>
            <w:r w:rsidRPr="00006435">
              <w:rPr>
                <w:b/>
              </w:rPr>
              <w:t>Year 4</w:t>
            </w:r>
          </w:p>
        </w:tc>
        <w:tc>
          <w:tcPr>
            <w:tcW w:w="1016" w:type="dxa"/>
            <w:shd w:val="clear" w:color="auto" w:fill="auto"/>
            <w:vAlign w:val="center"/>
          </w:tcPr>
          <w:p w:rsidR="00382ED1" w:rsidRPr="00006435" w:rsidRDefault="00382ED1" w:rsidP="006E6EB5">
            <w:pPr>
              <w:pStyle w:val="Tabletext"/>
              <w:keepNext/>
              <w:keepLines/>
              <w:jc w:val="center"/>
              <w:rPr>
                <w:b/>
              </w:rPr>
            </w:pPr>
            <w:r w:rsidRPr="00006435">
              <w:rPr>
                <w:b/>
              </w:rPr>
              <w:t>Year 5</w:t>
            </w:r>
          </w:p>
        </w:tc>
        <w:tc>
          <w:tcPr>
            <w:tcW w:w="1016" w:type="dxa"/>
            <w:shd w:val="clear" w:color="auto" w:fill="auto"/>
            <w:vAlign w:val="center"/>
          </w:tcPr>
          <w:p w:rsidR="00382ED1" w:rsidRPr="00006435" w:rsidRDefault="00382ED1" w:rsidP="006E6EB5">
            <w:pPr>
              <w:pStyle w:val="Tabletext"/>
              <w:keepNext/>
              <w:keepLines/>
              <w:jc w:val="center"/>
              <w:rPr>
                <w:b/>
              </w:rPr>
            </w:pPr>
            <w:r w:rsidRPr="00006435">
              <w:rPr>
                <w:b/>
              </w:rPr>
              <w:t>Year 6</w:t>
            </w:r>
          </w:p>
        </w:tc>
      </w:tr>
      <w:tr w:rsidR="00382ED1" w:rsidRPr="00006435" w:rsidTr="009D5A9D">
        <w:tc>
          <w:tcPr>
            <w:tcW w:w="9067" w:type="dxa"/>
            <w:gridSpan w:val="7"/>
            <w:shd w:val="clear" w:color="auto" w:fill="auto"/>
            <w:vAlign w:val="center"/>
          </w:tcPr>
          <w:p w:rsidR="00382ED1" w:rsidRPr="00006435" w:rsidRDefault="00382ED1" w:rsidP="006E6EB5">
            <w:pPr>
              <w:pStyle w:val="Tabletext"/>
              <w:keepNext/>
              <w:keepLines/>
            </w:pPr>
            <w:r w:rsidRPr="00006435">
              <w:rPr>
                <w:b/>
                <w:bCs/>
              </w:rPr>
              <w:t>Estimation of use and financial impact of the proposed medicine</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TCZ SC init. scripts without SAR</w:t>
            </w:r>
          </w:p>
        </w:tc>
        <w:tc>
          <w:tcPr>
            <w:tcW w:w="1157" w:type="dxa"/>
            <w:shd w:val="clear" w:color="auto" w:fill="auto"/>
            <w:vAlign w:val="center"/>
          </w:tcPr>
          <w:p w:rsidR="00382ED1" w:rsidRPr="00C35A97" w:rsidRDefault="00382ED1" w:rsidP="006E6EB5">
            <w:pPr>
              <w:pStyle w:val="Tabletext"/>
              <w:keepNext/>
              <w:keepLines/>
              <w:jc w:val="center"/>
            </w:pPr>
            <w:r w:rsidRPr="00C35A97">
              <w:t>6,817</w:t>
            </w:r>
          </w:p>
        </w:tc>
        <w:tc>
          <w:tcPr>
            <w:tcW w:w="1016" w:type="dxa"/>
            <w:shd w:val="clear" w:color="auto" w:fill="auto"/>
            <w:vAlign w:val="center"/>
          </w:tcPr>
          <w:p w:rsidR="00382ED1" w:rsidRPr="00C35A97" w:rsidRDefault="00382ED1" w:rsidP="006E6EB5">
            <w:pPr>
              <w:pStyle w:val="Tabletext"/>
              <w:keepNext/>
              <w:keepLines/>
              <w:jc w:val="center"/>
            </w:pPr>
            <w:r w:rsidRPr="00C35A97">
              <w:t>7,445</w:t>
            </w:r>
          </w:p>
        </w:tc>
        <w:tc>
          <w:tcPr>
            <w:tcW w:w="1016" w:type="dxa"/>
            <w:shd w:val="clear" w:color="auto" w:fill="auto"/>
            <w:vAlign w:val="center"/>
          </w:tcPr>
          <w:p w:rsidR="00382ED1" w:rsidRPr="00C35A97" w:rsidRDefault="00382ED1" w:rsidP="006E6EB5">
            <w:pPr>
              <w:pStyle w:val="Tabletext"/>
              <w:keepNext/>
              <w:keepLines/>
              <w:jc w:val="center"/>
            </w:pPr>
            <w:r w:rsidRPr="00C35A97">
              <w:t>8,073</w:t>
            </w:r>
          </w:p>
        </w:tc>
        <w:tc>
          <w:tcPr>
            <w:tcW w:w="1016" w:type="dxa"/>
            <w:shd w:val="clear" w:color="auto" w:fill="auto"/>
            <w:vAlign w:val="center"/>
          </w:tcPr>
          <w:p w:rsidR="00382ED1" w:rsidRPr="00C35A97" w:rsidRDefault="00382ED1" w:rsidP="006E6EB5">
            <w:pPr>
              <w:pStyle w:val="Tabletext"/>
              <w:keepNext/>
              <w:keepLines/>
              <w:jc w:val="center"/>
            </w:pPr>
            <w:r w:rsidRPr="00C35A97">
              <w:t>8,701</w:t>
            </w:r>
          </w:p>
        </w:tc>
        <w:tc>
          <w:tcPr>
            <w:tcW w:w="1016" w:type="dxa"/>
            <w:shd w:val="clear" w:color="auto" w:fill="auto"/>
            <w:vAlign w:val="center"/>
          </w:tcPr>
          <w:p w:rsidR="00382ED1" w:rsidRPr="00C35A97" w:rsidRDefault="00382ED1" w:rsidP="006E6EB5">
            <w:pPr>
              <w:pStyle w:val="Tabletext"/>
              <w:keepNext/>
              <w:keepLines/>
              <w:jc w:val="center"/>
            </w:pPr>
            <w:r w:rsidRPr="00C35A97">
              <w:t>9,328</w:t>
            </w:r>
          </w:p>
        </w:tc>
        <w:tc>
          <w:tcPr>
            <w:tcW w:w="1016" w:type="dxa"/>
            <w:shd w:val="clear" w:color="auto" w:fill="auto"/>
            <w:vAlign w:val="center"/>
          </w:tcPr>
          <w:p w:rsidR="00382ED1" w:rsidRPr="00C35A97" w:rsidRDefault="00382ED1" w:rsidP="006E6EB5">
            <w:pPr>
              <w:pStyle w:val="Tabletext"/>
              <w:keepNext/>
              <w:keepLines/>
              <w:jc w:val="center"/>
            </w:pPr>
            <w:r w:rsidRPr="00C35A97">
              <w:t>9,956</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SAR init. market share</w:t>
            </w:r>
          </w:p>
        </w:tc>
        <w:tc>
          <w:tcPr>
            <w:tcW w:w="1157" w:type="dxa"/>
            <w:shd w:val="clear" w:color="auto" w:fill="auto"/>
            <w:vAlign w:val="center"/>
          </w:tcPr>
          <w:p w:rsidR="00382ED1" w:rsidRPr="00006435" w:rsidRDefault="00B049C2" w:rsidP="006E6EB5">
            <w:pPr>
              <w:pStyle w:val="Tabletext"/>
              <w:keepNext/>
              <w:keepLines/>
              <w:jc w:val="center"/>
            </w:pPr>
            <w:r>
              <w:rPr>
                <w:noProof/>
                <w:color w:val="000000"/>
                <w:highlight w:val="black"/>
              </w:rPr>
              <w:t>'''''''''''''''</w:t>
            </w:r>
            <w:r w:rsidR="00382ED1" w:rsidRPr="00006435">
              <w:t>%</w:t>
            </w:r>
          </w:p>
        </w:tc>
        <w:tc>
          <w:tcPr>
            <w:tcW w:w="1016" w:type="dxa"/>
            <w:shd w:val="clear" w:color="auto" w:fill="auto"/>
            <w:vAlign w:val="center"/>
          </w:tcPr>
          <w:p w:rsidR="00382ED1" w:rsidRPr="00006435" w:rsidRDefault="00B049C2" w:rsidP="006E6EB5">
            <w:pPr>
              <w:pStyle w:val="Tabletext"/>
              <w:keepNext/>
              <w:keepLines/>
              <w:jc w:val="center"/>
            </w:pPr>
            <w:r>
              <w:rPr>
                <w:noProof/>
                <w:color w:val="000000"/>
                <w:highlight w:val="black"/>
              </w:rPr>
              <w:t>''''''''''''</w:t>
            </w:r>
            <w:r w:rsidR="00382ED1" w:rsidRPr="00006435">
              <w:t>%</w:t>
            </w:r>
          </w:p>
        </w:tc>
        <w:tc>
          <w:tcPr>
            <w:tcW w:w="1016" w:type="dxa"/>
            <w:shd w:val="clear" w:color="auto" w:fill="auto"/>
            <w:vAlign w:val="center"/>
          </w:tcPr>
          <w:p w:rsidR="00382ED1" w:rsidRPr="00006435" w:rsidRDefault="00B049C2" w:rsidP="006E6EB5">
            <w:pPr>
              <w:pStyle w:val="Tabletext"/>
              <w:keepNext/>
              <w:keepLines/>
              <w:jc w:val="center"/>
            </w:pPr>
            <w:r>
              <w:rPr>
                <w:noProof/>
                <w:color w:val="000000"/>
                <w:highlight w:val="black"/>
              </w:rPr>
              <w:t>''''''''''''''</w:t>
            </w:r>
            <w:r w:rsidR="00382ED1" w:rsidRPr="00006435">
              <w:t>%</w:t>
            </w:r>
          </w:p>
        </w:tc>
        <w:tc>
          <w:tcPr>
            <w:tcW w:w="1016" w:type="dxa"/>
            <w:shd w:val="clear" w:color="auto" w:fill="auto"/>
            <w:vAlign w:val="center"/>
          </w:tcPr>
          <w:p w:rsidR="00382ED1" w:rsidRPr="00006435" w:rsidRDefault="00B049C2" w:rsidP="006E6EB5">
            <w:pPr>
              <w:pStyle w:val="Tabletext"/>
              <w:keepNext/>
              <w:keepLines/>
              <w:jc w:val="center"/>
            </w:pPr>
            <w:r>
              <w:rPr>
                <w:noProof/>
                <w:color w:val="000000"/>
                <w:highlight w:val="black"/>
              </w:rPr>
              <w:t>'''''''''''''</w:t>
            </w:r>
            <w:r w:rsidR="00382ED1" w:rsidRPr="00006435">
              <w:t>%</w:t>
            </w:r>
          </w:p>
        </w:tc>
        <w:tc>
          <w:tcPr>
            <w:tcW w:w="1016" w:type="dxa"/>
            <w:shd w:val="clear" w:color="auto" w:fill="auto"/>
            <w:vAlign w:val="center"/>
          </w:tcPr>
          <w:p w:rsidR="00382ED1" w:rsidRPr="00006435" w:rsidRDefault="00B049C2" w:rsidP="006E6EB5">
            <w:pPr>
              <w:pStyle w:val="Tabletext"/>
              <w:keepNext/>
              <w:keepLines/>
              <w:jc w:val="center"/>
            </w:pPr>
            <w:r>
              <w:rPr>
                <w:noProof/>
                <w:color w:val="000000"/>
                <w:highlight w:val="black"/>
              </w:rPr>
              <w:t>''''''''''''''</w:t>
            </w:r>
            <w:r w:rsidR="00382ED1" w:rsidRPr="00006435">
              <w:t>%</w:t>
            </w:r>
          </w:p>
        </w:tc>
        <w:tc>
          <w:tcPr>
            <w:tcW w:w="1016" w:type="dxa"/>
            <w:shd w:val="clear" w:color="auto" w:fill="auto"/>
            <w:vAlign w:val="center"/>
          </w:tcPr>
          <w:p w:rsidR="00382ED1" w:rsidRPr="00006435" w:rsidRDefault="00B049C2" w:rsidP="006E6EB5">
            <w:pPr>
              <w:pStyle w:val="Tabletext"/>
              <w:keepNext/>
              <w:keepLines/>
              <w:jc w:val="center"/>
            </w:pPr>
            <w:r>
              <w:rPr>
                <w:noProof/>
                <w:color w:val="000000"/>
                <w:highlight w:val="black"/>
              </w:rPr>
              <w:t>'''''''''''''''</w:t>
            </w:r>
            <w:r w:rsidR="00382ED1" w:rsidRPr="00006435">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rPr>
                <w:b/>
                <w:bCs/>
              </w:rPr>
            </w:pPr>
            <w:r w:rsidRPr="00006435">
              <w:rPr>
                <w:b/>
                <w:bCs/>
              </w:rPr>
              <w:t>SAR (200mg) init. scripts</w:t>
            </w:r>
          </w:p>
        </w:tc>
        <w:tc>
          <w:tcPr>
            <w:tcW w:w="1157"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SAR grandfathered scripts</w:t>
            </w:r>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0</w:t>
            </w:r>
          </w:p>
        </w:tc>
        <w:tc>
          <w:tcPr>
            <w:tcW w:w="1016" w:type="dxa"/>
            <w:shd w:val="clear" w:color="auto" w:fill="auto"/>
            <w:vAlign w:val="center"/>
          </w:tcPr>
          <w:p w:rsidR="00382ED1" w:rsidRPr="00006435" w:rsidRDefault="00382ED1" w:rsidP="006E6EB5">
            <w:pPr>
              <w:pStyle w:val="Tabletext"/>
              <w:keepNext/>
              <w:keepLines/>
              <w:jc w:val="center"/>
            </w:pPr>
            <w:r w:rsidRPr="00006435">
              <w:t>0</w:t>
            </w:r>
          </w:p>
        </w:tc>
        <w:tc>
          <w:tcPr>
            <w:tcW w:w="1016" w:type="dxa"/>
            <w:shd w:val="clear" w:color="auto" w:fill="auto"/>
            <w:vAlign w:val="center"/>
          </w:tcPr>
          <w:p w:rsidR="00382ED1" w:rsidRPr="00006435" w:rsidRDefault="00382ED1" w:rsidP="006E6EB5">
            <w:pPr>
              <w:pStyle w:val="Tabletext"/>
              <w:keepNext/>
              <w:keepLines/>
              <w:jc w:val="center"/>
            </w:pPr>
            <w:r w:rsidRPr="00006435">
              <w:t>0</w:t>
            </w:r>
          </w:p>
        </w:tc>
        <w:tc>
          <w:tcPr>
            <w:tcW w:w="1016" w:type="dxa"/>
            <w:shd w:val="clear" w:color="auto" w:fill="auto"/>
            <w:vAlign w:val="center"/>
          </w:tcPr>
          <w:p w:rsidR="00382ED1" w:rsidRPr="00006435" w:rsidRDefault="00382ED1" w:rsidP="006E6EB5">
            <w:pPr>
              <w:pStyle w:val="Tabletext"/>
              <w:keepNext/>
              <w:keepLines/>
              <w:jc w:val="center"/>
            </w:pPr>
            <w:r w:rsidRPr="00006435">
              <w:t>0</w:t>
            </w:r>
          </w:p>
        </w:tc>
        <w:tc>
          <w:tcPr>
            <w:tcW w:w="1016" w:type="dxa"/>
            <w:shd w:val="clear" w:color="auto" w:fill="auto"/>
            <w:vAlign w:val="center"/>
          </w:tcPr>
          <w:p w:rsidR="00382ED1" w:rsidRPr="00006435" w:rsidRDefault="00382ED1" w:rsidP="006E6EB5">
            <w:pPr>
              <w:pStyle w:val="Tabletext"/>
              <w:keepNext/>
              <w:keepLines/>
              <w:jc w:val="center"/>
            </w:pPr>
            <w:r w:rsidRPr="00006435">
              <w:t>0</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 xml:space="preserve">SAR cont. scripts (init. Yr_n-1 + </w:t>
            </w:r>
            <w:proofErr w:type="spellStart"/>
            <w:r w:rsidRPr="00006435">
              <w:t>Yr_n</w:t>
            </w:r>
            <w:proofErr w:type="spellEnd"/>
            <w:r w:rsidRPr="00006435">
              <w:t>)</w:t>
            </w:r>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SAR cont. scripts (cont. Yr_n-1)</w:t>
            </w:r>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 xml:space="preserve">'''''''''''' </w:t>
            </w:r>
          </w:p>
        </w:tc>
      </w:tr>
      <w:tr w:rsidR="00382ED1" w:rsidRPr="00006435" w:rsidTr="009D5A9D">
        <w:tc>
          <w:tcPr>
            <w:tcW w:w="2830" w:type="dxa"/>
            <w:shd w:val="clear" w:color="auto" w:fill="auto"/>
            <w:vAlign w:val="center"/>
          </w:tcPr>
          <w:p w:rsidR="00382ED1" w:rsidRPr="00C20939" w:rsidRDefault="00382ED1" w:rsidP="006E6EB5">
            <w:pPr>
              <w:pStyle w:val="Tabletext"/>
              <w:keepNext/>
              <w:keepLines/>
            </w:pPr>
            <w:r w:rsidRPr="00C20939">
              <w:t>SAR annual discontinuation rate</w:t>
            </w:r>
          </w:p>
        </w:tc>
        <w:tc>
          <w:tcPr>
            <w:tcW w:w="1157" w:type="dxa"/>
            <w:shd w:val="clear" w:color="auto" w:fill="auto"/>
            <w:vAlign w:val="center"/>
          </w:tcPr>
          <w:p w:rsidR="00382ED1" w:rsidRPr="00C20939" w:rsidRDefault="00B049C2" w:rsidP="006E6EB5">
            <w:pPr>
              <w:pStyle w:val="Tabletext"/>
              <w:keepNext/>
              <w:keepLines/>
              <w:jc w:val="center"/>
            </w:pPr>
            <w:r>
              <w:rPr>
                <w:noProof/>
                <w:color w:val="000000"/>
                <w:highlight w:val="black"/>
              </w:rPr>
              <w:t>''''''''''''''</w:t>
            </w:r>
            <w:r w:rsidR="00382ED1" w:rsidRPr="00C20939">
              <w:t>%</w:t>
            </w:r>
          </w:p>
        </w:tc>
        <w:tc>
          <w:tcPr>
            <w:tcW w:w="1016" w:type="dxa"/>
            <w:shd w:val="clear" w:color="auto" w:fill="auto"/>
            <w:vAlign w:val="center"/>
          </w:tcPr>
          <w:p w:rsidR="00382ED1" w:rsidRPr="00C20939" w:rsidRDefault="00B049C2" w:rsidP="006E6EB5">
            <w:pPr>
              <w:pStyle w:val="Tabletext"/>
              <w:keepNext/>
              <w:keepLines/>
              <w:jc w:val="center"/>
            </w:pPr>
            <w:r>
              <w:rPr>
                <w:noProof/>
                <w:color w:val="000000"/>
                <w:highlight w:val="black"/>
              </w:rPr>
              <w:t>'''''''''''''</w:t>
            </w:r>
            <w:r w:rsidR="00382ED1" w:rsidRPr="00C20939">
              <w:t>%</w:t>
            </w:r>
          </w:p>
        </w:tc>
        <w:tc>
          <w:tcPr>
            <w:tcW w:w="1016" w:type="dxa"/>
            <w:shd w:val="clear" w:color="auto" w:fill="auto"/>
            <w:vAlign w:val="center"/>
          </w:tcPr>
          <w:p w:rsidR="00382ED1" w:rsidRPr="00C20939" w:rsidRDefault="00B049C2" w:rsidP="006E6EB5">
            <w:pPr>
              <w:pStyle w:val="Tabletext"/>
              <w:keepNext/>
              <w:keepLines/>
              <w:jc w:val="center"/>
            </w:pPr>
            <w:r>
              <w:rPr>
                <w:noProof/>
                <w:color w:val="000000"/>
                <w:highlight w:val="black"/>
              </w:rPr>
              <w:t>'''''''''''''</w:t>
            </w:r>
            <w:r w:rsidR="00382ED1" w:rsidRPr="00C20939">
              <w:t>%</w:t>
            </w:r>
          </w:p>
        </w:tc>
        <w:tc>
          <w:tcPr>
            <w:tcW w:w="1016" w:type="dxa"/>
            <w:shd w:val="clear" w:color="auto" w:fill="auto"/>
            <w:vAlign w:val="center"/>
          </w:tcPr>
          <w:p w:rsidR="00382ED1" w:rsidRPr="00C20939" w:rsidRDefault="00B049C2" w:rsidP="006E6EB5">
            <w:pPr>
              <w:pStyle w:val="Tabletext"/>
              <w:keepNext/>
              <w:keepLines/>
              <w:jc w:val="center"/>
            </w:pPr>
            <w:r>
              <w:rPr>
                <w:noProof/>
                <w:color w:val="000000"/>
                <w:highlight w:val="black"/>
              </w:rPr>
              <w:t>''''''''''''</w:t>
            </w:r>
            <w:r w:rsidR="00382ED1" w:rsidRPr="00C20939">
              <w:t>%</w:t>
            </w:r>
          </w:p>
        </w:tc>
        <w:tc>
          <w:tcPr>
            <w:tcW w:w="1016" w:type="dxa"/>
            <w:shd w:val="clear" w:color="auto" w:fill="auto"/>
            <w:vAlign w:val="center"/>
          </w:tcPr>
          <w:p w:rsidR="00382ED1" w:rsidRPr="00C20939" w:rsidRDefault="00B049C2" w:rsidP="006E6EB5">
            <w:pPr>
              <w:pStyle w:val="Tabletext"/>
              <w:keepNext/>
              <w:keepLines/>
              <w:jc w:val="center"/>
            </w:pPr>
            <w:r>
              <w:rPr>
                <w:noProof/>
                <w:color w:val="000000"/>
                <w:highlight w:val="black"/>
              </w:rPr>
              <w:t>''''''''''''''</w:t>
            </w:r>
            <w:r w:rsidR="00382ED1" w:rsidRPr="00C20939">
              <w:t>%</w:t>
            </w:r>
          </w:p>
        </w:tc>
        <w:tc>
          <w:tcPr>
            <w:tcW w:w="1016" w:type="dxa"/>
            <w:shd w:val="clear" w:color="auto" w:fill="auto"/>
            <w:vAlign w:val="center"/>
          </w:tcPr>
          <w:p w:rsidR="00382ED1" w:rsidRPr="00C20939" w:rsidRDefault="00B049C2" w:rsidP="006E6EB5">
            <w:pPr>
              <w:pStyle w:val="Tabletext"/>
              <w:keepNext/>
              <w:keepLines/>
              <w:jc w:val="center"/>
            </w:pPr>
            <w:r>
              <w:rPr>
                <w:noProof/>
                <w:color w:val="000000"/>
                <w:highlight w:val="black"/>
              </w:rPr>
              <w:t>'''''''''''''''</w:t>
            </w:r>
            <w:r w:rsidR="00382ED1" w:rsidRPr="00C20939">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rPr>
                <w:b/>
                <w:bCs/>
              </w:rPr>
            </w:pPr>
            <w:r w:rsidRPr="00006435">
              <w:rPr>
                <w:b/>
                <w:bCs/>
              </w:rPr>
              <w:t>SAR cont. scripts total</w:t>
            </w:r>
          </w:p>
        </w:tc>
        <w:tc>
          <w:tcPr>
            <w:tcW w:w="1157" w:type="dxa"/>
            <w:shd w:val="clear" w:color="auto" w:fill="auto"/>
            <w:vAlign w:val="bottom"/>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bottom"/>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bottom"/>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bottom"/>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bottom"/>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bottom"/>
          </w:tcPr>
          <w:p w:rsidR="00382ED1" w:rsidRPr="00B049C2" w:rsidRDefault="00B049C2" w:rsidP="006E6EB5">
            <w:pPr>
              <w:pStyle w:val="Tabletext"/>
              <w:keepNext/>
              <w:keepLines/>
              <w:jc w:val="center"/>
              <w:rPr>
                <w:b/>
                <w:bCs/>
                <w:highlight w:val="black"/>
              </w:rPr>
            </w:pPr>
            <w:r>
              <w:rPr>
                <w:b/>
                <w:bCs/>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ind w:left="112"/>
            </w:pPr>
            <w:r w:rsidRPr="00006435">
              <w:t>SAR 200mg scripts</w:t>
            </w:r>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ind w:left="112"/>
            </w:pPr>
            <w:r w:rsidRPr="00006435">
              <w:t>SAR 150mg scripts</w:t>
            </w:r>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r>
      <w:tr w:rsidR="00382ED1" w:rsidRPr="00006435" w:rsidTr="009D5A9D">
        <w:tc>
          <w:tcPr>
            <w:tcW w:w="2830" w:type="dxa"/>
            <w:shd w:val="clear" w:color="auto" w:fill="auto"/>
            <w:vAlign w:val="center"/>
          </w:tcPr>
          <w:p w:rsidR="00382ED1" w:rsidRPr="00F3476E" w:rsidRDefault="00382ED1" w:rsidP="006E6EB5">
            <w:pPr>
              <w:pStyle w:val="Tabletext"/>
              <w:keepNext/>
              <w:keepLines/>
              <w:rPr>
                <w:color w:val="000000"/>
                <w:vertAlign w:val="superscript"/>
              </w:rPr>
            </w:pPr>
            <w:r w:rsidRPr="00F3476E">
              <w:rPr>
                <w:color w:val="000000"/>
              </w:rPr>
              <w:t>TCZ SC cont. scripts without SAR</w:t>
            </w:r>
            <w:r w:rsidRPr="00F3476E">
              <w:rPr>
                <w:color w:val="000000"/>
                <w:vertAlign w:val="superscript"/>
              </w:rPr>
              <w:t>#</w:t>
            </w:r>
          </w:p>
        </w:tc>
        <w:tc>
          <w:tcPr>
            <w:tcW w:w="1157" w:type="dxa"/>
            <w:shd w:val="clear" w:color="auto" w:fill="auto"/>
            <w:vAlign w:val="center"/>
          </w:tcPr>
          <w:p w:rsidR="00382ED1" w:rsidRPr="00B049C2" w:rsidRDefault="00B049C2" w:rsidP="006E6EB5">
            <w:pPr>
              <w:pStyle w:val="Tabletext"/>
              <w:keepNext/>
              <w:keepLines/>
              <w:jc w:val="center"/>
              <w:rPr>
                <w:color w:val="000000"/>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color w:val="000000"/>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color w:val="000000"/>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color w:val="000000"/>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color w:val="000000"/>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color w:val="000000"/>
                <w:highlight w:val="black"/>
              </w:rPr>
            </w:pPr>
            <w:r>
              <w:rPr>
                <w:noProof/>
                <w:color w:val="000000"/>
                <w:highlight w:val="black"/>
              </w:rPr>
              <w:t>''''''''''''''''</w:t>
            </w:r>
          </w:p>
        </w:tc>
      </w:tr>
      <w:tr w:rsidR="00382ED1" w:rsidRPr="00006435" w:rsidTr="009D5A9D">
        <w:tc>
          <w:tcPr>
            <w:tcW w:w="2830" w:type="dxa"/>
            <w:shd w:val="clear" w:color="auto" w:fill="auto"/>
            <w:vAlign w:val="center"/>
          </w:tcPr>
          <w:p w:rsidR="00382ED1" w:rsidRPr="00C20939" w:rsidRDefault="00382ED1" w:rsidP="006E6EB5">
            <w:pPr>
              <w:pStyle w:val="Tabletext"/>
              <w:keepNext/>
              <w:keepLines/>
              <w:rPr>
                <w:color w:val="000000"/>
                <w:vertAlign w:val="superscript"/>
              </w:rPr>
            </w:pPr>
            <w:r w:rsidRPr="00C20939">
              <w:rPr>
                <w:color w:val="000000"/>
              </w:rPr>
              <w:t>SAR cont. market share</w:t>
            </w:r>
            <w:r w:rsidRPr="00C20939">
              <w:rPr>
                <w:color w:val="000000"/>
                <w:vertAlign w:val="superscript"/>
              </w:rPr>
              <w:t>#</w:t>
            </w:r>
          </w:p>
        </w:tc>
        <w:tc>
          <w:tcPr>
            <w:tcW w:w="1157" w:type="dxa"/>
            <w:shd w:val="clear" w:color="auto" w:fill="auto"/>
            <w:vAlign w:val="center"/>
          </w:tcPr>
          <w:p w:rsidR="00382ED1" w:rsidRPr="00C20939" w:rsidRDefault="00B049C2" w:rsidP="006E6EB5">
            <w:pPr>
              <w:pStyle w:val="Tabletext"/>
              <w:keepNext/>
              <w:keepLines/>
              <w:jc w:val="center"/>
              <w:rPr>
                <w:color w:val="000000"/>
              </w:rPr>
            </w:pPr>
            <w:r>
              <w:rPr>
                <w:noProof/>
                <w:color w:val="000000"/>
                <w:highlight w:val="black"/>
              </w:rPr>
              <w:t>''''''''''''</w:t>
            </w:r>
            <w:r w:rsidR="00382ED1" w:rsidRPr="00C20939">
              <w:rPr>
                <w:color w:val="000000"/>
              </w:rPr>
              <w:t>%</w:t>
            </w:r>
          </w:p>
        </w:tc>
        <w:tc>
          <w:tcPr>
            <w:tcW w:w="1016" w:type="dxa"/>
            <w:shd w:val="clear" w:color="auto" w:fill="auto"/>
            <w:vAlign w:val="center"/>
          </w:tcPr>
          <w:p w:rsidR="00382ED1" w:rsidRPr="00C20939" w:rsidRDefault="00B049C2" w:rsidP="006E6EB5">
            <w:pPr>
              <w:pStyle w:val="Tabletext"/>
              <w:keepNext/>
              <w:keepLines/>
              <w:jc w:val="center"/>
              <w:rPr>
                <w:color w:val="000000"/>
              </w:rPr>
            </w:pPr>
            <w:r>
              <w:rPr>
                <w:noProof/>
                <w:color w:val="000000"/>
                <w:highlight w:val="black"/>
              </w:rPr>
              <w:t>'''''''''''''''</w:t>
            </w:r>
            <w:r w:rsidR="00382ED1" w:rsidRPr="00C20939">
              <w:rPr>
                <w:color w:val="000000"/>
              </w:rPr>
              <w:t>%</w:t>
            </w:r>
          </w:p>
        </w:tc>
        <w:tc>
          <w:tcPr>
            <w:tcW w:w="1016" w:type="dxa"/>
            <w:shd w:val="clear" w:color="auto" w:fill="auto"/>
            <w:vAlign w:val="center"/>
          </w:tcPr>
          <w:p w:rsidR="00382ED1" w:rsidRPr="00C20939" w:rsidRDefault="00B049C2" w:rsidP="006E6EB5">
            <w:pPr>
              <w:pStyle w:val="Tabletext"/>
              <w:keepNext/>
              <w:keepLines/>
              <w:jc w:val="center"/>
              <w:rPr>
                <w:color w:val="000000"/>
              </w:rPr>
            </w:pPr>
            <w:r>
              <w:rPr>
                <w:noProof/>
                <w:color w:val="000000"/>
                <w:highlight w:val="black"/>
              </w:rPr>
              <w:t>'''''''''''''''</w:t>
            </w:r>
            <w:r w:rsidR="00382ED1" w:rsidRPr="00C20939">
              <w:rPr>
                <w:color w:val="000000"/>
              </w:rPr>
              <w:t>%</w:t>
            </w:r>
          </w:p>
        </w:tc>
        <w:tc>
          <w:tcPr>
            <w:tcW w:w="1016" w:type="dxa"/>
            <w:shd w:val="clear" w:color="auto" w:fill="auto"/>
            <w:vAlign w:val="center"/>
          </w:tcPr>
          <w:p w:rsidR="00382ED1" w:rsidRPr="00C20939" w:rsidRDefault="00B049C2" w:rsidP="006E6EB5">
            <w:pPr>
              <w:pStyle w:val="Tabletext"/>
              <w:keepNext/>
              <w:keepLines/>
              <w:jc w:val="center"/>
              <w:rPr>
                <w:color w:val="000000"/>
              </w:rPr>
            </w:pPr>
            <w:r>
              <w:rPr>
                <w:noProof/>
                <w:color w:val="000000"/>
                <w:highlight w:val="black"/>
              </w:rPr>
              <w:t>'''''''''''''</w:t>
            </w:r>
            <w:r w:rsidR="00382ED1" w:rsidRPr="00C20939">
              <w:rPr>
                <w:color w:val="000000"/>
              </w:rPr>
              <w:t>%</w:t>
            </w:r>
          </w:p>
        </w:tc>
        <w:tc>
          <w:tcPr>
            <w:tcW w:w="1016" w:type="dxa"/>
            <w:shd w:val="clear" w:color="auto" w:fill="auto"/>
            <w:vAlign w:val="center"/>
          </w:tcPr>
          <w:p w:rsidR="00382ED1" w:rsidRPr="00C20939" w:rsidRDefault="00B049C2" w:rsidP="006E6EB5">
            <w:pPr>
              <w:pStyle w:val="Tabletext"/>
              <w:keepNext/>
              <w:keepLines/>
              <w:jc w:val="center"/>
              <w:rPr>
                <w:color w:val="000000"/>
              </w:rPr>
            </w:pPr>
            <w:r>
              <w:rPr>
                <w:noProof/>
                <w:color w:val="000000"/>
                <w:highlight w:val="black"/>
              </w:rPr>
              <w:t>'''''''''''''</w:t>
            </w:r>
            <w:r w:rsidR="00382ED1" w:rsidRPr="00C20939">
              <w:rPr>
                <w:color w:val="000000"/>
              </w:rPr>
              <w:t>%</w:t>
            </w:r>
          </w:p>
        </w:tc>
        <w:tc>
          <w:tcPr>
            <w:tcW w:w="1016" w:type="dxa"/>
            <w:shd w:val="clear" w:color="auto" w:fill="auto"/>
            <w:vAlign w:val="center"/>
          </w:tcPr>
          <w:p w:rsidR="00382ED1" w:rsidRPr="00C20939" w:rsidRDefault="00B049C2" w:rsidP="006E6EB5">
            <w:pPr>
              <w:pStyle w:val="Tabletext"/>
              <w:keepNext/>
              <w:keepLines/>
              <w:jc w:val="center"/>
              <w:rPr>
                <w:color w:val="000000"/>
              </w:rPr>
            </w:pPr>
            <w:r>
              <w:rPr>
                <w:noProof/>
                <w:color w:val="000000"/>
                <w:highlight w:val="black"/>
              </w:rPr>
              <w:t>'''''''''''''</w:t>
            </w:r>
            <w:r w:rsidR="00382ED1" w:rsidRPr="00C20939">
              <w:rPr>
                <w:color w:val="000000"/>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rPr>
                <w:b/>
                <w:bCs/>
              </w:rPr>
            </w:pPr>
            <w:r w:rsidRPr="00006435">
              <w:rPr>
                <w:b/>
                <w:bCs/>
              </w:rPr>
              <w:t>SAR total scripts</w:t>
            </w:r>
          </w:p>
        </w:tc>
        <w:tc>
          <w:tcPr>
            <w:tcW w:w="1157"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 xml:space="preserve">''''''''''' </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SAR PBS/RPBS cost^</w:t>
            </w:r>
          </w:p>
        </w:tc>
        <w:tc>
          <w:tcPr>
            <w:tcW w:w="1157"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SAR patient co-payment</w:t>
            </w:r>
          </w:p>
        </w:tc>
        <w:tc>
          <w:tcPr>
            <w:tcW w:w="1157"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rPr>
                <w:b/>
                <w:bCs/>
              </w:rPr>
            </w:pPr>
            <w:r w:rsidRPr="00006435">
              <w:rPr>
                <w:b/>
                <w:bCs/>
              </w:rPr>
              <w:t>SAR net PBS/RPBS cost^</w:t>
            </w:r>
          </w:p>
        </w:tc>
        <w:tc>
          <w:tcPr>
            <w:tcW w:w="1157"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r>
      <w:tr w:rsidR="00382ED1" w:rsidRPr="00006435" w:rsidTr="009D5A9D">
        <w:tc>
          <w:tcPr>
            <w:tcW w:w="9067" w:type="dxa"/>
            <w:gridSpan w:val="7"/>
            <w:shd w:val="clear" w:color="auto" w:fill="auto"/>
            <w:vAlign w:val="center"/>
          </w:tcPr>
          <w:p w:rsidR="00382ED1" w:rsidRPr="00006435" w:rsidRDefault="00382ED1" w:rsidP="006E6EB5">
            <w:pPr>
              <w:pStyle w:val="Tabletext"/>
              <w:keepNext/>
              <w:keepLines/>
            </w:pPr>
            <w:r w:rsidRPr="00006435">
              <w:rPr>
                <w:b/>
                <w:bCs/>
              </w:rPr>
              <w:t>Estimation of changes in use and financial impact of other medicines</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TCZ SC init. scripts</w:t>
            </w:r>
          </w:p>
        </w:tc>
        <w:tc>
          <w:tcPr>
            <w:tcW w:w="1157"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TCZ SC cont. scripts</w:t>
            </w:r>
          </w:p>
        </w:tc>
        <w:tc>
          <w:tcPr>
            <w:tcW w:w="1157"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b/>
                <w:bCs/>
                <w:highlight w:val="black"/>
              </w:rPr>
            </w:pPr>
            <w:r>
              <w:rPr>
                <w:b/>
                <w:bCs/>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ind w:left="112"/>
            </w:pPr>
            <w:r w:rsidRPr="00006435">
              <w:t xml:space="preserve">TCZ 162mg </w:t>
            </w:r>
            <w:proofErr w:type="spellStart"/>
            <w:r w:rsidRPr="00006435">
              <w:t>qw</w:t>
            </w:r>
            <w:proofErr w:type="spellEnd"/>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ind w:left="112"/>
            </w:pPr>
            <w:r w:rsidRPr="00006435">
              <w:t>TCZ 162mg q2w</w:t>
            </w:r>
          </w:p>
        </w:tc>
        <w:tc>
          <w:tcPr>
            <w:tcW w:w="1157"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c>
          <w:tcPr>
            <w:tcW w:w="1016" w:type="dxa"/>
            <w:shd w:val="clear" w:color="auto" w:fill="auto"/>
            <w:vAlign w:val="center"/>
          </w:tcPr>
          <w:p w:rsidR="00382ED1" w:rsidRPr="00B049C2" w:rsidRDefault="00B049C2" w:rsidP="006E6EB5">
            <w:pPr>
              <w:pStyle w:val="Tabletext"/>
              <w:keepNext/>
              <w:keepLines/>
              <w:jc w:val="center"/>
              <w:rPr>
                <w:highlight w:val="black"/>
              </w:rPr>
            </w:pPr>
            <w:r>
              <w:rPr>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TCZ SC PBS/RPBS cost^</w:t>
            </w:r>
          </w:p>
        </w:tc>
        <w:tc>
          <w:tcPr>
            <w:tcW w:w="1157"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TCZ SC patient co-payment</w:t>
            </w:r>
          </w:p>
        </w:tc>
        <w:tc>
          <w:tcPr>
            <w:tcW w:w="1157"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pPr>
            <w:r w:rsidRPr="00006435">
              <w:t>$</w:t>
            </w:r>
            <w:r w:rsidR="00B049C2">
              <w:rPr>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rPr>
                <w:b/>
                <w:bCs/>
              </w:rPr>
              <w:t>TCZ SC net PBS/RPBS cost^</w:t>
            </w:r>
          </w:p>
        </w:tc>
        <w:tc>
          <w:tcPr>
            <w:tcW w:w="1157"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iCs/>
              </w:rPr>
            </w:pPr>
            <w:r w:rsidRPr="00006435">
              <w:rPr>
                <w:b/>
                <w:bCs/>
                <w:iCs/>
              </w:rPr>
              <w:t>$</w:t>
            </w:r>
            <w:r w:rsidR="00B049C2">
              <w:rPr>
                <w:b/>
                <w:bCs/>
                <w:iCs/>
                <w:noProof/>
                <w:color w:val="000000"/>
                <w:highlight w:val="black"/>
              </w:rPr>
              <w:t>''''''''''''''''''</w:t>
            </w:r>
          </w:p>
        </w:tc>
      </w:tr>
      <w:tr w:rsidR="00382ED1" w:rsidRPr="00006435" w:rsidTr="009D5A9D">
        <w:tc>
          <w:tcPr>
            <w:tcW w:w="9067" w:type="dxa"/>
            <w:gridSpan w:val="7"/>
            <w:shd w:val="clear" w:color="auto" w:fill="auto"/>
            <w:vAlign w:val="center"/>
          </w:tcPr>
          <w:p w:rsidR="00382ED1" w:rsidRPr="00006435" w:rsidRDefault="00382ED1" w:rsidP="006E6EB5">
            <w:pPr>
              <w:pStyle w:val="Tabletext"/>
              <w:keepNext/>
              <w:keepLines/>
              <w:rPr>
                <w:b/>
                <w:bCs/>
              </w:rPr>
            </w:pPr>
            <w:r w:rsidRPr="00006435">
              <w:rPr>
                <w:b/>
                <w:bCs/>
              </w:rPr>
              <w:t>Estimated financial implications</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pPr>
            <w:r w:rsidRPr="00006435">
              <w:t>Net cost to PBS/RPBS^</w:t>
            </w:r>
          </w:p>
        </w:tc>
        <w:tc>
          <w:tcPr>
            <w:tcW w:w="1157"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iCs/>
              </w:rPr>
            </w:pPr>
            <w:r w:rsidRPr="00006435">
              <w:rPr>
                <w:iCs/>
              </w:rPr>
              <w:t>$</w:t>
            </w:r>
            <w:r w:rsidR="00B049C2">
              <w:rPr>
                <w:iCs/>
                <w:noProof/>
                <w:color w:val="000000"/>
                <w:highlight w:val="black"/>
              </w:rPr>
              <w:t>''''''''''''''''''</w:t>
            </w:r>
          </w:p>
        </w:tc>
      </w:tr>
      <w:tr w:rsidR="00382ED1" w:rsidRPr="00006435" w:rsidTr="009D5A9D">
        <w:tc>
          <w:tcPr>
            <w:tcW w:w="2830" w:type="dxa"/>
            <w:shd w:val="clear" w:color="auto" w:fill="auto"/>
            <w:vAlign w:val="center"/>
          </w:tcPr>
          <w:p w:rsidR="00382ED1" w:rsidRPr="00006435" w:rsidRDefault="00382ED1" w:rsidP="006E6EB5">
            <w:pPr>
              <w:pStyle w:val="Tabletext"/>
              <w:keepNext/>
              <w:keepLines/>
              <w:rPr>
                <w:b/>
                <w:bCs/>
              </w:rPr>
            </w:pPr>
            <w:r w:rsidRPr="00006435">
              <w:rPr>
                <w:b/>
                <w:bCs/>
              </w:rPr>
              <w:t>Net cost to health budget^</w:t>
            </w:r>
          </w:p>
        </w:tc>
        <w:tc>
          <w:tcPr>
            <w:tcW w:w="1157" w:type="dxa"/>
            <w:shd w:val="clear" w:color="auto" w:fill="auto"/>
            <w:vAlign w:val="center"/>
          </w:tcPr>
          <w:p w:rsidR="00382ED1" w:rsidRPr="00006435" w:rsidRDefault="00382ED1" w:rsidP="006E6EB5">
            <w:pPr>
              <w:pStyle w:val="Tabletext"/>
              <w:keepNext/>
              <w:keepLines/>
              <w:jc w:val="center"/>
              <w:rPr>
                <w:b/>
                <w:b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rPr>
            </w:pPr>
            <w:r w:rsidRPr="00006435">
              <w:rPr>
                <w:b/>
                <w:bCs/>
                <w:iCs/>
              </w:rPr>
              <w:t>$</w:t>
            </w:r>
            <w:r w:rsidR="00B049C2">
              <w:rPr>
                <w:b/>
                <w:bCs/>
                <w:iCs/>
                <w:noProof/>
                <w:color w:val="000000"/>
                <w:highlight w:val="black"/>
              </w:rPr>
              <w:t>''''''''''''''''''</w:t>
            </w:r>
          </w:p>
        </w:tc>
        <w:tc>
          <w:tcPr>
            <w:tcW w:w="1016" w:type="dxa"/>
            <w:shd w:val="clear" w:color="auto" w:fill="auto"/>
            <w:vAlign w:val="center"/>
          </w:tcPr>
          <w:p w:rsidR="00382ED1" w:rsidRPr="00006435" w:rsidRDefault="00382ED1" w:rsidP="006E6EB5">
            <w:pPr>
              <w:pStyle w:val="Tabletext"/>
              <w:keepNext/>
              <w:keepLines/>
              <w:jc w:val="center"/>
              <w:rPr>
                <w:b/>
                <w:bCs/>
              </w:rPr>
            </w:pPr>
            <w:r w:rsidRPr="00006435">
              <w:rPr>
                <w:b/>
                <w:bCs/>
                <w:iCs/>
              </w:rPr>
              <w:t>$</w:t>
            </w:r>
            <w:r w:rsidR="00B049C2">
              <w:rPr>
                <w:b/>
                <w:bCs/>
                <w:iCs/>
                <w:noProof/>
                <w:color w:val="000000"/>
                <w:highlight w:val="black"/>
              </w:rPr>
              <w:t>''''''''''''''''</w:t>
            </w:r>
          </w:p>
        </w:tc>
      </w:tr>
    </w:tbl>
    <w:p w:rsidR="00382ED1" w:rsidRPr="00006435" w:rsidRDefault="00382ED1" w:rsidP="002C53C8">
      <w:pPr>
        <w:widowControl/>
        <w:tabs>
          <w:tab w:val="left" w:pos="142"/>
        </w:tabs>
        <w:rPr>
          <w:rFonts w:ascii="Arial Narrow" w:hAnsi="Arial Narrow"/>
          <w:sz w:val="18"/>
          <w:szCs w:val="16"/>
        </w:rPr>
      </w:pPr>
      <w:r w:rsidRPr="00006435">
        <w:rPr>
          <w:rFonts w:ascii="Arial Narrow" w:hAnsi="Arial Narrow"/>
          <w:sz w:val="18"/>
          <w:szCs w:val="16"/>
          <w:vertAlign w:val="superscript"/>
        </w:rPr>
        <w:t>#</w:t>
      </w:r>
      <w:r w:rsidRPr="00006435">
        <w:rPr>
          <w:rFonts w:ascii="Arial Narrow" w:hAnsi="Arial Narrow"/>
          <w:sz w:val="18"/>
          <w:szCs w:val="16"/>
        </w:rPr>
        <w:tab/>
      </w:r>
      <w:proofErr w:type="gramStart"/>
      <w:r w:rsidRPr="00006435">
        <w:rPr>
          <w:rFonts w:ascii="Arial Narrow" w:hAnsi="Arial Narrow"/>
          <w:sz w:val="18"/>
          <w:szCs w:val="16"/>
        </w:rPr>
        <w:t>Not</w:t>
      </w:r>
      <w:proofErr w:type="gramEnd"/>
      <w:r w:rsidRPr="00006435">
        <w:rPr>
          <w:rFonts w:ascii="Arial Narrow" w:hAnsi="Arial Narrow"/>
          <w:sz w:val="18"/>
          <w:szCs w:val="16"/>
        </w:rPr>
        <w:t xml:space="preserve"> used in the calculations</w:t>
      </w:r>
    </w:p>
    <w:p w:rsidR="00382ED1" w:rsidRPr="00006435" w:rsidRDefault="00382ED1" w:rsidP="002C53C8">
      <w:pPr>
        <w:widowControl/>
        <w:tabs>
          <w:tab w:val="left" w:pos="142"/>
        </w:tabs>
        <w:rPr>
          <w:rFonts w:ascii="Arial Narrow" w:hAnsi="Arial Narrow"/>
          <w:sz w:val="18"/>
          <w:szCs w:val="16"/>
        </w:rPr>
      </w:pPr>
      <w:r w:rsidRPr="00006435">
        <w:rPr>
          <w:rFonts w:ascii="Arial Narrow" w:hAnsi="Arial Narrow"/>
          <w:sz w:val="18"/>
          <w:szCs w:val="16"/>
        </w:rPr>
        <w:t>^</w:t>
      </w:r>
      <w:r w:rsidRPr="00006435">
        <w:rPr>
          <w:rFonts w:ascii="Arial Narrow" w:hAnsi="Arial Narrow"/>
          <w:sz w:val="18"/>
          <w:szCs w:val="16"/>
        </w:rPr>
        <w:tab/>
        <w:t>Based on updated DPMQ, $</w:t>
      </w:r>
      <w:r w:rsidR="00B049C2">
        <w:rPr>
          <w:rFonts w:ascii="Arial Narrow" w:hAnsi="Arial Narrow"/>
          <w:noProof/>
          <w:color w:val="000000"/>
          <w:sz w:val="18"/>
          <w:szCs w:val="16"/>
          <w:highlight w:val="black"/>
        </w:rPr>
        <w:t>'''''''''''''''</w:t>
      </w:r>
    </w:p>
    <w:p w:rsidR="00382ED1" w:rsidRPr="00006435" w:rsidRDefault="00382ED1" w:rsidP="002C53C8">
      <w:pPr>
        <w:widowControl/>
        <w:tabs>
          <w:tab w:val="left" w:pos="142"/>
        </w:tabs>
        <w:rPr>
          <w:rFonts w:ascii="Arial Narrow" w:hAnsi="Arial Narrow"/>
          <w:sz w:val="18"/>
          <w:szCs w:val="16"/>
        </w:rPr>
      </w:pPr>
      <w:r w:rsidRPr="00006435">
        <w:rPr>
          <w:rFonts w:ascii="Arial Narrow" w:hAnsi="Arial Narrow"/>
          <w:sz w:val="18"/>
          <w:szCs w:val="16"/>
        </w:rPr>
        <w:t>Source: Tables 4.2.2, 4.2.3, 4.2.4, 4.2.5, 4.2.6, 4.2.7, 4.2.8, 4.2.9, 4.2.10, 4.2.11, 4.3.1, 4.3.2, 4.4.1, 4.4.2, pp249-260 of the submission.</w:t>
      </w:r>
    </w:p>
    <w:p w:rsidR="00C25D9C" w:rsidRPr="00A17D48" w:rsidRDefault="006E6EB5" w:rsidP="006E6EB5">
      <w:pPr>
        <w:pStyle w:val="TableFooter"/>
        <w:spacing w:before="120" w:after="120"/>
        <w:rPr>
          <w:rFonts w:ascii="Calibri" w:hAnsi="Calibri" w:cs="Calibri"/>
          <w:i/>
          <w:sz w:val="24"/>
          <w:szCs w:val="24"/>
        </w:rPr>
      </w:pPr>
      <w:r w:rsidRPr="00A17D48">
        <w:rPr>
          <w:rFonts w:ascii="Calibri" w:hAnsi="Calibri" w:cs="Calibri"/>
          <w:i/>
          <w:sz w:val="24"/>
          <w:szCs w:val="24"/>
        </w:rPr>
        <w:t>The redacted table shows that at Year 6 the estimated number of scripts was less than 10,000 per year, and the net cost to the PBS would be substantially less than $10 million per year.</w:t>
      </w:r>
    </w:p>
    <w:p w:rsidR="00382ED1" w:rsidRPr="00006435" w:rsidRDefault="00382ED1" w:rsidP="002C53C8">
      <w:pPr>
        <w:pStyle w:val="ListParagraph"/>
        <w:widowControl/>
        <w:numPr>
          <w:ilvl w:val="1"/>
          <w:numId w:val="3"/>
        </w:numPr>
        <w:rPr>
          <w:iCs/>
        </w:rPr>
      </w:pPr>
      <w:r w:rsidRPr="00006435">
        <w:rPr>
          <w:iCs/>
        </w:rPr>
        <w:t xml:space="preserve">The model predicted a net cost to the government of </w:t>
      </w:r>
      <w:r w:rsidR="008C70F9">
        <w:rPr>
          <w:iCs/>
        </w:rPr>
        <w:t>less than $10 million</w:t>
      </w:r>
      <w:r w:rsidRPr="00006435">
        <w:rPr>
          <w:iCs/>
        </w:rPr>
        <w:t xml:space="preserve"> over</w:t>
      </w:r>
      <w:r w:rsidR="005932F9" w:rsidRPr="00006435">
        <w:rPr>
          <w:iCs/>
        </w:rPr>
        <w:t xml:space="preserve"> the first</w:t>
      </w:r>
      <w:r w:rsidRPr="00006435">
        <w:rPr>
          <w:iCs/>
        </w:rPr>
        <w:t xml:space="preserve"> six years</w:t>
      </w:r>
      <w:r w:rsidR="005932F9" w:rsidRPr="00006435">
        <w:rPr>
          <w:iCs/>
        </w:rPr>
        <w:t xml:space="preserve"> of listing</w:t>
      </w:r>
      <w:r w:rsidRPr="00006435">
        <w:rPr>
          <w:iCs/>
        </w:rPr>
        <w:t xml:space="preserve">.  As noted above, at the reduced doses for management of adverse events the strength of TCZ SC remains the same but the frequency is reduced, whereas the strength of SAR is reduced but the frequency remains the same.  Therefore, patients who require the reduced dosing regimen will require twice as many scripts of SAR compared to TCZ SC.  Given the submission requested the same price for SAR 200mg and SAR 150mg formulations, the 150mg formulation is associated with a net cost to the PBS.  </w:t>
      </w:r>
    </w:p>
    <w:p w:rsidR="00382ED1" w:rsidRPr="00006435" w:rsidRDefault="00382ED1" w:rsidP="002C53C8">
      <w:pPr>
        <w:pStyle w:val="ListParagraph"/>
        <w:widowControl/>
        <w:numPr>
          <w:ilvl w:val="1"/>
          <w:numId w:val="3"/>
        </w:numPr>
        <w:rPr>
          <w:iCs/>
        </w:rPr>
      </w:pPr>
      <w:r w:rsidRPr="00006435">
        <w:rPr>
          <w:iCs/>
        </w:rPr>
        <w:t xml:space="preserve">The submission did not present sensitivity analyses given the expectation of minimal impact on the health budget.  </w:t>
      </w:r>
      <w:r w:rsidR="006F3E63" w:rsidRPr="00006435">
        <w:rPr>
          <w:iCs/>
        </w:rPr>
        <w:t xml:space="preserve">As the listing should be on a cost-minimisation basis to the lowest cost </w:t>
      </w:r>
      <w:proofErr w:type="spellStart"/>
      <w:r w:rsidR="006F3E63" w:rsidRPr="00006435">
        <w:rPr>
          <w:iCs/>
        </w:rPr>
        <w:t>bDMARD</w:t>
      </w:r>
      <w:proofErr w:type="spellEnd"/>
      <w:r w:rsidR="006F3E63" w:rsidRPr="00006435">
        <w:rPr>
          <w:iCs/>
        </w:rPr>
        <w:t xml:space="preserve"> for RA,</w:t>
      </w:r>
      <w:r w:rsidR="00D96AC3" w:rsidRPr="00006435">
        <w:rPr>
          <w:iCs/>
        </w:rPr>
        <w:t xml:space="preserve"> and only current market growth was assumed,</w:t>
      </w:r>
      <w:r w:rsidR="006F3E63" w:rsidRPr="00006435">
        <w:rPr>
          <w:iCs/>
        </w:rPr>
        <w:t xml:space="preserve"> the listing would be expected to have nil or negligible financial impact.</w:t>
      </w:r>
    </w:p>
    <w:p w:rsidR="00576972" w:rsidRPr="00006435" w:rsidRDefault="00576972" w:rsidP="00127F36">
      <w:pPr>
        <w:pStyle w:val="Heading2"/>
      </w:pPr>
      <w:bookmarkStart w:id="14" w:name="_Toc524441622"/>
      <w:r w:rsidRPr="00006435">
        <w:lastRenderedPageBreak/>
        <w:t>Quality Use of Medicines</w:t>
      </w:r>
      <w:bookmarkEnd w:id="14"/>
    </w:p>
    <w:p w:rsidR="00463F46" w:rsidRPr="00006435" w:rsidRDefault="0064487D" w:rsidP="002C53C8">
      <w:pPr>
        <w:pStyle w:val="ListParagraph"/>
        <w:widowControl/>
        <w:numPr>
          <w:ilvl w:val="1"/>
          <w:numId w:val="3"/>
        </w:numPr>
      </w:pPr>
      <w:r w:rsidRPr="00006435">
        <w:t>The Sponsor plans to conduct prescriber education including management of adverse events, and implement a patient training program for safe administration of SC injections and reporting of adverse events.</w:t>
      </w:r>
    </w:p>
    <w:p w:rsidR="007454EA" w:rsidRPr="00F3476E" w:rsidRDefault="007454EA" w:rsidP="007454EA">
      <w:pPr>
        <w:pStyle w:val="ListParagraph"/>
        <w:ind w:left="709"/>
        <w:rPr>
          <w:i/>
        </w:rPr>
      </w:pPr>
      <w:r w:rsidRPr="00F3476E">
        <w:rPr>
          <w:i/>
        </w:rPr>
        <w:t>For more detail on PBAC’s view, see section 7 PBAC outcome.</w:t>
      </w:r>
    </w:p>
    <w:p w:rsidR="00AE70F2" w:rsidRPr="00F3476E" w:rsidRDefault="00AE70F2" w:rsidP="0049246D">
      <w:pPr>
        <w:numPr>
          <w:ilvl w:val="0"/>
          <w:numId w:val="3"/>
        </w:numPr>
        <w:spacing w:before="240" w:after="120"/>
        <w:outlineLvl w:val="0"/>
        <w:rPr>
          <w:b/>
          <w:bCs/>
          <w:sz w:val="32"/>
        </w:rPr>
      </w:pPr>
      <w:r w:rsidRPr="00F3476E">
        <w:rPr>
          <w:b/>
          <w:bCs/>
          <w:sz w:val="32"/>
        </w:rPr>
        <w:t>PBAC Outcome</w:t>
      </w:r>
    </w:p>
    <w:p w:rsidR="00F914F3" w:rsidRPr="00F3476E" w:rsidRDefault="00AE70F2" w:rsidP="00F914F3">
      <w:pPr>
        <w:numPr>
          <w:ilvl w:val="1"/>
          <w:numId w:val="3"/>
        </w:numPr>
        <w:spacing w:after="120"/>
        <w:rPr>
          <w:bCs/>
        </w:rPr>
      </w:pPr>
      <w:r w:rsidRPr="00F3476E">
        <w:rPr>
          <w:bCs/>
        </w:rPr>
        <w:t>The</w:t>
      </w:r>
      <w:r w:rsidR="00F914F3" w:rsidRPr="00F3476E">
        <w:rPr>
          <w:bCs/>
        </w:rPr>
        <w:t xml:space="preserve"> PBAC recommended the </w:t>
      </w:r>
      <w:r w:rsidR="00470F25" w:rsidRPr="00F3476E">
        <w:rPr>
          <w:bCs/>
        </w:rPr>
        <w:t>authority required</w:t>
      </w:r>
      <w:r w:rsidR="00F914F3" w:rsidRPr="00F3476E">
        <w:rPr>
          <w:bCs/>
        </w:rPr>
        <w:t xml:space="preserve"> listing of </w:t>
      </w:r>
      <w:proofErr w:type="spellStart"/>
      <w:r w:rsidR="00F914F3" w:rsidRPr="00F3476E">
        <w:rPr>
          <w:bCs/>
        </w:rPr>
        <w:t>sarilumab</w:t>
      </w:r>
      <w:proofErr w:type="spellEnd"/>
      <w:r w:rsidR="00F914F3" w:rsidRPr="00F3476E">
        <w:rPr>
          <w:bCs/>
        </w:rPr>
        <w:t xml:space="preserve"> on a cost minimisation basis </w:t>
      </w:r>
      <w:r w:rsidR="001A204B" w:rsidRPr="00F3476E">
        <w:rPr>
          <w:bCs/>
        </w:rPr>
        <w:t>with</w:t>
      </w:r>
      <w:r w:rsidR="00F914F3" w:rsidRPr="00F3476E">
        <w:rPr>
          <w:bCs/>
        </w:rPr>
        <w:t xml:space="preserve"> the least costly biological disease modifying anti-rheumatic drug (</w:t>
      </w:r>
      <w:proofErr w:type="spellStart"/>
      <w:r w:rsidR="00F914F3" w:rsidRPr="00F3476E">
        <w:rPr>
          <w:bCs/>
        </w:rPr>
        <w:t>bDMARD</w:t>
      </w:r>
      <w:proofErr w:type="spellEnd"/>
      <w:r w:rsidR="00F914F3" w:rsidRPr="00F3476E">
        <w:rPr>
          <w:bCs/>
        </w:rPr>
        <w:t xml:space="preserve">) for severe active rheumatoid arthritis (RA).  In making this recommendation, the PBAC accepted any of the current PBS listed </w:t>
      </w:r>
      <w:proofErr w:type="spellStart"/>
      <w:r w:rsidR="00F914F3" w:rsidRPr="00F3476E">
        <w:rPr>
          <w:bCs/>
        </w:rPr>
        <w:t>bDMARDs</w:t>
      </w:r>
      <w:proofErr w:type="spellEnd"/>
      <w:r w:rsidR="00F26C69" w:rsidRPr="00F3476E">
        <w:rPr>
          <w:bCs/>
        </w:rPr>
        <w:t xml:space="preserve"> that include conditions</w:t>
      </w:r>
      <w:r w:rsidR="00F914F3" w:rsidRPr="00F3476E">
        <w:rPr>
          <w:bCs/>
        </w:rPr>
        <w:t xml:space="preserve"> for severe RA could be an alternative therapy to </w:t>
      </w:r>
      <w:proofErr w:type="spellStart"/>
      <w:r w:rsidR="00F914F3" w:rsidRPr="00F3476E">
        <w:rPr>
          <w:bCs/>
        </w:rPr>
        <w:t>sarilumab</w:t>
      </w:r>
      <w:proofErr w:type="spellEnd"/>
      <w:r w:rsidR="00F914F3" w:rsidRPr="00F3476E">
        <w:rPr>
          <w:bCs/>
        </w:rPr>
        <w:t>.</w:t>
      </w:r>
    </w:p>
    <w:p w:rsidR="00F914F3" w:rsidRPr="00F3476E" w:rsidRDefault="00F914F3" w:rsidP="00F914F3">
      <w:pPr>
        <w:numPr>
          <w:ilvl w:val="1"/>
          <w:numId w:val="3"/>
        </w:numPr>
        <w:spacing w:after="120"/>
        <w:rPr>
          <w:bCs/>
        </w:rPr>
      </w:pPr>
      <w:r w:rsidRPr="00F3476E">
        <w:rPr>
          <w:bCs/>
        </w:rPr>
        <w:t xml:space="preserve">The PBAC considered the equi-effective doses of the 200mg strength of </w:t>
      </w:r>
      <w:proofErr w:type="spellStart"/>
      <w:r w:rsidRPr="00F3476E">
        <w:rPr>
          <w:bCs/>
        </w:rPr>
        <w:t>sarilumab</w:t>
      </w:r>
      <w:proofErr w:type="spellEnd"/>
      <w:r w:rsidRPr="00F3476E">
        <w:rPr>
          <w:bCs/>
        </w:rPr>
        <w:t xml:space="preserve"> (at the recommended dose of 200mg </w:t>
      </w:r>
      <w:r w:rsidR="00CD7667">
        <w:rPr>
          <w:bCs/>
        </w:rPr>
        <w:t>every two weeks</w:t>
      </w:r>
      <w:r w:rsidRPr="00F3476E">
        <w:rPr>
          <w:bCs/>
        </w:rPr>
        <w:t xml:space="preserve">) and alternative </w:t>
      </w:r>
      <w:proofErr w:type="spellStart"/>
      <w:r w:rsidRPr="00F3476E">
        <w:rPr>
          <w:bCs/>
        </w:rPr>
        <w:t>bDMARDs</w:t>
      </w:r>
      <w:proofErr w:type="spellEnd"/>
      <w:r w:rsidRPr="00F3476E">
        <w:rPr>
          <w:bCs/>
        </w:rPr>
        <w:t xml:space="preserve"> could be derived from the product information and with reference to the previously recommended equi-effective doses collated in the PBS Therapeutic Relativity Sheets.</w:t>
      </w:r>
    </w:p>
    <w:p w:rsidR="00F914F3" w:rsidRPr="00F3476E" w:rsidRDefault="00F914F3" w:rsidP="00F914F3">
      <w:pPr>
        <w:numPr>
          <w:ilvl w:val="1"/>
          <w:numId w:val="3"/>
        </w:numPr>
        <w:spacing w:after="120"/>
        <w:rPr>
          <w:bCs/>
        </w:rPr>
      </w:pPr>
      <w:r w:rsidRPr="00F3476E">
        <w:rPr>
          <w:bCs/>
        </w:rPr>
        <w:t xml:space="preserve">The PBAC noted that ten alternative </w:t>
      </w:r>
      <w:proofErr w:type="spellStart"/>
      <w:r w:rsidRPr="00F3476E">
        <w:rPr>
          <w:bCs/>
        </w:rPr>
        <w:t>bDMARDs</w:t>
      </w:r>
      <w:proofErr w:type="spellEnd"/>
      <w:r w:rsidRPr="00F3476E">
        <w:rPr>
          <w:bCs/>
        </w:rPr>
        <w:t xml:space="preserve"> were listed on the PBS for the treatment of RA at </w:t>
      </w:r>
      <w:r w:rsidR="00B6451B" w:rsidRPr="00F3476E">
        <w:rPr>
          <w:bCs/>
        </w:rPr>
        <w:t xml:space="preserve">the </w:t>
      </w:r>
      <w:r w:rsidRPr="00F3476E">
        <w:rPr>
          <w:bCs/>
        </w:rPr>
        <w:t xml:space="preserve">time of consideration. </w:t>
      </w:r>
      <w:r w:rsidRPr="00006435">
        <w:t xml:space="preserve">The PBAC considered that the clinical need </w:t>
      </w:r>
      <w:r w:rsidR="00D35769" w:rsidRPr="00006435">
        <w:t xml:space="preserve">for an additional </w:t>
      </w:r>
      <w:proofErr w:type="spellStart"/>
      <w:r w:rsidR="00D35769" w:rsidRPr="00006435">
        <w:t>bDMARD</w:t>
      </w:r>
      <w:proofErr w:type="spellEnd"/>
      <w:r w:rsidR="00D35769" w:rsidRPr="00006435">
        <w:t xml:space="preserve"> was modest,</w:t>
      </w:r>
      <w:r w:rsidRPr="00006435">
        <w:t xml:space="preserve"> however </w:t>
      </w:r>
      <w:r w:rsidR="00D35769" w:rsidRPr="00006435">
        <w:t>also</w:t>
      </w:r>
      <w:r w:rsidRPr="00006435">
        <w:t xml:space="preserve"> acknowledged the addition of another </w:t>
      </w:r>
      <w:r w:rsidR="00B17EDF" w:rsidRPr="00006435">
        <w:t xml:space="preserve">option </w:t>
      </w:r>
      <w:r w:rsidRPr="00006435">
        <w:t>may be useful to some patients.</w:t>
      </w:r>
    </w:p>
    <w:p w:rsidR="00D35769" w:rsidRPr="00F3476E" w:rsidRDefault="00D35769" w:rsidP="00F914F3">
      <w:pPr>
        <w:numPr>
          <w:ilvl w:val="1"/>
          <w:numId w:val="3"/>
        </w:numPr>
        <w:spacing w:after="120"/>
        <w:rPr>
          <w:bCs/>
        </w:rPr>
      </w:pPr>
      <w:r w:rsidRPr="00F3476E">
        <w:rPr>
          <w:bCs/>
        </w:rPr>
        <w:t xml:space="preserve">The PBAC considered that the nominated comparator of </w:t>
      </w:r>
      <w:proofErr w:type="spellStart"/>
      <w:r w:rsidRPr="00F3476E">
        <w:rPr>
          <w:bCs/>
        </w:rPr>
        <w:t>tocilizumab</w:t>
      </w:r>
      <w:proofErr w:type="spellEnd"/>
      <w:r w:rsidRPr="00F3476E">
        <w:rPr>
          <w:bCs/>
        </w:rPr>
        <w:t xml:space="preserve"> was appropriate, however</w:t>
      </w:r>
      <w:r w:rsidR="00A934CB" w:rsidRPr="00F3476E">
        <w:rPr>
          <w:bCs/>
        </w:rPr>
        <w:t xml:space="preserve"> also considered</w:t>
      </w:r>
      <w:r w:rsidRPr="00F3476E">
        <w:rPr>
          <w:bCs/>
        </w:rPr>
        <w:t xml:space="preserve"> any of the </w:t>
      </w:r>
      <w:proofErr w:type="spellStart"/>
      <w:r w:rsidRPr="00F3476E">
        <w:rPr>
          <w:bCs/>
        </w:rPr>
        <w:t>bDMARDs</w:t>
      </w:r>
      <w:proofErr w:type="spellEnd"/>
      <w:r w:rsidRPr="00F3476E">
        <w:rPr>
          <w:bCs/>
        </w:rPr>
        <w:t xml:space="preserve"> (and </w:t>
      </w:r>
      <w:proofErr w:type="spellStart"/>
      <w:r w:rsidR="00BF32E9" w:rsidRPr="00F3476E">
        <w:rPr>
          <w:bCs/>
        </w:rPr>
        <w:t>t</w:t>
      </w:r>
      <w:r w:rsidRPr="00F3476E">
        <w:rPr>
          <w:bCs/>
        </w:rPr>
        <w:t>sDMARDs</w:t>
      </w:r>
      <w:proofErr w:type="spellEnd"/>
      <w:r w:rsidRPr="00F3476E">
        <w:rPr>
          <w:bCs/>
        </w:rPr>
        <w:t>) listed for severe active RA were relevant alternative therapies.</w:t>
      </w:r>
    </w:p>
    <w:p w:rsidR="007D7E03" w:rsidRPr="00F3476E" w:rsidRDefault="00F914F3" w:rsidP="007D7E03">
      <w:pPr>
        <w:numPr>
          <w:ilvl w:val="1"/>
          <w:numId w:val="3"/>
        </w:numPr>
        <w:spacing w:after="120"/>
        <w:rPr>
          <w:bCs/>
        </w:rPr>
      </w:pPr>
      <w:r w:rsidRPr="00F3476E">
        <w:rPr>
          <w:bCs/>
        </w:rPr>
        <w:t xml:space="preserve">The submission described </w:t>
      </w:r>
      <w:proofErr w:type="spellStart"/>
      <w:r w:rsidRPr="00F3476E">
        <w:rPr>
          <w:bCs/>
        </w:rPr>
        <w:t>sarilumab</w:t>
      </w:r>
      <w:proofErr w:type="spellEnd"/>
      <w:r w:rsidRPr="00F3476E">
        <w:rPr>
          <w:bCs/>
        </w:rPr>
        <w:t xml:space="preserve"> </w:t>
      </w:r>
      <w:r w:rsidR="00C36CBB" w:rsidRPr="00F3476E">
        <w:rPr>
          <w:bCs/>
        </w:rPr>
        <w:t>as</w:t>
      </w:r>
      <w:r w:rsidRPr="00F3476E">
        <w:rPr>
          <w:bCs/>
        </w:rPr>
        <w:t xml:space="preserve"> non-inferior in terms of comparative effectiveness and safety in RA versus </w:t>
      </w:r>
      <w:proofErr w:type="spellStart"/>
      <w:r w:rsidRPr="00F3476E">
        <w:rPr>
          <w:bCs/>
        </w:rPr>
        <w:t>tocilizumab</w:t>
      </w:r>
      <w:proofErr w:type="spellEnd"/>
      <w:r w:rsidRPr="00F3476E">
        <w:rPr>
          <w:bCs/>
        </w:rPr>
        <w:t>, a pharmacologic</w:t>
      </w:r>
      <w:r w:rsidR="007D7E03" w:rsidRPr="00F3476E">
        <w:rPr>
          <w:bCs/>
        </w:rPr>
        <w:t>al</w:t>
      </w:r>
      <w:r w:rsidRPr="00F3476E">
        <w:rPr>
          <w:bCs/>
        </w:rPr>
        <w:t xml:space="preserve"> analogue of </w:t>
      </w:r>
      <w:proofErr w:type="spellStart"/>
      <w:r w:rsidRPr="00F3476E">
        <w:rPr>
          <w:bCs/>
        </w:rPr>
        <w:t>sarilumab</w:t>
      </w:r>
      <w:proofErr w:type="spellEnd"/>
      <w:r w:rsidRPr="00F3476E">
        <w:rPr>
          <w:bCs/>
        </w:rPr>
        <w:t xml:space="preserve"> (IL-6 inhibitor). Based on the evidence presented in the submission</w:t>
      </w:r>
      <w:r w:rsidR="00C30B1E" w:rsidRPr="00F3476E">
        <w:rPr>
          <w:bCs/>
        </w:rPr>
        <w:t>, the PBAC considered the claim</w:t>
      </w:r>
      <w:r w:rsidR="007D7E03" w:rsidRPr="00F3476E">
        <w:rPr>
          <w:bCs/>
        </w:rPr>
        <w:t xml:space="preserve"> of non-inferiority</w:t>
      </w:r>
      <w:r w:rsidR="00C30B1E" w:rsidRPr="00F3476E">
        <w:rPr>
          <w:bCs/>
        </w:rPr>
        <w:t xml:space="preserve"> to be adequately supported for the 200mg formulation</w:t>
      </w:r>
      <w:r w:rsidR="007D7E03" w:rsidRPr="00F3476E">
        <w:rPr>
          <w:bCs/>
        </w:rPr>
        <w:t xml:space="preserve"> of </w:t>
      </w:r>
      <w:proofErr w:type="spellStart"/>
      <w:r w:rsidR="007D7E03" w:rsidRPr="00F3476E">
        <w:rPr>
          <w:bCs/>
        </w:rPr>
        <w:t>sarilumab</w:t>
      </w:r>
      <w:proofErr w:type="spellEnd"/>
      <w:r w:rsidR="007D7E03" w:rsidRPr="00F3476E">
        <w:rPr>
          <w:bCs/>
        </w:rPr>
        <w:t xml:space="preserve"> once every two weeks and </w:t>
      </w:r>
      <w:proofErr w:type="spellStart"/>
      <w:r w:rsidR="007D7E03" w:rsidRPr="00F3476E">
        <w:rPr>
          <w:bCs/>
        </w:rPr>
        <w:t>tocilizumab</w:t>
      </w:r>
      <w:proofErr w:type="spellEnd"/>
      <w:r w:rsidR="007D7E03" w:rsidRPr="00F3476E">
        <w:rPr>
          <w:bCs/>
        </w:rPr>
        <w:t xml:space="preserve"> 162mg given subcutaneously every week. </w:t>
      </w:r>
      <w:r w:rsidR="00A74330" w:rsidRPr="00F3476E">
        <w:rPr>
          <w:bCs/>
        </w:rPr>
        <w:t xml:space="preserve"> </w:t>
      </w:r>
      <w:r w:rsidR="00102021" w:rsidRPr="00F3476E">
        <w:rPr>
          <w:bCs/>
        </w:rPr>
        <w:t xml:space="preserve">The PBAC noted it had previously considered </w:t>
      </w:r>
      <w:proofErr w:type="spellStart"/>
      <w:r w:rsidR="00102021" w:rsidRPr="00F3476E">
        <w:rPr>
          <w:bCs/>
        </w:rPr>
        <w:t>tocilizumab</w:t>
      </w:r>
      <w:proofErr w:type="spellEnd"/>
      <w:r w:rsidR="00102021" w:rsidRPr="00F3476E">
        <w:rPr>
          <w:bCs/>
        </w:rPr>
        <w:t xml:space="preserve"> to be of non-inferior comparative safety and efficacy to other alternative </w:t>
      </w:r>
      <w:proofErr w:type="spellStart"/>
      <w:r w:rsidR="00102021" w:rsidRPr="00F3476E">
        <w:rPr>
          <w:bCs/>
        </w:rPr>
        <w:t>bDMARDs</w:t>
      </w:r>
      <w:proofErr w:type="spellEnd"/>
      <w:r w:rsidR="00102021" w:rsidRPr="00F3476E">
        <w:rPr>
          <w:bCs/>
        </w:rPr>
        <w:t xml:space="preserve"> PBS listed for RA and therefore considered </w:t>
      </w:r>
      <w:proofErr w:type="spellStart"/>
      <w:r w:rsidR="00102021" w:rsidRPr="00F3476E">
        <w:rPr>
          <w:bCs/>
        </w:rPr>
        <w:t>sarilumab</w:t>
      </w:r>
      <w:proofErr w:type="spellEnd"/>
      <w:r w:rsidR="00102021" w:rsidRPr="00F3476E">
        <w:rPr>
          <w:bCs/>
        </w:rPr>
        <w:t xml:space="preserve"> was also likely to be non-inferior to these alternatives.</w:t>
      </w:r>
      <w:r w:rsidR="00A74330" w:rsidRPr="00F3476E">
        <w:rPr>
          <w:bCs/>
        </w:rPr>
        <w:t xml:space="preserve"> The PBAC noted no data was presented to demonstrate that </w:t>
      </w:r>
      <w:proofErr w:type="spellStart"/>
      <w:r w:rsidR="00A74330" w:rsidRPr="00F3476E">
        <w:rPr>
          <w:bCs/>
        </w:rPr>
        <w:t>sarilumab</w:t>
      </w:r>
      <w:proofErr w:type="spellEnd"/>
      <w:r w:rsidR="00A74330" w:rsidRPr="00F3476E">
        <w:rPr>
          <w:bCs/>
        </w:rPr>
        <w:t xml:space="preserve"> </w:t>
      </w:r>
      <w:r w:rsidR="00A74330" w:rsidRPr="00006435">
        <w:rPr>
          <w:iCs/>
        </w:rPr>
        <w:t xml:space="preserve">could be considered superior in terms of efficacy or safety to any of the other </w:t>
      </w:r>
      <w:proofErr w:type="spellStart"/>
      <w:r w:rsidR="00A74330" w:rsidRPr="00006435">
        <w:rPr>
          <w:iCs/>
        </w:rPr>
        <w:t>bDMARDs</w:t>
      </w:r>
      <w:proofErr w:type="spellEnd"/>
      <w:r w:rsidR="00A74330" w:rsidRPr="00006435">
        <w:rPr>
          <w:iCs/>
        </w:rPr>
        <w:t xml:space="preserve"> available for the treatment of severe RA. </w:t>
      </w:r>
    </w:p>
    <w:p w:rsidR="00AE70F2" w:rsidRPr="00F3476E" w:rsidRDefault="007B4063" w:rsidP="00AE70F2">
      <w:pPr>
        <w:numPr>
          <w:ilvl w:val="1"/>
          <w:numId w:val="3"/>
        </w:numPr>
        <w:spacing w:after="120"/>
        <w:rPr>
          <w:bCs/>
        </w:rPr>
      </w:pPr>
      <w:r w:rsidRPr="00F3476E">
        <w:rPr>
          <w:bCs/>
        </w:rPr>
        <w:t xml:space="preserve">The PBAC noted the 150mg strength of </w:t>
      </w:r>
      <w:proofErr w:type="spellStart"/>
      <w:r w:rsidRPr="00F3476E">
        <w:rPr>
          <w:bCs/>
        </w:rPr>
        <w:t>sarilumab</w:t>
      </w:r>
      <w:proofErr w:type="spellEnd"/>
      <w:r w:rsidRPr="00F3476E">
        <w:rPr>
          <w:bCs/>
        </w:rPr>
        <w:t xml:space="preserve"> was intended for patients who experience adverse events including neutropenia, thrombocytopenia and elevated liver enzymes, similar to the</w:t>
      </w:r>
      <w:r w:rsidR="00102021" w:rsidRPr="00F3476E">
        <w:rPr>
          <w:bCs/>
        </w:rPr>
        <w:t xml:space="preserve"> indication for the reduced </w:t>
      </w:r>
      <w:r w:rsidRPr="00F3476E">
        <w:rPr>
          <w:bCs/>
        </w:rPr>
        <w:t xml:space="preserve">frequency regimen </w:t>
      </w:r>
      <w:r w:rsidR="00E674DA" w:rsidRPr="00F3476E">
        <w:rPr>
          <w:bCs/>
        </w:rPr>
        <w:t xml:space="preserve">of </w:t>
      </w:r>
      <w:proofErr w:type="spellStart"/>
      <w:r w:rsidR="00E674DA" w:rsidRPr="00F3476E">
        <w:rPr>
          <w:bCs/>
        </w:rPr>
        <w:t>tocilizumab</w:t>
      </w:r>
      <w:proofErr w:type="spellEnd"/>
      <w:r w:rsidR="00E674DA" w:rsidRPr="00F3476E">
        <w:rPr>
          <w:bCs/>
        </w:rPr>
        <w:t xml:space="preserve">. The PBAC agreed with the ESC and considered </w:t>
      </w:r>
      <w:r w:rsidR="00DE3A8C" w:rsidRPr="00F3476E">
        <w:rPr>
          <w:bCs/>
        </w:rPr>
        <w:t xml:space="preserve">that </w:t>
      </w:r>
      <w:proofErr w:type="spellStart"/>
      <w:r w:rsidR="00DE3A8C" w:rsidRPr="00F3476E">
        <w:rPr>
          <w:bCs/>
        </w:rPr>
        <w:t>sarilumab</w:t>
      </w:r>
      <w:proofErr w:type="spellEnd"/>
      <w:r w:rsidR="00DE3A8C" w:rsidRPr="00F3476E">
        <w:rPr>
          <w:bCs/>
        </w:rPr>
        <w:t xml:space="preserve"> 150mg once every two weeks was of non-inferior efficacy and safety to a reduced dose regimen of </w:t>
      </w:r>
      <w:proofErr w:type="spellStart"/>
      <w:r w:rsidR="00DE3A8C" w:rsidRPr="00F3476E">
        <w:rPr>
          <w:bCs/>
        </w:rPr>
        <w:lastRenderedPageBreak/>
        <w:t>tocilizumab</w:t>
      </w:r>
      <w:proofErr w:type="spellEnd"/>
      <w:r w:rsidR="00DE3A8C" w:rsidRPr="00F3476E">
        <w:rPr>
          <w:bCs/>
        </w:rPr>
        <w:t xml:space="preserve"> 162mg subcutaneously given once every two weeks to patients who experienced adverse events nec</w:t>
      </w:r>
      <w:r w:rsidR="00102021" w:rsidRPr="00F3476E">
        <w:rPr>
          <w:bCs/>
        </w:rPr>
        <w:t>essitating a reduction in dose</w:t>
      </w:r>
      <w:r w:rsidR="00DE3A8C" w:rsidRPr="00F3476E">
        <w:rPr>
          <w:bCs/>
        </w:rPr>
        <w:t>.</w:t>
      </w:r>
    </w:p>
    <w:p w:rsidR="00AE70F2" w:rsidRPr="00F3476E" w:rsidRDefault="00D93A1B" w:rsidP="00AE70F2">
      <w:pPr>
        <w:numPr>
          <w:ilvl w:val="1"/>
          <w:numId w:val="3"/>
        </w:numPr>
        <w:spacing w:after="120"/>
        <w:rPr>
          <w:bCs/>
        </w:rPr>
      </w:pPr>
      <w:r w:rsidRPr="00F3476E">
        <w:rPr>
          <w:bCs/>
        </w:rPr>
        <w:t xml:space="preserve">The PBAC considered it was appropriate to align the listings of the 200mg strength of </w:t>
      </w:r>
      <w:proofErr w:type="spellStart"/>
      <w:r w:rsidRPr="00F3476E">
        <w:rPr>
          <w:bCs/>
        </w:rPr>
        <w:t>sarilumab</w:t>
      </w:r>
      <w:proofErr w:type="spellEnd"/>
      <w:r w:rsidRPr="00F3476E">
        <w:rPr>
          <w:bCs/>
        </w:rPr>
        <w:t xml:space="preserve"> with the other </w:t>
      </w:r>
      <w:proofErr w:type="spellStart"/>
      <w:r w:rsidRPr="00F3476E">
        <w:rPr>
          <w:bCs/>
        </w:rPr>
        <w:t>bDMARDs</w:t>
      </w:r>
      <w:proofErr w:type="spellEnd"/>
      <w:r w:rsidRPr="00F3476E">
        <w:rPr>
          <w:bCs/>
        </w:rPr>
        <w:t xml:space="preserve"> currently listed for use in severe RA including </w:t>
      </w:r>
      <w:proofErr w:type="spellStart"/>
      <w:r w:rsidRPr="00F3476E">
        <w:rPr>
          <w:bCs/>
        </w:rPr>
        <w:t>tocilizumab</w:t>
      </w:r>
      <w:proofErr w:type="spellEnd"/>
      <w:r w:rsidRPr="00F3476E">
        <w:rPr>
          <w:bCs/>
        </w:rPr>
        <w:t xml:space="preserve">, and noted the flow-on changes to the administrative notes in the other </w:t>
      </w:r>
      <w:proofErr w:type="spellStart"/>
      <w:r w:rsidRPr="00F3476E">
        <w:rPr>
          <w:bCs/>
        </w:rPr>
        <w:t>bDMARDs</w:t>
      </w:r>
      <w:proofErr w:type="spellEnd"/>
      <w:r w:rsidRPr="00F3476E">
        <w:rPr>
          <w:bCs/>
        </w:rPr>
        <w:t xml:space="preserve"> (</w:t>
      </w:r>
      <w:proofErr w:type="spellStart"/>
      <w:r w:rsidRPr="00F3476E">
        <w:rPr>
          <w:bCs/>
        </w:rPr>
        <w:t>abatacept</w:t>
      </w:r>
      <w:proofErr w:type="spellEnd"/>
      <w:r w:rsidRPr="00F3476E">
        <w:rPr>
          <w:bCs/>
        </w:rPr>
        <w:t xml:space="preserve">, </w:t>
      </w:r>
      <w:proofErr w:type="spellStart"/>
      <w:r w:rsidRPr="00F3476E">
        <w:rPr>
          <w:bCs/>
        </w:rPr>
        <w:t>adalimumab</w:t>
      </w:r>
      <w:proofErr w:type="spellEnd"/>
      <w:r w:rsidRPr="00F3476E">
        <w:rPr>
          <w:bCs/>
        </w:rPr>
        <w:t xml:space="preserve">, </w:t>
      </w:r>
      <w:proofErr w:type="spellStart"/>
      <w:r w:rsidRPr="00F3476E">
        <w:rPr>
          <w:bCs/>
        </w:rPr>
        <w:t>bari</w:t>
      </w:r>
      <w:r w:rsidR="00A55AD9" w:rsidRPr="00F3476E">
        <w:rPr>
          <w:bCs/>
        </w:rPr>
        <w:t>ci</w:t>
      </w:r>
      <w:r w:rsidR="0099622E" w:rsidRPr="00F3476E">
        <w:rPr>
          <w:bCs/>
        </w:rPr>
        <w:t>t</w:t>
      </w:r>
      <w:r w:rsidRPr="00F3476E">
        <w:rPr>
          <w:bCs/>
        </w:rPr>
        <w:t>inib</w:t>
      </w:r>
      <w:proofErr w:type="spellEnd"/>
      <w:r w:rsidRPr="00F3476E">
        <w:rPr>
          <w:bCs/>
        </w:rPr>
        <w:t xml:space="preserve">, </w:t>
      </w:r>
      <w:proofErr w:type="spellStart"/>
      <w:r w:rsidRPr="00F3476E">
        <w:rPr>
          <w:bCs/>
        </w:rPr>
        <w:t>certolizumab</w:t>
      </w:r>
      <w:proofErr w:type="spellEnd"/>
      <w:r w:rsidRPr="00F3476E">
        <w:rPr>
          <w:bCs/>
        </w:rPr>
        <w:t xml:space="preserve"> </w:t>
      </w:r>
      <w:proofErr w:type="spellStart"/>
      <w:r w:rsidRPr="00F3476E">
        <w:rPr>
          <w:bCs/>
        </w:rPr>
        <w:t>pegol</w:t>
      </w:r>
      <w:proofErr w:type="spellEnd"/>
      <w:r w:rsidRPr="00F3476E">
        <w:rPr>
          <w:bCs/>
        </w:rPr>
        <w:t xml:space="preserve">, etanercept, </w:t>
      </w:r>
      <w:proofErr w:type="spellStart"/>
      <w:r w:rsidRPr="00F3476E">
        <w:rPr>
          <w:bCs/>
        </w:rPr>
        <w:t>golimumab</w:t>
      </w:r>
      <w:proofErr w:type="spellEnd"/>
      <w:r w:rsidRPr="00F3476E">
        <w:rPr>
          <w:bCs/>
        </w:rPr>
        <w:t>, infliximab, rituximab</w:t>
      </w:r>
      <w:r w:rsidR="00102021" w:rsidRPr="00F3476E">
        <w:rPr>
          <w:bCs/>
        </w:rPr>
        <w:t xml:space="preserve">, </w:t>
      </w:r>
      <w:proofErr w:type="spellStart"/>
      <w:r w:rsidR="00102021" w:rsidRPr="00F3476E">
        <w:rPr>
          <w:bCs/>
        </w:rPr>
        <w:t>tocilizumab</w:t>
      </w:r>
      <w:proofErr w:type="spellEnd"/>
      <w:r w:rsidRPr="00F3476E">
        <w:rPr>
          <w:bCs/>
        </w:rPr>
        <w:t xml:space="preserve"> and </w:t>
      </w:r>
      <w:proofErr w:type="spellStart"/>
      <w:r w:rsidRPr="00F3476E">
        <w:rPr>
          <w:bCs/>
        </w:rPr>
        <w:t>tofa</w:t>
      </w:r>
      <w:r w:rsidR="00A55AD9" w:rsidRPr="00F3476E">
        <w:rPr>
          <w:bCs/>
        </w:rPr>
        <w:t>c</w:t>
      </w:r>
      <w:r w:rsidRPr="00F3476E">
        <w:rPr>
          <w:bCs/>
        </w:rPr>
        <w:t>itinib</w:t>
      </w:r>
      <w:proofErr w:type="spellEnd"/>
      <w:r w:rsidRPr="00F3476E">
        <w:rPr>
          <w:bCs/>
        </w:rPr>
        <w:t>)</w:t>
      </w:r>
      <w:r w:rsidR="0019120E" w:rsidRPr="00F3476E">
        <w:rPr>
          <w:bCs/>
        </w:rPr>
        <w:t xml:space="preserve"> to include </w:t>
      </w:r>
      <w:proofErr w:type="spellStart"/>
      <w:r w:rsidR="0019120E" w:rsidRPr="00F3476E">
        <w:rPr>
          <w:bCs/>
        </w:rPr>
        <w:t>sarilumab</w:t>
      </w:r>
      <w:proofErr w:type="spellEnd"/>
      <w:r w:rsidR="0019120E" w:rsidRPr="00F3476E">
        <w:rPr>
          <w:bCs/>
        </w:rPr>
        <w:t xml:space="preserve"> as one of the </w:t>
      </w:r>
      <w:proofErr w:type="spellStart"/>
      <w:r w:rsidR="0019120E" w:rsidRPr="00F3476E">
        <w:rPr>
          <w:bCs/>
        </w:rPr>
        <w:t>bDMARDs</w:t>
      </w:r>
      <w:proofErr w:type="spellEnd"/>
      <w:r w:rsidR="0019120E" w:rsidRPr="00F3476E">
        <w:rPr>
          <w:bCs/>
        </w:rPr>
        <w:t xml:space="preserve"> for this indication.</w:t>
      </w:r>
    </w:p>
    <w:p w:rsidR="00AE70F2" w:rsidRPr="00F3476E" w:rsidRDefault="0019120E" w:rsidP="00AE70F2">
      <w:pPr>
        <w:numPr>
          <w:ilvl w:val="1"/>
          <w:numId w:val="3"/>
        </w:numPr>
        <w:spacing w:after="120"/>
        <w:rPr>
          <w:bCs/>
        </w:rPr>
      </w:pPr>
      <w:r w:rsidRPr="00F3476E">
        <w:rPr>
          <w:bCs/>
        </w:rPr>
        <w:t xml:space="preserve">The PBAC considered it was appropriate for the 150mg strength of </w:t>
      </w:r>
      <w:proofErr w:type="spellStart"/>
      <w:r w:rsidRPr="00F3476E">
        <w:rPr>
          <w:bCs/>
        </w:rPr>
        <w:t>sarilumab</w:t>
      </w:r>
      <w:proofErr w:type="spellEnd"/>
      <w:r w:rsidRPr="00F3476E">
        <w:rPr>
          <w:bCs/>
        </w:rPr>
        <w:t xml:space="preserve"> to be available for patients who experience adverse events necessitating a reduction in dosage. The PBAC noted the evidence indicated a durability of response</w:t>
      </w:r>
      <w:r w:rsidR="005638B6" w:rsidRPr="00F3476E">
        <w:rPr>
          <w:bCs/>
        </w:rPr>
        <w:t xml:space="preserve"> at 24 weeks</w:t>
      </w:r>
      <w:r w:rsidRPr="00F3476E">
        <w:rPr>
          <w:bCs/>
        </w:rPr>
        <w:t xml:space="preserve"> following dose reduction</w:t>
      </w:r>
      <w:r w:rsidR="005638B6" w:rsidRPr="00F3476E">
        <w:rPr>
          <w:bCs/>
        </w:rPr>
        <w:t>, and considered it appropriate that if a patient maintains a response as defined</w:t>
      </w:r>
      <w:r w:rsidR="00102021" w:rsidRPr="00F3476E">
        <w:rPr>
          <w:bCs/>
        </w:rPr>
        <w:t xml:space="preserve"> by the</w:t>
      </w:r>
      <w:r w:rsidR="005638B6" w:rsidRPr="00F3476E">
        <w:rPr>
          <w:bCs/>
        </w:rPr>
        <w:t xml:space="preserve"> same continuation criteria for the 200mg strength, continuation on the 150mg strength was a matter of clinical judgment. The PBAC considered it appropriate for the 150mg strength to have the same </w:t>
      </w:r>
      <w:r w:rsidR="00923DFA" w:rsidRPr="00F3476E">
        <w:rPr>
          <w:bCs/>
        </w:rPr>
        <w:t xml:space="preserve"> </w:t>
      </w:r>
      <w:r w:rsidR="005638B6" w:rsidRPr="00F3476E">
        <w:rPr>
          <w:bCs/>
        </w:rPr>
        <w:t>restriction</w:t>
      </w:r>
      <w:r w:rsidR="000D1196">
        <w:rPr>
          <w:bCs/>
        </w:rPr>
        <w:t>s</w:t>
      </w:r>
      <w:r w:rsidR="00923DFA" w:rsidRPr="00F3476E">
        <w:rPr>
          <w:bCs/>
        </w:rPr>
        <w:t xml:space="preserve"> </w:t>
      </w:r>
      <w:r w:rsidR="005638B6" w:rsidRPr="00F3476E">
        <w:rPr>
          <w:bCs/>
        </w:rPr>
        <w:t xml:space="preserve">as the 200mg </w:t>
      </w:r>
      <w:r w:rsidR="00470F25" w:rsidRPr="00F3476E">
        <w:rPr>
          <w:bCs/>
        </w:rPr>
        <w:t>strength</w:t>
      </w:r>
      <w:r w:rsidR="000D1196">
        <w:rPr>
          <w:bCs/>
        </w:rPr>
        <w:t xml:space="preserve"> and that a note in the prescriber instructions indicating that the purpose of the 150mg strength is for dose reduction purposes.</w:t>
      </w:r>
      <w:r w:rsidR="00470F25" w:rsidRPr="00F3476E">
        <w:rPr>
          <w:bCs/>
        </w:rPr>
        <w:t xml:space="preserve"> </w:t>
      </w:r>
    </w:p>
    <w:p w:rsidR="00A934CB" w:rsidRPr="00F3476E" w:rsidRDefault="00A934CB" w:rsidP="00AE70F2">
      <w:pPr>
        <w:numPr>
          <w:ilvl w:val="1"/>
          <w:numId w:val="3"/>
        </w:numPr>
        <w:spacing w:after="120"/>
        <w:rPr>
          <w:bCs/>
        </w:rPr>
      </w:pPr>
      <w:r w:rsidRPr="00F3476E">
        <w:rPr>
          <w:bCs/>
        </w:rPr>
        <w:t>The PBAC noted the submission requested a grandfather restriction for patients currently enrolled in a product familiarisation program and considered this was reasonable. The PBAC advised that grandfathered patients will be required to meet the PBS eligibility criteria and noted the grandfather restriction will be removed from the listing after 12 months, in line with standard procedure.</w:t>
      </w:r>
    </w:p>
    <w:p w:rsidR="00AE70F2" w:rsidRPr="00F3476E" w:rsidRDefault="00A934CB" w:rsidP="00AE70F2">
      <w:pPr>
        <w:numPr>
          <w:ilvl w:val="1"/>
          <w:numId w:val="3"/>
        </w:numPr>
        <w:spacing w:after="120"/>
        <w:rPr>
          <w:bCs/>
        </w:rPr>
      </w:pPr>
      <w:r w:rsidRPr="00F3476E">
        <w:rPr>
          <w:bCs/>
        </w:rPr>
        <w:t xml:space="preserve">The PBAC considered that listing of the 200mg strength of </w:t>
      </w:r>
      <w:proofErr w:type="spellStart"/>
      <w:r w:rsidRPr="00F3476E">
        <w:rPr>
          <w:bCs/>
        </w:rPr>
        <w:t>sarilumab</w:t>
      </w:r>
      <w:proofErr w:type="spellEnd"/>
      <w:r w:rsidRPr="00F3476E">
        <w:rPr>
          <w:bCs/>
        </w:rPr>
        <w:t xml:space="preserve"> on a cost minimisation basis with the lowest cost alternative </w:t>
      </w:r>
      <w:proofErr w:type="spellStart"/>
      <w:r w:rsidR="00006435" w:rsidRPr="00F3476E">
        <w:rPr>
          <w:bCs/>
        </w:rPr>
        <w:t>bDMARD</w:t>
      </w:r>
      <w:proofErr w:type="spellEnd"/>
      <w:r w:rsidRPr="00F3476E">
        <w:rPr>
          <w:bCs/>
        </w:rPr>
        <w:t xml:space="preserve"> was appropriate. For the 150mg strength, the PBAC considered pricing consistent with the cost of a reduced-frequency dose regimen of subcutaneous </w:t>
      </w:r>
      <w:proofErr w:type="spellStart"/>
      <w:r w:rsidRPr="00F3476E">
        <w:rPr>
          <w:bCs/>
        </w:rPr>
        <w:t>tocilizumab</w:t>
      </w:r>
      <w:proofErr w:type="spellEnd"/>
      <w:r w:rsidRPr="00F3476E">
        <w:rPr>
          <w:bCs/>
        </w:rPr>
        <w:t xml:space="preserve"> 162mg once every two weeks</w:t>
      </w:r>
      <w:r w:rsidR="00F20390" w:rsidRPr="00F3476E">
        <w:rPr>
          <w:bCs/>
        </w:rPr>
        <w:t>, was</w:t>
      </w:r>
      <w:r w:rsidRPr="00F3476E">
        <w:rPr>
          <w:bCs/>
        </w:rPr>
        <w:t xml:space="preserve"> appropriate</w:t>
      </w:r>
      <w:r w:rsidR="001A204B" w:rsidRPr="00F3476E">
        <w:rPr>
          <w:bCs/>
        </w:rPr>
        <w:t xml:space="preserve"> given the purpose of use and likely non-inferiority of these regimens.</w:t>
      </w:r>
    </w:p>
    <w:p w:rsidR="00AE70F2" w:rsidRPr="00F3476E" w:rsidRDefault="001A204B" w:rsidP="00AE70F2">
      <w:pPr>
        <w:numPr>
          <w:ilvl w:val="1"/>
          <w:numId w:val="3"/>
        </w:numPr>
        <w:spacing w:after="120"/>
        <w:rPr>
          <w:bCs/>
        </w:rPr>
      </w:pPr>
      <w:r w:rsidRPr="00F3476E">
        <w:rPr>
          <w:bCs/>
        </w:rPr>
        <w:t xml:space="preserve">The PBAC considered the market share approach taken by the submission was reasonable and agreed </w:t>
      </w:r>
      <w:proofErr w:type="spellStart"/>
      <w:r w:rsidRPr="00F3476E">
        <w:rPr>
          <w:bCs/>
        </w:rPr>
        <w:t>sarilumab</w:t>
      </w:r>
      <w:proofErr w:type="spellEnd"/>
      <w:r w:rsidRPr="00F3476E">
        <w:rPr>
          <w:bCs/>
        </w:rPr>
        <w:t xml:space="preserve"> was most likely to substitute for subcutaneous </w:t>
      </w:r>
      <w:proofErr w:type="spellStart"/>
      <w:r w:rsidRPr="00F3476E">
        <w:rPr>
          <w:bCs/>
        </w:rPr>
        <w:t>toc</w:t>
      </w:r>
      <w:r w:rsidR="00A55AD9" w:rsidRPr="00F3476E">
        <w:rPr>
          <w:bCs/>
        </w:rPr>
        <w:t>i</w:t>
      </w:r>
      <w:r w:rsidRPr="00F3476E">
        <w:rPr>
          <w:bCs/>
        </w:rPr>
        <w:t>lizumab</w:t>
      </w:r>
      <w:proofErr w:type="spellEnd"/>
      <w:r w:rsidRPr="00F3476E">
        <w:rPr>
          <w:bCs/>
        </w:rPr>
        <w:t xml:space="preserve">, and to a lesser extent, intravenous </w:t>
      </w:r>
      <w:proofErr w:type="spellStart"/>
      <w:r w:rsidRPr="00F3476E">
        <w:rPr>
          <w:bCs/>
        </w:rPr>
        <w:t>tocilizumab</w:t>
      </w:r>
      <w:proofErr w:type="spellEnd"/>
      <w:r w:rsidRPr="00F3476E">
        <w:rPr>
          <w:bCs/>
        </w:rPr>
        <w:t xml:space="preserve"> and other </w:t>
      </w:r>
      <w:proofErr w:type="spellStart"/>
      <w:r w:rsidRPr="00F3476E">
        <w:rPr>
          <w:bCs/>
        </w:rPr>
        <w:t>bDMARDs</w:t>
      </w:r>
      <w:proofErr w:type="spellEnd"/>
      <w:r w:rsidRPr="00F3476E">
        <w:rPr>
          <w:bCs/>
        </w:rPr>
        <w:t xml:space="preserve"> currently listed for RA.</w:t>
      </w:r>
      <w:r w:rsidR="00975C02" w:rsidRPr="00F3476E">
        <w:rPr>
          <w:bCs/>
        </w:rPr>
        <w:t xml:space="preserve"> The PBAC considered that listing on a cost minimisation basis with the </w:t>
      </w:r>
      <w:r w:rsidR="008C70F9">
        <w:rPr>
          <w:bCs/>
        </w:rPr>
        <w:t xml:space="preserve">least costly </w:t>
      </w:r>
      <w:proofErr w:type="spellStart"/>
      <w:r w:rsidR="008C70F9">
        <w:rPr>
          <w:bCs/>
        </w:rPr>
        <w:t>bDMARD</w:t>
      </w:r>
      <w:proofErr w:type="spellEnd"/>
      <w:r w:rsidR="008C70F9">
        <w:rPr>
          <w:bCs/>
        </w:rPr>
        <w:t xml:space="preserve"> for the 200</w:t>
      </w:r>
      <w:r w:rsidR="00975C02" w:rsidRPr="00F3476E">
        <w:rPr>
          <w:bCs/>
        </w:rPr>
        <w:t xml:space="preserve">mg strength, and at the same price as a reduced frequency regimen of </w:t>
      </w:r>
      <w:proofErr w:type="spellStart"/>
      <w:r w:rsidR="00975C02" w:rsidRPr="00F3476E">
        <w:rPr>
          <w:bCs/>
        </w:rPr>
        <w:t>toc</w:t>
      </w:r>
      <w:r w:rsidR="00A55AD9" w:rsidRPr="00F3476E">
        <w:rPr>
          <w:bCs/>
        </w:rPr>
        <w:t>i</w:t>
      </w:r>
      <w:r w:rsidR="00975C02" w:rsidRPr="00F3476E">
        <w:rPr>
          <w:bCs/>
        </w:rPr>
        <w:t>lizumab</w:t>
      </w:r>
      <w:proofErr w:type="spellEnd"/>
      <w:r w:rsidR="00F20390" w:rsidRPr="00F3476E">
        <w:rPr>
          <w:bCs/>
        </w:rPr>
        <w:t xml:space="preserve"> for the 150mg strength </w:t>
      </w:r>
      <w:r w:rsidR="00975C02" w:rsidRPr="00F3476E">
        <w:rPr>
          <w:bCs/>
        </w:rPr>
        <w:t xml:space="preserve">would most likely result in a cost-neutral listing to </w:t>
      </w:r>
      <w:r w:rsidR="00B17EDF" w:rsidRPr="00F3476E">
        <w:rPr>
          <w:bCs/>
        </w:rPr>
        <w:t>the PBS</w:t>
      </w:r>
      <w:r w:rsidR="00975C02" w:rsidRPr="00F3476E">
        <w:rPr>
          <w:bCs/>
        </w:rPr>
        <w:t>.</w:t>
      </w:r>
    </w:p>
    <w:p w:rsidR="001015E0" w:rsidRDefault="007419CC" w:rsidP="007419CC">
      <w:pPr>
        <w:pStyle w:val="ListParagraph"/>
        <w:numPr>
          <w:ilvl w:val="1"/>
          <w:numId w:val="3"/>
        </w:numPr>
        <w:spacing w:after="120"/>
      </w:pPr>
      <w:r w:rsidRPr="00006435">
        <w:t xml:space="preserve">Under section 101(3BA) of the </w:t>
      </w:r>
      <w:r w:rsidRPr="00006435">
        <w:rPr>
          <w:i/>
        </w:rPr>
        <w:t>National Health Act 1953</w:t>
      </w:r>
      <w:r w:rsidRPr="00006435">
        <w:t xml:space="preserve">, the PBAC advised that </w:t>
      </w:r>
      <w:proofErr w:type="spellStart"/>
      <w:r w:rsidRPr="00006435">
        <w:t>sarilumab</w:t>
      </w:r>
      <w:proofErr w:type="spellEnd"/>
      <w:r w:rsidRPr="00006435">
        <w:t xml:space="preserve"> may be treated as interchangeable on an individual patient basis with the other therapies listed for severe active RA including </w:t>
      </w:r>
      <w:proofErr w:type="spellStart"/>
      <w:r w:rsidRPr="00006435">
        <w:t>abatacept</w:t>
      </w:r>
      <w:proofErr w:type="spellEnd"/>
      <w:r w:rsidRPr="00006435">
        <w:t xml:space="preserve">, </w:t>
      </w:r>
      <w:proofErr w:type="spellStart"/>
      <w:r w:rsidRPr="00006435">
        <w:t>adalimumab</w:t>
      </w:r>
      <w:proofErr w:type="spellEnd"/>
      <w:r w:rsidRPr="00006435">
        <w:t xml:space="preserve">, </w:t>
      </w:r>
      <w:proofErr w:type="spellStart"/>
      <w:r w:rsidRPr="00006435">
        <w:t>baricitinib</w:t>
      </w:r>
      <w:proofErr w:type="spellEnd"/>
      <w:r w:rsidRPr="00006435">
        <w:t xml:space="preserve">, </w:t>
      </w:r>
      <w:proofErr w:type="spellStart"/>
      <w:r w:rsidRPr="00006435">
        <w:t>certolizumab</w:t>
      </w:r>
      <w:proofErr w:type="spellEnd"/>
      <w:r w:rsidRPr="00006435">
        <w:t xml:space="preserve"> </w:t>
      </w:r>
      <w:proofErr w:type="spellStart"/>
      <w:r w:rsidRPr="00006435">
        <w:t>pegol</w:t>
      </w:r>
      <w:proofErr w:type="spellEnd"/>
      <w:r w:rsidRPr="00006435">
        <w:t xml:space="preserve">, etanercept, </w:t>
      </w:r>
      <w:proofErr w:type="spellStart"/>
      <w:r w:rsidRPr="00006435">
        <w:t>golimumab</w:t>
      </w:r>
      <w:proofErr w:type="spellEnd"/>
      <w:r w:rsidRPr="00006435">
        <w:t xml:space="preserve">, infliximab, rituximab, </w:t>
      </w:r>
      <w:proofErr w:type="spellStart"/>
      <w:r w:rsidRPr="00006435">
        <w:t>tocilizumab</w:t>
      </w:r>
      <w:proofErr w:type="spellEnd"/>
      <w:r w:rsidRPr="00006435">
        <w:t xml:space="preserve"> and </w:t>
      </w:r>
      <w:proofErr w:type="spellStart"/>
      <w:r w:rsidRPr="00006435">
        <w:t>tofacitinib</w:t>
      </w:r>
      <w:proofErr w:type="spellEnd"/>
      <w:r w:rsidRPr="00006435">
        <w:t>.</w:t>
      </w:r>
    </w:p>
    <w:p w:rsidR="001015E0" w:rsidRDefault="001015E0">
      <w:pPr>
        <w:widowControl/>
        <w:jc w:val="left"/>
      </w:pPr>
      <w:r>
        <w:br w:type="page"/>
      </w:r>
    </w:p>
    <w:p w:rsidR="00AE70F2" w:rsidRPr="00F3476E" w:rsidRDefault="00AE70F2" w:rsidP="00AE70F2">
      <w:pPr>
        <w:numPr>
          <w:ilvl w:val="1"/>
          <w:numId w:val="3"/>
        </w:numPr>
        <w:spacing w:after="120"/>
        <w:rPr>
          <w:bCs/>
        </w:rPr>
      </w:pPr>
      <w:r w:rsidRPr="00F3476E">
        <w:rPr>
          <w:bCs/>
        </w:rPr>
        <w:lastRenderedPageBreak/>
        <w:t xml:space="preserve">The PBAC advised that </w:t>
      </w:r>
      <w:proofErr w:type="spellStart"/>
      <w:r w:rsidR="001A204B" w:rsidRPr="00F3476E">
        <w:rPr>
          <w:bCs/>
        </w:rPr>
        <w:t>sarilumab</w:t>
      </w:r>
      <w:proofErr w:type="spellEnd"/>
      <w:r w:rsidR="00DA7207" w:rsidRPr="00F3476E">
        <w:rPr>
          <w:bCs/>
        </w:rPr>
        <w:t xml:space="preserve"> </w:t>
      </w:r>
      <w:r w:rsidRPr="00F3476E">
        <w:rPr>
          <w:bCs/>
        </w:rPr>
        <w:t>is not suitable for prescribing by nurse practitioners</w:t>
      </w:r>
      <w:r w:rsidR="001A204B" w:rsidRPr="00F3476E">
        <w:rPr>
          <w:bCs/>
        </w:rPr>
        <w:t xml:space="preserve">, similar to the other </w:t>
      </w:r>
      <w:proofErr w:type="spellStart"/>
      <w:r w:rsidR="001A204B" w:rsidRPr="00F3476E">
        <w:rPr>
          <w:bCs/>
        </w:rPr>
        <w:t>bDMARDs</w:t>
      </w:r>
      <w:proofErr w:type="spellEnd"/>
      <w:r w:rsidR="001A204B" w:rsidRPr="00F3476E">
        <w:rPr>
          <w:bCs/>
        </w:rPr>
        <w:t xml:space="preserve"> for RA</w:t>
      </w:r>
      <w:r w:rsidRPr="00F3476E">
        <w:rPr>
          <w:bCs/>
        </w:rPr>
        <w:t xml:space="preserve">.  </w:t>
      </w:r>
    </w:p>
    <w:p w:rsidR="00AE70F2" w:rsidRPr="00F3476E" w:rsidRDefault="00AE70F2" w:rsidP="00AE70F2">
      <w:pPr>
        <w:numPr>
          <w:ilvl w:val="1"/>
          <w:numId w:val="3"/>
        </w:numPr>
        <w:spacing w:after="120"/>
        <w:rPr>
          <w:bCs/>
        </w:rPr>
      </w:pPr>
      <w:r w:rsidRPr="00F3476E">
        <w:rPr>
          <w:bCs/>
        </w:rPr>
        <w:t xml:space="preserve">The PBAC recommended that the Early Supply Rule should apply. </w:t>
      </w:r>
    </w:p>
    <w:p w:rsidR="005C4A79" w:rsidRPr="00F3476E" w:rsidRDefault="005C4A79" w:rsidP="00AE70F2">
      <w:pPr>
        <w:numPr>
          <w:ilvl w:val="1"/>
          <w:numId w:val="3"/>
        </w:numPr>
        <w:spacing w:after="120"/>
        <w:rPr>
          <w:bCs/>
        </w:rPr>
      </w:pPr>
      <w:r w:rsidRPr="00F3476E">
        <w:rPr>
          <w:bCs/>
        </w:rPr>
        <w:t xml:space="preserve">The PBAC noted the sponsor’s intention to request a Special Pricing Arrangement (SPA), and advised that under the SPA criteria it considered </w:t>
      </w:r>
      <w:proofErr w:type="spellStart"/>
      <w:r w:rsidRPr="00F3476E">
        <w:rPr>
          <w:bCs/>
        </w:rPr>
        <w:t>sarilumab</w:t>
      </w:r>
      <w:proofErr w:type="spellEnd"/>
      <w:r w:rsidRPr="00F3476E">
        <w:rPr>
          <w:bCs/>
        </w:rPr>
        <w:t xml:space="preserve"> does not have unique characteristics compared to any available alternative therapies for severe active RA.</w:t>
      </w:r>
    </w:p>
    <w:p w:rsidR="001A204B" w:rsidRPr="00F3476E" w:rsidRDefault="00AE70F2" w:rsidP="001A204B">
      <w:pPr>
        <w:numPr>
          <w:ilvl w:val="1"/>
          <w:numId w:val="3"/>
        </w:numPr>
        <w:spacing w:after="120"/>
        <w:rPr>
          <w:bCs/>
          <w:i/>
        </w:rPr>
      </w:pPr>
      <w:r w:rsidRPr="00F3476E">
        <w:rPr>
          <w:bCs/>
        </w:rPr>
        <w:t>The PB</w:t>
      </w:r>
      <w:r w:rsidR="001A204B" w:rsidRPr="00F3476E">
        <w:rPr>
          <w:bCs/>
        </w:rPr>
        <w:t xml:space="preserve">AC noted that this submission </w:t>
      </w:r>
      <w:r w:rsidRPr="00F3476E">
        <w:rPr>
          <w:bCs/>
        </w:rPr>
        <w:t>is not eligible for an Independent</w:t>
      </w:r>
      <w:r w:rsidR="001A204B" w:rsidRPr="00F3476E">
        <w:rPr>
          <w:bCs/>
        </w:rPr>
        <w:t xml:space="preserve"> Review as it received a positive recommendation.</w:t>
      </w:r>
      <w:r w:rsidRPr="00F3476E">
        <w:rPr>
          <w:bCs/>
        </w:rPr>
        <w:t xml:space="preserve"> </w:t>
      </w:r>
    </w:p>
    <w:p w:rsidR="00AE70F2" w:rsidRPr="00F3476E" w:rsidRDefault="00AE70F2" w:rsidP="00AE70F2">
      <w:pPr>
        <w:spacing w:before="240"/>
        <w:rPr>
          <w:b/>
          <w:bCs/>
        </w:rPr>
      </w:pPr>
      <w:r w:rsidRPr="00F3476E">
        <w:rPr>
          <w:b/>
          <w:bCs/>
        </w:rPr>
        <w:t>Outcome:</w:t>
      </w:r>
    </w:p>
    <w:p w:rsidR="00AE70F2" w:rsidRPr="00F3476E" w:rsidRDefault="00AE70F2" w:rsidP="00AE70F2">
      <w:pPr>
        <w:rPr>
          <w:bCs/>
        </w:rPr>
      </w:pPr>
      <w:r w:rsidRPr="00F3476E">
        <w:rPr>
          <w:bCs/>
        </w:rPr>
        <w:t>Recommended</w:t>
      </w:r>
    </w:p>
    <w:p w:rsidR="00AE70F2" w:rsidRPr="00F3476E" w:rsidRDefault="00AE70F2" w:rsidP="0049246D">
      <w:pPr>
        <w:numPr>
          <w:ilvl w:val="0"/>
          <w:numId w:val="3"/>
        </w:numPr>
        <w:spacing w:before="240" w:after="120"/>
        <w:outlineLvl w:val="0"/>
        <w:rPr>
          <w:b/>
          <w:bCs/>
          <w:i/>
          <w:sz w:val="32"/>
        </w:rPr>
      </w:pPr>
      <w:r w:rsidRPr="00F3476E">
        <w:rPr>
          <w:b/>
          <w:bCs/>
          <w:sz w:val="32"/>
        </w:rPr>
        <w:t>Recommended listing</w:t>
      </w:r>
    </w:p>
    <w:p w:rsidR="00695BD5" w:rsidRPr="006B7CC0" w:rsidRDefault="00695BD5" w:rsidP="00695BD5">
      <w:r w:rsidRPr="006B7CC0">
        <w:rPr>
          <w:b/>
        </w:rPr>
        <w:t>Note regarding restriction flow-</w:t>
      </w:r>
      <w:proofErr w:type="spellStart"/>
      <w:r w:rsidRPr="006B7CC0">
        <w:rPr>
          <w:b/>
        </w:rPr>
        <w:t>ons</w:t>
      </w:r>
      <w:proofErr w:type="spellEnd"/>
      <w:r w:rsidRPr="006B7CC0">
        <w:rPr>
          <w:b/>
        </w:rPr>
        <w:t>:</w:t>
      </w:r>
    </w:p>
    <w:p w:rsidR="00695BD5" w:rsidRPr="006B7CC0" w:rsidRDefault="00695BD5" w:rsidP="00695BD5"/>
    <w:p w:rsidR="00695BD5" w:rsidRPr="006B7CC0" w:rsidRDefault="00695BD5" w:rsidP="00695BD5">
      <w:pPr>
        <w:widowControl/>
        <w:jc w:val="left"/>
        <w:rPr>
          <w:b/>
          <w:sz w:val="28"/>
          <w:szCs w:val="28"/>
        </w:rPr>
      </w:pPr>
      <w:r w:rsidRPr="006B7CC0">
        <w:t xml:space="preserve">The administrative notes and prescribing instructions for all restrictions should be updated to include </w:t>
      </w:r>
      <w:proofErr w:type="spellStart"/>
      <w:r w:rsidRPr="006B7CC0">
        <w:t>sarilumab</w:t>
      </w:r>
      <w:proofErr w:type="spellEnd"/>
      <w:r w:rsidRPr="006B7CC0">
        <w:t xml:space="preserve"> in the list of permissible drugs in the following sections:</w:t>
      </w:r>
    </w:p>
    <w:p w:rsidR="00695BD5" w:rsidRPr="006B7CC0" w:rsidRDefault="00695BD5" w:rsidP="00695BD5">
      <w:pPr>
        <w:widowControl/>
      </w:pPr>
    </w:p>
    <w:p w:rsidR="00695BD5" w:rsidRPr="006B7CC0" w:rsidRDefault="00695BD5" w:rsidP="00695BD5">
      <w:pPr>
        <w:widowControl/>
      </w:pPr>
      <w:r w:rsidRPr="006B7CC0">
        <w:t xml:space="preserve">1) The following information applies to the prescribing under the Pharmaceutical Benefits Scheme (PBS) of the biological disease modifying </w:t>
      </w:r>
      <w:proofErr w:type="spellStart"/>
      <w:r w:rsidRPr="006B7CC0">
        <w:t>antirheumatic</w:t>
      </w:r>
      <w:proofErr w:type="spellEnd"/>
      <w:r w:rsidRPr="006B7CC0">
        <w:t xml:space="preserve"> drugs (</w:t>
      </w:r>
      <w:proofErr w:type="spellStart"/>
      <w:r w:rsidRPr="006B7CC0">
        <w:t>bDMARDs</w:t>
      </w:r>
      <w:proofErr w:type="spellEnd"/>
      <w:r w:rsidRPr="006B7CC0">
        <w:t xml:space="preserve">) for adults with severe active rheumatoid arthritis. Where the term </w:t>
      </w:r>
      <w:proofErr w:type="spellStart"/>
      <w:r w:rsidRPr="006B7CC0">
        <w:t>bDMARD</w:t>
      </w:r>
      <w:proofErr w:type="spellEnd"/>
      <w:r w:rsidRPr="006B7CC0">
        <w:t xml:space="preserve"> appears in the following notes and restrictions it refers to the tumour necrosis factor (TNF) </w:t>
      </w:r>
      <w:proofErr w:type="spellStart"/>
      <w:r w:rsidRPr="006B7CC0">
        <w:t>alfa</w:t>
      </w:r>
      <w:proofErr w:type="spellEnd"/>
      <w:r w:rsidRPr="006B7CC0">
        <w:t xml:space="preserve"> antagonists (</w:t>
      </w:r>
      <w:proofErr w:type="spellStart"/>
      <w:r w:rsidRPr="006B7CC0">
        <w:t>adalimumab</w:t>
      </w:r>
      <w:proofErr w:type="spellEnd"/>
      <w:r w:rsidRPr="006B7CC0">
        <w:t xml:space="preserve">, </w:t>
      </w:r>
      <w:proofErr w:type="spellStart"/>
      <w:r w:rsidRPr="006B7CC0">
        <w:t>certolizumab</w:t>
      </w:r>
      <w:proofErr w:type="spellEnd"/>
      <w:r w:rsidRPr="006B7CC0">
        <w:t xml:space="preserve"> </w:t>
      </w:r>
      <w:proofErr w:type="spellStart"/>
      <w:r w:rsidRPr="006B7CC0">
        <w:t>pegol</w:t>
      </w:r>
      <w:proofErr w:type="spellEnd"/>
      <w:r w:rsidRPr="006B7CC0">
        <w:t xml:space="preserve">, etanercept, </w:t>
      </w:r>
      <w:proofErr w:type="spellStart"/>
      <w:r w:rsidRPr="006B7CC0">
        <w:t>golimumab</w:t>
      </w:r>
      <w:proofErr w:type="spellEnd"/>
      <w:r w:rsidRPr="006B7CC0">
        <w:t>, and infliximab), the chimeric anti-CD20 monoclonal antibody (rituximab), the interleukin-6 inhibitors (</w:t>
      </w:r>
      <w:proofErr w:type="spellStart"/>
      <w:r w:rsidRPr="006B7CC0">
        <w:rPr>
          <w:color w:val="FF0000"/>
        </w:rPr>
        <w:t>sarilumab</w:t>
      </w:r>
      <w:proofErr w:type="spellEnd"/>
      <w:r w:rsidRPr="006B7CC0">
        <w:t xml:space="preserve">, </w:t>
      </w:r>
      <w:proofErr w:type="spellStart"/>
      <w:r w:rsidRPr="006B7CC0">
        <w:t>tocilizumab</w:t>
      </w:r>
      <w:proofErr w:type="spellEnd"/>
      <w:r w:rsidRPr="006B7CC0">
        <w:t>), the T-cell co-stimulation modulator (</w:t>
      </w:r>
      <w:proofErr w:type="spellStart"/>
      <w:r w:rsidRPr="006B7CC0">
        <w:t>abatacept</w:t>
      </w:r>
      <w:proofErr w:type="spellEnd"/>
      <w:r w:rsidRPr="006B7CC0">
        <w:t>) and the Janus-associated kinase (JAK) inhibitor (</w:t>
      </w:r>
      <w:proofErr w:type="spellStart"/>
      <w:r w:rsidRPr="006B7CC0">
        <w:t>tofacitinib</w:t>
      </w:r>
      <w:proofErr w:type="spellEnd"/>
      <w:r w:rsidRPr="006B7CC0">
        <w:t>).</w:t>
      </w:r>
    </w:p>
    <w:p w:rsidR="00695BD5" w:rsidRPr="006B7CC0" w:rsidRDefault="00695BD5" w:rsidP="00695BD5">
      <w:pPr>
        <w:widowControl/>
      </w:pPr>
    </w:p>
    <w:p w:rsidR="00695BD5" w:rsidRPr="006B7CC0" w:rsidRDefault="00695BD5" w:rsidP="00695BD5">
      <w:pPr>
        <w:widowControl/>
      </w:pPr>
      <w:r w:rsidRPr="006B7CC0">
        <w:t xml:space="preserve">2) Initial treatment authorisations will be limited to provide a maximum of 16 weeks of therapy for </w:t>
      </w:r>
      <w:proofErr w:type="spellStart"/>
      <w:r w:rsidRPr="006B7CC0">
        <w:t>abatacept</w:t>
      </w:r>
      <w:proofErr w:type="spellEnd"/>
      <w:r w:rsidRPr="006B7CC0">
        <w:t xml:space="preserve">, </w:t>
      </w:r>
      <w:proofErr w:type="spellStart"/>
      <w:r w:rsidRPr="006B7CC0">
        <w:t>adalimumab</w:t>
      </w:r>
      <w:proofErr w:type="spellEnd"/>
      <w:r w:rsidRPr="006B7CC0">
        <w:t xml:space="preserve">, etanercept, </w:t>
      </w:r>
      <w:proofErr w:type="spellStart"/>
      <w:r w:rsidRPr="006B7CC0">
        <w:t>golimumab</w:t>
      </w:r>
      <w:proofErr w:type="spellEnd"/>
      <w:r w:rsidRPr="006B7CC0">
        <w:t xml:space="preserve">, </w:t>
      </w:r>
      <w:proofErr w:type="spellStart"/>
      <w:r w:rsidRPr="006B7CC0">
        <w:rPr>
          <w:color w:val="FF0000"/>
        </w:rPr>
        <w:t>sarilumab</w:t>
      </w:r>
      <w:proofErr w:type="spellEnd"/>
      <w:r w:rsidRPr="006B7CC0">
        <w:t xml:space="preserve">, </w:t>
      </w:r>
      <w:proofErr w:type="spellStart"/>
      <w:r w:rsidRPr="006B7CC0">
        <w:t>tocilizumab</w:t>
      </w:r>
      <w:proofErr w:type="spellEnd"/>
      <w:r w:rsidRPr="006B7CC0">
        <w:t xml:space="preserve"> and </w:t>
      </w:r>
      <w:proofErr w:type="spellStart"/>
      <w:r w:rsidRPr="006B7CC0">
        <w:t>tofacitinib</w:t>
      </w:r>
      <w:proofErr w:type="spellEnd"/>
      <w:r w:rsidRPr="006B7CC0">
        <w:t xml:space="preserve">, 18 to 20 weeks of therapy with </w:t>
      </w:r>
      <w:proofErr w:type="spellStart"/>
      <w:r w:rsidRPr="006B7CC0">
        <w:t>certolizumab</w:t>
      </w:r>
      <w:proofErr w:type="spellEnd"/>
      <w:r w:rsidRPr="006B7CC0">
        <w:t xml:space="preserve"> </w:t>
      </w:r>
      <w:proofErr w:type="spellStart"/>
      <w:r w:rsidRPr="006B7CC0">
        <w:t>pegol</w:t>
      </w:r>
      <w:proofErr w:type="spellEnd"/>
      <w:r w:rsidRPr="006B7CC0">
        <w:t xml:space="preserve"> (depending upon the dosing regimen), 22 weeks of therapy for infliximab and 2 infusions of rituximab.</w:t>
      </w:r>
    </w:p>
    <w:p w:rsidR="00695BD5" w:rsidRPr="006B7CC0" w:rsidRDefault="00695BD5" w:rsidP="00695BD5">
      <w:pPr>
        <w:widowControl/>
      </w:pPr>
    </w:p>
    <w:p w:rsidR="00695BD5" w:rsidRDefault="00695BD5" w:rsidP="00695BD5">
      <w:pPr>
        <w:widowControl/>
      </w:pPr>
      <w:r w:rsidRPr="006B7CC0">
        <w:t xml:space="preserve">3) For the purposes of this restriction </w:t>
      </w:r>
      <w:proofErr w:type="spellStart"/>
      <w:r w:rsidRPr="006B7CC0">
        <w:t>bDMARD</w:t>
      </w:r>
      <w:proofErr w:type="spellEnd"/>
      <w:r w:rsidRPr="006B7CC0">
        <w:t xml:space="preserve"> means </w:t>
      </w:r>
      <w:proofErr w:type="spellStart"/>
      <w:r w:rsidRPr="006B7CC0">
        <w:t>abatacept</w:t>
      </w:r>
      <w:proofErr w:type="spellEnd"/>
      <w:r w:rsidRPr="006B7CC0">
        <w:t xml:space="preserve">, </w:t>
      </w:r>
      <w:proofErr w:type="spellStart"/>
      <w:r w:rsidRPr="006B7CC0">
        <w:t>adalimumab</w:t>
      </w:r>
      <w:proofErr w:type="spellEnd"/>
      <w:r w:rsidRPr="006B7CC0">
        <w:t xml:space="preserve">, </w:t>
      </w:r>
      <w:proofErr w:type="spellStart"/>
      <w:r w:rsidRPr="006B7CC0">
        <w:t>certolizumab</w:t>
      </w:r>
      <w:proofErr w:type="spellEnd"/>
      <w:r w:rsidRPr="006B7CC0">
        <w:t xml:space="preserve"> </w:t>
      </w:r>
      <w:proofErr w:type="spellStart"/>
      <w:r w:rsidRPr="006B7CC0">
        <w:t>pegol</w:t>
      </w:r>
      <w:proofErr w:type="spellEnd"/>
      <w:r w:rsidRPr="006B7CC0">
        <w:t xml:space="preserve">, etanercept, </w:t>
      </w:r>
      <w:proofErr w:type="spellStart"/>
      <w:r w:rsidRPr="006B7CC0">
        <w:t>golimumab</w:t>
      </w:r>
      <w:proofErr w:type="spellEnd"/>
      <w:r w:rsidRPr="006B7CC0">
        <w:t xml:space="preserve">, infliximab, rituximab, </w:t>
      </w:r>
      <w:proofErr w:type="spellStart"/>
      <w:r w:rsidRPr="006B7CC0">
        <w:rPr>
          <w:color w:val="FF0000"/>
        </w:rPr>
        <w:t>sarilumab</w:t>
      </w:r>
      <w:proofErr w:type="spellEnd"/>
      <w:r w:rsidR="002F67F9">
        <w:t xml:space="preserve">, </w:t>
      </w:r>
      <w:proofErr w:type="spellStart"/>
      <w:r w:rsidR="002F67F9">
        <w:t>tocilizumab</w:t>
      </w:r>
      <w:proofErr w:type="spellEnd"/>
      <w:r w:rsidR="002F67F9">
        <w:t xml:space="preserve"> or </w:t>
      </w:r>
      <w:proofErr w:type="spellStart"/>
      <w:r w:rsidR="002F67F9">
        <w:t>tofacitinib</w:t>
      </w:r>
      <w:proofErr w:type="spellEnd"/>
      <w:r w:rsidR="002F67F9">
        <w:t>.</w:t>
      </w:r>
    </w:p>
    <w:p w:rsidR="002F67F9" w:rsidRPr="006B7CC0" w:rsidRDefault="002F67F9" w:rsidP="00695BD5">
      <w:pPr>
        <w:widowControl/>
      </w:pPr>
    </w:p>
    <w:p w:rsidR="00695BD5" w:rsidRPr="006B7CC0" w:rsidRDefault="00695BD5" w:rsidP="00695BD5">
      <w:pPr>
        <w:widowControl/>
        <w:rPr>
          <w:b/>
          <w:szCs w:val="24"/>
        </w:rPr>
      </w:pPr>
      <w:r w:rsidRPr="006B7CC0">
        <w:rPr>
          <w:szCs w:val="24"/>
        </w:rPr>
        <w:t xml:space="preserve">Suggestions and additions are in italics and </w:t>
      </w:r>
      <w:r w:rsidRPr="006B7CC0">
        <w:rPr>
          <w:strike/>
          <w:szCs w:val="24"/>
        </w:rPr>
        <w:t>strikethrough</w:t>
      </w:r>
      <w:r w:rsidRPr="006B7CC0">
        <w:rPr>
          <w:szCs w:val="24"/>
        </w:rPr>
        <w:t xml:space="preserve"> is used for deletions.</w:t>
      </w:r>
    </w:p>
    <w:p w:rsidR="00695BD5" w:rsidRPr="006B7CC0" w:rsidRDefault="00695BD5" w:rsidP="00695BD5">
      <w:pPr>
        <w:widowControl/>
      </w:pPr>
    </w:p>
    <w:p w:rsidR="00695BD5" w:rsidRPr="006B7CC0" w:rsidRDefault="00695BD5" w:rsidP="00695BD5">
      <w:pPr>
        <w:widowControl/>
        <w:rPr>
          <w:rFonts w:cs="Calibri"/>
        </w:rPr>
      </w:pPr>
      <w:r w:rsidRPr="006B7CC0">
        <w:rPr>
          <w:rFonts w:cs="Calibri"/>
        </w:rPr>
        <w:t xml:space="preserve">Administrative advice common to all </w:t>
      </w:r>
      <w:proofErr w:type="spellStart"/>
      <w:r w:rsidRPr="006B7CC0">
        <w:rPr>
          <w:rFonts w:cs="Calibri"/>
        </w:rPr>
        <w:t>bDMARD</w:t>
      </w:r>
      <w:proofErr w:type="spellEnd"/>
      <w:r w:rsidRPr="006B7CC0">
        <w:rPr>
          <w:rFonts w:cs="Calibri"/>
        </w:rPr>
        <w:t xml:space="preserve"> restrictions:</w:t>
      </w:r>
    </w:p>
    <w:tbl>
      <w:tblPr>
        <w:tblW w:w="9214" w:type="dxa"/>
        <w:tblInd w:w="108" w:type="dxa"/>
        <w:tblLayout w:type="fixed"/>
        <w:tblLook w:val="0000" w:firstRow="0" w:lastRow="0" w:firstColumn="0" w:lastColumn="0" w:noHBand="0" w:noVBand="0"/>
      </w:tblPr>
      <w:tblGrid>
        <w:gridCol w:w="1418"/>
        <w:gridCol w:w="7796"/>
      </w:tblGrid>
      <w:tr w:rsidR="00695BD5" w:rsidRPr="006B7CC0" w:rsidTr="00803637">
        <w:trPr>
          <w:cantSplit/>
          <w:trHeight w:val="360"/>
        </w:trPr>
        <w:tc>
          <w:tcPr>
            <w:tcW w:w="1418" w:type="dxa"/>
            <w:tcBorders>
              <w:top w:val="single" w:sz="4" w:space="0" w:color="auto"/>
              <w:left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Administrative Advice</w:t>
            </w:r>
          </w:p>
          <w:p w:rsidR="00695BD5" w:rsidRPr="006B7CC0" w:rsidRDefault="00695BD5" w:rsidP="00803637">
            <w:pPr>
              <w:widowControl/>
              <w:rPr>
                <w:rFonts w:ascii="Arial Narrow" w:hAnsi="Arial Narrow"/>
                <w:sz w:val="20"/>
                <w:szCs w:val="20"/>
              </w:rPr>
            </w:pPr>
          </w:p>
        </w:tc>
        <w:tc>
          <w:tcPr>
            <w:tcW w:w="7796" w:type="dxa"/>
            <w:tcBorders>
              <w:top w:val="single" w:sz="4" w:space="0" w:color="auto"/>
              <w:left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TREATMENT OF ADULT PATIENTS WITH SEVERE ACTIVE RHEUMATOID ARTHRITIS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The following information applies to the prescribing under the Pharmaceutical Benefits Scheme (PBS) of the biological disease modifying </w:t>
            </w:r>
            <w:proofErr w:type="spellStart"/>
            <w:r w:rsidRPr="006B7CC0">
              <w:rPr>
                <w:rFonts w:ascii="Arial Narrow" w:hAnsi="Arial Narrow"/>
                <w:sz w:val="20"/>
                <w:szCs w:val="20"/>
              </w:rPr>
              <w:t>antirheumatic</w:t>
            </w:r>
            <w:proofErr w:type="spellEnd"/>
            <w:r w:rsidRPr="006B7CC0">
              <w:rPr>
                <w:rFonts w:ascii="Arial Narrow" w:hAnsi="Arial Narrow"/>
                <w:sz w:val="20"/>
                <w:szCs w:val="20"/>
              </w:rPr>
              <w:t xml:space="preserve"> drugs (</w:t>
            </w:r>
            <w:proofErr w:type="spellStart"/>
            <w:r w:rsidRPr="006B7CC0">
              <w:rPr>
                <w:rFonts w:ascii="Arial Narrow" w:hAnsi="Arial Narrow"/>
                <w:sz w:val="20"/>
                <w:szCs w:val="20"/>
              </w:rPr>
              <w:t>bDMARDs</w:t>
            </w:r>
            <w:proofErr w:type="spellEnd"/>
            <w:r w:rsidRPr="006B7CC0">
              <w:rPr>
                <w:rFonts w:ascii="Arial Narrow" w:hAnsi="Arial Narrow"/>
                <w:sz w:val="20"/>
                <w:szCs w:val="20"/>
              </w:rPr>
              <w:t xml:space="preserve">) for adults with severe active rheumatoid arthritis. Where the term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appears in the following notes and restrictions it refers to the tumour necrosis factor (TNF) </w:t>
            </w:r>
            <w:proofErr w:type="spellStart"/>
            <w:r w:rsidRPr="006B7CC0">
              <w:rPr>
                <w:rFonts w:ascii="Arial Narrow" w:hAnsi="Arial Narrow"/>
                <w:sz w:val="20"/>
                <w:szCs w:val="20"/>
              </w:rPr>
              <w:t>alfa</w:t>
            </w:r>
            <w:proofErr w:type="spellEnd"/>
            <w:r w:rsidRPr="006B7CC0">
              <w:rPr>
                <w:rFonts w:ascii="Arial Narrow" w:hAnsi="Arial Narrow"/>
                <w:sz w:val="20"/>
                <w:szCs w:val="20"/>
              </w:rPr>
              <w:t xml:space="preserve"> antagonists (</w:t>
            </w:r>
            <w:proofErr w:type="spellStart"/>
            <w:r w:rsidRPr="006B7CC0">
              <w:rPr>
                <w:rFonts w:ascii="Arial Narrow" w:hAnsi="Arial Narrow"/>
                <w:sz w:val="20"/>
                <w:szCs w:val="20"/>
              </w:rPr>
              <w:t>adalimumab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certolizumab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pegol</w:t>
            </w:r>
            <w:proofErr w:type="spellEnd"/>
            <w:r w:rsidRPr="006B7CC0">
              <w:rPr>
                <w:rFonts w:ascii="Arial Narrow" w:hAnsi="Arial Narrow"/>
                <w:sz w:val="20"/>
                <w:szCs w:val="20"/>
              </w:rPr>
              <w:t xml:space="preserve">, etanercept, </w:t>
            </w:r>
            <w:proofErr w:type="spellStart"/>
            <w:r w:rsidRPr="006B7CC0">
              <w:rPr>
                <w:rFonts w:ascii="Arial Narrow" w:hAnsi="Arial Narrow"/>
                <w:sz w:val="20"/>
                <w:szCs w:val="20"/>
              </w:rPr>
              <w:t>golimumab</w:t>
            </w:r>
            <w:proofErr w:type="spellEnd"/>
            <w:r w:rsidRPr="006B7CC0">
              <w:rPr>
                <w:rFonts w:ascii="Arial Narrow" w:hAnsi="Arial Narrow"/>
                <w:sz w:val="20"/>
                <w:szCs w:val="20"/>
              </w:rPr>
              <w:t xml:space="preserve">, </w:t>
            </w:r>
            <w:proofErr w:type="gramStart"/>
            <w:r w:rsidRPr="006B7CC0">
              <w:rPr>
                <w:rFonts w:ascii="Arial Narrow" w:hAnsi="Arial Narrow"/>
                <w:sz w:val="20"/>
                <w:szCs w:val="20"/>
              </w:rPr>
              <w:t>infliximab</w:t>
            </w:r>
            <w:proofErr w:type="gramEnd"/>
            <w:r w:rsidRPr="006B7CC0">
              <w:rPr>
                <w:rFonts w:ascii="Arial Narrow" w:hAnsi="Arial Narrow"/>
                <w:sz w:val="20"/>
                <w:szCs w:val="20"/>
              </w:rPr>
              <w:t>), the chimeric anti-CD20 monoclonal antibody (rituximab), the interleukin-6 inhibitor (</w:t>
            </w:r>
            <w:proofErr w:type="spellStart"/>
            <w:r w:rsidRPr="006B7CC0">
              <w:rPr>
                <w:rFonts w:ascii="Arial Narrow" w:hAnsi="Arial Narrow"/>
                <w:color w:val="FF0000"/>
                <w:sz w:val="20"/>
                <w:szCs w:val="20"/>
              </w:rPr>
              <w:t>sarilumab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tocilizumab</w:t>
            </w:r>
            <w:proofErr w:type="spellEnd"/>
            <w:r w:rsidRPr="006B7CC0">
              <w:rPr>
                <w:rFonts w:ascii="Arial Narrow" w:hAnsi="Arial Narrow"/>
                <w:sz w:val="20"/>
                <w:szCs w:val="20"/>
              </w:rPr>
              <w:t>), the T-cell co-stimulation modulator (</w:t>
            </w:r>
            <w:proofErr w:type="spellStart"/>
            <w:r w:rsidRPr="006B7CC0">
              <w:rPr>
                <w:rFonts w:ascii="Arial Narrow" w:hAnsi="Arial Narrow"/>
                <w:sz w:val="20"/>
                <w:szCs w:val="20"/>
              </w:rPr>
              <w:t>abatacept</w:t>
            </w:r>
            <w:proofErr w:type="spellEnd"/>
            <w:r w:rsidRPr="006B7CC0">
              <w:rPr>
                <w:rFonts w:ascii="Arial Narrow" w:hAnsi="Arial Narrow"/>
                <w:sz w:val="20"/>
                <w:szCs w:val="20"/>
              </w:rPr>
              <w:t>) and the Janus-associated kinase (JAK) inhibitor (</w:t>
            </w:r>
            <w:proofErr w:type="spellStart"/>
            <w:r w:rsidRPr="006B7CC0">
              <w:rPr>
                <w:rFonts w:ascii="Arial Narrow" w:hAnsi="Arial Narrow"/>
                <w:sz w:val="20"/>
                <w:szCs w:val="20"/>
              </w:rPr>
              <w:t>tofacitinib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Patients are eligible for PBS-subsidised treatment with only 1 of the above biological disease modifying anti-rheumatic drugs at any 1 time.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In order to be eligible to receive PBS-subsidised treatment with rituximab, a patient must have already failed to demonstrate a response to at least 1 course of treatment with a PBS-subsidised TNF-</w:t>
            </w:r>
            <w:proofErr w:type="spellStart"/>
            <w:r w:rsidRPr="006B7CC0">
              <w:rPr>
                <w:rFonts w:ascii="Arial Narrow" w:hAnsi="Arial Narrow"/>
                <w:sz w:val="20"/>
                <w:szCs w:val="20"/>
              </w:rPr>
              <w:t>alfa</w:t>
            </w:r>
            <w:proofErr w:type="spellEnd"/>
            <w:r w:rsidRPr="006B7CC0">
              <w:rPr>
                <w:rFonts w:ascii="Arial Narrow" w:hAnsi="Arial Narrow"/>
                <w:sz w:val="20"/>
                <w:szCs w:val="20"/>
              </w:rPr>
              <w:t xml:space="preserve"> antagonist.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 patient receiving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therapy may swap to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without having to experience a disease flare. Under these interchangeability arrangements: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 a patient may continue to receive long-term treatment with a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while they continue to show a response to therapy,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 a patient cannot trial and fail, or cease to respond to, the same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more than once, and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 once a patient has either failed or ceased to respond to treatment 5 times, they will not be eligible to receive further PBS-subsidised </w:t>
            </w:r>
            <w:proofErr w:type="spellStart"/>
            <w:r w:rsidRPr="006B7CC0">
              <w:rPr>
                <w:rFonts w:ascii="Arial Narrow" w:hAnsi="Arial Narrow"/>
                <w:sz w:val="20"/>
                <w:szCs w:val="20"/>
              </w:rPr>
              <w:t>bDMARDs</w:t>
            </w:r>
            <w:proofErr w:type="spellEnd"/>
            <w:r w:rsidRPr="006B7CC0">
              <w:rPr>
                <w:rFonts w:ascii="Arial Narrow" w:hAnsi="Arial Narrow"/>
                <w:sz w:val="20"/>
                <w:szCs w:val="20"/>
              </w:rPr>
              <w:t xml:space="preserve"> for the treatment of rheumatoid arthritis.</w:t>
            </w:r>
          </w:p>
          <w:p w:rsidR="00695BD5" w:rsidRPr="006B7CC0" w:rsidRDefault="00695BD5" w:rsidP="00803637">
            <w:pPr>
              <w:widowControl/>
              <w:rPr>
                <w:rFonts w:ascii="Arial Narrow" w:hAnsi="Arial Narrow"/>
                <w:sz w:val="20"/>
                <w:szCs w:val="20"/>
              </w:rPr>
            </w:pPr>
          </w:p>
          <w:p w:rsidR="00695BD5" w:rsidRDefault="00695BD5" w:rsidP="00803637">
            <w:pPr>
              <w:widowControl/>
              <w:rPr>
                <w:rFonts w:ascii="Arial Narrow" w:hAnsi="Arial Narrow"/>
                <w:sz w:val="20"/>
                <w:szCs w:val="20"/>
              </w:rPr>
            </w:pPr>
            <w:r w:rsidRPr="006B7CC0">
              <w:rPr>
                <w:rFonts w:ascii="Arial Narrow" w:hAnsi="Arial Narrow"/>
                <w:sz w:val="20"/>
                <w:szCs w:val="20"/>
              </w:rPr>
              <w:t>For patients who have failed PBS-subsidised treatment with 2 or 3 TNF-</w:t>
            </w:r>
            <w:proofErr w:type="spellStart"/>
            <w:r w:rsidRPr="006B7CC0">
              <w:rPr>
                <w:rFonts w:ascii="Arial Narrow" w:hAnsi="Arial Narrow"/>
                <w:sz w:val="20"/>
                <w:szCs w:val="20"/>
              </w:rPr>
              <w:t>alfa</w:t>
            </w:r>
            <w:proofErr w:type="spellEnd"/>
            <w:r w:rsidRPr="006B7CC0">
              <w:rPr>
                <w:rFonts w:ascii="Arial Narrow" w:hAnsi="Arial Narrow"/>
                <w:sz w:val="20"/>
                <w:szCs w:val="20"/>
              </w:rPr>
              <w:t xml:space="preserve"> antagonists prior to 1 August 2010 please contact the Department of Human Services on 1800 700 270. A patient whose most recent course of PBS-subsidised therapy was with rituximab and whose response to this treatment is sustained for more than 12 months, may apply for a further course of rituximab under the Continuing treatment restriction. A patient who has failed fewer than 5 </w:t>
            </w:r>
            <w:proofErr w:type="spellStart"/>
            <w:r w:rsidRPr="006B7CC0">
              <w:rPr>
                <w:rFonts w:ascii="Arial Narrow" w:hAnsi="Arial Narrow"/>
                <w:sz w:val="20"/>
                <w:szCs w:val="20"/>
              </w:rPr>
              <w:t>bDMARDs</w:t>
            </w:r>
            <w:proofErr w:type="spellEnd"/>
            <w:r w:rsidRPr="006B7CC0">
              <w:rPr>
                <w:rFonts w:ascii="Arial Narrow" w:hAnsi="Arial Narrow"/>
                <w:sz w:val="20"/>
                <w:szCs w:val="20"/>
              </w:rPr>
              <w:t xml:space="preserve"> and who has a break in therapy of less than 24 months may commence a further course of treatment with a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without having to requalify under the Initial 1 treatment restriction. A patient who has failed fewer than 5 </w:t>
            </w:r>
            <w:proofErr w:type="spellStart"/>
            <w:r w:rsidRPr="006B7CC0">
              <w:rPr>
                <w:rFonts w:ascii="Arial Narrow" w:hAnsi="Arial Narrow"/>
                <w:sz w:val="20"/>
                <w:szCs w:val="20"/>
              </w:rPr>
              <w:t>bDMARDs</w:t>
            </w:r>
            <w:proofErr w:type="spellEnd"/>
            <w:r w:rsidRPr="006B7CC0">
              <w:rPr>
                <w:rFonts w:ascii="Arial Narrow" w:hAnsi="Arial Narrow"/>
                <w:sz w:val="20"/>
                <w:szCs w:val="20"/>
              </w:rPr>
              <w:t xml:space="preserve"> and who has had a break in therapy of longer than 24 months must requalify for treatment under the Initial 1 treatment restriction. The length of a treatment break is measured from the date the most recent treatment with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treatment is stopped to the date of the new application for treatment with a </w:t>
            </w:r>
            <w:proofErr w:type="spellStart"/>
            <w:r w:rsidRPr="006B7CC0">
              <w:rPr>
                <w:rFonts w:ascii="Arial Narrow" w:hAnsi="Arial Narrow"/>
                <w:sz w:val="20"/>
                <w:szCs w:val="20"/>
              </w:rPr>
              <w:t>bDMARD</w:t>
            </w:r>
            <w:proofErr w:type="spellEnd"/>
            <w:r w:rsidRPr="006B7CC0">
              <w:rPr>
                <w:rFonts w:ascii="Arial Narrow" w:hAnsi="Arial Narrow"/>
                <w:sz w:val="20"/>
                <w:szCs w:val="20"/>
              </w:rPr>
              <w:t>.</w:t>
            </w:r>
          </w:p>
          <w:p w:rsidR="00695BD5" w:rsidRDefault="00695BD5" w:rsidP="00803637">
            <w:pPr>
              <w:widowControl/>
              <w:rPr>
                <w:rFonts w:ascii="Arial Narrow" w:hAnsi="Arial Narrow"/>
                <w:sz w:val="20"/>
                <w:szCs w:val="20"/>
              </w:rPr>
            </w:pP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(1) How to prescribe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therapy after 1 August 2010.</w:t>
            </w:r>
          </w:p>
          <w:p w:rsidR="00695BD5" w:rsidRPr="006B7CC0" w:rsidRDefault="00695BD5" w:rsidP="00695BD5">
            <w:pPr>
              <w:widowControl/>
              <w:rPr>
                <w:rFonts w:ascii="Arial Narrow" w:hAnsi="Arial Narrow"/>
                <w:sz w:val="20"/>
                <w:szCs w:val="20"/>
              </w:rPr>
            </w:pP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(a) Initial treatment.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Applications for initial treatment should be made where: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w:t>
            </w:r>
            <w:proofErr w:type="spellStart"/>
            <w:r w:rsidRPr="006B7CC0">
              <w:rPr>
                <w:rFonts w:ascii="Arial Narrow" w:hAnsi="Arial Narrow"/>
                <w:sz w:val="20"/>
                <w:szCs w:val="20"/>
              </w:rPr>
              <w:t>i</w:t>
            </w:r>
            <w:proofErr w:type="spellEnd"/>
            <w:r w:rsidRPr="006B7CC0">
              <w:rPr>
                <w:rFonts w:ascii="Arial Narrow" w:hAnsi="Arial Narrow"/>
                <w:sz w:val="20"/>
                <w:szCs w:val="20"/>
              </w:rPr>
              <w:t xml:space="preserve">) a patient has received no prior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treatment and wishes to commence such therapy, excluding rituximab (Initial 1); or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(ii) a patient wishes to re-commence treatment with a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following a break in PBS-subsidised therapy of more than 24 months (Initial 1); or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(iii) a patient has received prior PBS-subsidised (initial or continuing)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therapy and wishes to trial an alternate agent (Initial 2) [further details are under 'Swapping therapy' below]; or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(iv) </w:t>
            </w:r>
            <w:proofErr w:type="gramStart"/>
            <w:r w:rsidRPr="006B7CC0">
              <w:rPr>
                <w:rFonts w:ascii="Arial Narrow" w:hAnsi="Arial Narrow"/>
                <w:sz w:val="20"/>
                <w:szCs w:val="20"/>
              </w:rPr>
              <w:t>a</w:t>
            </w:r>
            <w:proofErr w:type="gramEnd"/>
            <w:r w:rsidRPr="006B7CC0">
              <w:rPr>
                <w:rFonts w:ascii="Arial Narrow" w:hAnsi="Arial Narrow"/>
                <w:sz w:val="20"/>
                <w:szCs w:val="20"/>
              </w:rPr>
              <w:t xml:space="preserve"> patient wishes to re-commence treatment with a specific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following a break of less than 24 months in PBS-subsidised therapy with that agent (Initial 2).</w:t>
            </w:r>
          </w:p>
          <w:p w:rsidR="00695BD5" w:rsidRPr="006B7CC0" w:rsidRDefault="00695BD5" w:rsidP="00803637">
            <w:pPr>
              <w:widowControl/>
              <w:rPr>
                <w:rFonts w:ascii="Arial Narrow" w:hAnsi="Arial Narrow"/>
                <w:sz w:val="20"/>
                <w:szCs w:val="20"/>
              </w:rPr>
            </w:pPr>
          </w:p>
        </w:tc>
      </w:tr>
      <w:tr w:rsidR="00F01F33" w:rsidRPr="006B7CC0" w:rsidTr="006705DC">
        <w:trPr>
          <w:cantSplit/>
          <w:trHeight w:val="11245"/>
        </w:trPr>
        <w:tc>
          <w:tcPr>
            <w:tcW w:w="1418" w:type="dxa"/>
            <w:tcBorders>
              <w:left w:val="single" w:sz="4" w:space="0" w:color="auto"/>
              <w:right w:val="single" w:sz="4" w:space="0" w:color="auto"/>
            </w:tcBorders>
          </w:tcPr>
          <w:p w:rsidR="00F01F33" w:rsidRPr="006B7CC0" w:rsidRDefault="00F01F33" w:rsidP="00F01F33">
            <w:pPr>
              <w:widowControl/>
              <w:rPr>
                <w:rFonts w:ascii="Arial Narrow" w:hAnsi="Arial Narrow"/>
                <w:b/>
                <w:sz w:val="20"/>
                <w:szCs w:val="20"/>
              </w:rPr>
            </w:pPr>
            <w:r w:rsidRPr="006B7CC0">
              <w:rPr>
                <w:rFonts w:ascii="Arial Narrow" w:hAnsi="Arial Narrow"/>
                <w:b/>
                <w:sz w:val="20"/>
                <w:szCs w:val="20"/>
              </w:rPr>
              <w:lastRenderedPageBreak/>
              <w:t>Administrative Advice</w:t>
            </w:r>
          </w:p>
          <w:p w:rsidR="00F01F33" w:rsidRPr="006B7CC0" w:rsidRDefault="00F01F33" w:rsidP="00F01F33">
            <w:pPr>
              <w:widowControl/>
              <w:rPr>
                <w:rFonts w:ascii="Arial Narrow" w:hAnsi="Arial Narrow"/>
                <w:b/>
                <w:sz w:val="20"/>
                <w:szCs w:val="20"/>
              </w:rPr>
            </w:pPr>
            <w:r w:rsidRPr="006B7CC0">
              <w:rPr>
                <w:rFonts w:ascii="Arial Narrow" w:hAnsi="Arial Narrow"/>
                <w:b/>
                <w:sz w:val="20"/>
                <w:szCs w:val="20"/>
              </w:rPr>
              <w:t>(continued)</w:t>
            </w:r>
          </w:p>
        </w:tc>
        <w:tc>
          <w:tcPr>
            <w:tcW w:w="7796" w:type="dxa"/>
            <w:tcBorders>
              <w:left w:val="single" w:sz="4" w:space="0" w:color="auto"/>
              <w:right w:val="single" w:sz="4" w:space="0" w:color="auto"/>
            </w:tcBorders>
          </w:tcPr>
          <w:p w:rsidR="00F01F33" w:rsidRPr="006B7CC0" w:rsidRDefault="00F01F33" w:rsidP="00803637">
            <w:pPr>
              <w:widowControl/>
              <w:rPr>
                <w:rFonts w:ascii="Arial Narrow" w:hAnsi="Arial Narrow"/>
                <w:sz w:val="20"/>
                <w:szCs w:val="20"/>
              </w:rPr>
            </w:pPr>
            <w:r w:rsidRPr="006B7CC0">
              <w:rPr>
                <w:rFonts w:ascii="Arial Narrow" w:hAnsi="Arial Narrow"/>
                <w:sz w:val="20"/>
                <w:szCs w:val="20"/>
              </w:rPr>
              <w:t>Initial applications for new or re-commencing patients (Initial 1) must include a joint count and ESR and/or CRP measured at the completion of the 6-month intensive DMARD trial, but prior to ceasing DMARD therapy.</w:t>
            </w:r>
          </w:p>
          <w:p w:rsidR="00F01F33" w:rsidRPr="006B7CC0" w:rsidRDefault="00F01F33" w:rsidP="00803637">
            <w:pPr>
              <w:widowControl/>
              <w:rPr>
                <w:rFonts w:ascii="Arial Narrow" w:hAnsi="Arial Narrow"/>
                <w:sz w:val="20"/>
                <w:szCs w:val="20"/>
              </w:rPr>
            </w:pPr>
          </w:p>
          <w:p w:rsidR="00F01F33" w:rsidRDefault="00F01F33" w:rsidP="00803637">
            <w:pPr>
              <w:widowControl/>
              <w:rPr>
                <w:rFonts w:ascii="Arial Narrow" w:hAnsi="Arial Narrow"/>
                <w:sz w:val="20"/>
                <w:szCs w:val="20"/>
              </w:rPr>
            </w:pPr>
            <w:r w:rsidRPr="006B7CC0">
              <w:rPr>
                <w:rFonts w:ascii="Arial Narrow" w:hAnsi="Arial Narrow"/>
                <w:sz w:val="20"/>
                <w:szCs w:val="20"/>
              </w:rPr>
              <w:t xml:space="preserve">Initial treatment authorisations will be limited to provide a maximum of 16 weeks of therapy for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adalimumab</w:t>
            </w:r>
            <w:proofErr w:type="spellEnd"/>
            <w:r w:rsidRPr="006B7CC0">
              <w:rPr>
                <w:rFonts w:ascii="Arial Narrow" w:hAnsi="Arial Narrow"/>
                <w:sz w:val="20"/>
                <w:szCs w:val="20"/>
              </w:rPr>
              <w:t xml:space="preserve">, etanercept, </w:t>
            </w:r>
            <w:proofErr w:type="spellStart"/>
            <w:r w:rsidRPr="006B7CC0">
              <w:rPr>
                <w:rFonts w:ascii="Arial Narrow" w:hAnsi="Arial Narrow"/>
                <w:sz w:val="20"/>
                <w:szCs w:val="20"/>
              </w:rPr>
              <w:t>golimumab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tocilizumab</w:t>
            </w:r>
            <w:proofErr w:type="spellEnd"/>
            <w:r w:rsidRPr="006B7CC0">
              <w:rPr>
                <w:rFonts w:ascii="Arial Narrow" w:hAnsi="Arial Narrow"/>
                <w:sz w:val="20"/>
                <w:szCs w:val="20"/>
              </w:rPr>
              <w:t xml:space="preserve"> and </w:t>
            </w:r>
            <w:proofErr w:type="spellStart"/>
            <w:r w:rsidRPr="006B7CC0">
              <w:rPr>
                <w:rFonts w:ascii="Arial Narrow" w:hAnsi="Arial Narrow"/>
                <w:sz w:val="20"/>
                <w:szCs w:val="20"/>
              </w:rPr>
              <w:t>tofacitinib</w:t>
            </w:r>
            <w:proofErr w:type="spellEnd"/>
            <w:r w:rsidRPr="006B7CC0">
              <w:rPr>
                <w:rFonts w:ascii="Arial Narrow" w:hAnsi="Arial Narrow"/>
                <w:sz w:val="20"/>
                <w:szCs w:val="20"/>
              </w:rPr>
              <w:t xml:space="preserve">, 18 to 20 weeks of therapy with </w:t>
            </w:r>
            <w:proofErr w:type="spellStart"/>
            <w:r w:rsidRPr="006B7CC0">
              <w:rPr>
                <w:rFonts w:ascii="Arial Narrow" w:hAnsi="Arial Narrow"/>
                <w:sz w:val="20"/>
                <w:szCs w:val="20"/>
              </w:rPr>
              <w:t>certolizumab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pegol</w:t>
            </w:r>
            <w:proofErr w:type="spellEnd"/>
            <w:r w:rsidRPr="006B7CC0">
              <w:rPr>
                <w:rFonts w:ascii="Arial Narrow" w:hAnsi="Arial Narrow"/>
                <w:sz w:val="20"/>
                <w:szCs w:val="20"/>
              </w:rPr>
              <w:t xml:space="preserve"> (depending upon the dosing regimen), 22 weeks of therapy for infliximab and 2 infusions of rituximab.</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patients: </w:t>
            </w: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for the subcutaneous formulation, with a maximum quantity of 4 and up to 3 repeats, must be submitted with the initial application.</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Rituximab patients: </w:t>
            </w: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A further application may be submitted to the Department of Human Services 24 weeks after the first infusion. New baselines may be submitted with this application if appropriate.</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(b) Continuing treatment. </w:t>
            </w: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Following the completion of an initial treatment course with a specific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(excluding rituximab), a patient may qualify to receive up to 24 weeks of continuing treatment with that drug providing they have demonstrated an adequate response to treatment. The patient remains eligible to receive continuing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treatment with the same drug in courses of up to 24 weeks providing they continue to sustain the response. It is recommended that a patient be reviewed the month prior to completing their current course of treatment to ensure uninterrupted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supply.</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Rituximab patients: </w:t>
            </w: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A patient may qualify to receive a further course of treatment (every 24 weeks) with this agent providing they have demonstrated an adequate response to treatment following a minimum of 12 weeks after the first infusion of their most recent treatment with rituximab. The patient remains eligible to receive a course of rituximab every 24 weeks providing they continue to demonstrate a response as specified in the restriction. Where a response assessment is not submitted to the Department of Human Services within these timeframes, the patient will be deemed to have failed to respond to treatment with that </w:t>
            </w:r>
            <w:proofErr w:type="spellStart"/>
            <w:r w:rsidRPr="006B7CC0">
              <w:rPr>
                <w:rFonts w:ascii="Arial Narrow" w:hAnsi="Arial Narrow"/>
                <w:sz w:val="20"/>
                <w:szCs w:val="20"/>
              </w:rPr>
              <w:t>bDMARD</w:t>
            </w:r>
            <w:proofErr w:type="spellEnd"/>
            <w:r w:rsidRPr="006B7CC0">
              <w:rPr>
                <w:rFonts w:ascii="Arial Narrow" w:hAnsi="Arial Narrow"/>
                <w:sz w:val="20"/>
                <w:szCs w:val="20"/>
              </w:rPr>
              <w:t>.</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(2) Swapping therapy</w:t>
            </w:r>
          </w:p>
          <w:p w:rsidR="00F01F33" w:rsidRPr="006B7CC0" w:rsidRDefault="00F01F33" w:rsidP="00803637">
            <w:pPr>
              <w:widowControl/>
              <w:rPr>
                <w:rFonts w:ascii="Arial Narrow" w:hAnsi="Arial Narrow"/>
                <w:sz w:val="20"/>
                <w:szCs w:val="20"/>
              </w:rPr>
            </w:pPr>
          </w:p>
          <w:p w:rsidR="00F01F33" w:rsidRDefault="00F01F33" w:rsidP="00803637">
            <w:pPr>
              <w:widowControl/>
              <w:rPr>
                <w:rFonts w:ascii="Arial Narrow" w:hAnsi="Arial Narrow"/>
                <w:sz w:val="20"/>
                <w:szCs w:val="20"/>
              </w:rPr>
            </w:pPr>
            <w:r w:rsidRPr="006B7CC0">
              <w:rPr>
                <w:rFonts w:ascii="Arial Narrow" w:hAnsi="Arial Narrow"/>
                <w:sz w:val="20"/>
                <w:szCs w:val="20"/>
              </w:rPr>
              <w:t xml:space="preserve">Once initial treatment with the first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is approved, a patient may swap to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without having to requalify with respect to the indices of disease severity (i.e. the erythrocyte sedimentation rate (ESR), the C-reactive protein (CRP) levels and the joint count) or the prior non-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therapy requirements, except if the patient has had a break in therapy of more than 24 months. However the requirement for concomitant treatment with methotrexate, where it applies, must be met for each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trialled.</w:t>
            </w:r>
          </w:p>
          <w:p w:rsidR="00F01F33" w:rsidRPr="006B7CC0" w:rsidRDefault="00F01F33" w:rsidP="00695BD5">
            <w:pPr>
              <w:widowControl/>
              <w:rPr>
                <w:rFonts w:ascii="Arial Narrow" w:hAnsi="Arial Narrow"/>
                <w:sz w:val="20"/>
                <w:szCs w:val="20"/>
              </w:rPr>
            </w:pPr>
          </w:p>
          <w:p w:rsidR="00F01F33" w:rsidRPr="006B7CC0" w:rsidRDefault="00F01F33" w:rsidP="00695BD5">
            <w:pPr>
              <w:widowControl/>
              <w:rPr>
                <w:rFonts w:ascii="Arial Narrow" w:hAnsi="Arial Narrow"/>
                <w:sz w:val="20"/>
                <w:szCs w:val="20"/>
              </w:rPr>
            </w:pPr>
            <w:r w:rsidRPr="006B7CC0">
              <w:rPr>
                <w:rFonts w:ascii="Arial Narrow" w:hAnsi="Arial Narrow"/>
                <w:sz w:val="20"/>
                <w:szCs w:val="20"/>
              </w:rPr>
              <w:t>Patients who are not able to complete a minimum of 12 weeks of an initial treatment course will be deemed to have failed treatment with that agent.</w:t>
            </w:r>
          </w:p>
          <w:p w:rsidR="00F01F33" w:rsidRPr="006B7CC0" w:rsidRDefault="00F01F33" w:rsidP="00803637">
            <w:pPr>
              <w:rPr>
                <w:rFonts w:ascii="Arial Narrow" w:hAnsi="Arial Narrow"/>
                <w:sz w:val="20"/>
                <w:szCs w:val="20"/>
              </w:rPr>
            </w:pPr>
          </w:p>
        </w:tc>
      </w:tr>
      <w:tr w:rsidR="00F01F33" w:rsidRPr="006B7CC0" w:rsidTr="006705DC">
        <w:trPr>
          <w:cantSplit/>
          <w:trHeight w:val="11245"/>
        </w:trPr>
        <w:tc>
          <w:tcPr>
            <w:tcW w:w="1418" w:type="dxa"/>
            <w:tcBorders>
              <w:left w:val="single" w:sz="4" w:space="0" w:color="auto"/>
              <w:right w:val="single" w:sz="4" w:space="0" w:color="auto"/>
            </w:tcBorders>
          </w:tcPr>
          <w:p w:rsidR="00F01F33" w:rsidRPr="006B7CC0" w:rsidRDefault="00F01F33" w:rsidP="00F01F33">
            <w:pPr>
              <w:widowControl/>
              <w:rPr>
                <w:rFonts w:ascii="Arial Narrow" w:hAnsi="Arial Narrow"/>
                <w:b/>
                <w:sz w:val="20"/>
                <w:szCs w:val="20"/>
              </w:rPr>
            </w:pPr>
            <w:r w:rsidRPr="006B7CC0">
              <w:rPr>
                <w:rFonts w:ascii="Arial Narrow" w:hAnsi="Arial Narrow"/>
                <w:b/>
                <w:sz w:val="20"/>
                <w:szCs w:val="20"/>
              </w:rPr>
              <w:lastRenderedPageBreak/>
              <w:t>Administrative Advice</w:t>
            </w:r>
          </w:p>
          <w:p w:rsidR="00F01F33" w:rsidRPr="006B7CC0" w:rsidRDefault="00F01F33" w:rsidP="00F01F33">
            <w:pPr>
              <w:widowControl/>
              <w:rPr>
                <w:rFonts w:ascii="Arial Narrow" w:hAnsi="Arial Narrow"/>
                <w:b/>
                <w:sz w:val="20"/>
                <w:szCs w:val="20"/>
              </w:rPr>
            </w:pPr>
            <w:r w:rsidRPr="006B7CC0">
              <w:rPr>
                <w:rFonts w:ascii="Arial Narrow" w:hAnsi="Arial Narrow"/>
                <w:b/>
                <w:sz w:val="20"/>
                <w:szCs w:val="20"/>
              </w:rPr>
              <w:t>(continued)</w:t>
            </w:r>
          </w:p>
        </w:tc>
        <w:tc>
          <w:tcPr>
            <w:tcW w:w="7796" w:type="dxa"/>
            <w:tcBorders>
              <w:left w:val="single" w:sz="4" w:space="0" w:color="auto"/>
              <w:right w:val="single" w:sz="4" w:space="0" w:color="auto"/>
            </w:tcBorders>
          </w:tcPr>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A patient may trial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at any time, regardless of whether they are receiving therapy (initial or continuing) with a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at the time of the application. However, they cannot swap to a particular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if they have failed to respond to prior treatment with that drug.</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t>
            </w: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Patients swapping from I.V.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to subcutaneous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will not be eligible for an I.V. loading dose when commencing treatment with the subcutaneous formulation.</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Rituximab:</w:t>
            </w: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In order to trial rituximab, a patient must have trialled and failed to demonstrate a response to at least 1 PBS-subsidised TNF-</w:t>
            </w:r>
            <w:proofErr w:type="spellStart"/>
            <w:r w:rsidRPr="006B7CC0">
              <w:rPr>
                <w:rFonts w:ascii="Arial Narrow" w:hAnsi="Arial Narrow"/>
                <w:sz w:val="20"/>
                <w:szCs w:val="20"/>
              </w:rPr>
              <w:t>alfa</w:t>
            </w:r>
            <w:proofErr w:type="spellEnd"/>
            <w:r w:rsidRPr="006B7CC0">
              <w:rPr>
                <w:rFonts w:ascii="Arial Narrow" w:hAnsi="Arial Narrow"/>
                <w:sz w:val="20"/>
                <w:szCs w:val="20"/>
              </w:rPr>
              <w:t xml:space="preserve"> antagonist treatment.</w:t>
            </w:r>
          </w:p>
          <w:p w:rsidR="00F01F33" w:rsidRPr="006B7CC0" w:rsidRDefault="00F01F33" w:rsidP="00803637">
            <w:pPr>
              <w:widowControl/>
              <w:rPr>
                <w:rFonts w:ascii="Arial Narrow" w:hAnsi="Arial Narrow"/>
                <w:sz w:val="20"/>
                <w:szCs w:val="20"/>
              </w:rPr>
            </w:pPr>
          </w:p>
          <w:p w:rsidR="00F01F33" w:rsidRDefault="00F01F33" w:rsidP="00803637">
            <w:pPr>
              <w:widowControl/>
              <w:rPr>
                <w:rFonts w:ascii="Arial Narrow" w:hAnsi="Arial Narrow"/>
                <w:sz w:val="20"/>
                <w:szCs w:val="20"/>
              </w:rPr>
            </w:pPr>
            <w:r w:rsidRPr="006B7CC0">
              <w:rPr>
                <w:rFonts w:ascii="Arial Narrow" w:hAnsi="Arial Narrow"/>
                <w:sz w:val="20"/>
                <w:szCs w:val="20"/>
              </w:rPr>
              <w:t>To ensure a patient receives the maximum treatment opportunities allowed under the interchangeability arrangements, it is important that they are assessed for response to every course of treatment, within the timeframes specified in the relevant restriction.</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PBS subsidy does not allow for patients to receive treatment with another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during the required treatment-free period applying to patients who have demonstrated a response to their most recent course of rituximab. This means that patients who have demonstrated a response to a course of rituximab must have a PBS-subsidised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therapy treatment-free period of at least 22 weeks, immediately following the second infusion, before swapping to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Patients who fail to respond to rituximab and who qualify and wish to trial a course of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may do so without having to have any treatment-free period.</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To avoid confusion, an application for a patient who wishes to swap to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should be accompanied by the prescription or remaining repeats for the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the patient is ceasing. </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(3) Baseline measurements to determine response.</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 xml:space="preserve">The Department of Human Services will determine whether a response to treatment has been demonstrated based on the baseline measurements of the joint count, ESR and/or CRP submitted with the first authority application for a </w:t>
            </w:r>
            <w:proofErr w:type="spellStart"/>
            <w:r w:rsidRPr="006B7CC0">
              <w:rPr>
                <w:rFonts w:ascii="Arial Narrow" w:hAnsi="Arial Narrow"/>
                <w:sz w:val="20"/>
                <w:szCs w:val="20"/>
              </w:rPr>
              <w:t>bDMARD</w:t>
            </w:r>
            <w:proofErr w:type="spellEnd"/>
            <w:r w:rsidRPr="006B7CC0">
              <w:rPr>
                <w:rFonts w:ascii="Arial Narrow" w:hAnsi="Arial Narrow"/>
                <w:sz w:val="20"/>
                <w:szCs w:val="20"/>
              </w:rPr>
              <w:t>. However, prescribers may provide new baseline measurements any time that an initial treatment authority application is submitted and the Department of Human Services will assess response according to these revised baseline measurements.</w:t>
            </w:r>
          </w:p>
          <w:p w:rsidR="00F01F33" w:rsidRPr="006B7CC0" w:rsidRDefault="00F01F33" w:rsidP="00803637">
            <w:pPr>
              <w:widowControl/>
              <w:rPr>
                <w:rFonts w:ascii="Arial Narrow" w:hAnsi="Arial Narrow"/>
                <w:sz w:val="20"/>
                <w:szCs w:val="20"/>
              </w:rPr>
            </w:pPr>
          </w:p>
          <w:p w:rsidR="00F01F33" w:rsidRPr="006B7CC0" w:rsidRDefault="00F01F33" w:rsidP="00803637">
            <w:pPr>
              <w:widowControl/>
              <w:rPr>
                <w:rFonts w:ascii="Arial Narrow" w:hAnsi="Arial Narrow"/>
                <w:sz w:val="20"/>
                <w:szCs w:val="20"/>
              </w:rPr>
            </w:pPr>
            <w:r w:rsidRPr="006B7CC0">
              <w:rPr>
                <w:rFonts w:ascii="Arial Narrow" w:hAnsi="Arial Narrow"/>
                <w:sz w:val="20"/>
                <w:szCs w:val="20"/>
              </w:rPr>
              <w:t>To ensure consistency in determining response, the same indices of disease severity used to establish baseline at the commencement of treatment with each initial treatment application must be used for all subsequent continuing treatment applications. Therefore, where only an ESR or CRP level is provided at baseline, an ESR or CRP level respectively must be used to determine response. Similarly, 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w:t>
            </w:r>
          </w:p>
          <w:p w:rsidR="00F01F33" w:rsidRPr="006B7CC0" w:rsidRDefault="00F01F33" w:rsidP="00803637">
            <w:pPr>
              <w:widowControl/>
              <w:rPr>
                <w:rFonts w:ascii="Arial Narrow" w:hAnsi="Arial Narrow"/>
                <w:sz w:val="20"/>
                <w:szCs w:val="20"/>
              </w:rPr>
            </w:pPr>
          </w:p>
          <w:p w:rsidR="00F01F33" w:rsidRPr="006B7CC0" w:rsidRDefault="00F01F33" w:rsidP="00803637">
            <w:pPr>
              <w:rPr>
                <w:rFonts w:ascii="Arial Narrow" w:hAnsi="Arial Narrow"/>
                <w:sz w:val="20"/>
                <w:szCs w:val="20"/>
              </w:rPr>
            </w:pPr>
            <w:r w:rsidRPr="006B7CC0">
              <w:rPr>
                <w:rFonts w:ascii="Arial Narrow" w:hAnsi="Arial Narrow"/>
                <w:sz w:val="20"/>
                <w:szCs w:val="20"/>
              </w:rPr>
              <w:t>Except as specified under the Initial 1 treatment restriction, a baseline joint count and ESR and/or CRP should be performed whilst the patient is still on treatment or within 1 month of ceasing prior treatment. Applications under the Initial 1 treatment restriction for new or re-commencing patients must include a joint count and ESR and/or CRP measured at the completion of the 6 month intensive DMARD trial, but prior to ceasing DMARD therapy.</w:t>
            </w:r>
          </w:p>
        </w:tc>
      </w:tr>
      <w:tr w:rsidR="00695BD5" w:rsidRPr="006B7CC0" w:rsidTr="00803637">
        <w:trPr>
          <w:cantSplit/>
          <w:trHeight w:val="360"/>
        </w:trPr>
        <w:tc>
          <w:tcPr>
            <w:tcW w:w="1418" w:type="dxa"/>
            <w:tcBorders>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p>
        </w:tc>
        <w:tc>
          <w:tcPr>
            <w:tcW w:w="7796" w:type="dxa"/>
            <w:tcBorders>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r>
    </w:tbl>
    <w:p w:rsidR="00695BD5" w:rsidRPr="006B7CC0" w:rsidRDefault="00695BD5" w:rsidP="00695BD5"/>
    <w:p w:rsidR="00695BD5" w:rsidRPr="006B7CC0" w:rsidRDefault="00695BD5" w:rsidP="00695BD5">
      <w:pPr>
        <w:widowControl/>
        <w:jc w:val="left"/>
      </w:pPr>
      <w:r w:rsidRPr="006B7CC0">
        <w:br w:type="page"/>
      </w:r>
    </w:p>
    <w:tbl>
      <w:tblPr>
        <w:tblW w:w="9214" w:type="dxa"/>
        <w:tblInd w:w="108" w:type="dxa"/>
        <w:tblLayout w:type="fixed"/>
        <w:tblLook w:val="0000" w:firstRow="0" w:lastRow="0" w:firstColumn="0" w:lastColumn="0" w:noHBand="0" w:noVBand="0"/>
      </w:tblPr>
      <w:tblGrid>
        <w:gridCol w:w="2410"/>
        <w:gridCol w:w="851"/>
        <w:gridCol w:w="567"/>
        <w:gridCol w:w="850"/>
        <w:gridCol w:w="284"/>
        <w:gridCol w:w="1559"/>
        <w:gridCol w:w="2693"/>
      </w:tblGrid>
      <w:tr w:rsidR="00695BD5" w:rsidRPr="006B7CC0" w:rsidTr="00803637">
        <w:trPr>
          <w:cantSplit/>
          <w:trHeight w:val="471"/>
        </w:trPr>
        <w:tc>
          <w:tcPr>
            <w:tcW w:w="3261" w:type="dxa"/>
            <w:gridSpan w:val="2"/>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lastRenderedPageBreak/>
              <w:t>Name, Restriction,</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Manner of administration and form</w:t>
            </w:r>
          </w:p>
        </w:tc>
        <w:tc>
          <w:tcPr>
            <w:tcW w:w="567"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Max.</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Qty</w:t>
            </w:r>
          </w:p>
        </w:tc>
        <w:tc>
          <w:tcPr>
            <w:tcW w:w="850"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№.of</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Rpts</w:t>
            </w:r>
          </w:p>
        </w:tc>
        <w:tc>
          <w:tcPr>
            <w:tcW w:w="284"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p>
        </w:tc>
        <w:tc>
          <w:tcPr>
            <w:tcW w:w="4252" w:type="dxa"/>
            <w:gridSpan w:val="2"/>
            <w:tcBorders>
              <w:bottom w:val="single" w:sz="4" w:space="0" w:color="auto"/>
            </w:tcBorders>
          </w:tcPr>
          <w:p w:rsidR="00695BD5" w:rsidRPr="006B7CC0" w:rsidRDefault="00695BD5" w:rsidP="00803637">
            <w:pPr>
              <w:keepNext/>
              <w:widowControl/>
              <w:rPr>
                <w:rFonts w:ascii="Arial Narrow" w:hAnsi="Arial Narrow"/>
                <w:b/>
                <w:sz w:val="20"/>
                <w:szCs w:val="20"/>
              </w:rPr>
            </w:pPr>
            <w:r w:rsidRPr="006B7CC0">
              <w:rPr>
                <w:rFonts w:ascii="Arial Narrow" w:hAnsi="Arial Narrow"/>
                <w:b/>
                <w:sz w:val="20"/>
                <w:szCs w:val="20"/>
              </w:rPr>
              <w:t>Proprietary Name and Manufacturer</w:t>
            </w:r>
          </w:p>
        </w:tc>
      </w:tr>
      <w:tr w:rsidR="00695BD5" w:rsidRPr="006B7CC0" w:rsidTr="00803637">
        <w:trPr>
          <w:cantSplit/>
          <w:trHeight w:val="577"/>
        </w:trPr>
        <w:tc>
          <w:tcPr>
            <w:tcW w:w="3261" w:type="dxa"/>
            <w:gridSpan w:val="2"/>
          </w:tcPr>
          <w:p w:rsidR="00695BD5" w:rsidRPr="006B7CC0" w:rsidRDefault="00695BD5" w:rsidP="00803637">
            <w:pPr>
              <w:keepNext/>
              <w:widowControl/>
              <w:ind w:left="-108"/>
              <w:rPr>
                <w:rFonts w:ascii="Arial Narrow" w:hAnsi="Arial Narrow"/>
                <w:sz w:val="20"/>
                <w:szCs w:val="20"/>
              </w:rPr>
            </w:pPr>
            <w:r w:rsidRPr="006B7CC0">
              <w:rPr>
                <w:rFonts w:ascii="Arial Narrow" w:hAnsi="Arial Narrow"/>
                <w:smallCaps/>
                <w:sz w:val="20"/>
                <w:szCs w:val="20"/>
              </w:rPr>
              <w:t>SARILUMAB</w:t>
            </w: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injection 200 mg in 1.14 mL pre-filled syringe, 2</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spacing w:after="120"/>
              <w:ind w:left="-108"/>
              <w:rPr>
                <w:rFonts w:ascii="Arial Narrow" w:hAnsi="Arial Narrow"/>
                <w:sz w:val="20"/>
                <w:szCs w:val="20"/>
              </w:rPr>
            </w:pPr>
            <w:r w:rsidRPr="006B7CC0">
              <w:rPr>
                <w:rFonts w:ascii="Arial Narrow" w:hAnsi="Arial Narrow"/>
                <w:sz w:val="20"/>
                <w:szCs w:val="20"/>
              </w:rPr>
              <w:t>injection 150 mg in 1.14 mL pre-filled syringe, 2</w:t>
            </w:r>
          </w:p>
        </w:tc>
        <w:tc>
          <w:tcPr>
            <w:tcW w:w="567" w:type="dxa"/>
          </w:tcPr>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1</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1</w:t>
            </w:r>
          </w:p>
        </w:tc>
        <w:tc>
          <w:tcPr>
            <w:tcW w:w="850" w:type="dxa"/>
          </w:tcPr>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3</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3</w:t>
            </w:r>
          </w:p>
        </w:tc>
        <w:tc>
          <w:tcPr>
            <w:tcW w:w="284" w:type="dxa"/>
          </w:tcPr>
          <w:p w:rsidR="00695BD5" w:rsidRPr="006B7CC0" w:rsidRDefault="00695BD5" w:rsidP="00803637">
            <w:pPr>
              <w:keepNext/>
              <w:widowControl/>
              <w:ind w:left="-108"/>
              <w:rPr>
                <w:rFonts w:ascii="Arial Narrow" w:hAnsi="Arial Narrow"/>
                <w:sz w:val="20"/>
                <w:szCs w:val="20"/>
              </w:rPr>
            </w:pPr>
          </w:p>
        </w:tc>
        <w:tc>
          <w:tcPr>
            <w:tcW w:w="1559" w:type="dxa"/>
          </w:tcPr>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cs="Calibri"/>
                <w:sz w:val="20"/>
                <w:szCs w:val="20"/>
                <w:vertAlign w:val="superscript"/>
              </w:rPr>
            </w:pPr>
            <w:proofErr w:type="spellStart"/>
            <w:r w:rsidRPr="006B7CC0">
              <w:rPr>
                <w:rFonts w:ascii="Arial Narrow" w:hAnsi="Arial Narrow"/>
                <w:sz w:val="20"/>
                <w:szCs w:val="20"/>
              </w:rPr>
              <w:t>Kevzara</w:t>
            </w:r>
            <w:proofErr w:type="spellEnd"/>
            <w:r w:rsidRPr="006B7CC0">
              <w:rPr>
                <w:rFonts w:ascii="Arial Narrow" w:hAnsi="Arial Narrow" w:cs="Calibri"/>
                <w:sz w:val="20"/>
                <w:szCs w:val="20"/>
                <w:vertAlign w:val="superscript"/>
              </w:rPr>
              <w:t>®</w:t>
            </w:r>
          </w:p>
        </w:tc>
        <w:tc>
          <w:tcPr>
            <w:tcW w:w="2693" w:type="dxa"/>
          </w:tcPr>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r w:rsidRPr="006B7CC0">
              <w:rPr>
                <w:rFonts w:ascii="Arial Narrow" w:hAnsi="Arial Narrow"/>
                <w:sz w:val="20"/>
                <w:szCs w:val="20"/>
              </w:rPr>
              <w:t>Sanofi-Aventis Australia Pty Ltd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GENERAL – General Schedule (Code 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Dental  </w:t>
            </w: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Medical Practitioners  </w:t>
            </w: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Nurse practitioners  </w:t>
            </w: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Optometrists </w:t>
            </w: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Midwives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Initial treatment – Initial 1 (new patient or patient recommencing treatment after break of more than 24 months)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Restriction Level / Method:</w:t>
            </w: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Restricted benefit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In Writing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Telephone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Emergency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Electronic</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Streamlined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Must be treated by a rheumatologist; OR</w:t>
            </w:r>
          </w:p>
          <w:p w:rsidR="00695BD5" w:rsidRPr="006B7CC0" w:rsidRDefault="00695BD5" w:rsidP="00803637">
            <w:pPr>
              <w:pStyle w:val="Tabletext"/>
              <w:rPr>
                <w:rFonts w:cs="Arial"/>
                <w:szCs w:val="20"/>
                <w:lang w:eastAsia="en-AU"/>
              </w:rPr>
            </w:pPr>
            <w:r w:rsidRPr="006B7CC0">
              <w:rPr>
                <w:rFonts w:cs="Arial"/>
                <w:szCs w:val="20"/>
                <w:lang w:eastAsia="en-AU"/>
              </w:rPr>
              <w:t>Must be treated by a clinical immunologist with expertise in the management of rheumatoid arthritis.</w:t>
            </w:r>
          </w:p>
        </w:tc>
      </w:tr>
      <w:tr w:rsidR="00695BD5" w:rsidRPr="006B7CC0" w:rsidTr="00803637">
        <w:trPr>
          <w:cantSplit/>
          <w:trHeight w:val="4117"/>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Clinical criteria:</w:t>
            </w: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napToGrid/>
                <w:sz w:val="20"/>
                <w:szCs w:val="20"/>
                <w:lang w:eastAsia="en-AU"/>
              </w:rPr>
              <w:t xml:space="preserve">Patient must have severe active rheumatoid arthritis,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napToGrid/>
                <w:sz w:val="20"/>
                <w:szCs w:val="20"/>
                <w:lang w:eastAsia="en-AU"/>
              </w:rPr>
              <w:t>Patient must have received no PBS-subsidised treatment with a biological disease modifying anti-rheumatic drug (</w:t>
            </w:r>
            <w:proofErr w:type="spellStart"/>
            <w:r w:rsidRPr="006B7CC0">
              <w:rPr>
                <w:rFonts w:ascii="Arial Narrow" w:hAnsi="Arial Narrow"/>
                <w:snapToGrid/>
                <w:sz w:val="20"/>
                <w:szCs w:val="20"/>
                <w:lang w:eastAsia="en-AU"/>
              </w:rPr>
              <w:t>bDMARD</w:t>
            </w:r>
            <w:proofErr w:type="spellEnd"/>
            <w:r w:rsidRPr="006B7CC0">
              <w:rPr>
                <w:rFonts w:ascii="Arial Narrow" w:hAnsi="Arial Narrow"/>
                <w:snapToGrid/>
                <w:sz w:val="20"/>
                <w:szCs w:val="20"/>
                <w:lang w:eastAsia="en-AU"/>
              </w:rPr>
              <w:t xml:space="preserve">) for this condition in the previous 24 months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napToGrid/>
                <w:sz w:val="20"/>
                <w:szCs w:val="20"/>
                <w:lang w:eastAsia="en-AU"/>
              </w:rPr>
              <w:t xml:space="preserve">Patient must not have failed previous PBS-subsidised treatment with </w:t>
            </w:r>
            <w:proofErr w:type="spellStart"/>
            <w:r w:rsidRPr="006B7CC0">
              <w:rPr>
                <w:rFonts w:ascii="Arial Narrow" w:hAnsi="Arial Narrow"/>
                <w:snapToGrid/>
                <w:sz w:val="20"/>
                <w:szCs w:val="20"/>
                <w:lang w:eastAsia="en-AU"/>
              </w:rPr>
              <w:t>sarilumab</w:t>
            </w:r>
            <w:proofErr w:type="spellEnd"/>
            <w:r w:rsidRPr="006B7CC0">
              <w:rPr>
                <w:rFonts w:ascii="Arial Narrow" w:hAnsi="Arial Narrow"/>
                <w:snapToGrid/>
                <w:sz w:val="20"/>
                <w:szCs w:val="20"/>
                <w:lang w:eastAsia="en-AU"/>
              </w:rPr>
              <w:t xml:space="preserve"> for this condition, and have not already failed, or ceased to respond to, PBS-subsidised </w:t>
            </w:r>
            <w:proofErr w:type="spellStart"/>
            <w:r w:rsidRPr="006B7CC0">
              <w:rPr>
                <w:rFonts w:ascii="Arial Narrow" w:hAnsi="Arial Narrow"/>
                <w:snapToGrid/>
                <w:sz w:val="20"/>
                <w:szCs w:val="20"/>
                <w:lang w:eastAsia="en-AU"/>
              </w:rPr>
              <w:t>bDMARD</w:t>
            </w:r>
            <w:proofErr w:type="spellEnd"/>
            <w:r w:rsidRPr="006B7CC0">
              <w:rPr>
                <w:rFonts w:ascii="Arial Narrow" w:hAnsi="Arial Narrow"/>
                <w:snapToGrid/>
                <w:sz w:val="20"/>
                <w:szCs w:val="20"/>
                <w:lang w:eastAsia="en-AU"/>
              </w:rPr>
              <w:t xml:space="preserve"> treatment for this condition 5 times, </w:t>
            </w:r>
          </w:p>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napToGrid/>
                <w:sz w:val="20"/>
                <w:szCs w:val="20"/>
                <w:lang w:eastAsia="en-AU"/>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6B7CC0">
              <w:rPr>
                <w:rFonts w:ascii="Arial Narrow" w:hAnsi="Arial Narrow"/>
                <w:sz w:val="20"/>
                <w:szCs w:val="20"/>
              </w:rPr>
              <w:t>i</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hydroxychloroquine</w:t>
            </w:r>
            <w:proofErr w:type="spellEnd"/>
            <w:r w:rsidRPr="006B7CC0">
              <w:rPr>
                <w:rFonts w:ascii="Arial Narrow" w:hAnsi="Arial Narrow"/>
                <w:sz w:val="20"/>
                <w:szCs w:val="20"/>
              </w:rPr>
              <w:t xml:space="preserve"> at a dose of at least 200 mg daily; or (ii) </w:t>
            </w:r>
            <w:proofErr w:type="spellStart"/>
            <w:r w:rsidRPr="006B7CC0">
              <w:rPr>
                <w:rFonts w:ascii="Arial Narrow" w:hAnsi="Arial Narrow"/>
                <w:sz w:val="20"/>
                <w:szCs w:val="20"/>
              </w:rPr>
              <w:t>leflunomide</w:t>
            </w:r>
            <w:proofErr w:type="spellEnd"/>
            <w:r w:rsidRPr="006B7CC0">
              <w:rPr>
                <w:rFonts w:ascii="Arial Narrow" w:hAnsi="Arial Narrow"/>
                <w:sz w:val="20"/>
                <w:szCs w:val="20"/>
              </w:rPr>
              <w:t xml:space="preserve"> at a dose of at least 10 mg daily; or (iii) sulfasalazine at a dose of at least 2 g daily,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6B7CC0">
              <w:rPr>
                <w:rFonts w:ascii="Arial Narrow" w:hAnsi="Arial Narrow"/>
                <w:sz w:val="20"/>
                <w:szCs w:val="20"/>
              </w:rPr>
              <w:t>i</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hydroxychloroquine</w:t>
            </w:r>
            <w:proofErr w:type="spellEnd"/>
            <w:r w:rsidRPr="006B7CC0">
              <w:rPr>
                <w:rFonts w:ascii="Arial Narrow" w:hAnsi="Arial Narrow"/>
                <w:sz w:val="20"/>
                <w:szCs w:val="20"/>
              </w:rPr>
              <w:t xml:space="preserve"> at a dose of at least 200 mg daily; and/or (ii) </w:t>
            </w:r>
            <w:proofErr w:type="spellStart"/>
            <w:r w:rsidRPr="006B7CC0">
              <w:rPr>
                <w:rFonts w:ascii="Arial Narrow" w:hAnsi="Arial Narrow"/>
                <w:sz w:val="20"/>
                <w:szCs w:val="20"/>
              </w:rPr>
              <w:t>leflunomide</w:t>
            </w:r>
            <w:proofErr w:type="spellEnd"/>
            <w:r w:rsidRPr="006B7CC0">
              <w:rPr>
                <w:rFonts w:ascii="Arial Narrow" w:hAnsi="Arial Narrow"/>
                <w:sz w:val="20"/>
                <w:szCs w:val="20"/>
              </w:rPr>
              <w:t xml:space="preserve"> at a dose of at least 10 mg daily; and/or (iii) sulfasalazine at a dose of at least 2 g daily,</w:t>
            </w:r>
          </w:p>
          <w:p w:rsidR="00695BD5" w:rsidRPr="00695BD5" w:rsidRDefault="00695BD5" w:rsidP="00803637">
            <w:pPr>
              <w:widowControl/>
              <w:rPr>
                <w:rFonts w:ascii="Arial Narrow" w:hAnsi="Arial Narrow"/>
                <w:i/>
                <w:sz w:val="20"/>
                <w:szCs w:val="20"/>
              </w:rPr>
            </w:pPr>
            <w:r w:rsidRPr="006B7CC0">
              <w:rPr>
                <w:rFonts w:ascii="Arial Narrow" w:hAnsi="Arial Narrow"/>
                <w:sz w:val="20"/>
                <w:szCs w:val="20"/>
              </w:rPr>
              <w:t>OR</w:t>
            </w:r>
            <w:r>
              <w:rPr>
                <w:rFonts w:ascii="Arial Narrow" w:hAnsi="Arial Narrow"/>
                <w:sz w:val="20"/>
                <w:szCs w:val="20"/>
              </w:rPr>
              <w:t xml:space="preserve"> (</w:t>
            </w:r>
            <w:r>
              <w:rPr>
                <w:rFonts w:ascii="Arial Narrow" w:hAnsi="Arial Narrow"/>
                <w:i/>
                <w:sz w:val="20"/>
                <w:szCs w:val="20"/>
              </w:rPr>
              <w:t>continued over page)</w:t>
            </w:r>
          </w:p>
        </w:tc>
      </w:tr>
      <w:tr w:rsidR="00695BD5" w:rsidRPr="006B7CC0" w:rsidTr="00803637">
        <w:trPr>
          <w:cantSplit/>
          <w:trHeight w:val="2825"/>
        </w:trPr>
        <w:tc>
          <w:tcPr>
            <w:tcW w:w="2410" w:type="dxa"/>
            <w:tcBorders>
              <w:top w:val="single" w:sz="4" w:space="0" w:color="auto"/>
              <w:left w:val="single" w:sz="4" w:space="0" w:color="auto"/>
              <w:right w:val="single" w:sz="4" w:space="0" w:color="auto"/>
            </w:tcBorders>
          </w:tcPr>
          <w:p w:rsidR="00695BD5" w:rsidRPr="006B7CC0" w:rsidRDefault="00695BD5" w:rsidP="00803637">
            <w:pPr>
              <w:widowControl/>
              <w:jc w:val="left"/>
              <w:rPr>
                <w:rFonts w:ascii="Arial Narrow" w:hAnsi="Arial Narrow"/>
                <w:b/>
                <w:sz w:val="20"/>
                <w:szCs w:val="20"/>
              </w:rPr>
            </w:pPr>
            <w:r w:rsidRPr="006B7CC0">
              <w:rPr>
                <w:rFonts w:ascii="Arial Narrow" w:hAnsi="Arial Narrow"/>
                <w:b/>
                <w:sz w:val="20"/>
                <w:szCs w:val="20"/>
              </w:rPr>
              <w:lastRenderedPageBreak/>
              <w:t>Clinical criteria (cont’d) :</w:t>
            </w:r>
          </w:p>
          <w:p w:rsidR="00695BD5" w:rsidRPr="006B7CC0" w:rsidRDefault="00695BD5" w:rsidP="00803637">
            <w:pPr>
              <w:widowControl/>
              <w:rPr>
                <w:rFonts w:ascii="Arial Narrow" w:hAnsi="Arial Narrow"/>
                <w:b/>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Patient must have failed, in the 24 months immediately prior to the date of the application, to achieve an adequate response to a trial of at least 6 months of intensive treatment with DMARDs which, if 3 or more of methotrexate, </w:t>
            </w:r>
            <w:proofErr w:type="spellStart"/>
            <w:r w:rsidRPr="006B7CC0">
              <w:rPr>
                <w:rFonts w:ascii="Arial Narrow" w:hAnsi="Arial Narrow"/>
                <w:sz w:val="20"/>
                <w:szCs w:val="20"/>
              </w:rPr>
              <w:t>hydroxychloroquine</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leflunomide</w:t>
            </w:r>
            <w:proofErr w:type="spellEnd"/>
            <w:r w:rsidRPr="006B7CC0">
              <w:rPr>
                <w:rFonts w:ascii="Arial Narrow" w:hAnsi="Arial Narrow"/>
                <w:sz w:val="20"/>
                <w:szCs w:val="20"/>
              </w:rPr>
              <w:t xml:space="preserv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w:t>
            </w:r>
            <w:proofErr w:type="spellStart"/>
            <w:r w:rsidRPr="006B7CC0">
              <w:rPr>
                <w:rFonts w:ascii="Arial Narrow" w:hAnsi="Arial Narrow"/>
                <w:sz w:val="20"/>
                <w:szCs w:val="20"/>
              </w:rPr>
              <w:t>i</w:t>
            </w:r>
            <w:proofErr w:type="spellEnd"/>
            <w:r w:rsidRPr="006B7CC0">
              <w:rPr>
                <w:rFonts w:ascii="Arial Narrow" w:hAnsi="Arial Narrow"/>
                <w:sz w:val="20"/>
                <w:szCs w:val="20"/>
              </w:rPr>
              <w:t xml:space="preserve">) azathioprine at a dose of at least 1 mg/kg per day; and/or (ii) </w:t>
            </w:r>
            <w:proofErr w:type="spellStart"/>
            <w:r w:rsidRPr="006B7CC0">
              <w:rPr>
                <w:rFonts w:ascii="Arial Narrow" w:hAnsi="Arial Narrow"/>
                <w:sz w:val="20"/>
                <w:szCs w:val="20"/>
              </w:rPr>
              <w:t>cyclosporin</w:t>
            </w:r>
            <w:proofErr w:type="spellEnd"/>
            <w:r w:rsidRPr="006B7CC0">
              <w:rPr>
                <w:rFonts w:ascii="Arial Narrow" w:hAnsi="Arial Narrow"/>
                <w:sz w:val="20"/>
                <w:szCs w:val="20"/>
              </w:rPr>
              <w:t xml:space="preserve"> at a dose of at least 2 mg/kg/day; and/or (iii) sodium </w:t>
            </w:r>
            <w:proofErr w:type="spellStart"/>
            <w:r w:rsidRPr="006B7CC0">
              <w:rPr>
                <w:rFonts w:ascii="Arial Narrow" w:hAnsi="Arial Narrow"/>
                <w:sz w:val="20"/>
                <w:szCs w:val="20"/>
              </w:rPr>
              <w:t>aurothiomalate</w:t>
            </w:r>
            <w:proofErr w:type="spellEnd"/>
            <w:r w:rsidRPr="006B7CC0">
              <w:rPr>
                <w:rFonts w:ascii="Arial Narrow" w:hAnsi="Arial Narrow"/>
                <w:sz w:val="20"/>
                <w:szCs w:val="20"/>
              </w:rPr>
              <w:t xml:space="preserve"> at a dose of 50 mg weekly, AND</w:t>
            </w:r>
          </w:p>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z w:val="20"/>
                <w:szCs w:val="20"/>
              </w:rPr>
              <w:t>Patient must not receive more than 16 weeks of treatment per continuing treatment course authorised under this restriction.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Patient must be aged 18 years or older</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Instructions:</w:t>
            </w:r>
          </w:p>
          <w:p w:rsidR="00695BD5" w:rsidRPr="006B7CC0" w:rsidRDefault="00695BD5" w:rsidP="00803637">
            <w:pPr>
              <w:widowControl/>
              <w:rPr>
                <w:rFonts w:ascii="Arial Narrow" w:hAnsi="Arial Narrow"/>
                <w:b/>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i/>
                <w:sz w:val="20"/>
                <w:szCs w:val="20"/>
              </w:rPr>
            </w:pPr>
            <w:r w:rsidRPr="006B7CC0">
              <w:rPr>
                <w:rFonts w:ascii="Arial Narrow" w:hAnsi="Arial Narrow"/>
                <w:i/>
                <w:sz w:val="20"/>
                <w:szCs w:val="20"/>
              </w:rPr>
              <w:t>The 150mg strength is for dose reduction purposes.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For the purposes of this restriction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means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adalimumab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baricitinib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certolizumab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pegol</w:t>
            </w:r>
            <w:proofErr w:type="spellEnd"/>
            <w:r w:rsidRPr="006B7CC0">
              <w:rPr>
                <w:rFonts w:ascii="Arial Narrow" w:hAnsi="Arial Narrow"/>
                <w:sz w:val="20"/>
                <w:szCs w:val="20"/>
              </w:rPr>
              <w:t xml:space="preserve">, etanercept, </w:t>
            </w:r>
            <w:proofErr w:type="spellStart"/>
            <w:r w:rsidRPr="006B7CC0">
              <w:rPr>
                <w:rFonts w:ascii="Arial Narrow" w:hAnsi="Arial Narrow"/>
                <w:sz w:val="20"/>
                <w:szCs w:val="20"/>
              </w:rPr>
              <w:t>golimumab</w:t>
            </w:r>
            <w:proofErr w:type="spellEnd"/>
            <w:r w:rsidRPr="006B7CC0">
              <w:rPr>
                <w:rFonts w:ascii="Arial Narrow" w:hAnsi="Arial Narrow"/>
                <w:sz w:val="20"/>
                <w:szCs w:val="20"/>
              </w:rPr>
              <w:t xml:space="preserve">, infliximab, rituximab,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tocilizumab</w:t>
            </w:r>
            <w:proofErr w:type="spellEnd"/>
            <w:r w:rsidRPr="006B7CC0">
              <w:rPr>
                <w:rFonts w:ascii="Arial Narrow" w:hAnsi="Arial Narrow"/>
                <w:sz w:val="20"/>
                <w:szCs w:val="20"/>
              </w:rPr>
              <w:t xml:space="preserve"> or </w:t>
            </w:r>
            <w:proofErr w:type="spellStart"/>
            <w:r w:rsidRPr="006B7CC0">
              <w:rPr>
                <w:rFonts w:ascii="Arial Narrow" w:hAnsi="Arial Narrow"/>
                <w:sz w:val="20"/>
                <w:szCs w:val="20"/>
              </w:rPr>
              <w:t>tofacitinib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application must include details of the DMARDs trialled, their doses and duration of treatment, and all relevant contraindications and/or intolerances including severity.</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requirement to trial at least 2 DMARDs for periods of at least 3 months each can be met using single agents sequentially or by using one or more combinations of DMARDs.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authority application must be made in writing and must include: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(1) completed authority prescription form(s); 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(2) a completed Rheumatoid Arthritis initial PBS Authority Application - Supporting Information Form; and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(3) </w:t>
            </w:r>
            <w:proofErr w:type="gramStart"/>
            <w:r w:rsidRPr="006B7CC0">
              <w:rPr>
                <w:rFonts w:ascii="Arial Narrow" w:hAnsi="Arial Narrow"/>
                <w:sz w:val="20"/>
                <w:szCs w:val="20"/>
              </w:rPr>
              <w:t>a</w:t>
            </w:r>
            <w:proofErr w:type="gramEnd"/>
            <w:r w:rsidRPr="006B7CC0">
              <w:rPr>
                <w:rFonts w:ascii="Arial Narrow" w:hAnsi="Arial Narrow"/>
                <w:sz w:val="20"/>
                <w:szCs w:val="20"/>
              </w:rPr>
              <w:t xml:space="preserve"> signed patient acknowledgement.</w:t>
            </w:r>
          </w:p>
          <w:p w:rsidR="00695BD5" w:rsidRDefault="00695BD5" w:rsidP="00803637">
            <w:pPr>
              <w:pStyle w:val="Tabletext"/>
              <w:rPr>
                <w:rFonts w:cs="Arial"/>
                <w:i/>
                <w:szCs w:val="20"/>
                <w:lang w:eastAsia="en-AU"/>
              </w:rPr>
            </w:pPr>
          </w:p>
          <w:p w:rsidR="00695BD5" w:rsidRPr="00695BD5" w:rsidRDefault="00695BD5" w:rsidP="00803637">
            <w:pPr>
              <w:pStyle w:val="Tabletext"/>
              <w:rPr>
                <w:rFonts w:cs="Arial"/>
                <w:i/>
                <w:szCs w:val="20"/>
                <w:lang w:eastAsia="en-AU"/>
              </w:rPr>
            </w:pPr>
            <w:r>
              <w:rPr>
                <w:rFonts w:cs="Arial"/>
                <w:i/>
                <w:szCs w:val="20"/>
                <w:lang w:eastAsia="en-AU"/>
              </w:rPr>
              <w:t>(continued over page)</w:t>
            </w:r>
          </w:p>
        </w:tc>
      </w:tr>
      <w:tr w:rsidR="00695BD5" w:rsidRPr="006B7CC0" w:rsidTr="00803637">
        <w:trPr>
          <w:cantSplit/>
          <w:trHeight w:val="6366"/>
        </w:trPr>
        <w:tc>
          <w:tcPr>
            <w:tcW w:w="2410" w:type="dxa"/>
            <w:tcBorders>
              <w:top w:val="single" w:sz="4" w:space="0" w:color="auto"/>
              <w:left w:val="single" w:sz="4" w:space="0" w:color="auto"/>
              <w:right w:val="single" w:sz="4" w:space="0" w:color="auto"/>
            </w:tcBorders>
          </w:tcPr>
          <w:p w:rsidR="00695BD5" w:rsidRPr="006B7CC0" w:rsidRDefault="00695BD5" w:rsidP="00695BD5">
            <w:pPr>
              <w:widowControl/>
              <w:jc w:val="left"/>
              <w:rPr>
                <w:rFonts w:ascii="Arial Narrow" w:hAnsi="Arial Narrow"/>
                <w:b/>
                <w:sz w:val="20"/>
                <w:szCs w:val="20"/>
              </w:rPr>
            </w:pPr>
            <w:r w:rsidRPr="006B7CC0">
              <w:rPr>
                <w:rFonts w:ascii="Arial Narrow" w:hAnsi="Arial Narrow"/>
                <w:b/>
                <w:sz w:val="20"/>
                <w:szCs w:val="20"/>
              </w:rPr>
              <w:lastRenderedPageBreak/>
              <w:t>Prescriber Instructions (continued):</w:t>
            </w:r>
          </w:p>
          <w:p w:rsidR="00695BD5" w:rsidRPr="006B7CC0" w:rsidRDefault="00695BD5" w:rsidP="00803637">
            <w:pPr>
              <w:widowControl/>
              <w:rPr>
                <w:rFonts w:ascii="Arial Narrow" w:hAnsi="Arial Narrow"/>
                <w:b/>
                <w:sz w:val="20"/>
                <w:szCs w:val="20"/>
              </w:rPr>
            </w:pPr>
          </w:p>
        </w:tc>
        <w:tc>
          <w:tcPr>
            <w:tcW w:w="6804" w:type="dxa"/>
            <w:gridSpan w:val="6"/>
            <w:tcBorders>
              <w:top w:val="single" w:sz="4" w:space="0" w:color="auto"/>
              <w:left w:val="single" w:sz="4" w:space="0" w:color="auto"/>
              <w:right w:val="single" w:sz="4" w:space="0" w:color="auto"/>
            </w:tcBorders>
          </w:tcPr>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If a patient fails to demonstrate a response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under this restriction they will not be eligible to receive further PBS-subsidised treatment with this drug for this condition. </w:t>
            </w:r>
          </w:p>
          <w:p w:rsidR="00695BD5" w:rsidRPr="006B7CC0" w:rsidRDefault="00695BD5" w:rsidP="00695BD5">
            <w:pPr>
              <w:widowControl/>
              <w:rPr>
                <w:rFonts w:ascii="Arial Narrow" w:hAnsi="Arial Narrow"/>
                <w:sz w:val="20"/>
                <w:szCs w:val="20"/>
              </w:rPr>
            </w:pP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The following criteria indicate failure to achieve an adequate response and must be demonstrated in all patients at the time of the initial application: </w:t>
            </w:r>
          </w:p>
          <w:p w:rsidR="00695BD5" w:rsidRPr="006B7CC0" w:rsidRDefault="00695BD5" w:rsidP="00695BD5">
            <w:pPr>
              <w:pStyle w:val="Tabletext"/>
              <w:rPr>
                <w:rFonts w:cs="Arial"/>
                <w:szCs w:val="20"/>
                <w:lang w:eastAsia="en-AU"/>
              </w:rPr>
            </w:pP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an elevated erythrocyte sedimentation rate (ESR) greater than 25 mm per hour or a C-reactive protein (CRP) level greater than 15 mg per L; AND either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(a) a total active joint count of at least 20 active (swollen and tender) joints; or</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(b) at least 4 active joints from the following list of major joints:</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w:t>
            </w:r>
            <w:proofErr w:type="spellStart"/>
            <w:r w:rsidRPr="006B7CC0">
              <w:rPr>
                <w:rFonts w:ascii="Arial Narrow" w:hAnsi="Arial Narrow"/>
                <w:sz w:val="20"/>
                <w:szCs w:val="20"/>
              </w:rPr>
              <w:t>i</w:t>
            </w:r>
            <w:proofErr w:type="spellEnd"/>
            <w:r w:rsidRPr="006B7CC0">
              <w:rPr>
                <w:rFonts w:ascii="Arial Narrow" w:hAnsi="Arial Narrow"/>
                <w:sz w:val="20"/>
                <w:szCs w:val="20"/>
              </w:rPr>
              <w:t>) elbow, wrist, knee and/or ankle (assessed as swollen and tender); and/or</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(ii) </w:t>
            </w:r>
            <w:proofErr w:type="gramStart"/>
            <w:r w:rsidRPr="006B7CC0">
              <w:rPr>
                <w:rFonts w:ascii="Arial Narrow" w:hAnsi="Arial Narrow"/>
                <w:sz w:val="20"/>
                <w:szCs w:val="20"/>
              </w:rPr>
              <w:t>shoulder</w:t>
            </w:r>
            <w:proofErr w:type="gramEnd"/>
            <w:r w:rsidRPr="006B7CC0">
              <w:rPr>
                <w:rFonts w:ascii="Arial Narrow" w:hAnsi="Arial Narrow"/>
                <w:sz w:val="20"/>
                <w:szCs w:val="20"/>
              </w:rPr>
              <w:t xml:space="preserve"> and/or hip (assessed as pain in passive movement and restriction of passive movement, where pain and limitation of movement are due to active disease and not irreversible damage such as joint destruction or bony overgrowth).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The joint count and ESR and/or CRP must be determined at the completion of the 6 month intensive DMARD trial, but prior to ceasing DMARD therapy. All measures must be no more than one month old at the time of initial application.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If the above requirement to demonstrate an elevated ESR or CRP cannot be met, the application must state the reasons why this criterion cannot be satisfied. </w:t>
            </w:r>
          </w:p>
          <w:p w:rsidR="00695BD5" w:rsidRPr="006B7CC0" w:rsidRDefault="00695BD5" w:rsidP="00803637">
            <w:pPr>
              <w:widowControl/>
              <w:rPr>
                <w:rFonts w:ascii="Arial Narrow" w:hAnsi="Arial Narrow"/>
                <w:sz w:val="20"/>
                <w:szCs w:val="20"/>
              </w:rPr>
            </w:pPr>
          </w:p>
          <w:p w:rsidR="00695BD5" w:rsidRPr="006B7CC0" w:rsidRDefault="00695BD5" w:rsidP="00803637">
            <w:pPr>
              <w:rPr>
                <w:rFonts w:ascii="Arial Narrow" w:hAnsi="Arial Narrow"/>
                <w:i/>
                <w:sz w:val="20"/>
                <w:szCs w:val="20"/>
              </w:rPr>
            </w:pPr>
            <w:r w:rsidRPr="006B7CC0">
              <w:rPr>
                <w:rFonts w:ascii="Arial Narrow" w:hAnsi="Arial Narrow"/>
                <w:sz w:val="20"/>
                <w:szCs w:val="20"/>
              </w:rPr>
              <w:t>Where the baseline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is provided with the initial application, the same marker will be used to determine response.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Administrative advice: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authority application must be made in writing and must include:</w:t>
            </w:r>
          </w:p>
          <w:p w:rsidR="00695BD5" w:rsidRPr="006B7CC0" w:rsidRDefault="00695BD5" w:rsidP="00695BD5">
            <w:pPr>
              <w:pStyle w:val="Tabletext"/>
              <w:numPr>
                <w:ilvl w:val="0"/>
                <w:numId w:val="33"/>
              </w:numPr>
              <w:rPr>
                <w:rFonts w:cs="Arial"/>
                <w:szCs w:val="20"/>
                <w:lang w:eastAsia="en-AU"/>
              </w:rPr>
            </w:pPr>
            <w:r w:rsidRPr="006B7CC0">
              <w:rPr>
                <w:rFonts w:cs="Arial"/>
                <w:szCs w:val="20"/>
                <w:lang w:eastAsia="en-AU"/>
              </w:rPr>
              <w:t>Completed authority prescription form(s); and</w:t>
            </w:r>
          </w:p>
          <w:p w:rsidR="00695BD5" w:rsidRPr="006B7CC0" w:rsidRDefault="00695BD5" w:rsidP="00695BD5">
            <w:pPr>
              <w:pStyle w:val="Tabletext"/>
              <w:numPr>
                <w:ilvl w:val="0"/>
                <w:numId w:val="33"/>
              </w:numPr>
              <w:rPr>
                <w:rFonts w:cs="Arial"/>
                <w:szCs w:val="20"/>
                <w:lang w:eastAsia="en-AU"/>
              </w:rPr>
            </w:pPr>
            <w:r w:rsidRPr="006B7CC0">
              <w:rPr>
                <w:rFonts w:cs="Arial"/>
                <w:szCs w:val="20"/>
                <w:lang w:eastAsia="en-AU"/>
              </w:rPr>
              <w:t>A completed Rheumatoid Arthritis PBS Authority Application – Supporting Information Form.</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All applications for continuing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must include a measurement of response to the prior course of therapy. This assessment must be submitted no later than 4 weeks from cessation of that treatment course. If the application is the first application for continuing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it must be accompanied by an assessment of response to a minimum of 12 weeks of treatment with an initial course.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Where a response assessment is not undertaken and submitted within these timeframes, the patient will be deemed to have failed to respond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If a patient fails to demonstrate a response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under this restriction they will not be eligible to receive further PBS-subsidised treatment with this drug for this condition.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Notes:</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Department of Human Services website (www.humanservices.gov.au) has details of the toxicities, including severity, which will be accepted for the following purposes: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 exempting a patient from the requirement to undertake a minimum 3 month trial of methotrexate at a 20 mg weekly dose;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(b) substituting azathioprine, </w:t>
            </w:r>
            <w:proofErr w:type="spellStart"/>
            <w:r w:rsidRPr="006B7CC0">
              <w:rPr>
                <w:rFonts w:ascii="Arial Narrow" w:hAnsi="Arial Narrow"/>
                <w:sz w:val="20"/>
                <w:szCs w:val="20"/>
              </w:rPr>
              <w:t>cyclosporin</w:t>
            </w:r>
            <w:proofErr w:type="spellEnd"/>
            <w:r w:rsidRPr="006B7CC0">
              <w:rPr>
                <w:rFonts w:ascii="Arial Narrow" w:hAnsi="Arial Narrow"/>
                <w:sz w:val="20"/>
                <w:szCs w:val="20"/>
              </w:rPr>
              <w:t xml:space="preserve"> or sodium </w:t>
            </w:r>
            <w:proofErr w:type="spellStart"/>
            <w:r w:rsidRPr="006B7CC0">
              <w:rPr>
                <w:rFonts w:ascii="Arial Narrow" w:hAnsi="Arial Narrow"/>
                <w:sz w:val="20"/>
                <w:szCs w:val="20"/>
              </w:rPr>
              <w:t>aurothiomalate</w:t>
            </w:r>
            <w:proofErr w:type="spellEnd"/>
            <w:r w:rsidRPr="006B7CC0">
              <w:rPr>
                <w:rFonts w:ascii="Arial Narrow" w:hAnsi="Arial Narrow"/>
                <w:sz w:val="20"/>
                <w:szCs w:val="20"/>
              </w:rPr>
              <w:t xml:space="preserve"> for another DMARD as part of the 6 month intensive DMARD trial;</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(c) </w:t>
            </w:r>
            <w:proofErr w:type="gramStart"/>
            <w:r w:rsidRPr="006B7CC0">
              <w:rPr>
                <w:rFonts w:ascii="Arial Narrow" w:hAnsi="Arial Narrow"/>
                <w:sz w:val="20"/>
                <w:szCs w:val="20"/>
              </w:rPr>
              <w:t>exempting</w:t>
            </w:r>
            <w:proofErr w:type="gramEnd"/>
            <w:r w:rsidRPr="006B7CC0">
              <w:rPr>
                <w:rFonts w:ascii="Arial Narrow" w:hAnsi="Arial Narrow"/>
                <w:sz w:val="20"/>
                <w:szCs w:val="20"/>
              </w:rPr>
              <w:t xml:space="preserve"> a patient from the requirement for a 6 month trial of intensive DMARD therapy.</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Any queries concerning the arrangements to prescribe may be directed to the Department of Human Services on 1800 700 270 (hours of operation 8 a.m. to 5 p.m. EST Monday to Friday).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B049C2">
              <w:rPr>
                <w:rStyle w:val="Hyperlink"/>
                <w:rFonts w:ascii="Arial Narrow" w:hAnsi="Arial Narrow"/>
                <w:sz w:val="20"/>
                <w:szCs w:val="20"/>
              </w:rPr>
              <w:t>www.humanservices.gov.au</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Applications for authority to prescribe should be forwarded to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Department of Human Services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Complex Drugs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Reply Pain 9826</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HOBART TAS 7001</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number of repeats may be authorised.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quantity or number of units will be authorised.</w:t>
            </w:r>
          </w:p>
        </w:tc>
      </w:tr>
    </w:tbl>
    <w:p w:rsidR="00695BD5" w:rsidRPr="006B7CC0" w:rsidRDefault="00695BD5" w:rsidP="00695BD5">
      <w:pPr>
        <w:widowControl/>
        <w:rPr>
          <w:rFonts w:ascii="Arial Narrow" w:hAnsi="Arial Narrow" w:cs="Calibri"/>
          <w:sz w:val="20"/>
          <w:szCs w:val="20"/>
        </w:rPr>
      </w:pPr>
    </w:p>
    <w:p w:rsidR="00695BD5" w:rsidRPr="006B7CC0" w:rsidRDefault="00695BD5" w:rsidP="00695BD5">
      <w:pPr>
        <w:widowControl/>
        <w:rPr>
          <w:rFonts w:ascii="Arial Narrow" w:hAnsi="Arial Narrow" w:cs="Calibri"/>
          <w:sz w:val="20"/>
          <w:szCs w:val="20"/>
        </w:rPr>
      </w:pPr>
    </w:p>
    <w:p w:rsidR="00695BD5" w:rsidRPr="006B7CC0" w:rsidRDefault="00695BD5" w:rsidP="00695BD5">
      <w:pPr>
        <w:widowControl/>
        <w:rPr>
          <w:rFonts w:ascii="Arial Narrow" w:hAnsi="Arial Narrow" w:cs="Calibri"/>
          <w:sz w:val="20"/>
          <w:szCs w:val="20"/>
        </w:rPr>
      </w:pPr>
      <w:r>
        <w:rPr>
          <w:rFonts w:ascii="Arial Narrow" w:hAnsi="Arial Narrow" w:cs="Calibri"/>
          <w:sz w:val="20"/>
          <w:szCs w:val="20"/>
        </w:rPr>
        <w:br w:type="page"/>
      </w:r>
    </w:p>
    <w:tbl>
      <w:tblPr>
        <w:tblW w:w="9214" w:type="dxa"/>
        <w:tblInd w:w="108" w:type="dxa"/>
        <w:tblLayout w:type="fixed"/>
        <w:tblLook w:val="0000" w:firstRow="0" w:lastRow="0" w:firstColumn="0" w:lastColumn="0" w:noHBand="0" w:noVBand="0"/>
      </w:tblPr>
      <w:tblGrid>
        <w:gridCol w:w="2410"/>
        <w:gridCol w:w="6804"/>
      </w:tblGrid>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Category / Program:</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GENERAL – General Schedule (Code 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type: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Dental  </w:t>
            </w: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Medical Practitioners  </w:t>
            </w: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Nurse practitioners  </w:t>
            </w: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Optometrists </w:t>
            </w: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Midwives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Condition:</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PBS Indication:</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phase: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Initial treatment – Initial 2 (new patient or patient recommencing treatment after break of more than 24 months)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Restriction Level / Method: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Restricted benefit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In Writing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Telephone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Emergency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Electronic</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Streamlined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criteria:</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Must be treated by a rheumatologist; OR</w:t>
            </w:r>
          </w:p>
          <w:p w:rsidR="00695BD5" w:rsidRPr="006B7CC0" w:rsidRDefault="00695BD5" w:rsidP="00803637">
            <w:pPr>
              <w:pStyle w:val="Tabletext"/>
              <w:rPr>
                <w:rFonts w:cs="Arial"/>
                <w:szCs w:val="20"/>
                <w:lang w:eastAsia="en-AU"/>
              </w:rPr>
            </w:pPr>
            <w:r w:rsidRPr="006B7CC0">
              <w:rPr>
                <w:rFonts w:cs="Arial"/>
                <w:szCs w:val="20"/>
                <w:lang w:eastAsia="en-AU"/>
              </w:rPr>
              <w:t>Must be treated by a clinical immunologist with expertise in the management of rheumatoid arthritis.</w:t>
            </w:r>
          </w:p>
        </w:tc>
      </w:tr>
      <w:tr w:rsidR="00695BD5" w:rsidRPr="006B7CC0" w:rsidTr="00803637">
        <w:trPr>
          <w:cantSplit/>
          <w:trHeight w:val="1636"/>
        </w:trPr>
        <w:tc>
          <w:tcPr>
            <w:tcW w:w="2410" w:type="dxa"/>
            <w:tcBorders>
              <w:top w:val="single" w:sz="4" w:space="0" w:color="auto"/>
              <w:left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Clinical criteria:</w:t>
            </w: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right w:val="single" w:sz="4" w:space="0" w:color="auto"/>
            </w:tcBorders>
          </w:tcPr>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napToGrid/>
                <w:sz w:val="20"/>
                <w:szCs w:val="20"/>
                <w:lang w:eastAsia="en-AU"/>
              </w:rPr>
              <w:t>Patient must have a documented history of severe active rheumatoid arthritis,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napToGrid/>
                <w:sz w:val="20"/>
                <w:szCs w:val="20"/>
                <w:lang w:eastAsia="en-AU"/>
              </w:rPr>
            </w:pPr>
            <w:r w:rsidRPr="006B7CC0">
              <w:rPr>
                <w:rFonts w:ascii="Arial Narrow" w:hAnsi="Arial Narrow"/>
                <w:snapToGrid/>
                <w:sz w:val="20"/>
                <w:szCs w:val="20"/>
                <w:lang w:eastAsia="en-AU"/>
              </w:rPr>
              <w:t>Patient must have received prior PBS-subsidised biological disease modifying anti-rheumatic drug (</w:t>
            </w:r>
            <w:proofErr w:type="spellStart"/>
            <w:r w:rsidRPr="006B7CC0">
              <w:rPr>
                <w:rFonts w:ascii="Arial Narrow" w:hAnsi="Arial Narrow"/>
                <w:snapToGrid/>
                <w:sz w:val="20"/>
                <w:szCs w:val="20"/>
                <w:lang w:eastAsia="en-AU"/>
              </w:rPr>
              <w:t>bDMARD</w:t>
            </w:r>
            <w:proofErr w:type="spellEnd"/>
            <w:r w:rsidRPr="006B7CC0">
              <w:rPr>
                <w:rFonts w:ascii="Arial Narrow" w:hAnsi="Arial Narrow"/>
                <w:snapToGrid/>
                <w:sz w:val="20"/>
                <w:szCs w:val="20"/>
                <w:lang w:eastAsia="en-AU"/>
              </w:rPr>
              <w:t xml:space="preserve">) treatment for this condition and are eligible to receive further </w:t>
            </w:r>
            <w:proofErr w:type="spellStart"/>
            <w:r w:rsidRPr="006B7CC0">
              <w:rPr>
                <w:rFonts w:ascii="Arial Narrow" w:hAnsi="Arial Narrow"/>
                <w:snapToGrid/>
                <w:sz w:val="20"/>
                <w:szCs w:val="20"/>
                <w:lang w:eastAsia="en-AU"/>
              </w:rPr>
              <w:t>bDMARD</w:t>
            </w:r>
            <w:proofErr w:type="spellEnd"/>
            <w:r w:rsidRPr="006B7CC0">
              <w:rPr>
                <w:rFonts w:ascii="Arial Narrow" w:hAnsi="Arial Narrow"/>
                <w:snapToGrid/>
                <w:sz w:val="20"/>
                <w:szCs w:val="20"/>
                <w:lang w:eastAsia="en-AU"/>
              </w:rPr>
              <w:t xml:space="preserve"> therapy,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 must not receive more than 16 weeks of treatment under this restriction.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Population criteria:</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Patient must be aged 18 years or older</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Instructions:</w:t>
            </w: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i/>
                <w:sz w:val="20"/>
                <w:szCs w:val="20"/>
              </w:rPr>
            </w:pPr>
            <w:r w:rsidRPr="006B7CC0">
              <w:rPr>
                <w:rFonts w:ascii="Arial Narrow" w:hAnsi="Arial Narrow"/>
                <w:i/>
                <w:sz w:val="20"/>
                <w:szCs w:val="20"/>
              </w:rPr>
              <w:t>The 150mg strength is for dose reduction purposes.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For the purposes of this restriction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means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adalimumab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baricitinib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certolizumab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pegol</w:t>
            </w:r>
            <w:proofErr w:type="spellEnd"/>
            <w:r w:rsidRPr="006B7CC0">
              <w:rPr>
                <w:rFonts w:ascii="Arial Narrow" w:hAnsi="Arial Narrow"/>
                <w:sz w:val="20"/>
                <w:szCs w:val="20"/>
              </w:rPr>
              <w:t xml:space="preserve">, etanercept, </w:t>
            </w:r>
            <w:proofErr w:type="spellStart"/>
            <w:r w:rsidRPr="006B7CC0">
              <w:rPr>
                <w:rFonts w:ascii="Arial Narrow" w:hAnsi="Arial Narrow"/>
                <w:sz w:val="20"/>
                <w:szCs w:val="20"/>
              </w:rPr>
              <w:t>golimumab</w:t>
            </w:r>
            <w:proofErr w:type="spellEnd"/>
            <w:r w:rsidRPr="006B7CC0">
              <w:rPr>
                <w:rFonts w:ascii="Arial Narrow" w:hAnsi="Arial Narrow"/>
                <w:sz w:val="20"/>
                <w:szCs w:val="20"/>
              </w:rPr>
              <w:t xml:space="preserve">, infliximab, rituximab,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tocilizumab</w:t>
            </w:r>
            <w:proofErr w:type="spellEnd"/>
            <w:r w:rsidRPr="006B7CC0">
              <w:rPr>
                <w:rFonts w:ascii="Arial Narrow" w:hAnsi="Arial Narrow"/>
                <w:sz w:val="20"/>
                <w:szCs w:val="20"/>
              </w:rPr>
              <w:t xml:space="preserve"> or </w:t>
            </w:r>
            <w:proofErr w:type="spellStart"/>
            <w:r w:rsidRPr="006B7CC0">
              <w:rPr>
                <w:rFonts w:ascii="Arial Narrow" w:hAnsi="Arial Narrow"/>
                <w:sz w:val="20"/>
                <w:szCs w:val="20"/>
              </w:rPr>
              <w:t>tofacitinib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authority application must be made in writing and must include:</w:t>
            </w:r>
          </w:p>
          <w:p w:rsidR="00695BD5" w:rsidRPr="006B7CC0" w:rsidRDefault="00695BD5" w:rsidP="00695BD5">
            <w:pPr>
              <w:pStyle w:val="Tabletext"/>
              <w:numPr>
                <w:ilvl w:val="0"/>
                <w:numId w:val="42"/>
              </w:numPr>
              <w:rPr>
                <w:rFonts w:cs="Arial"/>
                <w:szCs w:val="20"/>
                <w:lang w:eastAsia="en-AU"/>
              </w:rPr>
            </w:pPr>
            <w:r w:rsidRPr="006B7CC0">
              <w:rPr>
                <w:rFonts w:cs="Arial"/>
                <w:szCs w:val="20"/>
                <w:lang w:eastAsia="en-AU"/>
              </w:rPr>
              <w:t>Completed authority prescription form(s); and</w:t>
            </w:r>
          </w:p>
          <w:p w:rsidR="00695BD5" w:rsidRPr="006B7CC0" w:rsidRDefault="00695BD5" w:rsidP="00695BD5">
            <w:pPr>
              <w:pStyle w:val="Tabletext"/>
              <w:numPr>
                <w:ilvl w:val="0"/>
                <w:numId w:val="42"/>
              </w:numPr>
              <w:rPr>
                <w:rFonts w:cs="Arial"/>
                <w:szCs w:val="20"/>
                <w:lang w:eastAsia="en-AU"/>
              </w:rPr>
            </w:pPr>
            <w:r w:rsidRPr="006B7CC0">
              <w:rPr>
                <w:rFonts w:cs="Arial"/>
                <w:szCs w:val="20"/>
                <w:lang w:eastAsia="en-AU"/>
              </w:rPr>
              <w:t>A completed Rheumatoid Arthritis PBS Authority Application – Supporting Information Form.</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Applications for a patient who has received PBS-subsidised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and who wishes to re-commence therapy with this drug, must be accompanied by evidence of a response to the patient's most recent course of PBS-subsidised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treatment, within the timeframes specified below.</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Where the most recent course of PBS-subsidised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treatment was approved under either of the initial 1 or 2 treatment restrictions, the patient must have been assessed for response following a minimum of 12 weeks of therapy. This assessment must be submitted no later than 4 weeks from the date that course was ceased. </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i/>
                <w:sz w:val="20"/>
                <w:szCs w:val="20"/>
              </w:rPr>
            </w:pPr>
            <w:r w:rsidRPr="006B7CC0">
              <w:rPr>
                <w:rFonts w:ascii="Arial Narrow" w:hAnsi="Arial Narrow"/>
                <w:i/>
                <w:sz w:val="20"/>
                <w:szCs w:val="20"/>
              </w:rPr>
              <w:t>(continued over page)</w:t>
            </w:r>
          </w:p>
        </w:tc>
      </w:tr>
      <w:tr w:rsidR="00695BD5" w:rsidRPr="006B7CC0" w:rsidTr="00467C94">
        <w:trPr>
          <w:cantSplit/>
          <w:trHeight w:val="3125"/>
        </w:trPr>
        <w:tc>
          <w:tcPr>
            <w:tcW w:w="2410" w:type="dxa"/>
            <w:tcBorders>
              <w:top w:val="single" w:sz="4" w:space="0" w:color="auto"/>
              <w:left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Prescriber Instructions (continued):</w:t>
            </w:r>
          </w:p>
        </w:tc>
        <w:tc>
          <w:tcPr>
            <w:tcW w:w="6804" w:type="dxa"/>
            <w:tcBorders>
              <w:top w:val="single" w:sz="4" w:space="0" w:color="auto"/>
              <w:left w:val="single" w:sz="4" w:space="0" w:color="auto"/>
              <w:right w:val="single" w:sz="4" w:space="0" w:color="auto"/>
            </w:tcBorders>
          </w:tcPr>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Where the most recent course of PBS-subsidised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treatment was approved under the continuing treatment criteria, the patient must have been assessed for response, and the assessment must be submitted no later than 4 weeks from the date that course was ceased. </w:t>
            </w:r>
          </w:p>
          <w:p w:rsidR="00695BD5" w:rsidRPr="006B7CC0" w:rsidRDefault="00695BD5" w:rsidP="00695BD5">
            <w:pPr>
              <w:widowControl/>
              <w:rPr>
                <w:rFonts w:ascii="Arial Narrow" w:hAnsi="Arial Narrow"/>
                <w:sz w:val="20"/>
                <w:szCs w:val="20"/>
              </w:rPr>
            </w:pPr>
            <w:r w:rsidRPr="006B7CC0">
              <w:rPr>
                <w:rFonts w:ascii="Arial Narrow" w:hAnsi="Arial Narrow"/>
                <w:sz w:val="20"/>
                <w:szCs w:val="20"/>
              </w:rPr>
              <w:t xml:space="preserve">Where a response assessment is not undertaken and submitted within these timeframes, the patient will be deemed to have failed to respond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If a patient fails to demonstrate a response to a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under this restriction they will not be eligible to receive further PBS-subsidised treatment with this drug for this condition. </w:t>
            </w:r>
          </w:p>
          <w:p w:rsidR="00695BD5" w:rsidRPr="006B7CC0" w:rsidRDefault="00695BD5" w:rsidP="00695BD5">
            <w:pPr>
              <w:widowControl/>
              <w:rPr>
                <w:rFonts w:ascii="Arial Narrow" w:hAnsi="Arial Narrow"/>
                <w:sz w:val="20"/>
                <w:szCs w:val="20"/>
              </w:rPr>
            </w:pPr>
          </w:p>
          <w:p w:rsidR="00695BD5" w:rsidRPr="006B7CC0" w:rsidRDefault="00695BD5" w:rsidP="00803637">
            <w:pPr>
              <w:rPr>
                <w:rFonts w:ascii="Arial Narrow" w:hAnsi="Arial Narrow"/>
                <w:i/>
                <w:sz w:val="20"/>
                <w:szCs w:val="20"/>
              </w:rPr>
            </w:pPr>
            <w:r w:rsidRPr="006B7CC0">
              <w:rPr>
                <w:rFonts w:ascii="Arial Narrow" w:hAnsi="Arial Narrow"/>
                <w:sz w:val="20"/>
                <w:szCs w:val="20"/>
              </w:rPr>
              <w:t xml:space="preserve">If a patient who has demonstrated a response to a course of rituximab must have a PBS-subsidised biological therapy treatment-free period of at least 22 weeks, immediately following the second infusion, before swapping to an alternate </w:t>
            </w:r>
            <w:proofErr w:type="spellStart"/>
            <w:r w:rsidRPr="006B7CC0">
              <w:rPr>
                <w:rFonts w:ascii="Arial Narrow" w:hAnsi="Arial Narrow"/>
                <w:sz w:val="20"/>
                <w:szCs w:val="20"/>
              </w:rPr>
              <w:t>bDMARD</w:t>
            </w:r>
            <w:proofErr w:type="spellEnd"/>
            <w:r w:rsidRPr="006B7CC0">
              <w:rPr>
                <w:rFonts w:ascii="Arial Narrow" w:hAnsi="Arial Narrow"/>
                <w:sz w:val="20"/>
                <w:szCs w:val="20"/>
              </w:rPr>
              <w:t>.</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Administrative advice: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 adequate response to treatment is defined as: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 ESR no greater than 25mm per hour or a CRP level no greater than 15mg per L or either marker reduced by at least 20% from baseline;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 either of the following: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w:t>
            </w:r>
            <w:r w:rsidRPr="006B7CC0">
              <w:rPr>
                <w:rFonts w:ascii="Arial Narrow" w:hAnsi="Arial Narrow"/>
                <w:sz w:val="20"/>
                <w:szCs w:val="20"/>
              </w:rPr>
              <w:tab/>
              <w:t>A reduction in the total active (swollen and tender) joint count by at least 50% from baseline, where baseline is at least 20 active joints; 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(b)</w:t>
            </w:r>
            <w:r w:rsidRPr="006B7CC0">
              <w:rPr>
                <w:rFonts w:ascii="Arial Narrow" w:hAnsi="Arial Narrow"/>
                <w:sz w:val="20"/>
                <w:szCs w:val="20"/>
              </w:rPr>
              <w:tab/>
              <w:t>A reduction in the number of the following active joints, from at least 4, by at least 50%:</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w:t>
            </w:r>
            <w:proofErr w:type="spellStart"/>
            <w:r w:rsidRPr="006B7CC0">
              <w:rPr>
                <w:rFonts w:ascii="Arial Narrow" w:hAnsi="Arial Narrow"/>
                <w:sz w:val="20"/>
                <w:szCs w:val="20"/>
              </w:rPr>
              <w:t>i</w:t>
            </w:r>
            <w:proofErr w:type="spellEnd"/>
            <w:r w:rsidRPr="006B7CC0">
              <w:rPr>
                <w:rFonts w:ascii="Arial Narrow" w:hAnsi="Arial Narrow"/>
                <w:sz w:val="20"/>
                <w:szCs w:val="20"/>
              </w:rPr>
              <w:t>)</w:t>
            </w:r>
            <w:r w:rsidRPr="006B7CC0">
              <w:rPr>
                <w:rFonts w:ascii="Arial Narrow" w:hAnsi="Arial Narrow"/>
                <w:sz w:val="20"/>
                <w:szCs w:val="20"/>
              </w:rPr>
              <w:tab/>
              <w:t>Elbow, wrist, knee and/or ankle (assessed as swollen and tender); and/or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Shoulder and/or hip (assessed as pain in passive movement and restriction of passive movement, where pain and limitation of movement are due to active disease and not irreversible damage such as joint destruction or bony overgrowth).</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Notes:</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Any queries concerning the arrangements to prescribe may be directed to the Department of Human Services on 1800 700 270 (hours of operation 8 a.m. to 5 p.m. EST Monday to Friday).</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Any queries concerning the arrangements to prescribe may be directed to the Department of Human Services on 1800 700 270 (hours of operation 8 a.m. to 5 p.m. EST Monday to Friday).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B049C2">
              <w:rPr>
                <w:rStyle w:val="Hyperlink"/>
                <w:rFonts w:ascii="Arial Narrow" w:hAnsi="Arial Narrow"/>
                <w:sz w:val="20"/>
                <w:szCs w:val="20"/>
              </w:rPr>
              <w:t>www.humanservices.gov.au</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Applications for authority to prescribe should be forwarded to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Department of Human Services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Complex Drugs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Reply Pain 9826</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HOBART TAS 7001</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number of repeats may be authorised.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quantity or number of units will be authorised.</w:t>
            </w:r>
          </w:p>
        </w:tc>
      </w:tr>
    </w:tbl>
    <w:p w:rsidR="001015E0" w:rsidRDefault="001015E0" w:rsidP="00695BD5">
      <w:pPr>
        <w:widowControl/>
        <w:rPr>
          <w:rFonts w:ascii="Arial Narrow" w:hAnsi="Arial Narrow" w:cs="Calibri"/>
          <w:sz w:val="20"/>
          <w:szCs w:val="20"/>
        </w:rPr>
      </w:pPr>
    </w:p>
    <w:p w:rsidR="001015E0" w:rsidRDefault="001015E0">
      <w:pPr>
        <w:widowControl/>
        <w:jc w:val="left"/>
        <w:rPr>
          <w:rFonts w:ascii="Arial Narrow" w:hAnsi="Arial Narrow" w:cs="Calibri"/>
          <w:sz w:val="20"/>
          <w:szCs w:val="20"/>
        </w:rPr>
      </w:pPr>
      <w:r>
        <w:rPr>
          <w:rFonts w:ascii="Arial Narrow" w:hAnsi="Arial Narrow" w:cs="Calibri"/>
          <w:sz w:val="20"/>
          <w:szCs w:val="20"/>
        </w:rPr>
        <w:br w:type="page"/>
      </w:r>
    </w:p>
    <w:p w:rsidR="00695BD5" w:rsidRPr="006B7CC0" w:rsidRDefault="00695BD5" w:rsidP="00695BD5">
      <w:pPr>
        <w:widowControl/>
        <w:rPr>
          <w:rFonts w:ascii="Arial Narrow" w:hAnsi="Arial Narrow" w:cs="Calibri"/>
          <w:sz w:val="20"/>
          <w:szCs w:val="20"/>
        </w:rPr>
      </w:pPr>
    </w:p>
    <w:tbl>
      <w:tblPr>
        <w:tblW w:w="9214" w:type="dxa"/>
        <w:tblInd w:w="108" w:type="dxa"/>
        <w:tblLayout w:type="fixed"/>
        <w:tblLook w:val="0000" w:firstRow="0" w:lastRow="0" w:firstColumn="0" w:lastColumn="0" w:noHBand="0" w:noVBand="0"/>
      </w:tblPr>
      <w:tblGrid>
        <w:gridCol w:w="2410"/>
        <w:gridCol w:w="6804"/>
      </w:tblGrid>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Category / Program:</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GENERAL – General Schedule (Code 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type: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Dental  </w:t>
            </w: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Medical Practitioners  </w:t>
            </w: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Nurse practitioners  </w:t>
            </w: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Optometrists </w:t>
            </w: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Midwives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Condition:</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PBS Indication:</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phase: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Initial treatment - Initial 1 (new patient or patient recommencing treatment after a break of more than 24 months) or Initial 2 (change or recommencement of treatment after break of less than 24 months) – balance of supply</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Restriction Level / Method: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Restricted benefit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In Writing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3"/>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Telephone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Emergency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Electronic</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Streamlined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criteria:</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Must be treated by a rheumatologist; 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Must be treated by a clinical immunologist with expertise in the management of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Clinical criteria:</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Patient must have received insufficient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therapy under the Initial 1 (new patient or patient recommencing treatment after break of more than 24 months) restriction to complete 16 weeks treatment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Patient must have received insufficient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therapy under the Initial 2 (change or recommencement of treatment after break of less than 24 months) restriction to complete 16 weeks treatment,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treatment must provide no more than the balance of up to 16 weeks treatment available under the above restrictions.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Instructions:</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i/>
                <w:sz w:val="20"/>
                <w:szCs w:val="20"/>
              </w:rPr>
            </w:pPr>
            <w:r w:rsidRPr="006B7CC0">
              <w:rPr>
                <w:rFonts w:ascii="Arial Narrow" w:hAnsi="Arial Narrow"/>
                <w:i/>
                <w:sz w:val="20"/>
                <w:szCs w:val="20"/>
              </w:rPr>
              <w:t>The 150mg strength is for dose reduction purposes.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Administrative advice: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Authority approval for sufficient therapy to complete a maximum of 24 weeks of treatment may be requested by telephone by contacting the Department of Human Services on 1800 700 270 (hours of operation 8 a.m. to 5 p.m. EST Monday to Friday).</w:t>
            </w:r>
          </w:p>
        </w:tc>
      </w:tr>
    </w:tbl>
    <w:p w:rsidR="00695BD5" w:rsidRPr="006B7CC0" w:rsidRDefault="00695BD5" w:rsidP="00695BD5">
      <w:pPr>
        <w:widowControl/>
        <w:rPr>
          <w:rFonts w:ascii="Arial Narrow" w:hAnsi="Arial Narrow" w:cs="Calibri"/>
          <w:sz w:val="20"/>
          <w:szCs w:val="20"/>
        </w:rPr>
      </w:pPr>
    </w:p>
    <w:p w:rsidR="00695BD5" w:rsidRPr="006B7CC0" w:rsidRDefault="00695BD5" w:rsidP="00695BD5">
      <w:pPr>
        <w:widowControl/>
        <w:rPr>
          <w:rFonts w:ascii="Arial Narrow" w:hAnsi="Arial Narrow" w:cs="Calibri"/>
          <w:sz w:val="20"/>
          <w:szCs w:val="20"/>
        </w:rPr>
      </w:pPr>
    </w:p>
    <w:p w:rsidR="00695BD5" w:rsidRPr="006B7CC0" w:rsidRDefault="00695BD5" w:rsidP="00695BD5">
      <w:r w:rsidRPr="006B7CC0">
        <w:br w:type="page"/>
      </w:r>
    </w:p>
    <w:p w:rsidR="00695BD5" w:rsidRPr="006B7CC0" w:rsidRDefault="00695BD5" w:rsidP="00695BD5"/>
    <w:tbl>
      <w:tblPr>
        <w:tblW w:w="9214" w:type="dxa"/>
        <w:tblInd w:w="108" w:type="dxa"/>
        <w:tblLayout w:type="fixed"/>
        <w:tblLook w:val="0000" w:firstRow="0" w:lastRow="0" w:firstColumn="0" w:lastColumn="0" w:noHBand="0" w:noVBand="0"/>
      </w:tblPr>
      <w:tblGrid>
        <w:gridCol w:w="2410"/>
        <w:gridCol w:w="851"/>
        <w:gridCol w:w="567"/>
        <w:gridCol w:w="850"/>
        <w:gridCol w:w="284"/>
        <w:gridCol w:w="1417"/>
        <w:gridCol w:w="2835"/>
      </w:tblGrid>
      <w:tr w:rsidR="00695BD5" w:rsidRPr="006B7CC0" w:rsidTr="00803637">
        <w:trPr>
          <w:cantSplit/>
          <w:trHeight w:val="471"/>
        </w:trPr>
        <w:tc>
          <w:tcPr>
            <w:tcW w:w="3261" w:type="dxa"/>
            <w:gridSpan w:val="2"/>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Name, Restriction,</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Manner of administration and form</w:t>
            </w:r>
          </w:p>
        </w:tc>
        <w:tc>
          <w:tcPr>
            <w:tcW w:w="567"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Max.</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Qty</w:t>
            </w:r>
          </w:p>
        </w:tc>
        <w:tc>
          <w:tcPr>
            <w:tcW w:w="850"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№.of</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Rpts</w:t>
            </w:r>
          </w:p>
        </w:tc>
        <w:tc>
          <w:tcPr>
            <w:tcW w:w="284"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p>
        </w:tc>
        <w:tc>
          <w:tcPr>
            <w:tcW w:w="4252" w:type="dxa"/>
            <w:gridSpan w:val="2"/>
            <w:tcBorders>
              <w:bottom w:val="single" w:sz="4" w:space="0" w:color="auto"/>
            </w:tcBorders>
          </w:tcPr>
          <w:p w:rsidR="00695BD5" w:rsidRPr="006B7CC0" w:rsidRDefault="00695BD5" w:rsidP="00803637">
            <w:pPr>
              <w:keepNext/>
              <w:widowControl/>
              <w:rPr>
                <w:rFonts w:ascii="Arial Narrow" w:hAnsi="Arial Narrow"/>
                <w:b/>
                <w:sz w:val="20"/>
                <w:szCs w:val="20"/>
              </w:rPr>
            </w:pPr>
            <w:r w:rsidRPr="006B7CC0">
              <w:rPr>
                <w:rFonts w:ascii="Arial Narrow" w:hAnsi="Arial Narrow"/>
                <w:b/>
                <w:sz w:val="20"/>
                <w:szCs w:val="20"/>
              </w:rPr>
              <w:t>Proprietary Name and Manufacturer</w:t>
            </w:r>
          </w:p>
        </w:tc>
      </w:tr>
      <w:tr w:rsidR="00695BD5" w:rsidRPr="006B7CC0" w:rsidTr="00803637">
        <w:trPr>
          <w:cantSplit/>
          <w:trHeight w:val="577"/>
        </w:trPr>
        <w:tc>
          <w:tcPr>
            <w:tcW w:w="3261" w:type="dxa"/>
            <w:gridSpan w:val="2"/>
          </w:tcPr>
          <w:p w:rsidR="00695BD5" w:rsidRPr="006B7CC0" w:rsidRDefault="00695BD5" w:rsidP="00803637">
            <w:pPr>
              <w:keepNext/>
              <w:widowControl/>
              <w:ind w:left="-108"/>
              <w:rPr>
                <w:rFonts w:ascii="Arial Narrow" w:hAnsi="Arial Narrow"/>
                <w:sz w:val="20"/>
                <w:szCs w:val="20"/>
              </w:rPr>
            </w:pPr>
            <w:r w:rsidRPr="006B7CC0">
              <w:rPr>
                <w:rFonts w:ascii="Arial Narrow" w:hAnsi="Arial Narrow"/>
                <w:smallCaps/>
                <w:sz w:val="20"/>
                <w:szCs w:val="20"/>
              </w:rPr>
              <w:t>SARILUMAB</w:t>
            </w: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injection 200 mg in 1.14 mL pre-filled syringe, 2</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spacing w:after="120"/>
              <w:ind w:left="-108"/>
              <w:rPr>
                <w:rFonts w:ascii="Arial Narrow" w:hAnsi="Arial Narrow"/>
                <w:sz w:val="20"/>
                <w:szCs w:val="20"/>
              </w:rPr>
            </w:pPr>
            <w:r w:rsidRPr="006B7CC0">
              <w:rPr>
                <w:rFonts w:ascii="Arial Narrow" w:hAnsi="Arial Narrow"/>
                <w:sz w:val="20"/>
                <w:szCs w:val="20"/>
              </w:rPr>
              <w:t>injection 150 mg in 1.14 mL pre-filled syringe, 2</w:t>
            </w:r>
          </w:p>
        </w:tc>
        <w:tc>
          <w:tcPr>
            <w:tcW w:w="567" w:type="dxa"/>
          </w:tcPr>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1</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1</w:t>
            </w:r>
          </w:p>
        </w:tc>
        <w:tc>
          <w:tcPr>
            <w:tcW w:w="850" w:type="dxa"/>
          </w:tcPr>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3</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3</w:t>
            </w:r>
          </w:p>
        </w:tc>
        <w:tc>
          <w:tcPr>
            <w:tcW w:w="284" w:type="dxa"/>
          </w:tcPr>
          <w:p w:rsidR="00695BD5" w:rsidRPr="006B7CC0" w:rsidRDefault="00695BD5" w:rsidP="00803637">
            <w:pPr>
              <w:keepNext/>
              <w:widowControl/>
              <w:ind w:left="-108"/>
              <w:rPr>
                <w:rFonts w:ascii="Arial Narrow" w:hAnsi="Arial Narrow"/>
                <w:sz w:val="20"/>
                <w:szCs w:val="20"/>
              </w:rPr>
            </w:pPr>
          </w:p>
        </w:tc>
        <w:tc>
          <w:tcPr>
            <w:tcW w:w="1417" w:type="dxa"/>
          </w:tcPr>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cs="Calibri"/>
                <w:sz w:val="20"/>
                <w:szCs w:val="20"/>
                <w:vertAlign w:val="superscript"/>
              </w:rPr>
            </w:pPr>
            <w:proofErr w:type="spellStart"/>
            <w:r w:rsidRPr="006B7CC0">
              <w:rPr>
                <w:rFonts w:ascii="Arial Narrow" w:hAnsi="Arial Narrow"/>
                <w:sz w:val="20"/>
                <w:szCs w:val="20"/>
              </w:rPr>
              <w:t>Kevzara</w:t>
            </w:r>
            <w:proofErr w:type="spellEnd"/>
            <w:r w:rsidRPr="006B7CC0">
              <w:rPr>
                <w:rFonts w:ascii="Arial Narrow" w:hAnsi="Arial Narrow" w:cs="Calibri"/>
                <w:sz w:val="20"/>
                <w:szCs w:val="20"/>
                <w:vertAlign w:val="superscript"/>
              </w:rPr>
              <w:t>®</w:t>
            </w:r>
          </w:p>
        </w:tc>
        <w:tc>
          <w:tcPr>
            <w:tcW w:w="2835" w:type="dxa"/>
          </w:tcPr>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r w:rsidRPr="006B7CC0">
              <w:rPr>
                <w:rFonts w:ascii="Arial Narrow" w:hAnsi="Arial Narrow"/>
                <w:sz w:val="20"/>
                <w:szCs w:val="20"/>
              </w:rPr>
              <w:t>Sanofi-Aventis Australia Pty Ltd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GENERAL – General Schedule (Code 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Dental  </w:t>
            </w: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Medical Practitioners  </w:t>
            </w: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Nurse practitioners  </w:t>
            </w: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Optometrists </w:t>
            </w: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Midwives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Continuing treatment – Grandfather patients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Restriction Level / Method: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Restricted benefit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In Writing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Telephone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Emergency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Electronic</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Streamlined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Patient must be aged 18 years or older</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Clinical criteria:</w:t>
            </w: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Patient must have documented history of severe active rheumatoid arthritis,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pStyle w:val="Tabletext"/>
              <w:rPr>
                <w:rFonts w:cs="Arial"/>
                <w:szCs w:val="20"/>
                <w:lang w:eastAsia="en-AU"/>
              </w:rPr>
            </w:pPr>
            <w:r w:rsidRPr="006B7CC0">
              <w:rPr>
                <w:rFonts w:cs="Arial"/>
                <w:szCs w:val="20"/>
                <w:lang w:eastAsia="en-AU"/>
              </w:rPr>
              <w:t>Patient must have been receiving treatment with this drug for this condition prior to &lt;PBS listing date&gt;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pStyle w:val="Tabletext"/>
              <w:rPr>
                <w:rFonts w:cs="Arial"/>
                <w:szCs w:val="20"/>
                <w:lang w:eastAsia="en-AU"/>
              </w:rPr>
            </w:pPr>
            <w:r w:rsidRPr="006B7CC0">
              <w:rPr>
                <w:rFonts w:cs="Arial"/>
                <w:szCs w:val="20"/>
                <w:lang w:eastAsia="en-AU"/>
              </w:rPr>
              <w:t xml:space="preserve">Patient must have demonstrated an adequate response to treatment with </w:t>
            </w:r>
            <w:proofErr w:type="spellStart"/>
            <w:r w:rsidRPr="006B7CC0">
              <w:rPr>
                <w:rFonts w:cs="Arial"/>
                <w:szCs w:val="20"/>
                <w:lang w:eastAsia="en-AU"/>
              </w:rPr>
              <w:t>sarilumab</w:t>
            </w:r>
            <w:proofErr w:type="spellEnd"/>
            <w:r w:rsidRPr="006B7CC0">
              <w:rPr>
                <w:rFonts w:cs="Arial"/>
                <w:szCs w:val="20"/>
                <w:lang w:eastAsia="en-AU"/>
              </w:rPr>
              <w: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pStyle w:val="Tabletext"/>
              <w:rPr>
                <w:rFonts w:cs="Arial"/>
                <w:szCs w:val="20"/>
                <w:lang w:eastAsia="en-AU"/>
              </w:rPr>
            </w:pPr>
            <w:r w:rsidRPr="006B7CC0">
              <w:rPr>
                <w:rFonts w:cs="Arial"/>
                <w:szCs w:val="20"/>
                <w:lang w:eastAsia="en-AU"/>
              </w:rPr>
              <w:t xml:space="preserve">Patient must have received </w:t>
            </w:r>
            <w:proofErr w:type="spellStart"/>
            <w:r w:rsidRPr="006B7CC0">
              <w:rPr>
                <w:rFonts w:cs="Arial"/>
                <w:szCs w:val="20"/>
                <w:lang w:eastAsia="en-AU"/>
              </w:rPr>
              <w:t>sarilumab</w:t>
            </w:r>
            <w:proofErr w:type="spellEnd"/>
            <w:r w:rsidRPr="006B7CC0">
              <w:rPr>
                <w:rFonts w:cs="Arial"/>
                <w:szCs w:val="20"/>
                <w:lang w:eastAsia="en-AU"/>
              </w:rPr>
              <w:t xml:space="preserve"> as their most recent course of PBS-subsidised biological disease modifying anti-rheumatic drug (</w:t>
            </w:r>
            <w:proofErr w:type="spellStart"/>
            <w:r w:rsidRPr="006B7CC0">
              <w:rPr>
                <w:rFonts w:cs="Arial"/>
                <w:szCs w:val="20"/>
                <w:lang w:eastAsia="en-AU"/>
              </w:rPr>
              <w:t>bDMARD</w:t>
            </w:r>
            <w:proofErr w:type="spellEnd"/>
            <w:r w:rsidRPr="006B7CC0">
              <w:rPr>
                <w:rFonts w:cs="Arial"/>
                <w:szCs w:val="20"/>
                <w:lang w:eastAsia="en-AU"/>
              </w:rPr>
              <w:t>) treatment,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pStyle w:val="Tabletext"/>
              <w:rPr>
                <w:rFonts w:cs="Arial"/>
                <w:szCs w:val="20"/>
                <w:lang w:eastAsia="en-AU"/>
              </w:rPr>
            </w:pPr>
            <w:r w:rsidRPr="006B7CC0">
              <w:rPr>
                <w:rFonts w:cs="Arial"/>
                <w:szCs w:val="20"/>
                <w:lang w:eastAsia="en-AU"/>
              </w:rPr>
              <w:t>Patient must not receive more than 24 weeks of treatment per continuing treatment course authorised under this restriction.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pStyle w:val="Tabletext"/>
              <w:rPr>
                <w:rFonts w:cs="Arial"/>
                <w:szCs w:val="20"/>
                <w:lang w:eastAsia="en-AU"/>
              </w:rPr>
            </w:pPr>
            <w:r w:rsidRPr="006B7CC0">
              <w:rPr>
                <w:rFonts w:cs="Arial"/>
                <w:szCs w:val="20"/>
                <w:lang w:eastAsia="en-AU"/>
              </w:rPr>
              <w:t>Must be treated by a rheumatologist; OR</w:t>
            </w:r>
          </w:p>
          <w:p w:rsidR="00695BD5" w:rsidRPr="006B7CC0" w:rsidRDefault="00695BD5" w:rsidP="00803637">
            <w:pPr>
              <w:pStyle w:val="Tabletext"/>
              <w:rPr>
                <w:rFonts w:cs="Arial"/>
                <w:szCs w:val="20"/>
                <w:lang w:eastAsia="en-AU"/>
              </w:rPr>
            </w:pPr>
            <w:r w:rsidRPr="006B7CC0">
              <w:rPr>
                <w:rFonts w:cs="Arial"/>
                <w:szCs w:val="20"/>
                <w:lang w:eastAsia="en-AU"/>
              </w:rPr>
              <w:t>Must be treated by a clinical immunologist with expertise in the management of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Instructions:</w:t>
            </w: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i/>
                <w:sz w:val="20"/>
                <w:szCs w:val="20"/>
              </w:rPr>
              <w:t>The 150mg strength is for dose reduction purposes.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For the purposes of this restriction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means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adalimumab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baricitinib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certolizumab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pegol</w:t>
            </w:r>
            <w:proofErr w:type="spellEnd"/>
            <w:r w:rsidRPr="006B7CC0">
              <w:rPr>
                <w:rFonts w:ascii="Arial Narrow" w:hAnsi="Arial Narrow"/>
                <w:sz w:val="20"/>
                <w:szCs w:val="20"/>
              </w:rPr>
              <w:t xml:space="preserve">, etanercept, </w:t>
            </w:r>
            <w:proofErr w:type="spellStart"/>
            <w:r w:rsidRPr="006B7CC0">
              <w:rPr>
                <w:rFonts w:ascii="Arial Narrow" w:hAnsi="Arial Narrow"/>
                <w:sz w:val="20"/>
                <w:szCs w:val="20"/>
              </w:rPr>
              <w:t>golimumab</w:t>
            </w:r>
            <w:proofErr w:type="spellEnd"/>
            <w:r w:rsidRPr="006B7CC0">
              <w:rPr>
                <w:rFonts w:ascii="Arial Narrow" w:hAnsi="Arial Narrow"/>
                <w:sz w:val="20"/>
                <w:szCs w:val="20"/>
              </w:rPr>
              <w:t xml:space="preserve">, infliximab, rituximab,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tocilizumab</w:t>
            </w:r>
            <w:proofErr w:type="spellEnd"/>
            <w:r w:rsidRPr="006B7CC0">
              <w:rPr>
                <w:rFonts w:ascii="Arial Narrow" w:hAnsi="Arial Narrow"/>
                <w:sz w:val="20"/>
                <w:szCs w:val="20"/>
              </w:rPr>
              <w:t xml:space="preserve"> or </w:t>
            </w:r>
            <w:proofErr w:type="spellStart"/>
            <w:r w:rsidRPr="006B7CC0">
              <w:rPr>
                <w:rFonts w:ascii="Arial Narrow" w:hAnsi="Arial Narrow"/>
                <w:sz w:val="20"/>
                <w:szCs w:val="20"/>
              </w:rPr>
              <w:t>tofacitinib</w:t>
            </w:r>
            <w:proofErr w:type="spellEnd"/>
            <w:r w:rsidRPr="006B7CC0">
              <w:rPr>
                <w:rFonts w:ascii="Arial Narrow" w:hAnsi="Arial Narrow"/>
                <w:sz w:val="20"/>
                <w:szCs w:val="20"/>
              </w:rPr>
              <w:t>.</w:t>
            </w:r>
          </w:p>
        </w:tc>
      </w:tr>
      <w:tr w:rsidR="00467C94" w:rsidRPr="006B7CC0" w:rsidTr="006705DC">
        <w:trPr>
          <w:cantSplit/>
          <w:trHeight w:val="11026"/>
        </w:trPr>
        <w:tc>
          <w:tcPr>
            <w:tcW w:w="2410" w:type="dxa"/>
            <w:tcBorders>
              <w:top w:val="single" w:sz="4" w:space="0" w:color="auto"/>
              <w:left w:val="single" w:sz="4" w:space="0" w:color="auto"/>
              <w:right w:val="single" w:sz="4" w:space="0" w:color="auto"/>
            </w:tcBorders>
          </w:tcPr>
          <w:p w:rsidR="00467C94" w:rsidRPr="006B7CC0" w:rsidRDefault="00467C94" w:rsidP="00803637">
            <w:pPr>
              <w:widowControl/>
              <w:rPr>
                <w:rFonts w:ascii="Arial Narrow" w:hAnsi="Arial Narrow"/>
                <w:b/>
                <w:sz w:val="20"/>
                <w:szCs w:val="20"/>
              </w:rPr>
            </w:pPr>
            <w:r w:rsidRPr="006B7CC0">
              <w:rPr>
                <w:rFonts w:ascii="Arial Narrow" w:hAnsi="Arial Narrow"/>
                <w:b/>
                <w:sz w:val="20"/>
                <w:szCs w:val="20"/>
              </w:rPr>
              <w:lastRenderedPageBreak/>
              <w:t>Administrative Advice:</w:t>
            </w:r>
          </w:p>
        </w:tc>
        <w:tc>
          <w:tcPr>
            <w:tcW w:w="6804" w:type="dxa"/>
            <w:gridSpan w:val="6"/>
            <w:tcBorders>
              <w:top w:val="single" w:sz="4" w:space="0" w:color="auto"/>
              <w:left w:val="single" w:sz="4" w:space="0" w:color="auto"/>
              <w:right w:val="single" w:sz="4" w:space="0" w:color="auto"/>
            </w:tcBorders>
          </w:tcPr>
          <w:p w:rsidR="00467C94" w:rsidRPr="006B7CC0" w:rsidRDefault="00467C94" w:rsidP="00803637">
            <w:pPr>
              <w:widowControl/>
              <w:rPr>
                <w:rFonts w:ascii="Arial Narrow" w:hAnsi="Arial Narrow"/>
                <w:sz w:val="20"/>
                <w:szCs w:val="20"/>
              </w:rPr>
            </w:pPr>
            <w:r w:rsidRPr="006B7CC0">
              <w:rPr>
                <w:rFonts w:ascii="Arial Narrow" w:hAnsi="Arial Narrow"/>
                <w:sz w:val="20"/>
                <w:szCs w:val="20"/>
              </w:rPr>
              <w:t>An adequate response to treatment is defined as:</w:t>
            </w: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An ESR no greater than 25mm per hour or a CRP level no greater than 15mg per L or either marker reduced by at least 20% from baseline;</w:t>
            </w: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AND either of the following:</w:t>
            </w:r>
          </w:p>
          <w:p w:rsidR="00467C94" w:rsidRPr="006B7CC0" w:rsidRDefault="00467C94" w:rsidP="00695BD5">
            <w:pPr>
              <w:pStyle w:val="Tabletext"/>
              <w:numPr>
                <w:ilvl w:val="0"/>
                <w:numId w:val="32"/>
              </w:numPr>
              <w:rPr>
                <w:rFonts w:cs="Arial"/>
                <w:szCs w:val="20"/>
                <w:lang w:eastAsia="en-AU"/>
              </w:rPr>
            </w:pPr>
            <w:r w:rsidRPr="006B7CC0">
              <w:rPr>
                <w:rFonts w:cs="Arial"/>
                <w:szCs w:val="20"/>
                <w:lang w:eastAsia="en-AU"/>
              </w:rPr>
              <w:t>A reduction in the total active (swollen and tender) joint count by at least 50% from baseline, where baseline is at least 20 active joints; or</w:t>
            </w:r>
          </w:p>
          <w:p w:rsidR="00467C94" w:rsidRPr="006B7CC0" w:rsidRDefault="00467C94" w:rsidP="00695BD5">
            <w:pPr>
              <w:pStyle w:val="Tabletext"/>
              <w:numPr>
                <w:ilvl w:val="0"/>
                <w:numId w:val="32"/>
              </w:numPr>
              <w:rPr>
                <w:rFonts w:cs="Arial"/>
                <w:szCs w:val="20"/>
                <w:lang w:eastAsia="en-AU"/>
              </w:rPr>
            </w:pPr>
            <w:r w:rsidRPr="006B7CC0">
              <w:rPr>
                <w:rFonts w:cs="Arial"/>
                <w:szCs w:val="20"/>
                <w:lang w:eastAsia="en-AU"/>
              </w:rPr>
              <w:t>A reduction in the number of the following active joints, from at least 4, by at least 50%:</w:t>
            </w:r>
          </w:p>
          <w:p w:rsidR="00467C94" w:rsidRPr="006B7CC0" w:rsidRDefault="00467C94" w:rsidP="00695BD5">
            <w:pPr>
              <w:pStyle w:val="Tabletext"/>
              <w:numPr>
                <w:ilvl w:val="0"/>
                <w:numId w:val="31"/>
              </w:numPr>
              <w:rPr>
                <w:rFonts w:cs="Arial"/>
                <w:szCs w:val="20"/>
                <w:lang w:eastAsia="en-AU"/>
              </w:rPr>
            </w:pPr>
            <w:r w:rsidRPr="006B7CC0">
              <w:rPr>
                <w:rFonts w:cs="Arial"/>
                <w:szCs w:val="20"/>
                <w:lang w:eastAsia="en-AU"/>
              </w:rPr>
              <w:t>Elbow, wrist, knee and/or ankle (assessed as swollen and tender); and/or</w:t>
            </w:r>
          </w:p>
          <w:p w:rsidR="00467C94" w:rsidRDefault="00467C94" w:rsidP="00695BD5">
            <w:pPr>
              <w:pStyle w:val="Tabletext"/>
              <w:numPr>
                <w:ilvl w:val="0"/>
                <w:numId w:val="31"/>
              </w:numPr>
              <w:rPr>
                <w:rFonts w:cs="Arial"/>
                <w:szCs w:val="20"/>
                <w:lang w:eastAsia="en-AU"/>
              </w:rPr>
            </w:pPr>
            <w:r w:rsidRPr="006B7CC0">
              <w:rPr>
                <w:rFonts w:cs="Arial"/>
                <w:szCs w:val="20"/>
                <w:lang w:eastAsia="en-AU"/>
              </w:rPr>
              <w:t>Shoulder and/or hip (assessed as pain in passive movement and restriction of passive movement, where pain and limitation of movement are due to active disease and not irreversible damage such as joint destruction or bony overgrowth).</w:t>
            </w:r>
          </w:p>
          <w:p w:rsidR="00467C94" w:rsidRPr="006B7CC0" w:rsidRDefault="00467C94" w:rsidP="00467C94">
            <w:pPr>
              <w:pStyle w:val="Tabletext"/>
              <w:ind w:left="1080"/>
              <w:rPr>
                <w:rFonts w:cs="Arial"/>
                <w:szCs w:val="20"/>
                <w:lang w:eastAsia="en-AU"/>
              </w:rPr>
            </w:pP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An adequate response to treatment is defined as:</w:t>
            </w: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An ESR no greater than 25mm per hour or a CRP level no greater than 15mg per L or either marker reduced by at least 20% from baseline;</w:t>
            </w: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AND either of the following:</w:t>
            </w:r>
          </w:p>
          <w:p w:rsidR="00467C94" w:rsidRPr="006B7CC0" w:rsidRDefault="00467C94" w:rsidP="00695BD5">
            <w:pPr>
              <w:pStyle w:val="Tabletext"/>
              <w:numPr>
                <w:ilvl w:val="0"/>
                <w:numId w:val="32"/>
              </w:numPr>
              <w:rPr>
                <w:rFonts w:cs="Arial"/>
                <w:szCs w:val="20"/>
                <w:lang w:eastAsia="en-AU"/>
              </w:rPr>
            </w:pPr>
            <w:r w:rsidRPr="006B7CC0">
              <w:rPr>
                <w:rFonts w:cs="Arial"/>
                <w:szCs w:val="20"/>
                <w:lang w:eastAsia="en-AU"/>
              </w:rPr>
              <w:t>A reduction in the total active (swollen and tender) joint count by at least 50% from baseline, where baseline is at least 20 active joints; or</w:t>
            </w:r>
          </w:p>
          <w:p w:rsidR="00467C94" w:rsidRPr="006B7CC0" w:rsidRDefault="00467C94" w:rsidP="00695BD5">
            <w:pPr>
              <w:pStyle w:val="Tabletext"/>
              <w:numPr>
                <w:ilvl w:val="0"/>
                <w:numId w:val="32"/>
              </w:numPr>
              <w:rPr>
                <w:rFonts w:cs="Arial"/>
                <w:szCs w:val="20"/>
                <w:lang w:eastAsia="en-AU"/>
              </w:rPr>
            </w:pPr>
            <w:r w:rsidRPr="006B7CC0">
              <w:rPr>
                <w:rFonts w:cs="Arial"/>
                <w:szCs w:val="20"/>
                <w:lang w:eastAsia="en-AU"/>
              </w:rPr>
              <w:t>A reduction in the number of the following active joints, from at least 4, by at least 50%:</w:t>
            </w:r>
          </w:p>
          <w:p w:rsidR="00467C94" w:rsidRPr="006B7CC0" w:rsidRDefault="00467C94" w:rsidP="00695BD5">
            <w:pPr>
              <w:pStyle w:val="Tabletext"/>
              <w:numPr>
                <w:ilvl w:val="0"/>
                <w:numId w:val="31"/>
              </w:numPr>
              <w:rPr>
                <w:rFonts w:cs="Arial"/>
                <w:szCs w:val="20"/>
                <w:lang w:eastAsia="en-AU"/>
              </w:rPr>
            </w:pPr>
            <w:r w:rsidRPr="006B7CC0">
              <w:rPr>
                <w:rFonts w:cs="Arial"/>
                <w:szCs w:val="20"/>
                <w:lang w:eastAsia="en-AU"/>
              </w:rPr>
              <w:t>Elbow, wrist, knee and/or ankle (assessed as swollen and tender); and/or</w:t>
            </w:r>
          </w:p>
          <w:p w:rsidR="00467C94" w:rsidRPr="006B7CC0" w:rsidRDefault="00467C94" w:rsidP="00695BD5">
            <w:pPr>
              <w:pStyle w:val="Tabletext"/>
              <w:numPr>
                <w:ilvl w:val="0"/>
                <w:numId w:val="31"/>
              </w:numPr>
              <w:rPr>
                <w:rFonts w:cs="Arial"/>
                <w:szCs w:val="20"/>
                <w:lang w:eastAsia="en-AU"/>
              </w:rPr>
            </w:pPr>
            <w:r w:rsidRPr="006B7CC0">
              <w:rPr>
                <w:rFonts w:cs="Arial"/>
                <w:szCs w:val="20"/>
                <w:lang w:eastAsia="en-AU"/>
              </w:rPr>
              <w:t>Shoulder and/or hip (assessed as pain in passive movement and restriction of passive movement, where pain and limitation of movement are due to active disease and not irreversible damage such as joint destruction or bony overgrowth).</w:t>
            </w:r>
          </w:p>
          <w:p w:rsidR="00467C94" w:rsidRPr="006B7CC0" w:rsidRDefault="00467C94" w:rsidP="00803637">
            <w:pPr>
              <w:widowControl/>
              <w:rPr>
                <w:rFonts w:ascii="Arial Narrow" w:hAnsi="Arial Narrow"/>
                <w:sz w:val="20"/>
                <w:szCs w:val="20"/>
              </w:rPr>
            </w:pP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Where the baseline active joint count is based on total active joints (i.e. more than 20 active joints), response will be determined according to the reduction in the total number of active joints. Where baseline is determined on total number of active joints, the response must be demonstrated on the total number of major joints. If only an ESR or CRP level is provided with the initial application, the same marker will be used to determine response.</w:t>
            </w:r>
          </w:p>
          <w:p w:rsidR="00467C94" w:rsidRPr="006B7CC0" w:rsidRDefault="00467C94" w:rsidP="00803637">
            <w:pPr>
              <w:widowControl/>
              <w:rPr>
                <w:rFonts w:ascii="Arial Narrow" w:hAnsi="Arial Narrow"/>
                <w:sz w:val="20"/>
                <w:szCs w:val="20"/>
              </w:rPr>
            </w:pP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The authority application must be made in writing and must include:</w:t>
            </w:r>
          </w:p>
          <w:p w:rsidR="00467C94" w:rsidRPr="006B7CC0" w:rsidRDefault="00467C94" w:rsidP="00695BD5">
            <w:pPr>
              <w:pStyle w:val="Tabletext"/>
              <w:numPr>
                <w:ilvl w:val="0"/>
                <w:numId w:val="42"/>
              </w:numPr>
              <w:rPr>
                <w:rFonts w:cs="Arial"/>
                <w:szCs w:val="20"/>
                <w:lang w:eastAsia="en-AU"/>
              </w:rPr>
            </w:pPr>
            <w:r w:rsidRPr="006B7CC0">
              <w:rPr>
                <w:rFonts w:cs="Arial"/>
                <w:szCs w:val="20"/>
                <w:lang w:eastAsia="en-AU"/>
              </w:rPr>
              <w:t>Completed authority prescription form(s); and</w:t>
            </w:r>
          </w:p>
          <w:p w:rsidR="00467C94" w:rsidRPr="006B7CC0" w:rsidRDefault="00467C94" w:rsidP="00695BD5">
            <w:pPr>
              <w:pStyle w:val="Tabletext"/>
              <w:numPr>
                <w:ilvl w:val="0"/>
                <w:numId w:val="42"/>
              </w:numPr>
              <w:rPr>
                <w:rFonts w:cs="Arial"/>
                <w:szCs w:val="20"/>
                <w:lang w:eastAsia="en-AU"/>
              </w:rPr>
            </w:pPr>
            <w:r w:rsidRPr="006B7CC0">
              <w:rPr>
                <w:rFonts w:cs="Arial"/>
                <w:szCs w:val="20"/>
                <w:lang w:eastAsia="en-AU"/>
              </w:rPr>
              <w:t>A completed Rheumatoid Arthritis PBS Authority Application – Supporting Information Form.</w:t>
            </w: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 xml:space="preserve">All applications for continuing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must include a measurement of response to the prior course of therapy. This assessment must be submitted no later than 4 weeks from cessation of that treatment course. If the application is the first application for continuing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it must be accompanied by an assessment of response to a minimum of 12 weeks of treatment with an initial course.</w:t>
            </w:r>
          </w:p>
          <w:p w:rsidR="00467C94" w:rsidRPr="006B7CC0" w:rsidRDefault="00467C94" w:rsidP="00803637">
            <w:pPr>
              <w:widowControl/>
              <w:rPr>
                <w:rFonts w:ascii="Arial Narrow" w:hAnsi="Arial Narrow"/>
                <w:sz w:val="20"/>
                <w:szCs w:val="20"/>
              </w:rPr>
            </w:pPr>
            <w:r w:rsidRPr="006B7CC0">
              <w:rPr>
                <w:rFonts w:ascii="Arial Narrow" w:hAnsi="Arial Narrow"/>
                <w:sz w:val="20"/>
                <w:szCs w:val="20"/>
              </w:rPr>
              <w:t xml:space="preserve">Where a response assessment is not undertaken and submitted within these timeframes, the patient will be deemed to have failed to respond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w:t>
            </w:r>
          </w:p>
          <w:p w:rsidR="00467C94" w:rsidRPr="006B7CC0" w:rsidRDefault="00467C94" w:rsidP="00803637">
            <w:pPr>
              <w:rPr>
                <w:i/>
                <w:szCs w:val="20"/>
                <w:lang w:eastAsia="en-AU"/>
              </w:rPr>
            </w:pPr>
            <w:r w:rsidRPr="006B7CC0">
              <w:rPr>
                <w:rFonts w:ascii="Arial Narrow" w:hAnsi="Arial Narrow"/>
                <w:sz w:val="20"/>
                <w:szCs w:val="20"/>
              </w:rPr>
              <w:t xml:space="preserve">If a patient fails to demonstrate a response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under this restriction they will not be eligible to receive further PBS-subsidised treatment with this drug for this condition.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Notes:</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Department of Human Services website (</w:t>
            </w:r>
            <w:r w:rsidRPr="00B049C2">
              <w:rPr>
                <w:rStyle w:val="Hyperlink"/>
                <w:rFonts w:ascii="Arial Narrow" w:hAnsi="Arial Narrow"/>
                <w:sz w:val="20"/>
                <w:szCs w:val="20"/>
              </w:rPr>
              <w:t>www.humanservices.gov.au</w:t>
            </w:r>
            <w:r w:rsidRPr="006B7CC0">
              <w:rPr>
                <w:rFonts w:ascii="Arial Narrow" w:hAnsi="Arial Narrow"/>
                <w:sz w:val="20"/>
                <w:szCs w:val="20"/>
              </w:rPr>
              <w:t>) has details of the toxicities, including severity, which will be accepted for the following purposes:</w:t>
            </w:r>
          </w:p>
          <w:p w:rsidR="00695BD5" w:rsidRPr="006B7CC0" w:rsidRDefault="00695BD5" w:rsidP="00695BD5">
            <w:pPr>
              <w:pStyle w:val="Tabletext"/>
              <w:numPr>
                <w:ilvl w:val="0"/>
                <w:numId w:val="34"/>
              </w:numPr>
              <w:rPr>
                <w:rFonts w:cs="Arial"/>
                <w:szCs w:val="20"/>
                <w:lang w:eastAsia="en-AU"/>
              </w:rPr>
            </w:pPr>
            <w:r w:rsidRPr="006B7CC0">
              <w:rPr>
                <w:rFonts w:cs="Arial"/>
                <w:szCs w:val="20"/>
                <w:lang w:eastAsia="en-AU"/>
              </w:rPr>
              <w:t>Exempting a patient from the requirement to undertake a minimum 3 month trial of methotrexate at a 20mg weekly dose;</w:t>
            </w:r>
          </w:p>
          <w:p w:rsidR="00695BD5" w:rsidRPr="006B7CC0" w:rsidRDefault="00695BD5" w:rsidP="00695BD5">
            <w:pPr>
              <w:pStyle w:val="Tabletext"/>
              <w:numPr>
                <w:ilvl w:val="0"/>
                <w:numId w:val="34"/>
              </w:numPr>
              <w:rPr>
                <w:rFonts w:cs="Arial"/>
                <w:szCs w:val="20"/>
                <w:lang w:eastAsia="en-AU"/>
              </w:rPr>
            </w:pPr>
            <w:r w:rsidRPr="006B7CC0">
              <w:rPr>
                <w:rFonts w:cs="Arial"/>
                <w:szCs w:val="20"/>
                <w:lang w:eastAsia="en-AU"/>
              </w:rPr>
              <w:t xml:space="preserve">Substituting azathioprine, cyclosporine or sodium </w:t>
            </w:r>
            <w:proofErr w:type="spellStart"/>
            <w:r w:rsidRPr="006B7CC0">
              <w:rPr>
                <w:rFonts w:cs="Arial"/>
                <w:szCs w:val="20"/>
                <w:lang w:eastAsia="en-AU"/>
              </w:rPr>
              <w:t>aurothiomalate</w:t>
            </w:r>
            <w:proofErr w:type="spellEnd"/>
            <w:r w:rsidRPr="006B7CC0">
              <w:rPr>
                <w:rFonts w:cs="Arial"/>
                <w:szCs w:val="20"/>
                <w:lang w:eastAsia="en-AU"/>
              </w:rPr>
              <w:t xml:space="preserve"> for another DMARD as part of the 6 month intensive DMARD trial;</w:t>
            </w:r>
          </w:p>
          <w:p w:rsidR="00695BD5" w:rsidRPr="006B7CC0" w:rsidRDefault="00695BD5" w:rsidP="00695BD5">
            <w:pPr>
              <w:pStyle w:val="Tabletext"/>
              <w:numPr>
                <w:ilvl w:val="0"/>
                <w:numId w:val="34"/>
              </w:numPr>
              <w:rPr>
                <w:rFonts w:cs="Arial"/>
                <w:szCs w:val="20"/>
                <w:lang w:eastAsia="en-AU"/>
              </w:rPr>
            </w:pPr>
            <w:r w:rsidRPr="006B7CC0">
              <w:rPr>
                <w:rFonts w:cs="Arial"/>
                <w:szCs w:val="20"/>
                <w:lang w:eastAsia="en-AU"/>
              </w:rPr>
              <w:t>Exempting a patient from the requirement for a 6 month trial of intensive DMARD therapy.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Any queries concerning the arrangements to prescribe may be directed to the Department of Human Services on 1800 700 270 (hours of operation 8 a.m. to 5 p.m. EST Monday to Friday).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B049C2">
              <w:rPr>
                <w:rStyle w:val="Hyperlink"/>
                <w:rFonts w:ascii="Arial Narrow" w:hAnsi="Arial Narrow"/>
                <w:sz w:val="20"/>
                <w:szCs w:val="20"/>
              </w:rPr>
              <w:t>www.humanservices.gov.au</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Applications for authority to prescribe should be forwarded to </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Department of Human Services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Complex Drugs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Reply Pain 9826</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HOBART TAS 7001</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number of repeats may be authorised.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NOTE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quantity or number of units will be authorised.</w:t>
            </w:r>
          </w:p>
        </w:tc>
      </w:tr>
    </w:tbl>
    <w:p w:rsidR="00695BD5" w:rsidRPr="006B7CC0" w:rsidRDefault="00695BD5" w:rsidP="00695BD5">
      <w:pPr>
        <w:widowControl/>
        <w:rPr>
          <w:rFonts w:ascii="Arial Narrow" w:hAnsi="Arial Narrow"/>
          <w:sz w:val="20"/>
          <w:szCs w:val="20"/>
        </w:rPr>
      </w:pPr>
    </w:p>
    <w:p w:rsidR="00695BD5" w:rsidRPr="006B7CC0" w:rsidRDefault="00695BD5" w:rsidP="00695BD5">
      <w:pPr>
        <w:widowControl/>
        <w:rPr>
          <w:rFonts w:ascii="Arial Narrow" w:hAnsi="Arial Narrow"/>
          <w:sz w:val="20"/>
          <w:szCs w:val="20"/>
        </w:rPr>
      </w:pPr>
      <w:r>
        <w:rPr>
          <w:rFonts w:ascii="Arial Narrow" w:hAnsi="Arial Narrow"/>
          <w:sz w:val="20"/>
          <w:szCs w:val="20"/>
        </w:rPr>
        <w:br w:type="page"/>
      </w:r>
    </w:p>
    <w:tbl>
      <w:tblPr>
        <w:tblW w:w="9214" w:type="dxa"/>
        <w:tblInd w:w="108" w:type="dxa"/>
        <w:tblLayout w:type="fixed"/>
        <w:tblLook w:val="0000" w:firstRow="0" w:lastRow="0" w:firstColumn="0" w:lastColumn="0" w:noHBand="0" w:noVBand="0"/>
      </w:tblPr>
      <w:tblGrid>
        <w:gridCol w:w="2410"/>
        <w:gridCol w:w="851"/>
        <w:gridCol w:w="567"/>
        <w:gridCol w:w="850"/>
        <w:gridCol w:w="284"/>
        <w:gridCol w:w="1559"/>
        <w:gridCol w:w="2693"/>
      </w:tblGrid>
      <w:tr w:rsidR="00695BD5" w:rsidRPr="006B7CC0" w:rsidTr="00803637">
        <w:trPr>
          <w:cantSplit/>
          <w:trHeight w:val="471"/>
        </w:trPr>
        <w:tc>
          <w:tcPr>
            <w:tcW w:w="3261" w:type="dxa"/>
            <w:gridSpan w:val="2"/>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lastRenderedPageBreak/>
              <w:t>Name, Restriction,</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Manner of administration and form</w:t>
            </w:r>
          </w:p>
        </w:tc>
        <w:tc>
          <w:tcPr>
            <w:tcW w:w="567"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Max.</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Qty</w:t>
            </w:r>
          </w:p>
        </w:tc>
        <w:tc>
          <w:tcPr>
            <w:tcW w:w="850"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№.of</w:t>
            </w:r>
          </w:p>
          <w:p w:rsidR="00695BD5" w:rsidRPr="006B7CC0" w:rsidRDefault="00695BD5" w:rsidP="00803637">
            <w:pPr>
              <w:keepNext/>
              <w:widowControl/>
              <w:ind w:left="-108"/>
              <w:rPr>
                <w:rFonts w:ascii="Arial Narrow" w:hAnsi="Arial Narrow"/>
                <w:b/>
                <w:sz w:val="20"/>
                <w:szCs w:val="20"/>
              </w:rPr>
            </w:pPr>
            <w:r w:rsidRPr="006B7CC0">
              <w:rPr>
                <w:rFonts w:ascii="Arial Narrow" w:hAnsi="Arial Narrow"/>
                <w:b/>
                <w:sz w:val="20"/>
                <w:szCs w:val="20"/>
              </w:rPr>
              <w:t>Rpts</w:t>
            </w:r>
          </w:p>
        </w:tc>
        <w:tc>
          <w:tcPr>
            <w:tcW w:w="284" w:type="dxa"/>
            <w:tcBorders>
              <w:bottom w:val="single" w:sz="4" w:space="0" w:color="auto"/>
            </w:tcBorders>
          </w:tcPr>
          <w:p w:rsidR="00695BD5" w:rsidRPr="006B7CC0" w:rsidRDefault="00695BD5" w:rsidP="00803637">
            <w:pPr>
              <w:keepNext/>
              <w:widowControl/>
              <w:ind w:left="-108"/>
              <w:rPr>
                <w:rFonts w:ascii="Arial Narrow" w:hAnsi="Arial Narrow"/>
                <w:b/>
                <w:sz w:val="20"/>
                <w:szCs w:val="20"/>
              </w:rPr>
            </w:pPr>
          </w:p>
        </w:tc>
        <w:tc>
          <w:tcPr>
            <w:tcW w:w="4252" w:type="dxa"/>
            <w:gridSpan w:val="2"/>
            <w:tcBorders>
              <w:bottom w:val="single" w:sz="4" w:space="0" w:color="auto"/>
            </w:tcBorders>
          </w:tcPr>
          <w:p w:rsidR="00695BD5" w:rsidRPr="006B7CC0" w:rsidRDefault="00695BD5" w:rsidP="00803637">
            <w:pPr>
              <w:keepNext/>
              <w:widowControl/>
              <w:rPr>
                <w:rFonts w:ascii="Arial Narrow" w:hAnsi="Arial Narrow"/>
                <w:b/>
                <w:sz w:val="20"/>
                <w:szCs w:val="20"/>
              </w:rPr>
            </w:pPr>
            <w:r w:rsidRPr="006B7CC0">
              <w:rPr>
                <w:rFonts w:ascii="Arial Narrow" w:hAnsi="Arial Narrow"/>
                <w:b/>
                <w:sz w:val="20"/>
                <w:szCs w:val="20"/>
              </w:rPr>
              <w:t>Proprietary Name and Manufacturer</w:t>
            </w:r>
          </w:p>
        </w:tc>
      </w:tr>
      <w:tr w:rsidR="00695BD5" w:rsidRPr="006B7CC0" w:rsidTr="00803637">
        <w:trPr>
          <w:cantSplit/>
          <w:trHeight w:val="577"/>
        </w:trPr>
        <w:tc>
          <w:tcPr>
            <w:tcW w:w="3261" w:type="dxa"/>
            <w:gridSpan w:val="2"/>
          </w:tcPr>
          <w:p w:rsidR="00695BD5" w:rsidRPr="006B7CC0" w:rsidRDefault="00695BD5" w:rsidP="00803637">
            <w:pPr>
              <w:keepNext/>
              <w:widowControl/>
              <w:ind w:left="-108"/>
              <w:rPr>
                <w:rFonts w:ascii="Arial Narrow" w:hAnsi="Arial Narrow"/>
                <w:sz w:val="20"/>
                <w:szCs w:val="20"/>
              </w:rPr>
            </w:pPr>
            <w:r w:rsidRPr="006B7CC0">
              <w:rPr>
                <w:rFonts w:ascii="Arial Narrow" w:hAnsi="Arial Narrow"/>
                <w:smallCaps/>
                <w:sz w:val="20"/>
                <w:szCs w:val="20"/>
              </w:rPr>
              <w:t>SARILUMAB</w:t>
            </w: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injection 200 mg in 1.14 mL pre-filled syringe, 2</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spacing w:after="120"/>
              <w:ind w:left="-108"/>
              <w:rPr>
                <w:rFonts w:ascii="Arial Narrow" w:hAnsi="Arial Narrow"/>
                <w:sz w:val="20"/>
                <w:szCs w:val="20"/>
              </w:rPr>
            </w:pPr>
            <w:r w:rsidRPr="006B7CC0">
              <w:rPr>
                <w:rFonts w:ascii="Arial Narrow" w:hAnsi="Arial Narrow"/>
                <w:sz w:val="20"/>
                <w:szCs w:val="20"/>
              </w:rPr>
              <w:t>injection 150 mg in 1.14 mL pre-filled syringe, 2</w:t>
            </w:r>
          </w:p>
        </w:tc>
        <w:tc>
          <w:tcPr>
            <w:tcW w:w="567" w:type="dxa"/>
          </w:tcPr>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1</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1</w:t>
            </w:r>
          </w:p>
        </w:tc>
        <w:tc>
          <w:tcPr>
            <w:tcW w:w="850" w:type="dxa"/>
          </w:tcPr>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3</w:t>
            </w: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p>
          <w:p w:rsidR="00695BD5" w:rsidRPr="006B7CC0" w:rsidRDefault="00695BD5" w:rsidP="00803637">
            <w:pPr>
              <w:keepNext/>
              <w:widowControl/>
              <w:ind w:left="-108"/>
              <w:rPr>
                <w:rFonts w:ascii="Arial Narrow" w:hAnsi="Arial Narrow"/>
                <w:sz w:val="20"/>
                <w:szCs w:val="20"/>
              </w:rPr>
            </w:pPr>
            <w:r w:rsidRPr="006B7CC0">
              <w:rPr>
                <w:rFonts w:ascii="Arial Narrow" w:hAnsi="Arial Narrow"/>
                <w:sz w:val="20"/>
                <w:szCs w:val="20"/>
              </w:rPr>
              <w:t>3</w:t>
            </w:r>
          </w:p>
        </w:tc>
        <w:tc>
          <w:tcPr>
            <w:tcW w:w="284" w:type="dxa"/>
          </w:tcPr>
          <w:p w:rsidR="00695BD5" w:rsidRPr="006B7CC0" w:rsidRDefault="00695BD5" w:rsidP="00803637">
            <w:pPr>
              <w:keepNext/>
              <w:widowControl/>
              <w:ind w:left="-108"/>
              <w:rPr>
                <w:rFonts w:ascii="Arial Narrow" w:hAnsi="Arial Narrow"/>
                <w:sz w:val="20"/>
                <w:szCs w:val="20"/>
              </w:rPr>
            </w:pPr>
          </w:p>
        </w:tc>
        <w:tc>
          <w:tcPr>
            <w:tcW w:w="1559" w:type="dxa"/>
          </w:tcPr>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cs="Calibri"/>
                <w:sz w:val="20"/>
                <w:szCs w:val="20"/>
                <w:vertAlign w:val="superscript"/>
              </w:rPr>
            </w:pPr>
            <w:proofErr w:type="spellStart"/>
            <w:r w:rsidRPr="006B7CC0">
              <w:rPr>
                <w:rFonts w:ascii="Arial Narrow" w:hAnsi="Arial Narrow"/>
                <w:sz w:val="20"/>
                <w:szCs w:val="20"/>
              </w:rPr>
              <w:t>Kevzara</w:t>
            </w:r>
            <w:proofErr w:type="spellEnd"/>
            <w:r w:rsidRPr="006B7CC0">
              <w:rPr>
                <w:rFonts w:ascii="Arial Narrow" w:hAnsi="Arial Narrow" w:cs="Calibri"/>
                <w:sz w:val="20"/>
                <w:szCs w:val="20"/>
                <w:vertAlign w:val="superscript"/>
              </w:rPr>
              <w:t>®</w:t>
            </w:r>
          </w:p>
        </w:tc>
        <w:tc>
          <w:tcPr>
            <w:tcW w:w="2693" w:type="dxa"/>
          </w:tcPr>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p>
          <w:p w:rsidR="00695BD5" w:rsidRPr="006B7CC0" w:rsidRDefault="00695BD5" w:rsidP="00803637">
            <w:pPr>
              <w:keepNext/>
              <w:widowControl/>
              <w:rPr>
                <w:rFonts w:ascii="Arial Narrow" w:hAnsi="Arial Narrow"/>
                <w:sz w:val="20"/>
                <w:szCs w:val="20"/>
              </w:rPr>
            </w:pPr>
            <w:r w:rsidRPr="006B7CC0">
              <w:rPr>
                <w:rFonts w:ascii="Arial Narrow" w:hAnsi="Arial Narrow"/>
                <w:sz w:val="20"/>
                <w:szCs w:val="20"/>
              </w:rPr>
              <w:t>Sanofi-Aventis Australia Pty Ltd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GENERAL – General Schedule (Code 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Dental  </w:t>
            </w: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Medical Practitioners  </w:t>
            </w: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Nurse practitioners  </w:t>
            </w: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Optometrists </w:t>
            </w: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Midwives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Continuing treatment</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Restriction Level / Method: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Restricted benefit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In Writing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Telephone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Emergency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Electronic</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Streamlined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criteria:</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Must be treated by a rheumatologist; 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Must be treated by a clinical immunologist with expertise in the management of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Clinical criteria:</w:t>
            </w: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 must have a documented history of severe active rheumatoid arthritis,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Patient must have demonstrated an adequate response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Patient must have received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as their most recent course of PBS-subsidised biological disease modifying anti-rheumatic drug (</w:t>
            </w:r>
            <w:proofErr w:type="spellStart"/>
            <w:r w:rsidRPr="006B7CC0">
              <w:rPr>
                <w:rFonts w:ascii="Arial Narrow" w:hAnsi="Arial Narrow"/>
                <w:sz w:val="20"/>
                <w:szCs w:val="20"/>
              </w:rPr>
              <w:t>bDMARD</w:t>
            </w:r>
            <w:proofErr w:type="spellEnd"/>
            <w:r w:rsidRPr="006B7CC0">
              <w:rPr>
                <w:rFonts w:ascii="Arial Narrow" w:hAnsi="Arial Narrow"/>
                <w:sz w:val="20"/>
                <w:szCs w:val="20"/>
              </w:rPr>
              <w:t>) treatment,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 must not receive more than 24 weeks of treatment per continuing treatment course authorised under this restriction.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Patient must be aged 18 years or older.</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Instructions:</w:t>
            </w:r>
          </w:p>
          <w:p w:rsidR="00695BD5" w:rsidRPr="006B7CC0" w:rsidRDefault="00695BD5" w:rsidP="00803637">
            <w:pPr>
              <w:widowControl/>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i/>
                <w:sz w:val="20"/>
                <w:szCs w:val="20"/>
              </w:rPr>
              <w:t>The 150mg strength is for dose reduction purposes.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authority application must be made in writing and must include: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 a completed authority prescription form; 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(b) a completed Rheumatoid Arthritis PBS Authority Application - Supporting Information Form; 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(c) </w:t>
            </w:r>
            <w:proofErr w:type="gramStart"/>
            <w:r w:rsidRPr="006B7CC0">
              <w:rPr>
                <w:rFonts w:ascii="Arial Narrow" w:hAnsi="Arial Narrow"/>
                <w:sz w:val="20"/>
                <w:szCs w:val="20"/>
              </w:rPr>
              <w:t>a</w:t>
            </w:r>
            <w:proofErr w:type="gramEnd"/>
            <w:r w:rsidRPr="006B7CC0">
              <w:rPr>
                <w:rFonts w:ascii="Arial Narrow" w:hAnsi="Arial Narrow"/>
                <w:sz w:val="20"/>
                <w:szCs w:val="20"/>
              </w:rPr>
              <w:t xml:space="preserve"> signed patient acknowledgement.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All applications for treatment with this drug for this condition under this restriction must include baseline joint count and ESR and/or CRP as determined at the completion of a 6 month intensive DMARD trial but prior to ceasing DMARD therapy.</w:t>
            </w:r>
          </w:p>
          <w:p w:rsidR="00695BD5" w:rsidRDefault="00695BD5" w:rsidP="00803637">
            <w:pPr>
              <w:widowControl/>
              <w:rPr>
                <w:rFonts w:ascii="Arial Narrow" w:hAnsi="Arial Narrow"/>
                <w:sz w:val="20"/>
                <w:szCs w:val="20"/>
              </w:rPr>
            </w:pPr>
          </w:p>
          <w:p w:rsidR="00695BD5" w:rsidRPr="00695BD5" w:rsidRDefault="00695BD5" w:rsidP="00803637">
            <w:pPr>
              <w:widowControl/>
              <w:rPr>
                <w:rFonts w:ascii="Arial Narrow" w:hAnsi="Arial Narrow"/>
                <w:i/>
                <w:sz w:val="20"/>
                <w:szCs w:val="20"/>
              </w:rPr>
            </w:pPr>
            <w:r>
              <w:rPr>
                <w:rFonts w:ascii="Arial Narrow" w:hAnsi="Arial Narrow"/>
                <w:sz w:val="20"/>
                <w:szCs w:val="20"/>
              </w:rPr>
              <w:t>(</w:t>
            </w:r>
            <w:r>
              <w:rPr>
                <w:rFonts w:ascii="Arial Narrow" w:hAnsi="Arial Narrow"/>
                <w:i/>
                <w:sz w:val="20"/>
                <w:szCs w:val="20"/>
              </w:rPr>
              <w:t>continued over page)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Prescriber instructions (continued):</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695BD5">
            <w:pPr>
              <w:widowControl/>
              <w:rPr>
                <w:rFonts w:ascii="Arial Narrow" w:hAnsi="Arial Narrow"/>
                <w:sz w:val="20"/>
                <w:szCs w:val="20"/>
              </w:rPr>
            </w:pPr>
            <w:r w:rsidRPr="006B7CC0">
              <w:rPr>
                <w:rFonts w:ascii="Arial Narrow" w:hAnsi="Arial Narrow"/>
                <w:sz w:val="20"/>
                <w:szCs w:val="20"/>
              </w:rPr>
              <w:t>If the requirement to demonstrate an elevated ESR or CRP cannot be met, the application must state the reasons why this criterion cannot be satisfied.</w:t>
            </w:r>
          </w:p>
          <w:p w:rsidR="00695BD5" w:rsidRPr="006B7CC0" w:rsidRDefault="00695BD5" w:rsidP="00695BD5">
            <w:pPr>
              <w:widowControl/>
              <w:rPr>
                <w:rFonts w:ascii="Arial Narrow" w:hAnsi="Arial Narrow"/>
                <w:sz w:val="20"/>
                <w:szCs w:val="20"/>
              </w:rPr>
            </w:pPr>
          </w:p>
          <w:p w:rsidR="00695BD5" w:rsidRDefault="00695BD5" w:rsidP="00695BD5">
            <w:pPr>
              <w:widowControl/>
              <w:rPr>
                <w:rFonts w:ascii="Arial Narrow" w:hAnsi="Arial Narrow"/>
                <w:sz w:val="20"/>
                <w:szCs w:val="20"/>
              </w:rPr>
            </w:pPr>
            <w:r w:rsidRPr="006B7CC0">
              <w:rPr>
                <w:rFonts w:ascii="Arial Narrow" w:hAnsi="Arial Narrow"/>
                <w:sz w:val="20"/>
                <w:szCs w:val="20"/>
              </w:rPr>
              <w:t>A patient may qualify for PBS-subsidised treatment under this restriction once only.</w:t>
            </w:r>
          </w:p>
          <w:p w:rsidR="00695BD5"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For the purposes of this restriction </w:t>
            </w:r>
            <w:proofErr w:type="spellStart"/>
            <w:r w:rsidRPr="006B7CC0">
              <w:rPr>
                <w:rFonts w:ascii="Arial Narrow" w:hAnsi="Arial Narrow"/>
                <w:sz w:val="20"/>
                <w:szCs w:val="20"/>
              </w:rPr>
              <w:t>bDMARD</w:t>
            </w:r>
            <w:proofErr w:type="spellEnd"/>
            <w:r w:rsidRPr="006B7CC0">
              <w:rPr>
                <w:rFonts w:ascii="Arial Narrow" w:hAnsi="Arial Narrow"/>
                <w:sz w:val="20"/>
                <w:szCs w:val="20"/>
              </w:rPr>
              <w:t xml:space="preserve"> means </w:t>
            </w:r>
            <w:proofErr w:type="spellStart"/>
            <w:r w:rsidRPr="006B7CC0">
              <w:rPr>
                <w:rFonts w:ascii="Arial Narrow" w:hAnsi="Arial Narrow"/>
                <w:sz w:val="20"/>
                <w:szCs w:val="20"/>
              </w:rPr>
              <w:t>abatacept</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adalimumab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baricitinib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certolizumab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pegol</w:t>
            </w:r>
            <w:proofErr w:type="spellEnd"/>
            <w:r w:rsidRPr="006B7CC0">
              <w:rPr>
                <w:rFonts w:ascii="Arial Narrow" w:hAnsi="Arial Narrow"/>
                <w:sz w:val="20"/>
                <w:szCs w:val="20"/>
              </w:rPr>
              <w:t xml:space="preserve">, etanercept, </w:t>
            </w:r>
            <w:proofErr w:type="spellStart"/>
            <w:r w:rsidRPr="006B7CC0">
              <w:rPr>
                <w:rFonts w:ascii="Arial Narrow" w:hAnsi="Arial Narrow"/>
                <w:sz w:val="20"/>
                <w:szCs w:val="20"/>
              </w:rPr>
              <w:t>golimumab</w:t>
            </w:r>
            <w:proofErr w:type="spellEnd"/>
            <w:r w:rsidRPr="006B7CC0">
              <w:rPr>
                <w:rFonts w:ascii="Arial Narrow" w:hAnsi="Arial Narrow"/>
                <w:sz w:val="20"/>
                <w:szCs w:val="20"/>
              </w:rPr>
              <w:t xml:space="preserve">, infliximab, rituximab,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w:t>
            </w:r>
            <w:proofErr w:type="spellStart"/>
            <w:r w:rsidRPr="006B7CC0">
              <w:rPr>
                <w:rFonts w:ascii="Arial Narrow" w:hAnsi="Arial Narrow"/>
                <w:sz w:val="20"/>
                <w:szCs w:val="20"/>
              </w:rPr>
              <w:t>tocilizumab</w:t>
            </w:r>
            <w:proofErr w:type="spellEnd"/>
            <w:r w:rsidRPr="006B7CC0">
              <w:rPr>
                <w:rFonts w:ascii="Arial Narrow" w:hAnsi="Arial Narrow"/>
                <w:sz w:val="20"/>
                <w:szCs w:val="20"/>
              </w:rPr>
              <w:t xml:space="preserve"> or </w:t>
            </w:r>
            <w:proofErr w:type="spellStart"/>
            <w:r w:rsidRPr="006B7CC0">
              <w:rPr>
                <w:rFonts w:ascii="Arial Narrow" w:hAnsi="Arial Narrow"/>
                <w:sz w:val="20"/>
                <w:szCs w:val="20"/>
              </w:rPr>
              <w:t>tofacitinib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 adequate response to treatment is defined as:</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 ESR no greater than 25 mm per hour or a CRP level no greater than 15 mg per L or either marker reduced by at least 20% from baseline;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 either of the following:</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 a reduction in the total active (swollen and tender) joint count by at least 50% from baseline, where baseline is at least 20 active joints; 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(b) a reduction in the number of the following active joints, from at least 4, by at least 50%:</w:t>
            </w:r>
          </w:p>
          <w:p w:rsidR="00695BD5" w:rsidRPr="006B7CC0" w:rsidRDefault="00695BD5" w:rsidP="00803637">
            <w:pPr>
              <w:widowControl/>
              <w:ind w:left="720"/>
              <w:rPr>
                <w:rFonts w:ascii="Arial Narrow" w:hAnsi="Arial Narrow"/>
                <w:sz w:val="20"/>
                <w:szCs w:val="20"/>
              </w:rPr>
            </w:pPr>
            <w:r w:rsidRPr="006B7CC0">
              <w:rPr>
                <w:rFonts w:ascii="Arial Narrow" w:hAnsi="Arial Narrow"/>
                <w:sz w:val="20"/>
                <w:szCs w:val="20"/>
              </w:rPr>
              <w:t>(</w:t>
            </w:r>
            <w:proofErr w:type="spellStart"/>
            <w:r w:rsidRPr="006B7CC0">
              <w:rPr>
                <w:rFonts w:ascii="Arial Narrow" w:hAnsi="Arial Narrow"/>
                <w:sz w:val="20"/>
                <w:szCs w:val="20"/>
              </w:rPr>
              <w:t>i</w:t>
            </w:r>
            <w:proofErr w:type="spellEnd"/>
            <w:r w:rsidRPr="006B7CC0">
              <w:rPr>
                <w:rFonts w:ascii="Arial Narrow" w:hAnsi="Arial Narrow"/>
                <w:sz w:val="20"/>
                <w:szCs w:val="20"/>
              </w:rPr>
              <w:t>) elbow, wrist, knee and/or ankle (assessed as swollen and tender); and/or</w:t>
            </w:r>
          </w:p>
          <w:p w:rsidR="00695BD5" w:rsidRPr="006B7CC0" w:rsidRDefault="00695BD5" w:rsidP="00803637">
            <w:pPr>
              <w:widowControl/>
              <w:ind w:left="720"/>
              <w:rPr>
                <w:rFonts w:ascii="Arial Narrow" w:hAnsi="Arial Narrow"/>
                <w:sz w:val="20"/>
                <w:szCs w:val="20"/>
              </w:rPr>
            </w:pPr>
            <w:r w:rsidRPr="006B7CC0">
              <w:rPr>
                <w:rFonts w:ascii="Arial Narrow" w:hAnsi="Arial Narrow"/>
                <w:sz w:val="20"/>
                <w:szCs w:val="20"/>
              </w:rPr>
              <w:t xml:space="preserve">(ii) </w:t>
            </w:r>
            <w:proofErr w:type="gramStart"/>
            <w:r w:rsidRPr="006B7CC0">
              <w:rPr>
                <w:rFonts w:ascii="Arial Narrow" w:hAnsi="Arial Narrow"/>
                <w:sz w:val="20"/>
                <w:szCs w:val="20"/>
              </w:rPr>
              <w:t>shoulder</w:t>
            </w:r>
            <w:proofErr w:type="gramEnd"/>
            <w:r w:rsidRPr="006B7CC0">
              <w:rPr>
                <w:rFonts w:ascii="Arial Narrow" w:hAnsi="Arial Narrow"/>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authority application must be made in writing and must include: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(1) completed authority prescription form(s); 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(2) </w:t>
            </w:r>
            <w:proofErr w:type="gramStart"/>
            <w:r w:rsidRPr="006B7CC0">
              <w:rPr>
                <w:rFonts w:ascii="Arial Narrow" w:hAnsi="Arial Narrow"/>
                <w:sz w:val="20"/>
                <w:szCs w:val="20"/>
              </w:rPr>
              <w:t>a</w:t>
            </w:r>
            <w:proofErr w:type="gramEnd"/>
            <w:r w:rsidRPr="006B7CC0">
              <w:rPr>
                <w:rFonts w:ascii="Arial Narrow" w:hAnsi="Arial Narrow"/>
                <w:sz w:val="20"/>
                <w:szCs w:val="20"/>
              </w:rPr>
              <w:t xml:space="preserve"> completed Rheumatoid Arthritis PBS Authority Application - Supporting Information Form.</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All applications for continuing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must include a measurement of response to the prior course of therapy. This assessment must be submitted no later than 4 weeks from the cessation of that treatment course. If the application is the first application for continuing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it must be accompanied by an assessment of response to a minimum of 12 weeks of treatment with an initial treatment course.</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Where a response assessment is not undertaken and submitted within these timeframes, the patient will be deemed to have failed to respond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If a patient fails to demonstrate a response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under this restriction they will not be eligible to receive further PBS-subsidised treatment with this drug for this condition.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Administrative advice:</w:t>
            </w:r>
          </w:p>
        </w:tc>
        <w:tc>
          <w:tcPr>
            <w:tcW w:w="6804" w:type="dxa"/>
            <w:gridSpan w:val="6"/>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If a patient fails to demonstrate a response to treatment with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under this restriction they will not be eligible to receive further PBS-subsidised treatment with this drug for this condition.</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Any queries concerning the arrangements to prescribe may be directed to the Department of Human Services on 1800 700 270 (hours of operation 8 a.m. to 5 p.m. EST Monday to Friday).</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Applications for authority to prescribe should be forwarded to:</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Department of Human Services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Complex Drugs</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Reply Paid 9826</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HOBART TAS 7001</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number of repeats may be authorised.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No increase in the maximum quantity or number of units may be authorised.</w:t>
            </w:r>
          </w:p>
        </w:tc>
      </w:tr>
    </w:tbl>
    <w:p w:rsidR="00695BD5" w:rsidRPr="006B7CC0" w:rsidRDefault="00695BD5" w:rsidP="00695BD5">
      <w:pPr>
        <w:widowControl/>
        <w:rPr>
          <w:rFonts w:ascii="Arial Narrow" w:hAnsi="Arial Narrow"/>
          <w:sz w:val="20"/>
          <w:szCs w:val="20"/>
        </w:rPr>
      </w:pPr>
    </w:p>
    <w:p w:rsidR="00695BD5" w:rsidRPr="006B7CC0" w:rsidRDefault="00695BD5" w:rsidP="00695BD5">
      <w:pPr>
        <w:widowControl/>
        <w:jc w:val="left"/>
        <w:rPr>
          <w:rFonts w:ascii="Arial Narrow" w:hAnsi="Arial Narrow"/>
          <w:sz w:val="20"/>
          <w:szCs w:val="20"/>
        </w:rPr>
      </w:pPr>
      <w:r w:rsidRPr="006B7CC0">
        <w:rPr>
          <w:rFonts w:ascii="Arial Narrow" w:hAnsi="Arial Narrow"/>
          <w:sz w:val="20"/>
          <w:szCs w:val="20"/>
        </w:rPr>
        <w:br w:type="page"/>
      </w:r>
    </w:p>
    <w:tbl>
      <w:tblPr>
        <w:tblW w:w="9214" w:type="dxa"/>
        <w:tblInd w:w="108" w:type="dxa"/>
        <w:tblLayout w:type="fixed"/>
        <w:tblLook w:val="0000" w:firstRow="0" w:lastRow="0" w:firstColumn="0" w:lastColumn="0" w:noHBand="0" w:noVBand="0"/>
      </w:tblPr>
      <w:tblGrid>
        <w:gridCol w:w="2410"/>
        <w:gridCol w:w="6804"/>
      </w:tblGrid>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lastRenderedPageBreak/>
              <w:t>Category / Program</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GENERAL – General Schedule (Code GE)</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type: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Dental  </w:t>
            </w:r>
            <w:r w:rsidRPr="006B7CC0">
              <w:rPr>
                <w:rFonts w:ascii="Arial Narrow" w:hAnsi="Arial Narrow"/>
                <w:sz w:val="20"/>
                <w:szCs w:val="20"/>
              </w:rPr>
              <w:fldChar w:fldCharType="begin">
                <w:ffData>
                  <w:name w:val=""/>
                  <w:enabled/>
                  <w:calcOnExit w:val="0"/>
                  <w:checkBox>
                    <w:sizeAuto/>
                    <w:default w:val="1"/>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Medical Practitioners  </w:t>
            </w:r>
            <w:r w:rsidRPr="006B7CC0">
              <w:rPr>
                <w:rFonts w:ascii="Arial Narrow" w:hAnsi="Arial Narrow"/>
                <w:sz w:val="20"/>
                <w:szCs w:val="20"/>
              </w:rPr>
              <w:fldChar w:fldCharType="begin">
                <w:ffData>
                  <w:name w:val="Check3"/>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Nurse practitioners  </w:t>
            </w: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 xml:space="preserve">Optometrists </w:t>
            </w: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Midwives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Condition:</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PBS Indication:</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Severe active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phase:</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Continuing treatment – balance of supply</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Restriction Level / Method:</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1"/>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Restricted benefit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In Writing</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3"/>
                  <w:enabled/>
                  <w:calcOnExit w:val="0"/>
                  <w:checkBox>
                    <w:sizeAuto/>
                    <w:default w:val="1"/>
                  </w:checkBox>
                </w:ffData>
              </w:fldChar>
            </w:r>
            <w:r w:rsidRPr="006B7CC0">
              <w:rPr>
                <w:rFonts w:ascii="Arial Narrow" w:hAnsi="Arial Narrow"/>
                <w:sz w:val="20"/>
                <w:szCs w:val="20"/>
              </w:rPr>
              <w:instrText xml:space="preserve"> </w:instrText>
            </w:r>
            <w:bookmarkStart w:id="15" w:name="Check3"/>
            <w:r w:rsidRPr="006B7CC0">
              <w:rPr>
                <w:rFonts w:ascii="Arial Narrow" w:hAnsi="Arial Narrow"/>
                <w:sz w:val="20"/>
                <w:szCs w:val="20"/>
              </w:rPr>
              <w:instrText xml:space="preserve">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bookmarkEnd w:id="15"/>
            <w:r w:rsidRPr="006B7CC0">
              <w:rPr>
                <w:rFonts w:ascii="Arial Narrow" w:hAnsi="Arial Narrow"/>
                <w:sz w:val="20"/>
                <w:szCs w:val="20"/>
              </w:rPr>
              <w:t>Authority Required - Telephone</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Emergency</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Authority Required - Electronic</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fldChar w:fldCharType="begin">
                <w:ffData>
                  <w:name w:val="Check5"/>
                  <w:enabled/>
                  <w:calcOnExit w:val="0"/>
                  <w:checkBox>
                    <w:sizeAuto/>
                    <w:default w:val="0"/>
                  </w:checkBox>
                </w:ffData>
              </w:fldChar>
            </w:r>
            <w:r w:rsidRPr="006B7CC0">
              <w:rPr>
                <w:rFonts w:ascii="Arial Narrow" w:hAnsi="Arial Narrow"/>
                <w:sz w:val="20"/>
                <w:szCs w:val="20"/>
              </w:rPr>
              <w:instrText xml:space="preserve"> FORMCHECKBOX </w:instrText>
            </w:r>
            <w:r w:rsidR="002F67F9">
              <w:rPr>
                <w:rFonts w:ascii="Arial Narrow" w:hAnsi="Arial Narrow"/>
                <w:sz w:val="20"/>
                <w:szCs w:val="20"/>
              </w:rPr>
            </w:r>
            <w:r w:rsidR="002F67F9">
              <w:rPr>
                <w:rFonts w:ascii="Arial Narrow" w:hAnsi="Arial Narrow"/>
                <w:sz w:val="20"/>
                <w:szCs w:val="20"/>
              </w:rPr>
              <w:fldChar w:fldCharType="separate"/>
            </w:r>
            <w:r w:rsidRPr="006B7CC0">
              <w:rPr>
                <w:rFonts w:ascii="Arial Narrow" w:hAnsi="Arial Narrow"/>
                <w:sz w:val="20"/>
                <w:szCs w:val="20"/>
              </w:rPr>
              <w:fldChar w:fldCharType="end"/>
            </w:r>
            <w:r w:rsidRPr="006B7CC0">
              <w:rPr>
                <w:rFonts w:ascii="Arial Narrow" w:hAnsi="Arial Narrow"/>
                <w:sz w:val="20"/>
                <w:szCs w:val="20"/>
              </w:rPr>
              <w:t>Streamlined</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Clinical criteria:</w:t>
            </w:r>
          </w:p>
          <w:p w:rsidR="00695BD5" w:rsidRPr="006B7CC0" w:rsidRDefault="00695BD5" w:rsidP="00803637">
            <w:pPr>
              <w:widowControl/>
              <w:rPr>
                <w:rFonts w:ascii="Arial Narrow" w:hAnsi="Arial Narrow"/>
                <w:sz w:val="20"/>
                <w:szCs w:val="20"/>
              </w:rPr>
            </w:pPr>
          </w:p>
          <w:p w:rsidR="00695BD5" w:rsidRPr="006B7CC0" w:rsidRDefault="00695BD5" w:rsidP="00803637">
            <w:pPr>
              <w:widowControl/>
              <w:rPr>
                <w:rFonts w:ascii="Arial Narrow" w:hAnsi="Arial Narrow"/>
                <w:sz w:val="20"/>
                <w:szCs w:val="20"/>
              </w:rPr>
            </w:pP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 xml:space="preserve">Patient must have received insufficient </w:t>
            </w:r>
            <w:proofErr w:type="spellStart"/>
            <w:r w:rsidRPr="006B7CC0">
              <w:rPr>
                <w:rFonts w:ascii="Arial Narrow" w:hAnsi="Arial Narrow"/>
                <w:sz w:val="20"/>
                <w:szCs w:val="20"/>
              </w:rPr>
              <w:t>sarilumab</w:t>
            </w:r>
            <w:proofErr w:type="spellEnd"/>
            <w:r w:rsidRPr="006B7CC0">
              <w:rPr>
                <w:rFonts w:ascii="Arial Narrow" w:hAnsi="Arial Narrow"/>
                <w:sz w:val="20"/>
                <w:szCs w:val="20"/>
              </w:rPr>
              <w:t xml:space="preserve"> therapy under the Continuing Treatment restriction to complete 24 weeks treatment,</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AND</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The treatment must provide no more than the balance of up to 24 weeks treatment available under the above restriction.</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Treatment criteria:</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sz w:val="20"/>
                <w:szCs w:val="20"/>
              </w:rPr>
              <w:t>Must be treated by a rheumatologist; OR;</w:t>
            </w:r>
          </w:p>
          <w:p w:rsidR="00695BD5" w:rsidRPr="006B7CC0" w:rsidRDefault="00695BD5" w:rsidP="00803637">
            <w:pPr>
              <w:widowControl/>
              <w:rPr>
                <w:rFonts w:ascii="Arial Narrow" w:hAnsi="Arial Narrow"/>
                <w:sz w:val="20"/>
                <w:szCs w:val="20"/>
              </w:rPr>
            </w:pPr>
            <w:r w:rsidRPr="006B7CC0">
              <w:rPr>
                <w:rFonts w:ascii="Arial Narrow" w:hAnsi="Arial Narrow"/>
                <w:sz w:val="20"/>
                <w:szCs w:val="20"/>
              </w:rPr>
              <w:t>Must be treated by a clinical immunologist with expertise in the management of rheumatoid arthritis.</w:t>
            </w:r>
          </w:p>
        </w:tc>
      </w:tr>
      <w:tr w:rsidR="00695BD5" w:rsidRPr="006B7CC0"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Prescriber Instructions:</w:t>
            </w:r>
          </w:p>
        </w:tc>
        <w:tc>
          <w:tcPr>
            <w:tcW w:w="6804"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sz w:val="20"/>
                <w:szCs w:val="20"/>
              </w:rPr>
            </w:pPr>
            <w:r w:rsidRPr="006B7CC0">
              <w:rPr>
                <w:rFonts w:ascii="Arial Narrow" w:hAnsi="Arial Narrow"/>
                <w:i/>
                <w:sz w:val="20"/>
                <w:szCs w:val="20"/>
              </w:rPr>
              <w:t>The 150mg strength is for dose reduction purposes.</w:t>
            </w:r>
          </w:p>
        </w:tc>
      </w:tr>
      <w:tr w:rsidR="00695BD5" w:rsidRPr="00006435" w:rsidTr="00803637">
        <w:trPr>
          <w:cantSplit/>
          <w:trHeight w:val="360"/>
        </w:trPr>
        <w:tc>
          <w:tcPr>
            <w:tcW w:w="2410" w:type="dxa"/>
            <w:tcBorders>
              <w:top w:val="single" w:sz="4" w:space="0" w:color="auto"/>
              <w:left w:val="single" w:sz="4" w:space="0" w:color="auto"/>
              <w:bottom w:val="single" w:sz="4" w:space="0" w:color="auto"/>
              <w:right w:val="single" w:sz="4" w:space="0" w:color="auto"/>
            </w:tcBorders>
          </w:tcPr>
          <w:p w:rsidR="00695BD5" w:rsidRPr="006B7CC0" w:rsidRDefault="00695BD5" w:rsidP="00803637">
            <w:pPr>
              <w:widowControl/>
              <w:rPr>
                <w:rFonts w:ascii="Arial Narrow" w:hAnsi="Arial Narrow"/>
                <w:b/>
                <w:sz w:val="20"/>
                <w:szCs w:val="20"/>
              </w:rPr>
            </w:pPr>
            <w:r w:rsidRPr="006B7CC0">
              <w:rPr>
                <w:rFonts w:ascii="Arial Narrow" w:hAnsi="Arial Narrow"/>
                <w:b/>
                <w:sz w:val="20"/>
                <w:szCs w:val="20"/>
              </w:rPr>
              <w:t>Administrative advice:</w:t>
            </w:r>
          </w:p>
        </w:tc>
        <w:tc>
          <w:tcPr>
            <w:tcW w:w="6804" w:type="dxa"/>
            <w:tcBorders>
              <w:top w:val="single" w:sz="4" w:space="0" w:color="auto"/>
              <w:left w:val="single" w:sz="4" w:space="0" w:color="auto"/>
              <w:bottom w:val="single" w:sz="4" w:space="0" w:color="auto"/>
              <w:right w:val="single" w:sz="4" w:space="0" w:color="auto"/>
            </w:tcBorders>
          </w:tcPr>
          <w:p w:rsidR="00695BD5" w:rsidRPr="00006435" w:rsidRDefault="00695BD5" w:rsidP="00803637">
            <w:pPr>
              <w:widowControl/>
              <w:rPr>
                <w:rFonts w:ascii="Arial Narrow" w:hAnsi="Arial Narrow"/>
                <w:sz w:val="20"/>
                <w:szCs w:val="20"/>
              </w:rPr>
            </w:pPr>
            <w:r w:rsidRPr="006B7CC0">
              <w:rPr>
                <w:rFonts w:ascii="Arial Narrow" w:hAnsi="Arial Narrow"/>
                <w:sz w:val="20"/>
                <w:szCs w:val="20"/>
              </w:rPr>
              <w:t>Authority approval for sufficient therapy to complete a maximum of 24 weeks of treatment may be requested by telephone by contacting the Department of Human Services on 1800 700 270 (hours of operation 8 a.m. to 5 p.m. EST Monday to Friday).</w:t>
            </w:r>
          </w:p>
        </w:tc>
      </w:tr>
    </w:tbl>
    <w:p w:rsidR="00FE33C4" w:rsidRPr="00FE33C4" w:rsidRDefault="00FE33C4" w:rsidP="00FE33C4">
      <w:pPr>
        <w:numPr>
          <w:ilvl w:val="0"/>
          <w:numId w:val="3"/>
        </w:numPr>
        <w:spacing w:before="240" w:after="120"/>
        <w:outlineLvl w:val="0"/>
        <w:rPr>
          <w:b/>
          <w:sz w:val="32"/>
        </w:rPr>
      </w:pPr>
      <w:r w:rsidRPr="00FE33C4">
        <w:rPr>
          <w:b/>
          <w:sz w:val="32"/>
        </w:rPr>
        <w:t>Context for Decision</w:t>
      </w:r>
    </w:p>
    <w:p w:rsidR="00FE33C4" w:rsidRPr="00E227AC" w:rsidRDefault="00FE33C4" w:rsidP="00013EB1">
      <w:pPr>
        <w:ind w:left="720"/>
      </w:pPr>
      <w:r w:rsidRPr="00FE33C4">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E227AC">
        <w:t>nt review of the PBAC decision.</w:t>
      </w:r>
    </w:p>
    <w:p w:rsidR="00FE33C4" w:rsidRPr="00FE33C4" w:rsidRDefault="00FE33C4" w:rsidP="00FE33C4">
      <w:pPr>
        <w:numPr>
          <w:ilvl w:val="0"/>
          <w:numId w:val="3"/>
        </w:numPr>
        <w:spacing w:before="240" w:after="120"/>
        <w:outlineLvl w:val="0"/>
        <w:rPr>
          <w:b/>
          <w:sz w:val="32"/>
        </w:rPr>
      </w:pPr>
      <w:r w:rsidRPr="00FE33C4">
        <w:rPr>
          <w:b/>
          <w:sz w:val="32"/>
        </w:rPr>
        <w:t>Sponsor’s Comment</w:t>
      </w:r>
    </w:p>
    <w:p w:rsidR="00FE33C4" w:rsidRPr="00FE33C4" w:rsidRDefault="00FE33C4" w:rsidP="00013EB1">
      <w:pPr>
        <w:spacing w:after="120"/>
        <w:ind w:firstLine="720"/>
        <w:rPr>
          <w:bCs/>
        </w:rPr>
      </w:pPr>
      <w:r w:rsidRPr="00FE33C4">
        <w:rPr>
          <w:bCs/>
        </w:rPr>
        <w:t>The sponsor had no comment.</w:t>
      </w:r>
    </w:p>
    <w:p w:rsidR="00FE33C4" w:rsidRPr="00FE33C4" w:rsidRDefault="00FE33C4" w:rsidP="004D1D20">
      <w:pPr>
        <w:rPr>
          <w:bCs/>
        </w:rPr>
      </w:pPr>
    </w:p>
    <w:sectPr w:rsidR="00FE33C4" w:rsidRPr="00FE33C4"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F9" w:rsidRDefault="002F67F9" w:rsidP="00124A51">
      <w:r>
        <w:separator/>
      </w:r>
    </w:p>
    <w:p w:rsidR="002F67F9" w:rsidRDefault="002F67F9"/>
  </w:endnote>
  <w:endnote w:type="continuationSeparator" w:id="0">
    <w:p w:rsidR="002F67F9" w:rsidRDefault="002F67F9" w:rsidP="00124A51">
      <w:r>
        <w:continuationSeparator/>
      </w:r>
    </w:p>
    <w:p w:rsidR="002F67F9" w:rsidRDefault="002F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F9" w:rsidRDefault="002F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F9" w:rsidRPr="00F3476E" w:rsidRDefault="002F67F9" w:rsidP="00B1100E">
    <w:pPr>
      <w:pStyle w:val="Footer"/>
      <w:jc w:val="center"/>
      <w:rPr>
        <w:b/>
        <w:szCs w:val="20"/>
      </w:rPr>
    </w:pPr>
  </w:p>
  <w:p w:rsidR="002F67F9" w:rsidRPr="00620A0A" w:rsidRDefault="002F67F9" w:rsidP="007454EA">
    <w:pPr>
      <w:pStyle w:val="Footer"/>
      <w:ind w:left="360"/>
      <w:jc w:val="center"/>
      <w:rPr>
        <w:b/>
        <w:szCs w:val="24"/>
      </w:rPr>
    </w:pPr>
    <w:r w:rsidRPr="00620A0A">
      <w:rPr>
        <w:b/>
        <w:szCs w:val="24"/>
      </w:rPr>
      <w:fldChar w:fldCharType="begin"/>
    </w:r>
    <w:r w:rsidRPr="00620A0A">
      <w:rPr>
        <w:b/>
        <w:szCs w:val="24"/>
      </w:rPr>
      <w:instrText xml:space="preserve"> PAGE   \* MERGEFORMAT </w:instrText>
    </w:r>
    <w:r w:rsidRPr="00620A0A">
      <w:rPr>
        <w:b/>
        <w:szCs w:val="24"/>
      </w:rPr>
      <w:fldChar w:fldCharType="separate"/>
    </w:r>
    <w:r w:rsidR="00650AC2">
      <w:rPr>
        <w:b/>
        <w:noProof/>
        <w:szCs w:val="24"/>
      </w:rPr>
      <w:t>6</w:t>
    </w:r>
    <w:r w:rsidRPr="00620A0A">
      <w:rPr>
        <w:b/>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F9" w:rsidRDefault="002F6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F9" w:rsidRDefault="002F67F9" w:rsidP="00124A51">
      <w:r>
        <w:separator/>
      </w:r>
    </w:p>
    <w:p w:rsidR="002F67F9" w:rsidRDefault="002F67F9"/>
  </w:footnote>
  <w:footnote w:type="continuationSeparator" w:id="0">
    <w:p w:rsidR="002F67F9" w:rsidRDefault="002F67F9" w:rsidP="00124A51">
      <w:r>
        <w:continuationSeparator/>
      </w:r>
    </w:p>
    <w:p w:rsidR="002F67F9" w:rsidRDefault="002F67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F9" w:rsidRDefault="002F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F9" w:rsidRPr="00620A0A" w:rsidRDefault="002F67F9" w:rsidP="007454EA">
    <w:pPr>
      <w:pStyle w:val="Header"/>
      <w:ind w:left="360"/>
      <w:jc w:val="center"/>
      <w:rPr>
        <w:i/>
        <w:color w:val="808080"/>
        <w:szCs w:val="24"/>
      </w:rPr>
    </w:pPr>
    <w:r>
      <w:rPr>
        <w:i/>
        <w:color w:val="808080"/>
        <w:szCs w:val="24"/>
      </w:rPr>
      <w:t>Public Summary Document</w:t>
    </w:r>
    <w:r w:rsidRPr="00620A0A">
      <w:rPr>
        <w:i/>
        <w:color w:val="808080"/>
        <w:szCs w:val="24"/>
      </w:rPr>
      <w:t xml:space="preserve"> – November 2018 PBAC Meeting</w:t>
    </w:r>
  </w:p>
  <w:p w:rsidR="002F67F9" w:rsidRDefault="002F67F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F9" w:rsidRDefault="002F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A1204"/>
    <w:multiLevelType w:val="hybridMultilevel"/>
    <w:tmpl w:val="C9ECE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956D30"/>
    <w:multiLevelType w:val="hybridMultilevel"/>
    <w:tmpl w:val="2AFC8468"/>
    <w:lvl w:ilvl="0" w:tplc="79BE154A">
      <w:numFmt w:val="bullet"/>
      <w:lvlText w:val="-"/>
      <w:lvlJc w:val="left"/>
      <w:pPr>
        <w:ind w:left="346" w:hanging="360"/>
      </w:pPr>
      <w:rPr>
        <w:rFonts w:ascii="Arial Narrow" w:eastAsia="Times New Roman" w:hAnsi="Arial Narrow" w:cs="Arial" w:hint="default"/>
      </w:rPr>
    </w:lvl>
    <w:lvl w:ilvl="1" w:tplc="0C090003" w:tentative="1">
      <w:start w:val="1"/>
      <w:numFmt w:val="bullet"/>
      <w:lvlText w:val="o"/>
      <w:lvlJc w:val="left"/>
      <w:pPr>
        <w:ind w:left="1066" w:hanging="360"/>
      </w:pPr>
      <w:rPr>
        <w:rFonts w:ascii="Courier New" w:hAnsi="Courier New" w:cs="Courier New" w:hint="default"/>
      </w:rPr>
    </w:lvl>
    <w:lvl w:ilvl="2" w:tplc="0C090005" w:tentative="1">
      <w:start w:val="1"/>
      <w:numFmt w:val="bullet"/>
      <w:lvlText w:val=""/>
      <w:lvlJc w:val="left"/>
      <w:pPr>
        <w:ind w:left="1786" w:hanging="360"/>
      </w:pPr>
      <w:rPr>
        <w:rFonts w:ascii="Wingdings" w:hAnsi="Wingdings" w:hint="default"/>
      </w:rPr>
    </w:lvl>
    <w:lvl w:ilvl="3" w:tplc="0C090001" w:tentative="1">
      <w:start w:val="1"/>
      <w:numFmt w:val="bullet"/>
      <w:lvlText w:val=""/>
      <w:lvlJc w:val="left"/>
      <w:pPr>
        <w:ind w:left="2506" w:hanging="360"/>
      </w:pPr>
      <w:rPr>
        <w:rFonts w:ascii="Symbol" w:hAnsi="Symbol" w:hint="default"/>
      </w:rPr>
    </w:lvl>
    <w:lvl w:ilvl="4" w:tplc="0C090003" w:tentative="1">
      <w:start w:val="1"/>
      <w:numFmt w:val="bullet"/>
      <w:lvlText w:val="o"/>
      <w:lvlJc w:val="left"/>
      <w:pPr>
        <w:ind w:left="3226" w:hanging="360"/>
      </w:pPr>
      <w:rPr>
        <w:rFonts w:ascii="Courier New" w:hAnsi="Courier New" w:cs="Courier New" w:hint="default"/>
      </w:rPr>
    </w:lvl>
    <w:lvl w:ilvl="5" w:tplc="0C090005" w:tentative="1">
      <w:start w:val="1"/>
      <w:numFmt w:val="bullet"/>
      <w:lvlText w:val=""/>
      <w:lvlJc w:val="left"/>
      <w:pPr>
        <w:ind w:left="3946" w:hanging="360"/>
      </w:pPr>
      <w:rPr>
        <w:rFonts w:ascii="Wingdings" w:hAnsi="Wingdings" w:hint="default"/>
      </w:rPr>
    </w:lvl>
    <w:lvl w:ilvl="6" w:tplc="0C090001" w:tentative="1">
      <w:start w:val="1"/>
      <w:numFmt w:val="bullet"/>
      <w:lvlText w:val=""/>
      <w:lvlJc w:val="left"/>
      <w:pPr>
        <w:ind w:left="4666" w:hanging="360"/>
      </w:pPr>
      <w:rPr>
        <w:rFonts w:ascii="Symbol" w:hAnsi="Symbol" w:hint="default"/>
      </w:rPr>
    </w:lvl>
    <w:lvl w:ilvl="7" w:tplc="0C090003" w:tentative="1">
      <w:start w:val="1"/>
      <w:numFmt w:val="bullet"/>
      <w:lvlText w:val="o"/>
      <w:lvlJc w:val="left"/>
      <w:pPr>
        <w:ind w:left="5386" w:hanging="360"/>
      </w:pPr>
      <w:rPr>
        <w:rFonts w:ascii="Courier New" w:hAnsi="Courier New" w:cs="Courier New" w:hint="default"/>
      </w:rPr>
    </w:lvl>
    <w:lvl w:ilvl="8" w:tplc="0C090005" w:tentative="1">
      <w:start w:val="1"/>
      <w:numFmt w:val="bullet"/>
      <w:lvlText w:val=""/>
      <w:lvlJc w:val="left"/>
      <w:pPr>
        <w:ind w:left="6106" w:hanging="360"/>
      </w:pPr>
      <w:rPr>
        <w:rFonts w:ascii="Wingdings" w:hAnsi="Wingdings" w:hint="default"/>
      </w:rPr>
    </w:lvl>
  </w:abstractNum>
  <w:abstractNum w:abstractNumId="5" w15:restartNumberingAfterBreak="0">
    <w:nsid w:val="14A24FB7"/>
    <w:multiLevelType w:val="hybridMultilevel"/>
    <w:tmpl w:val="B9569C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538476E"/>
    <w:multiLevelType w:val="hybridMultilevel"/>
    <w:tmpl w:val="35DA5050"/>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74A67"/>
    <w:multiLevelType w:val="hybridMultilevel"/>
    <w:tmpl w:val="35DA5050"/>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C0E74"/>
    <w:multiLevelType w:val="hybridMultilevel"/>
    <w:tmpl w:val="DEF62D08"/>
    <w:lvl w:ilvl="0" w:tplc="D6E0CD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1E23BD"/>
    <w:multiLevelType w:val="hybridMultilevel"/>
    <w:tmpl w:val="EEFCFE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6A182B"/>
    <w:multiLevelType w:val="hybridMultilevel"/>
    <w:tmpl w:val="35DA5050"/>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B0416"/>
    <w:multiLevelType w:val="hybridMultilevel"/>
    <w:tmpl w:val="D5E2F9A0"/>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1B418B"/>
    <w:multiLevelType w:val="hybridMultilevel"/>
    <w:tmpl w:val="9B962F34"/>
    <w:lvl w:ilvl="0" w:tplc="2A9C2B8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29427979"/>
    <w:multiLevelType w:val="hybridMultilevel"/>
    <w:tmpl w:val="D6D8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6407E"/>
    <w:multiLevelType w:val="hybridMultilevel"/>
    <w:tmpl w:val="A1909136"/>
    <w:lvl w:ilvl="0" w:tplc="D256E0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8948B4"/>
    <w:multiLevelType w:val="hybridMultilevel"/>
    <w:tmpl w:val="BCE633D8"/>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D5972"/>
    <w:multiLevelType w:val="hybridMultilevel"/>
    <w:tmpl w:val="EEFCFE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71373E"/>
    <w:multiLevelType w:val="hybridMultilevel"/>
    <w:tmpl w:val="2ECC8E74"/>
    <w:lvl w:ilvl="0" w:tplc="AAC4C16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7C676C"/>
    <w:multiLevelType w:val="hybridMultilevel"/>
    <w:tmpl w:val="3400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C262D2"/>
    <w:multiLevelType w:val="hybridMultilevel"/>
    <w:tmpl w:val="DEF62D08"/>
    <w:lvl w:ilvl="0" w:tplc="D6E0CD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7C34E2"/>
    <w:multiLevelType w:val="hybridMultilevel"/>
    <w:tmpl w:val="27845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B1EA6"/>
    <w:multiLevelType w:val="hybridMultilevel"/>
    <w:tmpl w:val="0BB2F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B1E9B"/>
    <w:multiLevelType w:val="hybridMultilevel"/>
    <w:tmpl w:val="3776F3AA"/>
    <w:lvl w:ilvl="0" w:tplc="DD882F26">
      <w:start w:val="8"/>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11DDD"/>
    <w:multiLevelType w:val="hybridMultilevel"/>
    <w:tmpl w:val="A58A4BA0"/>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081A08"/>
    <w:multiLevelType w:val="hybridMultilevel"/>
    <w:tmpl w:val="C8947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07A9E"/>
    <w:multiLevelType w:val="hybridMultilevel"/>
    <w:tmpl w:val="88B03D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E60F5"/>
    <w:multiLevelType w:val="hybridMultilevel"/>
    <w:tmpl w:val="A74A564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22542"/>
    <w:multiLevelType w:val="hybridMultilevel"/>
    <w:tmpl w:val="152A5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52572A"/>
    <w:multiLevelType w:val="hybridMultilevel"/>
    <w:tmpl w:val="E258E202"/>
    <w:lvl w:ilvl="0" w:tplc="D256E0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670A12"/>
    <w:multiLevelType w:val="hybridMultilevel"/>
    <w:tmpl w:val="184A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2E5F51"/>
    <w:multiLevelType w:val="hybridMultilevel"/>
    <w:tmpl w:val="CC5C8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5045FC"/>
    <w:multiLevelType w:val="hybridMultilevel"/>
    <w:tmpl w:val="3FA2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D05BEF"/>
    <w:multiLevelType w:val="hybridMultilevel"/>
    <w:tmpl w:val="BA4EC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F8596D"/>
    <w:multiLevelType w:val="hybridMultilevel"/>
    <w:tmpl w:val="0BAAC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D7D6BF8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numFmt w:val="bullet"/>
      <w:lvlText w:val="-"/>
      <w:lvlJc w:val="left"/>
      <w:pPr>
        <w:ind w:left="720" w:hanging="720"/>
      </w:pPr>
      <w:rPr>
        <w:rFonts w:ascii="Calibri" w:eastAsia="Calibri" w:hAnsi="Calibri"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A0031A"/>
    <w:multiLevelType w:val="hybridMultilevel"/>
    <w:tmpl w:val="40160ED4"/>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F05CA9"/>
    <w:multiLevelType w:val="hybridMultilevel"/>
    <w:tmpl w:val="9AF4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8"/>
  </w:num>
  <w:num w:numId="4">
    <w:abstractNumId w:val="22"/>
  </w:num>
  <w:num w:numId="5">
    <w:abstractNumId w:val="16"/>
  </w:num>
  <w:num w:numId="6">
    <w:abstractNumId w:val="39"/>
  </w:num>
  <w:num w:numId="7">
    <w:abstractNumId w:val="11"/>
  </w:num>
  <w:num w:numId="8">
    <w:abstractNumId w:val="13"/>
  </w:num>
  <w:num w:numId="9">
    <w:abstractNumId w:val="4"/>
  </w:num>
  <w:num w:numId="10">
    <w:abstractNumId w:val="6"/>
  </w:num>
  <w:num w:numId="11">
    <w:abstractNumId w:val="10"/>
  </w:num>
  <w:num w:numId="12">
    <w:abstractNumId w:val="7"/>
  </w:num>
  <w:num w:numId="13">
    <w:abstractNumId w:val="17"/>
  </w:num>
  <w:num w:numId="14">
    <w:abstractNumId w:val="24"/>
  </w:num>
  <w:num w:numId="15">
    <w:abstractNumId w:val="26"/>
  </w:num>
  <w:num w:numId="16">
    <w:abstractNumId w:val="33"/>
  </w:num>
  <w:num w:numId="17">
    <w:abstractNumId w:val="35"/>
  </w:num>
  <w:num w:numId="18">
    <w:abstractNumId w:val="34"/>
  </w:num>
  <w:num w:numId="19">
    <w:abstractNumId w:val="30"/>
  </w:num>
  <w:num w:numId="20">
    <w:abstractNumId w:val="27"/>
  </w:num>
  <w:num w:numId="21">
    <w:abstractNumId w:val="31"/>
  </w:num>
  <w:num w:numId="22">
    <w:abstractNumId w:val="37"/>
  </w:num>
  <w:num w:numId="23">
    <w:abstractNumId w:val="40"/>
  </w:num>
  <w:num w:numId="24">
    <w:abstractNumId w:val="38"/>
    <w:lvlOverride w:ilvl="0">
      <w:startOverride w:val="3"/>
    </w:lvlOverride>
    <w:lvlOverride w:ilvl="1">
      <w:startOverride w:val="2"/>
    </w:lvlOverride>
  </w:num>
  <w:num w:numId="25">
    <w:abstractNumId w:val="23"/>
  </w:num>
  <w:num w:numId="26">
    <w:abstractNumId w:val="25"/>
  </w:num>
  <w:num w:numId="27">
    <w:abstractNumId w:val="9"/>
  </w:num>
  <w:num w:numId="28">
    <w:abstractNumId w:val="36"/>
  </w:num>
  <w:num w:numId="29">
    <w:abstractNumId w:val="19"/>
  </w:num>
  <w:num w:numId="30">
    <w:abstractNumId w:val="14"/>
  </w:num>
  <w:num w:numId="31">
    <w:abstractNumId w:val="18"/>
  </w:num>
  <w:num w:numId="32">
    <w:abstractNumId w:val="15"/>
  </w:num>
  <w:num w:numId="33">
    <w:abstractNumId w:val="20"/>
  </w:num>
  <w:num w:numId="34">
    <w:abstractNumId w:val="32"/>
  </w:num>
  <w:num w:numId="35">
    <w:abstractNumId w:val="3"/>
  </w:num>
  <w:num w:numId="36">
    <w:abstractNumId w:val="5"/>
  </w:num>
  <w:num w:numId="37">
    <w:abstractNumId w:val="28"/>
  </w:num>
  <w:num w:numId="38">
    <w:abstractNumId w:val="29"/>
  </w:num>
  <w:num w:numId="39">
    <w:abstractNumId w:val="2"/>
  </w:num>
  <w:num w:numId="40">
    <w:abstractNumId w:val="0"/>
  </w:num>
  <w:num w:numId="41">
    <w:abstractNumId w:val="12"/>
  </w:num>
  <w:num w:numId="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MX"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4096" w:nlCheck="1" w:checkStyle="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2E"/>
    <w:rsid w:val="00000790"/>
    <w:rsid w:val="0000099C"/>
    <w:rsid w:val="0000110B"/>
    <w:rsid w:val="00001D00"/>
    <w:rsid w:val="00002420"/>
    <w:rsid w:val="0000287E"/>
    <w:rsid w:val="00003499"/>
    <w:rsid w:val="000039B7"/>
    <w:rsid w:val="00004656"/>
    <w:rsid w:val="00004686"/>
    <w:rsid w:val="00005ECF"/>
    <w:rsid w:val="00005EE5"/>
    <w:rsid w:val="00006435"/>
    <w:rsid w:val="00006E87"/>
    <w:rsid w:val="000102E4"/>
    <w:rsid w:val="00010EDD"/>
    <w:rsid w:val="00011BE1"/>
    <w:rsid w:val="00011F01"/>
    <w:rsid w:val="000123FE"/>
    <w:rsid w:val="00012D0A"/>
    <w:rsid w:val="00013247"/>
    <w:rsid w:val="00013EB1"/>
    <w:rsid w:val="000147E1"/>
    <w:rsid w:val="000154B8"/>
    <w:rsid w:val="00015886"/>
    <w:rsid w:val="000162EF"/>
    <w:rsid w:val="00016B6B"/>
    <w:rsid w:val="00016F1F"/>
    <w:rsid w:val="000170E2"/>
    <w:rsid w:val="000171F6"/>
    <w:rsid w:val="00017AA6"/>
    <w:rsid w:val="0002073F"/>
    <w:rsid w:val="0002081F"/>
    <w:rsid w:val="0002179B"/>
    <w:rsid w:val="0002225F"/>
    <w:rsid w:val="00022EFE"/>
    <w:rsid w:val="00023684"/>
    <w:rsid w:val="00023763"/>
    <w:rsid w:val="00024437"/>
    <w:rsid w:val="000245B8"/>
    <w:rsid w:val="00024744"/>
    <w:rsid w:val="000265B0"/>
    <w:rsid w:val="000270B4"/>
    <w:rsid w:val="000270CF"/>
    <w:rsid w:val="0003084A"/>
    <w:rsid w:val="00030C40"/>
    <w:rsid w:val="00030DF0"/>
    <w:rsid w:val="00031369"/>
    <w:rsid w:val="000320A7"/>
    <w:rsid w:val="000328A7"/>
    <w:rsid w:val="00032CB1"/>
    <w:rsid w:val="00033863"/>
    <w:rsid w:val="0003406A"/>
    <w:rsid w:val="000348F2"/>
    <w:rsid w:val="00034A83"/>
    <w:rsid w:val="00035DC0"/>
    <w:rsid w:val="00036829"/>
    <w:rsid w:val="00036CA7"/>
    <w:rsid w:val="00040507"/>
    <w:rsid w:val="00040895"/>
    <w:rsid w:val="000412D2"/>
    <w:rsid w:val="0004155F"/>
    <w:rsid w:val="00041F00"/>
    <w:rsid w:val="00042DDB"/>
    <w:rsid w:val="00043C37"/>
    <w:rsid w:val="00045017"/>
    <w:rsid w:val="0004535D"/>
    <w:rsid w:val="00045A2B"/>
    <w:rsid w:val="000464DF"/>
    <w:rsid w:val="0004698F"/>
    <w:rsid w:val="000471C2"/>
    <w:rsid w:val="00047485"/>
    <w:rsid w:val="000478B8"/>
    <w:rsid w:val="00050B9A"/>
    <w:rsid w:val="00051F1F"/>
    <w:rsid w:val="00052052"/>
    <w:rsid w:val="00052308"/>
    <w:rsid w:val="00052BB8"/>
    <w:rsid w:val="00052E45"/>
    <w:rsid w:val="0005333D"/>
    <w:rsid w:val="000535D9"/>
    <w:rsid w:val="000539D0"/>
    <w:rsid w:val="00054621"/>
    <w:rsid w:val="000546D7"/>
    <w:rsid w:val="00055269"/>
    <w:rsid w:val="0005593F"/>
    <w:rsid w:val="00056196"/>
    <w:rsid w:val="00056E78"/>
    <w:rsid w:val="00057CC8"/>
    <w:rsid w:val="00060A1F"/>
    <w:rsid w:val="00060A81"/>
    <w:rsid w:val="00060D88"/>
    <w:rsid w:val="00061196"/>
    <w:rsid w:val="000630C9"/>
    <w:rsid w:val="00064A30"/>
    <w:rsid w:val="00064B58"/>
    <w:rsid w:val="00065A47"/>
    <w:rsid w:val="00065F59"/>
    <w:rsid w:val="00066360"/>
    <w:rsid w:val="00066564"/>
    <w:rsid w:val="00067A7B"/>
    <w:rsid w:val="00067E59"/>
    <w:rsid w:val="0007054D"/>
    <w:rsid w:val="00070F2E"/>
    <w:rsid w:val="00071248"/>
    <w:rsid w:val="0007185D"/>
    <w:rsid w:val="00071D1E"/>
    <w:rsid w:val="00071D4B"/>
    <w:rsid w:val="000720B9"/>
    <w:rsid w:val="000728E4"/>
    <w:rsid w:val="000737F7"/>
    <w:rsid w:val="00074AEA"/>
    <w:rsid w:val="0007502B"/>
    <w:rsid w:val="00075CCA"/>
    <w:rsid w:val="00076387"/>
    <w:rsid w:val="000766C7"/>
    <w:rsid w:val="0007672F"/>
    <w:rsid w:val="000774F0"/>
    <w:rsid w:val="00080909"/>
    <w:rsid w:val="000812CA"/>
    <w:rsid w:val="00081717"/>
    <w:rsid w:val="00081F9C"/>
    <w:rsid w:val="0008258D"/>
    <w:rsid w:val="00082BE0"/>
    <w:rsid w:val="00083E99"/>
    <w:rsid w:val="000840B1"/>
    <w:rsid w:val="00084E04"/>
    <w:rsid w:val="000856C5"/>
    <w:rsid w:val="00086615"/>
    <w:rsid w:val="0008793B"/>
    <w:rsid w:val="00090C7E"/>
    <w:rsid w:val="000911E2"/>
    <w:rsid w:val="000918E4"/>
    <w:rsid w:val="00092600"/>
    <w:rsid w:val="0009262B"/>
    <w:rsid w:val="000929B6"/>
    <w:rsid w:val="00092A63"/>
    <w:rsid w:val="00093310"/>
    <w:rsid w:val="0009445C"/>
    <w:rsid w:val="00095255"/>
    <w:rsid w:val="000953CE"/>
    <w:rsid w:val="00095FE5"/>
    <w:rsid w:val="00096146"/>
    <w:rsid w:val="00096284"/>
    <w:rsid w:val="00096A09"/>
    <w:rsid w:val="00096D09"/>
    <w:rsid w:val="00097B92"/>
    <w:rsid w:val="000A02D7"/>
    <w:rsid w:val="000A0727"/>
    <w:rsid w:val="000A1C0E"/>
    <w:rsid w:val="000A42C4"/>
    <w:rsid w:val="000A4FC8"/>
    <w:rsid w:val="000A52B4"/>
    <w:rsid w:val="000A5501"/>
    <w:rsid w:val="000A55F1"/>
    <w:rsid w:val="000A66CC"/>
    <w:rsid w:val="000A679E"/>
    <w:rsid w:val="000A6CB9"/>
    <w:rsid w:val="000A7796"/>
    <w:rsid w:val="000A7BDE"/>
    <w:rsid w:val="000A7D08"/>
    <w:rsid w:val="000B0670"/>
    <w:rsid w:val="000B0E75"/>
    <w:rsid w:val="000B3A9D"/>
    <w:rsid w:val="000B530E"/>
    <w:rsid w:val="000B57B2"/>
    <w:rsid w:val="000B5A29"/>
    <w:rsid w:val="000B6CAC"/>
    <w:rsid w:val="000B724C"/>
    <w:rsid w:val="000B7441"/>
    <w:rsid w:val="000B7612"/>
    <w:rsid w:val="000B7A1B"/>
    <w:rsid w:val="000B7C9D"/>
    <w:rsid w:val="000C0CDC"/>
    <w:rsid w:val="000C0E11"/>
    <w:rsid w:val="000C0F3F"/>
    <w:rsid w:val="000C1555"/>
    <w:rsid w:val="000C15B4"/>
    <w:rsid w:val="000C1741"/>
    <w:rsid w:val="000C1FE0"/>
    <w:rsid w:val="000C3DF9"/>
    <w:rsid w:val="000C3E8B"/>
    <w:rsid w:val="000C4DD1"/>
    <w:rsid w:val="000C5E97"/>
    <w:rsid w:val="000C63E0"/>
    <w:rsid w:val="000C6713"/>
    <w:rsid w:val="000C6ED0"/>
    <w:rsid w:val="000C7EFE"/>
    <w:rsid w:val="000D0849"/>
    <w:rsid w:val="000D0CA3"/>
    <w:rsid w:val="000D1196"/>
    <w:rsid w:val="000D1BFC"/>
    <w:rsid w:val="000D1EF5"/>
    <w:rsid w:val="000D281A"/>
    <w:rsid w:val="000D326A"/>
    <w:rsid w:val="000D4977"/>
    <w:rsid w:val="000D51FB"/>
    <w:rsid w:val="000D555C"/>
    <w:rsid w:val="000D69BA"/>
    <w:rsid w:val="000D6FBE"/>
    <w:rsid w:val="000D79D1"/>
    <w:rsid w:val="000D7F8C"/>
    <w:rsid w:val="000E09C9"/>
    <w:rsid w:val="000E121C"/>
    <w:rsid w:val="000E135D"/>
    <w:rsid w:val="000E1751"/>
    <w:rsid w:val="000E1B24"/>
    <w:rsid w:val="000E341F"/>
    <w:rsid w:val="000E40DB"/>
    <w:rsid w:val="000E49B9"/>
    <w:rsid w:val="000E4E20"/>
    <w:rsid w:val="000E56CB"/>
    <w:rsid w:val="000E5949"/>
    <w:rsid w:val="000E6B40"/>
    <w:rsid w:val="000E6BFA"/>
    <w:rsid w:val="000F0012"/>
    <w:rsid w:val="000F00BA"/>
    <w:rsid w:val="000F15B0"/>
    <w:rsid w:val="000F185D"/>
    <w:rsid w:val="000F19F0"/>
    <w:rsid w:val="000F19F5"/>
    <w:rsid w:val="000F316A"/>
    <w:rsid w:val="000F32AC"/>
    <w:rsid w:val="000F365A"/>
    <w:rsid w:val="000F3C74"/>
    <w:rsid w:val="000F46FD"/>
    <w:rsid w:val="000F4A27"/>
    <w:rsid w:val="000F4B96"/>
    <w:rsid w:val="000F4BB8"/>
    <w:rsid w:val="000F4C5E"/>
    <w:rsid w:val="000F7127"/>
    <w:rsid w:val="00100F04"/>
    <w:rsid w:val="00100F8A"/>
    <w:rsid w:val="001011B1"/>
    <w:rsid w:val="001015E0"/>
    <w:rsid w:val="0010193E"/>
    <w:rsid w:val="00102021"/>
    <w:rsid w:val="00102700"/>
    <w:rsid w:val="00102EB5"/>
    <w:rsid w:val="00103CDE"/>
    <w:rsid w:val="00105AA4"/>
    <w:rsid w:val="00105AE2"/>
    <w:rsid w:val="00106B80"/>
    <w:rsid w:val="0011032E"/>
    <w:rsid w:val="00110C6D"/>
    <w:rsid w:val="00110E21"/>
    <w:rsid w:val="0011199E"/>
    <w:rsid w:val="001120D1"/>
    <w:rsid w:val="0011348B"/>
    <w:rsid w:val="00113C6E"/>
    <w:rsid w:val="001140A6"/>
    <w:rsid w:val="001140DE"/>
    <w:rsid w:val="00115140"/>
    <w:rsid w:val="001158D3"/>
    <w:rsid w:val="00115982"/>
    <w:rsid w:val="00115F14"/>
    <w:rsid w:val="00116160"/>
    <w:rsid w:val="0011623C"/>
    <w:rsid w:val="00116C53"/>
    <w:rsid w:val="00117218"/>
    <w:rsid w:val="00117E25"/>
    <w:rsid w:val="00121067"/>
    <w:rsid w:val="00121669"/>
    <w:rsid w:val="00121799"/>
    <w:rsid w:val="001218FC"/>
    <w:rsid w:val="00121F41"/>
    <w:rsid w:val="001222FC"/>
    <w:rsid w:val="001224EF"/>
    <w:rsid w:val="00122E82"/>
    <w:rsid w:val="001235FB"/>
    <w:rsid w:val="00123D31"/>
    <w:rsid w:val="00124A51"/>
    <w:rsid w:val="00125613"/>
    <w:rsid w:val="00126621"/>
    <w:rsid w:val="00126E11"/>
    <w:rsid w:val="00127F36"/>
    <w:rsid w:val="001301E9"/>
    <w:rsid w:val="0013023C"/>
    <w:rsid w:val="00131458"/>
    <w:rsid w:val="00131D6C"/>
    <w:rsid w:val="00131D82"/>
    <w:rsid w:val="00133D36"/>
    <w:rsid w:val="001347B7"/>
    <w:rsid w:val="00134910"/>
    <w:rsid w:val="00135C34"/>
    <w:rsid w:val="00135FC6"/>
    <w:rsid w:val="001367EE"/>
    <w:rsid w:val="0013761A"/>
    <w:rsid w:val="00137645"/>
    <w:rsid w:val="00137817"/>
    <w:rsid w:val="0014015A"/>
    <w:rsid w:val="00140517"/>
    <w:rsid w:val="00140691"/>
    <w:rsid w:val="00140E99"/>
    <w:rsid w:val="001410DA"/>
    <w:rsid w:val="001411F0"/>
    <w:rsid w:val="00141E92"/>
    <w:rsid w:val="00142200"/>
    <w:rsid w:val="001424ED"/>
    <w:rsid w:val="00142F02"/>
    <w:rsid w:val="00143101"/>
    <w:rsid w:val="00143ADE"/>
    <w:rsid w:val="00144222"/>
    <w:rsid w:val="00144A24"/>
    <w:rsid w:val="00144B7E"/>
    <w:rsid w:val="00144E0C"/>
    <w:rsid w:val="00145540"/>
    <w:rsid w:val="001456B0"/>
    <w:rsid w:val="00145D79"/>
    <w:rsid w:val="0014672C"/>
    <w:rsid w:val="00147F4E"/>
    <w:rsid w:val="00151D7D"/>
    <w:rsid w:val="00152105"/>
    <w:rsid w:val="00152A9D"/>
    <w:rsid w:val="00152E15"/>
    <w:rsid w:val="001543D4"/>
    <w:rsid w:val="00154FF7"/>
    <w:rsid w:val="0015526D"/>
    <w:rsid w:val="00155A8E"/>
    <w:rsid w:val="00155E6E"/>
    <w:rsid w:val="00156C19"/>
    <w:rsid w:val="00157130"/>
    <w:rsid w:val="001576B1"/>
    <w:rsid w:val="00157A96"/>
    <w:rsid w:val="00160A4C"/>
    <w:rsid w:val="0016248F"/>
    <w:rsid w:val="00162913"/>
    <w:rsid w:val="0016304A"/>
    <w:rsid w:val="00163914"/>
    <w:rsid w:val="00163B44"/>
    <w:rsid w:val="00163EFF"/>
    <w:rsid w:val="00164B9C"/>
    <w:rsid w:val="00164D33"/>
    <w:rsid w:val="00165AEE"/>
    <w:rsid w:val="001661FB"/>
    <w:rsid w:val="00167B5F"/>
    <w:rsid w:val="00170A6D"/>
    <w:rsid w:val="00170CFE"/>
    <w:rsid w:val="00172274"/>
    <w:rsid w:val="00172C2B"/>
    <w:rsid w:val="0017340B"/>
    <w:rsid w:val="00173565"/>
    <w:rsid w:val="00173B07"/>
    <w:rsid w:val="00173F06"/>
    <w:rsid w:val="001743ED"/>
    <w:rsid w:val="0017552B"/>
    <w:rsid w:val="001757E6"/>
    <w:rsid w:val="00175A48"/>
    <w:rsid w:val="00175A83"/>
    <w:rsid w:val="00177626"/>
    <w:rsid w:val="0018139F"/>
    <w:rsid w:val="001817E2"/>
    <w:rsid w:val="00181D9C"/>
    <w:rsid w:val="00182C0E"/>
    <w:rsid w:val="00183675"/>
    <w:rsid w:val="00184023"/>
    <w:rsid w:val="00184269"/>
    <w:rsid w:val="001846DD"/>
    <w:rsid w:val="00184FCD"/>
    <w:rsid w:val="001850E4"/>
    <w:rsid w:val="0018530B"/>
    <w:rsid w:val="00186777"/>
    <w:rsid w:val="0018700B"/>
    <w:rsid w:val="001871DB"/>
    <w:rsid w:val="001874DB"/>
    <w:rsid w:val="0018752F"/>
    <w:rsid w:val="00190F49"/>
    <w:rsid w:val="00191180"/>
    <w:rsid w:val="0019120E"/>
    <w:rsid w:val="00191324"/>
    <w:rsid w:val="001920D3"/>
    <w:rsid w:val="0019322B"/>
    <w:rsid w:val="001938E7"/>
    <w:rsid w:val="00193C61"/>
    <w:rsid w:val="00194304"/>
    <w:rsid w:val="00194735"/>
    <w:rsid w:val="00195222"/>
    <w:rsid w:val="00195A73"/>
    <w:rsid w:val="00195D51"/>
    <w:rsid w:val="00195E2F"/>
    <w:rsid w:val="00195E4D"/>
    <w:rsid w:val="00196645"/>
    <w:rsid w:val="001971E8"/>
    <w:rsid w:val="001975D8"/>
    <w:rsid w:val="001A01FD"/>
    <w:rsid w:val="001A07C6"/>
    <w:rsid w:val="001A0BFF"/>
    <w:rsid w:val="001A161C"/>
    <w:rsid w:val="001A204B"/>
    <w:rsid w:val="001A335A"/>
    <w:rsid w:val="001A35A1"/>
    <w:rsid w:val="001A43FA"/>
    <w:rsid w:val="001A49C7"/>
    <w:rsid w:val="001A4A2B"/>
    <w:rsid w:val="001A57AA"/>
    <w:rsid w:val="001A59FB"/>
    <w:rsid w:val="001A6354"/>
    <w:rsid w:val="001A6931"/>
    <w:rsid w:val="001A7536"/>
    <w:rsid w:val="001A7AE8"/>
    <w:rsid w:val="001B0D1B"/>
    <w:rsid w:val="001B106E"/>
    <w:rsid w:val="001B1CE5"/>
    <w:rsid w:val="001B204E"/>
    <w:rsid w:val="001B29BA"/>
    <w:rsid w:val="001B3441"/>
    <w:rsid w:val="001B3443"/>
    <w:rsid w:val="001B391F"/>
    <w:rsid w:val="001B4459"/>
    <w:rsid w:val="001B462E"/>
    <w:rsid w:val="001B4D20"/>
    <w:rsid w:val="001B5F03"/>
    <w:rsid w:val="001B6C5A"/>
    <w:rsid w:val="001B7975"/>
    <w:rsid w:val="001C192E"/>
    <w:rsid w:val="001C2828"/>
    <w:rsid w:val="001C2A2A"/>
    <w:rsid w:val="001C2A9B"/>
    <w:rsid w:val="001C2F7D"/>
    <w:rsid w:val="001C4299"/>
    <w:rsid w:val="001C5C16"/>
    <w:rsid w:val="001C5F94"/>
    <w:rsid w:val="001C6816"/>
    <w:rsid w:val="001C6905"/>
    <w:rsid w:val="001C6E66"/>
    <w:rsid w:val="001C7086"/>
    <w:rsid w:val="001C73F4"/>
    <w:rsid w:val="001C7CA9"/>
    <w:rsid w:val="001D0975"/>
    <w:rsid w:val="001D0E2E"/>
    <w:rsid w:val="001D1C1A"/>
    <w:rsid w:val="001D2103"/>
    <w:rsid w:val="001D24EF"/>
    <w:rsid w:val="001D2C71"/>
    <w:rsid w:val="001D36DD"/>
    <w:rsid w:val="001D3EF3"/>
    <w:rsid w:val="001D502A"/>
    <w:rsid w:val="001D517D"/>
    <w:rsid w:val="001D6918"/>
    <w:rsid w:val="001D6C13"/>
    <w:rsid w:val="001D7C15"/>
    <w:rsid w:val="001E0BE8"/>
    <w:rsid w:val="001E0EBD"/>
    <w:rsid w:val="001E145E"/>
    <w:rsid w:val="001E22F8"/>
    <w:rsid w:val="001E238E"/>
    <w:rsid w:val="001E23DF"/>
    <w:rsid w:val="001E2483"/>
    <w:rsid w:val="001E2B1E"/>
    <w:rsid w:val="001E30D4"/>
    <w:rsid w:val="001E4570"/>
    <w:rsid w:val="001E52EB"/>
    <w:rsid w:val="001E52FE"/>
    <w:rsid w:val="001E566B"/>
    <w:rsid w:val="001E61D2"/>
    <w:rsid w:val="001E740C"/>
    <w:rsid w:val="001E7557"/>
    <w:rsid w:val="001F0A6C"/>
    <w:rsid w:val="001F0B29"/>
    <w:rsid w:val="001F1235"/>
    <w:rsid w:val="001F1CB3"/>
    <w:rsid w:val="001F2C5E"/>
    <w:rsid w:val="001F34F9"/>
    <w:rsid w:val="001F38B5"/>
    <w:rsid w:val="001F5A1C"/>
    <w:rsid w:val="001F5E8C"/>
    <w:rsid w:val="001F5F4E"/>
    <w:rsid w:val="001F622D"/>
    <w:rsid w:val="001F6273"/>
    <w:rsid w:val="001F7156"/>
    <w:rsid w:val="001F7361"/>
    <w:rsid w:val="001F788E"/>
    <w:rsid w:val="001F7BD4"/>
    <w:rsid w:val="001F7C54"/>
    <w:rsid w:val="002011B0"/>
    <w:rsid w:val="002028EF"/>
    <w:rsid w:val="00202E22"/>
    <w:rsid w:val="00203181"/>
    <w:rsid w:val="00203783"/>
    <w:rsid w:val="0020385F"/>
    <w:rsid w:val="00204D87"/>
    <w:rsid w:val="00205545"/>
    <w:rsid w:val="002069EE"/>
    <w:rsid w:val="00207021"/>
    <w:rsid w:val="0020732F"/>
    <w:rsid w:val="00207D00"/>
    <w:rsid w:val="002102FF"/>
    <w:rsid w:val="00210410"/>
    <w:rsid w:val="002105C1"/>
    <w:rsid w:val="002107C1"/>
    <w:rsid w:val="00210DBD"/>
    <w:rsid w:val="00211578"/>
    <w:rsid w:val="00211FBA"/>
    <w:rsid w:val="00214B32"/>
    <w:rsid w:val="002152F9"/>
    <w:rsid w:val="002168E1"/>
    <w:rsid w:val="00217019"/>
    <w:rsid w:val="00217E2E"/>
    <w:rsid w:val="00217F9A"/>
    <w:rsid w:val="002200C1"/>
    <w:rsid w:val="002200DF"/>
    <w:rsid w:val="002212F5"/>
    <w:rsid w:val="002218FC"/>
    <w:rsid w:val="002219BB"/>
    <w:rsid w:val="00222298"/>
    <w:rsid w:val="00222E54"/>
    <w:rsid w:val="00223B49"/>
    <w:rsid w:val="00224C87"/>
    <w:rsid w:val="00224DD4"/>
    <w:rsid w:val="002252FC"/>
    <w:rsid w:val="002309CC"/>
    <w:rsid w:val="0023209F"/>
    <w:rsid w:val="002337D8"/>
    <w:rsid w:val="00233932"/>
    <w:rsid w:val="00234930"/>
    <w:rsid w:val="00235358"/>
    <w:rsid w:val="00235C11"/>
    <w:rsid w:val="0023629D"/>
    <w:rsid w:val="0023662D"/>
    <w:rsid w:val="00236875"/>
    <w:rsid w:val="00236970"/>
    <w:rsid w:val="00236D91"/>
    <w:rsid w:val="00237255"/>
    <w:rsid w:val="00237A5B"/>
    <w:rsid w:val="002424AF"/>
    <w:rsid w:val="00243989"/>
    <w:rsid w:val="002439DC"/>
    <w:rsid w:val="002442CA"/>
    <w:rsid w:val="0024456F"/>
    <w:rsid w:val="002447C4"/>
    <w:rsid w:val="00244DC8"/>
    <w:rsid w:val="002458BA"/>
    <w:rsid w:val="002461AD"/>
    <w:rsid w:val="0024636C"/>
    <w:rsid w:val="00247435"/>
    <w:rsid w:val="00247925"/>
    <w:rsid w:val="00250585"/>
    <w:rsid w:val="00250C1B"/>
    <w:rsid w:val="00250FBD"/>
    <w:rsid w:val="002517D9"/>
    <w:rsid w:val="00252D3D"/>
    <w:rsid w:val="0025487E"/>
    <w:rsid w:val="00254DCF"/>
    <w:rsid w:val="0025534B"/>
    <w:rsid w:val="0025592D"/>
    <w:rsid w:val="00255BB7"/>
    <w:rsid w:val="00255C01"/>
    <w:rsid w:val="00256A48"/>
    <w:rsid w:val="0025731A"/>
    <w:rsid w:val="00257541"/>
    <w:rsid w:val="00257A2E"/>
    <w:rsid w:val="0026034A"/>
    <w:rsid w:val="002608AA"/>
    <w:rsid w:val="00260CBD"/>
    <w:rsid w:val="00260F04"/>
    <w:rsid w:val="00260F25"/>
    <w:rsid w:val="0026125E"/>
    <w:rsid w:val="00261558"/>
    <w:rsid w:val="0026157A"/>
    <w:rsid w:val="002615BE"/>
    <w:rsid w:val="00262327"/>
    <w:rsid w:val="00262A1A"/>
    <w:rsid w:val="00262A87"/>
    <w:rsid w:val="002637B3"/>
    <w:rsid w:val="00264D26"/>
    <w:rsid w:val="00265DDF"/>
    <w:rsid w:val="00266060"/>
    <w:rsid w:val="002661D2"/>
    <w:rsid w:val="0026685A"/>
    <w:rsid w:val="00266E40"/>
    <w:rsid w:val="00267642"/>
    <w:rsid w:val="00267A1B"/>
    <w:rsid w:val="00267AEA"/>
    <w:rsid w:val="00267E99"/>
    <w:rsid w:val="002700E6"/>
    <w:rsid w:val="00270846"/>
    <w:rsid w:val="0027294B"/>
    <w:rsid w:val="00272E73"/>
    <w:rsid w:val="002731C2"/>
    <w:rsid w:val="0027467E"/>
    <w:rsid w:val="00274DBE"/>
    <w:rsid w:val="0027565B"/>
    <w:rsid w:val="00275C5A"/>
    <w:rsid w:val="00275FA9"/>
    <w:rsid w:val="00277061"/>
    <w:rsid w:val="00277904"/>
    <w:rsid w:val="00277A64"/>
    <w:rsid w:val="00277C52"/>
    <w:rsid w:val="00277EF1"/>
    <w:rsid w:val="0028073E"/>
    <w:rsid w:val="00281014"/>
    <w:rsid w:val="00282587"/>
    <w:rsid w:val="00282727"/>
    <w:rsid w:val="00282F4D"/>
    <w:rsid w:val="00283AA0"/>
    <w:rsid w:val="0028494C"/>
    <w:rsid w:val="00285ADC"/>
    <w:rsid w:val="00285C05"/>
    <w:rsid w:val="00286CE5"/>
    <w:rsid w:val="002877F7"/>
    <w:rsid w:val="00290C49"/>
    <w:rsid w:val="00291C4C"/>
    <w:rsid w:val="00291C7F"/>
    <w:rsid w:val="002920EF"/>
    <w:rsid w:val="00293438"/>
    <w:rsid w:val="00295B9F"/>
    <w:rsid w:val="00297587"/>
    <w:rsid w:val="002A0330"/>
    <w:rsid w:val="002A14AB"/>
    <w:rsid w:val="002A27E8"/>
    <w:rsid w:val="002A2E48"/>
    <w:rsid w:val="002A2F50"/>
    <w:rsid w:val="002A40D7"/>
    <w:rsid w:val="002A48BC"/>
    <w:rsid w:val="002A4A2D"/>
    <w:rsid w:val="002A5E5D"/>
    <w:rsid w:val="002A63D3"/>
    <w:rsid w:val="002A7AAD"/>
    <w:rsid w:val="002B00BA"/>
    <w:rsid w:val="002B09A4"/>
    <w:rsid w:val="002B12CA"/>
    <w:rsid w:val="002B1C1F"/>
    <w:rsid w:val="002B20C7"/>
    <w:rsid w:val="002B21D4"/>
    <w:rsid w:val="002B25D6"/>
    <w:rsid w:val="002B2CE0"/>
    <w:rsid w:val="002B2EA9"/>
    <w:rsid w:val="002B432F"/>
    <w:rsid w:val="002B4BE3"/>
    <w:rsid w:val="002B548D"/>
    <w:rsid w:val="002B5E1A"/>
    <w:rsid w:val="002B62B3"/>
    <w:rsid w:val="002B64E0"/>
    <w:rsid w:val="002B6754"/>
    <w:rsid w:val="002B6CCE"/>
    <w:rsid w:val="002B76F5"/>
    <w:rsid w:val="002C2259"/>
    <w:rsid w:val="002C2331"/>
    <w:rsid w:val="002C2510"/>
    <w:rsid w:val="002C2775"/>
    <w:rsid w:val="002C27C1"/>
    <w:rsid w:val="002C2ECC"/>
    <w:rsid w:val="002C3A52"/>
    <w:rsid w:val="002C3FF0"/>
    <w:rsid w:val="002C5099"/>
    <w:rsid w:val="002C53C8"/>
    <w:rsid w:val="002C53D1"/>
    <w:rsid w:val="002C56CD"/>
    <w:rsid w:val="002C5889"/>
    <w:rsid w:val="002C61FF"/>
    <w:rsid w:val="002C6583"/>
    <w:rsid w:val="002C68F3"/>
    <w:rsid w:val="002C6BE3"/>
    <w:rsid w:val="002C6F74"/>
    <w:rsid w:val="002C71CE"/>
    <w:rsid w:val="002C7ACC"/>
    <w:rsid w:val="002C7E83"/>
    <w:rsid w:val="002D0D43"/>
    <w:rsid w:val="002D16F1"/>
    <w:rsid w:val="002D2449"/>
    <w:rsid w:val="002D2C47"/>
    <w:rsid w:val="002D3431"/>
    <w:rsid w:val="002D577C"/>
    <w:rsid w:val="002D669F"/>
    <w:rsid w:val="002D66D9"/>
    <w:rsid w:val="002E0661"/>
    <w:rsid w:val="002E0B64"/>
    <w:rsid w:val="002E0D20"/>
    <w:rsid w:val="002E15B9"/>
    <w:rsid w:val="002E1917"/>
    <w:rsid w:val="002E2158"/>
    <w:rsid w:val="002E3BE2"/>
    <w:rsid w:val="002E52A7"/>
    <w:rsid w:val="002E6EA4"/>
    <w:rsid w:val="002E7722"/>
    <w:rsid w:val="002F0415"/>
    <w:rsid w:val="002F07BA"/>
    <w:rsid w:val="002F0DA9"/>
    <w:rsid w:val="002F42EA"/>
    <w:rsid w:val="002F44BE"/>
    <w:rsid w:val="002F4843"/>
    <w:rsid w:val="002F4D95"/>
    <w:rsid w:val="002F5FA9"/>
    <w:rsid w:val="002F6423"/>
    <w:rsid w:val="002F643C"/>
    <w:rsid w:val="002F67F9"/>
    <w:rsid w:val="002F6BE1"/>
    <w:rsid w:val="002F7082"/>
    <w:rsid w:val="002F71C0"/>
    <w:rsid w:val="002F72AC"/>
    <w:rsid w:val="00301017"/>
    <w:rsid w:val="0030155F"/>
    <w:rsid w:val="00301569"/>
    <w:rsid w:val="003039A8"/>
    <w:rsid w:val="00303F61"/>
    <w:rsid w:val="00305322"/>
    <w:rsid w:val="00305817"/>
    <w:rsid w:val="0030587B"/>
    <w:rsid w:val="00305B75"/>
    <w:rsid w:val="003067C4"/>
    <w:rsid w:val="00306D98"/>
    <w:rsid w:val="00306DB2"/>
    <w:rsid w:val="00307440"/>
    <w:rsid w:val="003076CE"/>
    <w:rsid w:val="0030786C"/>
    <w:rsid w:val="00307AEB"/>
    <w:rsid w:val="00307CC9"/>
    <w:rsid w:val="0031031A"/>
    <w:rsid w:val="00310581"/>
    <w:rsid w:val="00310981"/>
    <w:rsid w:val="00311234"/>
    <w:rsid w:val="003116EC"/>
    <w:rsid w:val="00311C78"/>
    <w:rsid w:val="00311D32"/>
    <w:rsid w:val="00313745"/>
    <w:rsid w:val="00315498"/>
    <w:rsid w:val="00315CA3"/>
    <w:rsid w:val="00315E7C"/>
    <w:rsid w:val="00317529"/>
    <w:rsid w:val="003175B7"/>
    <w:rsid w:val="003210FA"/>
    <w:rsid w:val="00321243"/>
    <w:rsid w:val="00322107"/>
    <w:rsid w:val="003223B8"/>
    <w:rsid w:val="00322517"/>
    <w:rsid w:val="00322846"/>
    <w:rsid w:val="00322E64"/>
    <w:rsid w:val="00322E6B"/>
    <w:rsid w:val="00323B21"/>
    <w:rsid w:val="00323BF5"/>
    <w:rsid w:val="00324A26"/>
    <w:rsid w:val="00325167"/>
    <w:rsid w:val="00325E6C"/>
    <w:rsid w:val="00326DA7"/>
    <w:rsid w:val="003270E4"/>
    <w:rsid w:val="003276ED"/>
    <w:rsid w:val="00330E35"/>
    <w:rsid w:val="00330F5C"/>
    <w:rsid w:val="00333792"/>
    <w:rsid w:val="00334B92"/>
    <w:rsid w:val="00335E99"/>
    <w:rsid w:val="003362DF"/>
    <w:rsid w:val="0033667A"/>
    <w:rsid w:val="00336693"/>
    <w:rsid w:val="003366C9"/>
    <w:rsid w:val="00336BA8"/>
    <w:rsid w:val="003371B0"/>
    <w:rsid w:val="00337FF0"/>
    <w:rsid w:val="00340DF1"/>
    <w:rsid w:val="003417E6"/>
    <w:rsid w:val="00341A8A"/>
    <w:rsid w:val="00341F55"/>
    <w:rsid w:val="00342255"/>
    <w:rsid w:val="003434D3"/>
    <w:rsid w:val="00343B54"/>
    <w:rsid w:val="003440EB"/>
    <w:rsid w:val="00345802"/>
    <w:rsid w:val="00346CE1"/>
    <w:rsid w:val="0034781D"/>
    <w:rsid w:val="00347CC1"/>
    <w:rsid w:val="0035023A"/>
    <w:rsid w:val="00350768"/>
    <w:rsid w:val="003517F9"/>
    <w:rsid w:val="0035214F"/>
    <w:rsid w:val="00352453"/>
    <w:rsid w:val="003526CF"/>
    <w:rsid w:val="0035387C"/>
    <w:rsid w:val="0035620E"/>
    <w:rsid w:val="00356648"/>
    <w:rsid w:val="00356AAB"/>
    <w:rsid w:val="0035752C"/>
    <w:rsid w:val="00357D22"/>
    <w:rsid w:val="0036162E"/>
    <w:rsid w:val="00361909"/>
    <w:rsid w:val="00361D92"/>
    <w:rsid w:val="0036226A"/>
    <w:rsid w:val="003624C4"/>
    <w:rsid w:val="003654AC"/>
    <w:rsid w:val="00366388"/>
    <w:rsid w:val="003664A8"/>
    <w:rsid w:val="0036728D"/>
    <w:rsid w:val="0036798F"/>
    <w:rsid w:val="00367DB9"/>
    <w:rsid w:val="00367EA0"/>
    <w:rsid w:val="00370BB9"/>
    <w:rsid w:val="00370C30"/>
    <w:rsid w:val="00370C8C"/>
    <w:rsid w:val="003710CF"/>
    <w:rsid w:val="00371C40"/>
    <w:rsid w:val="0037358A"/>
    <w:rsid w:val="0037421F"/>
    <w:rsid w:val="00374A3F"/>
    <w:rsid w:val="003750F6"/>
    <w:rsid w:val="003760FC"/>
    <w:rsid w:val="00376BA1"/>
    <w:rsid w:val="0037757D"/>
    <w:rsid w:val="003818B7"/>
    <w:rsid w:val="00381AAD"/>
    <w:rsid w:val="0038253B"/>
    <w:rsid w:val="003827D3"/>
    <w:rsid w:val="00382ED1"/>
    <w:rsid w:val="00382FC1"/>
    <w:rsid w:val="00383248"/>
    <w:rsid w:val="0038365C"/>
    <w:rsid w:val="0038369B"/>
    <w:rsid w:val="00383B53"/>
    <w:rsid w:val="00383B78"/>
    <w:rsid w:val="003842EA"/>
    <w:rsid w:val="00384BC9"/>
    <w:rsid w:val="00384FCD"/>
    <w:rsid w:val="00385868"/>
    <w:rsid w:val="00385A9D"/>
    <w:rsid w:val="003902B1"/>
    <w:rsid w:val="0039048E"/>
    <w:rsid w:val="003935F1"/>
    <w:rsid w:val="00393991"/>
    <w:rsid w:val="00394C0D"/>
    <w:rsid w:val="00395177"/>
    <w:rsid w:val="003953F8"/>
    <w:rsid w:val="0039550F"/>
    <w:rsid w:val="00395591"/>
    <w:rsid w:val="00395D47"/>
    <w:rsid w:val="00396657"/>
    <w:rsid w:val="00396896"/>
    <w:rsid w:val="00396FD0"/>
    <w:rsid w:val="0039787E"/>
    <w:rsid w:val="003A0C61"/>
    <w:rsid w:val="003A1A63"/>
    <w:rsid w:val="003A1A7A"/>
    <w:rsid w:val="003A2392"/>
    <w:rsid w:val="003A2831"/>
    <w:rsid w:val="003A2B02"/>
    <w:rsid w:val="003A3ED1"/>
    <w:rsid w:val="003A4E9B"/>
    <w:rsid w:val="003A55EB"/>
    <w:rsid w:val="003A6FFC"/>
    <w:rsid w:val="003A7CAA"/>
    <w:rsid w:val="003A7EE0"/>
    <w:rsid w:val="003B0702"/>
    <w:rsid w:val="003B1C2A"/>
    <w:rsid w:val="003B1EFF"/>
    <w:rsid w:val="003B25A7"/>
    <w:rsid w:val="003B2738"/>
    <w:rsid w:val="003B3805"/>
    <w:rsid w:val="003B4CE7"/>
    <w:rsid w:val="003B4E54"/>
    <w:rsid w:val="003B5B61"/>
    <w:rsid w:val="003B5F2C"/>
    <w:rsid w:val="003B5FD8"/>
    <w:rsid w:val="003B738E"/>
    <w:rsid w:val="003C0690"/>
    <w:rsid w:val="003C0DF0"/>
    <w:rsid w:val="003C15B7"/>
    <w:rsid w:val="003C1654"/>
    <w:rsid w:val="003C37CB"/>
    <w:rsid w:val="003C448E"/>
    <w:rsid w:val="003C47A1"/>
    <w:rsid w:val="003C52B0"/>
    <w:rsid w:val="003C5FB9"/>
    <w:rsid w:val="003C7D19"/>
    <w:rsid w:val="003C7E23"/>
    <w:rsid w:val="003D0E5A"/>
    <w:rsid w:val="003D10C5"/>
    <w:rsid w:val="003D1828"/>
    <w:rsid w:val="003D1DE4"/>
    <w:rsid w:val="003D1F31"/>
    <w:rsid w:val="003D2422"/>
    <w:rsid w:val="003D25DC"/>
    <w:rsid w:val="003D39A1"/>
    <w:rsid w:val="003D3FBF"/>
    <w:rsid w:val="003D4057"/>
    <w:rsid w:val="003D4692"/>
    <w:rsid w:val="003D4A30"/>
    <w:rsid w:val="003D5B53"/>
    <w:rsid w:val="003D630B"/>
    <w:rsid w:val="003D6AAA"/>
    <w:rsid w:val="003D6F7D"/>
    <w:rsid w:val="003D79BB"/>
    <w:rsid w:val="003D7C98"/>
    <w:rsid w:val="003E0309"/>
    <w:rsid w:val="003E040F"/>
    <w:rsid w:val="003E045F"/>
    <w:rsid w:val="003E0543"/>
    <w:rsid w:val="003E05B6"/>
    <w:rsid w:val="003E10B8"/>
    <w:rsid w:val="003E202B"/>
    <w:rsid w:val="003E25A7"/>
    <w:rsid w:val="003E2A5D"/>
    <w:rsid w:val="003E2B10"/>
    <w:rsid w:val="003E2C0C"/>
    <w:rsid w:val="003E2D5B"/>
    <w:rsid w:val="003E48A8"/>
    <w:rsid w:val="003E571B"/>
    <w:rsid w:val="003F0A73"/>
    <w:rsid w:val="003F1258"/>
    <w:rsid w:val="003F2822"/>
    <w:rsid w:val="003F28D0"/>
    <w:rsid w:val="003F4156"/>
    <w:rsid w:val="003F4B02"/>
    <w:rsid w:val="003F5ADB"/>
    <w:rsid w:val="003F67F6"/>
    <w:rsid w:val="003F6E5B"/>
    <w:rsid w:val="0040090B"/>
    <w:rsid w:val="00400B29"/>
    <w:rsid w:val="00401918"/>
    <w:rsid w:val="00401A29"/>
    <w:rsid w:val="0040308D"/>
    <w:rsid w:val="00404675"/>
    <w:rsid w:val="0040504B"/>
    <w:rsid w:val="004076F7"/>
    <w:rsid w:val="00407C20"/>
    <w:rsid w:val="00410708"/>
    <w:rsid w:val="0041084D"/>
    <w:rsid w:val="00410928"/>
    <w:rsid w:val="00410EC7"/>
    <w:rsid w:val="00411656"/>
    <w:rsid w:val="00411B39"/>
    <w:rsid w:val="0041279D"/>
    <w:rsid w:val="00413A1E"/>
    <w:rsid w:val="00413D91"/>
    <w:rsid w:val="00414476"/>
    <w:rsid w:val="00414C2E"/>
    <w:rsid w:val="00414DA2"/>
    <w:rsid w:val="004151CF"/>
    <w:rsid w:val="00416364"/>
    <w:rsid w:val="00416452"/>
    <w:rsid w:val="00416631"/>
    <w:rsid w:val="0042017C"/>
    <w:rsid w:val="00420AA6"/>
    <w:rsid w:val="00420B9F"/>
    <w:rsid w:val="00422260"/>
    <w:rsid w:val="0042229D"/>
    <w:rsid w:val="004223E5"/>
    <w:rsid w:val="00422692"/>
    <w:rsid w:val="00424094"/>
    <w:rsid w:val="004240C8"/>
    <w:rsid w:val="0042413F"/>
    <w:rsid w:val="004244D2"/>
    <w:rsid w:val="004244F9"/>
    <w:rsid w:val="00427E0D"/>
    <w:rsid w:val="004312AF"/>
    <w:rsid w:val="004319F8"/>
    <w:rsid w:val="00431E55"/>
    <w:rsid w:val="004321F6"/>
    <w:rsid w:val="00432930"/>
    <w:rsid w:val="00432962"/>
    <w:rsid w:val="00433044"/>
    <w:rsid w:val="004331A2"/>
    <w:rsid w:val="00433679"/>
    <w:rsid w:val="00433E69"/>
    <w:rsid w:val="0043408B"/>
    <w:rsid w:val="004345E3"/>
    <w:rsid w:val="00435F82"/>
    <w:rsid w:val="0043669F"/>
    <w:rsid w:val="004375B9"/>
    <w:rsid w:val="00437B6D"/>
    <w:rsid w:val="00437B8B"/>
    <w:rsid w:val="00437EFE"/>
    <w:rsid w:val="00440051"/>
    <w:rsid w:val="004415FB"/>
    <w:rsid w:val="004420E5"/>
    <w:rsid w:val="0044252B"/>
    <w:rsid w:val="004427BA"/>
    <w:rsid w:val="004428D0"/>
    <w:rsid w:val="00442D45"/>
    <w:rsid w:val="004443A7"/>
    <w:rsid w:val="0044442C"/>
    <w:rsid w:val="00444BA2"/>
    <w:rsid w:val="00444E91"/>
    <w:rsid w:val="004454AB"/>
    <w:rsid w:val="00445941"/>
    <w:rsid w:val="004461CA"/>
    <w:rsid w:val="004464EB"/>
    <w:rsid w:val="004466BE"/>
    <w:rsid w:val="004473DE"/>
    <w:rsid w:val="00447D26"/>
    <w:rsid w:val="004532C2"/>
    <w:rsid w:val="00453636"/>
    <w:rsid w:val="00454381"/>
    <w:rsid w:val="0045544A"/>
    <w:rsid w:val="004555AD"/>
    <w:rsid w:val="00455D45"/>
    <w:rsid w:val="00456BA3"/>
    <w:rsid w:val="00460493"/>
    <w:rsid w:val="0046190E"/>
    <w:rsid w:val="00461D70"/>
    <w:rsid w:val="00461F19"/>
    <w:rsid w:val="00462474"/>
    <w:rsid w:val="004629A2"/>
    <w:rsid w:val="00462E9B"/>
    <w:rsid w:val="00463C32"/>
    <w:rsid w:val="00463C6B"/>
    <w:rsid w:val="00463F46"/>
    <w:rsid w:val="00464595"/>
    <w:rsid w:val="00464AF6"/>
    <w:rsid w:val="004651F6"/>
    <w:rsid w:val="00466016"/>
    <w:rsid w:val="00466A73"/>
    <w:rsid w:val="00467C94"/>
    <w:rsid w:val="00467F58"/>
    <w:rsid w:val="00470186"/>
    <w:rsid w:val="00470F25"/>
    <w:rsid w:val="00471882"/>
    <w:rsid w:val="00471A6E"/>
    <w:rsid w:val="00472A79"/>
    <w:rsid w:val="00473F19"/>
    <w:rsid w:val="004750F8"/>
    <w:rsid w:val="00475E22"/>
    <w:rsid w:val="00476237"/>
    <w:rsid w:val="004763BC"/>
    <w:rsid w:val="00480790"/>
    <w:rsid w:val="0048088E"/>
    <w:rsid w:val="00481252"/>
    <w:rsid w:val="00481AE4"/>
    <w:rsid w:val="00482720"/>
    <w:rsid w:val="004835E7"/>
    <w:rsid w:val="004838DA"/>
    <w:rsid w:val="00484146"/>
    <w:rsid w:val="0048460E"/>
    <w:rsid w:val="00484C04"/>
    <w:rsid w:val="0048518C"/>
    <w:rsid w:val="0048568B"/>
    <w:rsid w:val="00485979"/>
    <w:rsid w:val="0048652D"/>
    <w:rsid w:val="00486771"/>
    <w:rsid w:val="004867E2"/>
    <w:rsid w:val="00486DF9"/>
    <w:rsid w:val="00487949"/>
    <w:rsid w:val="00490DFE"/>
    <w:rsid w:val="0049140A"/>
    <w:rsid w:val="0049166D"/>
    <w:rsid w:val="00491B3A"/>
    <w:rsid w:val="00491C2A"/>
    <w:rsid w:val="00492349"/>
    <w:rsid w:val="0049246D"/>
    <w:rsid w:val="004924EB"/>
    <w:rsid w:val="00492CFD"/>
    <w:rsid w:val="00493495"/>
    <w:rsid w:val="00494292"/>
    <w:rsid w:val="004948C7"/>
    <w:rsid w:val="00494DD5"/>
    <w:rsid w:val="004959CB"/>
    <w:rsid w:val="004962D2"/>
    <w:rsid w:val="0049702B"/>
    <w:rsid w:val="004971D5"/>
    <w:rsid w:val="004978E3"/>
    <w:rsid w:val="004A0DA1"/>
    <w:rsid w:val="004A3B31"/>
    <w:rsid w:val="004A3B7B"/>
    <w:rsid w:val="004A5135"/>
    <w:rsid w:val="004A52E9"/>
    <w:rsid w:val="004A5B3D"/>
    <w:rsid w:val="004A6597"/>
    <w:rsid w:val="004A6DC6"/>
    <w:rsid w:val="004A7427"/>
    <w:rsid w:val="004A7848"/>
    <w:rsid w:val="004A7F92"/>
    <w:rsid w:val="004B011A"/>
    <w:rsid w:val="004B0BD9"/>
    <w:rsid w:val="004B143F"/>
    <w:rsid w:val="004B162C"/>
    <w:rsid w:val="004B1CB4"/>
    <w:rsid w:val="004B1EB1"/>
    <w:rsid w:val="004B260F"/>
    <w:rsid w:val="004B28FF"/>
    <w:rsid w:val="004B2F18"/>
    <w:rsid w:val="004B3853"/>
    <w:rsid w:val="004B3DDB"/>
    <w:rsid w:val="004B3F9F"/>
    <w:rsid w:val="004B44FD"/>
    <w:rsid w:val="004B5CFC"/>
    <w:rsid w:val="004B5FFB"/>
    <w:rsid w:val="004B671B"/>
    <w:rsid w:val="004B739E"/>
    <w:rsid w:val="004B75BA"/>
    <w:rsid w:val="004B774D"/>
    <w:rsid w:val="004C0C2E"/>
    <w:rsid w:val="004C1FA9"/>
    <w:rsid w:val="004C29AA"/>
    <w:rsid w:val="004C3AC5"/>
    <w:rsid w:val="004C44AE"/>
    <w:rsid w:val="004C4AED"/>
    <w:rsid w:val="004C4BDB"/>
    <w:rsid w:val="004C4D28"/>
    <w:rsid w:val="004C5749"/>
    <w:rsid w:val="004C5872"/>
    <w:rsid w:val="004C663F"/>
    <w:rsid w:val="004C6993"/>
    <w:rsid w:val="004C6E63"/>
    <w:rsid w:val="004D00A7"/>
    <w:rsid w:val="004D0364"/>
    <w:rsid w:val="004D075F"/>
    <w:rsid w:val="004D1204"/>
    <w:rsid w:val="004D185C"/>
    <w:rsid w:val="004D18C7"/>
    <w:rsid w:val="004D1D20"/>
    <w:rsid w:val="004D1EB8"/>
    <w:rsid w:val="004D2C2D"/>
    <w:rsid w:val="004D4024"/>
    <w:rsid w:val="004D43F7"/>
    <w:rsid w:val="004D45AC"/>
    <w:rsid w:val="004D7227"/>
    <w:rsid w:val="004D77FC"/>
    <w:rsid w:val="004D7D9B"/>
    <w:rsid w:val="004E0E7F"/>
    <w:rsid w:val="004E0EB8"/>
    <w:rsid w:val="004E1041"/>
    <w:rsid w:val="004E26CB"/>
    <w:rsid w:val="004E2ADC"/>
    <w:rsid w:val="004E2F56"/>
    <w:rsid w:val="004E3A7B"/>
    <w:rsid w:val="004E3BD3"/>
    <w:rsid w:val="004E3D48"/>
    <w:rsid w:val="004E40AF"/>
    <w:rsid w:val="004E43B2"/>
    <w:rsid w:val="004E5EFE"/>
    <w:rsid w:val="004E62A9"/>
    <w:rsid w:val="004E6407"/>
    <w:rsid w:val="004E6790"/>
    <w:rsid w:val="004E7504"/>
    <w:rsid w:val="004F1D02"/>
    <w:rsid w:val="004F1FF3"/>
    <w:rsid w:val="004F230E"/>
    <w:rsid w:val="004F244F"/>
    <w:rsid w:val="004F2679"/>
    <w:rsid w:val="004F2F21"/>
    <w:rsid w:val="004F3262"/>
    <w:rsid w:val="004F37F5"/>
    <w:rsid w:val="004F4B0F"/>
    <w:rsid w:val="004F4C6B"/>
    <w:rsid w:val="004F6913"/>
    <w:rsid w:val="004F7423"/>
    <w:rsid w:val="004F77F6"/>
    <w:rsid w:val="004F7865"/>
    <w:rsid w:val="004F7C79"/>
    <w:rsid w:val="005002BA"/>
    <w:rsid w:val="00501639"/>
    <w:rsid w:val="005016A4"/>
    <w:rsid w:val="00502045"/>
    <w:rsid w:val="0050219B"/>
    <w:rsid w:val="0050321E"/>
    <w:rsid w:val="00503E4B"/>
    <w:rsid w:val="00503F17"/>
    <w:rsid w:val="00504325"/>
    <w:rsid w:val="00505C6D"/>
    <w:rsid w:val="005066FF"/>
    <w:rsid w:val="00506928"/>
    <w:rsid w:val="00506E4C"/>
    <w:rsid w:val="0050718F"/>
    <w:rsid w:val="0050735B"/>
    <w:rsid w:val="00507B46"/>
    <w:rsid w:val="0051030B"/>
    <w:rsid w:val="005105CF"/>
    <w:rsid w:val="00510AFF"/>
    <w:rsid w:val="00511A50"/>
    <w:rsid w:val="00512B7C"/>
    <w:rsid w:val="00513871"/>
    <w:rsid w:val="00513E66"/>
    <w:rsid w:val="00514228"/>
    <w:rsid w:val="0051493B"/>
    <w:rsid w:val="00514F9D"/>
    <w:rsid w:val="005152B5"/>
    <w:rsid w:val="00515F7D"/>
    <w:rsid w:val="0051713E"/>
    <w:rsid w:val="0052102B"/>
    <w:rsid w:val="00521319"/>
    <w:rsid w:val="0052195F"/>
    <w:rsid w:val="005221A0"/>
    <w:rsid w:val="00522BC8"/>
    <w:rsid w:val="005231EF"/>
    <w:rsid w:val="00523B46"/>
    <w:rsid w:val="00523C28"/>
    <w:rsid w:val="00524577"/>
    <w:rsid w:val="00526C74"/>
    <w:rsid w:val="00527C9E"/>
    <w:rsid w:val="00530729"/>
    <w:rsid w:val="00530AF9"/>
    <w:rsid w:val="00531457"/>
    <w:rsid w:val="0053532F"/>
    <w:rsid w:val="0053555B"/>
    <w:rsid w:val="00535B98"/>
    <w:rsid w:val="0053605D"/>
    <w:rsid w:val="00536160"/>
    <w:rsid w:val="00536F42"/>
    <w:rsid w:val="00537015"/>
    <w:rsid w:val="00537182"/>
    <w:rsid w:val="0053732E"/>
    <w:rsid w:val="0053752C"/>
    <w:rsid w:val="005404EA"/>
    <w:rsid w:val="00541130"/>
    <w:rsid w:val="00541360"/>
    <w:rsid w:val="0054179D"/>
    <w:rsid w:val="00542709"/>
    <w:rsid w:val="00542743"/>
    <w:rsid w:val="005428E2"/>
    <w:rsid w:val="00542C2D"/>
    <w:rsid w:val="00543267"/>
    <w:rsid w:val="00544A62"/>
    <w:rsid w:val="00545079"/>
    <w:rsid w:val="00546304"/>
    <w:rsid w:val="00547C9F"/>
    <w:rsid w:val="005501D4"/>
    <w:rsid w:val="0055105F"/>
    <w:rsid w:val="00551985"/>
    <w:rsid w:val="00551B14"/>
    <w:rsid w:val="00552BD3"/>
    <w:rsid w:val="00553652"/>
    <w:rsid w:val="00555109"/>
    <w:rsid w:val="0055621E"/>
    <w:rsid w:val="00556C9B"/>
    <w:rsid w:val="00556D55"/>
    <w:rsid w:val="005578C8"/>
    <w:rsid w:val="00557F43"/>
    <w:rsid w:val="00557F66"/>
    <w:rsid w:val="00560E24"/>
    <w:rsid w:val="005611DF"/>
    <w:rsid w:val="00562471"/>
    <w:rsid w:val="00562735"/>
    <w:rsid w:val="00562EC6"/>
    <w:rsid w:val="00562ECB"/>
    <w:rsid w:val="00563775"/>
    <w:rsid w:val="005638B6"/>
    <w:rsid w:val="00564443"/>
    <w:rsid w:val="00564948"/>
    <w:rsid w:val="00564FE5"/>
    <w:rsid w:val="00565115"/>
    <w:rsid w:val="005661C4"/>
    <w:rsid w:val="0056696F"/>
    <w:rsid w:val="005674EB"/>
    <w:rsid w:val="0057076F"/>
    <w:rsid w:val="005719CE"/>
    <w:rsid w:val="00572269"/>
    <w:rsid w:val="0057244A"/>
    <w:rsid w:val="005743AB"/>
    <w:rsid w:val="005745A7"/>
    <w:rsid w:val="00575230"/>
    <w:rsid w:val="00575D8D"/>
    <w:rsid w:val="00576055"/>
    <w:rsid w:val="00576972"/>
    <w:rsid w:val="005774F8"/>
    <w:rsid w:val="0057793D"/>
    <w:rsid w:val="005806D8"/>
    <w:rsid w:val="00583054"/>
    <w:rsid w:val="00583699"/>
    <w:rsid w:val="0058503B"/>
    <w:rsid w:val="00585CDD"/>
    <w:rsid w:val="00586034"/>
    <w:rsid w:val="00587058"/>
    <w:rsid w:val="005872BF"/>
    <w:rsid w:val="00587B4F"/>
    <w:rsid w:val="005903A8"/>
    <w:rsid w:val="00590606"/>
    <w:rsid w:val="00591957"/>
    <w:rsid w:val="005932F9"/>
    <w:rsid w:val="00593602"/>
    <w:rsid w:val="00593F67"/>
    <w:rsid w:val="005952A4"/>
    <w:rsid w:val="00595305"/>
    <w:rsid w:val="005959AE"/>
    <w:rsid w:val="00596B1D"/>
    <w:rsid w:val="00596FCF"/>
    <w:rsid w:val="00597020"/>
    <w:rsid w:val="00597BF9"/>
    <w:rsid w:val="005A0CD7"/>
    <w:rsid w:val="005A373D"/>
    <w:rsid w:val="005A3DC9"/>
    <w:rsid w:val="005A3F0D"/>
    <w:rsid w:val="005A4BDC"/>
    <w:rsid w:val="005A4D9A"/>
    <w:rsid w:val="005A5958"/>
    <w:rsid w:val="005A5B2A"/>
    <w:rsid w:val="005A61C2"/>
    <w:rsid w:val="005A628A"/>
    <w:rsid w:val="005A6F13"/>
    <w:rsid w:val="005A788E"/>
    <w:rsid w:val="005B2D3A"/>
    <w:rsid w:val="005B404A"/>
    <w:rsid w:val="005B4627"/>
    <w:rsid w:val="005B478A"/>
    <w:rsid w:val="005B5857"/>
    <w:rsid w:val="005C168D"/>
    <w:rsid w:val="005C1714"/>
    <w:rsid w:val="005C17EA"/>
    <w:rsid w:val="005C1B83"/>
    <w:rsid w:val="005C2D55"/>
    <w:rsid w:val="005C3052"/>
    <w:rsid w:val="005C346B"/>
    <w:rsid w:val="005C36FC"/>
    <w:rsid w:val="005C385F"/>
    <w:rsid w:val="005C39D0"/>
    <w:rsid w:val="005C4615"/>
    <w:rsid w:val="005C4A79"/>
    <w:rsid w:val="005C5115"/>
    <w:rsid w:val="005C52BD"/>
    <w:rsid w:val="005C5821"/>
    <w:rsid w:val="005C6ED3"/>
    <w:rsid w:val="005C72FA"/>
    <w:rsid w:val="005D02D6"/>
    <w:rsid w:val="005D044D"/>
    <w:rsid w:val="005D0ABD"/>
    <w:rsid w:val="005D188E"/>
    <w:rsid w:val="005D18AD"/>
    <w:rsid w:val="005D1F86"/>
    <w:rsid w:val="005D26B4"/>
    <w:rsid w:val="005D311C"/>
    <w:rsid w:val="005D4396"/>
    <w:rsid w:val="005D5952"/>
    <w:rsid w:val="005D635E"/>
    <w:rsid w:val="005D6599"/>
    <w:rsid w:val="005D6A45"/>
    <w:rsid w:val="005D6A76"/>
    <w:rsid w:val="005D7726"/>
    <w:rsid w:val="005E16FA"/>
    <w:rsid w:val="005E290F"/>
    <w:rsid w:val="005E2C84"/>
    <w:rsid w:val="005E3C39"/>
    <w:rsid w:val="005E4AEB"/>
    <w:rsid w:val="005E5731"/>
    <w:rsid w:val="005E5F10"/>
    <w:rsid w:val="005E638D"/>
    <w:rsid w:val="005E6CBC"/>
    <w:rsid w:val="005E73C0"/>
    <w:rsid w:val="005F12EF"/>
    <w:rsid w:val="005F1F7D"/>
    <w:rsid w:val="005F22B5"/>
    <w:rsid w:val="005F2706"/>
    <w:rsid w:val="005F3FC2"/>
    <w:rsid w:val="005F437B"/>
    <w:rsid w:val="005F495C"/>
    <w:rsid w:val="005F4E7D"/>
    <w:rsid w:val="005F56BB"/>
    <w:rsid w:val="005F5799"/>
    <w:rsid w:val="005F5D69"/>
    <w:rsid w:val="005F671C"/>
    <w:rsid w:val="005F67FC"/>
    <w:rsid w:val="005F6845"/>
    <w:rsid w:val="005F6A8F"/>
    <w:rsid w:val="00600449"/>
    <w:rsid w:val="00601082"/>
    <w:rsid w:val="00603DB9"/>
    <w:rsid w:val="00604652"/>
    <w:rsid w:val="006056D1"/>
    <w:rsid w:val="00605E7B"/>
    <w:rsid w:val="00606702"/>
    <w:rsid w:val="00606A76"/>
    <w:rsid w:val="00607669"/>
    <w:rsid w:val="00607AFD"/>
    <w:rsid w:val="00607C2E"/>
    <w:rsid w:val="00607FF2"/>
    <w:rsid w:val="006104DA"/>
    <w:rsid w:val="006116F1"/>
    <w:rsid w:val="006119EE"/>
    <w:rsid w:val="00612F97"/>
    <w:rsid w:val="0061345D"/>
    <w:rsid w:val="00613DD8"/>
    <w:rsid w:val="00615629"/>
    <w:rsid w:val="00616802"/>
    <w:rsid w:val="00616B6E"/>
    <w:rsid w:val="00617646"/>
    <w:rsid w:val="00617E12"/>
    <w:rsid w:val="00620A0A"/>
    <w:rsid w:val="00621477"/>
    <w:rsid w:val="0062271D"/>
    <w:rsid w:val="00622EFF"/>
    <w:rsid w:val="006244C8"/>
    <w:rsid w:val="006249B7"/>
    <w:rsid w:val="00624AB6"/>
    <w:rsid w:val="00624F39"/>
    <w:rsid w:val="00625ABA"/>
    <w:rsid w:val="00626EF2"/>
    <w:rsid w:val="00630183"/>
    <w:rsid w:val="0063158F"/>
    <w:rsid w:val="00631D6B"/>
    <w:rsid w:val="00632039"/>
    <w:rsid w:val="00632045"/>
    <w:rsid w:val="00632F48"/>
    <w:rsid w:val="006330A1"/>
    <w:rsid w:val="00633664"/>
    <w:rsid w:val="00634582"/>
    <w:rsid w:val="0063479F"/>
    <w:rsid w:val="00635068"/>
    <w:rsid w:val="006350C1"/>
    <w:rsid w:val="006353F0"/>
    <w:rsid w:val="006364A1"/>
    <w:rsid w:val="00637BFD"/>
    <w:rsid w:val="0064179C"/>
    <w:rsid w:val="00641C4E"/>
    <w:rsid w:val="00641C58"/>
    <w:rsid w:val="00641EF7"/>
    <w:rsid w:val="006428C7"/>
    <w:rsid w:val="00643DC6"/>
    <w:rsid w:val="0064487D"/>
    <w:rsid w:val="00644A1A"/>
    <w:rsid w:val="0064556F"/>
    <w:rsid w:val="00645609"/>
    <w:rsid w:val="0064653A"/>
    <w:rsid w:val="006471CC"/>
    <w:rsid w:val="00647CE8"/>
    <w:rsid w:val="00647DF5"/>
    <w:rsid w:val="0065079F"/>
    <w:rsid w:val="00650AC2"/>
    <w:rsid w:val="00650C13"/>
    <w:rsid w:val="00650FDA"/>
    <w:rsid w:val="0065133E"/>
    <w:rsid w:val="0065139C"/>
    <w:rsid w:val="00651B37"/>
    <w:rsid w:val="00652266"/>
    <w:rsid w:val="006527E6"/>
    <w:rsid w:val="006527F8"/>
    <w:rsid w:val="006535E3"/>
    <w:rsid w:val="0065379F"/>
    <w:rsid w:val="00653FB0"/>
    <w:rsid w:val="006545F8"/>
    <w:rsid w:val="00654771"/>
    <w:rsid w:val="00655F1B"/>
    <w:rsid w:val="00660A7E"/>
    <w:rsid w:val="00661C39"/>
    <w:rsid w:val="00661C6B"/>
    <w:rsid w:val="006639E7"/>
    <w:rsid w:val="006672FC"/>
    <w:rsid w:val="0066777A"/>
    <w:rsid w:val="00667ED6"/>
    <w:rsid w:val="006705DC"/>
    <w:rsid w:val="00671E23"/>
    <w:rsid w:val="006730DE"/>
    <w:rsid w:val="00674482"/>
    <w:rsid w:val="00674660"/>
    <w:rsid w:val="00674C00"/>
    <w:rsid w:val="00674E42"/>
    <w:rsid w:val="00674EF3"/>
    <w:rsid w:val="00675713"/>
    <w:rsid w:val="006758C7"/>
    <w:rsid w:val="006759C2"/>
    <w:rsid w:val="00676814"/>
    <w:rsid w:val="00677F83"/>
    <w:rsid w:val="0068012F"/>
    <w:rsid w:val="0068092C"/>
    <w:rsid w:val="00680F6F"/>
    <w:rsid w:val="006810B9"/>
    <w:rsid w:val="00681389"/>
    <w:rsid w:val="00681444"/>
    <w:rsid w:val="00681B36"/>
    <w:rsid w:val="00682112"/>
    <w:rsid w:val="00682F69"/>
    <w:rsid w:val="00684DBC"/>
    <w:rsid w:val="0068550B"/>
    <w:rsid w:val="006860AC"/>
    <w:rsid w:val="00686129"/>
    <w:rsid w:val="00686957"/>
    <w:rsid w:val="006872BA"/>
    <w:rsid w:val="006878AA"/>
    <w:rsid w:val="0069085F"/>
    <w:rsid w:val="0069112C"/>
    <w:rsid w:val="00691648"/>
    <w:rsid w:val="006917D7"/>
    <w:rsid w:val="00692B34"/>
    <w:rsid w:val="00692CDA"/>
    <w:rsid w:val="0069346F"/>
    <w:rsid w:val="00693ECA"/>
    <w:rsid w:val="00694D14"/>
    <w:rsid w:val="00694F44"/>
    <w:rsid w:val="00695867"/>
    <w:rsid w:val="00695BD5"/>
    <w:rsid w:val="006A11F4"/>
    <w:rsid w:val="006A21AB"/>
    <w:rsid w:val="006A2613"/>
    <w:rsid w:val="006A2905"/>
    <w:rsid w:val="006A374C"/>
    <w:rsid w:val="006A42B7"/>
    <w:rsid w:val="006A4563"/>
    <w:rsid w:val="006A6E65"/>
    <w:rsid w:val="006A7973"/>
    <w:rsid w:val="006A7A54"/>
    <w:rsid w:val="006A7E5F"/>
    <w:rsid w:val="006B1EAC"/>
    <w:rsid w:val="006B21DC"/>
    <w:rsid w:val="006B261B"/>
    <w:rsid w:val="006B2C90"/>
    <w:rsid w:val="006B2E8D"/>
    <w:rsid w:val="006B33FB"/>
    <w:rsid w:val="006B3496"/>
    <w:rsid w:val="006B3A5F"/>
    <w:rsid w:val="006B3B2D"/>
    <w:rsid w:val="006B3BA6"/>
    <w:rsid w:val="006B3F90"/>
    <w:rsid w:val="006B6CAF"/>
    <w:rsid w:val="006B6DD0"/>
    <w:rsid w:val="006B715E"/>
    <w:rsid w:val="006C0422"/>
    <w:rsid w:val="006C09CB"/>
    <w:rsid w:val="006C1FCE"/>
    <w:rsid w:val="006C2A8E"/>
    <w:rsid w:val="006C3F22"/>
    <w:rsid w:val="006C42B9"/>
    <w:rsid w:val="006C44AD"/>
    <w:rsid w:val="006C4860"/>
    <w:rsid w:val="006C51C9"/>
    <w:rsid w:val="006C7000"/>
    <w:rsid w:val="006C79A0"/>
    <w:rsid w:val="006C7D57"/>
    <w:rsid w:val="006D065F"/>
    <w:rsid w:val="006D0C8F"/>
    <w:rsid w:val="006D0F08"/>
    <w:rsid w:val="006D3131"/>
    <w:rsid w:val="006D3591"/>
    <w:rsid w:val="006D3C7D"/>
    <w:rsid w:val="006D4B40"/>
    <w:rsid w:val="006D584A"/>
    <w:rsid w:val="006D5D5F"/>
    <w:rsid w:val="006D6D94"/>
    <w:rsid w:val="006D7387"/>
    <w:rsid w:val="006E0B73"/>
    <w:rsid w:val="006E1256"/>
    <w:rsid w:val="006E188B"/>
    <w:rsid w:val="006E1DAE"/>
    <w:rsid w:val="006E1E1A"/>
    <w:rsid w:val="006E2937"/>
    <w:rsid w:val="006E33F8"/>
    <w:rsid w:val="006E39B3"/>
    <w:rsid w:val="006E3E7D"/>
    <w:rsid w:val="006E5344"/>
    <w:rsid w:val="006E6EB5"/>
    <w:rsid w:val="006E7960"/>
    <w:rsid w:val="006F0F36"/>
    <w:rsid w:val="006F275B"/>
    <w:rsid w:val="006F306C"/>
    <w:rsid w:val="006F3832"/>
    <w:rsid w:val="006F3E63"/>
    <w:rsid w:val="006F3E7A"/>
    <w:rsid w:val="006F47C9"/>
    <w:rsid w:val="006F4ADF"/>
    <w:rsid w:val="006F5EC4"/>
    <w:rsid w:val="006F62D2"/>
    <w:rsid w:val="006F63A5"/>
    <w:rsid w:val="006F7622"/>
    <w:rsid w:val="0070142B"/>
    <w:rsid w:val="0070276E"/>
    <w:rsid w:val="00702F8F"/>
    <w:rsid w:val="00702FC0"/>
    <w:rsid w:val="00707F60"/>
    <w:rsid w:val="0071013A"/>
    <w:rsid w:val="007106BB"/>
    <w:rsid w:val="00710E73"/>
    <w:rsid w:val="0071138E"/>
    <w:rsid w:val="00711A36"/>
    <w:rsid w:val="00712232"/>
    <w:rsid w:val="0071291E"/>
    <w:rsid w:val="00712B47"/>
    <w:rsid w:val="00712B71"/>
    <w:rsid w:val="00714461"/>
    <w:rsid w:val="0071511C"/>
    <w:rsid w:val="0071529C"/>
    <w:rsid w:val="00716770"/>
    <w:rsid w:val="007172AD"/>
    <w:rsid w:val="007204C7"/>
    <w:rsid w:val="007205DF"/>
    <w:rsid w:val="00721FD4"/>
    <w:rsid w:val="00722B1B"/>
    <w:rsid w:val="00723323"/>
    <w:rsid w:val="00723DC7"/>
    <w:rsid w:val="0072416F"/>
    <w:rsid w:val="0072460A"/>
    <w:rsid w:val="00725C00"/>
    <w:rsid w:val="00727A91"/>
    <w:rsid w:val="00727C94"/>
    <w:rsid w:val="00730328"/>
    <w:rsid w:val="007306D1"/>
    <w:rsid w:val="00730EFF"/>
    <w:rsid w:val="00730FC2"/>
    <w:rsid w:val="00731EAE"/>
    <w:rsid w:val="007332AF"/>
    <w:rsid w:val="00733CF5"/>
    <w:rsid w:val="00733FCB"/>
    <w:rsid w:val="007345F8"/>
    <w:rsid w:val="00735033"/>
    <w:rsid w:val="00735328"/>
    <w:rsid w:val="00735B43"/>
    <w:rsid w:val="007362A0"/>
    <w:rsid w:val="00736671"/>
    <w:rsid w:val="0073685B"/>
    <w:rsid w:val="00737C5D"/>
    <w:rsid w:val="00740FCE"/>
    <w:rsid w:val="00741305"/>
    <w:rsid w:val="007419CC"/>
    <w:rsid w:val="007419F1"/>
    <w:rsid w:val="00741DE1"/>
    <w:rsid w:val="00741FAA"/>
    <w:rsid w:val="0074387C"/>
    <w:rsid w:val="00744BED"/>
    <w:rsid w:val="00744C68"/>
    <w:rsid w:val="00745181"/>
    <w:rsid w:val="007454EA"/>
    <w:rsid w:val="0074560A"/>
    <w:rsid w:val="00745E05"/>
    <w:rsid w:val="00745E18"/>
    <w:rsid w:val="00745EAA"/>
    <w:rsid w:val="007465BF"/>
    <w:rsid w:val="00751A13"/>
    <w:rsid w:val="00752142"/>
    <w:rsid w:val="007522EE"/>
    <w:rsid w:val="007523F9"/>
    <w:rsid w:val="00752B51"/>
    <w:rsid w:val="007532B5"/>
    <w:rsid w:val="007538E4"/>
    <w:rsid w:val="00753EF1"/>
    <w:rsid w:val="0075479F"/>
    <w:rsid w:val="00754F33"/>
    <w:rsid w:val="00755FF4"/>
    <w:rsid w:val="00757231"/>
    <w:rsid w:val="007573E8"/>
    <w:rsid w:val="007605E8"/>
    <w:rsid w:val="00760C0C"/>
    <w:rsid w:val="00760C4E"/>
    <w:rsid w:val="00760FA8"/>
    <w:rsid w:val="00762E24"/>
    <w:rsid w:val="0076476B"/>
    <w:rsid w:val="00765B1A"/>
    <w:rsid w:val="00766204"/>
    <w:rsid w:val="00766717"/>
    <w:rsid w:val="00767261"/>
    <w:rsid w:val="00767E40"/>
    <w:rsid w:val="00771375"/>
    <w:rsid w:val="00771B8E"/>
    <w:rsid w:val="007735FB"/>
    <w:rsid w:val="00773A08"/>
    <w:rsid w:val="0077477F"/>
    <w:rsid w:val="00776213"/>
    <w:rsid w:val="00777AFE"/>
    <w:rsid w:val="007806A5"/>
    <w:rsid w:val="0078155E"/>
    <w:rsid w:val="00782DF1"/>
    <w:rsid w:val="00783B2E"/>
    <w:rsid w:val="00783B42"/>
    <w:rsid w:val="00784369"/>
    <w:rsid w:val="007843F2"/>
    <w:rsid w:val="00785AEA"/>
    <w:rsid w:val="00785D7B"/>
    <w:rsid w:val="007866E5"/>
    <w:rsid w:val="00787321"/>
    <w:rsid w:val="00787D81"/>
    <w:rsid w:val="007904C6"/>
    <w:rsid w:val="00792923"/>
    <w:rsid w:val="00792F32"/>
    <w:rsid w:val="00793D96"/>
    <w:rsid w:val="00794BDE"/>
    <w:rsid w:val="00794F6E"/>
    <w:rsid w:val="00795198"/>
    <w:rsid w:val="00795C99"/>
    <w:rsid w:val="007963C4"/>
    <w:rsid w:val="0079713F"/>
    <w:rsid w:val="00797351"/>
    <w:rsid w:val="0079759A"/>
    <w:rsid w:val="007A02FE"/>
    <w:rsid w:val="007A0A12"/>
    <w:rsid w:val="007A132D"/>
    <w:rsid w:val="007A2157"/>
    <w:rsid w:val="007A285D"/>
    <w:rsid w:val="007A3211"/>
    <w:rsid w:val="007A3297"/>
    <w:rsid w:val="007A3D76"/>
    <w:rsid w:val="007A47BB"/>
    <w:rsid w:val="007A4B2A"/>
    <w:rsid w:val="007A5086"/>
    <w:rsid w:val="007A5C38"/>
    <w:rsid w:val="007A671E"/>
    <w:rsid w:val="007A6890"/>
    <w:rsid w:val="007B03A3"/>
    <w:rsid w:val="007B0A09"/>
    <w:rsid w:val="007B0D68"/>
    <w:rsid w:val="007B0DA6"/>
    <w:rsid w:val="007B0E7D"/>
    <w:rsid w:val="007B1A25"/>
    <w:rsid w:val="007B251D"/>
    <w:rsid w:val="007B4063"/>
    <w:rsid w:val="007B4DDA"/>
    <w:rsid w:val="007B4F58"/>
    <w:rsid w:val="007B528D"/>
    <w:rsid w:val="007B54D5"/>
    <w:rsid w:val="007B63A6"/>
    <w:rsid w:val="007B77D1"/>
    <w:rsid w:val="007B78DE"/>
    <w:rsid w:val="007B78EA"/>
    <w:rsid w:val="007C125C"/>
    <w:rsid w:val="007C18CF"/>
    <w:rsid w:val="007C1CD9"/>
    <w:rsid w:val="007C1D20"/>
    <w:rsid w:val="007C361D"/>
    <w:rsid w:val="007C36D5"/>
    <w:rsid w:val="007C407B"/>
    <w:rsid w:val="007C4B84"/>
    <w:rsid w:val="007C4F9E"/>
    <w:rsid w:val="007C5EC1"/>
    <w:rsid w:val="007C624E"/>
    <w:rsid w:val="007C6CA4"/>
    <w:rsid w:val="007D004F"/>
    <w:rsid w:val="007D0B38"/>
    <w:rsid w:val="007D14E6"/>
    <w:rsid w:val="007D1916"/>
    <w:rsid w:val="007D20C8"/>
    <w:rsid w:val="007D2E88"/>
    <w:rsid w:val="007D2F47"/>
    <w:rsid w:val="007D3506"/>
    <w:rsid w:val="007D3E37"/>
    <w:rsid w:val="007D5440"/>
    <w:rsid w:val="007D554B"/>
    <w:rsid w:val="007D5C1C"/>
    <w:rsid w:val="007D668E"/>
    <w:rsid w:val="007D6837"/>
    <w:rsid w:val="007D68B9"/>
    <w:rsid w:val="007D7241"/>
    <w:rsid w:val="007D7E03"/>
    <w:rsid w:val="007E0EC5"/>
    <w:rsid w:val="007E1BBA"/>
    <w:rsid w:val="007E26AA"/>
    <w:rsid w:val="007E4BED"/>
    <w:rsid w:val="007E5BF8"/>
    <w:rsid w:val="007E6998"/>
    <w:rsid w:val="007E7171"/>
    <w:rsid w:val="007F0D20"/>
    <w:rsid w:val="007F0FA8"/>
    <w:rsid w:val="007F1017"/>
    <w:rsid w:val="007F20EA"/>
    <w:rsid w:val="007F27D0"/>
    <w:rsid w:val="007F30C8"/>
    <w:rsid w:val="007F347A"/>
    <w:rsid w:val="007F491E"/>
    <w:rsid w:val="007F4A3F"/>
    <w:rsid w:val="007F4A61"/>
    <w:rsid w:val="007F5155"/>
    <w:rsid w:val="007F52B9"/>
    <w:rsid w:val="007F61C2"/>
    <w:rsid w:val="008006EE"/>
    <w:rsid w:val="00801717"/>
    <w:rsid w:val="00802410"/>
    <w:rsid w:val="00802ACF"/>
    <w:rsid w:val="00803637"/>
    <w:rsid w:val="00804938"/>
    <w:rsid w:val="00804EBE"/>
    <w:rsid w:val="00805142"/>
    <w:rsid w:val="00806D16"/>
    <w:rsid w:val="00806E11"/>
    <w:rsid w:val="0080786C"/>
    <w:rsid w:val="00807A8B"/>
    <w:rsid w:val="00807AD4"/>
    <w:rsid w:val="00810C20"/>
    <w:rsid w:val="00811383"/>
    <w:rsid w:val="00811582"/>
    <w:rsid w:val="00811DA9"/>
    <w:rsid w:val="00812149"/>
    <w:rsid w:val="00812273"/>
    <w:rsid w:val="008123B1"/>
    <w:rsid w:val="00812735"/>
    <w:rsid w:val="0081295C"/>
    <w:rsid w:val="00812ADC"/>
    <w:rsid w:val="00812CAC"/>
    <w:rsid w:val="00813156"/>
    <w:rsid w:val="008135F6"/>
    <w:rsid w:val="0081432A"/>
    <w:rsid w:val="0081467A"/>
    <w:rsid w:val="00814924"/>
    <w:rsid w:val="00815813"/>
    <w:rsid w:val="008166EF"/>
    <w:rsid w:val="00822225"/>
    <w:rsid w:val="008223A6"/>
    <w:rsid w:val="00823658"/>
    <w:rsid w:val="008239E9"/>
    <w:rsid w:val="00823B83"/>
    <w:rsid w:val="00823BAB"/>
    <w:rsid w:val="00823CD3"/>
    <w:rsid w:val="00823E44"/>
    <w:rsid w:val="0082421F"/>
    <w:rsid w:val="008252F1"/>
    <w:rsid w:val="008254E4"/>
    <w:rsid w:val="00825751"/>
    <w:rsid w:val="00825B53"/>
    <w:rsid w:val="008264EB"/>
    <w:rsid w:val="008274F3"/>
    <w:rsid w:val="00830320"/>
    <w:rsid w:val="00830C66"/>
    <w:rsid w:val="008321AC"/>
    <w:rsid w:val="008323E7"/>
    <w:rsid w:val="00832627"/>
    <w:rsid w:val="0083278E"/>
    <w:rsid w:val="008336E2"/>
    <w:rsid w:val="00833B05"/>
    <w:rsid w:val="00833D97"/>
    <w:rsid w:val="00834C2E"/>
    <w:rsid w:val="00834E3D"/>
    <w:rsid w:val="008351A0"/>
    <w:rsid w:val="00835739"/>
    <w:rsid w:val="00835848"/>
    <w:rsid w:val="008362B4"/>
    <w:rsid w:val="008367B8"/>
    <w:rsid w:val="00837023"/>
    <w:rsid w:val="00837251"/>
    <w:rsid w:val="00837511"/>
    <w:rsid w:val="00840CA2"/>
    <w:rsid w:val="008427ED"/>
    <w:rsid w:val="0084374F"/>
    <w:rsid w:val="00843DAA"/>
    <w:rsid w:val="00843E1D"/>
    <w:rsid w:val="00845828"/>
    <w:rsid w:val="00845FCF"/>
    <w:rsid w:val="00846DB2"/>
    <w:rsid w:val="00847DF5"/>
    <w:rsid w:val="00850660"/>
    <w:rsid w:val="008507B1"/>
    <w:rsid w:val="00850EA4"/>
    <w:rsid w:val="008517AC"/>
    <w:rsid w:val="008526F4"/>
    <w:rsid w:val="00852898"/>
    <w:rsid w:val="0085309D"/>
    <w:rsid w:val="00853EA0"/>
    <w:rsid w:val="0085446C"/>
    <w:rsid w:val="00855EEB"/>
    <w:rsid w:val="00855EF1"/>
    <w:rsid w:val="00855FA1"/>
    <w:rsid w:val="008566ED"/>
    <w:rsid w:val="00856897"/>
    <w:rsid w:val="00856E9A"/>
    <w:rsid w:val="00857797"/>
    <w:rsid w:val="008601D8"/>
    <w:rsid w:val="0086075D"/>
    <w:rsid w:val="00862502"/>
    <w:rsid w:val="0086368E"/>
    <w:rsid w:val="00863732"/>
    <w:rsid w:val="00863900"/>
    <w:rsid w:val="00863A7C"/>
    <w:rsid w:val="00864F9B"/>
    <w:rsid w:val="00865272"/>
    <w:rsid w:val="00865DD1"/>
    <w:rsid w:val="008660D4"/>
    <w:rsid w:val="00866A5A"/>
    <w:rsid w:val="00867245"/>
    <w:rsid w:val="00870B3E"/>
    <w:rsid w:val="00871232"/>
    <w:rsid w:val="00871B9F"/>
    <w:rsid w:val="00871EB0"/>
    <w:rsid w:val="00871FA9"/>
    <w:rsid w:val="008728E9"/>
    <w:rsid w:val="008731D6"/>
    <w:rsid w:val="00873932"/>
    <w:rsid w:val="00873DD5"/>
    <w:rsid w:val="00874491"/>
    <w:rsid w:val="0087481F"/>
    <w:rsid w:val="00874F9A"/>
    <w:rsid w:val="008751F4"/>
    <w:rsid w:val="00876480"/>
    <w:rsid w:val="008770E0"/>
    <w:rsid w:val="008775B3"/>
    <w:rsid w:val="00880AAF"/>
    <w:rsid w:val="00880F01"/>
    <w:rsid w:val="008812ED"/>
    <w:rsid w:val="00881768"/>
    <w:rsid w:val="008817BA"/>
    <w:rsid w:val="00882874"/>
    <w:rsid w:val="00882A0B"/>
    <w:rsid w:val="00882A8E"/>
    <w:rsid w:val="00883787"/>
    <w:rsid w:val="008842A5"/>
    <w:rsid w:val="008845B3"/>
    <w:rsid w:val="00885BDF"/>
    <w:rsid w:val="00885C62"/>
    <w:rsid w:val="008864EC"/>
    <w:rsid w:val="00886A2A"/>
    <w:rsid w:val="00886CD2"/>
    <w:rsid w:val="00890948"/>
    <w:rsid w:val="00891317"/>
    <w:rsid w:val="008914DD"/>
    <w:rsid w:val="00891D32"/>
    <w:rsid w:val="0089209A"/>
    <w:rsid w:val="00892566"/>
    <w:rsid w:val="00892A36"/>
    <w:rsid w:val="008930EE"/>
    <w:rsid w:val="00893239"/>
    <w:rsid w:val="00893F8C"/>
    <w:rsid w:val="0089404C"/>
    <w:rsid w:val="00894489"/>
    <w:rsid w:val="00894770"/>
    <w:rsid w:val="00895852"/>
    <w:rsid w:val="008960A9"/>
    <w:rsid w:val="008963A5"/>
    <w:rsid w:val="00896B77"/>
    <w:rsid w:val="00897B6F"/>
    <w:rsid w:val="008A058F"/>
    <w:rsid w:val="008A0C51"/>
    <w:rsid w:val="008A1C9E"/>
    <w:rsid w:val="008A1E1F"/>
    <w:rsid w:val="008A227C"/>
    <w:rsid w:val="008A247B"/>
    <w:rsid w:val="008A2C15"/>
    <w:rsid w:val="008A3363"/>
    <w:rsid w:val="008A3371"/>
    <w:rsid w:val="008A3C3E"/>
    <w:rsid w:val="008A4AD1"/>
    <w:rsid w:val="008A4B0D"/>
    <w:rsid w:val="008A4E79"/>
    <w:rsid w:val="008A6064"/>
    <w:rsid w:val="008A6263"/>
    <w:rsid w:val="008A63D4"/>
    <w:rsid w:val="008A6AF5"/>
    <w:rsid w:val="008A6E01"/>
    <w:rsid w:val="008A79DE"/>
    <w:rsid w:val="008B0812"/>
    <w:rsid w:val="008B097B"/>
    <w:rsid w:val="008B0DC6"/>
    <w:rsid w:val="008B0FB3"/>
    <w:rsid w:val="008B151B"/>
    <w:rsid w:val="008B167C"/>
    <w:rsid w:val="008B1757"/>
    <w:rsid w:val="008B1B59"/>
    <w:rsid w:val="008B1C85"/>
    <w:rsid w:val="008B214D"/>
    <w:rsid w:val="008B362F"/>
    <w:rsid w:val="008B42E7"/>
    <w:rsid w:val="008B708B"/>
    <w:rsid w:val="008B7985"/>
    <w:rsid w:val="008B7D7E"/>
    <w:rsid w:val="008C1220"/>
    <w:rsid w:val="008C156B"/>
    <w:rsid w:val="008C231D"/>
    <w:rsid w:val="008C33B9"/>
    <w:rsid w:val="008C3B02"/>
    <w:rsid w:val="008C466D"/>
    <w:rsid w:val="008C70F9"/>
    <w:rsid w:val="008C77D3"/>
    <w:rsid w:val="008C7856"/>
    <w:rsid w:val="008C7ECB"/>
    <w:rsid w:val="008D04D7"/>
    <w:rsid w:val="008D3D9C"/>
    <w:rsid w:val="008D4755"/>
    <w:rsid w:val="008D4996"/>
    <w:rsid w:val="008D4B60"/>
    <w:rsid w:val="008D4C3D"/>
    <w:rsid w:val="008D5DDB"/>
    <w:rsid w:val="008D6515"/>
    <w:rsid w:val="008D6CCD"/>
    <w:rsid w:val="008D6E45"/>
    <w:rsid w:val="008D739B"/>
    <w:rsid w:val="008D7572"/>
    <w:rsid w:val="008E0352"/>
    <w:rsid w:val="008E0B23"/>
    <w:rsid w:val="008E0D3C"/>
    <w:rsid w:val="008E117F"/>
    <w:rsid w:val="008E1B9E"/>
    <w:rsid w:val="008E301B"/>
    <w:rsid w:val="008E3481"/>
    <w:rsid w:val="008E507C"/>
    <w:rsid w:val="008E55AB"/>
    <w:rsid w:val="008E72BE"/>
    <w:rsid w:val="008E7E17"/>
    <w:rsid w:val="008F02BD"/>
    <w:rsid w:val="008F05B2"/>
    <w:rsid w:val="008F120A"/>
    <w:rsid w:val="008F15FE"/>
    <w:rsid w:val="008F21FE"/>
    <w:rsid w:val="008F27E0"/>
    <w:rsid w:val="008F3123"/>
    <w:rsid w:val="008F35F4"/>
    <w:rsid w:val="008F3C10"/>
    <w:rsid w:val="008F482D"/>
    <w:rsid w:val="008F48EB"/>
    <w:rsid w:val="008F4F0B"/>
    <w:rsid w:val="008F6D0E"/>
    <w:rsid w:val="008F7340"/>
    <w:rsid w:val="008F791F"/>
    <w:rsid w:val="009003DD"/>
    <w:rsid w:val="009008F5"/>
    <w:rsid w:val="0090137F"/>
    <w:rsid w:val="00902B7D"/>
    <w:rsid w:val="00902DDE"/>
    <w:rsid w:val="00903D8F"/>
    <w:rsid w:val="0090420F"/>
    <w:rsid w:val="0090436D"/>
    <w:rsid w:val="00904693"/>
    <w:rsid w:val="009046C4"/>
    <w:rsid w:val="00904982"/>
    <w:rsid w:val="00904D50"/>
    <w:rsid w:val="009054B1"/>
    <w:rsid w:val="00905FC7"/>
    <w:rsid w:val="009060DA"/>
    <w:rsid w:val="009062A5"/>
    <w:rsid w:val="009063F5"/>
    <w:rsid w:val="0090729E"/>
    <w:rsid w:val="009076F3"/>
    <w:rsid w:val="00907F2F"/>
    <w:rsid w:val="009106A5"/>
    <w:rsid w:val="00911272"/>
    <w:rsid w:val="009113A8"/>
    <w:rsid w:val="00912043"/>
    <w:rsid w:val="009127D3"/>
    <w:rsid w:val="009135D6"/>
    <w:rsid w:val="00914368"/>
    <w:rsid w:val="00914C77"/>
    <w:rsid w:val="00916952"/>
    <w:rsid w:val="00917733"/>
    <w:rsid w:val="00917829"/>
    <w:rsid w:val="00917F7E"/>
    <w:rsid w:val="0092070D"/>
    <w:rsid w:val="009213FE"/>
    <w:rsid w:val="009228C1"/>
    <w:rsid w:val="00922ED3"/>
    <w:rsid w:val="0092369B"/>
    <w:rsid w:val="00923DFA"/>
    <w:rsid w:val="00924F85"/>
    <w:rsid w:val="00925CFD"/>
    <w:rsid w:val="0092600D"/>
    <w:rsid w:val="00926ADC"/>
    <w:rsid w:val="00927B1A"/>
    <w:rsid w:val="00927BE8"/>
    <w:rsid w:val="00927D98"/>
    <w:rsid w:val="00930C38"/>
    <w:rsid w:val="00931C21"/>
    <w:rsid w:val="00932CE2"/>
    <w:rsid w:val="00933073"/>
    <w:rsid w:val="00933EAD"/>
    <w:rsid w:val="00934A6E"/>
    <w:rsid w:val="00934B2C"/>
    <w:rsid w:val="00934B65"/>
    <w:rsid w:val="009377F9"/>
    <w:rsid w:val="00940366"/>
    <w:rsid w:val="009408C9"/>
    <w:rsid w:val="00941A7F"/>
    <w:rsid w:val="009423CA"/>
    <w:rsid w:val="00942F77"/>
    <w:rsid w:val="00943028"/>
    <w:rsid w:val="0094304A"/>
    <w:rsid w:val="00943B23"/>
    <w:rsid w:val="009442D2"/>
    <w:rsid w:val="009456F6"/>
    <w:rsid w:val="009460EA"/>
    <w:rsid w:val="00946E2F"/>
    <w:rsid w:val="009477AD"/>
    <w:rsid w:val="009506AF"/>
    <w:rsid w:val="00950A12"/>
    <w:rsid w:val="00950BD2"/>
    <w:rsid w:val="00950FE6"/>
    <w:rsid w:val="009510A2"/>
    <w:rsid w:val="00951BEB"/>
    <w:rsid w:val="00952DA2"/>
    <w:rsid w:val="00953257"/>
    <w:rsid w:val="009541EA"/>
    <w:rsid w:val="009543D5"/>
    <w:rsid w:val="00954B99"/>
    <w:rsid w:val="00955D0F"/>
    <w:rsid w:val="009566BF"/>
    <w:rsid w:val="00956A18"/>
    <w:rsid w:val="009608B9"/>
    <w:rsid w:val="00960972"/>
    <w:rsid w:val="00960992"/>
    <w:rsid w:val="00961A54"/>
    <w:rsid w:val="00961DF3"/>
    <w:rsid w:val="0096238F"/>
    <w:rsid w:val="00962CB9"/>
    <w:rsid w:val="009630F7"/>
    <w:rsid w:val="009635EC"/>
    <w:rsid w:val="009635F4"/>
    <w:rsid w:val="00964312"/>
    <w:rsid w:val="009645A4"/>
    <w:rsid w:val="00964B33"/>
    <w:rsid w:val="009657A4"/>
    <w:rsid w:val="00965B8A"/>
    <w:rsid w:val="00967346"/>
    <w:rsid w:val="00970136"/>
    <w:rsid w:val="009702A7"/>
    <w:rsid w:val="009702B5"/>
    <w:rsid w:val="00970580"/>
    <w:rsid w:val="009717AC"/>
    <w:rsid w:val="00971AC0"/>
    <w:rsid w:val="00972D27"/>
    <w:rsid w:val="00973B97"/>
    <w:rsid w:val="00973D67"/>
    <w:rsid w:val="0097510A"/>
    <w:rsid w:val="00975C02"/>
    <w:rsid w:val="00977DB8"/>
    <w:rsid w:val="009801ED"/>
    <w:rsid w:val="00981B03"/>
    <w:rsid w:val="00982038"/>
    <w:rsid w:val="009822ED"/>
    <w:rsid w:val="00982F13"/>
    <w:rsid w:val="00983E57"/>
    <w:rsid w:val="0098675D"/>
    <w:rsid w:val="009868E5"/>
    <w:rsid w:val="00986D32"/>
    <w:rsid w:val="00987009"/>
    <w:rsid w:val="00987F0F"/>
    <w:rsid w:val="00991196"/>
    <w:rsid w:val="00991DB0"/>
    <w:rsid w:val="00991F7F"/>
    <w:rsid w:val="00992574"/>
    <w:rsid w:val="00993319"/>
    <w:rsid w:val="00995F20"/>
    <w:rsid w:val="0099622E"/>
    <w:rsid w:val="00996B1A"/>
    <w:rsid w:val="00997B68"/>
    <w:rsid w:val="00997FC5"/>
    <w:rsid w:val="009A0B2B"/>
    <w:rsid w:val="009A1AAF"/>
    <w:rsid w:val="009A1ADB"/>
    <w:rsid w:val="009A2DFA"/>
    <w:rsid w:val="009A3535"/>
    <w:rsid w:val="009A3581"/>
    <w:rsid w:val="009A3606"/>
    <w:rsid w:val="009A3B59"/>
    <w:rsid w:val="009A5FB0"/>
    <w:rsid w:val="009A64D1"/>
    <w:rsid w:val="009A71DC"/>
    <w:rsid w:val="009A7810"/>
    <w:rsid w:val="009A7BF0"/>
    <w:rsid w:val="009A7CAE"/>
    <w:rsid w:val="009A7F10"/>
    <w:rsid w:val="009A7FEE"/>
    <w:rsid w:val="009B13FA"/>
    <w:rsid w:val="009B15E2"/>
    <w:rsid w:val="009B2907"/>
    <w:rsid w:val="009B3E26"/>
    <w:rsid w:val="009B577C"/>
    <w:rsid w:val="009B6B3C"/>
    <w:rsid w:val="009B7F17"/>
    <w:rsid w:val="009C003B"/>
    <w:rsid w:val="009C0B74"/>
    <w:rsid w:val="009C0D97"/>
    <w:rsid w:val="009C1B53"/>
    <w:rsid w:val="009C438E"/>
    <w:rsid w:val="009C5613"/>
    <w:rsid w:val="009C64F9"/>
    <w:rsid w:val="009C6C1A"/>
    <w:rsid w:val="009C6CEA"/>
    <w:rsid w:val="009C7779"/>
    <w:rsid w:val="009C7B85"/>
    <w:rsid w:val="009D047C"/>
    <w:rsid w:val="009D07C0"/>
    <w:rsid w:val="009D0BF9"/>
    <w:rsid w:val="009D2032"/>
    <w:rsid w:val="009D2D42"/>
    <w:rsid w:val="009D2E77"/>
    <w:rsid w:val="009D3289"/>
    <w:rsid w:val="009D3459"/>
    <w:rsid w:val="009D5A9D"/>
    <w:rsid w:val="009D5B91"/>
    <w:rsid w:val="009D6AC6"/>
    <w:rsid w:val="009D749C"/>
    <w:rsid w:val="009D792E"/>
    <w:rsid w:val="009E0760"/>
    <w:rsid w:val="009E0DFE"/>
    <w:rsid w:val="009E1B07"/>
    <w:rsid w:val="009E2465"/>
    <w:rsid w:val="009E2737"/>
    <w:rsid w:val="009E2CED"/>
    <w:rsid w:val="009E3325"/>
    <w:rsid w:val="009E35F2"/>
    <w:rsid w:val="009E396D"/>
    <w:rsid w:val="009E3F9D"/>
    <w:rsid w:val="009E471D"/>
    <w:rsid w:val="009E4C07"/>
    <w:rsid w:val="009E4C0A"/>
    <w:rsid w:val="009F0221"/>
    <w:rsid w:val="009F0FF9"/>
    <w:rsid w:val="009F18FC"/>
    <w:rsid w:val="009F3B99"/>
    <w:rsid w:val="009F3D85"/>
    <w:rsid w:val="009F46CA"/>
    <w:rsid w:val="009F5AF9"/>
    <w:rsid w:val="009F770F"/>
    <w:rsid w:val="00A00E46"/>
    <w:rsid w:val="00A00F4C"/>
    <w:rsid w:val="00A01184"/>
    <w:rsid w:val="00A01769"/>
    <w:rsid w:val="00A018A1"/>
    <w:rsid w:val="00A035CF"/>
    <w:rsid w:val="00A03D43"/>
    <w:rsid w:val="00A03DFB"/>
    <w:rsid w:val="00A04380"/>
    <w:rsid w:val="00A05E00"/>
    <w:rsid w:val="00A07650"/>
    <w:rsid w:val="00A10EE6"/>
    <w:rsid w:val="00A10F06"/>
    <w:rsid w:val="00A11CD0"/>
    <w:rsid w:val="00A12386"/>
    <w:rsid w:val="00A12394"/>
    <w:rsid w:val="00A13523"/>
    <w:rsid w:val="00A13530"/>
    <w:rsid w:val="00A13948"/>
    <w:rsid w:val="00A13FC2"/>
    <w:rsid w:val="00A1555B"/>
    <w:rsid w:val="00A155C5"/>
    <w:rsid w:val="00A1686D"/>
    <w:rsid w:val="00A16AD8"/>
    <w:rsid w:val="00A17D48"/>
    <w:rsid w:val="00A20D05"/>
    <w:rsid w:val="00A21620"/>
    <w:rsid w:val="00A21C19"/>
    <w:rsid w:val="00A21CF3"/>
    <w:rsid w:val="00A22C5F"/>
    <w:rsid w:val="00A240D7"/>
    <w:rsid w:val="00A24838"/>
    <w:rsid w:val="00A248F2"/>
    <w:rsid w:val="00A24981"/>
    <w:rsid w:val="00A261F8"/>
    <w:rsid w:val="00A27119"/>
    <w:rsid w:val="00A27453"/>
    <w:rsid w:val="00A27AEC"/>
    <w:rsid w:val="00A31F79"/>
    <w:rsid w:val="00A320DB"/>
    <w:rsid w:val="00A328F2"/>
    <w:rsid w:val="00A32974"/>
    <w:rsid w:val="00A32EA5"/>
    <w:rsid w:val="00A32EC6"/>
    <w:rsid w:val="00A336A2"/>
    <w:rsid w:val="00A3464B"/>
    <w:rsid w:val="00A3466B"/>
    <w:rsid w:val="00A35D16"/>
    <w:rsid w:val="00A37671"/>
    <w:rsid w:val="00A37BCD"/>
    <w:rsid w:val="00A40132"/>
    <w:rsid w:val="00A402C6"/>
    <w:rsid w:val="00A429EF"/>
    <w:rsid w:val="00A42E16"/>
    <w:rsid w:val="00A43AF8"/>
    <w:rsid w:val="00A43C59"/>
    <w:rsid w:val="00A44F98"/>
    <w:rsid w:val="00A45AF3"/>
    <w:rsid w:val="00A464CB"/>
    <w:rsid w:val="00A46CF9"/>
    <w:rsid w:val="00A47A20"/>
    <w:rsid w:val="00A50797"/>
    <w:rsid w:val="00A50ECD"/>
    <w:rsid w:val="00A51537"/>
    <w:rsid w:val="00A518F3"/>
    <w:rsid w:val="00A51E30"/>
    <w:rsid w:val="00A5218D"/>
    <w:rsid w:val="00A5270D"/>
    <w:rsid w:val="00A52729"/>
    <w:rsid w:val="00A52DE5"/>
    <w:rsid w:val="00A53675"/>
    <w:rsid w:val="00A539D0"/>
    <w:rsid w:val="00A54C55"/>
    <w:rsid w:val="00A55AD9"/>
    <w:rsid w:val="00A564D7"/>
    <w:rsid w:val="00A5669C"/>
    <w:rsid w:val="00A56B6A"/>
    <w:rsid w:val="00A56F19"/>
    <w:rsid w:val="00A56F57"/>
    <w:rsid w:val="00A56F81"/>
    <w:rsid w:val="00A578DC"/>
    <w:rsid w:val="00A60545"/>
    <w:rsid w:val="00A607FF"/>
    <w:rsid w:val="00A60E45"/>
    <w:rsid w:val="00A614E2"/>
    <w:rsid w:val="00A61BF2"/>
    <w:rsid w:val="00A622B5"/>
    <w:rsid w:val="00A639A0"/>
    <w:rsid w:val="00A63BA5"/>
    <w:rsid w:val="00A63D64"/>
    <w:rsid w:val="00A63FB2"/>
    <w:rsid w:val="00A6497B"/>
    <w:rsid w:val="00A65340"/>
    <w:rsid w:val="00A66269"/>
    <w:rsid w:val="00A66535"/>
    <w:rsid w:val="00A667E9"/>
    <w:rsid w:val="00A66AC8"/>
    <w:rsid w:val="00A6725B"/>
    <w:rsid w:val="00A67494"/>
    <w:rsid w:val="00A67B75"/>
    <w:rsid w:val="00A700F8"/>
    <w:rsid w:val="00A70605"/>
    <w:rsid w:val="00A710FB"/>
    <w:rsid w:val="00A71579"/>
    <w:rsid w:val="00A71BE0"/>
    <w:rsid w:val="00A72D46"/>
    <w:rsid w:val="00A73134"/>
    <w:rsid w:val="00A74330"/>
    <w:rsid w:val="00A74624"/>
    <w:rsid w:val="00A75B1E"/>
    <w:rsid w:val="00A76660"/>
    <w:rsid w:val="00A7741F"/>
    <w:rsid w:val="00A777B2"/>
    <w:rsid w:val="00A81603"/>
    <w:rsid w:val="00A8328B"/>
    <w:rsid w:val="00A84668"/>
    <w:rsid w:val="00A84D4E"/>
    <w:rsid w:val="00A85F64"/>
    <w:rsid w:val="00A8621D"/>
    <w:rsid w:val="00A86E44"/>
    <w:rsid w:val="00A86E8B"/>
    <w:rsid w:val="00A87164"/>
    <w:rsid w:val="00A902AE"/>
    <w:rsid w:val="00A90A22"/>
    <w:rsid w:val="00A90E46"/>
    <w:rsid w:val="00A91AC8"/>
    <w:rsid w:val="00A91B49"/>
    <w:rsid w:val="00A91CD9"/>
    <w:rsid w:val="00A9220F"/>
    <w:rsid w:val="00A93072"/>
    <w:rsid w:val="00A930E7"/>
    <w:rsid w:val="00A934CB"/>
    <w:rsid w:val="00A934F0"/>
    <w:rsid w:val="00A93953"/>
    <w:rsid w:val="00A94AAD"/>
    <w:rsid w:val="00A959D8"/>
    <w:rsid w:val="00A95AD9"/>
    <w:rsid w:val="00AA07A2"/>
    <w:rsid w:val="00AA0F96"/>
    <w:rsid w:val="00AA113D"/>
    <w:rsid w:val="00AA17CF"/>
    <w:rsid w:val="00AA1F16"/>
    <w:rsid w:val="00AA2154"/>
    <w:rsid w:val="00AA3548"/>
    <w:rsid w:val="00AA35C2"/>
    <w:rsid w:val="00AA4BBF"/>
    <w:rsid w:val="00AA65D1"/>
    <w:rsid w:val="00AA6C7D"/>
    <w:rsid w:val="00AA7FD6"/>
    <w:rsid w:val="00AB042A"/>
    <w:rsid w:val="00AB0782"/>
    <w:rsid w:val="00AB0A4A"/>
    <w:rsid w:val="00AB17F6"/>
    <w:rsid w:val="00AB18CC"/>
    <w:rsid w:val="00AB1B15"/>
    <w:rsid w:val="00AB2D34"/>
    <w:rsid w:val="00AB3430"/>
    <w:rsid w:val="00AB4AD1"/>
    <w:rsid w:val="00AB75C8"/>
    <w:rsid w:val="00AB7CFA"/>
    <w:rsid w:val="00AC0E49"/>
    <w:rsid w:val="00AC0FA9"/>
    <w:rsid w:val="00AC1AFD"/>
    <w:rsid w:val="00AC1D6B"/>
    <w:rsid w:val="00AC21C0"/>
    <w:rsid w:val="00AC2865"/>
    <w:rsid w:val="00AC3B2D"/>
    <w:rsid w:val="00AC4B42"/>
    <w:rsid w:val="00AC5B48"/>
    <w:rsid w:val="00AC6DC2"/>
    <w:rsid w:val="00AC7054"/>
    <w:rsid w:val="00AD0143"/>
    <w:rsid w:val="00AD01CD"/>
    <w:rsid w:val="00AD0D17"/>
    <w:rsid w:val="00AD1DB6"/>
    <w:rsid w:val="00AD2BFE"/>
    <w:rsid w:val="00AD2C54"/>
    <w:rsid w:val="00AD59BD"/>
    <w:rsid w:val="00AD6502"/>
    <w:rsid w:val="00AD686F"/>
    <w:rsid w:val="00AD7880"/>
    <w:rsid w:val="00AE1640"/>
    <w:rsid w:val="00AE2473"/>
    <w:rsid w:val="00AE3090"/>
    <w:rsid w:val="00AE52E9"/>
    <w:rsid w:val="00AE53E1"/>
    <w:rsid w:val="00AE5CA6"/>
    <w:rsid w:val="00AE6541"/>
    <w:rsid w:val="00AE6903"/>
    <w:rsid w:val="00AE70F2"/>
    <w:rsid w:val="00AF0A2E"/>
    <w:rsid w:val="00AF1196"/>
    <w:rsid w:val="00AF1315"/>
    <w:rsid w:val="00AF19BF"/>
    <w:rsid w:val="00AF1C42"/>
    <w:rsid w:val="00AF2DC3"/>
    <w:rsid w:val="00AF3C3A"/>
    <w:rsid w:val="00AF3D1D"/>
    <w:rsid w:val="00AF41B5"/>
    <w:rsid w:val="00AF4347"/>
    <w:rsid w:val="00AF51B2"/>
    <w:rsid w:val="00AF7159"/>
    <w:rsid w:val="00AF7330"/>
    <w:rsid w:val="00AF7813"/>
    <w:rsid w:val="00B00CC9"/>
    <w:rsid w:val="00B01373"/>
    <w:rsid w:val="00B019FB"/>
    <w:rsid w:val="00B02022"/>
    <w:rsid w:val="00B02631"/>
    <w:rsid w:val="00B02AA3"/>
    <w:rsid w:val="00B033E5"/>
    <w:rsid w:val="00B03A63"/>
    <w:rsid w:val="00B048AF"/>
    <w:rsid w:val="00B049C2"/>
    <w:rsid w:val="00B04B24"/>
    <w:rsid w:val="00B054C2"/>
    <w:rsid w:val="00B0601B"/>
    <w:rsid w:val="00B06554"/>
    <w:rsid w:val="00B068E7"/>
    <w:rsid w:val="00B072DF"/>
    <w:rsid w:val="00B077F0"/>
    <w:rsid w:val="00B1100E"/>
    <w:rsid w:val="00B12BA8"/>
    <w:rsid w:val="00B12FC6"/>
    <w:rsid w:val="00B13211"/>
    <w:rsid w:val="00B14AB7"/>
    <w:rsid w:val="00B1510B"/>
    <w:rsid w:val="00B16543"/>
    <w:rsid w:val="00B167D1"/>
    <w:rsid w:val="00B1768E"/>
    <w:rsid w:val="00B17EDF"/>
    <w:rsid w:val="00B20188"/>
    <w:rsid w:val="00B201A4"/>
    <w:rsid w:val="00B2124F"/>
    <w:rsid w:val="00B2132C"/>
    <w:rsid w:val="00B213A6"/>
    <w:rsid w:val="00B21588"/>
    <w:rsid w:val="00B219D3"/>
    <w:rsid w:val="00B234A8"/>
    <w:rsid w:val="00B237B7"/>
    <w:rsid w:val="00B24DF6"/>
    <w:rsid w:val="00B25D82"/>
    <w:rsid w:val="00B26453"/>
    <w:rsid w:val="00B267B7"/>
    <w:rsid w:val="00B26A70"/>
    <w:rsid w:val="00B26C7E"/>
    <w:rsid w:val="00B307CC"/>
    <w:rsid w:val="00B31182"/>
    <w:rsid w:val="00B32045"/>
    <w:rsid w:val="00B32DCC"/>
    <w:rsid w:val="00B348D5"/>
    <w:rsid w:val="00B34F7A"/>
    <w:rsid w:val="00B34FE2"/>
    <w:rsid w:val="00B35628"/>
    <w:rsid w:val="00B357D8"/>
    <w:rsid w:val="00B3606B"/>
    <w:rsid w:val="00B36279"/>
    <w:rsid w:val="00B37BFC"/>
    <w:rsid w:val="00B40358"/>
    <w:rsid w:val="00B403EF"/>
    <w:rsid w:val="00B4072B"/>
    <w:rsid w:val="00B41172"/>
    <w:rsid w:val="00B41614"/>
    <w:rsid w:val="00B42851"/>
    <w:rsid w:val="00B42F80"/>
    <w:rsid w:val="00B435CB"/>
    <w:rsid w:val="00B43B49"/>
    <w:rsid w:val="00B444BA"/>
    <w:rsid w:val="00B44704"/>
    <w:rsid w:val="00B44D43"/>
    <w:rsid w:val="00B450DC"/>
    <w:rsid w:val="00B4594F"/>
    <w:rsid w:val="00B45BCE"/>
    <w:rsid w:val="00B45DAC"/>
    <w:rsid w:val="00B46587"/>
    <w:rsid w:val="00B469B1"/>
    <w:rsid w:val="00B46DF4"/>
    <w:rsid w:val="00B50680"/>
    <w:rsid w:val="00B50DB8"/>
    <w:rsid w:val="00B50EA2"/>
    <w:rsid w:val="00B5196E"/>
    <w:rsid w:val="00B5331D"/>
    <w:rsid w:val="00B53654"/>
    <w:rsid w:val="00B537F0"/>
    <w:rsid w:val="00B53905"/>
    <w:rsid w:val="00B54B5B"/>
    <w:rsid w:val="00B5562E"/>
    <w:rsid w:val="00B55EB4"/>
    <w:rsid w:val="00B5690D"/>
    <w:rsid w:val="00B57000"/>
    <w:rsid w:val="00B577B6"/>
    <w:rsid w:val="00B607A2"/>
    <w:rsid w:val="00B60939"/>
    <w:rsid w:val="00B60AFD"/>
    <w:rsid w:val="00B60CDF"/>
    <w:rsid w:val="00B61F64"/>
    <w:rsid w:val="00B62715"/>
    <w:rsid w:val="00B6399C"/>
    <w:rsid w:val="00B63A8A"/>
    <w:rsid w:val="00B63DCE"/>
    <w:rsid w:val="00B6451B"/>
    <w:rsid w:val="00B65DED"/>
    <w:rsid w:val="00B65E23"/>
    <w:rsid w:val="00B706DE"/>
    <w:rsid w:val="00B71375"/>
    <w:rsid w:val="00B74807"/>
    <w:rsid w:val="00B752BD"/>
    <w:rsid w:val="00B76204"/>
    <w:rsid w:val="00B76FE0"/>
    <w:rsid w:val="00B77FBB"/>
    <w:rsid w:val="00B80B7C"/>
    <w:rsid w:val="00B812EC"/>
    <w:rsid w:val="00B818A4"/>
    <w:rsid w:val="00B81C22"/>
    <w:rsid w:val="00B81CAD"/>
    <w:rsid w:val="00B82562"/>
    <w:rsid w:val="00B82B28"/>
    <w:rsid w:val="00B83689"/>
    <w:rsid w:val="00B83C6B"/>
    <w:rsid w:val="00B83E8C"/>
    <w:rsid w:val="00B84117"/>
    <w:rsid w:val="00B852AE"/>
    <w:rsid w:val="00B8578B"/>
    <w:rsid w:val="00B857D4"/>
    <w:rsid w:val="00B858EB"/>
    <w:rsid w:val="00B859BC"/>
    <w:rsid w:val="00B859E6"/>
    <w:rsid w:val="00B85AA2"/>
    <w:rsid w:val="00B86492"/>
    <w:rsid w:val="00B8649C"/>
    <w:rsid w:val="00B8730E"/>
    <w:rsid w:val="00B875D9"/>
    <w:rsid w:val="00B87F0A"/>
    <w:rsid w:val="00B90722"/>
    <w:rsid w:val="00B908CF"/>
    <w:rsid w:val="00B90B2E"/>
    <w:rsid w:val="00B921D1"/>
    <w:rsid w:val="00B92D0B"/>
    <w:rsid w:val="00B93367"/>
    <w:rsid w:val="00B94945"/>
    <w:rsid w:val="00B96CEB"/>
    <w:rsid w:val="00BA038E"/>
    <w:rsid w:val="00BA0E8B"/>
    <w:rsid w:val="00BA322D"/>
    <w:rsid w:val="00BA3EE7"/>
    <w:rsid w:val="00BA41BA"/>
    <w:rsid w:val="00BA42C6"/>
    <w:rsid w:val="00BA48A0"/>
    <w:rsid w:val="00BA50C0"/>
    <w:rsid w:val="00BA58C6"/>
    <w:rsid w:val="00BA58FE"/>
    <w:rsid w:val="00BA5F4E"/>
    <w:rsid w:val="00BA6089"/>
    <w:rsid w:val="00BA68F6"/>
    <w:rsid w:val="00BA6D1C"/>
    <w:rsid w:val="00BB08FC"/>
    <w:rsid w:val="00BB0BDD"/>
    <w:rsid w:val="00BB0E98"/>
    <w:rsid w:val="00BB1437"/>
    <w:rsid w:val="00BB1C52"/>
    <w:rsid w:val="00BB2A73"/>
    <w:rsid w:val="00BB3543"/>
    <w:rsid w:val="00BB3A87"/>
    <w:rsid w:val="00BB47E0"/>
    <w:rsid w:val="00BB4ACC"/>
    <w:rsid w:val="00BB5B5E"/>
    <w:rsid w:val="00BB5D18"/>
    <w:rsid w:val="00BB6B5B"/>
    <w:rsid w:val="00BB703E"/>
    <w:rsid w:val="00BB7405"/>
    <w:rsid w:val="00BB7582"/>
    <w:rsid w:val="00BC002D"/>
    <w:rsid w:val="00BC1339"/>
    <w:rsid w:val="00BC2C86"/>
    <w:rsid w:val="00BC3557"/>
    <w:rsid w:val="00BC3631"/>
    <w:rsid w:val="00BC3813"/>
    <w:rsid w:val="00BC4E6E"/>
    <w:rsid w:val="00BC4F82"/>
    <w:rsid w:val="00BC6F85"/>
    <w:rsid w:val="00BC79F1"/>
    <w:rsid w:val="00BC7B62"/>
    <w:rsid w:val="00BC7B9F"/>
    <w:rsid w:val="00BD0F83"/>
    <w:rsid w:val="00BD1CA7"/>
    <w:rsid w:val="00BD1EF7"/>
    <w:rsid w:val="00BD1F14"/>
    <w:rsid w:val="00BD375E"/>
    <w:rsid w:val="00BD3FFA"/>
    <w:rsid w:val="00BD4B06"/>
    <w:rsid w:val="00BD4FDC"/>
    <w:rsid w:val="00BD504F"/>
    <w:rsid w:val="00BD5750"/>
    <w:rsid w:val="00BD639F"/>
    <w:rsid w:val="00BD66B0"/>
    <w:rsid w:val="00BD68A3"/>
    <w:rsid w:val="00BD6938"/>
    <w:rsid w:val="00BD6CF3"/>
    <w:rsid w:val="00BD7541"/>
    <w:rsid w:val="00BE1D0D"/>
    <w:rsid w:val="00BE2180"/>
    <w:rsid w:val="00BE21F2"/>
    <w:rsid w:val="00BE25FE"/>
    <w:rsid w:val="00BE2658"/>
    <w:rsid w:val="00BE286C"/>
    <w:rsid w:val="00BE2A0B"/>
    <w:rsid w:val="00BE2F63"/>
    <w:rsid w:val="00BE388E"/>
    <w:rsid w:val="00BE4275"/>
    <w:rsid w:val="00BE4D18"/>
    <w:rsid w:val="00BE4D1E"/>
    <w:rsid w:val="00BE65E7"/>
    <w:rsid w:val="00BF0F95"/>
    <w:rsid w:val="00BF1841"/>
    <w:rsid w:val="00BF2433"/>
    <w:rsid w:val="00BF32E9"/>
    <w:rsid w:val="00BF3A08"/>
    <w:rsid w:val="00BF4C69"/>
    <w:rsid w:val="00BF61C9"/>
    <w:rsid w:val="00BF6C94"/>
    <w:rsid w:val="00BF6CD4"/>
    <w:rsid w:val="00C0018C"/>
    <w:rsid w:val="00C00424"/>
    <w:rsid w:val="00C032A8"/>
    <w:rsid w:val="00C06549"/>
    <w:rsid w:val="00C07E3A"/>
    <w:rsid w:val="00C1015C"/>
    <w:rsid w:val="00C10BEE"/>
    <w:rsid w:val="00C10D2D"/>
    <w:rsid w:val="00C12C14"/>
    <w:rsid w:val="00C13101"/>
    <w:rsid w:val="00C1405B"/>
    <w:rsid w:val="00C14D3F"/>
    <w:rsid w:val="00C15DB0"/>
    <w:rsid w:val="00C16960"/>
    <w:rsid w:val="00C1724F"/>
    <w:rsid w:val="00C17E80"/>
    <w:rsid w:val="00C17FB1"/>
    <w:rsid w:val="00C200AA"/>
    <w:rsid w:val="00C20939"/>
    <w:rsid w:val="00C21929"/>
    <w:rsid w:val="00C2195E"/>
    <w:rsid w:val="00C2197E"/>
    <w:rsid w:val="00C21DC1"/>
    <w:rsid w:val="00C22285"/>
    <w:rsid w:val="00C237ED"/>
    <w:rsid w:val="00C23D9E"/>
    <w:rsid w:val="00C241AE"/>
    <w:rsid w:val="00C245DB"/>
    <w:rsid w:val="00C24632"/>
    <w:rsid w:val="00C25418"/>
    <w:rsid w:val="00C25D9C"/>
    <w:rsid w:val="00C261C1"/>
    <w:rsid w:val="00C2700E"/>
    <w:rsid w:val="00C275F9"/>
    <w:rsid w:val="00C2778B"/>
    <w:rsid w:val="00C30B1E"/>
    <w:rsid w:val="00C31649"/>
    <w:rsid w:val="00C323D1"/>
    <w:rsid w:val="00C33EF7"/>
    <w:rsid w:val="00C3569A"/>
    <w:rsid w:val="00C35A97"/>
    <w:rsid w:val="00C36CBB"/>
    <w:rsid w:val="00C36ED2"/>
    <w:rsid w:val="00C372D0"/>
    <w:rsid w:val="00C374EA"/>
    <w:rsid w:val="00C40385"/>
    <w:rsid w:val="00C429FC"/>
    <w:rsid w:val="00C42F44"/>
    <w:rsid w:val="00C4337D"/>
    <w:rsid w:val="00C43718"/>
    <w:rsid w:val="00C44D14"/>
    <w:rsid w:val="00C450D1"/>
    <w:rsid w:val="00C45255"/>
    <w:rsid w:val="00C45DB2"/>
    <w:rsid w:val="00C475AA"/>
    <w:rsid w:val="00C502E3"/>
    <w:rsid w:val="00C51325"/>
    <w:rsid w:val="00C51768"/>
    <w:rsid w:val="00C52367"/>
    <w:rsid w:val="00C53AD1"/>
    <w:rsid w:val="00C53C0E"/>
    <w:rsid w:val="00C5417D"/>
    <w:rsid w:val="00C54348"/>
    <w:rsid w:val="00C547E9"/>
    <w:rsid w:val="00C5581E"/>
    <w:rsid w:val="00C570FD"/>
    <w:rsid w:val="00C57F7A"/>
    <w:rsid w:val="00C6273A"/>
    <w:rsid w:val="00C63171"/>
    <w:rsid w:val="00C63361"/>
    <w:rsid w:val="00C65576"/>
    <w:rsid w:val="00C66165"/>
    <w:rsid w:val="00C665B2"/>
    <w:rsid w:val="00C66FA8"/>
    <w:rsid w:val="00C70303"/>
    <w:rsid w:val="00C71083"/>
    <w:rsid w:val="00C7138A"/>
    <w:rsid w:val="00C7151A"/>
    <w:rsid w:val="00C71F60"/>
    <w:rsid w:val="00C72241"/>
    <w:rsid w:val="00C73538"/>
    <w:rsid w:val="00C74577"/>
    <w:rsid w:val="00C74704"/>
    <w:rsid w:val="00C74975"/>
    <w:rsid w:val="00C750C8"/>
    <w:rsid w:val="00C7560F"/>
    <w:rsid w:val="00C758BA"/>
    <w:rsid w:val="00C75BB6"/>
    <w:rsid w:val="00C761A9"/>
    <w:rsid w:val="00C766C2"/>
    <w:rsid w:val="00C774AF"/>
    <w:rsid w:val="00C80A0E"/>
    <w:rsid w:val="00C81892"/>
    <w:rsid w:val="00C8213F"/>
    <w:rsid w:val="00C825B6"/>
    <w:rsid w:val="00C83068"/>
    <w:rsid w:val="00C8425F"/>
    <w:rsid w:val="00C84841"/>
    <w:rsid w:val="00C855ED"/>
    <w:rsid w:val="00C85D9B"/>
    <w:rsid w:val="00C8792F"/>
    <w:rsid w:val="00C8797A"/>
    <w:rsid w:val="00C900B8"/>
    <w:rsid w:val="00C90C71"/>
    <w:rsid w:val="00C91708"/>
    <w:rsid w:val="00C9187A"/>
    <w:rsid w:val="00C920B0"/>
    <w:rsid w:val="00C925D1"/>
    <w:rsid w:val="00C931CF"/>
    <w:rsid w:val="00C93679"/>
    <w:rsid w:val="00C938CF"/>
    <w:rsid w:val="00C941CD"/>
    <w:rsid w:val="00C94B31"/>
    <w:rsid w:val="00C95788"/>
    <w:rsid w:val="00C9624D"/>
    <w:rsid w:val="00C963E8"/>
    <w:rsid w:val="00C969DA"/>
    <w:rsid w:val="00C96C4D"/>
    <w:rsid w:val="00C96E4B"/>
    <w:rsid w:val="00C9711E"/>
    <w:rsid w:val="00CA04DE"/>
    <w:rsid w:val="00CA0662"/>
    <w:rsid w:val="00CA07AC"/>
    <w:rsid w:val="00CA0992"/>
    <w:rsid w:val="00CA0DC6"/>
    <w:rsid w:val="00CA1666"/>
    <w:rsid w:val="00CA2C77"/>
    <w:rsid w:val="00CA3320"/>
    <w:rsid w:val="00CA3816"/>
    <w:rsid w:val="00CA3B44"/>
    <w:rsid w:val="00CA3D89"/>
    <w:rsid w:val="00CA444F"/>
    <w:rsid w:val="00CA4BBE"/>
    <w:rsid w:val="00CA4CC4"/>
    <w:rsid w:val="00CA5245"/>
    <w:rsid w:val="00CA6296"/>
    <w:rsid w:val="00CA684C"/>
    <w:rsid w:val="00CA6C09"/>
    <w:rsid w:val="00CA6FC7"/>
    <w:rsid w:val="00CA71F4"/>
    <w:rsid w:val="00CA7B09"/>
    <w:rsid w:val="00CA7D42"/>
    <w:rsid w:val="00CB02A1"/>
    <w:rsid w:val="00CB0699"/>
    <w:rsid w:val="00CB0A77"/>
    <w:rsid w:val="00CB2B72"/>
    <w:rsid w:val="00CB2F2A"/>
    <w:rsid w:val="00CB3B15"/>
    <w:rsid w:val="00CB4C47"/>
    <w:rsid w:val="00CB5B1A"/>
    <w:rsid w:val="00CB5C8E"/>
    <w:rsid w:val="00CB5DA7"/>
    <w:rsid w:val="00CB6B22"/>
    <w:rsid w:val="00CB7DC8"/>
    <w:rsid w:val="00CB7E29"/>
    <w:rsid w:val="00CB7F5F"/>
    <w:rsid w:val="00CC075C"/>
    <w:rsid w:val="00CC1B39"/>
    <w:rsid w:val="00CC1E2E"/>
    <w:rsid w:val="00CC3789"/>
    <w:rsid w:val="00CC387E"/>
    <w:rsid w:val="00CC3AB8"/>
    <w:rsid w:val="00CC3D67"/>
    <w:rsid w:val="00CC4329"/>
    <w:rsid w:val="00CC5FAC"/>
    <w:rsid w:val="00CC640F"/>
    <w:rsid w:val="00CD0518"/>
    <w:rsid w:val="00CD204D"/>
    <w:rsid w:val="00CD2A61"/>
    <w:rsid w:val="00CD3112"/>
    <w:rsid w:val="00CD3524"/>
    <w:rsid w:val="00CD39DB"/>
    <w:rsid w:val="00CD42F6"/>
    <w:rsid w:val="00CD49A1"/>
    <w:rsid w:val="00CD5682"/>
    <w:rsid w:val="00CD5C57"/>
    <w:rsid w:val="00CD6ADC"/>
    <w:rsid w:val="00CD7667"/>
    <w:rsid w:val="00CE0305"/>
    <w:rsid w:val="00CE09A3"/>
    <w:rsid w:val="00CE1355"/>
    <w:rsid w:val="00CE1FBC"/>
    <w:rsid w:val="00CE2DA3"/>
    <w:rsid w:val="00CE3B01"/>
    <w:rsid w:val="00CE4465"/>
    <w:rsid w:val="00CE47CC"/>
    <w:rsid w:val="00CE56EA"/>
    <w:rsid w:val="00CE6274"/>
    <w:rsid w:val="00CE76BA"/>
    <w:rsid w:val="00CE7830"/>
    <w:rsid w:val="00CE7C9E"/>
    <w:rsid w:val="00CF045B"/>
    <w:rsid w:val="00CF0532"/>
    <w:rsid w:val="00CF2B8D"/>
    <w:rsid w:val="00CF340F"/>
    <w:rsid w:val="00CF456B"/>
    <w:rsid w:val="00CF47FF"/>
    <w:rsid w:val="00CF506F"/>
    <w:rsid w:val="00CF5A22"/>
    <w:rsid w:val="00CF5D8B"/>
    <w:rsid w:val="00CF7633"/>
    <w:rsid w:val="00CF7AB4"/>
    <w:rsid w:val="00D01FBB"/>
    <w:rsid w:val="00D0262E"/>
    <w:rsid w:val="00D044B4"/>
    <w:rsid w:val="00D044D3"/>
    <w:rsid w:val="00D0550B"/>
    <w:rsid w:val="00D058DB"/>
    <w:rsid w:val="00D05B78"/>
    <w:rsid w:val="00D063B8"/>
    <w:rsid w:val="00D06430"/>
    <w:rsid w:val="00D06787"/>
    <w:rsid w:val="00D07091"/>
    <w:rsid w:val="00D07277"/>
    <w:rsid w:val="00D07AB2"/>
    <w:rsid w:val="00D1019E"/>
    <w:rsid w:val="00D10574"/>
    <w:rsid w:val="00D10E36"/>
    <w:rsid w:val="00D110BD"/>
    <w:rsid w:val="00D1193E"/>
    <w:rsid w:val="00D119AA"/>
    <w:rsid w:val="00D128C7"/>
    <w:rsid w:val="00D129F5"/>
    <w:rsid w:val="00D12CC8"/>
    <w:rsid w:val="00D13675"/>
    <w:rsid w:val="00D13CDA"/>
    <w:rsid w:val="00D13D15"/>
    <w:rsid w:val="00D141E1"/>
    <w:rsid w:val="00D1784F"/>
    <w:rsid w:val="00D17D6C"/>
    <w:rsid w:val="00D20797"/>
    <w:rsid w:val="00D22B9C"/>
    <w:rsid w:val="00D233B2"/>
    <w:rsid w:val="00D24AF5"/>
    <w:rsid w:val="00D25AD9"/>
    <w:rsid w:val="00D26537"/>
    <w:rsid w:val="00D26BCE"/>
    <w:rsid w:val="00D270FF"/>
    <w:rsid w:val="00D2754D"/>
    <w:rsid w:val="00D276FF"/>
    <w:rsid w:val="00D27ADA"/>
    <w:rsid w:val="00D27B27"/>
    <w:rsid w:val="00D311C2"/>
    <w:rsid w:val="00D3158A"/>
    <w:rsid w:val="00D3170F"/>
    <w:rsid w:val="00D3235F"/>
    <w:rsid w:val="00D32D49"/>
    <w:rsid w:val="00D33BE9"/>
    <w:rsid w:val="00D35769"/>
    <w:rsid w:val="00D357FF"/>
    <w:rsid w:val="00D3580F"/>
    <w:rsid w:val="00D35DD2"/>
    <w:rsid w:val="00D36569"/>
    <w:rsid w:val="00D40397"/>
    <w:rsid w:val="00D40557"/>
    <w:rsid w:val="00D41339"/>
    <w:rsid w:val="00D424C7"/>
    <w:rsid w:val="00D43B2A"/>
    <w:rsid w:val="00D4616D"/>
    <w:rsid w:val="00D472D9"/>
    <w:rsid w:val="00D47575"/>
    <w:rsid w:val="00D4771C"/>
    <w:rsid w:val="00D47CBC"/>
    <w:rsid w:val="00D47D3E"/>
    <w:rsid w:val="00D50426"/>
    <w:rsid w:val="00D50E25"/>
    <w:rsid w:val="00D51D51"/>
    <w:rsid w:val="00D528C8"/>
    <w:rsid w:val="00D52D94"/>
    <w:rsid w:val="00D539A3"/>
    <w:rsid w:val="00D55D35"/>
    <w:rsid w:val="00D566E9"/>
    <w:rsid w:val="00D602D8"/>
    <w:rsid w:val="00D61295"/>
    <w:rsid w:val="00D63466"/>
    <w:rsid w:val="00D636E7"/>
    <w:rsid w:val="00D6647B"/>
    <w:rsid w:val="00D66E06"/>
    <w:rsid w:val="00D672F4"/>
    <w:rsid w:val="00D67817"/>
    <w:rsid w:val="00D67904"/>
    <w:rsid w:val="00D7044E"/>
    <w:rsid w:val="00D70E53"/>
    <w:rsid w:val="00D70F16"/>
    <w:rsid w:val="00D71F4E"/>
    <w:rsid w:val="00D740F4"/>
    <w:rsid w:val="00D745DC"/>
    <w:rsid w:val="00D76073"/>
    <w:rsid w:val="00D7648D"/>
    <w:rsid w:val="00D76A44"/>
    <w:rsid w:val="00D80963"/>
    <w:rsid w:val="00D810B8"/>
    <w:rsid w:val="00D815EF"/>
    <w:rsid w:val="00D81C20"/>
    <w:rsid w:val="00D83127"/>
    <w:rsid w:val="00D83556"/>
    <w:rsid w:val="00D838F1"/>
    <w:rsid w:val="00D8391A"/>
    <w:rsid w:val="00D853A4"/>
    <w:rsid w:val="00D85A99"/>
    <w:rsid w:val="00D8750F"/>
    <w:rsid w:val="00D904F8"/>
    <w:rsid w:val="00D90FB3"/>
    <w:rsid w:val="00D91455"/>
    <w:rsid w:val="00D91923"/>
    <w:rsid w:val="00D924DB"/>
    <w:rsid w:val="00D936D6"/>
    <w:rsid w:val="00D9370D"/>
    <w:rsid w:val="00D93753"/>
    <w:rsid w:val="00D93A1B"/>
    <w:rsid w:val="00D96439"/>
    <w:rsid w:val="00D96650"/>
    <w:rsid w:val="00D96AC3"/>
    <w:rsid w:val="00D97ED8"/>
    <w:rsid w:val="00DA1E2D"/>
    <w:rsid w:val="00DA21C2"/>
    <w:rsid w:val="00DA2981"/>
    <w:rsid w:val="00DA3167"/>
    <w:rsid w:val="00DA494A"/>
    <w:rsid w:val="00DA49A1"/>
    <w:rsid w:val="00DA4DC3"/>
    <w:rsid w:val="00DA61C6"/>
    <w:rsid w:val="00DA64D7"/>
    <w:rsid w:val="00DA6655"/>
    <w:rsid w:val="00DA6C12"/>
    <w:rsid w:val="00DA7207"/>
    <w:rsid w:val="00DA7493"/>
    <w:rsid w:val="00DA77A5"/>
    <w:rsid w:val="00DB0907"/>
    <w:rsid w:val="00DB09AF"/>
    <w:rsid w:val="00DB15F1"/>
    <w:rsid w:val="00DB1E89"/>
    <w:rsid w:val="00DB29EE"/>
    <w:rsid w:val="00DB2F34"/>
    <w:rsid w:val="00DB3E84"/>
    <w:rsid w:val="00DB484F"/>
    <w:rsid w:val="00DB55D6"/>
    <w:rsid w:val="00DB66C7"/>
    <w:rsid w:val="00DB6D64"/>
    <w:rsid w:val="00DB79A2"/>
    <w:rsid w:val="00DB7F36"/>
    <w:rsid w:val="00DB7FAC"/>
    <w:rsid w:val="00DC04F6"/>
    <w:rsid w:val="00DC063A"/>
    <w:rsid w:val="00DC139B"/>
    <w:rsid w:val="00DC1FA8"/>
    <w:rsid w:val="00DC2AE0"/>
    <w:rsid w:val="00DC3C57"/>
    <w:rsid w:val="00DC4361"/>
    <w:rsid w:val="00DC5501"/>
    <w:rsid w:val="00DC6B31"/>
    <w:rsid w:val="00DC7F63"/>
    <w:rsid w:val="00DD0199"/>
    <w:rsid w:val="00DD0F3F"/>
    <w:rsid w:val="00DD1741"/>
    <w:rsid w:val="00DD1A20"/>
    <w:rsid w:val="00DD273C"/>
    <w:rsid w:val="00DD2743"/>
    <w:rsid w:val="00DD2E9B"/>
    <w:rsid w:val="00DD30B9"/>
    <w:rsid w:val="00DD389A"/>
    <w:rsid w:val="00DD3CC7"/>
    <w:rsid w:val="00DD3F28"/>
    <w:rsid w:val="00DD4537"/>
    <w:rsid w:val="00DD4E15"/>
    <w:rsid w:val="00DD5E05"/>
    <w:rsid w:val="00DD6DE8"/>
    <w:rsid w:val="00DD7A69"/>
    <w:rsid w:val="00DD7A77"/>
    <w:rsid w:val="00DE1641"/>
    <w:rsid w:val="00DE1BF3"/>
    <w:rsid w:val="00DE2411"/>
    <w:rsid w:val="00DE29CE"/>
    <w:rsid w:val="00DE3138"/>
    <w:rsid w:val="00DE37F8"/>
    <w:rsid w:val="00DE38EB"/>
    <w:rsid w:val="00DE3A8C"/>
    <w:rsid w:val="00DE3E99"/>
    <w:rsid w:val="00DE4FCB"/>
    <w:rsid w:val="00DE5888"/>
    <w:rsid w:val="00DE7832"/>
    <w:rsid w:val="00DF18FC"/>
    <w:rsid w:val="00DF26F1"/>
    <w:rsid w:val="00DF37E8"/>
    <w:rsid w:val="00DF4A73"/>
    <w:rsid w:val="00DF50DF"/>
    <w:rsid w:val="00DF58BE"/>
    <w:rsid w:val="00DF5D2B"/>
    <w:rsid w:val="00DF5DE1"/>
    <w:rsid w:val="00DF708E"/>
    <w:rsid w:val="00DF77D4"/>
    <w:rsid w:val="00E00E8E"/>
    <w:rsid w:val="00E01E34"/>
    <w:rsid w:val="00E0234D"/>
    <w:rsid w:val="00E0360E"/>
    <w:rsid w:val="00E05233"/>
    <w:rsid w:val="00E05630"/>
    <w:rsid w:val="00E06400"/>
    <w:rsid w:val="00E06DBB"/>
    <w:rsid w:val="00E07751"/>
    <w:rsid w:val="00E10149"/>
    <w:rsid w:val="00E1066F"/>
    <w:rsid w:val="00E10F6C"/>
    <w:rsid w:val="00E111FC"/>
    <w:rsid w:val="00E11523"/>
    <w:rsid w:val="00E1176C"/>
    <w:rsid w:val="00E11FB3"/>
    <w:rsid w:val="00E124E3"/>
    <w:rsid w:val="00E12A33"/>
    <w:rsid w:val="00E134B0"/>
    <w:rsid w:val="00E1476B"/>
    <w:rsid w:val="00E16372"/>
    <w:rsid w:val="00E200E5"/>
    <w:rsid w:val="00E20E4D"/>
    <w:rsid w:val="00E20ED6"/>
    <w:rsid w:val="00E21358"/>
    <w:rsid w:val="00E21988"/>
    <w:rsid w:val="00E21F81"/>
    <w:rsid w:val="00E2249B"/>
    <w:rsid w:val="00E227AC"/>
    <w:rsid w:val="00E22A0D"/>
    <w:rsid w:val="00E22B18"/>
    <w:rsid w:val="00E23638"/>
    <w:rsid w:val="00E241FE"/>
    <w:rsid w:val="00E2771E"/>
    <w:rsid w:val="00E3093F"/>
    <w:rsid w:val="00E3101C"/>
    <w:rsid w:val="00E315A4"/>
    <w:rsid w:val="00E316EA"/>
    <w:rsid w:val="00E32FFD"/>
    <w:rsid w:val="00E34893"/>
    <w:rsid w:val="00E34948"/>
    <w:rsid w:val="00E34A66"/>
    <w:rsid w:val="00E362F2"/>
    <w:rsid w:val="00E36D8D"/>
    <w:rsid w:val="00E37569"/>
    <w:rsid w:val="00E37DDE"/>
    <w:rsid w:val="00E37F44"/>
    <w:rsid w:val="00E40407"/>
    <w:rsid w:val="00E40496"/>
    <w:rsid w:val="00E40E3D"/>
    <w:rsid w:val="00E41395"/>
    <w:rsid w:val="00E41B1A"/>
    <w:rsid w:val="00E41E30"/>
    <w:rsid w:val="00E4210E"/>
    <w:rsid w:val="00E4213D"/>
    <w:rsid w:val="00E42808"/>
    <w:rsid w:val="00E43335"/>
    <w:rsid w:val="00E437BB"/>
    <w:rsid w:val="00E43D70"/>
    <w:rsid w:val="00E4470D"/>
    <w:rsid w:val="00E44A9C"/>
    <w:rsid w:val="00E45810"/>
    <w:rsid w:val="00E45BCD"/>
    <w:rsid w:val="00E466F3"/>
    <w:rsid w:val="00E47721"/>
    <w:rsid w:val="00E47B2C"/>
    <w:rsid w:val="00E50395"/>
    <w:rsid w:val="00E50666"/>
    <w:rsid w:val="00E50AFB"/>
    <w:rsid w:val="00E51560"/>
    <w:rsid w:val="00E52591"/>
    <w:rsid w:val="00E52A32"/>
    <w:rsid w:val="00E54347"/>
    <w:rsid w:val="00E5459B"/>
    <w:rsid w:val="00E552DA"/>
    <w:rsid w:val="00E55424"/>
    <w:rsid w:val="00E55B81"/>
    <w:rsid w:val="00E55BB5"/>
    <w:rsid w:val="00E5629A"/>
    <w:rsid w:val="00E56A2B"/>
    <w:rsid w:val="00E60791"/>
    <w:rsid w:val="00E65E79"/>
    <w:rsid w:val="00E66372"/>
    <w:rsid w:val="00E667BB"/>
    <w:rsid w:val="00E66BA2"/>
    <w:rsid w:val="00E671E7"/>
    <w:rsid w:val="00E67416"/>
    <w:rsid w:val="00E674DA"/>
    <w:rsid w:val="00E67807"/>
    <w:rsid w:val="00E70516"/>
    <w:rsid w:val="00E713E1"/>
    <w:rsid w:val="00E718B6"/>
    <w:rsid w:val="00E723BA"/>
    <w:rsid w:val="00E724AC"/>
    <w:rsid w:val="00E727DF"/>
    <w:rsid w:val="00E73581"/>
    <w:rsid w:val="00E7425C"/>
    <w:rsid w:val="00E74C50"/>
    <w:rsid w:val="00E750C9"/>
    <w:rsid w:val="00E75FFC"/>
    <w:rsid w:val="00E7608E"/>
    <w:rsid w:val="00E767C0"/>
    <w:rsid w:val="00E773FB"/>
    <w:rsid w:val="00E80170"/>
    <w:rsid w:val="00E802E8"/>
    <w:rsid w:val="00E804A4"/>
    <w:rsid w:val="00E8077E"/>
    <w:rsid w:val="00E81611"/>
    <w:rsid w:val="00E816BB"/>
    <w:rsid w:val="00E81D86"/>
    <w:rsid w:val="00E833F7"/>
    <w:rsid w:val="00E83BDF"/>
    <w:rsid w:val="00E84EBE"/>
    <w:rsid w:val="00E85C24"/>
    <w:rsid w:val="00E864C3"/>
    <w:rsid w:val="00E8703F"/>
    <w:rsid w:val="00E87A1D"/>
    <w:rsid w:val="00E90494"/>
    <w:rsid w:val="00E9229B"/>
    <w:rsid w:val="00E926A5"/>
    <w:rsid w:val="00E9356F"/>
    <w:rsid w:val="00E940DA"/>
    <w:rsid w:val="00E94401"/>
    <w:rsid w:val="00E9555B"/>
    <w:rsid w:val="00E96CBB"/>
    <w:rsid w:val="00E971B2"/>
    <w:rsid w:val="00E975FF"/>
    <w:rsid w:val="00E979A8"/>
    <w:rsid w:val="00EA0624"/>
    <w:rsid w:val="00EA0D50"/>
    <w:rsid w:val="00EA17C3"/>
    <w:rsid w:val="00EA1C35"/>
    <w:rsid w:val="00EA2CAA"/>
    <w:rsid w:val="00EA2DA2"/>
    <w:rsid w:val="00EA30F8"/>
    <w:rsid w:val="00EA3299"/>
    <w:rsid w:val="00EA3864"/>
    <w:rsid w:val="00EA3AC6"/>
    <w:rsid w:val="00EA4982"/>
    <w:rsid w:val="00EA5385"/>
    <w:rsid w:val="00EA7B36"/>
    <w:rsid w:val="00EA7DFE"/>
    <w:rsid w:val="00EB06DA"/>
    <w:rsid w:val="00EB0AF3"/>
    <w:rsid w:val="00EB0CBE"/>
    <w:rsid w:val="00EB15B6"/>
    <w:rsid w:val="00EB1CEA"/>
    <w:rsid w:val="00EB24ED"/>
    <w:rsid w:val="00EB4916"/>
    <w:rsid w:val="00EB5441"/>
    <w:rsid w:val="00EB6AD4"/>
    <w:rsid w:val="00EC00C9"/>
    <w:rsid w:val="00EC0BD9"/>
    <w:rsid w:val="00EC15A1"/>
    <w:rsid w:val="00EC201D"/>
    <w:rsid w:val="00EC2649"/>
    <w:rsid w:val="00EC2EA5"/>
    <w:rsid w:val="00EC406E"/>
    <w:rsid w:val="00EC53D3"/>
    <w:rsid w:val="00EC597A"/>
    <w:rsid w:val="00EC5B8B"/>
    <w:rsid w:val="00EC75F7"/>
    <w:rsid w:val="00ED0183"/>
    <w:rsid w:val="00ED0300"/>
    <w:rsid w:val="00ED1C9D"/>
    <w:rsid w:val="00ED34B6"/>
    <w:rsid w:val="00ED3BB1"/>
    <w:rsid w:val="00ED4DD6"/>
    <w:rsid w:val="00ED4FD0"/>
    <w:rsid w:val="00ED57EA"/>
    <w:rsid w:val="00ED616D"/>
    <w:rsid w:val="00ED689B"/>
    <w:rsid w:val="00ED6C4B"/>
    <w:rsid w:val="00ED7B6D"/>
    <w:rsid w:val="00ED7C5C"/>
    <w:rsid w:val="00EE0738"/>
    <w:rsid w:val="00EE07D3"/>
    <w:rsid w:val="00EE0DBF"/>
    <w:rsid w:val="00EE1622"/>
    <w:rsid w:val="00EE2070"/>
    <w:rsid w:val="00EE22AF"/>
    <w:rsid w:val="00EE245B"/>
    <w:rsid w:val="00EE24E6"/>
    <w:rsid w:val="00EE47AB"/>
    <w:rsid w:val="00EE49F7"/>
    <w:rsid w:val="00EE4DC3"/>
    <w:rsid w:val="00EE5D59"/>
    <w:rsid w:val="00EE6F08"/>
    <w:rsid w:val="00EE70E2"/>
    <w:rsid w:val="00EF0171"/>
    <w:rsid w:val="00EF073B"/>
    <w:rsid w:val="00EF0C17"/>
    <w:rsid w:val="00EF1B25"/>
    <w:rsid w:val="00EF3267"/>
    <w:rsid w:val="00EF3C89"/>
    <w:rsid w:val="00EF44BC"/>
    <w:rsid w:val="00EF44E6"/>
    <w:rsid w:val="00EF4747"/>
    <w:rsid w:val="00EF4BF8"/>
    <w:rsid w:val="00EF58CC"/>
    <w:rsid w:val="00EF59C2"/>
    <w:rsid w:val="00EF601A"/>
    <w:rsid w:val="00EF6F05"/>
    <w:rsid w:val="00F01F33"/>
    <w:rsid w:val="00F02253"/>
    <w:rsid w:val="00F038EA"/>
    <w:rsid w:val="00F03A8B"/>
    <w:rsid w:val="00F03C2E"/>
    <w:rsid w:val="00F04093"/>
    <w:rsid w:val="00F04A66"/>
    <w:rsid w:val="00F04B6D"/>
    <w:rsid w:val="00F04D22"/>
    <w:rsid w:val="00F0516C"/>
    <w:rsid w:val="00F0541C"/>
    <w:rsid w:val="00F05884"/>
    <w:rsid w:val="00F067A2"/>
    <w:rsid w:val="00F10199"/>
    <w:rsid w:val="00F10CFF"/>
    <w:rsid w:val="00F1263A"/>
    <w:rsid w:val="00F128E2"/>
    <w:rsid w:val="00F13C1F"/>
    <w:rsid w:val="00F13CE7"/>
    <w:rsid w:val="00F141F1"/>
    <w:rsid w:val="00F1489B"/>
    <w:rsid w:val="00F14BCF"/>
    <w:rsid w:val="00F15F78"/>
    <w:rsid w:val="00F16603"/>
    <w:rsid w:val="00F17602"/>
    <w:rsid w:val="00F20390"/>
    <w:rsid w:val="00F21272"/>
    <w:rsid w:val="00F22941"/>
    <w:rsid w:val="00F2338C"/>
    <w:rsid w:val="00F23A61"/>
    <w:rsid w:val="00F2471D"/>
    <w:rsid w:val="00F24837"/>
    <w:rsid w:val="00F2575F"/>
    <w:rsid w:val="00F26C69"/>
    <w:rsid w:val="00F26CB5"/>
    <w:rsid w:val="00F271B1"/>
    <w:rsid w:val="00F27565"/>
    <w:rsid w:val="00F27C28"/>
    <w:rsid w:val="00F3012C"/>
    <w:rsid w:val="00F310D4"/>
    <w:rsid w:val="00F31D5A"/>
    <w:rsid w:val="00F32D2F"/>
    <w:rsid w:val="00F32E3F"/>
    <w:rsid w:val="00F33598"/>
    <w:rsid w:val="00F33DE9"/>
    <w:rsid w:val="00F342A9"/>
    <w:rsid w:val="00F3476E"/>
    <w:rsid w:val="00F34D1E"/>
    <w:rsid w:val="00F34D85"/>
    <w:rsid w:val="00F34E68"/>
    <w:rsid w:val="00F35082"/>
    <w:rsid w:val="00F3610A"/>
    <w:rsid w:val="00F3619A"/>
    <w:rsid w:val="00F36311"/>
    <w:rsid w:val="00F40AAA"/>
    <w:rsid w:val="00F40BA7"/>
    <w:rsid w:val="00F45DBF"/>
    <w:rsid w:val="00F46CB6"/>
    <w:rsid w:val="00F478F5"/>
    <w:rsid w:val="00F47DE8"/>
    <w:rsid w:val="00F50554"/>
    <w:rsid w:val="00F509AC"/>
    <w:rsid w:val="00F50B6A"/>
    <w:rsid w:val="00F50BF7"/>
    <w:rsid w:val="00F518D3"/>
    <w:rsid w:val="00F52C12"/>
    <w:rsid w:val="00F5414F"/>
    <w:rsid w:val="00F54214"/>
    <w:rsid w:val="00F542C1"/>
    <w:rsid w:val="00F55E73"/>
    <w:rsid w:val="00F55EDA"/>
    <w:rsid w:val="00F566B7"/>
    <w:rsid w:val="00F570F7"/>
    <w:rsid w:val="00F5725B"/>
    <w:rsid w:val="00F60092"/>
    <w:rsid w:val="00F60106"/>
    <w:rsid w:val="00F612AA"/>
    <w:rsid w:val="00F62B02"/>
    <w:rsid w:val="00F63520"/>
    <w:rsid w:val="00F63CC4"/>
    <w:rsid w:val="00F644D4"/>
    <w:rsid w:val="00F6500A"/>
    <w:rsid w:val="00F6588F"/>
    <w:rsid w:val="00F658B2"/>
    <w:rsid w:val="00F65A99"/>
    <w:rsid w:val="00F65F4B"/>
    <w:rsid w:val="00F66D2C"/>
    <w:rsid w:val="00F67683"/>
    <w:rsid w:val="00F67C47"/>
    <w:rsid w:val="00F67E69"/>
    <w:rsid w:val="00F70C9D"/>
    <w:rsid w:val="00F70E27"/>
    <w:rsid w:val="00F70EEE"/>
    <w:rsid w:val="00F71E54"/>
    <w:rsid w:val="00F722FF"/>
    <w:rsid w:val="00F729CA"/>
    <w:rsid w:val="00F72A86"/>
    <w:rsid w:val="00F72A8A"/>
    <w:rsid w:val="00F7310E"/>
    <w:rsid w:val="00F733E0"/>
    <w:rsid w:val="00F743EF"/>
    <w:rsid w:val="00F74498"/>
    <w:rsid w:val="00F74CD9"/>
    <w:rsid w:val="00F7721D"/>
    <w:rsid w:val="00F77835"/>
    <w:rsid w:val="00F77AEC"/>
    <w:rsid w:val="00F8056A"/>
    <w:rsid w:val="00F80654"/>
    <w:rsid w:val="00F80A7B"/>
    <w:rsid w:val="00F80E5D"/>
    <w:rsid w:val="00F81A0D"/>
    <w:rsid w:val="00F81BA0"/>
    <w:rsid w:val="00F822C5"/>
    <w:rsid w:val="00F825CC"/>
    <w:rsid w:val="00F847B6"/>
    <w:rsid w:val="00F851CE"/>
    <w:rsid w:val="00F8545B"/>
    <w:rsid w:val="00F85C73"/>
    <w:rsid w:val="00F85E7D"/>
    <w:rsid w:val="00F85FC0"/>
    <w:rsid w:val="00F8666B"/>
    <w:rsid w:val="00F866C4"/>
    <w:rsid w:val="00F8675D"/>
    <w:rsid w:val="00F8725A"/>
    <w:rsid w:val="00F8797D"/>
    <w:rsid w:val="00F9070E"/>
    <w:rsid w:val="00F909AE"/>
    <w:rsid w:val="00F90E8D"/>
    <w:rsid w:val="00F91219"/>
    <w:rsid w:val="00F914F3"/>
    <w:rsid w:val="00F92080"/>
    <w:rsid w:val="00F92FA4"/>
    <w:rsid w:val="00F94247"/>
    <w:rsid w:val="00F943FF"/>
    <w:rsid w:val="00F9468A"/>
    <w:rsid w:val="00F9497E"/>
    <w:rsid w:val="00F9581C"/>
    <w:rsid w:val="00F96018"/>
    <w:rsid w:val="00F97A78"/>
    <w:rsid w:val="00F97B39"/>
    <w:rsid w:val="00FA07E0"/>
    <w:rsid w:val="00FA0B20"/>
    <w:rsid w:val="00FA23BC"/>
    <w:rsid w:val="00FA24E7"/>
    <w:rsid w:val="00FA2FF0"/>
    <w:rsid w:val="00FA34FB"/>
    <w:rsid w:val="00FA376E"/>
    <w:rsid w:val="00FA4A0B"/>
    <w:rsid w:val="00FA59D4"/>
    <w:rsid w:val="00FA61BA"/>
    <w:rsid w:val="00FA6B0A"/>
    <w:rsid w:val="00FA6D90"/>
    <w:rsid w:val="00FB0602"/>
    <w:rsid w:val="00FB107C"/>
    <w:rsid w:val="00FB16C6"/>
    <w:rsid w:val="00FB1CFB"/>
    <w:rsid w:val="00FB25CB"/>
    <w:rsid w:val="00FB2FCB"/>
    <w:rsid w:val="00FB49DC"/>
    <w:rsid w:val="00FB4CDF"/>
    <w:rsid w:val="00FB66D0"/>
    <w:rsid w:val="00FB6A23"/>
    <w:rsid w:val="00FC0017"/>
    <w:rsid w:val="00FC0BF9"/>
    <w:rsid w:val="00FC1074"/>
    <w:rsid w:val="00FC1884"/>
    <w:rsid w:val="00FC243E"/>
    <w:rsid w:val="00FC25D3"/>
    <w:rsid w:val="00FC371D"/>
    <w:rsid w:val="00FC3840"/>
    <w:rsid w:val="00FC3F54"/>
    <w:rsid w:val="00FC5F0B"/>
    <w:rsid w:val="00FC6100"/>
    <w:rsid w:val="00FD05CE"/>
    <w:rsid w:val="00FD0641"/>
    <w:rsid w:val="00FD0A6C"/>
    <w:rsid w:val="00FD10DB"/>
    <w:rsid w:val="00FD1BB5"/>
    <w:rsid w:val="00FD2100"/>
    <w:rsid w:val="00FD37CA"/>
    <w:rsid w:val="00FD4258"/>
    <w:rsid w:val="00FD436C"/>
    <w:rsid w:val="00FD446D"/>
    <w:rsid w:val="00FD4A35"/>
    <w:rsid w:val="00FD5415"/>
    <w:rsid w:val="00FD5EA2"/>
    <w:rsid w:val="00FD6394"/>
    <w:rsid w:val="00FD7982"/>
    <w:rsid w:val="00FD7C17"/>
    <w:rsid w:val="00FE0E6C"/>
    <w:rsid w:val="00FE1EC6"/>
    <w:rsid w:val="00FE30DF"/>
    <w:rsid w:val="00FE3153"/>
    <w:rsid w:val="00FE33C4"/>
    <w:rsid w:val="00FE3510"/>
    <w:rsid w:val="00FE37CC"/>
    <w:rsid w:val="00FE421C"/>
    <w:rsid w:val="00FE588D"/>
    <w:rsid w:val="00FE5A9F"/>
    <w:rsid w:val="00FE5DC0"/>
    <w:rsid w:val="00FE65A5"/>
    <w:rsid w:val="00FE70C3"/>
    <w:rsid w:val="00FE7EB5"/>
    <w:rsid w:val="00FF0E3E"/>
    <w:rsid w:val="00FF10BF"/>
    <w:rsid w:val="00FF1776"/>
    <w:rsid w:val="00FF1868"/>
    <w:rsid w:val="00FF24A0"/>
    <w:rsid w:val="00FF32C3"/>
    <w:rsid w:val="00FF3DCF"/>
    <w:rsid w:val="00FF408D"/>
    <w:rsid w:val="00FF4335"/>
    <w:rsid w:val="00FF492C"/>
    <w:rsid w:val="00FF4A21"/>
    <w:rsid w:val="00FF4B2E"/>
    <w:rsid w:val="00FF5087"/>
    <w:rsid w:val="00FF5AA3"/>
    <w:rsid w:val="00FF5AD8"/>
    <w:rsid w:val="00FF620F"/>
    <w:rsid w:val="00FF6745"/>
    <w:rsid w:val="00FF7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B29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7D"/>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27F36"/>
    <w:pPr>
      <w:widowControl/>
      <w:spacing w:before="120" w:after="120"/>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27F36"/>
    <w:rPr>
      <w:rFonts w:ascii="Calibri" w:hAnsi="Calibri" w:cs="Arial"/>
      <w:b/>
      <w:i/>
      <w:snapToGrid w:val="0"/>
      <w:sz w:val="28"/>
      <w:szCs w:val="22"/>
      <w:lang w:eastAsia="en-US"/>
    </w:rPr>
  </w:style>
  <w:style w:type="character" w:customStyle="1" w:styleId="Heading7Char">
    <w:name w:val="Heading 7 Char"/>
    <w:link w:val="Heading7"/>
    <w:rsid w:val="00124A51"/>
    <w:rPr>
      <w:rFonts w:ascii="Arial" w:hAnsi="Arial"/>
      <w:b/>
      <w:snapToGrid w:val="0"/>
      <w:lang w:eastAsia="en-US"/>
    </w:rPr>
  </w:style>
  <w:style w:type="character" w:customStyle="1" w:styleId="Heading8Char">
    <w:name w:val="Heading 8 Char"/>
    <w:link w:val="Heading8"/>
    <w:rsid w:val="00124A51"/>
    <w:rPr>
      <w:b/>
      <w:snapToGrid w:val="0"/>
      <w:sz w:val="24"/>
      <w:lang w:eastAsia="en-US"/>
    </w:rPr>
  </w:style>
  <w:style w:type="character" w:customStyle="1" w:styleId="Heading9Char">
    <w:name w:val="Heading 9 Char"/>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sz w:val="18"/>
      <w:szCs w:val="18"/>
    </w:rPr>
  </w:style>
  <w:style w:type="character" w:customStyle="1" w:styleId="CaptionChar">
    <w:name w:val="Caption Char"/>
    <w:link w:val="Caption"/>
    <w:rsid w:val="00124A51"/>
    <w:rPr>
      <w:b/>
      <w:bCs/>
      <w:snapToGrid w:val="0"/>
      <w:color w:val="4F81BD"/>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463F46"/>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uiPriority w:val="99"/>
    <w:unhideWhenUsed/>
    <w:rsid w:val="00621477"/>
    <w:rPr>
      <w:color w:val="0000FF"/>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Cambria" w:eastAsia="MS Gothic" w:hAnsi="Cambria" w:cs="Times New Roman"/>
      <w:bCs/>
      <w:snapToGrid/>
      <w:color w:val="365F91"/>
      <w:sz w:val="28"/>
      <w:szCs w:val="28"/>
      <w:lang w:val="en-US" w:eastAsia="ja-JP"/>
    </w:rPr>
  </w:style>
  <w:style w:type="paragraph" w:styleId="TOC3">
    <w:name w:val="toc 3"/>
    <w:basedOn w:val="Normal"/>
    <w:next w:val="Normal"/>
    <w:autoRedefine/>
    <w:uiPriority w:val="39"/>
    <w:unhideWhenUsed/>
    <w:rsid w:val="00CE6274"/>
    <w:pPr>
      <w:ind w:left="440"/>
      <w:jc w:val="left"/>
    </w:pPr>
    <w:rPr>
      <w:sz w:val="20"/>
    </w:rPr>
  </w:style>
  <w:style w:type="paragraph" w:styleId="TOC4">
    <w:name w:val="toc 4"/>
    <w:basedOn w:val="Normal"/>
    <w:next w:val="Normal"/>
    <w:autoRedefine/>
    <w:rsid w:val="00D0262E"/>
    <w:pPr>
      <w:ind w:left="660"/>
      <w:jc w:val="left"/>
    </w:pPr>
    <w:rPr>
      <w:sz w:val="20"/>
    </w:rPr>
  </w:style>
  <w:style w:type="paragraph" w:styleId="TOC5">
    <w:name w:val="toc 5"/>
    <w:basedOn w:val="Normal"/>
    <w:next w:val="Normal"/>
    <w:autoRedefine/>
    <w:rsid w:val="00D0262E"/>
    <w:pPr>
      <w:ind w:left="880"/>
      <w:jc w:val="left"/>
    </w:pPr>
    <w:rPr>
      <w:sz w:val="20"/>
    </w:rPr>
  </w:style>
  <w:style w:type="paragraph" w:styleId="TOC6">
    <w:name w:val="toc 6"/>
    <w:basedOn w:val="Normal"/>
    <w:next w:val="Normal"/>
    <w:autoRedefine/>
    <w:rsid w:val="00D0262E"/>
    <w:pPr>
      <w:ind w:left="1100"/>
      <w:jc w:val="left"/>
    </w:pPr>
    <w:rPr>
      <w:sz w:val="20"/>
    </w:rPr>
  </w:style>
  <w:style w:type="paragraph" w:styleId="TOC7">
    <w:name w:val="toc 7"/>
    <w:basedOn w:val="Normal"/>
    <w:next w:val="Normal"/>
    <w:autoRedefine/>
    <w:rsid w:val="00D0262E"/>
    <w:pPr>
      <w:ind w:left="1320"/>
      <w:jc w:val="left"/>
    </w:pPr>
    <w:rPr>
      <w:sz w:val="20"/>
    </w:rPr>
  </w:style>
  <w:style w:type="paragraph" w:styleId="TOC8">
    <w:name w:val="toc 8"/>
    <w:basedOn w:val="Normal"/>
    <w:next w:val="Normal"/>
    <w:autoRedefine/>
    <w:rsid w:val="00D0262E"/>
    <w:pPr>
      <w:ind w:left="1540"/>
      <w:jc w:val="left"/>
    </w:pPr>
    <w:rPr>
      <w:sz w:val="20"/>
    </w:rPr>
  </w:style>
  <w:style w:type="paragraph" w:styleId="TOC9">
    <w:name w:val="toc 9"/>
    <w:basedOn w:val="Normal"/>
    <w:next w:val="Normal"/>
    <w:autoRedefine/>
    <w:rsid w:val="00D0262E"/>
    <w:pPr>
      <w:ind w:left="1760"/>
      <w:jc w:val="left"/>
    </w:pPr>
    <w:rPr>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qFormat/>
    <w:rsid w:val="00127F36"/>
    <w:pPr>
      <w:keepNext/>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semiHidden/>
    <w:unhideWhenUsed/>
    <w:rsid w:val="00536F42"/>
    <w:rPr>
      <w:color w:val="800080"/>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rsid w:val="00741DE1"/>
    <w:rPr>
      <w:rFonts w:ascii="Times New Roman" w:hAnsi="Times New Roman" w:cs="Times New Roman"/>
      <w:sz w:val="20"/>
      <w:szCs w:val="20"/>
    </w:rPr>
  </w:style>
  <w:style w:type="character" w:customStyle="1" w:styleId="FootnoteTextChar">
    <w:name w:val="Footnote Text Char"/>
    <w:link w:val="FootnoteText"/>
    <w:rsid w:val="00741DE1"/>
    <w:rPr>
      <w:snapToGrid w:val="0"/>
      <w:lang w:eastAsia="en-US"/>
    </w:rPr>
  </w:style>
  <w:style w:type="character" w:styleId="FootnoteReference">
    <w:name w:val="footnote reference"/>
    <w:rsid w:val="00741DE1"/>
    <w:rPr>
      <w:vertAlign w:val="superscript"/>
    </w:rPr>
  </w:style>
  <w:style w:type="paragraph" w:customStyle="1" w:styleId="Default">
    <w:name w:val="Default"/>
    <w:rsid w:val="004E3A7B"/>
    <w:pPr>
      <w:autoSpaceDE w:val="0"/>
      <w:autoSpaceDN w:val="0"/>
      <w:adjustRightInd w:val="0"/>
    </w:pPr>
    <w:rPr>
      <w:rFonts w:ascii="Arial" w:hAnsi="Arial" w:cs="Arial"/>
      <w:color w:val="000000"/>
      <w:sz w:val="24"/>
      <w:szCs w:val="24"/>
    </w:rPr>
  </w:style>
  <w:style w:type="paragraph" w:customStyle="1" w:styleId="TableFigNote">
    <w:name w:val="TableFigNote"/>
    <w:basedOn w:val="Normal"/>
    <w:qFormat/>
    <w:rsid w:val="004F1FF3"/>
    <w:pPr>
      <w:widowControl/>
      <w:jc w:val="left"/>
    </w:pPr>
    <w:rPr>
      <w:rFonts w:eastAsia="Calibri"/>
      <w:snapToGrid/>
      <w:sz w:val="16"/>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F4335"/>
    <w:pPr>
      <w:widowControl/>
      <w:spacing w:after="160" w:line="240" w:lineRule="exact"/>
      <w:jc w:val="left"/>
    </w:pPr>
    <w:rPr>
      <w:rFonts w:ascii="Verdana" w:eastAsia="MS Mincho" w:hAnsi="Verdana" w:cs="Verdana"/>
      <w:snapToGrid/>
      <w:sz w:val="20"/>
      <w:szCs w:val="20"/>
      <w:lang w:val="en-US"/>
    </w:rPr>
  </w:style>
  <w:style w:type="character" w:styleId="Emphasis">
    <w:name w:val="Emphasis"/>
    <w:qFormat/>
    <w:rsid w:val="00695BD5"/>
    <w:rPr>
      <w:i/>
      <w:iCs/>
    </w:rPr>
  </w:style>
  <w:style w:type="character" w:styleId="Strong">
    <w:name w:val="Strong"/>
    <w:qFormat/>
    <w:rsid w:val="00695BD5"/>
    <w:rPr>
      <w:b/>
      <w:bCs/>
    </w:rPr>
  </w:style>
  <w:style w:type="character" w:styleId="SubtleEmphasis">
    <w:name w:val="Subtle Emphasis"/>
    <w:uiPriority w:val="19"/>
    <w:qFormat/>
    <w:rsid w:val="00695BD5"/>
    <w:rPr>
      <w:i/>
      <w:iCs/>
      <w:color w:val="808080"/>
    </w:rPr>
  </w:style>
  <w:style w:type="character" w:styleId="IntenseEmphasis">
    <w:name w:val="Intense Emphasis"/>
    <w:uiPriority w:val="21"/>
    <w:qFormat/>
    <w:rsid w:val="00695BD5"/>
    <w:rPr>
      <w:b/>
      <w:bCs/>
      <w:i/>
      <w:iCs/>
      <w:color w:val="4F81BD"/>
    </w:rPr>
  </w:style>
  <w:style w:type="paragraph" w:styleId="Quote">
    <w:name w:val="Quote"/>
    <w:basedOn w:val="Normal"/>
    <w:next w:val="Normal"/>
    <w:link w:val="QuoteChar"/>
    <w:uiPriority w:val="29"/>
    <w:qFormat/>
    <w:rsid w:val="00695BD5"/>
    <w:rPr>
      <w:i/>
      <w:iCs/>
      <w:color w:val="000000"/>
    </w:rPr>
  </w:style>
  <w:style w:type="character" w:customStyle="1" w:styleId="QuoteChar">
    <w:name w:val="Quote Char"/>
    <w:link w:val="Quote"/>
    <w:uiPriority w:val="29"/>
    <w:rsid w:val="00695BD5"/>
    <w:rPr>
      <w:rFonts w:ascii="Calibri" w:hAnsi="Calibri" w:cs="Arial"/>
      <w:i/>
      <w:iCs/>
      <w:snapToGrid w:val="0"/>
      <w:color w:val="000000"/>
      <w:sz w:val="24"/>
      <w:szCs w:val="22"/>
      <w:lang w:eastAsia="en-US"/>
    </w:rPr>
  </w:style>
  <w:style w:type="paragraph" w:styleId="IntenseQuote">
    <w:name w:val="Intense Quote"/>
    <w:basedOn w:val="Normal"/>
    <w:next w:val="Normal"/>
    <w:link w:val="IntenseQuoteChar"/>
    <w:uiPriority w:val="30"/>
    <w:qFormat/>
    <w:rsid w:val="00695B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95BD5"/>
    <w:rPr>
      <w:rFonts w:ascii="Calibri" w:hAnsi="Calibri" w:cs="Arial"/>
      <w:b/>
      <w:bCs/>
      <w:i/>
      <w:iCs/>
      <w:snapToGrid w:val="0"/>
      <w:color w:val="4F81BD"/>
      <w:sz w:val="24"/>
      <w:szCs w:val="22"/>
      <w:lang w:eastAsia="en-US"/>
    </w:rPr>
  </w:style>
  <w:style w:type="character" w:styleId="SubtleReference">
    <w:name w:val="Subtle Reference"/>
    <w:uiPriority w:val="31"/>
    <w:qFormat/>
    <w:rsid w:val="00695BD5"/>
    <w:rPr>
      <w:smallCaps/>
      <w:color w:val="C0504D"/>
      <w:u w:val="single"/>
    </w:rPr>
  </w:style>
  <w:style w:type="character" w:styleId="IntenseReference">
    <w:name w:val="Intense Reference"/>
    <w:uiPriority w:val="32"/>
    <w:qFormat/>
    <w:rsid w:val="00695BD5"/>
    <w:rPr>
      <w:b/>
      <w:bCs/>
      <w:i/>
      <w:smallCaps/>
      <w:color w:val="C0504D"/>
      <w:spacing w:val="5"/>
      <w:u w:val="none"/>
    </w:rPr>
  </w:style>
  <w:style w:type="character" w:styleId="BookTitle">
    <w:name w:val="Book Title"/>
    <w:uiPriority w:val="33"/>
    <w:qFormat/>
    <w:rsid w:val="00695BD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
      <w:bodyDiv w:val="1"/>
      <w:marLeft w:val="0"/>
      <w:marRight w:val="0"/>
      <w:marTop w:val="0"/>
      <w:marBottom w:val="0"/>
      <w:divBdr>
        <w:top w:val="none" w:sz="0" w:space="0" w:color="auto"/>
        <w:left w:val="none" w:sz="0" w:space="0" w:color="auto"/>
        <w:bottom w:val="none" w:sz="0" w:space="0" w:color="auto"/>
        <w:right w:val="none" w:sz="0" w:space="0" w:color="auto"/>
      </w:divBdr>
    </w:div>
    <w:div w:id="202834864">
      <w:bodyDiv w:val="1"/>
      <w:marLeft w:val="0"/>
      <w:marRight w:val="0"/>
      <w:marTop w:val="0"/>
      <w:marBottom w:val="0"/>
      <w:divBdr>
        <w:top w:val="none" w:sz="0" w:space="0" w:color="auto"/>
        <w:left w:val="none" w:sz="0" w:space="0" w:color="auto"/>
        <w:bottom w:val="none" w:sz="0" w:space="0" w:color="auto"/>
        <w:right w:val="none" w:sz="0" w:space="0" w:color="auto"/>
      </w:divBdr>
    </w:div>
    <w:div w:id="506290032">
      <w:bodyDiv w:val="1"/>
      <w:marLeft w:val="0"/>
      <w:marRight w:val="0"/>
      <w:marTop w:val="0"/>
      <w:marBottom w:val="0"/>
      <w:divBdr>
        <w:top w:val="none" w:sz="0" w:space="0" w:color="auto"/>
        <w:left w:val="none" w:sz="0" w:space="0" w:color="auto"/>
        <w:bottom w:val="none" w:sz="0" w:space="0" w:color="auto"/>
        <w:right w:val="none" w:sz="0" w:space="0" w:color="auto"/>
      </w:divBdr>
    </w:div>
    <w:div w:id="808785322">
      <w:bodyDiv w:val="1"/>
      <w:marLeft w:val="0"/>
      <w:marRight w:val="0"/>
      <w:marTop w:val="0"/>
      <w:marBottom w:val="0"/>
      <w:divBdr>
        <w:top w:val="none" w:sz="0" w:space="0" w:color="auto"/>
        <w:left w:val="none" w:sz="0" w:space="0" w:color="auto"/>
        <w:bottom w:val="none" w:sz="0" w:space="0" w:color="auto"/>
        <w:right w:val="none" w:sz="0" w:space="0" w:color="auto"/>
      </w:divBdr>
    </w:div>
    <w:div w:id="966013237">
      <w:bodyDiv w:val="1"/>
      <w:marLeft w:val="0"/>
      <w:marRight w:val="0"/>
      <w:marTop w:val="0"/>
      <w:marBottom w:val="0"/>
      <w:divBdr>
        <w:top w:val="none" w:sz="0" w:space="0" w:color="auto"/>
        <w:left w:val="none" w:sz="0" w:space="0" w:color="auto"/>
        <w:bottom w:val="none" w:sz="0" w:space="0" w:color="auto"/>
        <w:right w:val="none" w:sz="0" w:space="0" w:color="auto"/>
      </w:divBdr>
    </w:div>
    <w:div w:id="1064059503">
      <w:bodyDiv w:val="1"/>
      <w:marLeft w:val="0"/>
      <w:marRight w:val="0"/>
      <w:marTop w:val="0"/>
      <w:marBottom w:val="0"/>
      <w:divBdr>
        <w:top w:val="none" w:sz="0" w:space="0" w:color="auto"/>
        <w:left w:val="none" w:sz="0" w:space="0" w:color="auto"/>
        <w:bottom w:val="none" w:sz="0" w:space="0" w:color="auto"/>
        <w:right w:val="none" w:sz="0" w:space="0" w:color="auto"/>
      </w:divBdr>
    </w:div>
    <w:div w:id="1221674750">
      <w:bodyDiv w:val="1"/>
      <w:marLeft w:val="0"/>
      <w:marRight w:val="0"/>
      <w:marTop w:val="0"/>
      <w:marBottom w:val="0"/>
      <w:divBdr>
        <w:top w:val="none" w:sz="0" w:space="0" w:color="auto"/>
        <w:left w:val="none" w:sz="0" w:space="0" w:color="auto"/>
        <w:bottom w:val="none" w:sz="0" w:space="0" w:color="auto"/>
        <w:right w:val="none" w:sz="0" w:space="0" w:color="auto"/>
      </w:divBdr>
    </w:div>
    <w:div w:id="1251810199">
      <w:bodyDiv w:val="1"/>
      <w:marLeft w:val="0"/>
      <w:marRight w:val="0"/>
      <w:marTop w:val="0"/>
      <w:marBottom w:val="0"/>
      <w:divBdr>
        <w:top w:val="none" w:sz="0" w:space="0" w:color="auto"/>
        <w:left w:val="none" w:sz="0" w:space="0" w:color="auto"/>
        <w:bottom w:val="none" w:sz="0" w:space="0" w:color="auto"/>
        <w:right w:val="none" w:sz="0" w:space="0" w:color="auto"/>
      </w:divBdr>
    </w:div>
    <w:div w:id="1252546802">
      <w:bodyDiv w:val="1"/>
      <w:marLeft w:val="0"/>
      <w:marRight w:val="0"/>
      <w:marTop w:val="0"/>
      <w:marBottom w:val="0"/>
      <w:divBdr>
        <w:top w:val="none" w:sz="0" w:space="0" w:color="auto"/>
        <w:left w:val="none" w:sz="0" w:space="0" w:color="auto"/>
        <w:bottom w:val="none" w:sz="0" w:space="0" w:color="auto"/>
        <w:right w:val="none" w:sz="0" w:space="0" w:color="auto"/>
      </w:divBdr>
    </w:div>
    <w:div w:id="1252662917">
      <w:bodyDiv w:val="1"/>
      <w:marLeft w:val="0"/>
      <w:marRight w:val="0"/>
      <w:marTop w:val="0"/>
      <w:marBottom w:val="0"/>
      <w:divBdr>
        <w:top w:val="none" w:sz="0" w:space="0" w:color="auto"/>
        <w:left w:val="none" w:sz="0" w:space="0" w:color="auto"/>
        <w:bottom w:val="none" w:sz="0" w:space="0" w:color="auto"/>
        <w:right w:val="none" w:sz="0" w:space="0" w:color="auto"/>
      </w:divBdr>
    </w:div>
    <w:div w:id="1356351371">
      <w:bodyDiv w:val="1"/>
      <w:marLeft w:val="0"/>
      <w:marRight w:val="0"/>
      <w:marTop w:val="0"/>
      <w:marBottom w:val="0"/>
      <w:divBdr>
        <w:top w:val="none" w:sz="0" w:space="0" w:color="auto"/>
        <w:left w:val="none" w:sz="0" w:space="0" w:color="auto"/>
        <w:bottom w:val="none" w:sz="0" w:space="0" w:color="auto"/>
        <w:right w:val="none" w:sz="0" w:space="0" w:color="auto"/>
      </w:divBdr>
    </w:div>
    <w:div w:id="1619291071">
      <w:bodyDiv w:val="1"/>
      <w:marLeft w:val="0"/>
      <w:marRight w:val="0"/>
      <w:marTop w:val="0"/>
      <w:marBottom w:val="0"/>
      <w:divBdr>
        <w:top w:val="none" w:sz="0" w:space="0" w:color="auto"/>
        <w:left w:val="none" w:sz="0" w:space="0" w:color="auto"/>
        <w:bottom w:val="none" w:sz="0" w:space="0" w:color="auto"/>
        <w:right w:val="none" w:sz="0" w:space="0" w:color="auto"/>
      </w:divBdr>
    </w:div>
    <w:div w:id="20996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54D3-D795-441F-905F-EFD50F3B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14034</Words>
  <Characters>80266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94112</CharactersWithSpaces>
  <SharedDoc>false</SharedDoc>
  <HLinks>
    <vt:vector size="24" baseType="variant">
      <vt:variant>
        <vt:i4>1835091</vt:i4>
      </vt:variant>
      <vt:variant>
        <vt:i4>162</vt:i4>
      </vt:variant>
      <vt:variant>
        <vt:i4>0</vt:i4>
      </vt:variant>
      <vt:variant>
        <vt:i4>5</vt:i4>
      </vt:variant>
      <vt:variant>
        <vt:lpwstr>http://www.humanservices.gov.au/</vt:lpwstr>
      </vt:variant>
      <vt:variant>
        <vt:lpwstr/>
      </vt:variant>
      <vt:variant>
        <vt:i4>1835091</vt:i4>
      </vt:variant>
      <vt:variant>
        <vt:i4>159</vt:i4>
      </vt:variant>
      <vt:variant>
        <vt:i4>0</vt:i4>
      </vt:variant>
      <vt:variant>
        <vt:i4>5</vt:i4>
      </vt:variant>
      <vt:variant>
        <vt:lpwstr>http://www.humanservices.gov.au/</vt:lpwstr>
      </vt:variant>
      <vt:variant>
        <vt:lpwstr/>
      </vt:variant>
      <vt:variant>
        <vt:i4>1835091</vt:i4>
      </vt:variant>
      <vt:variant>
        <vt:i4>90</vt:i4>
      </vt:variant>
      <vt:variant>
        <vt:i4>0</vt:i4>
      </vt:variant>
      <vt:variant>
        <vt:i4>5</vt:i4>
      </vt:variant>
      <vt:variant>
        <vt:lpwstr>http://www.humanservices.gov.au/</vt:lpwstr>
      </vt:variant>
      <vt:variant>
        <vt:lpwstr/>
      </vt:variant>
      <vt:variant>
        <vt:i4>1835091</vt:i4>
      </vt:variant>
      <vt:variant>
        <vt:i4>54</vt:i4>
      </vt:variant>
      <vt:variant>
        <vt:i4>0</vt:i4>
      </vt:variant>
      <vt:variant>
        <vt:i4>5</vt:i4>
      </vt:variant>
      <vt:variant>
        <vt:lpwstr>http://www.humanservices.gov.au/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2019-02-20T21:56:00Z</dcterms:created>
  <dcterms:modified xsi:type="dcterms:W3CDTF">2019-02-25T03:35:00Z</dcterms:modified>
</cp:coreProperties>
</file>