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83" w:rsidRPr="005F2796" w:rsidRDefault="00A848C1" w:rsidP="00A57383">
      <w:pPr>
        <w:ind w:left="993" w:hanging="993"/>
        <w:jc w:val="left"/>
        <w:rPr>
          <w:b/>
          <w:sz w:val="36"/>
          <w:szCs w:val="36"/>
        </w:rPr>
      </w:pPr>
      <w:r w:rsidRPr="005F2796">
        <w:rPr>
          <w:b/>
          <w:sz w:val="36"/>
          <w:szCs w:val="36"/>
        </w:rPr>
        <w:t>5</w:t>
      </w:r>
      <w:r w:rsidR="00A57383" w:rsidRPr="005F2796">
        <w:rPr>
          <w:b/>
          <w:sz w:val="36"/>
          <w:szCs w:val="36"/>
        </w:rPr>
        <w:t>.</w:t>
      </w:r>
      <w:r w:rsidRPr="005F2796">
        <w:rPr>
          <w:b/>
          <w:sz w:val="36"/>
          <w:szCs w:val="36"/>
        </w:rPr>
        <w:t>18</w:t>
      </w:r>
      <w:r w:rsidR="00A57383" w:rsidRPr="005F2796">
        <w:rPr>
          <w:b/>
          <w:sz w:val="36"/>
          <w:szCs w:val="36"/>
        </w:rPr>
        <w:tab/>
        <w:t>VENETOCLAX,</w:t>
      </w:r>
      <w:r w:rsidR="00A57383" w:rsidRPr="005F2796">
        <w:rPr>
          <w:b/>
          <w:sz w:val="36"/>
          <w:szCs w:val="36"/>
        </w:rPr>
        <w:br/>
        <w:t xml:space="preserve">Tablet 10 mg, 50 mg and 100 mg, </w:t>
      </w:r>
      <w:r w:rsidR="00A57383" w:rsidRPr="005F2796">
        <w:rPr>
          <w:b/>
          <w:sz w:val="36"/>
          <w:szCs w:val="36"/>
        </w:rPr>
        <w:br/>
        <w:t>Venclexta®, AbbVie Pty Ltd</w:t>
      </w:r>
    </w:p>
    <w:p w:rsidR="00AD7F9C" w:rsidRPr="005F2796" w:rsidRDefault="00AD7F9C" w:rsidP="00AD7F9C">
      <w:pPr>
        <w:rPr>
          <w:rFonts w:ascii="Arial" w:hAnsi="Arial" w:cs="Arial"/>
          <w:b/>
          <w:sz w:val="22"/>
          <w:u w:val="single"/>
        </w:rPr>
      </w:pPr>
    </w:p>
    <w:p w:rsidR="00A57383" w:rsidRPr="005F2796" w:rsidRDefault="00A57383" w:rsidP="00FF0E71">
      <w:pPr>
        <w:pStyle w:val="Heading1"/>
        <w:spacing w:before="0" w:after="0"/>
        <w:ind w:left="567" w:hanging="567"/>
      </w:pPr>
      <w:bookmarkStart w:id="0" w:name="_Toc413139271"/>
      <w:bookmarkStart w:id="1" w:name="_Toc522042664"/>
      <w:bookmarkStart w:id="2" w:name="_Toc524621090"/>
      <w:r w:rsidRPr="005F2796">
        <w:t>Purpose of application</w:t>
      </w:r>
      <w:bookmarkEnd w:id="0"/>
      <w:bookmarkEnd w:id="1"/>
      <w:bookmarkEnd w:id="2"/>
    </w:p>
    <w:p w:rsidR="00A57383" w:rsidRPr="005F2796" w:rsidRDefault="00A57383" w:rsidP="00FF0E71">
      <w:pPr>
        <w:pStyle w:val="ListParagraph"/>
        <w:numPr>
          <w:ilvl w:val="1"/>
          <w:numId w:val="7"/>
        </w:numPr>
        <w:spacing w:before="120" w:after="160"/>
        <w:ind w:left="567" w:hanging="567"/>
      </w:pPr>
      <w:r w:rsidRPr="005F2796">
        <w:t>The submission requested a General Schedule (Authority Required</w:t>
      </w:r>
      <w:r w:rsidR="00A848C1" w:rsidRPr="005F2796">
        <w:t xml:space="preserve"> – Telephone</w:t>
      </w:r>
      <w:r w:rsidRPr="005F2796">
        <w:t>) listing of venetoclax plus rituximab for the treatment of patients with relapsed or refractory chronic lymphocytic leukaemia (CLL) who are unsuitable for treatment or retreatment with a purine analogue. The PBAC has not previously considered use of venetoclax in combination with rituximab. Submissions for venetoclax monotherapy were considered by the PBAC at the March 2017, July 2017 and November 2017 PBAC meetings.</w:t>
      </w:r>
    </w:p>
    <w:p w:rsidR="00A57383" w:rsidRPr="005F2796" w:rsidRDefault="00A57383" w:rsidP="00FF0E71">
      <w:pPr>
        <w:pStyle w:val="ListParagraph"/>
        <w:numPr>
          <w:ilvl w:val="1"/>
          <w:numId w:val="7"/>
        </w:numPr>
        <w:spacing w:after="160"/>
        <w:ind w:left="567" w:hanging="567"/>
      </w:pPr>
      <w:r w:rsidRPr="005F2796">
        <w:t>The listing was requested on a cost-minimisation basis compared to ibrutinib monotherapy.</w:t>
      </w:r>
    </w:p>
    <w:p w:rsidR="00A57383" w:rsidRPr="005F2796" w:rsidRDefault="00A57383" w:rsidP="008D2FBD">
      <w:pPr>
        <w:keepNext/>
        <w:rPr>
          <w:b/>
        </w:rPr>
      </w:pPr>
      <w:r w:rsidRPr="005F2796">
        <w:rPr>
          <w:rFonts w:ascii="Arial Narrow" w:hAnsi="Arial Narrow"/>
          <w:b/>
          <w:sz w:val="20"/>
          <w:szCs w:val="20"/>
        </w:rPr>
        <w:t>Table 1: Key components of the clinical issue addressed by the submission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414"/>
        <w:gridCol w:w="7602"/>
      </w:tblGrid>
      <w:tr w:rsidR="00A57383" w:rsidRPr="005F2796" w:rsidTr="00EF6959">
        <w:trPr>
          <w:cnfStyle w:val="100000000000" w:firstRow="1" w:lastRow="0" w:firstColumn="0" w:lastColumn="0" w:oddVBand="0" w:evenVBand="0" w:oddHBand="0" w:evenHBand="0" w:firstRowFirstColumn="0" w:firstRowLastColumn="0" w:lastRowFirstColumn="0" w:lastRowLastColumn="0"/>
          <w:cantSplit/>
          <w:tblHeader/>
        </w:trPr>
        <w:tc>
          <w:tcPr>
            <w:tcW w:w="784" w:type="pct"/>
            <w:shd w:val="clear" w:color="auto" w:fill="auto"/>
          </w:tcPr>
          <w:p w:rsidR="00A57383" w:rsidRPr="007D1CE2" w:rsidRDefault="00A57383" w:rsidP="00EF6959">
            <w:pPr>
              <w:pStyle w:val="TableText"/>
              <w:rPr>
                <w:b w:val="0"/>
                <w:lang w:val="en-AU"/>
              </w:rPr>
            </w:pPr>
            <w:r w:rsidRPr="005F2796">
              <w:t>Component</w:t>
            </w:r>
          </w:p>
        </w:tc>
        <w:tc>
          <w:tcPr>
            <w:tcW w:w="4216" w:type="pct"/>
            <w:shd w:val="clear" w:color="auto" w:fill="auto"/>
          </w:tcPr>
          <w:p w:rsidR="00A57383" w:rsidRPr="007D1CE2" w:rsidRDefault="00A57383" w:rsidP="00EF6959">
            <w:pPr>
              <w:pStyle w:val="TableText"/>
              <w:rPr>
                <w:b w:val="0"/>
                <w:lang w:val="en-AU"/>
              </w:rPr>
            </w:pPr>
            <w:r w:rsidRPr="005F2796">
              <w:t>Description</w:t>
            </w:r>
          </w:p>
        </w:tc>
      </w:tr>
      <w:tr w:rsidR="00A57383" w:rsidRPr="005F2796" w:rsidTr="00EF6959">
        <w:trPr>
          <w:cantSplit/>
        </w:trPr>
        <w:tc>
          <w:tcPr>
            <w:tcW w:w="784" w:type="pct"/>
            <w:shd w:val="clear" w:color="auto" w:fill="auto"/>
            <w:vAlign w:val="center"/>
          </w:tcPr>
          <w:p w:rsidR="00A57383" w:rsidRPr="007D1CE2" w:rsidRDefault="00A57383" w:rsidP="00EF6959">
            <w:pPr>
              <w:pStyle w:val="TableText"/>
              <w:rPr>
                <w:lang w:val="en-AU"/>
              </w:rPr>
            </w:pPr>
            <w:r w:rsidRPr="005F2796">
              <w:t>Population</w:t>
            </w:r>
          </w:p>
        </w:tc>
        <w:tc>
          <w:tcPr>
            <w:tcW w:w="4216" w:type="pct"/>
            <w:shd w:val="clear" w:color="auto" w:fill="auto"/>
          </w:tcPr>
          <w:p w:rsidR="00A57383" w:rsidRPr="007D1CE2" w:rsidRDefault="00A57383" w:rsidP="00EF6959">
            <w:pPr>
              <w:pStyle w:val="TableText"/>
              <w:rPr>
                <w:rFonts w:ascii="Times" w:eastAsia="Times New Roman" w:hAnsi="Times" w:cs="Times New Roman"/>
                <w:lang w:val="en-AU"/>
              </w:rPr>
            </w:pPr>
            <w:r w:rsidRPr="005F2796">
              <w:t>Patients with relapsed/refractory CLL considered unsuitable for treatment or retreatment with a purine analogue</w:t>
            </w:r>
            <w:r w:rsidR="008D2FBD" w:rsidRPr="005F2796">
              <w:t>.</w:t>
            </w:r>
          </w:p>
        </w:tc>
      </w:tr>
      <w:tr w:rsidR="00A57383" w:rsidRPr="005F2796" w:rsidTr="00EF6959">
        <w:trPr>
          <w:cantSplit/>
        </w:trPr>
        <w:tc>
          <w:tcPr>
            <w:tcW w:w="784" w:type="pct"/>
            <w:shd w:val="clear" w:color="auto" w:fill="auto"/>
            <w:vAlign w:val="center"/>
          </w:tcPr>
          <w:p w:rsidR="00A57383" w:rsidRPr="007D1CE2" w:rsidRDefault="00A57383" w:rsidP="00EF6959">
            <w:pPr>
              <w:pStyle w:val="TableText"/>
              <w:rPr>
                <w:rFonts w:ascii="Times" w:eastAsia="Times New Roman" w:hAnsi="Times" w:cs="Times New Roman"/>
                <w:lang w:val="en-AU"/>
              </w:rPr>
            </w:pPr>
            <w:r w:rsidRPr="005F2796">
              <w:t>Intervention</w:t>
            </w:r>
          </w:p>
        </w:tc>
        <w:tc>
          <w:tcPr>
            <w:tcW w:w="4216" w:type="pct"/>
            <w:shd w:val="clear" w:color="auto" w:fill="auto"/>
          </w:tcPr>
          <w:p w:rsidR="00A57383" w:rsidRPr="007D1CE2" w:rsidRDefault="00A57383" w:rsidP="00EF6959">
            <w:pPr>
              <w:pStyle w:val="TableText"/>
              <w:numPr>
                <w:ilvl w:val="0"/>
                <w:numId w:val="31"/>
              </w:numPr>
              <w:ind w:left="34" w:hanging="98"/>
              <w:rPr>
                <w:lang w:val="en-AU"/>
              </w:rPr>
            </w:pPr>
            <w:r w:rsidRPr="005F2796">
              <w:t>Venetoclax 400 mg PO daily until disease progression, unacceptable toxicity, or a maximum of 24 months (after completion of a 5-week dose titration).</w:t>
            </w:r>
          </w:p>
          <w:p w:rsidR="00A57383" w:rsidRPr="007D1CE2" w:rsidRDefault="00A57383" w:rsidP="00EF6959">
            <w:pPr>
              <w:pStyle w:val="TableText"/>
              <w:numPr>
                <w:ilvl w:val="0"/>
                <w:numId w:val="31"/>
              </w:numPr>
              <w:ind w:left="34" w:hanging="98"/>
              <w:rPr>
                <w:lang w:val="en-AU"/>
              </w:rPr>
            </w:pPr>
            <w:r w:rsidRPr="005F2796">
              <w:t>Six cycles of rituximab administered by IV infusion every 28 days (375 mg/m</w:t>
            </w:r>
            <w:r w:rsidRPr="005F2796">
              <w:rPr>
                <w:vertAlign w:val="superscript"/>
              </w:rPr>
              <w:t>2</w:t>
            </w:r>
            <w:r w:rsidRPr="005F2796">
              <w:t xml:space="preserve"> for Cycle 1, 500 mg/m</w:t>
            </w:r>
            <w:r w:rsidRPr="005F2796">
              <w:rPr>
                <w:vertAlign w:val="superscript"/>
              </w:rPr>
              <w:t>2</w:t>
            </w:r>
            <w:r w:rsidRPr="005F2796">
              <w:t xml:space="preserve"> Cycles 2 to 6); commencing after 5-week venetoclax titration.</w:t>
            </w:r>
          </w:p>
        </w:tc>
      </w:tr>
      <w:tr w:rsidR="00A57383" w:rsidRPr="005F2796" w:rsidTr="00EF6959">
        <w:trPr>
          <w:cantSplit/>
        </w:trPr>
        <w:tc>
          <w:tcPr>
            <w:tcW w:w="784" w:type="pct"/>
            <w:shd w:val="clear" w:color="auto" w:fill="auto"/>
            <w:vAlign w:val="center"/>
          </w:tcPr>
          <w:p w:rsidR="00A57383" w:rsidRPr="007D1CE2" w:rsidRDefault="00A57383" w:rsidP="00EF6959">
            <w:pPr>
              <w:pStyle w:val="TableText"/>
              <w:rPr>
                <w:rFonts w:ascii="Times" w:eastAsia="Times New Roman" w:hAnsi="Times" w:cs="Times New Roman"/>
                <w:lang w:val="en-AU"/>
              </w:rPr>
            </w:pPr>
            <w:r w:rsidRPr="005F2796">
              <w:t>Comparator</w:t>
            </w:r>
          </w:p>
        </w:tc>
        <w:tc>
          <w:tcPr>
            <w:tcW w:w="4216" w:type="pct"/>
            <w:shd w:val="clear" w:color="auto" w:fill="auto"/>
          </w:tcPr>
          <w:p w:rsidR="00A57383" w:rsidRPr="007D1CE2" w:rsidRDefault="00A57383" w:rsidP="00EF6959">
            <w:pPr>
              <w:pStyle w:val="TableText"/>
              <w:rPr>
                <w:rFonts w:ascii="Times" w:eastAsia="Times New Roman" w:hAnsi="Times" w:cs="Times New Roman"/>
                <w:lang w:val="en-AU"/>
              </w:rPr>
            </w:pPr>
            <w:r w:rsidRPr="005F2796">
              <w:t>Ibrutinib monotherapy 420 mg per day until disease progression or unacceptable toxicity.</w:t>
            </w:r>
          </w:p>
        </w:tc>
      </w:tr>
      <w:tr w:rsidR="00A57383" w:rsidRPr="005F2796" w:rsidTr="00EF6959">
        <w:trPr>
          <w:cantSplit/>
        </w:trPr>
        <w:tc>
          <w:tcPr>
            <w:tcW w:w="784" w:type="pct"/>
            <w:shd w:val="clear" w:color="auto" w:fill="auto"/>
            <w:vAlign w:val="center"/>
          </w:tcPr>
          <w:p w:rsidR="00A57383" w:rsidRPr="007D1CE2" w:rsidRDefault="00A57383" w:rsidP="00EF6959">
            <w:pPr>
              <w:pStyle w:val="TableText"/>
              <w:rPr>
                <w:rFonts w:ascii="Times" w:eastAsia="Times New Roman" w:hAnsi="Times" w:cs="Times New Roman"/>
                <w:lang w:val="en-AU"/>
              </w:rPr>
            </w:pPr>
            <w:r w:rsidRPr="005F2796">
              <w:t>Outcomes</w:t>
            </w:r>
          </w:p>
        </w:tc>
        <w:tc>
          <w:tcPr>
            <w:tcW w:w="4216" w:type="pct"/>
            <w:shd w:val="clear" w:color="auto" w:fill="auto"/>
          </w:tcPr>
          <w:p w:rsidR="00A57383" w:rsidRPr="007D1CE2" w:rsidRDefault="00A57383" w:rsidP="00EF6959">
            <w:pPr>
              <w:pStyle w:val="TableText"/>
              <w:rPr>
                <w:rFonts w:ascii="Times" w:eastAsia="Times New Roman" w:hAnsi="Times" w:cs="Times New Roman"/>
                <w:lang w:val="en-AU"/>
              </w:rPr>
            </w:pPr>
            <w:r w:rsidRPr="005F2796">
              <w:t>Progression-free survival, overall survival, response rates, undetectable MRD, safety.</w:t>
            </w:r>
          </w:p>
        </w:tc>
      </w:tr>
      <w:tr w:rsidR="00A57383" w:rsidRPr="005F2796" w:rsidTr="00EF6959">
        <w:trPr>
          <w:cantSplit/>
        </w:trPr>
        <w:tc>
          <w:tcPr>
            <w:tcW w:w="784" w:type="pct"/>
            <w:shd w:val="clear" w:color="auto" w:fill="auto"/>
            <w:vAlign w:val="center"/>
          </w:tcPr>
          <w:p w:rsidR="00A57383" w:rsidRPr="007D1CE2" w:rsidRDefault="00A57383" w:rsidP="00EF6959">
            <w:pPr>
              <w:pStyle w:val="TableText"/>
              <w:rPr>
                <w:rFonts w:ascii="Times" w:eastAsia="Times New Roman" w:hAnsi="Times" w:cs="Times New Roman"/>
                <w:lang w:val="en-AU"/>
              </w:rPr>
            </w:pPr>
            <w:r w:rsidRPr="005F2796">
              <w:t>Clinical claim</w:t>
            </w:r>
          </w:p>
        </w:tc>
        <w:tc>
          <w:tcPr>
            <w:tcW w:w="4216" w:type="pct"/>
            <w:shd w:val="clear" w:color="auto" w:fill="auto"/>
          </w:tcPr>
          <w:p w:rsidR="00A57383" w:rsidRPr="007D1CE2" w:rsidRDefault="00A57383" w:rsidP="00EF6959">
            <w:pPr>
              <w:pStyle w:val="TableText"/>
              <w:rPr>
                <w:lang w:val="en-AU"/>
              </w:rPr>
            </w:pPr>
            <w:r w:rsidRPr="005F2796">
              <w:t>Venetoclax plus rituximab is non-inferior in terms of efficacy to ibrutinib monotherapy.</w:t>
            </w:r>
          </w:p>
          <w:p w:rsidR="00A57383" w:rsidRPr="007D1CE2" w:rsidRDefault="00A57383" w:rsidP="00EF6959">
            <w:pPr>
              <w:pStyle w:val="TableText"/>
              <w:rPr>
                <w:rFonts w:ascii="Times" w:eastAsia="Times New Roman" w:hAnsi="Times" w:cs="Times New Roman"/>
                <w:lang w:val="en-AU"/>
              </w:rPr>
            </w:pPr>
            <w:r w:rsidRPr="005F2796">
              <w:t>Venetoclax plus rituximab has a different and non-inferior safety profile to ibrutinib monotherapy.</w:t>
            </w:r>
          </w:p>
        </w:tc>
      </w:tr>
    </w:tbl>
    <w:p w:rsidR="00A57383" w:rsidRPr="005F2796" w:rsidRDefault="00A57383" w:rsidP="00A57383">
      <w:pPr>
        <w:pStyle w:val="TableFooter"/>
      </w:pPr>
      <w:r w:rsidRPr="005F2796">
        <w:t>Source: Table 8, p.24 of the submission.</w:t>
      </w:r>
    </w:p>
    <w:p w:rsidR="00A57383" w:rsidRPr="005F2796" w:rsidRDefault="00A57383" w:rsidP="00473A0B">
      <w:pPr>
        <w:pStyle w:val="TableFooter"/>
        <w:spacing w:after="160"/>
      </w:pPr>
      <w:r w:rsidRPr="005F2796">
        <w:t>Abbreviations: CLL, chronic lymphocytic leukaemia; PO, per oral; IV, intravenous; MRD, minimal residual disease.</w:t>
      </w:r>
    </w:p>
    <w:p w:rsidR="00E3576B" w:rsidRPr="005F2796" w:rsidRDefault="00A57383" w:rsidP="00FF0E71">
      <w:pPr>
        <w:pStyle w:val="Heading1"/>
        <w:spacing w:before="0" w:after="0"/>
        <w:ind w:left="567" w:hanging="567"/>
      </w:pPr>
      <w:bookmarkStart w:id="3" w:name="_Toc413139272"/>
      <w:bookmarkStart w:id="4" w:name="_Toc522042665"/>
      <w:bookmarkStart w:id="5" w:name="_Toc524621091"/>
      <w:r w:rsidRPr="005F2796">
        <w:t>Requested listing</w:t>
      </w:r>
      <w:bookmarkEnd w:id="3"/>
      <w:bookmarkEnd w:id="4"/>
      <w:bookmarkEnd w:id="5"/>
    </w:p>
    <w:p w:rsidR="008C03D1" w:rsidRPr="005F2796" w:rsidRDefault="009E159A" w:rsidP="00FF0E71">
      <w:pPr>
        <w:pStyle w:val="ListParagraph"/>
        <w:numPr>
          <w:ilvl w:val="1"/>
          <w:numId w:val="2"/>
        </w:numPr>
        <w:spacing w:before="120" w:after="160"/>
        <w:ind w:left="567" w:hanging="567"/>
        <w:rPr>
          <w:rFonts w:ascii="Calibri" w:eastAsia="Calibri" w:hAnsi="Calibri" w:cs="Arial"/>
          <w:snapToGrid w:val="0"/>
          <w:szCs w:val="24"/>
        </w:rPr>
      </w:pPr>
      <w:r w:rsidRPr="005F2796">
        <w:t xml:space="preserve">The proposed restrictions are presented in abbreviated form below. </w:t>
      </w:r>
      <w:r w:rsidR="00E3576B" w:rsidRPr="005F2796">
        <w:t>Secretariat</w:t>
      </w:r>
      <w:r w:rsidR="00E3576B" w:rsidRPr="005F2796">
        <w:rPr>
          <w:snapToGrid w:val="0"/>
        </w:rPr>
        <w:t xml:space="preserve"> suggestions and additions are in italics and strikethrough is used for deletions.</w:t>
      </w:r>
      <w:r w:rsidR="00E3576B" w:rsidRPr="005F2796">
        <w:rPr>
          <w:snapToGrid w:val="0"/>
          <w:szCs w:val="24"/>
        </w:rPr>
        <w:t xml:space="preserve"> </w:t>
      </w:r>
      <w:r w:rsidR="00B24B93" w:rsidRPr="005F2796">
        <w:rPr>
          <w:snapToGrid w:val="0"/>
          <w:szCs w:val="24"/>
        </w:rPr>
        <w:t>It was</w:t>
      </w:r>
      <w:r w:rsidR="0088444E" w:rsidRPr="005F2796">
        <w:rPr>
          <w:snapToGrid w:val="0"/>
          <w:szCs w:val="24"/>
        </w:rPr>
        <w:t xml:space="preserve"> </w:t>
      </w:r>
      <w:r w:rsidR="00B24B93" w:rsidRPr="005F2796">
        <w:rPr>
          <w:snapToGrid w:val="0"/>
          <w:szCs w:val="24"/>
        </w:rPr>
        <w:t>noted t</w:t>
      </w:r>
      <w:r w:rsidR="008C03D1" w:rsidRPr="005F2796">
        <w:rPr>
          <w:rFonts w:ascii="Calibri" w:eastAsia="Calibri" w:hAnsi="Calibri" w:cs="Arial"/>
          <w:snapToGrid w:val="0"/>
          <w:szCs w:val="24"/>
        </w:rPr>
        <w:t xml:space="preserve">he first 7 days of monotherapy at 400 mg daily (week 5 of the titration period) is missing from the </w:t>
      </w:r>
      <w:r w:rsidR="008E6079" w:rsidRPr="005F2796">
        <w:rPr>
          <w:rFonts w:ascii="Calibri" w:eastAsia="Calibri" w:hAnsi="Calibri" w:cs="Arial"/>
          <w:snapToGrid w:val="0"/>
          <w:szCs w:val="24"/>
        </w:rPr>
        <w:t xml:space="preserve">continuing treatment </w:t>
      </w:r>
      <w:r w:rsidR="008C03D1" w:rsidRPr="005F2796">
        <w:rPr>
          <w:rFonts w:ascii="Calibri" w:eastAsia="Calibri" w:hAnsi="Calibri" w:cs="Arial"/>
          <w:snapToGrid w:val="0"/>
          <w:szCs w:val="24"/>
        </w:rPr>
        <w:t>restriction below.</w:t>
      </w:r>
      <w:r w:rsidR="00297B1D" w:rsidRPr="005F2796">
        <w:rPr>
          <w:rFonts w:ascii="Calibri" w:eastAsia="Calibri" w:hAnsi="Calibri" w:cs="Arial"/>
          <w:snapToGrid w:val="0"/>
          <w:szCs w:val="24"/>
        </w:rPr>
        <w:t xml:space="preserve"> </w:t>
      </w:r>
      <w:r w:rsidR="00FF0E71" w:rsidRPr="005F2796">
        <w:rPr>
          <w:rFonts w:ascii="Calibri" w:eastAsia="Calibri" w:hAnsi="Calibri" w:cs="Arial"/>
          <w:snapToGrid w:val="0"/>
          <w:szCs w:val="24"/>
        </w:rPr>
        <w:t xml:space="preserve">The </w:t>
      </w:r>
      <w:r w:rsidR="003B0FCB">
        <w:rPr>
          <w:rFonts w:ascii="Calibri" w:eastAsia="Calibri" w:hAnsi="Calibri" w:cs="Arial"/>
          <w:snapToGrid w:val="0"/>
          <w:szCs w:val="24"/>
        </w:rPr>
        <w:t>Pre-PBAC R</w:t>
      </w:r>
      <w:r w:rsidR="00297B1D" w:rsidRPr="005F2796">
        <w:rPr>
          <w:rFonts w:ascii="Calibri" w:eastAsia="Calibri" w:hAnsi="Calibri" w:cs="Arial"/>
          <w:snapToGrid w:val="0"/>
          <w:szCs w:val="24"/>
        </w:rPr>
        <w:t>esponse included additional wording to the continuing treatment restriction to address t</w:t>
      </w:r>
      <w:r w:rsidR="00747CCC" w:rsidRPr="005F2796">
        <w:rPr>
          <w:rFonts w:ascii="Calibri" w:eastAsia="Calibri" w:hAnsi="Calibri" w:cs="Arial"/>
          <w:snapToGrid w:val="0"/>
          <w:szCs w:val="24"/>
        </w:rPr>
        <w:t>his issue, highlighted in grey.</w:t>
      </w:r>
      <w:r w:rsidR="00B52355">
        <w:rPr>
          <w:rFonts w:ascii="Calibri" w:eastAsia="Calibri" w:hAnsi="Calibri" w:cs="Arial"/>
          <w:snapToGrid w:val="0"/>
          <w:szCs w:val="24"/>
        </w:rPr>
        <w:t xml:space="preserve"> The PBAC considered an Authority Required (telephone) listing for the initial and continuing criteria was appropriate. </w:t>
      </w:r>
    </w:p>
    <w:tbl>
      <w:tblPr>
        <w:tblW w:w="5010" w:type="pct"/>
        <w:tblCellMar>
          <w:left w:w="28" w:type="dxa"/>
          <w:right w:w="28" w:type="dxa"/>
        </w:tblCellMar>
        <w:tblLook w:val="0000" w:firstRow="0" w:lastRow="0" w:firstColumn="0" w:lastColumn="0" w:noHBand="0" w:noVBand="0"/>
      </w:tblPr>
      <w:tblGrid>
        <w:gridCol w:w="2771"/>
        <w:gridCol w:w="1273"/>
        <w:gridCol w:w="897"/>
        <w:gridCol w:w="1630"/>
        <w:gridCol w:w="2473"/>
      </w:tblGrid>
      <w:tr w:rsidR="00A57383" w:rsidRPr="005F2796" w:rsidTr="00FF547C">
        <w:trPr>
          <w:trHeight w:val="463"/>
        </w:trPr>
        <w:tc>
          <w:tcPr>
            <w:tcW w:w="1532" w:type="pct"/>
            <w:tcBorders>
              <w:bottom w:val="single" w:sz="4" w:space="0" w:color="auto"/>
            </w:tcBorders>
          </w:tcPr>
          <w:p w:rsidR="00A57383" w:rsidRPr="005F2796" w:rsidRDefault="00A57383" w:rsidP="00EF6959">
            <w:pPr>
              <w:pStyle w:val="TableText"/>
              <w:rPr>
                <w:b/>
              </w:rPr>
            </w:pPr>
            <w:r w:rsidRPr="005F2796">
              <w:rPr>
                <w:b/>
              </w:rPr>
              <w:lastRenderedPageBreak/>
              <w:t>Name, restriction, manner of administration, form</w:t>
            </w:r>
          </w:p>
        </w:tc>
        <w:tc>
          <w:tcPr>
            <w:tcW w:w="704" w:type="pct"/>
            <w:tcBorders>
              <w:bottom w:val="single" w:sz="4" w:space="0" w:color="auto"/>
            </w:tcBorders>
          </w:tcPr>
          <w:p w:rsidR="00A57383" w:rsidRPr="005F2796" w:rsidRDefault="00A57383" w:rsidP="00EF6959">
            <w:pPr>
              <w:pStyle w:val="TableText"/>
              <w:jc w:val="center"/>
              <w:rPr>
                <w:b/>
              </w:rPr>
            </w:pPr>
            <w:r w:rsidRPr="005F2796">
              <w:rPr>
                <w:b/>
              </w:rPr>
              <w:t>Max. Qty (packs)</w:t>
            </w:r>
          </w:p>
        </w:tc>
        <w:tc>
          <w:tcPr>
            <w:tcW w:w="496" w:type="pct"/>
            <w:tcBorders>
              <w:bottom w:val="single" w:sz="4" w:space="0" w:color="auto"/>
            </w:tcBorders>
          </w:tcPr>
          <w:p w:rsidR="00A57383" w:rsidRPr="005F2796" w:rsidRDefault="00A57383" w:rsidP="00EF6959">
            <w:pPr>
              <w:pStyle w:val="TableText"/>
              <w:jc w:val="center"/>
              <w:rPr>
                <w:b/>
              </w:rPr>
            </w:pPr>
            <w:r w:rsidRPr="005F2796">
              <w:rPr>
                <w:b/>
              </w:rPr>
              <w:t>No. of repeats</w:t>
            </w:r>
          </w:p>
        </w:tc>
        <w:tc>
          <w:tcPr>
            <w:tcW w:w="901" w:type="pct"/>
            <w:tcBorders>
              <w:bottom w:val="single" w:sz="4" w:space="0" w:color="auto"/>
            </w:tcBorders>
          </w:tcPr>
          <w:p w:rsidR="00A57383" w:rsidRPr="005F2796" w:rsidRDefault="00A57383" w:rsidP="00EF6959">
            <w:pPr>
              <w:pStyle w:val="TableText"/>
              <w:jc w:val="center"/>
              <w:rPr>
                <w:b/>
              </w:rPr>
            </w:pPr>
            <w:r w:rsidRPr="005F2796">
              <w:rPr>
                <w:b/>
              </w:rPr>
              <w:t>DPMQ</w:t>
            </w:r>
            <w:r w:rsidR="009E159A" w:rsidRPr="005F2796">
              <w:rPr>
                <w:b/>
              </w:rPr>
              <w:t>*</w:t>
            </w:r>
          </w:p>
        </w:tc>
        <w:tc>
          <w:tcPr>
            <w:tcW w:w="1367" w:type="pct"/>
            <w:tcBorders>
              <w:bottom w:val="single" w:sz="4" w:space="0" w:color="auto"/>
            </w:tcBorders>
          </w:tcPr>
          <w:p w:rsidR="00A57383" w:rsidRPr="007D1CE2" w:rsidRDefault="00A57383" w:rsidP="00EF6959">
            <w:pPr>
              <w:pStyle w:val="TableText"/>
              <w:jc w:val="center"/>
              <w:rPr>
                <w:b/>
              </w:rPr>
            </w:pPr>
            <w:r w:rsidRPr="005F2796">
              <w:rPr>
                <w:b/>
              </w:rPr>
              <w:t>Proprietary name and manufacturer</w:t>
            </w:r>
          </w:p>
        </w:tc>
      </w:tr>
      <w:tr w:rsidR="00A57383" w:rsidRPr="005F2796" w:rsidTr="00FF547C">
        <w:trPr>
          <w:trHeight w:val="2173"/>
        </w:trPr>
        <w:tc>
          <w:tcPr>
            <w:tcW w:w="1532" w:type="pct"/>
          </w:tcPr>
          <w:p w:rsidR="00A57383" w:rsidRPr="005F2796" w:rsidRDefault="00A57383" w:rsidP="00EF6959">
            <w:pPr>
              <w:pStyle w:val="Tabletext0"/>
              <w:framePr w:wrap="auto" w:vAnchor="margin" w:yAlign="inline"/>
              <w:jc w:val="left"/>
            </w:pPr>
            <w:r w:rsidRPr="005F2796">
              <w:t xml:space="preserve">Venetoclax tablets, starting pack </w:t>
            </w:r>
          </w:p>
          <w:p w:rsidR="00A57383" w:rsidRPr="005F2796" w:rsidRDefault="00A57383" w:rsidP="00EF6959">
            <w:pPr>
              <w:pStyle w:val="TableText"/>
            </w:pPr>
            <w:r w:rsidRPr="005F2796">
              <w:t>(10 mg x14, 50 mg x7, 100 mg x7, 100 mg x14)</w:t>
            </w:r>
          </w:p>
          <w:p w:rsidR="00A57383" w:rsidRPr="005F2796" w:rsidRDefault="00255367" w:rsidP="00EF6959">
            <w:pPr>
              <w:pStyle w:val="Tabletext0"/>
              <w:framePr w:wrap="auto" w:vAnchor="margin" w:yAlign="inline"/>
              <w:jc w:val="left"/>
            </w:pPr>
            <w:r w:rsidRPr="005F2796">
              <w:t>Venetoclax 10 mg tablet, 14</w:t>
            </w:r>
          </w:p>
          <w:p w:rsidR="00A57383" w:rsidRPr="005F2796" w:rsidRDefault="00A57383" w:rsidP="00EF6959">
            <w:pPr>
              <w:pStyle w:val="Tabletext0"/>
              <w:framePr w:wrap="auto" w:vAnchor="margin" w:yAlign="inline"/>
              <w:jc w:val="left"/>
            </w:pPr>
            <w:r w:rsidRPr="005F2796">
              <w:t>(dose hold pack)</w:t>
            </w:r>
          </w:p>
          <w:p w:rsidR="00A57383" w:rsidRPr="005F2796" w:rsidRDefault="00255367" w:rsidP="00EF6959">
            <w:pPr>
              <w:pStyle w:val="Tabletext0"/>
              <w:framePr w:wrap="auto" w:vAnchor="margin" w:yAlign="inline"/>
              <w:jc w:val="left"/>
            </w:pPr>
            <w:r w:rsidRPr="005F2796">
              <w:t>Venetoclax 50 mg tablet, 7</w:t>
            </w:r>
          </w:p>
          <w:p w:rsidR="00A57383" w:rsidRPr="005F2796" w:rsidRDefault="00A57383" w:rsidP="00EF6959">
            <w:pPr>
              <w:pStyle w:val="Tabletext0"/>
              <w:framePr w:wrap="auto" w:vAnchor="margin" w:yAlign="inline"/>
              <w:jc w:val="left"/>
            </w:pPr>
            <w:r w:rsidRPr="005F2796">
              <w:t>(dose hold pack)</w:t>
            </w:r>
          </w:p>
          <w:p w:rsidR="00A57383" w:rsidRPr="005F2796" w:rsidRDefault="00A57383" w:rsidP="00EF6959">
            <w:pPr>
              <w:pStyle w:val="Tabletext0"/>
              <w:framePr w:wrap="auto" w:vAnchor="margin" w:yAlign="inline"/>
              <w:jc w:val="left"/>
            </w:pPr>
            <w:r w:rsidRPr="005F2796">
              <w:t xml:space="preserve">Venetoclax </w:t>
            </w:r>
          </w:p>
          <w:p w:rsidR="00A57383" w:rsidRPr="005F2796" w:rsidRDefault="00A57383" w:rsidP="00EF6959">
            <w:pPr>
              <w:pStyle w:val="Tabletext0"/>
              <w:framePr w:wrap="around"/>
              <w:jc w:val="left"/>
            </w:pPr>
            <w:r w:rsidRPr="005F2796">
              <w:t>100</w:t>
            </w:r>
            <w:r w:rsidR="000D3A64" w:rsidRPr="005F2796">
              <w:t xml:space="preserve"> </w:t>
            </w:r>
            <w:r w:rsidRPr="005F2796">
              <w:t>mg tablet, 120</w:t>
            </w:r>
          </w:p>
        </w:tc>
        <w:tc>
          <w:tcPr>
            <w:tcW w:w="704" w:type="pct"/>
          </w:tcPr>
          <w:p w:rsidR="00A57383" w:rsidRPr="005F2796" w:rsidRDefault="00A57383" w:rsidP="00EF6959">
            <w:pPr>
              <w:pStyle w:val="TableText"/>
              <w:jc w:val="center"/>
            </w:pPr>
            <w:r w:rsidRPr="005F2796">
              <w:t>1</w:t>
            </w: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r w:rsidRPr="005F2796">
              <w:t>1</w:t>
            </w: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r w:rsidRPr="005F2796">
              <w:t>1</w:t>
            </w:r>
          </w:p>
          <w:p w:rsidR="00A57383" w:rsidRPr="005F2796" w:rsidRDefault="00A57383" w:rsidP="00EF6959">
            <w:pPr>
              <w:pStyle w:val="Tabletext0"/>
              <w:framePr w:wrap="around"/>
            </w:pPr>
          </w:p>
          <w:p w:rsidR="00A57383" w:rsidRPr="005F2796" w:rsidRDefault="00A57383" w:rsidP="00EF6959">
            <w:pPr>
              <w:pStyle w:val="Tabletext0"/>
              <w:framePr w:wrap="around"/>
            </w:pPr>
            <w:r w:rsidRPr="005F2796">
              <w:t>1</w:t>
            </w:r>
          </w:p>
        </w:tc>
        <w:tc>
          <w:tcPr>
            <w:tcW w:w="496" w:type="pct"/>
          </w:tcPr>
          <w:p w:rsidR="00A57383" w:rsidRPr="005F2796" w:rsidRDefault="00A57383" w:rsidP="00EF6959">
            <w:pPr>
              <w:pStyle w:val="TableText"/>
              <w:jc w:val="center"/>
            </w:pPr>
            <w:r w:rsidRPr="005F2796">
              <w:t>0</w:t>
            </w: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r w:rsidRPr="005F2796">
              <w:t>0</w:t>
            </w: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r w:rsidRPr="005F2796">
              <w:t>0</w:t>
            </w:r>
          </w:p>
          <w:p w:rsidR="00A57383" w:rsidRPr="005F2796" w:rsidRDefault="00A57383" w:rsidP="00EF6959">
            <w:pPr>
              <w:pStyle w:val="Tabletext0"/>
              <w:framePr w:wrap="around"/>
            </w:pPr>
          </w:p>
          <w:p w:rsidR="00A57383" w:rsidRPr="005F2796" w:rsidRDefault="008029DE" w:rsidP="00EF6959">
            <w:pPr>
              <w:pStyle w:val="Tabletext0"/>
              <w:framePr w:wrap="around"/>
              <w:rPr>
                <w:i/>
              </w:rPr>
            </w:pPr>
            <w:r w:rsidRPr="005F2796">
              <w:rPr>
                <w:i/>
              </w:rPr>
              <w:t>5</w:t>
            </w:r>
          </w:p>
        </w:tc>
        <w:tc>
          <w:tcPr>
            <w:tcW w:w="901" w:type="pct"/>
          </w:tcPr>
          <w:p w:rsidR="00A57383" w:rsidRPr="005F2796" w:rsidRDefault="00EC4BDB" w:rsidP="00EF6959">
            <w:pPr>
              <w:pStyle w:val="TableText"/>
              <w:jc w:val="center"/>
            </w:pPr>
            <w:r w:rsidRPr="005F2796">
              <w:t>$</w:t>
            </w:r>
            <w:r w:rsidR="004B34A4">
              <w:rPr>
                <w:noProof/>
                <w:color w:val="000000"/>
                <w:highlight w:val="black"/>
              </w:rPr>
              <w:t>''''''''''''''''''''</w:t>
            </w: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r w:rsidRPr="005F2796">
              <w:t>$</w:t>
            </w:r>
            <w:r w:rsidR="004B34A4">
              <w:rPr>
                <w:noProof/>
                <w:color w:val="000000"/>
                <w:highlight w:val="black"/>
              </w:rPr>
              <w:t>''''''''''''''''</w:t>
            </w: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r w:rsidRPr="005F2796">
              <w:t>$</w:t>
            </w:r>
            <w:r w:rsidR="004B34A4">
              <w:rPr>
                <w:noProof/>
                <w:color w:val="000000"/>
                <w:highlight w:val="black"/>
              </w:rPr>
              <w:t>'''''''''''''''''</w:t>
            </w:r>
          </w:p>
          <w:p w:rsidR="00A57383" w:rsidRPr="005F2796" w:rsidRDefault="00A57383" w:rsidP="00EF6959">
            <w:pPr>
              <w:pStyle w:val="Tabletext0"/>
              <w:framePr w:wrap="around"/>
            </w:pPr>
          </w:p>
          <w:p w:rsidR="00A57383" w:rsidRPr="005F2796" w:rsidRDefault="00A57383" w:rsidP="00EC4BDB">
            <w:pPr>
              <w:pStyle w:val="Tabletext0"/>
              <w:framePr w:wrap="around"/>
            </w:pPr>
            <w:r w:rsidRPr="005F2796">
              <w:t>$</w:t>
            </w:r>
            <w:r w:rsidR="004B34A4">
              <w:rPr>
                <w:noProof/>
                <w:color w:val="000000"/>
                <w:highlight w:val="black"/>
              </w:rPr>
              <w:t>''''''''''''''''''''</w:t>
            </w:r>
          </w:p>
        </w:tc>
        <w:tc>
          <w:tcPr>
            <w:tcW w:w="1367" w:type="pct"/>
          </w:tcPr>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p>
          <w:p w:rsidR="00A57383" w:rsidRPr="005F2796" w:rsidRDefault="00A57383" w:rsidP="00EF6959">
            <w:pPr>
              <w:pStyle w:val="Tabletext0"/>
              <w:framePr w:wrap="auto" w:vAnchor="margin" w:yAlign="inline"/>
            </w:pPr>
            <w:r w:rsidRPr="005F2796">
              <w:t>Venclexta</w:t>
            </w:r>
            <w:r w:rsidRPr="005F2796">
              <w:rPr>
                <w:vertAlign w:val="superscript"/>
              </w:rPr>
              <w:t>®</w:t>
            </w:r>
            <w:r w:rsidRPr="005F2796">
              <w:t xml:space="preserve"> </w:t>
            </w:r>
          </w:p>
          <w:p w:rsidR="00A57383" w:rsidRPr="005F2796" w:rsidRDefault="00A57383" w:rsidP="00EF6959">
            <w:pPr>
              <w:pStyle w:val="Tabletext0"/>
              <w:framePr w:wrap="around"/>
            </w:pPr>
            <w:r w:rsidRPr="005F2796">
              <w:t>AbbVie Pty Ltd</w:t>
            </w:r>
          </w:p>
        </w:tc>
      </w:tr>
    </w:tbl>
    <w:p w:rsidR="009E159A" w:rsidRPr="005F2796" w:rsidRDefault="009E159A" w:rsidP="009E159A">
      <w:pPr>
        <w:pStyle w:val="Tabletext0"/>
        <w:framePr w:wrap="auto" w:vAnchor="margin" w:yAlign="inline"/>
        <w:jc w:val="left"/>
      </w:pPr>
      <w:r w:rsidRPr="005F2796">
        <w:t>*published</w:t>
      </w:r>
    </w:p>
    <w:p w:rsidR="00BA3E62" w:rsidRPr="005F2796" w:rsidRDefault="00BA3E62" w:rsidP="00BA3E62">
      <w:pPr>
        <w:rPr>
          <w:rFonts w:cstheme="minorHAnsi"/>
          <w:b/>
          <w:szCs w:val="24"/>
          <w:u w:val="single"/>
        </w:rPr>
      </w:pPr>
      <w:r w:rsidRPr="005F2796">
        <w:rPr>
          <w:rFonts w:cstheme="minorHAnsi"/>
          <w:b/>
          <w:szCs w:val="24"/>
          <w:u w:val="single"/>
        </w:rPr>
        <w:t>Initial treatment</w:t>
      </w:r>
      <w:r w:rsidR="008C03D1" w:rsidRPr="005F2796">
        <w:rPr>
          <w:rFonts w:cstheme="minorHAnsi"/>
          <w:b/>
          <w:szCs w:val="24"/>
          <w:u w:val="single"/>
        </w:rPr>
        <w:t xml:space="preserve"> (first 4 weeks titration period)</w:t>
      </w:r>
    </w:p>
    <w:tbl>
      <w:tblPr>
        <w:tblW w:w="9072" w:type="dxa"/>
        <w:tblInd w:w="108" w:type="dxa"/>
        <w:tblLayout w:type="fixed"/>
        <w:tblLook w:val="0000" w:firstRow="0" w:lastRow="0" w:firstColumn="0" w:lastColumn="0" w:noHBand="0" w:noVBand="0"/>
      </w:tblPr>
      <w:tblGrid>
        <w:gridCol w:w="2835"/>
        <w:gridCol w:w="6237"/>
      </w:tblGrid>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0D3A64">
            <w:pPr>
              <w:rPr>
                <w:rFonts w:ascii="Arial Narrow" w:hAnsi="Arial Narrow" w:cs="Arial"/>
                <w:b/>
                <w:sz w:val="20"/>
                <w:szCs w:val="20"/>
              </w:rPr>
            </w:pPr>
            <w:r w:rsidRPr="005F2796">
              <w:rPr>
                <w:rFonts w:ascii="Arial Narrow" w:hAnsi="Arial Narrow" w:cs="Arial"/>
                <w:b/>
                <w:sz w:val="20"/>
                <w:szCs w:val="20"/>
              </w:rPr>
              <w:t>Category / Program</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0D3A64">
            <w:pPr>
              <w:rPr>
                <w:rFonts w:ascii="Arial Narrow" w:hAnsi="Arial Narrow" w:cs="Arial"/>
                <w:sz w:val="20"/>
                <w:szCs w:val="20"/>
              </w:rPr>
            </w:pPr>
            <w:r w:rsidRPr="005F2796">
              <w:rPr>
                <w:rFonts w:ascii="Arial Narrow" w:hAnsi="Arial Narrow" w:cs="Arial"/>
                <w:sz w:val="20"/>
                <w:szCs w:val="20"/>
              </w:rPr>
              <w:t>GENERAL – General Schedule (Code GE)</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0D3A64">
            <w:pPr>
              <w:rPr>
                <w:rFonts w:ascii="Arial Narrow" w:hAnsi="Arial Narrow" w:cs="Arial"/>
                <w:b/>
                <w:sz w:val="20"/>
                <w:szCs w:val="20"/>
              </w:rPr>
            </w:pPr>
            <w:r w:rsidRPr="005F2796">
              <w:rPr>
                <w:rFonts w:ascii="Arial Narrow" w:hAnsi="Arial Narrow" w:cs="Arial"/>
                <w:b/>
                <w:sz w:val="20"/>
                <w:szCs w:val="20"/>
              </w:rPr>
              <w:t>Prescriber type:</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sz w:val="20"/>
                <w:szCs w:val="20"/>
              </w:rPr>
            </w:pPr>
            <w:r w:rsidRPr="007D1CE2">
              <w:rPr>
                <w:rFonts w:ascii="Arial Narrow" w:hAnsi="Arial Narrow" w:cs="Arial"/>
                <w:sz w:val="20"/>
                <w:szCs w:val="20"/>
              </w:rPr>
              <w:fldChar w:fldCharType="begin">
                <w:ffData>
                  <w:name w:val="Check1"/>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7D1CE2">
              <w:rPr>
                <w:rFonts w:ascii="Arial Narrow" w:hAnsi="Arial Narrow" w:cs="Arial"/>
                <w:sz w:val="20"/>
                <w:szCs w:val="20"/>
              </w:rPr>
              <w:fldChar w:fldCharType="end"/>
            </w:r>
            <w:r w:rsidRPr="005F2796">
              <w:rPr>
                <w:rFonts w:ascii="Arial Narrow" w:hAnsi="Arial Narrow" w:cs="Arial"/>
                <w:sz w:val="20"/>
                <w:szCs w:val="20"/>
              </w:rPr>
              <w:t xml:space="preserve">Dental  </w:t>
            </w:r>
            <w:r w:rsidRPr="007D1CE2">
              <w:rPr>
                <w:rFonts w:ascii="Arial Narrow" w:hAnsi="Arial Narrow" w:cs="Arial"/>
                <w:sz w:val="20"/>
                <w:szCs w:val="20"/>
              </w:rPr>
              <w:fldChar w:fldCharType="begin">
                <w:ffData>
                  <w:name w:val=""/>
                  <w:enabled/>
                  <w:calcOnExit w:val="0"/>
                  <w:checkBox>
                    <w:sizeAuto/>
                    <w:default w:val="1"/>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7D1CE2">
              <w:rPr>
                <w:rFonts w:ascii="Arial Narrow" w:hAnsi="Arial Narrow" w:cs="Arial"/>
                <w:sz w:val="20"/>
                <w:szCs w:val="20"/>
              </w:rPr>
              <w:fldChar w:fldCharType="end"/>
            </w:r>
            <w:r w:rsidRPr="005F2796">
              <w:rPr>
                <w:rFonts w:ascii="Arial Narrow" w:hAnsi="Arial Narrow" w:cs="Arial"/>
                <w:sz w:val="20"/>
                <w:szCs w:val="20"/>
              </w:rPr>
              <w:t xml:space="preserve">Medical Practitioners  </w:t>
            </w:r>
            <w:r w:rsidRPr="007D1CE2">
              <w:rPr>
                <w:rFonts w:ascii="Arial Narrow" w:hAnsi="Arial Narrow" w:cs="Arial"/>
                <w:sz w:val="20"/>
                <w:szCs w:val="20"/>
              </w:rPr>
              <w:fldChar w:fldCharType="begin">
                <w:ffData>
                  <w:name w:val="Check3"/>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7D1CE2">
              <w:rPr>
                <w:rFonts w:ascii="Arial Narrow" w:hAnsi="Arial Narrow" w:cs="Arial"/>
                <w:sz w:val="20"/>
                <w:szCs w:val="20"/>
              </w:rPr>
              <w:fldChar w:fldCharType="end"/>
            </w:r>
            <w:r w:rsidRPr="005F2796">
              <w:rPr>
                <w:rFonts w:ascii="Arial Narrow" w:hAnsi="Arial Narrow" w:cs="Arial"/>
                <w:sz w:val="20"/>
                <w:szCs w:val="20"/>
              </w:rPr>
              <w:t xml:space="preserve">Nurse practitioners  </w:t>
            </w:r>
            <w:r w:rsidRPr="007D1CE2">
              <w:rPr>
                <w:rFonts w:ascii="Arial Narrow" w:hAnsi="Arial Narrow" w:cs="Arial"/>
                <w:sz w:val="20"/>
                <w:szCs w:val="20"/>
              </w:rPr>
              <w:fldChar w:fldCharType="begin">
                <w:ffData>
                  <w:name w:val=""/>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7D1CE2">
              <w:rPr>
                <w:rFonts w:ascii="Arial Narrow" w:hAnsi="Arial Narrow" w:cs="Arial"/>
                <w:sz w:val="20"/>
                <w:szCs w:val="20"/>
              </w:rPr>
              <w:fldChar w:fldCharType="end"/>
            </w:r>
            <w:r w:rsidRPr="005F2796">
              <w:rPr>
                <w:rFonts w:ascii="Arial Narrow" w:hAnsi="Arial Narrow" w:cs="Arial"/>
                <w:sz w:val="20"/>
                <w:szCs w:val="20"/>
              </w:rPr>
              <w:t>Optometrists</w:t>
            </w:r>
          </w:p>
          <w:p w:rsidR="00BA3E62" w:rsidRPr="005F2796" w:rsidRDefault="00BA3E62" w:rsidP="008D1E4E">
            <w:pPr>
              <w:rPr>
                <w:rFonts w:ascii="Arial Narrow" w:hAnsi="Arial Narrow" w:cs="Arial"/>
                <w:sz w:val="20"/>
                <w:szCs w:val="20"/>
              </w:rPr>
            </w:pPr>
            <w:r w:rsidRPr="007D1CE2">
              <w:rPr>
                <w:rFonts w:ascii="Arial Narrow" w:hAnsi="Arial Narrow" w:cs="Arial"/>
                <w:sz w:val="20"/>
                <w:szCs w:val="20"/>
              </w:rPr>
              <w:fldChar w:fldCharType="begin">
                <w:ffData>
                  <w:name w:val="Check5"/>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7D1CE2">
              <w:rPr>
                <w:rFonts w:ascii="Arial Narrow" w:hAnsi="Arial Narrow" w:cs="Arial"/>
                <w:sz w:val="20"/>
                <w:szCs w:val="20"/>
              </w:rPr>
              <w:fldChar w:fldCharType="end"/>
            </w:r>
            <w:r w:rsidRPr="005F2796">
              <w:rPr>
                <w:rFonts w:ascii="Arial Narrow" w:hAnsi="Arial Narrow" w:cs="Arial"/>
                <w:sz w:val="20"/>
                <w:szCs w:val="20"/>
              </w:rPr>
              <w:t>Midwives</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b/>
                <w:sz w:val="20"/>
                <w:szCs w:val="20"/>
              </w:rPr>
            </w:pPr>
            <w:r w:rsidRPr="005F2796">
              <w:rPr>
                <w:rFonts w:ascii="Arial Narrow" w:hAnsi="Arial Narrow" w:cs="Arial"/>
                <w:b/>
                <w:sz w:val="20"/>
                <w:szCs w:val="20"/>
              </w:rPr>
              <w:t>Episodicity:</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sz w:val="20"/>
                <w:szCs w:val="20"/>
              </w:rPr>
            </w:pPr>
            <w:r w:rsidRPr="005F2796">
              <w:rPr>
                <w:rFonts w:ascii="Arial Narrow" w:hAnsi="Arial Narrow" w:cs="Arial"/>
                <w:sz w:val="20"/>
                <w:szCs w:val="20"/>
              </w:rPr>
              <w:t>NA</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b/>
                <w:sz w:val="20"/>
                <w:szCs w:val="20"/>
              </w:rPr>
            </w:pPr>
            <w:r w:rsidRPr="005F2796">
              <w:rPr>
                <w:rFonts w:ascii="Arial Narrow" w:hAnsi="Arial Narrow" w:cs="Arial"/>
                <w:b/>
                <w:sz w:val="20"/>
                <w:szCs w:val="20"/>
              </w:rPr>
              <w:t>Severity:</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strike/>
                <w:sz w:val="20"/>
                <w:szCs w:val="20"/>
              </w:rPr>
            </w:pPr>
            <w:r w:rsidRPr="005F2796">
              <w:rPr>
                <w:rFonts w:ascii="Arial Narrow" w:hAnsi="Arial Narrow" w:cs="Calibri"/>
                <w:strike/>
                <w:sz w:val="20"/>
                <w:szCs w:val="20"/>
              </w:rPr>
              <w:t>Relapsed or refractory</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b/>
                <w:sz w:val="20"/>
                <w:szCs w:val="20"/>
              </w:rPr>
            </w:pPr>
            <w:r w:rsidRPr="005F2796">
              <w:rPr>
                <w:rFonts w:ascii="Arial Narrow" w:hAnsi="Arial Narrow" w:cs="Arial"/>
                <w:b/>
                <w:sz w:val="20"/>
                <w:szCs w:val="20"/>
              </w:rPr>
              <w:t>Condition:</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sz w:val="20"/>
                <w:szCs w:val="20"/>
              </w:rPr>
            </w:pPr>
            <w:r w:rsidRPr="005F2796">
              <w:rPr>
                <w:rFonts w:ascii="Arial Narrow" w:hAnsi="Arial Narrow" w:cs="Calibri"/>
                <w:sz w:val="20"/>
                <w:szCs w:val="20"/>
              </w:rPr>
              <w:t>Chronic lymphocytic leukaemia</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b/>
                <w:sz w:val="20"/>
                <w:szCs w:val="20"/>
              </w:rPr>
            </w:pPr>
            <w:r w:rsidRPr="005F2796">
              <w:rPr>
                <w:rFonts w:ascii="Arial Narrow" w:hAnsi="Arial Narrow" w:cs="Arial"/>
                <w:b/>
                <w:sz w:val="20"/>
                <w:szCs w:val="20"/>
              </w:rPr>
              <w:t>PBS Indication:</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sz w:val="20"/>
                <w:szCs w:val="20"/>
              </w:rPr>
            </w:pPr>
            <w:r w:rsidRPr="005F2796">
              <w:rPr>
                <w:rFonts w:ascii="Arial Narrow" w:hAnsi="Arial Narrow" w:cs="Calibri"/>
                <w:strike/>
                <w:sz w:val="20"/>
                <w:szCs w:val="20"/>
              </w:rPr>
              <w:t>Relapsed or refractory</w:t>
            </w:r>
            <w:r w:rsidRPr="005F2796">
              <w:rPr>
                <w:rFonts w:ascii="Arial Narrow" w:hAnsi="Arial Narrow" w:cs="Calibri"/>
                <w:sz w:val="20"/>
                <w:szCs w:val="20"/>
              </w:rPr>
              <w:t xml:space="preserve"> </w:t>
            </w:r>
            <w:r w:rsidRPr="005F2796">
              <w:rPr>
                <w:rFonts w:ascii="Arial Narrow" w:hAnsi="Arial Narrow" w:cs="Calibri"/>
                <w:i/>
                <w:strike/>
                <w:sz w:val="20"/>
                <w:szCs w:val="20"/>
              </w:rPr>
              <w:t>c</w:t>
            </w:r>
            <w:r w:rsidRPr="005F2796">
              <w:rPr>
                <w:rFonts w:ascii="Arial Narrow" w:hAnsi="Arial Narrow" w:cs="Calibri"/>
                <w:i/>
                <w:sz w:val="20"/>
                <w:szCs w:val="20"/>
              </w:rPr>
              <w:t>Chronic</w:t>
            </w:r>
            <w:r w:rsidRPr="005F2796">
              <w:rPr>
                <w:rFonts w:ascii="Arial Narrow" w:hAnsi="Arial Narrow" w:cs="Calibri"/>
                <w:sz w:val="20"/>
                <w:szCs w:val="20"/>
              </w:rPr>
              <w:t xml:space="preserve"> lymphocytic leukaemia </w:t>
            </w:r>
            <w:r w:rsidRPr="005F2796">
              <w:rPr>
                <w:rFonts w:ascii="Arial Narrow" w:hAnsi="Arial Narrow" w:cs="Calibri"/>
                <w:strike/>
                <w:sz w:val="20"/>
                <w:szCs w:val="20"/>
              </w:rPr>
              <w:t>in patients considered unsuitable for treatment or retreatment with a purine analogue</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0D3A64">
            <w:pPr>
              <w:rPr>
                <w:rFonts w:ascii="Arial Narrow" w:hAnsi="Arial Narrow" w:cs="Arial"/>
                <w:i/>
                <w:sz w:val="20"/>
                <w:szCs w:val="20"/>
              </w:rPr>
            </w:pPr>
            <w:r w:rsidRPr="005F2796">
              <w:rPr>
                <w:rFonts w:ascii="Arial Narrow" w:hAnsi="Arial Narrow" w:cs="Arial"/>
                <w:b/>
                <w:sz w:val="20"/>
                <w:szCs w:val="20"/>
              </w:rPr>
              <w:t>Treatment phase:</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sz w:val="20"/>
                <w:szCs w:val="20"/>
              </w:rPr>
            </w:pPr>
            <w:r w:rsidRPr="005F2796">
              <w:rPr>
                <w:rFonts w:ascii="Arial Narrow" w:hAnsi="Arial Narrow"/>
                <w:sz w:val="20"/>
                <w:szCs w:val="20"/>
              </w:rPr>
              <w:t>Initial treatment</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b/>
                <w:sz w:val="20"/>
                <w:szCs w:val="20"/>
              </w:rPr>
            </w:pPr>
            <w:r w:rsidRPr="005F2796">
              <w:rPr>
                <w:rFonts w:ascii="Arial Narrow" w:hAnsi="Arial Narrow" w:cs="Arial"/>
                <w:b/>
                <w:sz w:val="20"/>
                <w:szCs w:val="20"/>
              </w:rPr>
              <w:t>Restriction Level / Method:</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Calibri"/>
                <w:sz w:val="20"/>
                <w:szCs w:val="20"/>
              </w:rPr>
            </w:pPr>
            <w:r w:rsidRPr="007D1CE2">
              <w:rPr>
                <w:rFonts w:ascii="Arial Narrow" w:hAnsi="Arial Narrow" w:cs="Calibri"/>
                <w:sz w:val="20"/>
                <w:szCs w:val="20"/>
              </w:rPr>
              <w:fldChar w:fldCharType="begin">
                <w:ffData>
                  <w:name w:val="Check1"/>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7D1CE2">
              <w:rPr>
                <w:rFonts w:ascii="Arial Narrow" w:hAnsi="Arial Narrow" w:cs="Calibri"/>
                <w:sz w:val="20"/>
                <w:szCs w:val="20"/>
              </w:rPr>
              <w:fldChar w:fldCharType="end"/>
            </w:r>
            <w:r w:rsidRPr="005F2796">
              <w:rPr>
                <w:rFonts w:ascii="Arial Narrow" w:hAnsi="Arial Narrow" w:cs="Calibri"/>
                <w:sz w:val="20"/>
                <w:szCs w:val="20"/>
              </w:rPr>
              <w:t>Restricted benefit</w:t>
            </w:r>
          </w:p>
          <w:p w:rsidR="00BA3E62" w:rsidRPr="005F2796" w:rsidRDefault="00BA3E62" w:rsidP="008D1E4E">
            <w:pPr>
              <w:rPr>
                <w:rFonts w:ascii="Arial Narrow" w:hAnsi="Arial Narrow" w:cs="Calibri"/>
                <w:sz w:val="20"/>
                <w:szCs w:val="20"/>
              </w:rPr>
            </w:pPr>
            <w:r w:rsidRPr="007D1CE2">
              <w:rPr>
                <w:rFonts w:ascii="Arial Narrow" w:hAnsi="Arial Narrow" w:cs="Calibri"/>
                <w:sz w:val="20"/>
                <w:szCs w:val="20"/>
              </w:rPr>
              <w:fldChar w:fldCharType="begin">
                <w:ffData>
                  <w:name w:val=""/>
                  <w:enabled/>
                  <w:calcOnExit w:val="0"/>
                  <w:checkBox>
                    <w:sizeAuto/>
                    <w:default w:val="1"/>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7D1CE2">
              <w:rPr>
                <w:rFonts w:ascii="Arial Narrow" w:hAnsi="Arial Narrow" w:cs="Calibri"/>
                <w:sz w:val="20"/>
                <w:szCs w:val="20"/>
              </w:rPr>
              <w:fldChar w:fldCharType="end"/>
            </w:r>
            <w:r w:rsidRPr="005F2796">
              <w:rPr>
                <w:rFonts w:ascii="Arial Narrow" w:hAnsi="Arial Narrow" w:cs="Calibri"/>
                <w:sz w:val="20"/>
                <w:szCs w:val="20"/>
              </w:rPr>
              <w:t>Authority Required - In Writing</w:t>
            </w:r>
          </w:p>
          <w:p w:rsidR="00BA3E62" w:rsidRPr="005F2796" w:rsidRDefault="00BA3E62" w:rsidP="008D1E4E">
            <w:pPr>
              <w:rPr>
                <w:rFonts w:ascii="Arial Narrow" w:hAnsi="Arial Narrow" w:cs="Calibri"/>
                <w:sz w:val="20"/>
                <w:szCs w:val="20"/>
              </w:rPr>
            </w:pPr>
            <w:r w:rsidRPr="007D1CE2">
              <w:rPr>
                <w:rFonts w:ascii="Arial Narrow" w:hAnsi="Arial Narrow" w:cs="Calibri"/>
                <w:sz w:val="20"/>
                <w:szCs w:val="20"/>
              </w:rPr>
              <w:fldChar w:fldCharType="begin">
                <w:ffData>
                  <w:name w:val="Check3"/>
                  <w:enabled/>
                  <w:calcOnExit w:val="0"/>
                  <w:checkBox>
                    <w:sizeAuto/>
                    <w:default w:val="1"/>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7D1CE2">
              <w:rPr>
                <w:rFonts w:ascii="Arial Narrow" w:hAnsi="Arial Narrow" w:cs="Calibri"/>
                <w:sz w:val="20"/>
                <w:szCs w:val="20"/>
              </w:rPr>
              <w:fldChar w:fldCharType="end"/>
            </w:r>
            <w:r w:rsidRPr="005F2796">
              <w:rPr>
                <w:rFonts w:ascii="Arial Narrow" w:hAnsi="Arial Narrow" w:cs="Calibri"/>
                <w:strike/>
                <w:sz w:val="20"/>
                <w:szCs w:val="20"/>
              </w:rPr>
              <w:t>Authority Required - Telephone</w:t>
            </w:r>
          </w:p>
          <w:p w:rsidR="00BA3E62" w:rsidRPr="005F2796" w:rsidRDefault="00BA3E62" w:rsidP="008D1E4E">
            <w:pPr>
              <w:rPr>
                <w:rFonts w:ascii="Arial Narrow" w:hAnsi="Arial Narrow" w:cs="Calibri"/>
                <w:sz w:val="20"/>
                <w:szCs w:val="20"/>
              </w:rPr>
            </w:pPr>
            <w:r w:rsidRPr="007D1CE2">
              <w:rPr>
                <w:rFonts w:ascii="Arial Narrow" w:hAnsi="Arial Narrow" w:cs="Calibri"/>
                <w:sz w:val="20"/>
                <w:szCs w:val="20"/>
              </w:rPr>
              <w:fldChar w:fldCharType="begin">
                <w:ffData>
                  <w:name w:val=""/>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7D1CE2">
              <w:rPr>
                <w:rFonts w:ascii="Arial Narrow" w:hAnsi="Arial Narrow" w:cs="Calibri"/>
                <w:sz w:val="20"/>
                <w:szCs w:val="20"/>
              </w:rPr>
              <w:fldChar w:fldCharType="end"/>
            </w:r>
            <w:r w:rsidRPr="005F2796">
              <w:rPr>
                <w:rFonts w:ascii="Arial Narrow" w:hAnsi="Arial Narrow" w:cs="Calibri"/>
                <w:sz w:val="20"/>
                <w:szCs w:val="20"/>
              </w:rPr>
              <w:t>Authority Required – Emergency</w:t>
            </w:r>
          </w:p>
          <w:p w:rsidR="00BA3E62" w:rsidRPr="005F2796" w:rsidRDefault="00BA3E62" w:rsidP="008D1E4E">
            <w:pPr>
              <w:rPr>
                <w:rFonts w:ascii="Arial Narrow" w:hAnsi="Arial Narrow" w:cs="Calibri"/>
                <w:sz w:val="20"/>
                <w:szCs w:val="20"/>
              </w:rPr>
            </w:pPr>
            <w:r w:rsidRPr="007D1CE2">
              <w:rPr>
                <w:rFonts w:ascii="Arial Narrow" w:hAnsi="Arial Narrow" w:cs="Calibri"/>
                <w:sz w:val="20"/>
                <w:szCs w:val="20"/>
              </w:rPr>
              <w:fldChar w:fldCharType="begin">
                <w:ffData>
                  <w:name w:val="Check5"/>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7D1CE2">
              <w:rPr>
                <w:rFonts w:ascii="Arial Narrow" w:hAnsi="Arial Narrow" w:cs="Calibri"/>
                <w:sz w:val="20"/>
                <w:szCs w:val="20"/>
              </w:rPr>
              <w:fldChar w:fldCharType="end"/>
            </w:r>
            <w:r w:rsidRPr="005F2796">
              <w:rPr>
                <w:rFonts w:ascii="Arial Narrow" w:hAnsi="Arial Narrow" w:cs="Calibri"/>
                <w:sz w:val="20"/>
                <w:szCs w:val="20"/>
              </w:rPr>
              <w:t>Authority Required - Electronic</w:t>
            </w:r>
          </w:p>
          <w:p w:rsidR="00BA3E62" w:rsidRPr="005F2796" w:rsidRDefault="00BA3E62" w:rsidP="008D1E4E">
            <w:pPr>
              <w:rPr>
                <w:rFonts w:ascii="Arial Narrow" w:hAnsi="Arial Narrow" w:cs="Arial"/>
                <w:sz w:val="20"/>
                <w:szCs w:val="20"/>
              </w:rPr>
            </w:pPr>
            <w:r w:rsidRPr="007D1CE2">
              <w:rPr>
                <w:rFonts w:ascii="Arial Narrow" w:hAnsi="Arial Narrow" w:cs="Calibri"/>
                <w:sz w:val="20"/>
                <w:szCs w:val="20"/>
              </w:rPr>
              <w:fldChar w:fldCharType="begin">
                <w:ffData>
                  <w:name w:val="Check5"/>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7D1CE2">
              <w:rPr>
                <w:rFonts w:ascii="Arial Narrow" w:hAnsi="Arial Narrow" w:cs="Calibri"/>
                <w:sz w:val="20"/>
                <w:szCs w:val="20"/>
              </w:rPr>
              <w:fldChar w:fldCharType="end"/>
            </w:r>
            <w:r w:rsidRPr="005F2796">
              <w:rPr>
                <w:rFonts w:ascii="Arial Narrow" w:hAnsi="Arial Narrow" w:cs="Calibri"/>
                <w:sz w:val="20"/>
                <w:szCs w:val="20"/>
              </w:rPr>
              <w:t>Streamlined</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b/>
                <w:sz w:val="20"/>
                <w:szCs w:val="20"/>
              </w:rPr>
            </w:pPr>
            <w:r w:rsidRPr="005F2796">
              <w:rPr>
                <w:rFonts w:ascii="Arial Narrow" w:hAnsi="Arial Narrow" w:cs="Arial"/>
                <w:b/>
                <w:sz w:val="20"/>
                <w:szCs w:val="20"/>
              </w:rPr>
              <w:t>Treatment criteria:</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strike/>
                <w:sz w:val="20"/>
                <w:szCs w:val="20"/>
              </w:rPr>
            </w:pPr>
            <w:r w:rsidRPr="005F2796">
              <w:rPr>
                <w:rFonts w:ascii="Arial Narrow" w:hAnsi="Arial Narrow" w:cs="Calibri"/>
                <w:strike/>
                <w:sz w:val="20"/>
                <w:szCs w:val="20"/>
              </w:rPr>
              <w:t>Must be under the direct supervision of a haematologist or medical oncologist.</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0D3A64">
            <w:pPr>
              <w:rPr>
                <w:rFonts w:ascii="Arial Narrow" w:hAnsi="Arial Narrow" w:cs="Arial"/>
                <w:sz w:val="20"/>
                <w:szCs w:val="20"/>
              </w:rPr>
            </w:pPr>
            <w:r w:rsidRPr="005F2796">
              <w:rPr>
                <w:rFonts w:ascii="Arial Narrow" w:hAnsi="Arial Narrow" w:cs="Arial"/>
                <w:b/>
                <w:sz w:val="20"/>
                <w:szCs w:val="20"/>
              </w:rPr>
              <w:t>Clinical criteria:</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 xml:space="preserve">The treatment </w:t>
            </w:r>
            <w:r w:rsidRPr="005F2796">
              <w:rPr>
                <w:rFonts w:ascii="Arial Narrow" w:hAnsi="Arial Narrow" w:cs="Calibri"/>
                <w:strike/>
                <w:sz w:val="20"/>
                <w:szCs w:val="20"/>
              </w:rPr>
              <w:t>Starting pack</w:t>
            </w:r>
            <w:r w:rsidRPr="005F2796">
              <w:rPr>
                <w:rFonts w:ascii="Arial Narrow" w:hAnsi="Arial Narrow" w:cs="Calibri"/>
                <w:sz w:val="20"/>
                <w:szCs w:val="20"/>
              </w:rPr>
              <w:t xml:space="preserve"> must be used as monotherapy,</w:t>
            </w:r>
          </w:p>
          <w:p w:rsidR="00BA3E62" w:rsidRPr="005F2796" w:rsidRDefault="00BA3E62" w:rsidP="008D1E4E">
            <w:pPr>
              <w:rPr>
                <w:rFonts w:ascii="Arial Narrow" w:hAnsi="Arial Narrow" w:cs="Calibri"/>
                <w:b/>
                <w:sz w:val="20"/>
                <w:szCs w:val="20"/>
              </w:rPr>
            </w:pPr>
            <w:r w:rsidRPr="005F2796">
              <w:rPr>
                <w:rFonts w:ascii="Arial Narrow" w:hAnsi="Arial Narrow" w:cs="Calibri"/>
                <w:b/>
                <w:sz w:val="20"/>
                <w:szCs w:val="20"/>
              </w:rPr>
              <w:t>AND</w:t>
            </w:r>
          </w:p>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The condition must have relapsed or be refractory to at least one prior therapy,</w:t>
            </w:r>
          </w:p>
          <w:p w:rsidR="00BA3E62" w:rsidRPr="005F2796" w:rsidRDefault="00BA3E62" w:rsidP="008D1E4E">
            <w:pPr>
              <w:rPr>
                <w:rFonts w:ascii="Arial Narrow" w:hAnsi="Arial Narrow" w:cs="Calibri"/>
                <w:sz w:val="20"/>
                <w:szCs w:val="20"/>
              </w:rPr>
            </w:pPr>
            <w:r w:rsidRPr="005F2796">
              <w:rPr>
                <w:rFonts w:ascii="Arial Narrow" w:hAnsi="Arial Narrow" w:cs="Calibri"/>
                <w:b/>
                <w:sz w:val="20"/>
                <w:szCs w:val="20"/>
              </w:rPr>
              <w:t>AND</w:t>
            </w:r>
          </w:p>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Patient must have a WHO performance status of 0 or 1,</w:t>
            </w:r>
          </w:p>
          <w:p w:rsidR="00BA3E62" w:rsidRPr="005F2796" w:rsidRDefault="00BA3E62" w:rsidP="008D1E4E">
            <w:pPr>
              <w:rPr>
                <w:rFonts w:ascii="Arial Narrow" w:hAnsi="Arial Narrow" w:cs="Calibri"/>
                <w:sz w:val="20"/>
                <w:szCs w:val="20"/>
              </w:rPr>
            </w:pPr>
            <w:r w:rsidRPr="005F2796">
              <w:rPr>
                <w:rFonts w:ascii="Arial Narrow" w:hAnsi="Arial Narrow" w:cs="Calibri"/>
                <w:b/>
                <w:sz w:val="20"/>
                <w:szCs w:val="20"/>
              </w:rPr>
              <w:t>AND</w:t>
            </w:r>
          </w:p>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Patient must not have previously received PBS-subsidised treatment with this drug,</w:t>
            </w:r>
          </w:p>
          <w:p w:rsidR="00BA3E62" w:rsidRPr="005F2796" w:rsidRDefault="00BA3E62" w:rsidP="008D1E4E">
            <w:pPr>
              <w:rPr>
                <w:rFonts w:ascii="Arial Narrow" w:hAnsi="Arial Narrow" w:cs="Calibri"/>
                <w:sz w:val="20"/>
                <w:szCs w:val="20"/>
              </w:rPr>
            </w:pPr>
            <w:r w:rsidRPr="005F2796">
              <w:rPr>
                <w:rFonts w:ascii="Arial Narrow" w:hAnsi="Arial Narrow" w:cs="Calibri"/>
                <w:b/>
                <w:sz w:val="20"/>
                <w:szCs w:val="20"/>
              </w:rPr>
              <w:t>AND</w:t>
            </w:r>
          </w:p>
          <w:p w:rsidR="00BA3E62" w:rsidRPr="005F2796" w:rsidRDefault="00BA3E62" w:rsidP="008D1E4E">
            <w:pPr>
              <w:rPr>
                <w:rFonts w:ascii="Arial Narrow" w:hAnsi="Arial Narrow" w:cs="Arial"/>
                <w:i/>
                <w:sz w:val="20"/>
                <w:szCs w:val="20"/>
              </w:rPr>
            </w:pPr>
            <w:r w:rsidRPr="005F2796">
              <w:rPr>
                <w:rFonts w:ascii="Arial Narrow" w:hAnsi="Arial Narrow" w:cs="Calibri"/>
                <w:sz w:val="20"/>
                <w:szCs w:val="20"/>
              </w:rPr>
              <w:t>Patient must be considered unsuitable for treatment or retreatment with a purine analogue.</w:t>
            </w:r>
          </w:p>
        </w:tc>
      </w:tr>
      <w:tr w:rsidR="00BA3E62"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Arial"/>
                <w:b/>
                <w:sz w:val="20"/>
                <w:szCs w:val="20"/>
              </w:rPr>
            </w:pPr>
            <w:r w:rsidRPr="005F2796">
              <w:rPr>
                <w:rFonts w:ascii="Arial Narrow" w:hAnsi="Arial Narrow" w:cs="Arial"/>
                <w:b/>
                <w:sz w:val="20"/>
                <w:szCs w:val="20"/>
              </w:rPr>
              <w:lastRenderedPageBreak/>
              <w:t>Population criteria:</w:t>
            </w:r>
          </w:p>
        </w:tc>
        <w:tc>
          <w:tcPr>
            <w:tcW w:w="6237" w:type="dxa"/>
            <w:tcBorders>
              <w:top w:val="single" w:sz="4" w:space="0" w:color="auto"/>
              <w:left w:val="single" w:sz="4" w:space="0" w:color="auto"/>
              <w:bottom w:val="single" w:sz="4" w:space="0" w:color="auto"/>
              <w:right w:val="single" w:sz="4" w:space="0" w:color="auto"/>
            </w:tcBorders>
          </w:tcPr>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A patient must be considered unsuitable for treatment or retreatment with a purine analogue as demonstrated by at least one of the following:</w:t>
            </w:r>
          </w:p>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a) Failure to respond (stable disease or disease progression on treatment), or a progression-free interval of less than 3 years from treatment with a purine analogue-based therapy and anti-CD20-containing chemoimmunotherapy regimen after at least two cycles;</w:t>
            </w:r>
          </w:p>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b) Age is 70 years or older;</w:t>
            </w:r>
          </w:p>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p>
          <w:p w:rsidR="00BA3E62" w:rsidRPr="005F2796" w:rsidRDefault="00BA3E62" w:rsidP="008D1E4E">
            <w:pPr>
              <w:rPr>
                <w:rFonts w:ascii="Arial Narrow" w:hAnsi="Arial Narrow" w:cs="Calibri"/>
                <w:sz w:val="20"/>
                <w:szCs w:val="20"/>
              </w:rPr>
            </w:pPr>
            <w:r w:rsidRPr="005F2796">
              <w:rPr>
                <w:rFonts w:ascii="Arial Narrow" w:hAnsi="Arial Narrow" w:cs="Calibri"/>
                <w:sz w:val="20"/>
                <w:szCs w:val="20"/>
              </w:rPr>
              <w:t>d) History of purine analogue-associated autoimmune anaemia or autoimmune thrombocytopenia;</w:t>
            </w:r>
          </w:p>
          <w:p w:rsidR="00BA3E62" w:rsidRPr="005F2796" w:rsidRDefault="00BA3E62" w:rsidP="008D1E4E">
            <w:pPr>
              <w:rPr>
                <w:rFonts w:ascii="Arial Narrow" w:hAnsi="Arial Narrow" w:cs="Arial"/>
                <w:sz w:val="20"/>
                <w:szCs w:val="20"/>
              </w:rPr>
            </w:pPr>
            <w:r w:rsidRPr="005F2796">
              <w:rPr>
                <w:rFonts w:ascii="Arial Narrow" w:hAnsi="Arial Narrow" w:cs="Calibri"/>
                <w:sz w:val="20"/>
                <w:szCs w:val="20"/>
              </w:rPr>
              <w:t xml:space="preserve">e) Evidence of one or more 17p chromosomal deletions demonstrated by </w:t>
            </w:r>
            <w:r w:rsidRPr="005F2796">
              <w:rPr>
                <w:rFonts w:ascii="Arial Narrow" w:hAnsi="Arial Narrow" w:cs="Calibri"/>
                <w:i/>
                <w:sz w:val="20"/>
                <w:szCs w:val="20"/>
              </w:rPr>
              <w:t>fluorescence in situ hybridisation (</w:t>
            </w:r>
            <w:r w:rsidRPr="005F2796">
              <w:rPr>
                <w:rFonts w:ascii="Arial Narrow" w:hAnsi="Arial Narrow" w:cs="Calibri"/>
                <w:sz w:val="20"/>
                <w:szCs w:val="20"/>
              </w:rPr>
              <w:t>FISH</w:t>
            </w:r>
            <w:r w:rsidRPr="005F2796">
              <w:rPr>
                <w:rFonts w:ascii="Arial Narrow" w:hAnsi="Arial Narrow" w:cs="Calibri"/>
                <w:i/>
                <w:sz w:val="20"/>
                <w:szCs w:val="20"/>
              </w:rPr>
              <w:t>)</w:t>
            </w:r>
            <w:r w:rsidRPr="005F2796">
              <w:rPr>
                <w:rFonts w:ascii="Arial Narrow" w:hAnsi="Arial Narrow" w:cs="Calibri"/>
                <w:sz w:val="20"/>
                <w:szCs w:val="20"/>
              </w:rPr>
              <w:t>.</w:t>
            </w:r>
          </w:p>
        </w:tc>
      </w:tr>
    </w:tbl>
    <w:p w:rsidR="008C03D1" w:rsidRPr="005F2796" w:rsidRDefault="008C03D1" w:rsidP="00BA3E62">
      <w:pPr>
        <w:rPr>
          <w:rFonts w:cstheme="minorHAnsi"/>
          <w:b/>
          <w:szCs w:val="24"/>
          <w:u w:val="single"/>
        </w:rPr>
      </w:pPr>
    </w:p>
    <w:p w:rsidR="00BA3E62" w:rsidRPr="005F2796" w:rsidRDefault="00BA3E62" w:rsidP="00BA3E62">
      <w:pPr>
        <w:rPr>
          <w:rFonts w:cstheme="minorHAnsi"/>
          <w:b/>
          <w:szCs w:val="24"/>
          <w:u w:val="single"/>
        </w:rPr>
      </w:pPr>
      <w:r w:rsidRPr="005F2796">
        <w:rPr>
          <w:rFonts w:cstheme="minorHAnsi"/>
          <w:b/>
          <w:szCs w:val="24"/>
          <w:u w:val="single"/>
        </w:rPr>
        <w:t>Dose holding</w:t>
      </w:r>
      <w:r w:rsidR="008C03D1" w:rsidRPr="005F2796">
        <w:rPr>
          <w:rFonts w:cstheme="minorHAnsi"/>
          <w:b/>
          <w:szCs w:val="24"/>
          <w:u w:val="single"/>
        </w:rPr>
        <w:t xml:space="preserve"> (first 2 weeks titration period if hold dose needed)</w:t>
      </w:r>
    </w:p>
    <w:tbl>
      <w:tblPr>
        <w:tblW w:w="9072" w:type="dxa"/>
        <w:tblInd w:w="108" w:type="dxa"/>
        <w:tblLayout w:type="fixed"/>
        <w:tblLook w:val="0000" w:firstRow="0" w:lastRow="0" w:firstColumn="0" w:lastColumn="0" w:noHBand="0" w:noVBand="0"/>
      </w:tblPr>
      <w:tblGrid>
        <w:gridCol w:w="2835"/>
        <w:gridCol w:w="6237"/>
      </w:tblGrid>
      <w:tr w:rsidR="008C03D1"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C03D1" w:rsidRPr="005F2796" w:rsidRDefault="008C03D1" w:rsidP="000D3A64">
            <w:pPr>
              <w:rPr>
                <w:rFonts w:ascii="Arial Narrow" w:hAnsi="Arial Narrow" w:cs="Arial"/>
                <w:b/>
                <w:sz w:val="20"/>
                <w:szCs w:val="20"/>
              </w:rPr>
            </w:pPr>
            <w:r w:rsidRPr="005F2796">
              <w:rPr>
                <w:rFonts w:ascii="Arial Narrow" w:hAnsi="Arial Narrow" w:cs="Arial"/>
                <w:b/>
                <w:sz w:val="20"/>
                <w:szCs w:val="20"/>
              </w:rPr>
              <w:t>Treatment phase:</w:t>
            </w:r>
          </w:p>
        </w:tc>
        <w:tc>
          <w:tcPr>
            <w:tcW w:w="6237" w:type="dxa"/>
            <w:tcBorders>
              <w:top w:val="single" w:sz="4" w:space="0" w:color="auto"/>
              <w:left w:val="single" w:sz="4" w:space="0" w:color="auto"/>
              <w:bottom w:val="single" w:sz="4" w:space="0" w:color="auto"/>
              <w:right w:val="single" w:sz="4" w:space="0" w:color="auto"/>
            </w:tcBorders>
          </w:tcPr>
          <w:p w:rsidR="008C03D1" w:rsidRPr="005F2796" w:rsidRDefault="008C03D1" w:rsidP="008C03D1">
            <w:pPr>
              <w:rPr>
                <w:rFonts w:ascii="Arial Narrow" w:hAnsi="Arial Narrow" w:cs="Calibri"/>
                <w:i/>
                <w:sz w:val="20"/>
                <w:szCs w:val="20"/>
              </w:rPr>
            </w:pPr>
            <w:r w:rsidRPr="005F2796">
              <w:rPr>
                <w:rFonts w:ascii="Arial Narrow" w:hAnsi="Arial Narrow" w:cs="Calibri"/>
                <w:strike/>
                <w:sz w:val="20"/>
                <w:szCs w:val="20"/>
              </w:rPr>
              <w:t xml:space="preserve">Initial (as required) </w:t>
            </w:r>
            <w:r w:rsidRPr="005F2796">
              <w:rPr>
                <w:rFonts w:ascii="Arial Narrow" w:hAnsi="Arial Narrow" w:cs="Calibri"/>
                <w:i/>
                <w:sz w:val="20"/>
                <w:szCs w:val="20"/>
              </w:rPr>
              <w:t>Continuing treatment</w:t>
            </w:r>
          </w:p>
        </w:tc>
      </w:tr>
      <w:tr w:rsidR="008C03D1" w:rsidRPr="005F2796" w:rsidTr="00473A0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C03D1" w:rsidRPr="005F2796" w:rsidRDefault="008C03D1" w:rsidP="000D3A64">
            <w:pPr>
              <w:rPr>
                <w:rFonts w:ascii="Arial Narrow" w:hAnsi="Arial Narrow" w:cs="Arial"/>
                <w:sz w:val="20"/>
                <w:szCs w:val="20"/>
              </w:rPr>
            </w:pPr>
            <w:r w:rsidRPr="005F2796">
              <w:rPr>
                <w:rFonts w:ascii="Arial Narrow" w:hAnsi="Arial Narrow" w:cs="Arial"/>
                <w:b/>
                <w:sz w:val="20"/>
                <w:szCs w:val="20"/>
              </w:rPr>
              <w:t>Clinical criteria:</w:t>
            </w:r>
          </w:p>
        </w:tc>
        <w:tc>
          <w:tcPr>
            <w:tcW w:w="6237" w:type="dxa"/>
            <w:tcBorders>
              <w:top w:val="single" w:sz="4" w:space="0" w:color="auto"/>
              <w:left w:val="single" w:sz="4" w:space="0" w:color="auto"/>
              <w:bottom w:val="single" w:sz="4" w:space="0" w:color="auto"/>
              <w:right w:val="single" w:sz="4" w:space="0" w:color="auto"/>
            </w:tcBorders>
          </w:tcPr>
          <w:p w:rsidR="008C03D1" w:rsidRPr="005F2796" w:rsidRDefault="008C03D1" w:rsidP="008C03D1">
            <w:pPr>
              <w:rPr>
                <w:rFonts w:ascii="Arial Narrow" w:hAnsi="Arial Narrow" w:cs="Calibri"/>
                <w:i/>
                <w:sz w:val="20"/>
                <w:szCs w:val="20"/>
              </w:rPr>
            </w:pPr>
            <w:r w:rsidRPr="005F2796">
              <w:rPr>
                <w:rFonts w:ascii="Arial Narrow" w:hAnsi="Arial Narrow" w:cs="Calibri"/>
                <w:i/>
                <w:sz w:val="20"/>
                <w:szCs w:val="20"/>
              </w:rPr>
              <w:t>The treatment must be used as monotherapy,</w:t>
            </w:r>
          </w:p>
          <w:p w:rsidR="008C03D1" w:rsidRPr="005F2796" w:rsidRDefault="008C03D1" w:rsidP="008C03D1">
            <w:pPr>
              <w:rPr>
                <w:rFonts w:ascii="Arial Narrow" w:hAnsi="Arial Narrow" w:cs="Calibri"/>
                <w:b/>
                <w:i/>
                <w:sz w:val="20"/>
                <w:szCs w:val="20"/>
              </w:rPr>
            </w:pPr>
            <w:r w:rsidRPr="005F2796">
              <w:rPr>
                <w:rFonts w:ascii="Arial Narrow" w:hAnsi="Arial Narrow" w:cs="Calibri"/>
                <w:b/>
                <w:i/>
                <w:sz w:val="20"/>
                <w:szCs w:val="20"/>
              </w:rPr>
              <w:t>AND</w:t>
            </w:r>
          </w:p>
          <w:p w:rsidR="008C03D1" w:rsidRPr="005F2796" w:rsidRDefault="008C03D1" w:rsidP="008C03D1">
            <w:pPr>
              <w:pStyle w:val="TableText1"/>
              <w:rPr>
                <w:rFonts w:cs="Calibri"/>
                <w:i/>
              </w:rPr>
            </w:pPr>
            <w:r w:rsidRPr="005F2796">
              <w:rPr>
                <w:rFonts w:cs="Calibri"/>
                <w:i/>
              </w:rPr>
              <w:t>Patient must not develop progressive disease whilst receiving PBS-subsidised treatment with this drug for this condition,</w:t>
            </w:r>
          </w:p>
          <w:p w:rsidR="008C03D1" w:rsidRPr="005F2796" w:rsidRDefault="008C03D1" w:rsidP="008C03D1">
            <w:pPr>
              <w:rPr>
                <w:rFonts w:ascii="Arial Narrow" w:hAnsi="Arial Narrow" w:cs="Calibri"/>
                <w:b/>
                <w:i/>
                <w:sz w:val="20"/>
                <w:szCs w:val="20"/>
              </w:rPr>
            </w:pPr>
            <w:r w:rsidRPr="005F2796">
              <w:rPr>
                <w:rFonts w:ascii="Arial Narrow" w:hAnsi="Arial Narrow" w:cs="Calibri"/>
                <w:b/>
                <w:i/>
                <w:sz w:val="20"/>
                <w:szCs w:val="20"/>
              </w:rPr>
              <w:t>AND</w:t>
            </w:r>
          </w:p>
          <w:p w:rsidR="008C03D1" w:rsidRPr="005F2796" w:rsidRDefault="008C03D1" w:rsidP="008C03D1">
            <w:pPr>
              <w:rPr>
                <w:rFonts w:ascii="Arial Narrow" w:hAnsi="Arial Narrow" w:cs="Calibri"/>
                <w:sz w:val="20"/>
                <w:szCs w:val="20"/>
              </w:rPr>
            </w:pPr>
            <w:r w:rsidRPr="005F2796">
              <w:rPr>
                <w:rFonts w:ascii="Arial Narrow" w:hAnsi="Arial Narrow" w:cs="Calibri"/>
                <w:sz w:val="20"/>
                <w:szCs w:val="20"/>
              </w:rPr>
              <w:t xml:space="preserve">Patient must have previously received PBS-subsidised treatment with this drug </w:t>
            </w:r>
            <w:r w:rsidRPr="005F2796">
              <w:rPr>
                <w:rFonts w:ascii="Arial Narrow" w:hAnsi="Arial Narrow" w:cs="Calibri"/>
                <w:strike/>
                <w:sz w:val="20"/>
                <w:szCs w:val="20"/>
              </w:rPr>
              <w:t>using the Starting pack dispensed through PBS code XXX</w:t>
            </w:r>
            <w:r w:rsidRPr="005F2796">
              <w:rPr>
                <w:rFonts w:ascii="Arial Narrow" w:hAnsi="Arial Narrow" w:cs="Calibri"/>
                <w:sz w:val="20"/>
                <w:szCs w:val="20"/>
              </w:rPr>
              <w:t xml:space="preserve"> </w:t>
            </w:r>
            <w:r w:rsidRPr="005F2796">
              <w:rPr>
                <w:rFonts w:ascii="Arial Narrow" w:hAnsi="Arial Narrow" w:cs="Calibri"/>
                <w:i/>
                <w:sz w:val="20"/>
                <w:szCs w:val="20"/>
              </w:rPr>
              <w:t>for this condition</w:t>
            </w:r>
            <w:r w:rsidRPr="005F2796">
              <w:rPr>
                <w:rFonts w:ascii="Arial Narrow" w:hAnsi="Arial Narrow" w:cs="Calibri"/>
                <w:sz w:val="20"/>
                <w:szCs w:val="20"/>
              </w:rPr>
              <w:t>.</w:t>
            </w:r>
          </w:p>
        </w:tc>
      </w:tr>
    </w:tbl>
    <w:p w:rsidR="00BA3E62" w:rsidRPr="005F2796" w:rsidRDefault="00BA3E62" w:rsidP="00BA3E62">
      <w:pPr>
        <w:rPr>
          <w:rFonts w:ascii="Arial" w:hAnsi="Arial" w:cs="Arial"/>
          <w:b/>
          <w:sz w:val="22"/>
          <w:u w:val="single"/>
        </w:rPr>
      </w:pPr>
    </w:p>
    <w:p w:rsidR="00BA3E62" w:rsidRPr="005F2796" w:rsidRDefault="00BA3E62" w:rsidP="00BA3E62">
      <w:pPr>
        <w:rPr>
          <w:rFonts w:cstheme="minorHAnsi"/>
          <w:b/>
          <w:szCs w:val="24"/>
          <w:u w:val="single"/>
        </w:rPr>
      </w:pPr>
      <w:r w:rsidRPr="005F2796">
        <w:rPr>
          <w:rFonts w:cstheme="minorHAnsi"/>
          <w:b/>
          <w:szCs w:val="24"/>
          <w:u w:val="single"/>
        </w:rPr>
        <w:t>Continuing treatment</w:t>
      </w:r>
      <w:r w:rsidR="008C03D1" w:rsidRPr="005F2796">
        <w:rPr>
          <w:rFonts w:cstheme="minorHAnsi"/>
          <w:b/>
          <w:szCs w:val="24"/>
          <w:u w:val="single"/>
        </w:rPr>
        <w:t xml:space="preserve"> (week 5 titration period [monotherapy] + maintenance dose [in combination with rituximab for 6 cycles])</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6145"/>
      </w:tblGrid>
      <w:tr w:rsidR="00473A0B" w:rsidRPr="005F2796" w:rsidTr="00473A0B">
        <w:trPr>
          <w:cantSplit/>
          <w:trHeight w:val="360"/>
          <w:jc w:val="center"/>
        </w:trPr>
        <w:tc>
          <w:tcPr>
            <w:tcW w:w="1552" w:type="pct"/>
          </w:tcPr>
          <w:p w:rsidR="008C03D1" w:rsidRPr="005F2796" w:rsidRDefault="008C03D1" w:rsidP="008C03D1">
            <w:pPr>
              <w:rPr>
                <w:rFonts w:ascii="Arial Narrow" w:hAnsi="Arial Narrow" w:cs="Arial"/>
                <w:b/>
                <w:sz w:val="20"/>
                <w:szCs w:val="20"/>
              </w:rPr>
            </w:pPr>
            <w:r w:rsidRPr="005F2796">
              <w:rPr>
                <w:rFonts w:ascii="Arial Narrow" w:hAnsi="Arial Narrow" w:cs="Arial"/>
                <w:b/>
                <w:sz w:val="20"/>
                <w:szCs w:val="20"/>
              </w:rPr>
              <w:t>Treatment phase:</w:t>
            </w:r>
          </w:p>
        </w:tc>
        <w:tc>
          <w:tcPr>
            <w:tcW w:w="3448" w:type="pct"/>
          </w:tcPr>
          <w:p w:rsidR="008C03D1" w:rsidRPr="005F2796" w:rsidRDefault="008C03D1" w:rsidP="008C03D1">
            <w:pPr>
              <w:rPr>
                <w:rFonts w:ascii="Arial Narrow" w:hAnsi="Arial Narrow" w:cs="Calibri"/>
                <w:sz w:val="20"/>
                <w:szCs w:val="20"/>
              </w:rPr>
            </w:pPr>
            <w:r w:rsidRPr="005F2796">
              <w:rPr>
                <w:rFonts w:ascii="Arial Narrow" w:hAnsi="Arial Narrow" w:cs="Calibri"/>
                <w:sz w:val="20"/>
                <w:szCs w:val="20"/>
              </w:rPr>
              <w:t xml:space="preserve">Continuing </w:t>
            </w:r>
            <w:r w:rsidRPr="005F2796">
              <w:rPr>
                <w:rFonts w:ascii="Arial Narrow" w:hAnsi="Arial Narrow" w:cs="Calibri"/>
                <w:i/>
                <w:sz w:val="20"/>
                <w:szCs w:val="20"/>
              </w:rPr>
              <w:t>treatment</w:t>
            </w:r>
          </w:p>
        </w:tc>
      </w:tr>
      <w:tr w:rsidR="00473A0B" w:rsidRPr="005F2796" w:rsidTr="00473A0B">
        <w:trPr>
          <w:cantSplit/>
          <w:trHeight w:val="360"/>
          <w:jc w:val="center"/>
        </w:trPr>
        <w:tc>
          <w:tcPr>
            <w:tcW w:w="1552" w:type="pct"/>
          </w:tcPr>
          <w:p w:rsidR="008C03D1" w:rsidRPr="005F2796" w:rsidRDefault="008C03D1" w:rsidP="008C03D1">
            <w:pPr>
              <w:pStyle w:val="TableText1"/>
              <w:rPr>
                <w:b/>
                <w:szCs w:val="24"/>
                <w:lang w:eastAsia="en-AU"/>
              </w:rPr>
            </w:pPr>
            <w:r w:rsidRPr="005F2796">
              <w:rPr>
                <w:b/>
                <w:szCs w:val="24"/>
                <w:lang w:eastAsia="en-AU"/>
              </w:rPr>
              <w:t>Clinical criteria:</w:t>
            </w:r>
          </w:p>
        </w:tc>
        <w:tc>
          <w:tcPr>
            <w:tcW w:w="3448" w:type="pct"/>
          </w:tcPr>
          <w:p w:rsidR="008C03D1" w:rsidRPr="005F2796" w:rsidRDefault="008C03D1" w:rsidP="008C03D1">
            <w:pPr>
              <w:rPr>
                <w:rFonts w:ascii="Arial Narrow" w:hAnsi="Arial Narrow" w:cs="Calibri"/>
                <w:sz w:val="20"/>
                <w:szCs w:val="20"/>
              </w:rPr>
            </w:pPr>
            <w:r w:rsidRPr="005F2796">
              <w:rPr>
                <w:rFonts w:ascii="Arial Narrow" w:hAnsi="Arial Narrow" w:cs="Calibri"/>
                <w:sz w:val="20"/>
                <w:szCs w:val="20"/>
              </w:rPr>
              <w:t>Patient must have previously received PBS-subsidised treatment with this drug for this condition,</w:t>
            </w:r>
          </w:p>
          <w:p w:rsidR="008C03D1" w:rsidRPr="005F2796" w:rsidRDefault="008C03D1" w:rsidP="008C03D1">
            <w:pPr>
              <w:rPr>
                <w:rFonts w:ascii="Arial Narrow" w:hAnsi="Arial Narrow" w:cs="Calibri"/>
                <w:b/>
                <w:sz w:val="20"/>
                <w:szCs w:val="20"/>
              </w:rPr>
            </w:pPr>
            <w:r w:rsidRPr="005F2796">
              <w:rPr>
                <w:rFonts w:ascii="Arial Narrow" w:hAnsi="Arial Narrow" w:cs="Calibri"/>
                <w:b/>
                <w:sz w:val="20"/>
                <w:szCs w:val="20"/>
              </w:rPr>
              <w:t>AND</w:t>
            </w:r>
          </w:p>
          <w:p w:rsidR="008C03D1" w:rsidRPr="005F2796" w:rsidRDefault="008C03D1" w:rsidP="008C03D1">
            <w:pPr>
              <w:rPr>
                <w:rFonts w:ascii="Arial Narrow" w:hAnsi="Arial Narrow" w:cs="Calibri"/>
                <w:i/>
                <w:sz w:val="20"/>
                <w:szCs w:val="20"/>
              </w:rPr>
            </w:pPr>
            <w:r w:rsidRPr="005F2796">
              <w:rPr>
                <w:rFonts w:ascii="Arial Narrow" w:hAnsi="Arial Narrow" w:cs="Calibri"/>
                <w:sz w:val="20"/>
                <w:szCs w:val="20"/>
              </w:rPr>
              <w:t xml:space="preserve">The treatment must be </w:t>
            </w:r>
            <w:r w:rsidR="00297B1D" w:rsidRPr="00990C67">
              <w:rPr>
                <w:rFonts w:ascii="Arial Narrow" w:hAnsi="Arial Narrow" w:cs="Calibri"/>
                <w:sz w:val="20"/>
                <w:szCs w:val="20"/>
              </w:rPr>
              <w:t>as monotherapy for 7 days, then</w:t>
            </w:r>
            <w:r w:rsidR="00297B1D" w:rsidRPr="005F2796">
              <w:rPr>
                <w:rFonts w:ascii="Arial Narrow" w:hAnsi="Arial Narrow" w:cs="Calibri"/>
                <w:sz w:val="20"/>
                <w:szCs w:val="20"/>
              </w:rPr>
              <w:t xml:space="preserve"> </w:t>
            </w:r>
            <w:r w:rsidRPr="005F2796">
              <w:rPr>
                <w:rFonts w:ascii="Arial Narrow" w:hAnsi="Arial Narrow" w:cs="Calibri"/>
                <w:sz w:val="20"/>
                <w:szCs w:val="20"/>
              </w:rPr>
              <w:t xml:space="preserve">in combination with rituximab for </w:t>
            </w:r>
            <w:r w:rsidRPr="005F2796">
              <w:rPr>
                <w:rFonts w:ascii="Arial Narrow" w:hAnsi="Arial Narrow" w:cs="Calibri"/>
                <w:i/>
                <w:sz w:val="20"/>
                <w:szCs w:val="20"/>
              </w:rPr>
              <w:t xml:space="preserve">up to </w:t>
            </w:r>
            <w:r w:rsidRPr="005F2796">
              <w:rPr>
                <w:rFonts w:ascii="Arial Narrow" w:hAnsi="Arial Narrow" w:cs="Calibri"/>
                <w:sz w:val="20"/>
                <w:szCs w:val="20"/>
              </w:rPr>
              <w:t>a maximum of six cycles</w:t>
            </w:r>
            <w:r w:rsidR="0067239B" w:rsidRPr="005F2796">
              <w:rPr>
                <w:rFonts w:ascii="Arial Narrow" w:hAnsi="Arial Narrow" w:cs="Calibri"/>
                <w:i/>
                <w:sz w:val="20"/>
                <w:szCs w:val="20"/>
              </w:rPr>
              <w:t xml:space="preserve"> unless rituximab is contraindicated</w:t>
            </w:r>
            <w:r w:rsidRPr="005F2796">
              <w:rPr>
                <w:rFonts w:ascii="Arial Narrow" w:hAnsi="Arial Narrow" w:cs="Calibri"/>
                <w:i/>
                <w:sz w:val="20"/>
                <w:szCs w:val="20"/>
              </w:rPr>
              <w:t>, followed by monotherapy,</w:t>
            </w:r>
          </w:p>
          <w:p w:rsidR="008C03D1" w:rsidRPr="005F2796" w:rsidRDefault="008C03D1" w:rsidP="008C03D1">
            <w:pPr>
              <w:rPr>
                <w:rFonts w:ascii="Arial Narrow" w:hAnsi="Arial Narrow" w:cs="Calibri"/>
                <w:b/>
                <w:sz w:val="20"/>
                <w:szCs w:val="20"/>
              </w:rPr>
            </w:pPr>
            <w:r w:rsidRPr="005F2796">
              <w:rPr>
                <w:rFonts w:ascii="Arial Narrow" w:hAnsi="Arial Narrow" w:cs="Calibri"/>
                <w:b/>
                <w:sz w:val="20"/>
                <w:szCs w:val="20"/>
              </w:rPr>
              <w:t>AND</w:t>
            </w:r>
          </w:p>
          <w:p w:rsidR="008C03D1" w:rsidRPr="005F2796" w:rsidRDefault="008C03D1" w:rsidP="008C03D1">
            <w:pPr>
              <w:pStyle w:val="TableText1"/>
              <w:rPr>
                <w:rFonts w:cs="Calibri"/>
                <w:strike/>
              </w:rPr>
            </w:pPr>
            <w:r w:rsidRPr="005F2796">
              <w:rPr>
                <w:rFonts w:cs="Calibri"/>
                <w:strike/>
              </w:rPr>
              <w:t xml:space="preserve">Patients should continue </w:t>
            </w:r>
            <w:r w:rsidRPr="005F2796">
              <w:rPr>
                <w:rFonts w:cs="Calibri"/>
                <w:i/>
                <w:strike/>
              </w:rPr>
              <w:t>venetoclax</w:t>
            </w:r>
            <w:r w:rsidRPr="005F2796">
              <w:rPr>
                <w:rFonts w:cs="Calibri"/>
                <w:strike/>
              </w:rPr>
              <w:t xml:space="preserve"> VTX for a maximum of 24 months and 7 days or until disease progression or unacceptable toxicity, whichever occurs first.</w:t>
            </w:r>
          </w:p>
          <w:p w:rsidR="008C03D1" w:rsidRPr="005F2796" w:rsidRDefault="008C03D1" w:rsidP="008C03D1">
            <w:pPr>
              <w:pStyle w:val="TableText1"/>
              <w:rPr>
                <w:rFonts w:cs="Calibri"/>
                <w:i/>
              </w:rPr>
            </w:pPr>
            <w:r w:rsidRPr="005F2796">
              <w:rPr>
                <w:rFonts w:cs="Calibri"/>
                <w:i/>
              </w:rPr>
              <w:t>Patient must not develop progressive disease whilst receiving PBS-subsidised treatment with this drug for this condition,</w:t>
            </w:r>
          </w:p>
          <w:p w:rsidR="008C03D1" w:rsidRPr="005F2796" w:rsidRDefault="008C03D1" w:rsidP="008C03D1">
            <w:pPr>
              <w:rPr>
                <w:rFonts w:ascii="Arial Narrow" w:hAnsi="Arial Narrow" w:cs="Calibri"/>
                <w:b/>
                <w:i/>
                <w:sz w:val="20"/>
                <w:szCs w:val="20"/>
              </w:rPr>
            </w:pPr>
            <w:r w:rsidRPr="005F2796">
              <w:rPr>
                <w:rFonts w:ascii="Arial Narrow" w:hAnsi="Arial Narrow" w:cs="Calibri"/>
                <w:b/>
                <w:i/>
                <w:sz w:val="20"/>
                <w:szCs w:val="20"/>
              </w:rPr>
              <w:t>AND</w:t>
            </w:r>
          </w:p>
          <w:p w:rsidR="008C03D1" w:rsidRPr="005F2796" w:rsidRDefault="008C03D1" w:rsidP="008C03D1">
            <w:pPr>
              <w:pStyle w:val="TableText1"/>
              <w:rPr>
                <w:rFonts w:cs="Calibri"/>
                <w:i/>
              </w:rPr>
            </w:pPr>
            <w:r w:rsidRPr="005F2796">
              <w:rPr>
                <w:rFonts w:cs="Calibri"/>
                <w:i/>
              </w:rPr>
              <w:t>Patient must not receive more than 24 months and 7 days of treatment under this restriction.</w:t>
            </w:r>
          </w:p>
        </w:tc>
      </w:tr>
    </w:tbl>
    <w:p w:rsidR="00BA3E62" w:rsidRPr="005F2796" w:rsidRDefault="00BA3E62" w:rsidP="00BA3E62"/>
    <w:p w:rsidR="00A57383" w:rsidRPr="005F2796" w:rsidRDefault="00A57383" w:rsidP="000E38D2">
      <w:pPr>
        <w:pStyle w:val="ListParagraph"/>
        <w:numPr>
          <w:ilvl w:val="1"/>
          <w:numId w:val="2"/>
        </w:numPr>
        <w:spacing w:after="160"/>
        <w:ind w:left="578" w:hanging="578"/>
      </w:pPr>
      <w:r w:rsidRPr="005F2796">
        <w:t>The requested listing is narrower than the proposed TGA indication, which does not require patients to be unsuitable for treatment or retreatment with a purine analogue.</w:t>
      </w:r>
    </w:p>
    <w:p w:rsidR="00A57383" w:rsidRPr="005F2796" w:rsidRDefault="00A57383" w:rsidP="000E38D2">
      <w:pPr>
        <w:pStyle w:val="ListParagraph"/>
        <w:numPr>
          <w:ilvl w:val="1"/>
          <w:numId w:val="2"/>
        </w:numPr>
        <w:spacing w:after="160"/>
      </w:pPr>
      <w:r w:rsidRPr="005F2796">
        <w:lastRenderedPageBreak/>
        <w:t>The requested restriction is narrower than the inclusion criteria for the MURANO trial, which did not require patients to be unsuitable for treatment or retreatment with a purine analogue.</w:t>
      </w:r>
    </w:p>
    <w:p w:rsidR="00A57383" w:rsidRPr="005F2796" w:rsidRDefault="00A57383" w:rsidP="000E38D2">
      <w:pPr>
        <w:pStyle w:val="ListParagraph"/>
        <w:numPr>
          <w:ilvl w:val="1"/>
          <w:numId w:val="2"/>
        </w:numPr>
        <w:spacing w:after="160"/>
      </w:pPr>
      <w:r w:rsidRPr="005F2796">
        <w:t>The criteria to define patients unsuitable for treatment or retreatment with a purine analogue are identical to the restriction for ibrutinib.</w:t>
      </w:r>
    </w:p>
    <w:p w:rsidR="00A57383" w:rsidRPr="005F2796" w:rsidRDefault="00A57383" w:rsidP="000E38D2">
      <w:pPr>
        <w:pStyle w:val="ListParagraph"/>
        <w:numPr>
          <w:ilvl w:val="1"/>
          <w:numId w:val="2"/>
        </w:numPr>
        <w:spacing w:after="160"/>
      </w:pPr>
      <w:r w:rsidRPr="005F2796">
        <w:t>The proposed venetoclax restriction differs, but overlaps with the idelalisib with rituximab restriction, which specifies patients considered inappropriate for chemoimmunotherapy due to previous severe neutropenia, previous severe thrombocytopenia, or evidence of 17p deletion by FISH. The restriction for idelalisib plus rituximab also requires patients to be less fit (based on a comorbidity rating scale; CIRS&gt;6).</w:t>
      </w:r>
    </w:p>
    <w:p w:rsidR="002154B7" w:rsidRPr="005F2796" w:rsidRDefault="002154B7" w:rsidP="003A595A">
      <w:pPr>
        <w:pStyle w:val="ListParagraph"/>
        <w:numPr>
          <w:ilvl w:val="1"/>
          <w:numId w:val="2"/>
        </w:numPr>
        <w:spacing w:after="160"/>
        <w:ind w:left="578" w:hanging="578"/>
      </w:pPr>
      <w:r w:rsidRPr="005F2796">
        <w:t xml:space="preserve">Venetoclax is administered according to a weekly dose titration schedule to the recommended daily dose of 400 mg over a period of 5 weeks. The dose titration schedule involves the administration of venetoclax as monotherapy over this period with the schedule proposed in the submission consistent with that presented in the draft Product Information (PI). Rituximab is then co-administered every 28 days for six cycles after the dose titration period is complete. </w:t>
      </w:r>
      <w:r w:rsidR="00BE3C05" w:rsidRPr="005F2796">
        <w:t>C</w:t>
      </w:r>
      <w:r w:rsidRPr="005F2796">
        <w:t xml:space="preserve">onsistent with the Venclexta® starter pack, the initial restriction provides treatment for weeks 1 to 4 of the dose titration schedule only. However, an additional week of the 400 mg monotherapy is required as part of the dose titration schedule in the continuing restriction before co-administration with rituximab is commenced. The exclusion of week 5 of the dose titration schedule from the current form of the Venclexta® starter pack and the initial restriction </w:t>
      </w:r>
      <w:r w:rsidR="00BE0038" w:rsidRPr="005F2796">
        <w:t xml:space="preserve">would </w:t>
      </w:r>
      <w:r w:rsidRPr="005F2796">
        <w:t xml:space="preserve">increase the potential for confusion with the required venetoclax dose titration regimen. </w:t>
      </w:r>
      <w:r w:rsidR="00C962A7" w:rsidRPr="005F2796">
        <w:t>The</w:t>
      </w:r>
      <w:r w:rsidR="00AD44A3" w:rsidRPr="005F2796">
        <w:t xml:space="preserve"> </w:t>
      </w:r>
      <w:r w:rsidR="00C962A7" w:rsidRPr="005F2796">
        <w:t>continuing</w:t>
      </w:r>
      <w:r w:rsidR="00AD44A3" w:rsidRPr="005F2796">
        <w:t xml:space="preserve"> treatment restriction</w:t>
      </w:r>
      <w:r w:rsidR="00C962A7" w:rsidRPr="005F2796">
        <w:t xml:space="preserve"> </w:t>
      </w:r>
      <w:r w:rsidR="00BE3C05" w:rsidRPr="005F2796">
        <w:t xml:space="preserve">was updated </w:t>
      </w:r>
      <w:r w:rsidR="00FF0E71" w:rsidRPr="005F2796">
        <w:t xml:space="preserve">in </w:t>
      </w:r>
      <w:r w:rsidR="003B0FCB">
        <w:t>the P</w:t>
      </w:r>
      <w:r w:rsidR="00BE3C05" w:rsidRPr="005F2796">
        <w:t xml:space="preserve">re-PBAC </w:t>
      </w:r>
      <w:r w:rsidR="003B0FCB">
        <w:t>R</w:t>
      </w:r>
      <w:r w:rsidR="00BE3C05" w:rsidRPr="005F2796">
        <w:t>esponse to</w:t>
      </w:r>
      <w:r w:rsidR="00AD44A3" w:rsidRPr="005F2796">
        <w:t xml:space="preserve"> allow for </w:t>
      </w:r>
      <w:r w:rsidR="00BE3C05" w:rsidRPr="005F2796">
        <w:t xml:space="preserve">7 days </w:t>
      </w:r>
      <w:r w:rsidR="00C962A7" w:rsidRPr="005F2796">
        <w:t xml:space="preserve">monotherapy venetoclax </w:t>
      </w:r>
      <w:r w:rsidR="0067239B" w:rsidRPr="005F2796">
        <w:t>before</w:t>
      </w:r>
      <w:r w:rsidR="00AD44A3" w:rsidRPr="005F2796">
        <w:t xml:space="preserve"> co</w:t>
      </w:r>
      <w:r w:rsidR="00C962A7" w:rsidRPr="005F2796">
        <w:t>-</w:t>
      </w:r>
      <w:r w:rsidR="00AD44A3" w:rsidRPr="005F2796">
        <w:t>admin</w:t>
      </w:r>
      <w:r w:rsidR="00C962A7" w:rsidRPr="005F2796">
        <w:t>istration with rituximab.</w:t>
      </w:r>
    </w:p>
    <w:p w:rsidR="00945A63" w:rsidRPr="005F2796" w:rsidRDefault="00945A63" w:rsidP="00945A63">
      <w:pPr>
        <w:pStyle w:val="ListParagraph"/>
        <w:numPr>
          <w:ilvl w:val="1"/>
          <w:numId w:val="2"/>
        </w:numPr>
        <w:spacing w:after="160"/>
      </w:pPr>
      <w:r w:rsidRPr="005F2796">
        <w:t>The proposed continuing restriction limits treatment with venetoclax to 24 months.</w:t>
      </w:r>
    </w:p>
    <w:p w:rsidR="002154B7" w:rsidRPr="005F2796" w:rsidRDefault="002154B7" w:rsidP="003A595A">
      <w:pPr>
        <w:pStyle w:val="ListParagraph"/>
        <w:numPr>
          <w:ilvl w:val="1"/>
          <w:numId w:val="2"/>
        </w:numPr>
        <w:spacing w:after="160"/>
        <w:ind w:left="578" w:hanging="578"/>
      </w:pPr>
      <w:r w:rsidRPr="005F2796">
        <w:t xml:space="preserve">The ESC noted that there may be a subset of patients unsuitable for </w:t>
      </w:r>
      <w:r w:rsidR="00BE0038" w:rsidRPr="005F2796">
        <w:t xml:space="preserve">or intolerant of </w:t>
      </w:r>
      <w:r w:rsidRPr="005F2796">
        <w:t xml:space="preserve">rituximab therapy which is required to be used in combination with venetoclax for six cycles after five weeks of monotherapy titration; </w:t>
      </w:r>
      <w:r w:rsidR="00BE0038" w:rsidRPr="005F2796">
        <w:t xml:space="preserve">and advised that consideration should be given to changing </w:t>
      </w:r>
      <w:r w:rsidRPr="005F2796">
        <w:t xml:space="preserve">the proposed restriction </w:t>
      </w:r>
      <w:r w:rsidR="00BE0038" w:rsidRPr="005F2796">
        <w:t xml:space="preserve">to </w:t>
      </w:r>
      <w:r w:rsidRPr="005F2796">
        <w:t xml:space="preserve">allow </w:t>
      </w:r>
      <w:r w:rsidR="00142F00" w:rsidRPr="005F2796">
        <w:t xml:space="preserve">subsidised access </w:t>
      </w:r>
      <w:r w:rsidRPr="005F2796">
        <w:t>for th</w:t>
      </w:r>
      <w:r w:rsidR="00BE0038" w:rsidRPr="005F2796">
        <w:t xml:space="preserve">ese </w:t>
      </w:r>
      <w:r w:rsidRPr="005F2796">
        <w:t>patients.</w:t>
      </w:r>
      <w:r w:rsidR="00BE3C05" w:rsidRPr="005F2796">
        <w:t xml:space="preserve"> The </w:t>
      </w:r>
      <w:r w:rsidR="003B0FCB">
        <w:t>Pre-PBAC R</w:t>
      </w:r>
      <w:r w:rsidR="00BE3C05" w:rsidRPr="005F2796">
        <w:t>esponse noted the approved TGA indication for venetoclax monotherapy does not support a finite treatment duration.</w:t>
      </w:r>
    </w:p>
    <w:p w:rsidR="003F51F7" w:rsidRPr="005F2796" w:rsidRDefault="003F51F7" w:rsidP="003F51F7">
      <w:pPr>
        <w:pStyle w:val="ListParagraph"/>
        <w:numPr>
          <w:ilvl w:val="1"/>
          <w:numId w:val="2"/>
        </w:numPr>
        <w:spacing w:after="160"/>
        <w:ind w:left="578" w:hanging="578"/>
      </w:pPr>
      <w:r w:rsidRPr="005F2796">
        <w:t>The submission did not propose a grandfathering restriction. However, the submission requested</w:t>
      </w:r>
      <w:r w:rsidR="004B0D0D" w:rsidRPr="005F2796">
        <w:t>,</w:t>
      </w:r>
      <w:r w:rsidRPr="005F2796">
        <w:t xml:space="preserve"> should there be an early access program for venetoclax </w:t>
      </w:r>
      <w:r w:rsidR="00BE0038" w:rsidRPr="005F2796">
        <w:t xml:space="preserve">following </w:t>
      </w:r>
      <w:r w:rsidRPr="005F2796">
        <w:t xml:space="preserve">TGA approval, that eligible patients are grandfathered across to PBS funded venetoclax. The ESC advised </w:t>
      </w:r>
      <w:r w:rsidR="00BE0038" w:rsidRPr="005F2796">
        <w:t xml:space="preserve">that the early access program should accord with the proposed PBS restriction rather than the TGA approval and that </w:t>
      </w:r>
      <w:r w:rsidRPr="005F2796">
        <w:t xml:space="preserve">a grandfathering restriction </w:t>
      </w:r>
      <w:r w:rsidR="00BE0038" w:rsidRPr="005F2796">
        <w:t>c</w:t>
      </w:r>
      <w:r w:rsidRPr="005F2796">
        <w:t xml:space="preserve">ould </w:t>
      </w:r>
      <w:r w:rsidR="00BE0038" w:rsidRPr="005F2796">
        <w:t xml:space="preserve">then </w:t>
      </w:r>
      <w:r w:rsidRPr="005F2796">
        <w:t>be proposed by the sponsor.</w:t>
      </w:r>
    </w:p>
    <w:p w:rsidR="00BE3C05" w:rsidRPr="005F2796" w:rsidRDefault="00B130E6" w:rsidP="00611392">
      <w:pPr>
        <w:pStyle w:val="ListParagraph"/>
        <w:numPr>
          <w:ilvl w:val="1"/>
          <w:numId w:val="2"/>
        </w:numPr>
        <w:spacing w:after="160"/>
        <w:ind w:left="578" w:hanging="578"/>
      </w:pPr>
      <w:r>
        <w:lastRenderedPageBreak/>
        <w:t>The Pre-PBAC R</w:t>
      </w:r>
      <w:r w:rsidR="00945A63" w:rsidRPr="005F2796">
        <w:t>esponse proposed the following amended wording for the restriction to prevent sequential use of venetoclax plus rituximab and ibrutinib, if the submission was recommended for use in second-line only:</w:t>
      </w:r>
    </w:p>
    <w:p w:rsidR="00297B1D" w:rsidRPr="005F2796" w:rsidRDefault="00297B1D" w:rsidP="00475841">
      <w:pPr>
        <w:pStyle w:val="ListParagraph"/>
        <w:spacing w:after="160"/>
        <w:ind w:left="1134"/>
        <w:rPr>
          <w:rFonts w:ascii="Arial Narrow" w:hAnsi="Arial Narrow"/>
          <w:sz w:val="22"/>
        </w:rPr>
      </w:pPr>
      <w:r w:rsidRPr="005F2796">
        <w:rPr>
          <w:rFonts w:ascii="Arial Narrow" w:hAnsi="Arial Narrow"/>
          <w:sz w:val="22"/>
        </w:rPr>
        <w:t>Patient must not have received prior treatment with ibrutinib; OR</w:t>
      </w:r>
    </w:p>
    <w:p w:rsidR="00297B1D" w:rsidRPr="005F2796" w:rsidRDefault="00297B1D" w:rsidP="00475841">
      <w:pPr>
        <w:pStyle w:val="ListParagraph"/>
        <w:spacing w:after="160"/>
        <w:ind w:left="1134"/>
        <w:rPr>
          <w:rFonts w:ascii="Arial Narrow" w:hAnsi="Arial Narrow"/>
          <w:sz w:val="22"/>
        </w:rPr>
      </w:pPr>
      <w:r w:rsidRPr="005F2796">
        <w:rPr>
          <w:rFonts w:ascii="Arial Narrow" w:hAnsi="Arial Narrow"/>
          <w:sz w:val="22"/>
        </w:rPr>
        <w:t>Patient must have developed intolerance to ibrutinib of a severity necessitating permanent treatment withdrawal.</w:t>
      </w:r>
    </w:p>
    <w:p w:rsidR="00945A63" w:rsidRPr="005F2796" w:rsidRDefault="00945A63" w:rsidP="00475841">
      <w:pPr>
        <w:spacing w:after="160"/>
        <w:ind w:left="567" w:hanging="567"/>
        <w:rPr>
          <w:rFonts w:cstheme="minorHAnsi"/>
          <w:szCs w:val="24"/>
        </w:rPr>
      </w:pPr>
      <w:r w:rsidRPr="005F2796">
        <w:rPr>
          <w:rFonts w:ascii="Arial Narrow" w:hAnsi="Arial Narrow"/>
          <w:sz w:val="22"/>
        </w:rPr>
        <w:tab/>
      </w:r>
      <w:r w:rsidRPr="005F2796">
        <w:rPr>
          <w:rFonts w:cstheme="minorHAnsi"/>
          <w:szCs w:val="24"/>
        </w:rPr>
        <w:t xml:space="preserve">The PBAC did not agree with this proposal and considered that sequential use </w:t>
      </w:r>
      <w:r w:rsidR="00E0463A">
        <w:rPr>
          <w:rFonts w:cstheme="minorHAnsi"/>
          <w:szCs w:val="24"/>
        </w:rPr>
        <w:t>is likely to</w:t>
      </w:r>
      <w:r w:rsidRPr="005F2796">
        <w:rPr>
          <w:rFonts w:cstheme="minorHAnsi"/>
          <w:szCs w:val="24"/>
        </w:rPr>
        <w:t xml:space="preserve"> be clinically appropriate.</w:t>
      </w:r>
    </w:p>
    <w:p w:rsidR="00611392" w:rsidRPr="005F2796" w:rsidRDefault="00611392" w:rsidP="00611392">
      <w:pPr>
        <w:spacing w:after="160"/>
        <w:rPr>
          <w:i/>
        </w:rPr>
      </w:pPr>
      <w:r w:rsidRPr="005F2796">
        <w:rPr>
          <w:i/>
        </w:rPr>
        <w:t>For more detail on the PBAC’s view, see Section 7 PBAC Outcome.</w:t>
      </w:r>
    </w:p>
    <w:p w:rsidR="00A57383" w:rsidRPr="005F2796" w:rsidRDefault="00A57383" w:rsidP="00FF0E71">
      <w:pPr>
        <w:pStyle w:val="Heading1"/>
        <w:spacing w:before="0" w:after="160"/>
        <w:ind w:left="567" w:hanging="567"/>
      </w:pPr>
      <w:bookmarkStart w:id="6" w:name="_Toc413139273"/>
      <w:bookmarkStart w:id="7" w:name="_Toc522042666"/>
      <w:bookmarkStart w:id="8" w:name="_Toc524621092"/>
      <w:r w:rsidRPr="005F2796">
        <w:t>Background</w:t>
      </w:r>
      <w:bookmarkEnd w:id="6"/>
      <w:bookmarkEnd w:id="7"/>
      <w:bookmarkEnd w:id="8"/>
    </w:p>
    <w:p w:rsidR="00A57383" w:rsidRPr="005F2796" w:rsidRDefault="00A57383" w:rsidP="003A595A">
      <w:pPr>
        <w:pStyle w:val="Heading2"/>
        <w:spacing w:before="0" w:after="160"/>
      </w:pPr>
      <w:bookmarkStart w:id="9" w:name="_Toc522042667"/>
      <w:bookmarkStart w:id="10" w:name="_Toc524621093"/>
      <w:r w:rsidRPr="005F2796">
        <w:t>Registration status</w:t>
      </w:r>
      <w:bookmarkEnd w:id="9"/>
      <w:bookmarkEnd w:id="10"/>
    </w:p>
    <w:p w:rsidR="00A57383" w:rsidRPr="005F2796" w:rsidRDefault="00A57383" w:rsidP="009F7D05">
      <w:pPr>
        <w:pStyle w:val="ListParagraph"/>
        <w:numPr>
          <w:ilvl w:val="1"/>
          <w:numId w:val="2"/>
        </w:numPr>
      </w:pPr>
      <w:r w:rsidRPr="005F2796">
        <w:t>Venetoclax for use as monotherapy was registered on the ARTG on 5 January 2017 for:</w:t>
      </w:r>
    </w:p>
    <w:p w:rsidR="00A57383" w:rsidRPr="005F2796" w:rsidRDefault="00A57383" w:rsidP="00A57383">
      <w:pPr>
        <w:pStyle w:val="ListParagraph"/>
        <w:numPr>
          <w:ilvl w:val="0"/>
          <w:numId w:val="21"/>
        </w:numPr>
      </w:pPr>
      <w:r w:rsidRPr="005F2796">
        <w:t>treatment of patients with relapsed or refractory chronic lymphocytic leukaemia (CLL) with 17p deletion, or</w:t>
      </w:r>
    </w:p>
    <w:p w:rsidR="00A57383" w:rsidRPr="005F2796" w:rsidRDefault="00A57383" w:rsidP="003A595A">
      <w:pPr>
        <w:numPr>
          <w:ilvl w:val="0"/>
          <w:numId w:val="21"/>
        </w:numPr>
        <w:spacing w:after="160"/>
        <w:ind w:left="1077" w:hanging="357"/>
      </w:pPr>
      <w:r w:rsidRPr="005F2796">
        <w:t xml:space="preserve">treatment of patients with relapsed or refractory CLL for whom there are no other suitable treatment options. </w:t>
      </w:r>
    </w:p>
    <w:p w:rsidR="00A57383" w:rsidRPr="005F2796" w:rsidRDefault="00A57383" w:rsidP="000E38D2">
      <w:pPr>
        <w:spacing w:after="160"/>
        <w:ind w:left="1077"/>
      </w:pPr>
      <w:r w:rsidRPr="005F2796">
        <w:t>Note to indications. The indications are approved based on overall response rates. Duration of response and improvements in overall survival, progression-free survival or health-related quality of life have not been established.</w:t>
      </w:r>
    </w:p>
    <w:p w:rsidR="00A57383" w:rsidRPr="005F2796" w:rsidRDefault="00A57383" w:rsidP="008D1E4E">
      <w:pPr>
        <w:pStyle w:val="ListParagraph"/>
        <w:numPr>
          <w:ilvl w:val="1"/>
          <w:numId w:val="2"/>
        </w:numPr>
        <w:spacing w:after="160"/>
      </w:pPr>
      <w:r w:rsidRPr="005F2796">
        <w:t xml:space="preserve">Venetoclax plus rituximab was submitted under the parallel TGA/PBAC process. At the time of the evaluation, the TGA Round 1 clinical evaluation was available. </w:t>
      </w:r>
      <w:r w:rsidR="008D1E4E" w:rsidRPr="005F2796">
        <w:t xml:space="preserve">The TGA round 2 (final) clinical evaluation became available in September 2018. </w:t>
      </w:r>
      <w:r w:rsidR="00CA7F60" w:rsidRPr="005F2796">
        <w:t>On 31 October 2018</w:t>
      </w:r>
      <w:r w:rsidR="008D1E4E" w:rsidRPr="005F2796">
        <w:t xml:space="preserve"> </w:t>
      </w:r>
      <w:r w:rsidR="005D7A49" w:rsidRPr="005F2796">
        <w:t>venetoclax in combination with rituximab was added to the ARTG for</w:t>
      </w:r>
      <w:r w:rsidRPr="005F2796">
        <w:t xml:space="preserve">: </w:t>
      </w:r>
    </w:p>
    <w:p w:rsidR="00A57383" w:rsidRPr="005F2796" w:rsidRDefault="00A57383" w:rsidP="000E38D2">
      <w:pPr>
        <w:numPr>
          <w:ilvl w:val="0"/>
          <w:numId w:val="21"/>
        </w:numPr>
        <w:spacing w:after="160"/>
      </w:pPr>
      <w:r w:rsidRPr="005F2796">
        <w:t>treatment of adult patients with chronic lymphocytic leukaemia (CLL) who have received at least one prior therapy.</w:t>
      </w:r>
    </w:p>
    <w:p w:rsidR="000E38D2" w:rsidRPr="005F2796" w:rsidRDefault="008D1E4E" w:rsidP="008D1E4E">
      <w:pPr>
        <w:pStyle w:val="ListParagraph"/>
        <w:numPr>
          <w:ilvl w:val="1"/>
          <w:numId w:val="2"/>
        </w:numPr>
        <w:spacing w:after="160"/>
      </w:pPr>
      <w:r w:rsidRPr="005F2796">
        <w:t xml:space="preserve">The </w:t>
      </w:r>
      <w:r w:rsidR="00BE0038" w:rsidRPr="005F2796">
        <w:t xml:space="preserve">associated streamlined codependent </w:t>
      </w:r>
      <w:r w:rsidRPr="005F2796">
        <w:t xml:space="preserve">submission to MSAC to request addition of venetoclax to MBS </w:t>
      </w:r>
      <w:r w:rsidR="007A621D" w:rsidRPr="005F2796">
        <w:t xml:space="preserve">item </w:t>
      </w:r>
      <w:r w:rsidRPr="005F2796">
        <w:t xml:space="preserve">number 73343, which currently funds 17p-deletion testing for ibrutinib and idelalisib in relapsed or chronic lymphocytic leukaemia via fluorescence in situ hybridisation (FISH), </w:t>
      </w:r>
      <w:r w:rsidR="005D7A49" w:rsidRPr="005F2796">
        <w:t>wa</w:t>
      </w:r>
      <w:r w:rsidR="007A621D" w:rsidRPr="005F2796">
        <w:t xml:space="preserve">s scheduled to </w:t>
      </w:r>
      <w:r w:rsidRPr="005F2796">
        <w:t>be considered at the 22-23 November 2018 MSAC meeting.</w:t>
      </w:r>
    </w:p>
    <w:p w:rsidR="00A57383" w:rsidRPr="005F2796" w:rsidRDefault="00A57383" w:rsidP="003A595A">
      <w:pPr>
        <w:pStyle w:val="Heading1"/>
        <w:spacing w:before="0" w:after="160"/>
        <w:ind w:left="709" w:hanging="709"/>
      </w:pPr>
      <w:bookmarkStart w:id="11" w:name="_Toc522042668"/>
      <w:bookmarkStart w:id="12" w:name="_Toc524621094"/>
      <w:r w:rsidRPr="005F2796">
        <w:t>Population and disease</w:t>
      </w:r>
      <w:bookmarkEnd w:id="11"/>
      <w:bookmarkEnd w:id="12"/>
    </w:p>
    <w:p w:rsidR="00A57383" w:rsidRPr="005F2796" w:rsidRDefault="00A57383" w:rsidP="000E38D2">
      <w:pPr>
        <w:pStyle w:val="ListParagraph"/>
        <w:numPr>
          <w:ilvl w:val="1"/>
          <w:numId w:val="2"/>
        </w:numPr>
        <w:spacing w:after="160"/>
      </w:pPr>
      <w:r w:rsidRPr="005F2796">
        <w:t xml:space="preserve">Chronic lymphocytic leukaemia (CLL) is the most common form of leukaemia and is characterised by the proliferation and accumulation of B-lymphocytes in the blood, bone marrow, lymph nodes, and spleen. Typical symptoms associated with CLL include swollen lymph nodes, pain, anaemia, infections, increased or unexplained bleeding/bruising, excessive nocturnal sweating and unintentional weight loss. The </w:t>
      </w:r>
      <w:r w:rsidRPr="005F2796">
        <w:lastRenderedPageBreak/>
        <w:t>disease is more common in men than women (65% versus 35%), with a mean age at diagnosis in Australia of 70 years (males 68.8 years, females 71.2 years).</w:t>
      </w:r>
    </w:p>
    <w:p w:rsidR="00A57383" w:rsidRPr="005F2796" w:rsidRDefault="00A57383" w:rsidP="000E38D2">
      <w:pPr>
        <w:pStyle w:val="ListParagraph"/>
        <w:numPr>
          <w:ilvl w:val="1"/>
          <w:numId w:val="2"/>
        </w:numPr>
        <w:spacing w:after="160"/>
      </w:pPr>
      <w:r w:rsidRPr="005F2796">
        <w:t xml:space="preserve">CLL is generally a slowly progressing cancer, with many patients managed with watchful waiting until symptoms develop, </w:t>
      </w:r>
      <w:r w:rsidR="001C0297" w:rsidRPr="005F2796">
        <w:t xml:space="preserve">and </w:t>
      </w:r>
      <w:r w:rsidRPr="005F2796">
        <w:t>a proportion of patients never requiring treatment. Treatment is typically non-curative, with patients potentially receiving multiple lines of therapy as their disease becomes relapsed/refractory to their current treatment.</w:t>
      </w:r>
    </w:p>
    <w:p w:rsidR="00A57383" w:rsidRPr="005F2796" w:rsidRDefault="00A57383" w:rsidP="000E38D2">
      <w:pPr>
        <w:pStyle w:val="ListParagraph"/>
        <w:numPr>
          <w:ilvl w:val="1"/>
          <w:numId w:val="2"/>
        </w:numPr>
        <w:spacing w:after="160"/>
      </w:pPr>
      <w:r w:rsidRPr="005F2796">
        <w:t>The submission positioned venetoclax as a second-line treatment option in patients with relapsed/refractory CLL who are considered unsuitable for treatment or retreatment with a purine analogue.</w:t>
      </w:r>
    </w:p>
    <w:p w:rsidR="00BC1F44" w:rsidRPr="005F2796" w:rsidRDefault="00BC1F44" w:rsidP="00BC1F44">
      <w:pPr>
        <w:spacing w:after="160"/>
        <w:rPr>
          <w:i/>
        </w:rPr>
      </w:pPr>
      <w:r w:rsidRPr="005F2796">
        <w:rPr>
          <w:i/>
        </w:rPr>
        <w:t>For more detail on the PBAC’s view, see Section 7 PBAC Outcome.</w:t>
      </w:r>
    </w:p>
    <w:p w:rsidR="00A57383" w:rsidRPr="005F2796" w:rsidRDefault="00A57383" w:rsidP="00A57383">
      <w:pPr>
        <w:pStyle w:val="Heading1"/>
        <w:spacing w:before="0" w:after="0"/>
        <w:ind w:left="709" w:hanging="709"/>
      </w:pPr>
      <w:bookmarkStart w:id="13" w:name="_Toc413139275"/>
      <w:bookmarkStart w:id="14" w:name="_Toc522042669"/>
      <w:bookmarkStart w:id="15" w:name="_Toc524621095"/>
      <w:r w:rsidRPr="005F2796">
        <w:t>Comparator</w:t>
      </w:r>
      <w:bookmarkEnd w:id="13"/>
      <w:bookmarkEnd w:id="14"/>
      <w:bookmarkEnd w:id="15"/>
    </w:p>
    <w:p w:rsidR="00A57383" w:rsidRPr="00DC712B" w:rsidRDefault="00A57383" w:rsidP="00C5723E">
      <w:pPr>
        <w:pStyle w:val="ListParagraph"/>
        <w:numPr>
          <w:ilvl w:val="1"/>
          <w:numId w:val="2"/>
        </w:numPr>
        <w:spacing w:before="120" w:after="160"/>
        <w:ind w:left="578" w:hanging="578"/>
      </w:pPr>
      <w:r w:rsidRPr="005F2796">
        <w:t>The submission nominated ibrutinib monotherapy as the main comparator.</w:t>
      </w:r>
      <w:r w:rsidR="00B4725C" w:rsidRPr="005F2796">
        <w:t xml:space="preserve"> The </w:t>
      </w:r>
      <w:r w:rsidR="00F76A55" w:rsidRPr="005F2796">
        <w:t>PBA</w:t>
      </w:r>
      <w:r w:rsidR="00B4725C" w:rsidRPr="005F2796">
        <w:t xml:space="preserve">C agreed </w:t>
      </w:r>
      <w:r w:rsidR="00514A39" w:rsidRPr="005F2796">
        <w:t xml:space="preserve">with the submission </w:t>
      </w:r>
      <w:r w:rsidR="00B4725C" w:rsidRPr="005F2796">
        <w:t xml:space="preserve">that ibrutinib is </w:t>
      </w:r>
      <w:r w:rsidR="004E60AC" w:rsidRPr="005F2796">
        <w:t>an</w:t>
      </w:r>
      <w:r w:rsidR="00B4725C" w:rsidRPr="005F2796">
        <w:t xml:space="preserve"> appropriate comparator. There </w:t>
      </w:r>
      <w:r w:rsidR="00514A39" w:rsidRPr="005F2796">
        <w:t>remained</w:t>
      </w:r>
      <w:r w:rsidR="00B4725C" w:rsidRPr="005F2796">
        <w:t xml:space="preserve"> significant </w:t>
      </w:r>
      <w:r w:rsidR="00F32114" w:rsidRPr="005F2796">
        <w:t>uncertainty</w:t>
      </w:r>
      <w:r w:rsidR="00F76A55" w:rsidRPr="005F2796">
        <w:t>,</w:t>
      </w:r>
      <w:r w:rsidR="00B4725C" w:rsidRPr="005F2796">
        <w:t xml:space="preserve"> however</w:t>
      </w:r>
      <w:r w:rsidR="00C5723E" w:rsidRPr="005F2796">
        <w:t>,</w:t>
      </w:r>
      <w:r w:rsidR="00B4725C" w:rsidRPr="005F2796">
        <w:t xml:space="preserve"> as to</w:t>
      </w:r>
      <w:r w:rsidR="00C5723E" w:rsidRPr="005F2796">
        <w:t xml:space="preserve"> the</w:t>
      </w:r>
      <w:r w:rsidR="00B4725C" w:rsidRPr="005F2796">
        <w:t xml:space="preserve"> extent that ibrutinib w</w:t>
      </w:r>
      <w:r w:rsidR="007A621D" w:rsidRPr="005F2796">
        <w:t>ould</w:t>
      </w:r>
      <w:r w:rsidR="00B4725C" w:rsidRPr="005F2796">
        <w:t xml:space="preserve"> be replaced by </w:t>
      </w:r>
      <w:r w:rsidR="00514A39" w:rsidRPr="005F2796">
        <w:t>venetoclax plus rituximab</w:t>
      </w:r>
      <w:r w:rsidR="00B4725C" w:rsidRPr="005F2796">
        <w:t>, and potential for sequential use rather than substitution.</w:t>
      </w:r>
      <w:r w:rsidR="00514A39" w:rsidRPr="005F2796">
        <w:t xml:space="preserve"> The </w:t>
      </w:r>
      <w:r w:rsidR="00F76A55" w:rsidRPr="005F2796">
        <w:t xml:space="preserve">PBAC </w:t>
      </w:r>
      <w:r w:rsidR="00514A39" w:rsidRPr="005F2796">
        <w:t xml:space="preserve">considered it would not be appropriate to limit </w:t>
      </w:r>
      <w:r w:rsidR="002E023E" w:rsidRPr="005F2796">
        <w:t>sequential therapy, particularly as the treatment pathway is still evolving and there was recently published evidence in the Lancet Oncology</w:t>
      </w:r>
      <w:r w:rsidR="002E023E" w:rsidRPr="005F2796">
        <w:rPr>
          <w:rStyle w:val="FootnoteReference"/>
        </w:rPr>
        <w:footnoteReference w:id="1"/>
      </w:r>
      <w:r w:rsidR="002E023E" w:rsidRPr="005F2796">
        <w:t xml:space="preserve"> of durable </w:t>
      </w:r>
      <w:r w:rsidR="008D6599" w:rsidRPr="005F2796">
        <w:t>clinical activity</w:t>
      </w:r>
      <w:r w:rsidR="002E023E" w:rsidRPr="005F2796">
        <w:t xml:space="preserve"> and </w:t>
      </w:r>
      <w:r w:rsidR="008D6599" w:rsidRPr="005F2796">
        <w:t xml:space="preserve">favourable </w:t>
      </w:r>
      <w:r w:rsidR="002E023E" w:rsidRPr="00F479FE">
        <w:t>tolerability of venetoclax use subsequent to ibrutinib</w:t>
      </w:r>
      <w:r w:rsidR="007A621D" w:rsidRPr="00F479FE">
        <w:t>.</w:t>
      </w:r>
    </w:p>
    <w:p w:rsidR="009030E2" w:rsidRPr="005F2796" w:rsidRDefault="00A57383" w:rsidP="004B0D0D">
      <w:pPr>
        <w:pStyle w:val="ListParagraph"/>
        <w:numPr>
          <w:ilvl w:val="1"/>
          <w:numId w:val="2"/>
        </w:numPr>
        <w:spacing w:before="120" w:after="160"/>
        <w:ind w:left="578" w:hanging="578"/>
      </w:pPr>
      <w:r w:rsidRPr="00DC712B">
        <w:t xml:space="preserve">The submission noted that idelalisib plus rituximab is also PBS-listed for use in patients with relapsed/refractory CLL considered inappropriate for chemoimmunotherapy. However, the submission argued that idelalisib plus rituximab is not a relevant comparator, as available PBS dispensing data suggests that there has been minimal uptake since listing, and expert advice </w:t>
      </w:r>
      <w:r w:rsidRPr="005F2796">
        <w:t>suggests</w:t>
      </w:r>
      <w:r w:rsidRPr="00DC712B">
        <w:t xml:space="preserve"> idelalisib plus rituximab is not being used in the second-line relapsed/refractory CLL setting. </w:t>
      </w:r>
      <w:r w:rsidR="00C5723E" w:rsidRPr="00DC712B">
        <w:t>The evaluation considered i</w:t>
      </w:r>
      <w:r w:rsidR="00081982" w:rsidRPr="00DC712B">
        <w:rPr>
          <w:iCs/>
        </w:rPr>
        <w:t xml:space="preserve">delalisib plus rituximab may be a relevant comparator because its eligible population as defined by its </w:t>
      </w:r>
      <w:r w:rsidR="00081982" w:rsidRPr="00DC712B">
        <w:t>listing overlaps with the requested listing</w:t>
      </w:r>
      <w:r w:rsidR="00081982" w:rsidRPr="00DC712B">
        <w:rPr>
          <w:iCs/>
        </w:rPr>
        <w:t xml:space="preserve"> for venetoclax plus rituximab. Therefore, in the context of the cost-minimisation approach taken by the submission, </w:t>
      </w:r>
      <w:r w:rsidR="00081982" w:rsidRPr="005F2796">
        <w:rPr>
          <w:iCs/>
        </w:rPr>
        <w:t xml:space="preserve">a further consideration for PBAC is that, under Section 101(3B) of the </w:t>
      </w:r>
      <w:r w:rsidR="00081982" w:rsidRPr="00F479FE">
        <w:rPr>
          <w:i/>
          <w:iCs/>
        </w:rPr>
        <w:t>National Health Act 1953</w:t>
      </w:r>
      <w:r w:rsidR="00081982" w:rsidRPr="00F479FE">
        <w:rPr>
          <w:iCs/>
        </w:rPr>
        <w:t>, when the proposed medicine is substantially more costly than an alternative therapy, the committee cannot make a positive recommendation unless it is satisfied that, for some</w:t>
      </w:r>
      <w:r w:rsidR="00081982" w:rsidRPr="005F2796">
        <w:rPr>
          <w:iCs/>
        </w:rPr>
        <w:t xml:space="preserve"> patients, the proposed medicine provides a significant improvement in efficacy and/or reduction of toxicity over the alternative therapy. If the committee is so satisfied, it must make a statement to this effect.</w:t>
      </w:r>
      <w:r w:rsidR="000E38D2" w:rsidRPr="005F2796">
        <w:t xml:space="preserve"> </w:t>
      </w:r>
      <w:r w:rsidR="00B4725C" w:rsidRPr="005F2796">
        <w:t xml:space="preserve">The </w:t>
      </w:r>
      <w:r w:rsidR="00031E3A" w:rsidRPr="005F2796">
        <w:t xml:space="preserve">ESC noted that </w:t>
      </w:r>
      <w:r w:rsidR="00EE6E0D" w:rsidRPr="005F2796">
        <w:t>the submission did not compare the efficacy or toxicity of venetoclax plus rituximab versus idelalisib plus rituximab to help PBAC address Section 101(3B).</w:t>
      </w:r>
      <w:r w:rsidR="00CC1BFE" w:rsidRPr="005F2796">
        <w:t xml:space="preserve"> However, the PBAC considered </w:t>
      </w:r>
      <w:r w:rsidR="00CC1BFE" w:rsidRPr="005F2796">
        <w:lastRenderedPageBreak/>
        <w:t>the time limited course of venetoclax plus rituximab was likely to be a less toxic regimen than idelalisib plus rituximab, given reported fatal adverse events with idelalisib and the TGA boxed warning regarding risk of infection.</w:t>
      </w:r>
    </w:p>
    <w:p w:rsidR="009030E2" w:rsidRPr="005F2796" w:rsidRDefault="009030E2" w:rsidP="00ED794D">
      <w:pPr>
        <w:pStyle w:val="ListParagraph"/>
        <w:numPr>
          <w:ilvl w:val="1"/>
          <w:numId w:val="2"/>
        </w:numPr>
      </w:pPr>
      <w:r w:rsidRPr="005F2796">
        <w:t xml:space="preserve">The PBAC </w:t>
      </w:r>
      <w:r w:rsidR="00ED794D" w:rsidRPr="005F2796">
        <w:t>not</w:t>
      </w:r>
      <w:r w:rsidRPr="005F2796">
        <w:t xml:space="preserve">ed the phase III randomised controlled trial data presented in this submission (MURANO) showed venetoclax plus rituximab was </w:t>
      </w:r>
      <w:r w:rsidR="00CC1BFE" w:rsidRPr="005F2796">
        <w:t>more effective than</w:t>
      </w:r>
      <w:r w:rsidRPr="005F2796">
        <w:t xml:space="preserve"> bendamustine plus rituximab</w:t>
      </w:r>
      <w:r w:rsidR="00CE6176" w:rsidRPr="005F2796">
        <w:t xml:space="preserve">, which included </w:t>
      </w:r>
      <w:r w:rsidR="00445E9A" w:rsidRPr="005F2796">
        <w:t>approximately one third of patients</w:t>
      </w:r>
      <w:r w:rsidR="00CE6176" w:rsidRPr="005F2796">
        <w:t xml:space="preserve"> </w:t>
      </w:r>
      <w:r w:rsidR="004B0D0D" w:rsidRPr="005F2796">
        <w:t xml:space="preserve">in </w:t>
      </w:r>
      <w:r w:rsidR="00CE6176" w:rsidRPr="005F2796">
        <w:t xml:space="preserve">the comparator arm receiving </w:t>
      </w:r>
      <w:r w:rsidR="00445E9A" w:rsidRPr="005F2796">
        <w:t>either ibrutinib or idelalisib</w:t>
      </w:r>
      <w:r w:rsidR="00CE6176" w:rsidRPr="005F2796">
        <w:t xml:space="preserve"> </w:t>
      </w:r>
      <w:r w:rsidR="00104B77" w:rsidRPr="005F2796">
        <w:t xml:space="preserve">after </w:t>
      </w:r>
      <w:r w:rsidR="00CE6176" w:rsidRPr="005F2796">
        <w:t>disease</w:t>
      </w:r>
      <w:r w:rsidR="00104B77" w:rsidRPr="005F2796">
        <w:t xml:space="preserve"> progression</w:t>
      </w:r>
      <w:r w:rsidRPr="005F2796">
        <w:t>.</w:t>
      </w:r>
      <w:r w:rsidR="00ED794D" w:rsidRPr="005F2796">
        <w:t xml:space="preserve"> </w:t>
      </w:r>
    </w:p>
    <w:p w:rsidR="00031E3A" w:rsidRPr="00DC712B" w:rsidRDefault="00031E3A" w:rsidP="00031E3A">
      <w:pPr>
        <w:rPr>
          <w:szCs w:val="24"/>
        </w:rPr>
      </w:pPr>
    </w:p>
    <w:p w:rsidR="00BC1F44" w:rsidRPr="00DC712B" w:rsidRDefault="00C5723E" w:rsidP="00E30FC6">
      <w:pPr>
        <w:pStyle w:val="ListParagraph"/>
        <w:numPr>
          <w:ilvl w:val="1"/>
          <w:numId w:val="2"/>
        </w:numPr>
        <w:spacing w:after="160"/>
        <w:ind w:left="578" w:hanging="578"/>
        <w:rPr>
          <w:szCs w:val="24"/>
        </w:rPr>
      </w:pPr>
      <w:r w:rsidRPr="00DC712B">
        <w:t>The evaluation considered v</w:t>
      </w:r>
      <w:r w:rsidR="00A57383" w:rsidRPr="00DC712B">
        <w:t xml:space="preserve">enetoclax monotherapy may also be an appropriate comparator. Venetoclax received positive recommendations at the July and November 2017 PBAC meetings for the treatment of relapsed or refractory </w:t>
      </w:r>
      <w:r w:rsidR="00963186" w:rsidRPr="00DC712B">
        <w:t>CLL</w:t>
      </w:r>
      <w:r w:rsidR="00A57383" w:rsidRPr="00DC712B">
        <w:t xml:space="preserve"> in patients who have failed </w:t>
      </w:r>
      <w:r w:rsidR="001C0297" w:rsidRPr="00DC712B">
        <w:t xml:space="preserve">treatment with </w:t>
      </w:r>
      <w:r w:rsidR="00A57383" w:rsidRPr="00DC712B">
        <w:t xml:space="preserve">a kinase inhibitor. </w:t>
      </w:r>
      <w:r w:rsidR="00514A39" w:rsidRPr="00DC712B">
        <w:t xml:space="preserve">The ESC </w:t>
      </w:r>
      <w:r w:rsidR="00076DB3" w:rsidRPr="00DC712B">
        <w:t xml:space="preserve">noted </w:t>
      </w:r>
      <w:r w:rsidR="007A621D" w:rsidRPr="00DC712B">
        <w:t xml:space="preserve">that </w:t>
      </w:r>
      <w:r w:rsidR="00514A39" w:rsidRPr="00DC712B">
        <w:t xml:space="preserve">there is no head to head comparison of venetoclax monotherapy vs venetoclax </w:t>
      </w:r>
      <w:r w:rsidR="00076DB3" w:rsidRPr="00DC712B">
        <w:t>plus</w:t>
      </w:r>
      <w:r w:rsidR="00514A39" w:rsidRPr="00DC712B">
        <w:t xml:space="preserve"> rituximab. However venetoclax monotherapy </w:t>
      </w:r>
      <w:r w:rsidR="00076DB3" w:rsidRPr="00DC712B">
        <w:t>was</w:t>
      </w:r>
      <w:r w:rsidR="00514A39" w:rsidRPr="00DC712B">
        <w:t xml:space="preserve"> still not listed on the PBS despite a positive PBAC recommendation, and was cost minimised to idelalisib </w:t>
      </w:r>
      <w:r w:rsidR="00076DB3" w:rsidRPr="00DC712B">
        <w:t>plus</w:t>
      </w:r>
      <w:r w:rsidR="00514A39" w:rsidRPr="00DC712B">
        <w:t xml:space="preserve"> rituximab, rather than </w:t>
      </w:r>
      <w:r w:rsidR="007A621D" w:rsidRPr="00DC712B">
        <w:t xml:space="preserve">to </w:t>
      </w:r>
      <w:r w:rsidR="00514A39" w:rsidRPr="00DC712B">
        <w:t xml:space="preserve">ibrutinib. </w:t>
      </w:r>
      <w:r w:rsidR="007C34B6" w:rsidRPr="00DC712B">
        <w:t>The ESC noted that</w:t>
      </w:r>
      <w:r w:rsidR="00F66FAA" w:rsidRPr="00DC712B">
        <w:t>,</w:t>
      </w:r>
      <w:r w:rsidR="00493A2F" w:rsidRPr="005F2796">
        <w:t xml:space="preserve"> </w:t>
      </w:r>
      <w:r w:rsidR="00F66FAA" w:rsidRPr="005F2796">
        <w:t xml:space="preserve">in </w:t>
      </w:r>
      <w:r w:rsidR="00493A2F" w:rsidRPr="005F2796">
        <w:t>July and Nov 2017, when the PBAC recommended venetoclax monotherapy based on cost-minimisation to idelalisib plus rituximab, the Committee rejected the request to list venetoclax monotherapy as a second-line treatme</w:t>
      </w:r>
      <w:r w:rsidR="00493A2F" w:rsidRPr="00F479FE">
        <w:t>nt option as there was an insufficient basis to justify that venetoclax could substitute for ibrutinib in this population (Venetoclax Public Summary Document, July 2017, p22).</w:t>
      </w:r>
    </w:p>
    <w:p w:rsidR="00BC1F44" w:rsidRPr="005F2796" w:rsidRDefault="00BC1F44" w:rsidP="00BC1F44">
      <w:pPr>
        <w:spacing w:after="160"/>
        <w:rPr>
          <w:i/>
        </w:rPr>
      </w:pPr>
      <w:r w:rsidRPr="005F2796">
        <w:rPr>
          <w:i/>
        </w:rPr>
        <w:t>For more detail on the PBAC’s view, see Section 7 PBAC Outcome.</w:t>
      </w:r>
    </w:p>
    <w:p w:rsidR="00A57383" w:rsidRPr="00F479FE" w:rsidRDefault="00A57383" w:rsidP="003A595A">
      <w:pPr>
        <w:pStyle w:val="Heading1"/>
        <w:spacing w:before="0" w:after="160"/>
        <w:ind w:left="709" w:hanging="709"/>
      </w:pPr>
      <w:bookmarkStart w:id="16" w:name="_Toc413139276"/>
      <w:bookmarkStart w:id="17" w:name="_Toc522042670"/>
      <w:bookmarkStart w:id="18" w:name="_Toc524621096"/>
      <w:r w:rsidRPr="00F479FE">
        <w:t>Consideration of the evidence</w:t>
      </w:r>
      <w:bookmarkEnd w:id="16"/>
      <w:bookmarkEnd w:id="17"/>
      <w:bookmarkEnd w:id="18"/>
    </w:p>
    <w:p w:rsidR="00570652" w:rsidRPr="005F2796" w:rsidRDefault="00570652" w:rsidP="00570652">
      <w:pPr>
        <w:pStyle w:val="Heading2"/>
        <w:spacing w:before="0" w:after="160"/>
      </w:pPr>
      <w:r w:rsidRPr="005F2796">
        <w:t>Sponsor hearing</w:t>
      </w:r>
    </w:p>
    <w:p w:rsidR="003F2BD7" w:rsidRPr="005F2796" w:rsidRDefault="00D21932" w:rsidP="00654BBC">
      <w:pPr>
        <w:pStyle w:val="ListParagraph"/>
        <w:numPr>
          <w:ilvl w:val="1"/>
          <w:numId w:val="2"/>
        </w:numPr>
        <w:spacing w:after="160"/>
      </w:pPr>
      <w:r w:rsidRPr="005F2796">
        <w:t>T</w:t>
      </w:r>
      <w:r w:rsidR="00654BBC" w:rsidRPr="005F2796">
        <w:t xml:space="preserve">he sponsor requested a hearing for this item. </w:t>
      </w:r>
      <w:r w:rsidR="00E30FC6" w:rsidRPr="005F2796">
        <w:t>The clinician presented data from the venetoclax clinical trials and provided information regarding</w:t>
      </w:r>
      <w:r w:rsidR="002C3599" w:rsidRPr="005F2796">
        <w:t xml:space="preserve"> the treatment of CLL</w:t>
      </w:r>
      <w:r w:rsidR="00004345" w:rsidRPr="005F2796">
        <w:t>.</w:t>
      </w:r>
      <w:r w:rsidR="00E30FC6" w:rsidRPr="005F2796">
        <w:t xml:space="preserve"> </w:t>
      </w:r>
      <w:r w:rsidR="003F2BD7" w:rsidRPr="005F2796">
        <w:t>In response to the PBAC’s questions, t</w:t>
      </w:r>
      <w:r w:rsidR="005E735B" w:rsidRPr="005F2796">
        <w:t xml:space="preserve">he clinician stated that it would be preferable to be able to access </w:t>
      </w:r>
      <w:r w:rsidR="00E0463A">
        <w:t xml:space="preserve">both </w:t>
      </w:r>
      <w:r w:rsidR="005E735B" w:rsidRPr="005F2796">
        <w:t xml:space="preserve">venetoclax plus rituximab </w:t>
      </w:r>
      <w:r w:rsidR="00E0463A">
        <w:t>and</w:t>
      </w:r>
      <w:r w:rsidR="005E735B" w:rsidRPr="005F2796">
        <w:t xml:space="preserve"> ibrutinib for use in different patients, and that there would</w:t>
      </w:r>
      <w:r w:rsidR="003F2BD7" w:rsidRPr="005F2796">
        <w:t xml:space="preserve"> likely</w:t>
      </w:r>
      <w:r w:rsidR="005E735B" w:rsidRPr="005F2796">
        <w:t xml:space="preserve"> be some sequential use. It was also noted that idela</w:t>
      </w:r>
      <w:r w:rsidR="00F66FAA" w:rsidRPr="005F2796">
        <w:t>l</w:t>
      </w:r>
      <w:r w:rsidR="005E735B" w:rsidRPr="005F2796">
        <w:t>isib is poorly tolerated and would not be the preferred treatment option after progression on ibrutinib.</w:t>
      </w:r>
    </w:p>
    <w:p w:rsidR="00654BBC" w:rsidRPr="005F2796" w:rsidRDefault="003F2BD7" w:rsidP="00654BBC">
      <w:pPr>
        <w:pStyle w:val="ListParagraph"/>
        <w:numPr>
          <w:ilvl w:val="1"/>
          <w:numId w:val="2"/>
        </w:numPr>
        <w:spacing w:after="160"/>
      </w:pPr>
      <w:bookmarkStart w:id="19" w:name="_Hlk530306063"/>
      <w:r w:rsidRPr="005F2796">
        <w:t>The PBAC considered the hearing was informative for providing context</w:t>
      </w:r>
      <w:r w:rsidR="005E735B" w:rsidRPr="005F2796">
        <w:t xml:space="preserve"> </w:t>
      </w:r>
      <w:r w:rsidRPr="005F2796">
        <w:t>about the clinical place of venetoclax plus rituximab</w:t>
      </w:r>
      <w:bookmarkStart w:id="20" w:name="_Hlk530306091"/>
      <w:r w:rsidRPr="005F2796">
        <w:rPr>
          <w:rFonts w:cs="Arial"/>
          <w:bCs/>
          <w:snapToGrid w:val="0"/>
        </w:rPr>
        <w:t>.</w:t>
      </w:r>
    </w:p>
    <w:bookmarkEnd w:id="19"/>
    <w:bookmarkEnd w:id="20"/>
    <w:p w:rsidR="00654BBC" w:rsidRPr="005F2796" w:rsidRDefault="00654BBC" w:rsidP="00654BBC">
      <w:pPr>
        <w:pStyle w:val="Heading2"/>
        <w:spacing w:before="0" w:after="160"/>
      </w:pPr>
      <w:r w:rsidRPr="005F2796">
        <w:t>Consumer comments</w:t>
      </w:r>
    </w:p>
    <w:p w:rsidR="00570652" w:rsidRPr="005F2796" w:rsidRDefault="0056761E" w:rsidP="00570652">
      <w:pPr>
        <w:pStyle w:val="ListParagraph"/>
        <w:numPr>
          <w:ilvl w:val="1"/>
          <w:numId w:val="2"/>
        </w:numPr>
        <w:spacing w:after="160"/>
      </w:pPr>
      <w:r w:rsidRPr="005F2796">
        <w:t>The PBAC noted and welcom</w:t>
      </w:r>
      <w:r w:rsidR="007E7C05" w:rsidRPr="005F2796">
        <w:t xml:space="preserve">ed the input </w:t>
      </w:r>
      <w:r w:rsidR="00004345" w:rsidRPr="005F2796">
        <w:t>from</w:t>
      </w:r>
      <w:r w:rsidR="000945F4" w:rsidRPr="005F2796">
        <w:t xml:space="preserve"> the individual</w:t>
      </w:r>
      <w:r w:rsidR="003F2BD7" w:rsidRPr="005F2796">
        <w:t xml:space="preserve"> (1)</w:t>
      </w:r>
      <w:r w:rsidR="003F2BD7" w:rsidRPr="005F2796">
        <w:rPr>
          <w:rFonts w:cs="Arial"/>
          <w:bCs/>
          <w:snapToGrid w:val="0"/>
        </w:rPr>
        <w:t xml:space="preserve">, health care professional (1) and organisation (1) </w:t>
      </w:r>
      <w:r w:rsidR="00004345" w:rsidRPr="005F2796">
        <w:t xml:space="preserve">received </w:t>
      </w:r>
      <w:r w:rsidR="007E7C05" w:rsidRPr="005F2796">
        <w:t xml:space="preserve">via the Consumer Comments facility on the PBS website. </w:t>
      </w:r>
      <w:r w:rsidR="000945F4" w:rsidRPr="005F2796">
        <w:rPr>
          <w:rFonts w:cs="Arial"/>
          <w:bCs/>
          <w:snapToGrid w:val="0"/>
        </w:rPr>
        <w:t xml:space="preserve">The comments described benefits of treatment with venetoclax </w:t>
      </w:r>
      <w:r w:rsidR="001B164A" w:rsidRPr="005F2796">
        <w:rPr>
          <w:rFonts w:cs="Arial"/>
          <w:bCs/>
          <w:snapToGrid w:val="0"/>
        </w:rPr>
        <w:t>including</w:t>
      </w:r>
      <w:r w:rsidR="00446CC9" w:rsidRPr="005F2796">
        <w:rPr>
          <w:rFonts w:cs="Arial"/>
          <w:bCs/>
          <w:snapToGrid w:val="0"/>
        </w:rPr>
        <w:t xml:space="preserve"> </w:t>
      </w:r>
      <w:r w:rsidR="000945F4" w:rsidRPr="005F2796">
        <w:rPr>
          <w:rFonts w:cs="Arial"/>
          <w:bCs/>
          <w:snapToGrid w:val="0"/>
        </w:rPr>
        <w:t>the</w:t>
      </w:r>
      <w:r w:rsidR="00446CC9" w:rsidRPr="005F2796">
        <w:rPr>
          <w:rFonts w:cs="Arial"/>
          <w:bCs/>
          <w:snapToGrid w:val="0"/>
        </w:rPr>
        <w:t xml:space="preserve"> option of avoiding fludarabine treatment/re-treatment when not clinically </w:t>
      </w:r>
      <w:r w:rsidR="00446CC9" w:rsidRPr="005F2796">
        <w:rPr>
          <w:rFonts w:cs="Arial"/>
          <w:bCs/>
          <w:snapToGrid w:val="0"/>
        </w:rPr>
        <w:lastRenderedPageBreak/>
        <w:t>appropriate and improvement in</w:t>
      </w:r>
      <w:r w:rsidR="000945F4" w:rsidRPr="005F2796">
        <w:rPr>
          <w:rFonts w:cs="Arial"/>
          <w:bCs/>
          <w:snapToGrid w:val="0"/>
        </w:rPr>
        <w:t xml:space="preserve"> quality of life</w:t>
      </w:r>
      <w:r w:rsidR="00446CC9" w:rsidRPr="005F2796">
        <w:rPr>
          <w:rFonts w:cs="Arial"/>
          <w:bCs/>
          <w:snapToGrid w:val="0"/>
        </w:rPr>
        <w:t xml:space="preserve"> after a loss of response to initial therapies</w:t>
      </w:r>
      <w:r w:rsidR="000945F4" w:rsidRPr="005F2796">
        <w:rPr>
          <w:rFonts w:cs="Arial"/>
          <w:bCs/>
          <w:snapToGrid w:val="0"/>
        </w:rPr>
        <w:t>.</w:t>
      </w:r>
    </w:p>
    <w:p w:rsidR="000945F4" w:rsidRPr="005F2796" w:rsidRDefault="000945F4" w:rsidP="00446CC9">
      <w:pPr>
        <w:pStyle w:val="ListParagraph"/>
        <w:numPr>
          <w:ilvl w:val="1"/>
          <w:numId w:val="2"/>
        </w:numPr>
        <w:spacing w:after="160"/>
      </w:pPr>
      <w:r w:rsidRPr="005F2796">
        <w:rPr>
          <w:rFonts w:cs="Arial"/>
          <w:bCs/>
          <w:snapToGrid w:val="0"/>
        </w:rPr>
        <w:t xml:space="preserve">The PBAC noted the support received from Lymphoma Australia detailing some of the benefits </w:t>
      </w:r>
      <w:r w:rsidR="00446CC9" w:rsidRPr="005F2796">
        <w:rPr>
          <w:rFonts w:cs="Arial"/>
          <w:bCs/>
          <w:snapToGrid w:val="0"/>
        </w:rPr>
        <w:t xml:space="preserve">that could be expected from listing venetoclax for the treatment of CLL, </w:t>
      </w:r>
      <w:r w:rsidRPr="005F2796">
        <w:rPr>
          <w:rFonts w:cs="Arial"/>
          <w:bCs/>
          <w:snapToGrid w:val="0"/>
        </w:rPr>
        <w:t xml:space="preserve">including </w:t>
      </w:r>
      <w:r w:rsidR="00446CC9" w:rsidRPr="005F2796">
        <w:rPr>
          <w:rFonts w:cs="Arial"/>
          <w:bCs/>
          <w:snapToGrid w:val="0"/>
        </w:rPr>
        <w:t>extending the lives of high-risk patients with chromosomal abnormalities or genetic mutations, and improving</w:t>
      </w:r>
      <w:r w:rsidRPr="005F2796">
        <w:rPr>
          <w:rFonts w:cs="Arial"/>
          <w:bCs/>
          <w:snapToGrid w:val="0"/>
        </w:rPr>
        <w:t xml:space="preserve"> quality of life</w:t>
      </w:r>
      <w:r w:rsidR="00446CC9" w:rsidRPr="005F2796">
        <w:rPr>
          <w:rFonts w:cs="Arial"/>
          <w:bCs/>
          <w:snapToGrid w:val="0"/>
        </w:rPr>
        <w:t>.</w:t>
      </w:r>
      <w:r w:rsidRPr="005F2796">
        <w:rPr>
          <w:rFonts w:cs="Arial"/>
          <w:bCs/>
          <w:snapToGrid w:val="0"/>
        </w:rPr>
        <w:t xml:space="preserve"> </w:t>
      </w:r>
      <w:r w:rsidR="007732C0" w:rsidRPr="005F2796">
        <w:rPr>
          <w:rFonts w:cs="Arial"/>
          <w:bCs/>
          <w:snapToGrid w:val="0"/>
        </w:rPr>
        <w:t>The PBAC noted that this advice was supportive of the evidence provided in the submission in comparison to bendamustine plus rituximab (MURANO), although the potential benefits in overall survival and quality of life when compared to ibruti</w:t>
      </w:r>
      <w:r w:rsidR="00475841" w:rsidRPr="005F2796">
        <w:rPr>
          <w:rFonts w:cs="Arial"/>
          <w:bCs/>
          <w:snapToGrid w:val="0"/>
        </w:rPr>
        <w:t>ni</w:t>
      </w:r>
      <w:r w:rsidR="007732C0" w:rsidRPr="005F2796">
        <w:rPr>
          <w:rFonts w:cs="Arial"/>
          <w:bCs/>
          <w:snapToGrid w:val="0"/>
        </w:rPr>
        <w:t>b (the comparator), were not supported.</w:t>
      </w:r>
    </w:p>
    <w:p w:rsidR="00A57383" w:rsidRPr="005F2796" w:rsidRDefault="00A57383" w:rsidP="003A595A">
      <w:pPr>
        <w:pStyle w:val="Heading2"/>
        <w:spacing w:before="0" w:after="160"/>
      </w:pPr>
      <w:bookmarkStart w:id="21" w:name="_Toc413139277"/>
      <w:bookmarkStart w:id="22" w:name="_Toc522042671"/>
      <w:bookmarkStart w:id="23" w:name="_Toc524621097"/>
      <w:r w:rsidRPr="005F2796">
        <w:t>Clinical trials</w:t>
      </w:r>
      <w:bookmarkEnd w:id="21"/>
      <w:bookmarkEnd w:id="22"/>
      <w:bookmarkEnd w:id="23"/>
    </w:p>
    <w:p w:rsidR="00494ABD" w:rsidRPr="005F2796" w:rsidRDefault="00A57383" w:rsidP="000E38D2">
      <w:pPr>
        <w:pStyle w:val="ListParagraph"/>
        <w:numPr>
          <w:ilvl w:val="1"/>
          <w:numId w:val="2"/>
        </w:numPr>
        <w:spacing w:after="160"/>
      </w:pPr>
      <w:r w:rsidRPr="005F2796">
        <w:t>No head-to-head trials comparing venetoclax plus rituximab to ibrutinib were identified.</w:t>
      </w:r>
    </w:p>
    <w:p w:rsidR="00A57383" w:rsidRPr="005F2796" w:rsidRDefault="00A57383" w:rsidP="000E38D2">
      <w:pPr>
        <w:pStyle w:val="ListParagraph"/>
        <w:numPr>
          <w:ilvl w:val="1"/>
          <w:numId w:val="2"/>
        </w:numPr>
        <w:spacing w:after="160"/>
      </w:pPr>
      <w:r w:rsidRPr="005F2796">
        <w:t xml:space="preserve">The </w:t>
      </w:r>
      <w:r w:rsidR="005D0202" w:rsidRPr="005F2796">
        <w:t xml:space="preserve">effectiveness </w:t>
      </w:r>
      <w:r w:rsidRPr="005F2796">
        <w:t xml:space="preserve">claim </w:t>
      </w:r>
      <w:r w:rsidR="002F0E8F" w:rsidRPr="005F2796">
        <w:t xml:space="preserve">was </w:t>
      </w:r>
      <w:r w:rsidRPr="005F2796">
        <w:t xml:space="preserve">based on </w:t>
      </w:r>
      <w:r w:rsidR="0085627E" w:rsidRPr="005F2796">
        <w:t xml:space="preserve">a multiple step </w:t>
      </w:r>
      <w:r w:rsidRPr="005F2796">
        <w:t>indirect comparison</w:t>
      </w:r>
      <w:r w:rsidR="0085627E" w:rsidRPr="005F2796">
        <w:t>. The first step compare</w:t>
      </w:r>
      <w:r w:rsidR="00F66FAA" w:rsidRPr="005F2796">
        <w:t>d</w:t>
      </w:r>
      <w:r w:rsidRPr="005F2796">
        <w:t xml:space="preserve"> venetoclax plus rituximab </w:t>
      </w:r>
      <w:r w:rsidR="005060F0" w:rsidRPr="005F2796">
        <w:t xml:space="preserve">(MURANO) </w:t>
      </w:r>
      <w:r w:rsidRPr="005F2796">
        <w:t>to ibrutinib plus bendamustine plus rituximab</w:t>
      </w:r>
      <w:r w:rsidR="005060F0" w:rsidRPr="005F2796">
        <w:t xml:space="preserve"> (HELIOS)</w:t>
      </w:r>
      <w:r w:rsidRPr="005F2796">
        <w:t>, using bendamustine plus rituximab as the common reference:</w:t>
      </w:r>
    </w:p>
    <w:p w:rsidR="00A57383" w:rsidRPr="005F2796" w:rsidRDefault="00F66FAA" w:rsidP="000C720D">
      <w:pPr>
        <w:pStyle w:val="ListParagraph"/>
        <w:numPr>
          <w:ilvl w:val="0"/>
          <w:numId w:val="32"/>
        </w:numPr>
        <w:spacing w:before="120"/>
        <w:ind w:left="1077" w:hanging="357"/>
      </w:pPr>
      <w:r w:rsidRPr="005F2796">
        <w:t>v</w:t>
      </w:r>
      <w:r w:rsidR="00A57383" w:rsidRPr="005F2796">
        <w:t>enetoclax plus rituximab versus bendamustine plus rituximab (MURANO);</w:t>
      </w:r>
    </w:p>
    <w:p w:rsidR="00A57383" w:rsidRPr="005F2796" w:rsidRDefault="00F66FAA" w:rsidP="000C720D">
      <w:pPr>
        <w:pStyle w:val="ListParagraph"/>
        <w:numPr>
          <w:ilvl w:val="0"/>
          <w:numId w:val="32"/>
        </w:numPr>
        <w:spacing w:after="120"/>
        <w:ind w:left="1077" w:hanging="357"/>
      </w:pPr>
      <w:r w:rsidRPr="005F2796">
        <w:t>i</w:t>
      </w:r>
      <w:r w:rsidR="00A57383" w:rsidRPr="005F2796">
        <w:t xml:space="preserve">brutinib plus bendamustine plus rituximab versus </w:t>
      </w:r>
      <w:r w:rsidR="00EA5CCB" w:rsidRPr="005F2796">
        <w:t xml:space="preserve">placebo plus </w:t>
      </w:r>
      <w:r w:rsidR="00A57383" w:rsidRPr="005F2796">
        <w:t>bendamustine plus rituximab (HELIOS)</w:t>
      </w:r>
      <w:r w:rsidR="00494ABD" w:rsidRPr="005F2796">
        <w:t>.</w:t>
      </w:r>
    </w:p>
    <w:p w:rsidR="00107362" w:rsidRPr="005F2796" w:rsidRDefault="005553D1" w:rsidP="000E38D2">
      <w:pPr>
        <w:pStyle w:val="ListParagraph"/>
        <w:numPr>
          <w:ilvl w:val="1"/>
          <w:numId w:val="2"/>
        </w:numPr>
        <w:spacing w:after="160"/>
      </w:pPr>
      <w:r w:rsidRPr="005F2796">
        <w:t>Next, t</w:t>
      </w:r>
      <w:r w:rsidR="00107362" w:rsidRPr="005F2796">
        <w:t xml:space="preserve">he submission </w:t>
      </w:r>
      <w:r w:rsidR="000C720D" w:rsidRPr="005F2796">
        <w:t xml:space="preserve">argued </w:t>
      </w:r>
      <w:r w:rsidR="00107362" w:rsidRPr="005F2796">
        <w:t>that ibrutinib plus bendamustine plus rituximab can be used as a proxy for ibrutinib monotherapy</w:t>
      </w:r>
      <w:r w:rsidR="00ED5FD6" w:rsidRPr="005F2796">
        <w:t xml:space="preserve"> based on Hillmen et al (2015).</w:t>
      </w:r>
    </w:p>
    <w:p w:rsidR="00A57383" w:rsidRPr="005F2796" w:rsidRDefault="00107362" w:rsidP="000E38D2">
      <w:pPr>
        <w:pStyle w:val="ListParagraph"/>
        <w:numPr>
          <w:ilvl w:val="1"/>
          <w:numId w:val="2"/>
        </w:numPr>
        <w:spacing w:after="160"/>
      </w:pPr>
      <w:r w:rsidRPr="005F2796">
        <w:t>The comparator, ibrutinib monotherapy, was listed on the PBS on</w:t>
      </w:r>
      <w:r w:rsidR="000C720D" w:rsidRPr="005F2796">
        <w:t xml:space="preserve"> </w:t>
      </w:r>
      <w:r w:rsidRPr="005F2796">
        <w:t>th</w:t>
      </w:r>
      <w:r w:rsidR="000C720D" w:rsidRPr="005F2796">
        <w:t>e</w:t>
      </w:r>
      <w:r w:rsidRPr="005F2796">
        <w:t xml:space="preserve"> </w:t>
      </w:r>
      <w:r w:rsidR="000C720D" w:rsidRPr="005F2796">
        <w:t>basis</w:t>
      </w:r>
      <w:r w:rsidRPr="005F2796">
        <w:t xml:space="preserve"> of the RESONATE trial (ibrutinib vs ofatumumab</w:t>
      </w:r>
      <w:r w:rsidR="000C720D" w:rsidRPr="005F2796">
        <w:t>)</w:t>
      </w:r>
      <w:r w:rsidRPr="005F2796">
        <w:t xml:space="preserve">. </w:t>
      </w:r>
      <w:r w:rsidR="000C720D" w:rsidRPr="005F2796">
        <w:t>To further support the indirect comparison above, t</w:t>
      </w:r>
      <w:r w:rsidR="00A57383" w:rsidRPr="005F2796">
        <w:t>he submission presented a matching adjusted indirect comparison (MAIC) of venetoclax plus rituximab (MURANO) to ibrutinib monotherapy (RESONATE)</w:t>
      </w:r>
      <w:r w:rsidR="005D0202" w:rsidRPr="005F2796">
        <w:t xml:space="preserve"> to support the </w:t>
      </w:r>
      <w:r w:rsidR="00F66FAA" w:rsidRPr="005F2796">
        <w:t xml:space="preserve">comparative </w:t>
      </w:r>
      <w:r w:rsidR="005D0202" w:rsidRPr="005F2796">
        <w:t>effectiveness claim.</w:t>
      </w:r>
    </w:p>
    <w:p w:rsidR="00A57383" w:rsidRPr="005F2796" w:rsidRDefault="00A57383" w:rsidP="000E38D2">
      <w:pPr>
        <w:pStyle w:val="ListParagraph"/>
        <w:numPr>
          <w:ilvl w:val="1"/>
          <w:numId w:val="2"/>
        </w:numPr>
        <w:spacing w:after="160"/>
      </w:pPr>
      <w:r w:rsidRPr="005F2796">
        <w:t xml:space="preserve">The </w:t>
      </w:r>
      <w:r w:rsidR="00F66FAA" w:rsidRPr="005F2796">
        <w:t xml:space="preserve">comparative </w:t>
      </w:r>
      <w:r w:rsidRPr="005F2796">
        <w:t>safety claim was based on the results of a naïve indirect comparison of safety outcomes between venetoclax plus rituximab (MURANO) and ibrutinib monotherapy (RESONATE).</w:t>
      </w:r>
    </w:p>
    <w:p w:rsidR="00A57383" w:rsidRPr="005F2796" w:rsidRDefault="00A57383" w:rsidP="00A57383">
      <w:pPr>
        <w:pStyle w:val="TableHeading0"/>
      </w:pPr>
      <w:r w:rsidRPr="005F2796">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4"/>
        <w:gridCol w:w="5105"/>
        <w:gridCol w:w="2497"/>
      </w:tblGrid>
      <w:tr w:rsidR="00A57383" w:rsidRPr="005F2796" w:rsidTr="00EF6959">
        <w:tc>
          <w:tcPr>
            <w:tcW w:w="784" w:type="pct"/>
          </w:tcPr>
          <w:p w:rsidR="00A57383" w:rsidRPr="005F2796" w:rsidRDefault="00A57383" w:rsidP="00EF6959">
            <w:pPr>
              <w:pStyle w:val="TableText"/>
              <w:keepNext w:val="0"/>
              <w:widowControl w:val="0"/>
              <w:rPr>
                <w:b/>
              </w:rPr>
            </w:pPr>
            <w:r w:rsidRPr="005F2796">
              <w:rPr>
                <w:b/>
              </w:rPr>
              <w:t>Trial ID</w:t>
            </w:r>
          </w:p>
        </w:tc>
        <w:tc>
          <w:tcPr>
            <w:tcW w:w="2831" w:type="pct"/>
          </w:tcPr>
          <w:p w:rsidR="00A57383" w:rsidRPr="005F2796" w:rsidRDefault="00A57383" w:rsidP="00EF6959">
            <w:pPr>
              <w:pStyle w:val="TableText"/>
              <w:keepNext w:val="0"/>
              <w:widowControl w:val="0"/>
              <w:rPr>
                <w:b/>
              </w:rPr>
            </w:pPr>
            <w:r w:rsidRPr="005F2796">
              <w:rPr>
                <w:b/>
              </w:rPr>
              <w:t>Protocol title/ Publication title</w:t>
            </w:r>
          </w:p>
        </w:tc>
        <w:tc>
          <w:tcPr>
            <w:tcW w:w="1385" w:type="pct"/>
          </w:tcPr>
          <w:p w:rsidR="00A57383" w:rsidRPr="005F2796" w:rsidRDefault="00A57383" w:rsidP="00EF6959">
            <w:pPr>
              <w:pStyle w:val="TableText"/>
              <w:keepNext w:val="0"/>
              <w:widowControl w:val="0"/>
              <w:rPr>
                <w:b/>
              </w:rPr>
            </w:pPr>
            <w:r w:rsidRPr="005F2796">
              <w:rPr>
                <w:b/>
              </w:rPr>
              <w:t>Publication citation</w:t>
            </w:r>
          </w:p>
        </w:tc>
      </w:tr>
      <w:tr w:rsidR="00A57383" w:rsidRPr="005F2796" w:rsidTr="00EF6959">
        <w:tc>
          <w:tcPr>
            <w:tcW w:w="5000" w:type="pct"/>
            <w:gridSpan w:val="3"/>
          </w:tcPr>
          <w:p w:rsidR="00A57383" w:rsidRPr="005F2796" w:rsidRDefault="00A57383" w:rsidP="00EF6959">
            <w:pPr>
              <w:pStyle w:val="TableText"/>
              <w:keepNext w:val="0"/>
              <w:widowControl w:val="0"/>
              <w:rPr>
                <w:b/>
              </w:rPr>
            </w:pPr>
            <w:r w:rsidRPr="005F2796">
              <w:rPr>
                <w:b/>
              </w:rPr>
              <w:t>Venetoclax plus rituximab clinical trials</w:t>
            </w:r>
          </w:p>
        </w:tc>
      </w:tr>
      <w:tr w:rsidR="00A57383" w:rsidRPr="005F2796" w:rsidTr="00EF6959">
        <w:tc>
          <w:tcPr>
            <w:tcW w:w="784" w:type="pct"/>
            <w:vMerge w:val="restart"/>
          </w:tcPr>
          <w:p w:rsidR="00A57383" w:rsidRPr="005F2796" w:rsidRDefault="00A57383" w:rsidP="00EF6959">
            <w:pPr>
              <w:pStyle w:val="TableText"/>
              <w:keepNext w:val="0"/>
              <w:widowControl w:val="0"/>
            </w:pPr>
            <w:r w:rsidRPr="005F2796">
              <w:t>MURANO</w:t>
            </w:r>
          </w:p>
          <w:p w:rsidR="00A57383" w:rsidRPr="005F2796" w:rsidRDefault="00A57383" w:rsidP="00EF6959">
            <w:pPr>
              <w:pStyle w:val="TableText"/>
              <w:keepNext w:val="0"/>
              <w:widowControl w:val="0"/>
            </w:pPr>
            <w:r w:rsidRPr="005F2796">
              <w:t>(NCT02005471)</w:t>
            </w:r>
          </w:p>
        </w:tc>
        <w:tc>
          <w:tcPr>
            <w:tcW w:w="2831" w:type="pct"/>
          </w:tcPr>
          <w:p w:rsidR="00A57383" w:rsidRPr="005F2796" w:rsidRDefault="00A57383" w:rsidP="00EF6959">
            <w:pPr>
              <w:pStyle w:val="TableText"/>
              <w:keepNext w:val="0"/>
              <w:widowControl w:val="0"/>
            </w:pPr>
            <w:r w:rsidRPr="005F2796">
              <w:t>A phase three, open-label randomised study of venetoclax plus rituximab compared with bendamustine plus rituximab in relapsed/refractory patients with chronic lymphocytic leukemia</w:t>
            </w:r>
          </w:p>
        </w:tc>
        <w:tc>
          <w:tcPr>
            <w:tcW w:w="1385" w:type="pct"/>
          </w:tcPr>
          <w:p w:rsidR="00A57383" w:rsidRPr="005F2796" w:rsidRDefault="00A57383" w:rsidP="00EF6959">
            <w:pPr>
              <w:pStyle w:val="TableText"/>
              <w:keepNext w:val="0"/>
              <w:widowControl w:val="0"/>
            </w:pPr>
            <w:r w:rsidRPr="005F2796">
              <w:t xml:space="preserve">Clinical Study Report, </w:t>
            </w:r>
          </w:p>
          <w:p w:rsidR="00A57383" w:rsidRPr="005F2796" w:rsidRDefault="00A57383" w:rsidP="00EF6959">
            <w:pPr>
              <w:pStyle w:val="TableText"/>
              <w:keepNext w:val="0"/>
              <w:widowControl w:val="0"/>
            </w:pPr>
            <w:r w:rsidRPr="005F2796">
              <w:t>December 2017.</w:t>
            </w:r>
          </w:p>
        </w:tc>
      </w:tr>
      <w:tr w:rsidR="00A57383" w:rsidRPr="005F2796" w:rsidTr="00EF6959">
        <w:tc>
          <w:tcPr>
            <w:tcW w:w="784" w:type="pct"/>
            <w:vMerge/>
          </w:tcPr>
          <w:p w:rsidR="00A57383" w:rsidRPr="005F2796" w:rsidRDefault="00A57383" w:rsidP="00EF6959">
            <w:pPr>
              <w:pStyle w:val="TableText"/>
              <w:keepNext w:val="0"/>
              <w:widowControl w:val="0"/>
            </w:pPr>
          </w:p>
        </w:tc>
        <w:tc>
          <w:tcPr>
            <w:tcW w:w="2831" w:type="pct"/>
          </w:tcPr>
          <w:p w:rsidR="00A57383" w:rsidRPr="005F2796" w:rsidRDefault="00A57383" w:rsidP="00EF6959">
            <w:pPr>
              <w:pStyle w:val="TableText"/>
              <w:keepNext w:val="0"/>
              <w:widowControl w:val="0"/>
            </w:pPr>
            <w:r w:rsidRPr="005F2796">
              <w:t xml:space="preserve">Seymour J, Kipps T, Eichhorst B, et al. Venetoclax–Rituximab in Relapsed or Refractory Chronic Lymphocytic Leukemia. </w:t>
            </w:r>
          </w:p>
        </w:tc>
        <w:tc>
          <w:tcPr>
            <w:tcW w:w="1385" w:type="pct"/>
          </w:tcPr>
          <w:p w:rsidR="00A57383" w:rsidRPr="005F2796" w:rsidRDefault="00A57383" w:rsidP="00EF6959">
            <w:pPr>
              <w:pStyle w:val="TableText"/>
              <w:keepNext w:val="0"/>
              <w:widowControl w:val="0"/>
            </w:pPr>
            <w:r w:rsidRPr="005F2796">
              <w:rPr>
                <w:i/>
              </w:rPr>
              <w:t>New England Journal of Medicine</w:t>
            </w:r>
            <w:r w:rsidRPr="005F2796">
              <w:t xml:space="preserve"> (2018); 378:1107-20</w:t>
            </w:r>
          </w:p>
        </w:tc>
      </w:tr>
      <w:tr w:rsidR="00A57383" w:rsidRPr="005F2796" w:rsidTr="00EF6959">
        <w:tc>
          <w:tcPr>
            <w:tcW w:w="5000" w:type="pct"/>
            <w:gridSpan w:val="3"/>
          </w:tcPr>
          <w:p w:rsidR="00A57383" w:rsidRPr="005F2796" w:rsidRDefault="00A57383" w:rsidP="00EF6959">
            <w:pPr>
              <w:pStyle w:val="TableText"/>
              <w:keepNext w:val="0"/>
              <w:widowControl w:val="0"/>
              <w:rPr>
                <w:b/>
              </w:rPr>
            </w:pPr>
            <w:r w:rsidRPr="005F2796">
              <w:rPr>
                <w:b/>
              </w:rPr>
              <w:t>Ibrutinib/ibrutinib plus bendamustine plus rituximab clinical trials</w:t>
            </w:r>
          </w:p>
        </w:tc>
      </w:tr>
      <w:tr w:rsidR="00A57383" w:rsidRPr="005F2796" w:rsidTr="00EF6959">
        <w:tc>
          <w:tcPr>
            <w:tcW w:w="784" w:type="pct"/>
            <w:vMerge w:val="restart"/>
          </w:tcPr>
          <w:p w:rsidR="00A57383" w:rsidRPr="005F2796" w:rsidRDefault="00A57383" w:rsidP="00EF6959">
            <w:pPr>
              <w:pStyle w:val="TableText"/>
              <w:keepNext w:val="0"/>
              <w:widowControl w:val="0"/>
            </w:pPr>
            <w:r w:rsidRPr="005F2796">
              <w:t>HELIOS</w:t>
            </w:r>
          </w:p>
          <w:p w:rsidR="00A57383" w:rsidRPr="005F2796" w:rsidRDefault="00A57383" w:rsidP="00EF6959">
            <w:pPr>
              <w:pStyle w:val="TableText"/>
              <w:keepNext w:val="0"/>
              <w:widowControl w:val="0"/>
            </w:pPr>
            <w:r w:rsidRPr="005F2796">
              <w:t>(NCT01611090)</w:t>
            </w:r>
          </w:p>
        </w:tc>
        <w:tc>
          <w:tcPr>
            <w:tcW w:w="2831" w:type="pct"/>
          </w:tcPr>
          <w:p w:rsidR="00A57383" w:rsidRPr="005F2796" w:rsidRDefault="00A57383" w:rsidP="00EF6959">
            <w:pPr>
              <w:pStyle w:val="TableText"/>
              <w:keepNext w:val="0"/>
              <w:widowControl w:val="0"/>
            </w:pPr>
            <w:r w:rsidRPr="005F2796">
              <w:t xml:space="preserve">Chanan-Khan A, Cramer P, Demirkan F, et al. Ibrutinib combined with bendamustine and rituximab compared with placebo, bendamustine, and rituximab for previously treated chronic lymphoblastic leukemia or small lymphocytic lymphoma (HELIOS): a randomised double-blind, phase 3 study. </w:t>
            </w:r>
          </w:p>
        </w:tc>
        <w:tc>
          <w:tcPr>
            <w:tcW w:w="1385" w:type="pct"/>
          </w:tcPr>
          <w:p w:rsidR="00A57383" w:rsidRPr="005F2796" w:rsidRDefault="00A57383" w:rsidP="00EF6959">
            <w:pPr>
              <w:pStyle w:val="TableText"/>
              <w:keepNext w:val="0"/>
              <w:widowControl w:val="0"/>
            </w:pPr>
            <w:r w:rsidRPr="005F2796">
              <w:rPr>
                <w:i/>
              </w:rPr>
              <w:t xml:space="preserve">Lancet Oncology </w:t>
            </w:r>
            <w:r w:rsidRPr="005F2796">
              <w:t>(2016); 17(2): 200-211.</w:t>
            </w:r>
          </w:p>
        </w:tc>
      </w:tr>
      <w:tr w:rsidR="00A57383" w:rsidRPr="005F2796" w:rsidTr="00EF6959">
        <w:tc>
          <w:tcPr>
            <w:tcW w:w="784" w:type="pct"/>
            <w:vMerge/>
          </w:tcPr>
          <w:p w:rsidR="00A57383" w:rsidRPr="005F2796" w:rsidRDefault="00A57383" w:rsidP="00EF6959">
            <w:pPr>
              <w:pStyle w:val="TableText"/>
              <w:keepNext w:val="0"/>
              <w:widowControl w:val="0"/>
            </w:pPr>
          </w:p>
        </w:tc>
        <w:tc>
          <w:tcPr>
            <w:tcW w:w="2831" w:type="pct"/>
          </w:tcPr>
          <w:p w:rsidR="00A57383" w:rsidRPr="005F2796" w:rsidRDefault="00A57383" w:rsidP="00EF6959">
            <w:pPr>
              <w:pStyle w:val="TableText"/>
              <w:keepNext w:val="0"/>
              <w:widowControl w:val="0"/>
            </w:pPr>
            <w:r w:rsidRPr="005F2796">
              <w:t xml:space="preserve">Cramer P, Fraser G, Santucci-Silva R, et al. Improvement of fatigue, physical functioning, and well-being among patients with severe impairment at baseline receiving ibrutinib in combination with bendamustine and rituximab for relapsed chronic lymphocytic leukemia/small lymphocytic lymphoma in the HELIOS study. </w:t>
            </w:r>
          </w:p>
        </w:tc>
        <w:tc>
          <w:tcPr>
            <w:tcW w:w="1385" w:type="pct"/>
          </w:tcPr>
          <w:p w:rsidR="00A57383" w:rsidRPr="005F2796" w:rsidRDefault="00A57383" w:rsidP="00EF6959">
            <w:pPr>
              <w:pStyle w:val="TableText"/>
              <w:keepNext w:val="0"/>
              <w:widowControl w:val="0"/>
            </w:pPr>
            <w:r w:rsidRPr="005F2796">
              <w:rPr>
                <w:i/>
              </w:rPr>
              <w:t xml:space="preserve">Leukemia and Lymphoma </w:t>
            </w:r>
            <w:r w:rsidRPr="005F2796">
              <w:t>(2018); 3:1-10.</w:t>
            </w:r>
          </w:p>
        </w:tc>
      </w:tr>
      <w:tr w:rsidR="00A57383" w:rsidRPr="005F2796" w:rsidTr="00EF6959">
        <w:trPr>
          <w:trHeight w:val="519"/>
        </w:trPr>
        <w:tc>
          <w:tcPr>
            <w:tcW w:w="784" w:type="pct"/>
            <w:vMerge w:val="restart"/>
          </w:tcPr>
          <w:p w:rsidR="00A57383" w:rsidRPr="005F2796" w:rsidRDefault="00A57383" w:rsidP="00EF6959">
            <w:pPr>
              <w:pStyle w:val="TableText"/>
              <w:keepNext w:val="0"/>
              <w:widowControl w:val="0"/>
            </w:pPr>
            <w:r w:rsidRPr="005F2796">
              <w:t>RESONATE</w:t>
            </w:r>
          </w:p>
          <w:p w:rsidR="00A57383" w:rsidRPr="005F2796" w:rsidRDefault="00A57383" w:rsidP="00EF6959">
            <w:pPr>
              <w:pStyle w:val="TableText"/>
              <w:keepNext w:val="0"/>
              <w:widowControl w:val="0"/>
            </w:pPr>
            <w:r w:rsidRPr="005F2796">
              <w:t>(NCT01578707)</w:t>
            </w:r>
          </w:p>
        </w:tc>
        <w:tc>
          <w:tcPr>
            <w:tcW w:w="2831" w:type="pct"/>
          </w:tcPr>
          <w:p w:rsidR="00A57383" w:rsidRPr="005F2796" w:rsidRDefault="00A57383" w:rsidP="00EF6959">
            <w:pPr>
              <w:pStyle w:val="TableText"/>
              <w:keepNext w:val="0"/>
              <w:widowControl w:val="0"/>
            </w:pPr>
            <w:r w:rsidRPr="005F2796">
              <w:t xml:space="preserve">Byrd JC, Brown JR, O'Brien S, Barrientos JC, Kay NE, Reddy NM, Coutre S, Tam CS, Mulligan SP, Jaeger U, Devereux S. Ibrutinib versus ofatumumab in previously treated chronic lymphoid leukemia. </w:t>
            </w:r>
          </w:p>
        </w:tc>
        <w:tc>
          <w:tcPr>
            <w:tcW w:w="1385" w:type="pct"/>
          </w:tcPr>
          <w:p w:rsidR="00A57383" w:rsidRPr="005F2796" w:rsidRDefault="00A57383" w:rsidP="00EF6959">
            <w:pPr>
              <w:rPr>
                <w:rFonts w:ascii="Arial Narrow" w:hAnsi="Arial Narrow"/>
                <w:b/>
                <w:sz w:val="20"/>
              </w:rPr>
            </w:pPr>
            <w:r w:rsidRPr="005F2796">
              <w:rPr>
                <w:rFonts w:ascii="Arial Narrow" w:hAnsi="Arial Narrow"/>
                <w:i/>
                <w:sz w:val="20"/>
              </w:rPr>
              <w:t>New England Journal of Medicine</w:t>
            </w:r>
            <w:r w:rsidRPr="005F2796">
              <w:rPr>
                <w:rFonts w:ascii="Arial Narrow" w:hAnsi="Arial Narrow"/>
                <w:sz w:val="20"/>
              </w:rPr>
              <w:t xml:space="preserve"> (2014); 371(3): 213-223. </w:t>
            </w:r>
          </w:p>
        </w:tc>
      </w:tr>
      <w:tr w:rsidR="00A57383" w:rsidRPr="005F2796" w:rsidTr="00EF6959">
        <w:trPr>
          <w:trHeight w:val="688"/>
        </w:trPr>
        <w:tc>
          <w:tcPr>
            <w:tcW w:w="784" w:type="pct"/>
            <w:vMerge/>
          </w:tcPr>
          <w:p w:rsidR="00A57383" w:rsidRPr="005F2796" w:rsidRDefault="00A57383" w:rsidP="00EF6959">
            <w:pPr>
              <w:pStyle w:val="TableText"/>
              <w:keepNext w:val="0"/>
              <w:widowControl w:val="0"/>
            </w:pPr>
          </w:p>
        </w:tc>
        <w:tc>
          <w:tcPr>
            <w:tcW w:w="2831" w:type="pct"/>
          </w:tcPr>
          <w:p w:rsidR="00A57383" w:rsidRPr="005F2796" w:rsidRDefault="00A57383" w:rsidP="00EF6959">
            <w:pPr>
              <w:pStyle w:val="TableText"/>
              <w:keepNext w:val="0"/>
              <w:widowControl w:val="0"/>
            </w:pPr>
            <w:r w:rsidRPr="005F2796">
              <w:t xml:space="preserve">Brown J, Hillmen P, O’Brien S, et al. Extended follow-up and impact of high-risk prognostic factors from the phase 3 RESONATE study in patients with previously treated CLL/SLL. </w:t>
            </w:r>
          </w:p>
        </w:tc>
        <w:tc>
          <w:tcPr>
            <w:tcW w:w="1385" w:type="pct"/>
          </w:tcPr>
          <w:p w:rsidR="00A57383" w:rsidRPr="005F2796" w:rsidRDefault="00A57383" w:rsidP="00EF6959">
            <w:pPr>
              <w:pStyle w:val="TableText"/>
              <w:keepNext w:val="0"/>
              <w:widowControl w:val="0"/>
            </w:pPr>
            <w:r w:rsidRPr="005F2796">
              <w:rPr>
                <w:i/>
              </w:rPr>
              <w:t>Leukemia</w:t>
            </w:r>
            <w:r w:rsidRPr="005F2796">
              <w:t xml:space="preserve"> (2018); 32:83-91.</w:t>
            </w:r>
          </w:p>
        </w:tc>
      </w:tr>
      <w:tr w:rsidR="00A57383" w:rsidRPr="005F2796" w:rsidTr="00EF6959">
        <w:trPr>
          <w:trHeight w:val="688"/>
        </w:trPr>
        <w:tc>
          <w:tcPr>
            <w:tcW w:w="784" w:type="pct"/>
            <w:vMerge/>
          </w:tcPr>
          <w:p w:rsidR="00A57383" w:rsidRPr="005F2796" w:rsidRDefault="00A57383" w:rsidP="00EF6959">
            <w:pPr>
              <w:pStyle w:val="TableText"/>
              <w:keepNext w:val="0"/>
              <w:widowControl w:val="0"/>
            </w:pPr>
          </w:p>
        </w:tc>
        <w:tc>
          <w:tcPr>
            <w:tcW w:w="2831" w:type="pct"/>
          </w:tcPr>
          <w:p w:rsidR="00A57383" w:rsidRPr="005F2796" w:rsidRDefault="00A57383" w:rsidP="00EF6959">
            <w:pPr>
              <w:pStyle w:val="TableText"/>
              <w:keepNext w:val="0"/>
              <w:widowControl w:val="0"/>
            </w:pPr>
            <w:r w:rsidRPr="005F2796">
              <w:t xml:space="preserve">Byrd J, Hillmen P, O’Brien S, et al. Long-term efficacy and safety of ibrutinib (Ibr) in previously treated chronic lymphocytic leukemia (CLL): Up to four years follow-up of the RESONATE study. </w:t>
            </w:r>
          </w:p>
        </w:tc>
        <w:tc>
          <w:tcPr>
            <w:tcW w:w="1385" w:type="pct"/>
          </w:tcPr>
          <w:p w:rsidR="00A57383" w:rsidRPr="005F2796" w:rsidRDefault="00A57383" w:rsidP="00EF6959">
            <w:pPr>
              <w:pStyle w:val="TableText"/>
              <w:keepNext w:val="0"/>
              <w:widowControl w:val="0"/>
              <w:rPr>
                <w:i/>
              </w:rPr>
            </w:pPr>
            <w:r w:rsidRPr="005F2796">
              <w:rPr>
                <w:i/>
              </w:rPr>
              <w:t xml:space="preserve">Journal of Clinical Oncology </w:t>
            </w:r>
            <w:r w:rsidRPr="005F2796">
              <w:t>(2017); 35(15):7510.</w:t>
            </w:r>
          </w:p>
        </w:tc>
      </w:tr>
      <w:tr w:rsidR="000C720D" w:rsidRPr="005F2796" w:rsidTr="00EF6959">
        <w:trPr>
          <w:trHeight w:val="688"/>
        </w:trPr>
        <w:tc>
          <w:tcPr>
            <w:tcW w:w="784" w:type="pct"/>
          </w:tcPr>
          <w:p w:rsidR="000C720D" w:rsidRPr="005F2796" w:rsidRDefault="000C720D" w:rsidP="00EF6959">
            <w:pPr>
              <w:pStyle w:val="TableText"/>
              <w:keepNext w:val="0"/>
              <w:widowControl w:val="0"/>
            </w:pPr>
            <w:r w:rsidRPr="005F2796">
              <w:rPr>
                <w:rFonts w:asciiTheme="minorHAnsi" w:hAnsiTheme="minorHAnsi" w:cstheme="minorHAnsi"/>
              </w:rPr>
              <w:t>Hillmen, 2015 (Abstract)</w:t>
            </w:r>
          </w:p>
        </w:tc>
        <w:tc>
          <w:tcPr>
            <w:tcW w:w="2831" w:type="pct"/>
          </w:tcPr>
          <w:p w:rsidR="000C720D" w:rsidRPr="005F2796" w:rsidRDefault="000C720D" w:rsidP="000C720D">
            <w:pPr>
              <w:pStyle w:val="TableText"/>
              <w:keepNext w:val="0"/>
              <w:widowControl w:val="0"/>
            </w:pPr>
            <w:r w:rsidRPr="005F2796">
              <w:rPr>
                <w:rFonts w:asciiTheme="minorHAnsi" w:hAnsiTheme="minorHAnsi" w:cstheme="minorHAnsi"/>
              </w:rPr>
              <w:t xml:space="preserve">Hillmen P, Fraser G, Jones J, et al. Comparing single-agent ibrutinib, bendamustine plus rituximab (BR) and ibrutinib plus BR in patients with previously treated chronic lymphocytic leukemia/small lymphocytic lymphoma (CLL/SLL): An indirect comparison of the RESONATE and HELIOS trial. </w:t>
            </w:r>
          </w:p>
        </w:tc>
        <w:tc>
          <w:tcPr>
            <w:tcW w:w="1385" w:type="pct"/>
          </w:tcPr>
          <w:p w:rsidR="000C720D" w:rsidRPr="005F2796" w:rsidRDefault="000C720D" w:rsidP="00EF6959">
            <w:pPr>
              <w:pStyle w:val="TableText"/>
              <w:keepNext w:val="0"/>
              <w:widowControl w:val="0"/>
              <w:rPr>
                <w:i/>
              </w:rPr>
            </w:pPr>
            <w:r w:rsidRPr="005F2796">
              <w:rPr>
                <w:rFonts w:asciiTheme="minorHAnsi" w:hAnsiTheme="minorHAnsi" w:cstheme="minorHAnsi"/>
                <w:i/>
              </w:rPr>
              <w:t>Blood</w:t>
            </w:r>
            <w:r w:rsidRPr="005F2796">
              <w:rPr>
                <w:rFonts w:asciiTheme="minorHAnsi" w:hAnsiTheme="minorHAnsi" w:cstheme="minorHAnsi"/>
              </w:rPr>
              <w:t xml:space="preserve"> (2015);126(23):2944.</w:t>
            </w:r>
          </w:p>
        </w:tc>
      </w:tr>
    </w:tbl>
    <w:p w:rsidR="00A57383" w:rsidRPr="005F2796" w:rsidRDefault="00A57383" w:rsidP="003A595A">
      <w:pPr>
        <w:pStyle w:val="TableFooter"/>
        <w:spacing w:after="160"/>
      </w:pPr>
      <w:r w:rsidRPr="005F2796">
        <w:t>Source: Table 22, pp49-50; Table 23, pp51-52 of the submission.</w:t>
      </w:r>
    </w:p>
    <w:p w:rsidR="00A57383" w:rsidRPr="005F2796" w:rsidRDefault="00A57383" w:rsidP="009205B5">
      <w:pPr>
        <w:pStyle w:val="ListParagraph"/>
        <w:numPr>
          <w:ilvl w:val="1"/>
          <w:numId w:val="2"/>
        </w:numPr>
        <w:spacing w:after="160"/>
        <w:ind w:left="578" w:hanging="578"/>
      </w:pPr>
      <w:r w:rsidRPr="005F2796">
        <w:t>The key features</w:t>
      </w:r>
      <w:r w:rsidR="00816ABA" w:rsidRPr="005F2796">
        <w:t xml:space="preserve"> of the direct randomised trial</w:t>
      </w:r>
      <w:r w:rsidRPr="005F2796">
        <w:t>s are summarised in the table below.</w:t>
      </w:r>
    </w:p>
    <w:p w:rsidR="00A57383" w:rsidRPr="005F2796" w:rsidRDefault="00A57383" w:rsidP="00A57383">
      <w:pPr>
        <w:pStyle w:val="TableHeading0"/>
      </w:pPr>
      <w:r w:rsidRPr="005F2796">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2"/>
        <w:gridCol w:w="765"/>
        <w:gridCol w:w="1693"/>
        <w:gridCol w:w="709"/>
        <w:gridCol w:w="1985"/>
        <w:gridCol w:w="2642"/>
      </w:tblGrid>
      <w:tr w:rsidR="00A57383" w:rsidRPr="005F2796" w:rsidTr="00EF6959">
        <w:trPr>
          <w:tblHeader/>
        </w:trPr>
        <w:tc>
          <w:tcPr>
            <w:tcW w:w="678" w:type="pct"/>
            <w:shd w:val="clear" w:color="auto" w:fill="auto"/>
            <w:vAlign w:val="center"/>
          </w:tcPr>
          <w:p w:rsidR="00A57383" w:rsidRPr="005F2796" w:rsidRDefault="00A57383" w:rsidP="00EF6959">
            <w:pPr>
              <w:pStyle w:val="TableText"/>
              <w:rPr>
                <w:b/>
              </w:rPr>
            </w:pPr>
            <w:r w:rsidRPr="005F2796">
              <w:rPr>
                <w:b/>
              </w:rPr>
              <w:t>Trial</w:t>
            </w:r>
          </w:p>
        </w:tc>
        <w:tc>
          <w:tcPr>
            <w:tcW w:w="424" w:type="pct"/>
            <w:shd w:val="clear" w:color="auto" w:fill="auto"/>
            <w:vAlign w:val="center"/>
          </w:tcPr>
          <w:p w:rsidR="00A57383" w:rsidRPr="005F2796" w:rsidRDefault="00A57383" w:rsidP="00EF6959">
            <w:pPr>
              <w:pStyle w:val="TableText"/>
              <w:jc w:val="center"/>
              <w:rPr>
                <w:b/>
              </w:rPr>
            </w:pPr>
            <w:r w:rsidRPr="005F2796">
              <w:rPr>
                <w:b/>
              </w:rPr>
              <w:t>N</w:t>
            </w:r>
          </w:p>
        </w:tc>
        <w:tc>
          <w:tcPr>
            <w:tcW w:w="939" w:type="pct"/>
            <w:shd w:val="clear" w:color="auto" w:fill="auto"/>
            <w:vAlign w:val="center"/>
          </w:tcPr>
          <w:p w:rsidR="00A57383" w:rsidRPr="005F2796" w:rsidRDefault="00A57383" w:rsidP="00EF6959">
            <w:pPr>
              <w:pStyle w:val="TableText"/>
              <w:jc w:val="center"/>
              <w:rPr>
                <w:b/>
              </w:rPr>
            </w:pPr>
            <w:r w:rsidRPr="005F2796">
              <w:rPr>
                <w:b/>
              </w:rPr>
              <w:t>Design/ duration</w:t>
            </w:r>
          </w:p>
        </w:tc>
        <w:tc>
          <w:tcPr>
            <w:tcW w:w="393" w:type="pct"/>
            <w:shd w:val="clear" w:color="auto" w:fill="auto"/>
            <w:vAlign w:val="center"/>
          </w:tcPr>
          <w:p w:rsidR="00A57383" w:rsidRPr="005F2796" w:rsidRDefault="00A57383" w:rsidP="00EF6959">
            <w:pPr>
              <w:pStyle w:val="TableText"/>
              <w:jc w:val="center"/>
              <w:rPr>
                <w:b/>
              </w:rPr>
            </w:pPr>
            <w:r w:rsidRPr="005F2796">
              <w:rPr>
                <w:b/>
              </w:rPr>
              <w:t>Risk of bias</w:t>
            </w:r>
          </w:p>
        </w:tc>
        <w:tc>
          <w:tcPr>
            <w:tcW w:w="1101" w:type="pct"/>
            <w:shd w:val="clear" w:color="auto" w:fill="auto"/>
            <w:vAlign w:val="center"/>
          </w:tcPr>
          <w:p w:rsidR="00A57383" w:rsidRPr="005F2796" w:rsidRDefault="00A57383" w:rsidP="00EF6959">
            <w:pPr>
              <w:pStyle w:val="TableText"/>
              <w:jc w:val="center"/>
              <w:rPr>
                <w:b/>
              </w:rPr>
            </w:pPr>
            <w:r w:rsidRPr="005F2796">
              <w:rPr>
                <w:b/>
              </w:rPr>
              <w:t>Patient population</w:t>
            </w:r>
          </w:p>
        </w:tc>
        <w:tc>
          <w:tcPr>
            <w:tcW w:w="1465" w:type="pct"/>
            <w:shd w:val="clear" w:color="auto" w:fill="auto"/>
            <w:vAlign w:val="center"/>
          </w:tcPr>
          <w:p w:rsidR="00A57383" w:rsidRPr="005F2796" w:rsidRDefault="00A57383" w:rsidP="00EF6959">
            <w:pPr>
              <w:pStyle w:val="TableText"/>
              <w:jc w:val="center"/>
              <w:rPr>
                <w:b/>
              </w:rPr>
            </w:pPr>
            <w:r w:rsidRPr="005F2796">
              <w:rPr>
                <w:b/>
              </w:rPr>
              <w:t>Outcomes</w:t>
            </w:r>
          </w:p>
        </w:tc>
      </w:tr>
      <w:tr w:rsidR="00A57383" w:rsidRPr="005F2796" w:rsidTr="00EF6959">
        <w:tc>
          <w:tcPr>
            <w:tcW w:w="5000" w:type="pct"/>
            <w:gridSpan w:val="6"/>
            <w:shd w:val="clear" w:color="auto" w:fill="auto"/>
            <w:vAlign w:val="center"/>
          </w:tcPr>
          <w:p w:rsidR="00A57383" w:rsidRPr="005F2796" w:rsidRDefault="00A57383" w:rsidP="00E15B9A">
            <w:pPr>
              <w:pStyle w:val="TableText"/>
              <w:rPr>
                <w:b/>
              </w:rPr>
            </w:pPr>
            <w:r w:rsidRPr="005F2796">
              <w:rPr>
                <w:b/>
              </w:rPr>
              <w:t>Venetoclax plus rituximab versus be</w:t>
            </w:r>
            <w:r w:rsidR="00E15B9A" w:rsidRPr="005F2796">
              <w:rPr>
                <w:b/>
              </w:rPr>
              <w:t>nd</w:t>
            </w:r>
            <w:r w:rsidRPr="005F2796">
              <w:rPr>
                <w:b/>
              </w:rPr>
              <w:t>amustine plus rituximab</w:t>
            </w:r>
          </w:p>
        </w:tc>
      </w:tr>
      <w:tr w:rsidR="00A57383" w:rsidRPr="005F2796" w:rsidTr="00EF6959">
        <w:tc>
          <w:tcPr>
            <w:tcW w:w="678" w:type="pct"/>
            <w:shd w:val="clear" w:color="auto" w:fill="auto"/>
            <w:vAlign w:val="center"/>
          </w:tcPr>
          <w:p w:rsidR="00A57383" w:rsidRPr="005F2796" w:rsidRDefault="00A57383" w:rsidP="00EF6959">
            <w:pPr>
              <w:pStyle w:val="TableText"/>
              <w:rPr>
                <w:rFonts w:ascii="Times" w:eastAsia="Times New Roman" w:hAnsi="Times" w:cs="Times New Roman"/>
              </w:rPr>
            </w:pPr>
            <w:r w:rsidRPr="005F2796">
              <w:t>MURANO</w:t>
            </w:r>
          </w:p>
        </w:tc>
        <w:tc>
          <w:tcPr>
            <w:tcW w:w="424" w:type="pct"/>
            <w:shd w:val="clear" w:color="auto" w:fill="auto"/>
            <w:vAlign w:val="center"/>
          </w:tcPr>
          <w:p w:rsidR="00A57383" w:rsidRPr="005F2796" w:rsidRDefault="00A57383" w:rsidP="00EF6959">
            <w:pPr>
              <w:pStyle w:val="TableText"/>
              <w:jc w:val="center"/>
              <w:rPr>
                <w:rFonts w:eastAsia="Times New Roman" w:cs="Times New Roman"/>
                <w:szCs w:val="20"/>
              </w:rPr>
            </w:pPr>
            <w:r w:rsidRPr="005F2796">
              <w:rPr>
                <w:rFonts w:eastAsia="Times New Roman" w:cs="Times New Roman"/>
                <w:szCs w:val="20"/>
              </w:rPr>
              <w:t>389</w:t>
            </w:r>
          </w:p>
        </w:tc>
        <w:tc>
          <w:tcPr>
            <w:tcW w:w="939" w:type="pct"/>
            <w:shd w:val="clear" w:color="auto" w:fill="auto"/>
            <w:vAlign w:val="center"/>
          </w:tcPr>
          <w:p w:rsidR="00A57383" w:rsidRPr="005F2796" w:rsidRDefault="00A57383" w:rsidP="00EF6959">
            <w:pPr>
              <w:pStyle w:val="TableText"/>
              <w:jc w:val="center"/>
            </w:pPr>
            <w:r w:rsidRPr="005F2796">
              <w:t>Phase 3, R, OL (median duration of follow-up of 36.0)</w:t>
            </w:r>
          </w:p>
          <w:p w:rsidR="00A57383" w:rsidRPr="005F2796" w:rsidRDefault="00A57383" w:rsidP="00EF6959">
            <w:pPr>
              <w:pStyle w:val="TableText"/>
              <w:jc w:val="center"/>
              <w:rPr>
                <w:rFonts w:ascii="Times" w:eastAsia="Times New Roman" w:hAnsi="Times" w:cs="Times New Roman"/>
              </w:rPr>
            </w:pPr>
          </w:p>
        </w:tc>
        <w:tc>
          <w:tcPr>
            <w:tcW w:w="393" w:type="pct"/>
            <w:shd w:val="clear" w:color="auto" w:fill="auto"/>
            <w:vAlign w:val="center"/>
          </w:tcPr>
          <w:p w:rsidR="00A57383" w:rsidRPr="005F2796" w:rsidRDefault="00A57383" w:rsidP="00EF6959">
            <w:pPr>
              <w:pStyle w:val="TableText"/>
              <w:jc w:val="center"/>
              <w:rPr>
                <w:rFonts w:ascii="Times" w:eastAsia="Times New Roman" w:hAnsi="Times" w:cs="Times New Roman"/>
              </w:rPr>
            </w:pPr>
            <w:r w:rsidRPr="005F2796">
              <w:t>Unclear</w:t>
            </w:r>
          </w:p>
        </w:tc>
        <w:tc>
          <w:tcPr>
            <w:tcW w:w="1101" w:type="pct"/>
            <w:shd w:val="clear" w:color="auto" w:fill="auto"/>
          </w:tcPr>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 xml:space="preserve">Adult patients with relapsed or refractory CLL; </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1 to 3 prior lines of therapy, including at least one standard chemotherapy-containing regimen;</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ECOG score ≤1.</w:t>
            </w:r>
          </w:p>
        </w:tc>
        <w:tc>
          <w:tcPr>
            <w:tcW w:w="1465" w:type="pct"/>
            <w:shd w:val="clear" w:color="auto" w:fill="auto"/>
          </w:tcPr>
          <w:p w:rsidR="00A57383" w:rsidRPr="005F2796" w:rsidRDefault="00A57383" w:rsidP="00EF6959">
            <w:pPr>
              <w:pStyle w:val="TableText"/>
              <w:numPr>
                <w:ilvl w:val="0"/>
                <w:numId w:val="21"/>
              </w:numPr>
              <w:ind w:left="118" w:hanging="77"/>
            </w:pPr>
            <w:r w:rsidRPr="005F2796">
              <w:t>INV-assessed PFS (primary)</w:t>
            </w:r>
          </w:p>
          <w:p w:rsidR="00A57383" w:rsidRPr="005F2796" w:rsidRDefault="00A57383" w:rsidP="00EF6959">
            <w:pPr>
              <w:pStyle w:val="TableText"/>
              <w:numPr>
                <w:ilvl w:val="0"/>
                <w:numId w:val="21"/>
              </w:numPr>
              <w:ind w:left="118" w:hanging="77"/>
            </w:pPr>
            <w:r w:rsidRPr="005F2796">
              <w:t>IRC-assessed PFS</w:t>
            </w:r>
          </w:p>
          <w:p w:rsidR="00A57383" w:rsidRPr="005F2796" w:rsidRDefault="00A57383" w:rsidP="00EF6959">
            <w:pPr>
              <w:pStyle w:val="TableText"/>
              <w:numPr>
                <w:ilvl w:val="0"/>
                <w:numId w:val="21"/>
              </w:numPr>
              <w:ind w:left="118" w:hanging="77"/>
            </w:pPr>
            <w:r w:rsidRPr="005F2796">
              <w:t>INV-assessed best OR</w:t>
            </w:r>
          </w:p>
          <w:p w:rsidR="00A57383" w:rsidRPr="005F2796" w:rsidRDefault="00A57383" w:rsidP="00EF6959">
            <w:pPr>
              <w:pStyle w:val="TableText"/>
              <w:numPr>
                <w:ilvl w:val="0"/>
                <w:numId w:val="21"/>
              </w:numPr>
              <w:ind w:left="118" w:hanging="77"/>
            </w:pPr>
            <w:r w:rsidRPr="005F2796">
              <w:t>IRC- and INV-assessed response</w:t>
            </w:r>
          </w:p>
          <w:p w:rsidR="00A57383" w:rsidRPr="005F2796" w:rsidRDefault="00A57383" w:rsidP="00EF6959">
            <w:pPr>
              <w:pStyle w:val="TableText"/>
              <w:numPr>
                <w:ilvl w:val="0"/>
                <w:numId w:val="21"/>
              </w:numPr>
              <w:ind w:left="118" w:hanging="77"/>
            </w:pPr>
            <w:r w:rsidRPr="005F2796">
              <w:t>OS</w:t>
            </w:r>
          </w:p>
          <w:p w:rsidR="00A57383" w:rsidRPr="005F2796" w:rsidRDefault="00A57383" w:rsidP="00EF6959">
            <w:pPr>
              <w:pStyle w:val="TableText"/>
              <w:numPr>
                <w:ilvl w:val="0"/>
                <w:numId w:val="21"/>
              </w:numPr>
              <w:ind w:left="118" w:hanging="77"/>
            </w:pPr>
            <w:r w:rsidRPr="005F2796">
              <w:t>Event-free survival</w:t>
            </w:r>
          </w:p>
          <w:p w:rsidR="00A57383" w:rsidRPr="005F2796" w:rsidRDefault="00A57383" w:rsidP="00EF6959">
            <w:pPr>
              <w:pStyle w:val="TableText"/>
              <w:numPr>
                <w:ilvl w:val="0"/>
                <w:numId w:val="21"/>
              </w:numPr>
              <w:ind w:left="118" w:hanging="77"/>
            </w:pPr>
            <w:r w:rsidRPr="005F2796">
              <w:t>Proportion with MRD negativity</w:t>
            </w:r>
          </w:p>
          <w:p w:rsidR="00A57383" w:rsidRPr="005F2796" w:rsidRDefault="00A57383" w:rsidP="00EF6959">
            <w:pPr>
              <w:pStyle w:val="TableText"/>
              <w:numPr>
                <w:ilvl w:val="0"/>
                <w:numId w:val="21"/>
              </w:numPr>
              <w:ind w:left="118" w:hanging="77"/>
            </w:pPr>
            <w:r w:rsidRPr="005F2796">
              <w:t>HRQOL (MDASI, EORTC QLQ-C30 and QLQ-CLL16)</w:t>
            </w:r>
          </w:p>
        </w:tc>
      </w:tr>
      <w:tr w:rsidR="00A57383" w:rsidRPr="005F2796" w:rsidTr="00EF6959">
        <w:tc>
          <w:tcPr>
            <w:tcW w:w="5000" w:type="pct"/>
            <w:gridSpan w:val="6"/>
            <w:shd w:val="clear" w:color="auto" w:fill="auto"/>
            <w:vAlign w:val="center"/>
          </w:tcPr>
          <w:p w:rsidR="00A57383" w:rsidRPr="005F2796" w:rsidRDefault="00A57383" w:rsidP="00EF6959">
            <w:pPr>
              <w:pStyle w:val="TableText"/>
              <w:rPr>
                <w:b/>
              </w:rPr>
            </w:pPr>
            <w:r w:rsidRPr="005F2796">
              <w:rPr>
                <w:b/>
              </w:rPr>
              <w:t>Ibrutinib plus bendamustine plus rituximab versus bendamustine plus rituximab</w:t>
            </w:r>
          </w:p>
        </w:tc>
      </w:tr>
      <w:tr w:rsidR="00A57383" w:rsidRPr="005F2796" w:rsidTr="00EF6959">
        <w:tc>
          <w:tcPr>
            <w:tcW w:w="678" w:type="pct"/>
            <w:shd w:val="clear" w:color="auto" w:fill="auto"/>
            <w:vAlign w:val="center"/>
          </w:tcPr>
          <w:p w:rsidR="00A57383" w:rsidRPr="005F2796" w:rsidRDefault="00A57383" w:rsidP="00EF6959">
            <w:pPr>
              <w:pStyle w:val="TableText"/>
              <w:rPr>
                <w:rFonts w:ascii="Times" w:eastAsia="Times New Roman" w:hAnsi="Times" w:cs="Times New Roman"/>
              </w:rPr>
            </w:pPr>
            <w:r w:rsidRPr="005F2796">
              <w:t>HELIOS</w:t>
            </w:r>
          </w:p>
        </w:tc>
        <w:tc>
          <w:tcPr>
            <w:tcW w:w="424" w:type="pct"/>
            <w:shd w:val="clear" w:color="auto" w:fill="auto"/>
            <w:vAlign w:val="center"/>
          </w:tcPr>
          <w:p w:rsidR="00A57383" w:rsidRPr="005F2796" w:rsidRDefault="00A57383" w:rsidP="00EF6959">
            <w:pPr>
              <w:pStyle w:val="TableText"/>
              <w:jc w:val="center"/>
              <w:rPr>
                <w:rFonts w:ascii="Times" w:eastAsia="Times New Roman" w:hAnsi="Times" w:cs="Times New Roman"/>
              </w:rPr>
            </w:pPr>
            <w:r w:rsidRPr="005F2796">
              <w:t>578</w:t>
            </w:r>
          </w:p>
        </w:tc>
        <w:tc>
          <w:tcPr>
            <w:tcW w:w="939" w:type="pct"/>
            <w:shd w:val="clear" w:color="auto" w:fill="auto"/>
            <w:vAlign w:val="center"/>
          </w:tcPr>
          <w:p w:rsidR="00A57383" w:rsidRPr="005F2796" w:rsidRDefault="00A57383" w:rsidP="00EF6959">
            <w:pPr>
              <w:pStyle w:val="TableText"/>
              <w:jc w:val="center"/>
            </w:pPr>
            <w:r w:rsidRPr="005F2796">
              <w:t>Phase 3, R, DB, PC</w:t>
            </w:r>
          </w:p>
          <w:p w:rsidR="00A57383" w:rsidRPr="005F2796" w:rsidRDefault="00A57383" w:rsidP="00EF6959">
            <w:pPr>
              <w:pStyle w:val="TableText"/>
              <w:jc w:val="center"/>
              <w:rPr>
                <w:rFonts w:eastAsia="Times New Roman" w:cs="Times New Roman"/>
              </w:rPr>
            </w:pPr>
            <w:r w:rsidRPr="005F2796">
              <w:rPr>
                <w:rFonts w:eastAsia="Times New Roman" w:cs="Times New Roman"/>
              </w:rPr>
              <w:t>(median duration of follow-up of 25.4 months)</w:t>
            </w:r>
          </w:p>
          <w:p w:rsidR="00A57383" w:rsidRPr="005F2796" w:rsidRDefault="00A57383" w:rsidP="00EF6959">
            <w:pPr>
              <w:pStyle w:val="TableText"/>
              <w:jc w:val="center"/>
              <w:rPr>
                <w:rFonts w:ascii="Times" w:eastAsia="Times New Roman" w:hAnsi="Times" w:cs="Times New Roman"/>
              </w:rPr>
            </w:pPr>
          </w:p>
        </w:tc>
        <w:tc>
          <w:tcPr>
            <w:tcW w:w="393" w:type="pct"/>
            <w:shd w:val="clear" w:color="auto" w:fill="auto"/>
            <w:vAlign w:val="center"/>
          </w:tcPr>
          <w:p w:rsidR="00A57383" w:rsidRPr="005F2796" w:rsidRDefault="00A57383" w:rsidP="00EF6959">
            <w:pPr>
              <w:pStyle w:val="TableText"/>
              <w:jc w:val="center"/>
              <w:rPr>
                <w:rFonts w:ascii="Times" w:eastAsia="Times New Roman" w:hAnsi="Times" w:cs="Times New Roman"/>
              </w:rPr>
            </w:pPr>
            <w:r w:rsidRPr="005F2796">
              <w:t>Low</w:t>
            </w:r>
          </w:p>
        </w:tc>
        <w:tc>
          <w:tcPr>
            <w:tcW w:w="1101" w:type="pct"/>
            <w:shd w:val="clear" w:color="auto" w:fill="auto"/>
            <w:vAlign w:val="center"/>
          </w:tcPr>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 xml:space="preserve">Adult patients with relapsed or refractory CLL or SLL; </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 xml:space="preserve">≥1 prior CLL therapy; </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 xml:space="preserve">ECOG score ≤1; </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 xml:space="preserve">Measurable lymph node disease (&gt;1.5 cm) by CT scan. </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Excluded patients with 17p deletion.</w:t>
            </w:r>
          </w:p>
        </w:tc>
        <w:tc>
          <w:tcPr>
            <w:tcW w:w="1465" w:type="pct"/>
            <w:shd w:val="clear" w:color="auto" w:fill="auto"/>
          </w:tcPr>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IRC-assessed PFS (primary)</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INV-assessed PFS</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IRC- and INV-assessed ORR</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OS</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Proportion with MRD negativity</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HRQOL (time to improvement in FACIT-Fatigue)</w:t>
            </w:r>
          </w:p>
        </w:tc>
      </w:tr>
      <w:tr w:rsidR="00A57383" w:rsidRPr="005F2796" w:rsidTr="00EF6959">
        <w:tc>
          <w:tcPr>
            <w:tcW w:w="5000" w:type="pct"/>
            <w:gridSpan w:val="6"/>
            <w:shd w:val="clear" w:color="auto" w:fill="auto"/>
            <w:vAlign w:val="center"/>
          </w:tcPr>
          <w:p w:rsidR="00A57383" w:rsidRPr="005F2796" w:rsidRDefault="00A57383" w:rsidP="00EF6959">
            <w:pPr>
              <w:pStyle w:val="TableText"/>
              <w:rPr>
                <w:b/>
              </w:rPr>
            </w:pPr>
            <w:r w:rsidRPr="005F2796">
              <w:rPr>
                <w:b/>
              </w:rPr>
              <w:t>Ibrutinib versus ofatumumab</w:t>
            </w:r>
          </w:p>
        </w:tc>
      </w:tr>
      <w:tr w:rsidR="00A57383" w:rsidRPr="005F2796" w:rsidTr="00EF6959">
        <w:tc>
          <w:tcPr>
            <w:tcW w:w="678" w:type="pct"/>
            <w:shd w:val="clear" w:color="auto" w:fill="auto"/>
            <w:vAlign w:val="center"/>
          </w:tcPr>
          <w:p w:rsidR="00A57383" w:rsidRPr="005F2796" w:rsidRDefault="00A57383" w:rsidP="00EF6959">
            <w:pPr>
              <w:pStyle w:val="TableText"/>
              <w:rPr>
                <w:rFonts w:ascii="Times" w:eastAsia="Times New Roman" w:hAnsi="Times" w:cs="Times New Roman"/>
              </w:rPr>
            </w:pPr>
            <w:r w:rsidRPr="005F2796">
              <w:t>RESONATE</w:t>
            </w:r>
          </w:p>
        </w:tc>
        <w:tc>
          <w:tcPr>
            <w:tcW w:w="424" w:type="pct"/>
            <w:shd w:val="clear" w:color="auto" w:fill="auto"/>
            <w:vAlign w:val="center"/>
          </w:tcPr>
          <w:p w:rsidR="00A57383" w:rsidRPr="005F2796" w:rsidRDefault="00A57383" w:rsidP="00EF6959">
            <w:pPr>
              <w:pStyle w:val="TableText"/>
              <w:jc w:val="center"/>
              <w:rPr>
                <w:rFonts w:ascii="Times" w:eastAsia="Times New Roman" w:hAnsi="Times" w:cs="Times New Roman"/>
              </w:rPr>
            </w:pPr>
            <w:r w:rsidRPr="005F2796">
              <w:t>391</w:t>
            </w:r>
          </w:p>
        </w:tc>
        <w:tc>
          <w:tcPr>
            <w:tcW w:w="939" w:type="pct"/>
            <w:shd w:val="clear" w:color="auto" w:fill="auto"/>
            <w:vAlign w:val="center"/>
          </w:tcPr>
          <w:p w:rsidR="00A57383" w:rsidRPr="005F2796" w:rsidRDefault="00A57383" w:rsidP="00EF6959">
            <w:pPr>
              <w:pStyle w:val="TableText"/>
              <w:jc w:val="center"/>
            </w:pPr>
            <w:r w:rsidRPr="005F2796">
              <w:t>Phase 3, R, OL</w:t>
            </w:r>
          </w:p>
          <w:p w:rsidR="00A57383" w:rsidRPr="005F2796" w:rsidRDefault="00A57383" w:rsidP="00EF6959">
            <w:pPr>
              <w:pStyle w:val="TableText"/>
              <w:jc w:val="center"/>
              <w:rPr>
                <w:rFonts w:eastAsia="Times New Roman" w:cs="Times New Roman"/>
              </w:rPr>
            </w:pPr>
            <w:r w:rsidRPr="005F2796">
              <w:rPr>
                <w:rFonts w:eastAsia="Times New Roman" w:cs="Times New Roman"/>
              </w:rPr>
              <w:t>(median duration of follow-up 44 months)</w:t>
            </w:r>
          </w:p>
        </w:tc>
        <w:tc>
          <w:tcPr>
            <w:tcW w:w="393" w:type="pct"/>
            <w:shd w:val="clear" w:color="auto" w:fill="auto"/>
            <w:vAlign w:val="center"/>
          </w:tcPr>
          <w:p w:rsidR="00A57383" w:rsidRPr="005F2796" w:rsidRDefault="00A57383" w:rsidP="00EF6959">
            <w:pPr>
              <w:pStyle w:val="TableText"/>
              <w:jc w:val="center"/>
              <w:rPr>
                <w:rFonts w:ascii="Times" w:eastAsia="Times New Roman" w:hAnsi="Times" w:cs="Times New Roman"/>
              </w:rPr>
            </w:pPr>
            <w:r w:rsidRPr="005F2796">
              <w:t>Unclear</w:t>
            </w:r>
          </w:p>
        </w:tc>
        <w:tc>
          <w:tcPr>
            <w:tcW w:w="1101" w:type="pct"/>
            <w:shd w:val="clear" w:color="auto" w:fill="auto"/>
            <w:vAlign w:val="center"/>
          </w:tcPr>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 xml:space="preserve">Adult patients considered inappropriate for purine analogue-based treatment; </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≥1 prior CLL therapy;</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ECOG ≤1.</w:t>
            </w:r>
          </w:p>
        </w:tc>
        <w:tc>
          <w:tcPr>
            <w:tcW w:w="1465" w:type="pct"/>
            <w:shd w:val="clear" w:color="auto" w:fill="auto"/>
          </w:tcPr>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IRC-assessed PFS (primary)</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Investigator-assessed PFS</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IRC- and INV-assessed ORR</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OS</w:t>
            </w:r>
          </w:p>
          <w:p w:rsidR="00A57383" w:rsidRPr="005F2796" w:rsidRDefault="00A57383" w:rsidP="00EF6959">
            <w:pPr>
              <w:keepNext/>
              <w:numPr>
                <w:ilvl w:val="0"/>
                <w:numId w:val="21"/>
              </w:numPr>
              <w:ind w:left="118" w:hanging="77"/>
              <w:jc w:val="left"/>
              <w:rPr>
                <w:rFonts w:ascii="Arial Narrow" w:hAnsi="Arial Narrow"/>
                <w:sz w:val="20"/>
                <w:szCs w:val="20"/>
              </w:rPr>
            </w:pPr>
            <w:r w:rsidRPr="005F2796">
              <w:rPr>
                <w:rFonts w:ascii="Arial Narrow" w:hAnsi="Arial Narrow"/>
                <w:sz w:val="20"/>
                <w:szCs w:val="20"/>
              </w:rPr>
              <w:t>HRQOL (EORTC QLQ-C30, EQ-5D-5L, FACIT-Fatigue).</w:t>
            </w:r>
          </w:p>
        </w:tc>
      </w:tr>
    </w:tbl>
    <w:p w:rsidR="00A57383" w:rsidRPr="005F2796" w:rsidRDefault="00A57383" w:rsidP="00A57383">
      <w:pPr>
        <w:pStyle w:val="TableFooter"/>
      </w:pPr>
      <w:r w:rsidRPr="005F2796">
        <w:t>DB=double blind; MC=multi-centre; OL=open label; OS=overall survival; PFS=progression-free survival; R=randomised</w:t>
      </w:r>
    </w:p>
    <w:p w:rsidR="00A57383" w:rsidRPr="005F2796" w:rsidRDefault="00A57383" w:rsidP="009205B5">
      <w:pPr>
        <w:pStyle w:val="TableFooter"/>
        <w:spacing w:after="160"/>
      </w:pPr>
      <w:r w:rsidRPr="005F2796">
        <w:t>Source: compiled during the evaluation</w:t>
      </w:r>
    </w:p>
    <w:p w:rsidR="00A57383" w:rsidRPr="005F2796" w:rsidRDefault="00A57383" w:rsidP="000E38D2">
      <w:pPr>
        <w:pStyle w:val="ListParagraph"/>
        <w:numPr>
          <w:ilvl w:val="1"/>
          <w:numId w:val="2"/>
        </w:numPr>
        <w:spacing w:after="160"/>
      </w:pPr>
      <w:r w:rsidRPr="005F2796">
        <w:lastRenderedPageBreak/>
        <w:t xml:space="preserve">There were major differences between the included trials in eligibility criteria. While all trials recruited adult patients with relapsed/refractory disease, only the RESONATE trial required patients to be inappropriate for treatment with a purine analogue. The HELIOS trial excluded patients with 17p deletion. </w:t>
      </w:r>
      <w:r w:rsidR="007A621D" w:rsidRPr="005F2796">
        <w:t>The p</w:t>
      </w:r>
      <w:r w:rsidRPr="005F2796">
        <w:t xml:space="preserve">resence of </w:t>
      </w:r>
      <w:r w:rsidR="007A621D" w:rsidRPr="005F2796">
        <w:t xml:space="preserve">a </w:t>
      </w:r>
      <w:r w:rsidRPr="005F2796">
        <w:t xml:space="preserve">17p deletion is </w:t>
      </w:r>
      <w:r w:rsidR="007A621D" w:rsidRPr="005F2796">
        <w:t xml:space="preserve">predictive of </w:t>
      </w:r>
      <w:r w:rsidRPr="005F2796">
        <w:t>resistance to conventional chemoimmunotherapy regimens, including bendamustine plus rituximab.</w:t>
      </w:r>
    </w:p>
    <w:p w:rsidR="00B73CFE" w:rsidRPr="005F2796" w:rsidRDefault="00A57383" w:rsidP="000E38D2">
      <w:pPr>
        <w:pStyle w:val="ListParagraph"/>
        <w:numPr>
          <w:ilvl w:val="1"/>
          <w:numId w:val="2"/>
        </w:numPr>
        <w:spacing w:after="160"/>
      </w:pPr>
      <w:r w:rsidRPr="005F2796">
        <w:t xml:space="preserve">There were differences between the trials in patient characteristics, including number of prior therapies, </w:t>
      </w:r>
      <w:r w:rsidR="005D0202" w:rsidRPr="005F2796">
        <w:t xml:space="preserve">Rai </w:t>
      </w:r>
      <w:r w:rsidRPr="005F2796">
        <w:t xml:space="preserve">disease stage, and the presence of bulky disease. In general, patients in the RESONATE trial were the most treatment experienced, with the largest number of prior therapies, and more advanced disease. Patient in the MURANO trial were </w:t>
      </w:r>
      <w:r w:rsidR="00960295" w:rsidRPr="005F2796">
        <w:t xml:space="preserve">the </w:t>
      </w:r>
      <w:r w:rsidRPr="005F2796">
        <w:t>le</w:t>
      </w:r>
      <w:r w:rsidR="00960295" w:rsidRPr="005F2796">
        <w:t>ast</w:t>
      </w:r>
      <w:r w:rsidRPr="005F2796">
        <w:t xml:space="preserve"> treatment experienced, at an earlier Rai </w:t>
      </w:r>
      <w:r w:rsidR="00067021" w:rsidRPr="005F2796">
        <w:t xml:space="preserve">disease </w:t>
      </w:r>
      <w:r w:rsidRPr="005F2796">
        <w:t>stage, with a lower proportion of bulky disease (≥5 cm). Higher number of prior treatments and more advanced disease stage may reduce treatment efficacy.</w:t>
      </w:r>
      <w:bookmarkStart w:id="24" w:name="_Toc413139278"/>
      <w:bookmarkStart w:id="25" w:name="_Toc522042672"/>
      <w:bookmarkStart w:id="26" w:name="_Toc524621098"/>
    </w:p>
    <w:p w:rsidR="00A57383" w:rsidRPr="005F2796" w:rsidRDefault="00A57383" w:rsidP="003A595A">
      <w:pPr>
        <w:pStyle w:val="Heading2"/>
        <w:spacing w:before="0" w:after="160"/>
      </w:pPr>
      <w:r w:rsidRPr="005F2796">
        <w:t>Comparative effectiveness</w:t>
      </w:r>
      <w:bookmarkEnd w:id="24"/>
      <w:bookmarkEnd w:id="25"/>
      <w:bookmarkEnd w:id="26"/>
    </w:p>
    <w:p w:rsidR="00B12CBD" w:rsidRPr="006D6B5A" w:rsidRDefault="00AD4CDD" w:rsidP="00990C67">
      <w:pPr>
        <w:pStyle w:val="Heading3"/>
      </w:pPr>
      <w:r w:rsidRPr="006D6B5A">
        <w:t>Whole</w:t>
      </w:r>
      <w:r w:rsidR="00B12CBD" w:rsidRPr="006D6B5A">
        <w:t xml:space="preserve"> trial population</w:t>
      </w:r>
    </w:p>
    <w:p w:rsidR="00A57383" w:rsidRPr="005F2796" w:rsidRDefault="00A57383" w:rsidP="003A595A">
      <w:pPr>
        <w:pStyle w:val="ListParagraph"/>
        <w:keepNext/>
        <w:keepLines/>
        <w:numPr>
          <w:ilvl w:val="1"/>
          <w:numId w:val="2"/>
        </w:numPr>
        <w:spacing w:after="160"/>
        <w:ind w:left="578" w:hanging="578"/>
      </w:pPr>
      <w:r w:rsidRPr="005F2796">
        <w:t>Figure 1 presents the Kaplan-Meier plot of investigator-assessed progression free survival for the MURANO trial at the May 2018 data cut.</w:t>
      </w:r>
    </w:p>
    <w:p w:rsidR="00A57383" w:rsidRPr="005F2796" w:rsidRDefault="00A57383" w:rsidP="00A57383">
      <w:pPr>
        <w:pStyle w:val="V50Instructions"/>
        <w:keepNext/>
        <w:rPr>
          <w:rFonts w:ascii="Arial Narrow" w:hAnsi="Arial Narrow"/>
          <w:b/>
          <w:color w:val="auto"/>
          <w:sz w:val="20"/>
          <w:szCs w:val="20"/>
        </w:rPr>
      </w:pPr>
      <w:r w:rsidRPr="005F2796">
        <w:rPr>
          <w:rFonts w:ascii="Arial Narrow" w:hAnsi="Arial Narrow"/>
          <w:b/>
          <w:color w:val="auto"/>
          <w:sz w:val="20"/>
          <w:szCs w:val="20"/>
        </w:rPr>
        <w:t>Figure 1: Investigator-assessed progression-free survival results for the MURANO trial (May 2018 data cut)</w:t>
      </w:r>
    </w:p>
    <w:p w:rsidR="00A57383" w:rsidRPr="005F2796" w:rsidRDefault="00A57383" w:rsidP="00A57383">
      <w:pPr>
        <w:pStyle w:val="TableFooter"/>
      </w:pPr>
      <w:r w:rsidRPr="007D1CE2">
        <w:rPr>
          <w:noProof/>
          <w:lang w:eastAsia="en-AU"/>
        </w:rPr>
        <w:drawing>
          <wp:inline distT="0" distB="0" distL="0" distR="0" wp14:anchorId="525FF8DA" wp14:editId="46DAA401">
            <wp:extent cx="5731510" cy="32601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0324"/>
                    <a:stretch/>
                  </pic:blipFill>
                  <pic:spPr bwMode="auto">
                    <a:xfrm>
                      <a:off x="0" y="0"/>
                      <a:ext cx="5731510" cy="3260115"/>
                    </a:xfrm>
                    <a:prstGeom prst="rect">
                      <a:avLst/>
                    </a:prstGeom>
                    <a:ln>
                      <a:noFill/>
                    </a:ln>
                    <a:extLst>
                      <a:ext uri="{53640926-AAD7-44D8-BBD7-CCE9431645EC}">
                        <a14:shadowObscured xmlns:a14="http://schemas.microsoft.com/office/drawing/2010/main"/>
                      </a:ext>
                    </a:extLst>
                  </pic:spPr>
                </pic:pic>
              </a:graphicData>
            </a:graphic>
          </wp:inline>
        </w:drawing>
      </w:r>
    </w:p>
    <w:p w:rsidR="00A57383" w:rsidRPr="00F479FE" w:rsidRDefault="00A57383" w:rsidP="003A595A">
      <w:pPr>
        <w:pStyle w:val="TableFooter"/>
        <w:keepNext/>
        <w:keepLines/>
        <w:widowControl/>
        <w:spacing w:after="160"/>
        <w:ind w:left="578" w:hanging="578"/>
        <w:contextualSpacing w:val="0"/>
      </w:pPr>
      <w:r w:rsidRPr="00F479FE">
        <w:t>Source: Figure 1, p.3 of the MURANO updated data cut (May 2018).</w:t>
      </w:r>
    </w:p>
    <w:p w:rsidR="00A57383" w:rsidRPr="005F2796" w:rsidRDefault="00A57383" w:rsidP="000E38D2">
      <w:pPr>
        <w:pStyle w:val="ListParagraph"/>
        <w:numPr>
          <w:ilvl w:val="1"/>
          <w:numId w:val="2"/>
        </w:numPr>
        <w:spacing w:after="160"/>
      </w:pPr>
      <w:r w:rsidRPr="00F479FE">
        <w:t xml:space="preserve">At a median duration of </w:t>
      </w:r>
      <w:r w:rsidRPr="005F2796">
        <w:t xml:space="preserve">follow-up of 36.0 months, venetoclax plus rituximab was associated with a statistically significant improvement in progression-free survival compared to bendamustine plus rituximab (hazard ratio 0.16; 95% CI: </w:t>
      </w:r>
      <w:r w:rsidR="002F29B1" w:rsidRPr="005F2796">
        <w:t>0</w:t>
      </w:r>
      <w:r w:rsidRPr="005F2796">
        <w:t>.12, 0.23). Median progression-free survival was not reached in the venetoclax plus rituximab arm, versus 17.0 months in the b</w:t>
      </w:r>
      <w:r w:rsidR="00FE2CA8" w:rsidRPr="005F2796">
        <w:t>endamustine plus rituximab arm.</w:t>
      </w:r>
    </w:p>
    <w:p w:rsidR="00A57383" w:rsidRPr="005F2796" w:rsidRDefault="00A57383" w:rsidP="000E38D2">
      <w:pPr>
        <w:pStyle w:val="ListParagraph"/>
        <w:numPr>
          <w:ilvl w:val="1"/>
          <w:numId w:val="2"/>
        </w:numPr>
        <w:spacing w:after="160"/>
      </w:pPr>
      <w:r w:rsidRPr="005F2796">
        <w:lastRenderedPageBreak/>
        <w:t>Based on the MURANO trial protocol, venetoclax treatment was to be ceased after 25 months of treatment (5-week dose titration plus 24 months). There appears to be a change in the slope of the progression-free survival curve at around this time-point which may represent an increased rate of disease progression associated with discontinuation of venetoclax. There is a large amount of censoring beyond 30 months.</w:t>
      </w:r>
    </w:p>
    <w:p w:rsidR="00A57383" w:rsidRPr="005F2796" w:rsidRDefault="00A57383" w:rsidP="000E38D2">
      <w:pPr>
        <w:pStyle w:val="ListParagraph"/>
        <w:numPr>
          <w:ilvl w:val="1"/>
          <w:numId w:val="2"/>
        </w:numPr>
        <w:spacing w:after="160"/>
      </w:pPr>
      <w:r w:rsidRPr="005F2796">
        <w:t>Figure 2 presents the Kaplan-Meier plot of overall survival for the MURANO trial at the May 2018 data cut.</w:t>
      </w:r>
    </w:p>
    <w:p w:rsidR="00A57383" w:rsidRPr="005F2796" w:rsidRDefault="00A57383" w:rsidP="00A57383">
      <w:pPr>
        <w:pStyle w:val="V50Instructions"/>
        <w:keepNext/>
        <w:rPr>
          <w:rFonts w:ascii="Arial Narrow" w:hAnsi="Arial Narrow"/>
          <w:b/>
          <w:color w:val="auto"/>
          <w:sz w:val="20"/>
          <w:szCs w:val="20"/>
        </w:rPr>
      </w:pPr>
      <w:r w:rsidRPr="005F2796">
        <w:rPr>
          <w:rFonts w:ascii="Arial Narrow" w:hAnsi="Arial Narrow"/>
          <w:b/>
          <w:color w:val="auto"/>
          <w:sz w:val="20"/>
          <w:szCs w:val="20"/>
        </w:rPr>
        <w:t>Figure 2: Overall survival results for the MURANO trial (May 2018 data cut)</w:t>
      </w:r>
    </w:p>
    <w:p w:rsidR="00A57383" w:rsidRPr="005F2796" w:rsidRDefault="00A57383" w:rsidP="00A57383">
      <w:pPr>
        <w:pStyle w:val="V50Instructions"/>
        <w:rPr>
          <w:color w:val="auto"/>
        </w:rPr>
      </w:pPr>
      <w:r w:rsidRPr="007D1CE2">
        <w:rPr>
          <w:noProof/>
          <w:lang w:eastAsia="en-AU"/>
        </w:rPr>
        <w:drawing>
          <wp:inline distT="0" distB="0" distL="0" distR="0" wp14:anchorId="4CD287EA" wp14:editId="43B4F5C6">
            <wp:extent cx="5731510" cy="326680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0278"/>
                    <a:stretch/>
                  </pic:blipFill>
                  <pic:spPr bwMode="auto">
                    <a:xfrm>
                      <a:off x="0" y="0"/>
                      <a:ext cx="5731510" cy="3266804"/>
                    </a:xfrm>
                    <a:prstGeom prst="rect">
                      <a:avLst/>
                    </a:prstGeom>
                    <a:ln>
                      <a:noFill/>
                    </a:ln>
                    <a:extLst>
                      <a:ext uri="{53640926-AAD7-44D8-BBD7-CCE9431645EC}">
                        <a14:shadowObscured xmlns:a14="http://schemas.microsoft.com/office/drawing/2010/main"/>
                      </a:ext>
                    </a:extLst>
                  </pic:spPr>
                </pic:pic>
              </a:graphicData>
            </a:graphic>
          </wp:inline>
        </w:drawing>
      </w:r>
    </w:p>
    <w:p w:rsidR="00A57383" w:rsidRPr="00F479FE" w:rsidRDefault="00A57383" w:rsidP="003A595A">
      <w:pPr>
        <w:pStyle w:val="TableFooter"/>
        <w:spacing w:after="160"/>
      </w:pPr>
      <w:r w:rsidRPr="00F479FE">
        <w:t>Source: Figure 6, p.9 of the MURANO updated data cut (May 2018).</w:t>
      </w:r>
    </w:p>
    <w:p w:rsidR="00A57383" w:rsidRPr="005F2796" w:rsidRDefault="00A57383" w:rsidP="003A595A">
      <w:pPr>
        <w:pStyle w:val="ListParagraph"/>
        <w:numPr>
          <w:ilvl w:val="1"/>
          <w:numId w:val="2"/>
        </w:numPr>
        <w:spacing w:after="160"/>
      </w:pPr>
      <w:r w:rsidRPr="00F479FE">
        <w:t>At a median duration of follow-up of 36.0 months, venetoclax plus rituximab was associated with a statistically significant improvement in overall survival compared to bendamustine plus rituximab (hazard ratio 0.50; 95% CI: 0.30, 0.85). Median overa</w:t>
      </w:r>
      <w:r w:rsidRPr="005F2796">
        <w:t>ll survival had not been reached in either treatment group. Longer-term overall survival rates are likely to have been affected by use of other treatments such as ibrutinib following disease progression.</w:t>
      </w:r>
    </w:p>
    <w:p w:rsidR="00E34701" w:rsidRPr="005F2796" w:rsidRDefault="00AD4CDD" w:rsidP="00990C67">
      <w:pPr>
        <w:pStyle w:val="Heading3"/>
      </w:pPr>
      <w:r w:rsidRPr="005F2796">
        <w:t>S</w:t>
      </w:r>
      <w:r w:rsidR="00E34701" w:rsidRPr="005F2796">
        <w:t>ubgroup</w:t>
      </w:r>
      <w:r w:rsidRPr="005F2796">
        <w:t xml:space="preserve"> analyses - Proxy PBS subgroup</w:t>
      </w:r>
    </w:p>
    <w:p w:rsidR="00A57383" w:rsidRPr="005F2796" w:rsidRDefault="00A57383" w:rsidP="000E38D2">
      <w:pPr>
        <w:pStyle w:val="ListParagraph"/>
        <w:numPr>
          <w:ilvl w:val="1"/>
          <w:numId w:val="2"/>
        </w:numPr>
        <w:spacing w:after="160"/>
      </w:pPr>
      <w:r w:rsidRPr="005F2796">
        <w:t>The submission acknowledged that the eligibility criteria for the MURANO trial was broader than for the proposed PBS restriction, as eligibility criteria for the MURANO trial did not require patients to be unsuitable for treatment with a purine analogue. To address this difference, the submission derived a proxy PBS subgroup using individual patient data from the MURANO trial.</w:t>
      </w:r>
    </w:p>
    <w:p w:rsidR="00A57383" w:rsidRPr="005F2796" w:rsidRDefault="00A57383" w:rsidP="000E38D2">
      <w:pPr>
        <w:pStyle w:val="ListParagraph"/>
        <w:numPr>
          <w:ilvl w:val="1"/>
          <w:numId w:val="2"/>
        </w:numPr>
        <w:spacing w:after="160"/>
      </w:pPr>
      <w:r w:rsidRPr="005F2796">
        <w:t xml:space="preserve">The proxy PBS subgroup consisted of patients aged over 70 years, or who were stratified as ‘high-risk’ in the MURANO trial due to: presence of 17p deletion; no response to a first-line chemotherapy-containing regimen; or relapse within 12 months of </w:t>
      </w:r>
      <w:r w:rsidRPr="005F2796">
        <w:lastRenderedPageBreak/>
        <w:t xml:space="preserve">chemotherapy or relapse within 24 months of chemoimmunotherapy. </w:t>
      </w:r>
      <w:r w:rsidR="006D2F5E" w:rsidRPr="005F2796">
        <w:t xml:space="preserve">Based on the results of a post-hoc subgroup analysis, the submission estimated that around </w:t>
      </w:r>
      <w:r w:rsidR="004B34A4">
        <w:rPr>
          <w:noProof/>
          <w:color w:val="000000"/>
          <w:highlight w:val="black"/>
        </w:rPr>
        <w:t>'''''</w:t>
      </w:r>
      <w:r w:rsidR="006D2F5E" w:rsidRPr="005F2796">
        <w:t>% of patients in the MURANO trial would meet the eligibility criteria in the proposed restriction.</w:t>
      </w:r>
    </w:p>
    <w:p w:rsidR="00A57383" w:rsidRPr="005F2796" w:rsidRDefault="00A57383" w:rsidP="003A595A">
      <w:pPr>
        <w:pStyle w:val="ListParagraph"/>
        <w:numPr>
          <w:ilvl w:val="1"/>
          <w:numId w:val="2"/>
        </w:numPr>
        <w:spacing w:after="160"/>
        <w:ind w:left="578" w:hanging="578"/>
      </w:pPr>
      <w:r w:rsidRPr="005F2796">
        <w:t xml:space="preserve">Treatment with venetoclax plus rituximab in the proxy PBS subgroup was associated with a statistically significant improvement in progression-free survival compared to bendamustine plus rituximab (hazard ratio </w:t>
      </w:r>
      <w:r w:rsidR="004B34A4">
        <w:rPr>
          <w:noProof/>
          <w:color w:val="000000"/>
          <w:highlight w:val="black"/>
        </w:rPr>
        <w:t>''''''''</w:t>
      </w:r>
      <w:r w:rsidRPr="005F2796">
        <w:t xml:space="preserve">; 95% CI: </w:t>
      </w:r>
      <w:r w:rsidR="004B34A4">
        <w:rPr>
          <w:noProof/>
          <w:color w:val="000000"/>
          <w:highlight w:val="black"/>
        </w:rPr>
        <w:t>''''''''' '''''''''</w:t>
      </w:r>
      <w:r w:rsidRPr="005F2796">
        <w:t xml:space="preserve">). The results for the overall survival comparison favoured venetoclax plus rituximab, but did not reach statistical significance (hazard ratio </w:t>
      </w:r>
      <w:r w:rsidR="004B34A4">
        <w:rPr>
          <w:noProof/>
          <w:color w:val="000000"/>
          <w:highlight w:val="black"/>
        </w:rPr>
        <w:t>'''''''''</w:t>
      </w:r>
      <w:r w:rsidRPr="005F2796">
        <w:t xml:space="preserve">; 95% CI: </w:t>
      </w:r>
      <w:r w:rsidR="004B34A4">
        <w:rPr>
          <w:noProof/>
          <w:color w:val="000000"/>
          <w:highlight w:val="black"/>
        </w:rPr>
        <w:t>'''''''''' ''''''''</w:t>
      </w:r>
      <w:r w:rsidRPr="005F2796">
        <w:t xml:space="preserve">). The submission claimed that the results for the PBS proxy subgroup were consistent with those for the full trial population. </w:t>
      </w:r>
      <w:r w:rsidR="00AD4CDD" w:rsidRPr="005F2796">
        <w:t>T</w:t>
      </w:r>
      <w:r w:rsidR="00B6200E" w:rsidRPr="005F2796">
        <w:t xml:space="preserve">he applicability of the proxy PBS subgroup results to the PBS population is unclear. </w:t>
      </w:r>
      <w:r w:rsidRPr="005F2796">
        <w:t>Patients in the PBS population are likely to be older, more treatment experienced, at a higher disease stage, and with higher rates of fludarabine-refractory disease</w:t>
      </w:r>
      <w:r w:rsidR="00B6200E" w:rsidRPr="005F2796">
        <w:t>. Patients</w:t>
      </w:r>
      <w:r w:rsidR="002F29B1" w:rsidRPr="005F2796">
        <w:t xml:space="preserve"> in the PBS population</w:t>
      </w:r>
      <w:r w:rsidR="00B6200E" w:rsidRPr="005F2796">
        <w:t xml:space="preserve"> may have received prior treatment with ibrutinib or idelalisib plus rituximab.</w:t>
      </w:r>
      <w:r w:rsidR="0095495D" w:rsidRPr="005F2796">
        <w:t xml:space="preserve"> The ESC considered </w:t>
      </w:r>
      <w:r w:rsidR="00FE2CA8" w:rsidRPr="005F2796">
        <w:t xml:space="preserve">that </w:t>
      </w:r>
      <w:r w:rsidR="0095495D" w:rsidRPr="005F2796">
        <w:t xml:space="preserve">there was also a risk that the estimate of </w:t>
      </w:r>
      <w:r w:rsidR="004B34A4">
        <w:rPr>
          <w:noProof/>
          <w:color w:val="000000"/>
          <w:highlight w:val="black"/>
        </w:rPr>
        <w:t>'''''</w:t>
      </w:r>
      <w:r w:rsidR="0095495D" w:rsidRPr="005F2796">
        <w:t xml:space="preserve">% of patients with MURANO trial criteria meeting the PBS eligibility criteria </w:t>
      </w:r>
      <w:r w:rsidR="00FE2CA8" w:rsidRPr="005F2796">
        <w:t>wa</w:t>
      </w:r>
      <w:r w:rsidR="0095495D" w:rsidRPr="005F2796">
        <w:t>s an underestimate</w:t>
      </w:r>
      <w:r w:rsidR="00FE2CA8" w:rsidRPr="005F2796">
        <w:t xml:space="preserve"> because</w:t>
      </w:r>
      <w:r w:rsidR="0095495D" w:rsidRPr="005F2796">
        <w:t xml:space="preserve"> unsuitability for purine analogue treatment is prone to clinician subjectivity, with risk of leakage to a broader population more in keeping wi</w:t>
      </w:r>
      <w:r w:rsidR="00FE2CA8" w:rsidRPr="005F2796">
        <w:t>th the MURANO trial population.</w:t>
      </w:r>
    </w:p>
    <w:p w:rsidR="00E34701" w:rsidRPr="005F2796" w:rsidRDefault="00E34701" w:rsidP="004E316A">
      <w:pPr>
        <w:pStyle w:val="Heading3"/>
      </w:pPr>
      <w:r w:rsidRPr="005F2796">
        <w:t>Indirect comparison</w:t>
      </w:r>
    </w:p>
    <w:p w:rsidR="00DF2693" w:rsidRPr="005F2796" w:rsidRDefault="00A57383" w:rsidP="000E38D2">
      <w:pPr>
        <w:pStyle w:val="ListParagraph"/>
        <w:numPr>
          <w:ilvl w:val="1"/>
          <w:numId w:val="2"/>
        </w:numPr>
        <w:spacing w:after="160"/>
      </w:pPr>
      <w:r w:rsidRPr="005F2796">
        <w:t>The submission conducted an indirect comparison of venetoclax plus rituximab to ibrutinib plus bendamustine plus rituximab, based on the results of the MURANO and HELIOS trials, using bendamustine plus rituximab as the common reference. The indirect comparison was conducted using the Bucher method.</w:t>
      </w:r>
    </w:p>
    <w:p w:rsidR="00A57383" w:rsidRPr="005F2796" w:rsidRDefault="00DF2693" w:rsidP="000E38D2">
      <w:pPr>
        <w:pStyle w:val="ListParagraph"/>
        <w:numPr>
          <w:ilvl w:val="1"/>
          <w:numId w:val="2"/>
        </w:numPr>
        <w:spacing w:after="160"/>
      </w:pPr>
      <w:r w:rsidRPr="005F2796">
        <w:t>The submission assumed that the ibrutinib plus bendamustine plus rituximab arm of the HELIOS trial could be used as a proxy for the ef</w:t>
      </w:r>
      <w:r w:rsidR="00960295" w:rsidRPr="005F2796">
        <w:t>ficacy of ibrutinib monotherapy, based on the results of an analysis by Hillmen et al. (2015).</w:t>
      </w:r>
      <w:r w:rsidRPr="005F2796">
        <w:t xml:space="preserve"> This </w:t>
      </w:r>
      <w:r w:rsidR="006D2F5E" w:rsidRPr="005F2796">
        <w:t xml:space="preserve">assumption </w:t>
      </w:r>
      <w:r w:rsidR="005553D1" w:rsidRPr="005F2796">
        <w:t>may be biased against venetoclax plus rituximab</w:t>
      </w:r>
      <w:r w:rsidRPr="005F2796">
        <w:t>, as any additional benefit of adding bendamustine plus rituximab would favour the ibrutinib arm of the indirect comparison. However, it is unknown whether pharmacokinetic or pharmacological interaction between ibrutinib, bendamustine and rituximab could potentially have a negative impact on the efficacy of ibrutinib.</w:t>
      </w:r>
    </w:p>
    <w:p w:rsidR="00A57383" w:rsidRPr="005F2796" w:rsidRDefault="00A57383" w:rsidP="000E38D2">
      <w:pPr>
        <w:pStyle w:val="ListParagraph"/>
        <w:numPr>
          <w:ilvl w:val="1"/>
          <w:numId w:val="2"/>
        </w:numPr>
        <w:spacing w:after="160"/>
      </w:pPr>
      <w:r w:rsidRPr="005F2796">
        <w:t xml:space="preserve">The submission claimed that, despite some differences in </w:t>
      </w:r>
      <w:r w:rsidR="00DF2693" w:rsidRPr="005F2796">
        <w:t xml:space="preserve">the </w:t>
      </w:r>
      <w:r w:rsidRPr="005F2796">
        <w:t xml:space="preserve">distribution of potential effect modifiers between the trial populations, the patient characteristics of the two trials broadly overlapped, and that an indirect treatment comparison using bendamustine plus rituximab was appropriate. Differences </w:t>
      </w:r>
      <w:r w:rsidR="00E25552" w:rsidRPr="005F2796">
        <w:t>in trial design (open-label in MURANO versus double-blind placebo</w:t>
      </w:r>
      <w:r w:rsidR="00DF2693" w:rsidRPr="005F2796">
        <w:t>-</w:t>
      </w:r>
      <w:r w:rsidR="00E25552" w:rsidRPr="005F2796">
        <w:t xml:space="preserve">controlled in HELIOS) and the distribution of potential treatment effect modifiers </w:t>
      </w:r>
      <w:r w:rsidRPr="005F2796">
        <w:t xml:space="preserve">between the trial populations limited the exchangeability of the trials. Median progression-free survival was </w:t>
      </w:r>
      <w:r w:rsidR="006D2F5E" w:rsidRPr="005F2796">
        <w:t xml:space="preserve">longer for the </w:t>
      </w:r>
      <w:r w:rsidRPr="005F2796">
        <w:t xml:space="preserve">bendamustine plus rituximab arm of </w:t>
      </w:r>
      <w:r w:rsidR="001F0F2F" w:rsidRPr="005F2796">
        <w:t xml:space="preserve">the </w:t>
      </w:r>
      <w:r w:rsidRPr="005F2796">
        <w:t>MURANO</w:t>
      </w:r>
      <w:r w:rsidR="006D2F5E" w:rsidRPr="005F2796">
        <w:t xml:space="preserve"> trial (17.0 months)</w:t>
      </w:r>
      <w:r w:rsidRPr="005F2796">
        <w:t>,</w:t>
      </w:r>
      <w:r w:rsidR="006D2F5E" w:rsidRPr="005F2796">
        <w:t xml:space="preserve"> compared to the </w:t>
      </w:r>
      <w:r w:rsidRPr="005F2796">
        <w:t>placebo plus bendamustine plus rituximab arm of the HELIOS trial</w:t>
      </w:r>
      <w:r w:rsidR="006D2F5E" w:rsidRPr="005F2796">
        <w:t xml:space="preserve"> (14.2 months)</w:t>
      </w:r>
      <w:r w:rsidRPr="005F2796">
        <w:t>.</w:t>
      </w:r>
    </w:p>
    <w:p w:rsidR="00A57383" w:rsidRPr="005F2796" w:rsidRDefault="00A57383" w:rsidP="000E38D2">
      <w:pPr>
        <w:pStyle w:val="ListParagraph"/>
        <w:numPr>
          <w:ilvl w:val="1"/>
          <w:numId w:val="2"/>
        </w:numPr>
        <w:spacing w:after="160"/>
      </w:pPr>
      <w:r w:rsidRPr="005F2796">
        <w:lastRenderedPageBreak/>
        <w:t>Given the reduced efficacy of bendamustine plus rituximab in patients with 17p deletion, the indirect comparison is likely to be biased in favour of venetoclax plus rituximab</w:t>
      </w:r>
      <w:r w:rsidR="00017BBE" w:rsidRPr="005F2796">
        <w:t xml:space="preserve"> </w:t>
      </w:r>
      <w:r w:rsidR="00F32114" w:rsidRPr="005F2796">
        <w:t>i.e.</w:t>
      </w:r>
      <w:r w:rsidR="001B4D8D" w:rsidRPr="005F2796">
        <w:t xml:space="preserve"> the difference between venetoclax plus rituximab and bendamustine plus rituximab in the MURANO trial would be larger than expected in a non-17p deletion population, such as in the HELIOS </w:t>
      </w:r>
      <w:r w:rsidR="00D40B65" w:rsidRPr="005F2796">
        <w:t>trial.</w:t>
      </w:r>
    </w:p>
    <w:p w:rsidR="005808B4" w:rsidRPr="005F2796" w:rsidRDefault="00A57383" w:rsidP="000E38D2">
      <w:pPr>
        <w:pStyle w:val="ListParagraph"/>
        <w:numPr>
          <w:ilvl w:val="1"/>
          <w:numId w:val="2"/>
        </w:numPr>
        <w:spacing w:after="160"/>
      </w:pPr>
      <w:r w:rsidRPr="005F2796">
        <w:t xml:space="preserve">Table 4 presents the results for the indirect comparisons of progression-free </w:t>
      </w:r>
      <w:r w:rsidR="00FE2CA8" w:rsidRPr="005F2796">
        <w:t>and overall survival.</w:t>
      </w:r>
    </w:p>
    <w:p w:rsidR="008029DE" w:rsidRPr="005F2796" w:rsidRDefault="008029DE" w:rsidP="008029DE">
      <w:pPr>
        <w:pStyle w:val="V50Instructions"/>
        <w:keepNext/>
        <w:rPr>
          <w:rFonts w:ascii="Arial Narrow" w:hAnsi="Arial Narrow"/>
          <w:b/>
          <w:color w:val="auto"/>
          <w:sz w:val="20"/>
          <w:szCs w:val="20"/>
        </w:rPr>
      </w:pPr>
      <w:r w:rsidRPr="005F2796">
        <w:rPr>
          <w:rFonts w:ascii="Arial Narrow" w:hAnsi="Arial Narrow"/>
          <w:b/>
          <w:color w:val="auto"/>
          <w:sz w:val="20"/>
          <w:szCs w:val="20"/>
        </w:rPr>
        <w:t>Table 4: Indirect comparison of progression-free survival between the MURANO and HELIOS trials</w:t>
      </w:r>
    </w:p>
    <w:tbl>
      <w:tblPr>
        <w:tblW w:w="5000" w:type="pct"/>
        <w:tblLayout w:type="fixed"/>
        <w:tblCellMar>
          <w:left w:w="0" w:type="dxa"/>
          <w:right w:w="0" w:type="dxa"/>
        </w:tblCellMar>
        <w:tblLook w:val="04A0" w:firstRow="1" w:lastRow="0" w:firstColumn="1" w:lastColumn="0" w:noHBand="0" w:noVBand="1"/>
      </w:tblPr>
      <w:tblGrid>
        <w:gridCol w:w="1982"/>
        <w:gridCol w:w="1982"/>
        <w:gridCol w:w="1700"/>
        <w:gridCol w:w="1845"/>
        <w:gridCol w:w="1507"/>
      </w:tblGrid>
      <w:tr w:rsidR="00A57383" w:rsidRPr="005F2796" w:rsidTr="00B6200E">
        <w:trPr>
          <w:trHeight w:val="192"/>
        </w:trPr>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rPr>
                <w:b/>
              </w:rPr>
            </w:pPr>
            <w:r w:rsidRPr="005F2796">
              <w:rPr>
                <w:b/>
              </w:rPr>
              <w:t>MURANO</w:t>
            </w:r>
          </w:p>
          <w:p w:rsidR="00A57383" w:rsidRPr="005F2796" w:rsidRDefault="00A57383" w:rsidP="000E38D2">
            <w:pPr>
              <w:pStyle w:val="Tabletext0"/>
              <w:keepNext/>
              <w:keepLines/>
              <w:framePr w:wrap="auto" w:vAnchor="margin" w:yAlign="inline"/>
              <w:rPr>
                <w:b/>
              </w:rPr>
            </w:pPr>
            <w:r w:rsidRPr="005F2796">
              <w:rPr>
                <w:b/>
              </w:rPr>
              <w:t>(N=389)</w:t>
            </w:r>
          </w:p>
        </w:tc>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rPr>
                <w:b/>
              </w:rPr>
            </w:pPr>
            <w:r w:rsidRPr="005F2796">
              <w:rPr>
                <w:b/>
              </w:rPr>
              <w:t>HELIOS</w:t>
            </w:r>
          </w:p>
          <w:p w:rsidR="00A57383" w:rsidRPr="005F2796" w:rsidRDefault="00A57383" w:rsidP="000E38D2">
            <w:pPr>
              <w:pStyle w:val="Tabletext0"/>
              <w:keepNext/>
              <w:keepLines/>
              <w:framePr w:wrap="auto" w:vAnchor="margin" w:yAlign="inline"/>
              <w:rPr>
                <w:b/>
              </w:rPr>
            </w:pPr>
            <w:r w:rsidRPr="005F2796">
              <w:rPr>
                <w:b/>
              </w:rPr>
              <w:t>(N=578)</w:t>
            </w:r>
          </w:p>
        </w:tc>
        <w:tc>
          <w:tcPr>
            <w:tcW w:w="94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rPr>
                <w:b/>
              </w:rPr>
            </w:pPr>
            <w:r w:rsidRPr="00DC712B">
              <w:rPr>
                <w:b/>
              </w:rPr>
              <w:t>MURANO</w:t>
            </w:r>
          </w:p>
          <w:p w:rsidR="00A57383" w:rsidRPr="00DC712B" w:rsidRDefault="00A57383" w:rsidP="000E38D2">
            <w:pPr>
              <w:pStyle w:val="Tabletext0"/>
              <w:keepNext/>
              <w:keepLines/>
              <w:framePr w:wrap="auto" w:vAnchor="margin" w:yAlign="inline"/>
              <w:rPr>
                <w:b/>
              </w:rPr>
            </w:pPr>
            <w:r w:rsidRPr="00DC712B">
              <w:rPr>
                <w:b/>
              </w:rPr>
              <w:t xml:space="preserve">VEN + RIT vs. </w:t>
            </w:r>
          </w:p>
          <w:p w:rsidR="00A57383" w:rsidRPr="00DC712B" w:rsidRDefault="00A57383" w:rsidP="000E38D2">
            <w:pPr>
              <w:pStyle w:val="Tabletext0"/>
              <w:keepNext/>
              <w:keepLines/>
              <w:framePr w:wrap="auto" w:vAnchor="margin" w:yAlign="inline"/>
              <w:rPr>
                <w:b/>
              </w:rPr>
            </w:pPr>
            <w:r w:rsidRPr="00DC712B">
              <w:rPr>
                <w:b/>
              </w:rPr>
              <w:t>BEN + RIT</w:t>
            </w:r>
          </w:p>
          <w:p w:rsidR="00A57383" w:rsidRPr="005F2796" w:rsidRDefault="00A57383" w:rsidP="000E38D2">
            <w:pPr>
              <w:pStyle w:val="Tabletext0"/>
              <w:keepNext/>
              <w:keepLines/>
              <w:framePr w:wrap="auto" w:vAnchor="margin" w:yAlign="inline"/>
            </w:pPr>
            <w:r w:rsidRPr="00DC712B">
              <w:rPr>
                <w:b/>
              </w:rPr>
              <w:t>HR (95% CI)</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F479FE" w:rsidRDefault="00A57383" w:rsidP="000E38D2">
            <w:pPr>
              <w:pStyle w:val="Tabletext0"/>
              <w:keepNext/>
              <w:keepLines/>
              <w:framePr w:wrap="auto" w:vAnchor="margin" w:yAlign="inline"/>
              <w:rPr>
                <w:b/>
              </w:rPr>
            </w:pPr>
            <w:r w:rsidRPr="00F479FE">
              <w:rPr>
                <w:b/>
              </w:rPr>
              <w:t>HELIOS</w:t>
            </w:r>
          </w:p>
          <w:p w:rsidR="00A57383" w:rsidRPr="00F479FE" w:rsidRDefault="00A57383" w:rsidP="000E38D2">
            <w:pPr>
              <w:pStyle w:val="Tabletext0"/>
              <w:keepNext/>
              <w:keepLines/>
              <w:framePr w:wrap="auto" w:vAnchor="margin" w:yAlign="inline"/>
              <w:rPr>
                <w:b/>
              </w:rPr>
            </w:pPr>
            <w:r w:rsidRPr="00F479FE">
              <w:rPr>
                <w:b/>
              </w:rPr>
              <w:t>IBR + BEN + RIT vs. PBO + BEN + RIT</w:t>
            </w:r>
          </w:p>
          <w:p w:rsidR="00A57383" w:rsidRPr="005F2796" w:rsidRDefault="00A57383" w:rsidP="000E38D2">
            <w:pPr>
              <w:pStyle w:val="Tabletext0"/>
              <w:keepNext/>
              <w:keepLines/>
              <w:framePr w:wrap="auto" w:vAnchor="margin" w:yAlign="inline"/>
            </w:pPr>
            <w:r w:rsidRPr="005F2796">
              <w:rPr>
                <w:b/>
              </w:rPr>
              <w:t>HR (95% CI)</w:t>
            </w:r>
          </w:p>
        </w:tc>
        <w:tc>
          <w:tcPr>
            <w:tcW w:w="836"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rPr>
                <w:b/>
              </w:rPr>
            </w:pPr>
            <w:r w:rsidRPr="005F2796">
              <w:rPr>
                <w:b/>
              </w:rPr>
              <w:t xml:space="preserve">Indirect estimate </w:t>
            </w:r>
          </w:p>
          <w:p w:rsidR="00A57383" w:rsidRPr="005F2796" w:rsidRDefault="00A57383" w:rsidP="000E38D2">
            <w:pPr>
              <w:pStyle w:val="Tabletext0"/>
              <w:keepNext/>
              <w:keepLines/>
              <w:framePr w:wrap="auto" w:vAnchor="margin" w:yAlign="inline"/>
            </w:pPr>
            <w:r w:rsidRPr="005F2796">
              <w:rPr>
                <w:b/>
              </w:rPr>
              <w:t>HR (95%CI)</w:t>
            </w:r>
          </w:p>
        </w:tc>
      </w:tr>
      <w:tr w:rsidR="00A57383" w:rsidRPr="005F2796" w:rsidTr="00B6200E">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rPr>
                <w:b/>
              </w:rPr>
            </w:pPr>
            <w:r w:rsidRPr="005F2796">
              <w:rPr>
                <w:b/>
              </w:rPr>
              <w:t>Median follow-up</w:t>
            </w:r>
          </w:p>
        </w:tc>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pPr>
            <w:r w:rsidRPr="005F2796">
              <w:rPr>
                <w:b/>
              </w:rPr>
              <w:t>Median follow-up</w:t>
            </w:r>
          </w:p>
        </w:tc>
        <w:tc>
          <w:tcPr>
            <w:tcW w:w="943"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pPr>
          </w:p>
        </w:tc>
        <w:tc>
          <w:tcPr>
            <w:tcW w:w="1023"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pPr>
          </w:p>
        </w:tc>
        <w:tc>
          <w:tcPr>
            <w:tcW w:w="836"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pPr>
          </w:p>
        </w:tc>
      </w:tr>
      <w:tr w:rsidR="00A57383" w:rsidRPr="005F2796" w:rsidTr="00EF6959">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jc w:val="left"/>
              <w:rPr>
                <w:b/>
              </w:rPr>
            </w:pPr>
            <w:r w:rsidRPr="005F2796">
              <w:rPr>
                <w:b/>
              </w:rPr>
              <w:t>Progression-free survival (investigator-assessed)</w:t>
            </w:r>
          </w:p>
        </w:tc>
      </w:tr>
      <w:tr w:rsidR="00A57383" w:rsidRPr="005F2796" w:rsidTr="00B6200E">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pPr>
            <w:r w:rsidRPr="005F2796">
              <w:t>23.8 months</w:t>
            </w:r>
          </w:p>
        </w:tc>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pPr>
            <w:r w:rsidRPr="005F2796">
              <w:t>25.4 months</w:t>
            </w:r>
          </w:p>
        </w:tc>
        <w:tc>
          <w:tcPr>
            <w:tcW w:w="9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7383" w:rsidRPr="005F2796" w:rsidRDefault="00A57383" w:rsidP="000E38D2">
            <w:pPr>
              <w:pStyle w:val="Tabletext0"/>
              <w:keepNext/>
              <w:keepLines/>
              <w:framePr w:wrap="auto" w:vAnchor="margin" w:yAlign="inline"/>
            </w:pPr>
            <w:r w:rsidRPr="005F2796">
              <w:t>0.17 (0.11, 0.25)</w:t>
            </w: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7383" w:rsidRPr="005F2796" w:rsidRDefault="00A57383" w:rsidP="000E38D2">
            <w:pPr>
              <w:pStyle w:val="Tabletext0"/>
              <w:keepNext/>
              <w:keepLines/>
              <w:framePr w:wrap="auto" w:vAnchor="margin" w:yAlign="inline"/>
            </w:pPr>
            <w:r w:rsidRPr="005F2796">
              <w:t>0.20 (0.15, 0.26)</w:t>
            </w:r>
          </w:p>
        </w:tc>
        <w:tc>
          <w:tcPr>
            <w:tcW w:w="8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7383" w:rsidRPr="00B71183" w:rsidRDefault="00A57383" w:rsidP="000E38D2">
            <w:pPr>
              <w:pStyle w:val="Tabletext0"/>
              <w:keepNext/>
              <w:keepLines/>
              <w:framePr w:wrap="auto" w:vAnchor="margin" w:yAlign="inline"/>
            </w:pPr>
            <w:r w:rsidRPr="00B71183">
              <w:t xml:space="preserve">0.85 (0.52, 1.40) </w:t>
            </w:r>
          </w:p>
        </w:tc>
      </w:tr>
      <w:tr w:rsidR="00A57383" w:rsidRPr="005F2796" w:rsidTr="00B6200E">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DC712B">
              <w:t>36.0 months</w:t>
            </w:r>
          </w:p>
        </w:tc>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5F2796">
              <w:t>25.4 months</w:t>
            </w:r>
          </w:p>
        </w:tc>
        <w:tc>
          <w:tcPr>
            <w:tcW w:w="9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rPr>
                <w:color w:val="000000"/>
              </w:rPr>
            </w:pPr>
            <w:r w:rsidRPr="00DC712B">
              <w:rPr>
                <w:color w:val="000000"/>
              </w:rPr>
              <w:t>0.16 (0.12, 0.23)</w:t>
            </w: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DC712B">
              <w:t>0.20 (0.15, 0.26)</w:t>
            </w:r>
          </w:p>
        </w:tc>
        <w:tc>
          <w:tcPr>
            <w:tcW w:w="8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B71183" w:rsidRDefault="00A57383" w:rsidP="000E38D2">
            <w:pPr>
              <w:pStyle w:val="Tabletext0"/>
              <w:keepNext/>
              <w:keepLines/>
              <w:framePr w:wrap="auto" w:vAnchor="margin" w:yAlign="inline"/>
              <w:rPr>
                <w:color w:val="000000"/>
              </w:rPr>
            </w:pPr>
            <w:r w:rsidRPr="00B71183">
              <w:rPr>
                <w:color w:val="000000"/>
              </w:rPr>
              <w:t xml:space="preserve">0.80 (0.53, 1.23) </w:t>
            </w:r>
          </w:p>
        </w:tc>
      </w:tr>
      <w:tr w:rsidR="00A57383" w:rsidRPr="005F2796" w:rsidTr="00EF6959">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5F2796" w:rsidRDefault="00A57383" w:rsidP="000E38D2">
            <w:pPr>
              <w:pStyle w:val="Tabletext0"/>
              <w:keepNext/>
              <w:keepLines/>
              <w:framePr w:wrap="auto" w:vAnchor="margin" w:yAlign="inline"/>
              <w:jc w:val="left"/>
              <w:rPr>
                <w:b/>
              </w:rPr>
            </w:pPr>
            <w:r w:rsidRPr="005F2796">
              <w:rPr>
                <w:b/>
              </w:rPr>
              <w:t>Overall survival</w:t>
            </w:r>
          </w:p>
        </w:tc>
      </w:tr>
      <w:tr w:rsidR="00A57383" w:rsidRPr="005F2796" w:rsidTr="00B6200E">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5F2796">
              <w:t>23.8 months</w:t>
            </w:r>
          </w:p>
        </w:tc>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5F2796">
              <w:t>25.4 months</w:t>
            </w:r>
          </w:p>
        </w:tc>
        <w:tc>
          <w:tcPr>
            <w:tcW w:w="9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rPr>
                <w:color w:val="000000"/>
              </w:rPr>
            </w:pPr>
            <w:r w:rsidRPr="005F2796">
              <w:t>0.48 (0.25, 0.9)</w:t>
            </w: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5F2796">
              <w:t>0.63 (0.34, 1.02)</w:t>
            </w:r>
          </w:p>
        </w:tc>
        <w:tc>
          <w:tcPr>
            <w:tcW w:w="8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B71183" w:rsidRDefault="00A57383" w:rsidP="000E38D2">
            <w:pPr>
              <w:pStyle w:val="Tabletext0"/>
              <w:keepNext/>
              <w:keepLines/>
              <w:framePr w:wrap="auto" w:vAnchor="margin" w:yAlign="inline"/>
              <w:rPr>
                <w:color w:val="000000"/>
              </w:rPr>
            </w:pPr>
            <w:r w:rsidRPr="00B71183">
              <w:t>0.76 (0.34, 1.71)</w:t>
            </w:r>
          </w:p>
        </w:tc>
      </w:tr>
      <w:tr w:rsidR="00A57383" w:rsidRPr="005F2796" w:rsidTr="00B6200E">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5F2796">
              <w:t>36.0 months</w:t>
            </w:r>
          </w:p>
        </w:tc>
        <w:tc>
          <w:tcPr>
            <w:tcW w:w="10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5F2796">
              <w:t>25.4 months</w:t>
            </w:r>
          </w:p>
        </w:tc>
        <w:tc>
          <w:tcPr>
            <w:tcW w:w="9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rPr>
                <w:color w:val="000000"/>
              </w:rPr>
            </w:pPr>
            <w:r w:rsidRPr="005F2796">
              <w:t>0.50 (0.30, 0.85)</w:t>
            </w: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DC712B" w:rsidRDefault="00A57383" w:rsidP="000E38D2">
            <w:pPr>
              <w:pStyle w:val="Tabletext0"/>
              <w:keepNext/>
              <w:keepLines/>
              <w:framePr w:wrap="auto" w:vAnchor="margin" w:yAlign="inline"/>
            </w:pPr>
            <w:r w:rsidRPr="005F2796">
              <w:t>0.63 (0.39, 1.02)</w:t>
            </w:r>
          </w:p>
        </w:tc>
        <w:tc>
          <w:tcPr>
            <w:tcW w:w="8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7383" w:rsidRPr="00B71183" w:rsidRDefault="00A57383" w:rsidP="000E38D2">
            <w:pPr>
              <w:pStyle w:val="Tabletext0"/>
              <w:keepNext/>
              <w:keepLines/>
              <w:framePr w:wrap="auto" w:vAnchor="margin" w:yAlign="inline"/>
              <w:rPr>
                <w:color w:val="000000"/>
              </w:rPr>
            </w:pPr>
            <w:r w:rsidRPr="00B71183">
              <w:t>0.80 (0.39, 1.63)</w:t>
            </w:r>
          </w:p>
        </w:tc>
      </w:tr>
    </w:tbl>
    <w:p w:rsidR="00A57383" w:rsidRPr="005F2796" w:rsidRDefault="00A57383" w:rsidP="000E38D2">
      <w:pPr>
        <w:pStyle w:val="TableFooter"/>
        <w:keepNext/>
        <w:keepLines/>
      </w:pPr>
      <w:r w:rsidRPr="00F05B79">
        <w:t>Hazard ratio &lt;1 favours venetoclax plus rituximab.</w:t>
      </w:r>
    </w:p>
    <w:p w:rsidR="00A57383" w:rsidRPr="005F2796" w:rsidRDefault="00A57383" w:rsidP="000E38D2">
      <w:pPr>
        <w:pStyle w:val="TableFooter"/>
        <w:keepNext/>
        <w:keepLines/>
      </w:pPr>
      <w:r w:rsidRPr="005F2796">
        <w:t>Source: Table 7, p13-14 of the ‘MURANO updated datacut’ Word document provided during the evaluation.</w:t>
      </w:r>
    </w:p>
    <w:p w:rsidR="00A57383" w:rsidRPr="005F2796" w:rsidRDefault="00A57383" w:rsidP="003A595A">
      <w:pPr>
        <w:pStyle w:val="TableFooter"/>
        <w:keepNext/>
        <w:keepLines/>
        <w:spacing w:after="160"/>
      </w:pPr>
      <w:r w:rsidRPr="005F2796">
        <w:t>Abbreviations: VEN, venetoclax; RIT, rituximab; BEN, bendamustine; HR, hazard ratio; CI, confidence interval; IBR, ibrutinib; PBO, placebo.</w:t>
      </w:r>
    </w:p>
    <w:p w:rsidR="006D2F5E" w:rsidRPr="005F2796" w:rsidRDefault="00A57383" w:rsidP="003A595A">
      <w:pPr>
        <w:pStyle w:val="ListParagraph"/>
        <w:numPr>
          <w:ilvl w:val="1"/>
          <w:numId w:val="2"/>
        </w:numPr>
        <w:spacing w:after="160"/>
        <w:ind w:left="578" w:hanging="578"/>
      </w:pPr>
      <w:r w:rsidRPr="005F2796">
        <w:t xml:space="preserve">There were no statistically significant differences between venetoclax plus rituximab and </w:t>
      </w:r>
      <w:r w:rsidR="00AE5746" w:rsidRPr="005F2796">
        <w:t xml:space="preserve">ibrutinib </w:t>
      </w:r>
      <w:r w:rsidRPr="005F2796">
        <w:t>plus bendamustine plus rituximab</w:t>
      </w:r>
      <w:r w:rsidR="006D2F5E" w:rsidRPr="005F2796">
        <w:t xml:space="preserve"> for progression-free or overall survival</w:t>
      </w:r>
      <w:r w:rsidRPr="005F2796">
        <w:t>, with point estimates favouring venetoclax plus rituximab. No non-inferiority margin was nominated in the submission.</w:t>
      </w:r>
      <w:r w:rsidR="00816ABA" w:rsidRPr="005F2796">
        <w:t xml:space="preserve"> The l</w:t>
      </w:r>
      <w:r w:rsidRPr="005F2796">
        <w:t xml:space="preserve">ack of </w:t>
      </w:r>
      <w:r w:rsidR="00816ABA" w:rsidRPr="005F2796">
        <w:t xml:space="preserve">a </w:t>
      </w:r>
      <w:r w:rsidRPr="005F2796">
        <w:t xml:space="preserve">statistically significant difference </w:t>
      </w:r>
      <w:r w:rsidR="00816ABA" w:rsidRPr="005F2796">
        <w:t>is</w:t>
      </w:r>
      <w:r w:rsidRPr="005F2796">
        <w:t xml:space="preserve"> not a robust method </w:t>
      </w:r>
      <w:r w:rsidR="00816ABA" w:rsidRPr="005F2796">
        <w:t>for</w:t>
      </w:r>
      <w:r w:rsidRPr="005F2796">
        <w:t xml:space="preserve"> determining non-inferiority, as the wide confidence intervals may not exclude cl</w:t>
      </w:r>
      <w:r w:rsidR="00FE2CA8" w:rsidRPr="005F2796">
        <w:t>inically important differences.</w:t>
      </w:r>
    </w:p>
    <w:p w:rsidR="00A57383" w:rsidRPr="005F2796" w:rsidRDefault="0052055E" w:rsidP="000E38D2">
      <w:pPr>
        <w:pStyle w:val="ListParagraph"/>
        <w:numPr>
          <w:ilvl w:val="1"/>
          <w:numId w:val="2"/>
        </w:numPr>
        <w:spacing w:after="160"/>
      </w:pPr>
      <w:r w:rsidRPr="005F2796">
        <w:t>The indirect comparison of overall survival results was affected by patient crossover to ibrutinib treatment following disease progression in the HELIOS trial, and patients accessing other treatments, including ibrutinib, following disease progression in the MURANO trial.</w:t>
      </w:r>
    </w:p>
    <w:p w:rsidR="00E34701" w:rsidRPr="005F2796" w:rsidRDefault="00E34701" w:rsidP="00A24100">
      <w:pPr>
        <w:pStyle w:val="Heading3"/>
      </w:pPr>
      <w:r w:rsidRPr="005F2796">
        <w:t>Matching adjusted indirect comparison</w:t>
      </w:r>
    </w:p>
    <w:p w:rsidR="001D01C5" w:rsidRPr="005F2796" w:rsidRDefault="00A57383" w:rsidP="00720BA1">
      <w:pPr>
        <w:pStyle w:val="ListParagraph"/>
        <w:numPr>
          <w:ilvl w:val="1"/>
          <w:numId w:val="2"/>
        </w:numPr>
        <w:spacing w:after="160"/>
      </w:pPr>
      <w:r w:rsidRPr="005F2796">
        <w:t xml:space="preserve">The submission conducted a matching adjusted indirect comparison (MAIC) to support the indirect analysis, using individual patient data from the MURANO trial and the published results of the RESONATE trial. As no common reference arm was available, the submission conducted an unanchored MAIC. </w:t>
      </w:r>
      <w:r w:rsidR="005C7EE8" w:rsidRPr="005F2796">
        <w:t xml:space="preserve">The </w:t>
      </w:r>
      <w:r w:rsidR="008E2C07" w:rsidRPr="005F2796">
        <w:t xml:space="preserve">MAIC was unable to adequately match for the number of prior treatments, as the </w:t>
      </w:r>
      <w:r w:rsidR="005C7EE8" w:rsidRPr="005F2796">
        <w:t xml:space="preserve">eligibility criteria for the RESONATE trial were broader than </w:t>
      </w:r>
      <w:r w:rsidR="008E2C07" w:rsidRPr="005F2796">
        <w:t xml:space="preserve">the </w:t>
      </w:r>
      <w:r w:rsidR="005C7EE8" w:rsidRPr="005F2796">
        <w:t xml:space="preserve">MURANO </w:t>
      </w:r>
      <w:r w:rsidR="008E2C07" w:rsidRPr="005F2796">
        <w:t xml:space="preserve">trial </w:t>
      </w:r>
      <w:r w:rsidR="005C7EE8" w:rsidRPr="005F2796">
        <w:t>with regard to the number of prior treatments</w:t>
      </w:r>
      <w:r w:rsidR="008E2C07" w:rsidRPr="005F2796">
        <w:t>.</w:t>
      </w:r>
      <w:r w:rsidR="001D01C5" w:rsidRPr="005F2796">
        <w:t xml:space="preserve"> The ESC considered </w:t>
      </w:r>
      <w:r w:rsidR="00FE2CA8" w:rsidRPr="005F2796">
        <w:t xml:space="preserve">that </w:t>
      </w:r>
      <w:r w:rsidR="001D01C5" w:rsidRPr="005F2796">
        <w:t>the differing trial populations introduced uncertainty into the matching adjusted indirect comparison</w:t>
      </w:r>
      <w:r w:rsidR="001D01C5" w:rsidRPr="005F2796">
        <w:rPr>
          <w:i/>
        </w:rPr>
        <w:t>.</w:t>
      </w:r>
    </w:p>
    <w:p w:rsidR="00E34701" w:rsidRPr="005F2796" w:rsidRDefault="00A57383" w:rsidP="00720BA1">
      <w:pPr>
        <w:pStyle w:val="ListParagraph"/>
        <w:numPr>
          <w:ilvl w:val="1"/>
          <w:numId w:val="2"/>
        </w:numPr>
        <w:spacing w:after="160"/>
      </w:pPr>
      <w:r w:rsidRPr="005F2796">
        <w:t>For an unanchored indirect comparison, population adjustment methods should adjust for all effect modifiers and prognostic variables</w:t>
      </w:r>
      <w:r w:rsidR="006D2F5E" w:rsidRPr="005F2796">
        <w:t xml:space="preserve"> </w:t>
      </w:r>
      <w:r w:rsidRPr="005F2796">
        <w:t xml:space="preserve">(NICE Technical Support Document 18; Phillippo et al. 2016). </w:t>
      </w:r>
      <w:r w:rsidR="004A1C44" w:rsidRPr="005F2796">
        <w:t xml:space="preserve">It was unclear whether all relevant effect modifiers and prognostic </w:t>
      </w:r>
      <w:r w:rsidR="004A1C44" w:rsidRPr="005F2796">
        <w:lastRenderedPageBreak/>
        <w:t>variables were identified</w:t>
      </w:r>
      <w:r w:rsidR="00207581" w:rsidRPr="005F2796">
        <w:t xml:space="preserve"> in the analysis</w:t>
      </w:r>
      <w:r w:rsidR="004A1C44" w:rsidRPr="005F2796">
        <w:t xml:space="preserve">. </w:t>
      </w:r>
      <w:r w:rsidR="00A95F1A" w:rsidRPr="005F2796">
        <w:t>Some of the prognostic/effect modifier variables</w:t>
      </w:r>
      <w:r w:rsidR="009838A4" w:rsidRPr="005F2796">
        <w:t xml:space="preserve"> identified in the MAIC technical document were not included in the analysis (t</w:t>
      </w:r>
      <w:r w:rsidR="004A1C44" w:rsidRPr="005F2796">
        <w:t xml:space="preserve">ime from diagnosis, </w:t>
      </w:r>
      <w:r w:rsidR="0052055E" w:rsidRPr="005F2796">
        <w:t xml:space="preserve">refractory to </w:t>
      </w:r>
      <w:r w:rsidR="00207581" w:rsidRPr="005F2796">
        <w:t>last anti-leukaemia therapy, and fludarabine refractory</w:t>
      </w:r>
      <w:r w:rsidR="009838A4" w:rsidRPr="005F2796">
        <w:t>).</w:t>
      </w:r>
      <w:r w:rsidR="004A1C44" w:rsidRPr="005F2796">
        <w:t xml:space="preserve"> </w:t>
      </w:r>
      <w:r w:rsidR="006D2F5E" w:rsidRPr="005F2796">
        <w:t>There was i</w:t>
      </w:r>
      <w:r w:rsidR="00393395" w:rsidRPr="005F2796">
        <w:t>nsufficient</w:t>
      </w:r>
      <w:r w:rsidR="009838A4" w:rsidRPr="005F2796">
        <w:t xml:space="preserve"> justification</w:t>
      </w:r>
      <w:r w:rsidR="0052055E" w:rsidRPr="005F2796">
        <w:t xml:space="preserve"> </w:t>
      </w:r>
      <w:r w:rsidR="009838A4" w:rsidRPr="005F2796">
        <w:t xml:space="preserve">provided for the </w:t>
      </w:r>
      <w:r w:rsidR="00D406E5" w:rsidRPr="005F2796">
        <w:t>dichotomous variable cut-offs</w:t>
      </w:r>
      <w:r w:rsidR="00E34701" w:rsidRPr="005F2796">
        <w:t xml:space="preserve"> </w:t>
      </w:r>
      <w:r w:rsidR="006D2F5E" w:rsidRPr="005F2796">
        <w:t xml:space="preserve">selected </w:t>
      </w:r>
      <w:r w:rsidR="00207581" w:rsidRPr="005F2796">
        <w:t xml:space="preserve">for </w:t>
      </w:r>
      <w:r w:rsidR="00D406E5" w:rsidRPr="005F2796">
        <w:t>matching</w:t>
      </w:r>
      <w:r w:rsidR="00E34701" w:rsidRPr="005F2796">
        <w:t xml:space="preserve"> (age, Rai disease stage, prior therapies</w:t>
      </w:r>
      <w:r w:rsidR="00207581" w:rsidRPr="005F2796">
        <w:t>, bulky disease</w:t>
      </w:r>
      <w:r w:rsidR="00E34701" w:rsidRPr="005F2796">
        <w:t>)</w:t>
      </w:r>
      <w:r w:rsidR="00FE2CA8" w:rsidRPr="005F2796">
        <w:t>.</w:t>
      </w:r>
    </w:p>
    <w:p w:rsidR="00E25552" w:rsidRPr="005F2796" w:rsidRDefault="00D406E5" w:rsidP="000E38D2">
      <w:pPr>
        <w:pStyle w:val="ListParagraph"/>
        <w:numPr>
          <w:ilvl w:val="1"/>
          <w:numId w:val="2"/>
        </w:numPr>
        <w:spacing w:after="160"/>
      </w:pPr>
      <w:r w:rsidRPr="005F2796">
        <w:t xml:space="preserve">In order to match inclusion criteria for RESONATE, patients in the venetoclax plus rituximab arm of the MURANO trial were excluded from further analysis if they had no available central laboratory assessment of 17p deletion status, an ECOG score greater than one, or had received prior B-cell receptor pathway inhibitors. This reduced the number of patients available for matching to 169 (87% of initial sample of 194 patients). </w:t>
      </w:r>
      <w:r w:rsidR="00A57383" w:rsidRPr="005F2796">
        <w:t xml:space="preserve">Matching for the selected variables </w:t>
      </w:r>
      <w:r w:rsidRPr="005F2796">
        <w:t xml:space="preserve">resulted in an effective sample size of 62 patients. The </w:t>
      </w:r>
      <w:r w:rsidR="00A57383" w:rsidRPr="005F2796">
        <w:t xml:space="preserve">large reduction in </w:t>
      </w:r>
      <w:r w:rsidRPr="005F2796">
        <w:t xml:space="preserve">effective </w:t>
      </w:r>
      <w:r w:rsidR="00A57383" w:rsidRPr="005F2796">
        <w:t>sample size</w:t>
      </w:r>
      <w:r w:rsidRPr="005F2796">
        <w:t xml:space="preserve"> </w:t>
      </w:r>
      <w:r w:rsidR="009838A4" w:rsidRPr="005F2796">
        <w:t xml:space="preserve">is likely </w:t>
      </w:r>
      <w:r w:rsidR="00A57383" w:rsidRPr="005F2796">
        <w:t>due to</w:t>
      </w:r>
      <w:r w:rsidR="00816ABA" w:rsidRPr="005F2796">
        <w:t xml:space="preserve"> </w:t>
      </w:r>
      <w:r w:rsidR="00A57383" w:rsidRPr="005F2796">
        <w:t>limited overlap between the trial populations.</w:t>
      </w:r>
      <w:r w:rsidR="005B6A11" w:rsidRPr="005F2796">
        <w:t xml:space="preserve"> Post-matching patient characteristics for </w:t>
      </w:r>
      <w:r w:rsidR="00444ECC" w:rsidRPr="005F2796">
        <w:t xml:space="preserve">matched and unmatched </w:t>
      </w:r>
      <w:r w:rsidR="005B6A11" w:rsidRPr="005F2796">
        <w:t>variables were not provided.</w:t>
      </w:r>
    </w:p>
    <w:p w:rsidR="00E25552" w:rsidRPr="005F2796" w:rsidRDefault="00E25552" w:rsidP="000E38D2">
      <w:pPr>
        <w:pStyle w:val="ListParagraph"/>
        <w:numPr>
          <w:ilvl w:val="1"/>
          <w:numId w:val="2"/>
        </w:numPr>
        <w:spacing w:after="160"/>
      </w:pPr>
      <w:r w:rsidRPr="005F2796">
        <w:t>Figure 3 presents a comparison of Kaplan-Meier progression-free survival curves for the MURANO (adjusted and unadjusted) and RESONATE trials.</w:t>
      </w:r>
      <w:r w:rsidR="005C4FEA" w:rsidRPr="005F2796">
        <w:t xml:space="preserve"> A comparison of results for overall survival is presented in Figure 4.</w:t>
      </w:r>
    </w:p>
    <w:p w:rsidR="00E25552" w:rsidRPr="005F2796" w:rsidRDefault="00E25552" w:rsidP="00E25552">
      <w:pPr>
        <w:pStyle w:val="TableHeading0"/>
      </w:pPr>
      <w:r w:rsidRPr="005F2796">
        <w:t>Figure 3: Kaplan-Meier curves for the MAIC of investigator-ass</w:t>
      </w:r>
      <w:r w:rsidR="00FE2CA8" w:rsidRPr="005F2796">
        <w:t>essed progression-free survival</w:t>
      </w:r>
    </w:p>
    <w:p w:rsidR="00E25552" w:rsidRPr="005F2796" w:rsidRDefault="004B34A4" w:rsidP="00E25552">
      <w:r>
        <w:rPr>
          <w:noProof/>
          <w:lang w:eastAsia="en-AU"/>
        </w:rPr>
        <w:drawing>
          <wp:inline distT="0" distB="0" distL="0" distR="0">
            <wp:extent cx="5236845" cy="3488690"/>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stretch>
                      <a:fillRect/>
                    </a:stretch>
                  </pic:blipFill>
                  <pic:spPr>
                    <a:xfrm>
                      <a:off x="0" y="0"/>
                      <a:ext cx="5236845" cy="3488690"/>
                    </a:xfrm>
                    <a:prstGeom prst="rect">
                      <a:avLst/>
                    </a:prstGeom>
                  </pic:spPr>
                </pic:pic>
              </a:graphicData>
            </a:graphic>
          </wp:inline>
        </w:drawing>
      </w:r>
    </w:p>
    <w:p w:rsidR="00E25552" w:rsidRPr="00F479FE" w:rsidRDefault="00E25552" w:rsidP="00E25552">
      <w:pPr>
        <w:pStyle w:val="TableFooter"/>
      </w:pPr>
      <w:r w:rsidRPr="00F479FE">
        <w:t>Source: Figure 8, p.48 of the MAIC technical document, Attachment 6 of the submission.</w:t>
      </w:r>
    </w:p>
    <w:p w:rsidR="00E25552" w:rsidRPr="005F2796" w:rsidRDefault="00E25552" w:rsidP="00E25552">
      <w:pPr>
        <w:pStyle w:val="TableFooter"/>
      </w:pPr>
      <w:r w:rsidRPr="00F479FE">
        <w:t xml:space="preserve">Abbreviations: PFS, progression-free survival; VEN, venetoclax; R, rituximab; Unadj, unadjusted; </w:t>
      </w:r>
      <w:r w:rsidR="00794A82" w:rsidRPr="005F2796">
        <w:t>BR, bendamustine plus rituximab</w:t>
      </w:r>
      <w:r w:rsidRPr="005F2796">
        <w:t>; IBR, ibrutinib; OFA ofatumumab; Adj, adjusted.</w:t>
      </w:r>
    </w:p>
    <w:p w:rsidR="005C4FEA" w:rsidRPr="005F2796" w:rsidRDefault="005C4FEA" w:rsidP="005C4FEA">
      <w:pPr>
        <w:pStyle w:val="TableHeading0"/>
      </w:pPr>
      <w:r w:rsidRPr="005F2796">
        <w:lastRenderedPageBreak/>
        <w:t>Figure 4: Kaplan-Meier curves for the MAIC of over</w:t>
      </w:r>
      <w:r w:rsidR="00FE2CA8" w:rsidRPr="005F2796">
        <w:t>all survival</w:t>
      </w:r>
    </w:p>
    <w:p w:rsidR="005C4FEA" w:rsidRPr="005F2796" w:rsidRDefault="004B34A4" w:rsidP="005C4FEA">
      <w:r>
        <w:rPr>
          <w:noProof/>
          <w:lang w:eastAsia="en-AU"/>
        </w:rPr>
        <w:drawing>
          <wp:inline distT="0" distB="0" distL="0" distR="0">
            <wp:extent cx="5236845" cy="3496310"/>
            <wp:effectExtent l="0" t="0" r="1905" b="889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6845" cy="3496310"/>
                    </a:xfrm>
                    <a:prstGeom prst="rect">
                      <a:avLst/>
                    </a:prstGeom>
                  </pic:spPr>
                </pic:pic>
              </a:graphicData>
            </a:graphic>
          </wp:inline>
        </w:drawing>
      </w:r>
    </w:p>
    <w:p w:rsidR="005C4FEA" w:rsidRPr="00F479FE" w:rsidRDefault="005C4FEA" w:rsidP="005C4FEA">
      <w:pPr>
        <w:pStyle w:val="TableFooter"/>
      </w:pPr>
      <w:r w:rsidRPr="00F479FE">
        <w:t>Source: Figure 8, p.48 of the MAIC technical document, Attachment 6 of the submission.</w:t>
      </w:r>
    </w:p>
    <w:p w:rsidR="005C4FEA" w:rsidRPr="005F2796" w:rsidRDefault="005C4FEA" w:rsidP="003A595A">
      <w:pPr>
        <w:pStyle w:val="TableFooter"/>
        <w:spacing w:after="160"/>
      </w:pPr>
      <w:r w:rsidRPr="00F479FE">
        <w:t>Abbreviations: OS, overall survival; VEN, venetoclax; R, rituximab; Unadj, unadjusted; B</w:t>
      </w:r>
      <w:r w:rsidR="00683F2B" w:rsidRPr="005F2796">
        <w:t>R</w:t>
      </w:r>
      <w:r w:rsidRPr="005F2796">
        <w:t>, bendamustin</w:t>
      </w:r>
      <w:r w:rsidR="00991A27" w:rsidRPr="005F2796">
        <w:t>e</w:t>
      </w:r>
      <w:r w:rsidR="00683F2B" w:rsidRPr="005F2796">
        <w:t xml:space="preserve"> plus rituximab</w:t>
      </w:r>
      <w:r w:rsidRPr="005F2796">
        <w:t>; IBR, ibrutinib; OFA ofatumumab; Adj, adjusted.</w:t>
      </w:r>
    </w:p>
    <w:p w:rsidR="00A57383" w:rsidRPr="005F2796" w:rsidRDefault="00A57383" w:rsidP="003A595A">
      <w:pPr>
        <w:pStyle w:val="ListParagraph"/>
        <w:numPr>
          <w:ilvl w:val="1"/>
          <w:numId w:val="2"/>
        </w:numPr>
        <w:spacing w:after="160"/>
      </w:pPr>
      <w:r w:rsidRPr="005F2796">
        <w:t>Table 5 presents the results of the MAIC of progression-free survival and overall survival.</w:t>
      </w:r>
    </w:p>
    <w:p w:rsidR="00A57383" w:rsidRPr="005F2796" w:rsidRDefault="00A57383" w:rsidP="00A57383">
      <w:pPr>
        <w:pStyle w:val="TableHeading0"/>
      </w:pPr>
      <w:r w:rsidRPr="005F2796">
        <w:t>Table 5: Results of the matching adjusted indirect comparison for progression-free survival and overall survival</w:t>
      </w:r>
    </w:p>
    <w:tbl>
      <w:tblPr>
        <w:tblStyle w:val="TableGrid"/>
        <w:tblW w:w="5000" w:type="pct"/>
        <w:tblLook w:val="04A0" w:firstRow="1" w:lastRow="0" w:firstColumn="1" w:lastColumn="0" w:noHBand="0" w:noVBand="1"/>
        <w:tblCaption w:val="Results of the matching adjusted indirect comparison for progression-free survival and overall survival"/>
      </w:tblPr>
      <w:tblGrid>
        <w:gridCol w:w="1834"/>
        <w:gridCol w:w="2402"/>
        <w:gridCol w:w="2402"/>
        <w:gridCol w:w="2378"/>
      </w:tblGrid>
      <w:tr w:rsidR="00A57383" w:rsidRPr="005F2796" w:rsidTr="00EF6959">
        <w:trPr>
          <w:cnfStyle w:val="100000000000" w:firstRow="1" w:lastRow="0" w:firstColumn="0" w:lastColumn="0" w:oddVBand="0" w:evenVBand="0" w:oddHBand="0" w:evenHBand="0" w:firstRowFirstColumn="0" w:firstRowLastColumn="0" w:lastRowFirstColumn="0" w:lastRowLastColumn="0"/>
          <w:trHeight w:val="650"/>
        </w:trPr>
        <w:tc>
          <w:tcPr>
            <w:tcW w:w="1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383" w:rsidRPr="005F2796" w:rsidRDefault="00A57383" w:rsidP="00EF6959">
            <w:pPr>
              <w:pStyle w:val="TableText"/>
              <w:widowControl w:val="0"/>
              <w:rPr>
                <w:rFonts w:cstheme="minorHAnsi"/>
                <w:b w:val="0"/>
                <w:szCs w:val="20"/>
                <w:lang w:val="en-AU"/>
              </w:rPr>
            </w:pPr>
            <w:r w:rsidRPr="005F2796">
              <w:rPr>
                <w:rFonts w:cstheme="minorHAnsi"/>
                <w:szCs w:val="20"/>
              </w:rPr>
              <w:t>Outcome</w:t>
            </w:r>
          </w:p>
        </w:tc>
        <w:tc>
          <w:tcPr>
            <w:tcW w:w="1332" w:type="pct"/>
            <w:tcBorders>
              <w:top w:val="single" w:sz="4" w:space="0" w:color="auto"/>
              <w:left w:val="single" w:sz="4" w:space="0" w:color="auto"/>
              <w:bottom w:val="single" w:sz="4" w:space="0" w:color="auto"/>
              <w:right w:val="single" w:sz="4" w:space="0" w:color="auto"/>
            </w:tcBorders>
            <w:shd w:val="clear" w:color="auto" w:fill="auto"/>
            <w:hideMark/>
          </w:tcPr>
          <w:p w:rsidR="00A57383" w:rsidRPr="00DC712B" w:rsidRDefault="00A57383" w:rsidP="00EF6959">
            <w:pPr>
              <w:pStyle w:val="TableText"/>
              <w:widowControl w:val="0"/>
              <w:jc w:val="center"/>
              <w:rPr>
                <w:lang w:val="en-AU"/>
              </w:rPr>
            </w:pPr>
            <w:r w:rsidRPr="005F2796">
              <w:t>MURANO</w:t>
            </w:r>
          </w:p>
          <w:p w:rsidR="00A57383" w:rsidRPr="00DC712B" w:rsidRDefault="00A57383" w:rsidP="00EF6959">
            <w:pPr>
              <w:pStyle w:val="TableText"/>
              <w:widowControl w:val="0"/>
              <w:jc w:val="center"/>
              <w:rPr>
                <w:lang w:val="en-AU"/>
              </w:rPr>
            </w:pPr>
            <w:r w:rsidRPr="005F2796">
              <w:t>VEN + RIT</w:t>
            </w:r>
          </w:p>
          <w:p w:rsidR="00A57383" w:rsidRPr="005F2796" w:rsidRDefault="00A57383" w:rsidP="00EF6959">
            <w:pPr>
              <w:pStyle w:val="TableText"/>
              <w:widowControl w:val="0"/>
              <w:jc w:val="center"/>
              <w:rPr>
                <w:rFonts w:cstheme="minorHAnsi"/>
                <w:b w:val="0"/>
                <w:szCs w:val="20"/>
                <w:lang w:val="en-AU"/>
              </w:rPr>
            </w:pPr>
            <w:r w:rsidRPr="005F2796">
              <w:t>HR (95% CI)</w:t>
            </w:r>
          </w:p>
        </w:tc>
        <w:tc>
          <w:tcPr>
            <w:tcW w:w="1332" w:type="pct"/>
            <w:tcBorders>
              <w:top w:val="single" w:sz="4" w:space="0" w:color="auto"/>
              <w:left w:val="single" w:sz="4" w:space="0" w:color="auto"/>
              <w:bottom w:val="single" w:sz="4" w:space="0" w:color="auto"/>
              <w:right w:val="single" w:sz="4" w:space="0" w:color="auto"/>
            </w:tcBorders>
            <w:shd w:val="clear" w:color="auto" w:fill="auto"/>
            <w:hideMark/>
          </w:tcPr>
          <w:p w:rsidR="00A57383" w:rsidRPr="00F479FE" w:rsidRDefault="00A57383" w:rsidP="00EF6959">
            <w:pPr>
              <w:pStyle w:val="TableText"/>
              <w:widowControl w:val="0"/>
              <w:jc w:val="center"/>
              <w:rPr>
                <w:rFonts w:cstheme="minorHAnsi"/>
                <w:szCs w:val="20"/>
                <w:lang w:val="en-AU"/>
              </w:rPr>
            </w:pPr>
            <w:r w:rsidRPr="00F479FE">
              <w:rPr>
                <w:rFonts w:cstheme="minorHAnsi"/>
                <w:szCs w:val="20"/>
                <w:lang w:val="en-AU"/>
              </w:rPr>
              <w:t>RESONATE</w:t>
            </w:r>
          </w:p>
          <w:p w:rsidR="00A57383" w:rsidRPr="005F2796" w:rsidRDefault="00A57383" w:rsidP="00EF6959">
            <w:pPr>
              <w:pStyle w:val="TableText"/>
              <w:widowControl w:val="0"/>
              <w:jc w:val="center"/>
              <w:rPr>
                <w:rFonts w:cstheme="minorHAnsi"/>
                <w:szCs w:val="20"/>
                <w:lang w:val="en-AU"/>
              </w:rPr>
            </w:pPr>
            <w:r w:rsidRPr="00F479FE">
              <w:rPr>
                <w:rFonts w:cstheme="minorHAnsi"/>
                <w:szCs w:val="20"/>
                <w:lang w:val="en-AU"/>
              </w:rPr>
              <w:t>IB</w:t>
            </w:r>
            <w:r w:rsidRPr="005F2796">
              <w:rPr>
                <w:rFonts w:cstheme="minorHAnsi"/>
                <w:szCs w:val="20"/>
              </w:rPr>
              <w:t>R vs OFA</w:t>
            </w:r>
          </w:p>
          <w:p w:rsidR="00A57383" w:rsidRPr="005F2796" w:rsidRDefault="00A57383" w:rsidP="00EF6959">
            <w:pPr>
              <w:pStyle w:val="TableText"/>
              <w:widowControl w:val="0"/>
              <w:jc w:val="center"/>
              <w:rPr>
                <w:rFonts w:cstheme="minorHAnsi"/>
                <w:b w:val="0"/>
                <w:szCs w:val="20"/>
                <w:lang w:val="en-AU"/>
              </w:rPr>
            </w:pPr>
            <w:r w:rsidRPr="005F2796">
              <w:rPr>
                <w:rFonts w:cstheme="minorHAnsi"/>
                <w:szCs w:val="20"/>
              </w:rPr>
              <w:t xml:space="preserve"> HR (95% CI)</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A57383" w:rsidRPr="00DC712B" w:rsidRDefault="00A57383" w:rsidP="00EF6959">
            <w:pPr>
              <w:pStyle w:val="TableText"/>
              <w:widowControl w:val="0"/>
              <w:jc w:val="center"/>
              <w:rPr>
                <w:lang w:val="en-AU"/>
              </w:rPr>
            </w:pPr>
            <w:r w:rsidRPr="005F2796">
              <w:t xml:space="preserve">VEN + RIT vs </w:t>
            </w:r>
            <w:r w:rsidR="005E6952" w:rsidRPr="005F2796">
              <w:t>IBR</w:t>
            </w:r>
          </w:p>
          <w:p w:rsidR="00A57383" w:rsidRPr="005F2796" w:rsidRDefault="00A57383" w:rsidP="00EF6959">
            <w:pPr>
              <w:pStyle w:val="TableText"/>
              <w:widowControl w:val="0"/>
              <w:jc w:val="center"/>
              <w:rPr>
                <w:rFonts w:cstheme="minorHAnsi"/>
                <w:szCs w:val="20"/>
                <w:lang w:val="en-AU"/>
              </w:rPr>
            </w:pPr>
            <w:r w:rsidRPr="005F2796">
              <w:rPr>
                <w:rFonts w:cstheme="minorHAnsi"/>
                <w:szCs w:val="20"/>
                <w:lang w:val="en-AU"/>
              </w:rPr>
              <w:t>HR (95% CI)</w:t>
            </w:r>
          </w:p>
        </w:tc>
      </w:tr>
      <w:tr w:rsidR="00A57383" w:rsidRPr="005F2796" w:rsidTr="00EF6959">
        <w:trPr>
          <w:trHeight w:val="23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57383" w:rsidRPr="005F2796" w:rsidRDefault="00A57383" w:rsidP="00EF6959">
            <w:pPr>
              <w:pStyle w:val="TableText"/>
              <w:widowControl w:val="0"/>
              <w:rPr>
                <w:rFonts w:cstheme="minorHAnsi"/>
                <w:b/>
                <w:szCs w:val="20"/>
                <w:lang w:val="en-AU"/>
              </w:rPr>
            </w:pPr>
            <w:r w:rsidRPr="005F2796">
              <w:rPr>
                <w:rFonts w:cstheme="minorHAnsi"/>
                <w:b/>
                <w:szCs w:val="20"/>
              </w:rPr>
              <w:t>Progression-free survival</w:t>
            </w:r>
          </w:p>
        </w:tc>
      </w:tr>
      <w:tr w:rsidR="00A57383" w:rsidRPr="005F2796" w:rsidTr="00EF6959">
        <w:trPr>
          <w:trHeight w:val="217"/>
        </w:trPr>
        <w:tc>
          <w:tcPr>
            <w:tcW w:w="1017" w:type="pct"/>
            <w:tcBorders>
              <w:top w:val="single" w:sz="4" w:space="0" w:color="auto"/>
              <w:left w:val="single" w:sz="4" w:space="0" w:color="auto"/>
              <w:bottom w:val="single" w:sz="4" w:space="0" w:color="auto"/>
              <w:right w:val="single" w:sz="4" w:space="0" w:color="auto"/>
            </w:tcBorders>
            <w:shd w:val="clear" w:color="auto" w:fill="auto"/>
            <w:hideMark/>
          </w:tcPr>
          <w:p w:rsidR="00A57383" w:rsidRPr="005F2796" w:rsidRDefault="00A57383" w:rsidP="00EF6959">
            <w:pPr>
              <w:pStyle w:val="TableText"/>
              <w:widowControl w:val="0"/>
              <w:rPr>
                <w:rFonts w:cstheme="minorHAnsi"/>
                <w:szCs w:val="20"/>
                <w:lang w:val="en-AU"/>
              </w:rPr>
            </w:pPr>
            <w:r w:rsidRPr="005F2796">
              <w:rPr>
                <w:rFonts w:cstheme="minorHAnsi"/>
                <w:szCs w:val="20"/>
              </w:rPr>
              <w:t>Unadjusted</w:t>
            </w:r>
          </w:p>
        </w:tc>
        <w:tc>
          <w:tcPr>
            <w:tcW w:w="1332" w:type="pct"/>
            <w:tcBorders>
              <w:top w:val="single" w:sz="4" w:space="0" w:color="auto"/>
              <w:left w:val="single" w:sz="4" w:space="0" w:color="auto"/>
              <w:bottom w:val="single" w:sz="4" w:space="0" w:color="auto"/>
              <w:right w:val="single" w:sz="4" w:space="0" w:color="auto"/>
            </w:tcBorders>
            <w:shd w:val="clear" w:color="auto" w:fill="auto"/>
          </w:tcPr>
          <w:p w:rsidR="00A57383" w:rsidRPr="004B34A4" w:rsidRDefault="004B34A4" w:rsidP="00EF6959">
            <w:pPr>
              <w:pStyle w:val="TableText"/>
              <w:widowControl w:val="0"/>
              <w:jc w:val="center"/>
              <w:rPr>
                <w:rFonts w:cstheme="minorHAnsi"/>
                <w:szCs w:val="20"/>
                <w:highlight w:val="black"/>
                <w:lang w:val="en-AU"/>
              </w:rPr>
            </w:pPr>
            <w:r>
              <w:rPr>
                <w:noProof/>
                <w:color w:val="000000"/>
                <w:highlight w:val="black"/>
              </w:rPr>
              <w:t>'''''''''''''' ''''''''''''''''' '''''''''''''</w:t>
            </w:r>
          </w:p>
        </w:tc>
        <w:tc>
          <w:tcPr>
            <w:tcW w:w="1332" w:type="pct"/>
            <w:tcBorders>
              <w:top w:val="single" w:sz="4" w:space="0" w:color="auto"/>
              <w:left w:val="single" w:sz="4" w:space="0" w:color="auto"/>
              <w:bottom w:val="single" w:sz="4" w:space="0" w:color="auto"/>
              <w:right w:val="single" w:sz="4" w:space="0" w:color="auto"/>
            </w:tcBorders>
            <w:shd w:val="clear" w:color="auto" w:fill="auto"/>
          </w:tcPr>
          <w:p w:rsidR="00A57383" w:rsidRPr="004B34A4" w:rsidRDefault="004B34A4" w:rsidP="00EF6959">
            <w:pPr>
              <w:pStyle w:val="TableText"/>
              <w:widowControl w:val="0"/>
              <w:jc w:val="center"/>
              <w:rPr>
                <w:rFonts w:cstheme="minorHAnsi"/>
                <w:szCs w:val="20"/>
                <w:highlight w:val="black"/>
                <w:lang w:val="en-AU"/>
              </w:rPr>
            </w:pPr>
            <w:r>
              <w:rPr>
                <w:noProof/>
                <w:color w:val="000000"/>
                <w:highlight w:val="black"/>
              </w:rPr>
              <w:t>''''''''''''''' ''''''''''''''' ''''''''''''''</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A57383" w:rsidRPr="004B34A4" w:rsidRDefault="004B34A4" w:rsidP="00EF6959">
            <w:pPr>
              <w:pStyle w:val="TableText"/>
              <w:widowControl w:val="0"/>
              <w:jc w:val="center"/>
              <w:rPr>
                <w:rFonts w:cstheme="minorHAnsi"/>
                <w:szCs w:val="20"/>
                <w:highlight w:val="black"/>
                <w:lang w:val="en-AU"/>
              </w:rPr>
            </w:pPr>
            <w:r>
              <w:rPr>
                <w:noProof/>
                <w:color w:val="000000"/>
                <w:highlight w:val="black"/>
              </w:rPr>
              <w:t>''''''''''''' ''''''''''''''''' '''''''''''''''</w:t>
            </w:r>
          </w:p>
        </w:tc>
      </w:tr>
      <w:tr w:rsidR="00A57383" w:rsidRPr="005F2796" w:rsidTr="00EF6959">
        <w:trPr>
          <w:trHeight w:val="217"/>
        </w:trPr>
        <w:tc>
          <w:tcPr>
            <w:tcW w:w="1017" w:type="pct"/>
            <w:tcBorders>
              <w:top w:val="single" w:sz="4" w:space="0" w:color="auto"/>
              <w:left w:val="single" w:sz="4" w:space="0" w:color="auto"/>
              <w:bottom w:val="single" w:sz="4" w:space="0" w:color="auto"/>
              <w:right w:val="single" w:sz="4" w:space="0" w:color="auto"/>
            </w:tcBorders>
            <w:shd w:val="clear" w:color="auto" w:fill="auto"/>
          </w:tcPr>
          <w:p w:rsidR="00A57383" w:rsidRPr="00DC712B" w:rsidRDefault="00A57383" w:rsidP="00EF6959">
            <w:pPr>
              <w:pStyle w:val="TableText"/>
              <w:widowControl w:val="0"/>
              <w:rPr>
                <w:rFonts w:cstheme="minorHAnsi"/>
                <w:szCs w:val="20"/>
                <w:lang w:val="en-AU"/>
              </w:rPr>
            </w:pPr>
            <w:r w:rsidRPr="005F2796">
              <w:rPr>
                <w:rFonts w:cstheme="minorHAnsi"/>
                <w:szCs w:val="20"/>
              </w:rPr>
              <w:t>Adjusted</w:t>
            </w:r>
          </w:p>
        </w:tc>
        <w:tc>
          <w:tcPr>
            <w:tcW w:w="1332"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c>
          <w:tcPr>
            <w:tcW w:w="1332"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c>
          <w:tcPr>
            <w:tcW w:w="1319"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r>
      <w:tr w:rsidR="00A57383" w:rsidRPr="005F2796" w:rsidTr="00EF6959">
        <w:trPr>
          <w:trHeight w:val="21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57383" w:rsidRPr="00907220" w:rsidRDefault="00A57383" w:rsidP="00EF6959">
            <w:pPr>
              <w:pStyle w:val="TableText"/>
              <w:widowControl w:val="0"/>
              <w:rPr>
                <w:rFonts w:cstheme="minorHAnsi"/>
                <w:b/>
                <w:szCs w:val="20"/>
                <w:lang w:val="en-AU"/>
              </w:rPr>
            </w:pPr>
            <w:r w:rsidRPr="00907220">
              <w:rPr>
                <w:rFonts w:cstheme="minorHAnsi"/>
                <w:b/>
                <w:szCs w:val="20"/>
              </w:rPr>
              <w:t>Overall survival</w:t>
            </w:r>
          </w:p>
        </w:tc>
      </w:tr>
      <w:tr w:rsidR="00A57383" w:rsidRPr="005F2796" w:rsidTr="00EF6959">
        <w:trPr>
          <w:trHeight w:val="217"/>
        </w:trPr>
        <w:tc>
          <w:tcPr>
            <w:tcW w:w="1017" w:type="pct"/>
            <w:tcBorders>
              <w:top w:val="single" w:sz="4" w:space="0" w:color="auto"/>
              <w:left w:val="single" w:sz="4" w:space="0" w:color="auto"/>
              <w:bottom w:val="single" w:sz="4" w:space="0" w:color="auto"/>
              <w:right w:val="single" w:sz="4" w:space="0" w:color="auto"/>
            </w:tcBorders>
            <w:shd w:val="clear" w:color="auto" w:fill="auto"/>
          </w:tcPr>
          <w:p w:rsidR="00A57383" w:rsidRPr="00DC712B" w:rsidRDefault="00A57383" w:rsidP="00EF6959">
            <w:pPr>
              <w:pStyle w:val="TableText"/>
              <w:widowControl w:val="0"/>
              <w:rPr>
                <w:rFonts w:cstheme="minorHAnsi"/>
                <w:szCs w:val="20"/>
                <w:lang w:val="en-AU"/>
              </w:rPr>
            </w:pPr>
            <w:r w:rsidRPr="005F2796">
              <w:rPr>
                <w:rFonts w:cstheme="minorHAnsi"/>
                <w:szCs w:val="20"/>
              </w:rPr>
              <w:t>Unadjusted</w:t>
            </w:r>
          </w:p>
        </w:tc>
        <w:tc>
          <w:tcPr>
            <w:tcW w:w="1332"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c>
          <w:tcPr>
            <w:tcW w:w="1332"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c>
          <w:tcPr>
            <w:tcW w:w="1319"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r>
      <w:tr w:rsidR="00A57383" w:rsidRPr="005F2796" w:rsidTr="00EF6959">
        <w:trPr>
          <w:trHeight w:val="217"/>
        </w:trPr>
        <w:tc>
          <w:tcPr>
            <w:tcW w:w="1017" w:type="pct"/>
            <w:tcBorders>
              <w:top w:val="single" w:sz="4" w:space="0" w:color="auto"/>
              <w:left w:val="single" w:sz="4" w:space="0" w:color="auto"/>
              <w:bottom w:val="single" w:sz="4" w:space="0" w:color="auto"/>
              <w:right w:val="single" w:sz="4" w:space="0" w:color="auto"/>
            </w:tcBorders>
            <w:shd w:val="clear" w:color="auto" w:fill="auto"/>
          </w:tcPr>
          <w:p w:rsidR="00A57383" w:rsidRPr="00DC712B" w:rsidRDefault="00A57383" w:rsidP="00EF6959">
            <w:pPr>
              <w:pStyle w:val="TableText"/>
              <w:widowControl w:val="0"/>
              <w:rPr>
                <w:rFonts w:cstheme="minorHAnsi"/>
                <w:szCs w:val="20"/>
                <w:lang w:val="en-AU"/>
              </w:rPr>
            </w:pPr>
            <w:r w:rsidRPr="005F2796">
              <w:rPr>
                <w:rFonts w:cstheme="minorHAnsi"/>
                <w:szCs w:val="20"/>
              </w:rPr>
              <w:t>Adjusted</w:t>
            </w:r>
          </w:p>
        </w:tc>
        <w:tc>
          <w:tcPr>
            <w:tcW w:w="1332"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c>
          <w:tcPr>
            <w:tcW w:w="1332"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c>
          <w:tcPr>
            <w:tcW w:w="1319" w:type="pct"/>
            <w:tcBorders>
              <w:top w:val="single" w:sz="4" w:space="0" w:color="auto"/>
              <w:left w:val="single" w:sz="4" w:space="0" w:color="auto"/>
              <w:bottom w:val="single" w:sz="4" w:space="0" w:color="auto"/>
              <w:right w:val="single" w:sz="4" w:space="0" w:color="auto"/>
            </w:tcBorders>
          </w:tcPr>
          <w:p w:rsidR="00A57383" w:rsidRPr="004B34A4" w:rsidRDefault="004B34A4" w:rsidP="00EF6959">
            <w:pPr>
              <w:pStyle w:val="TableText"/>
              <w:widowControl w:val="0"/>
              <w:jc w:val="center"/>
              <w:rPr>
                <w:rFonts w:cstheme="minorHAnsi"/>
                <w:szCs w:val="20"/>
                <w:highlight w:val="black"/>
                <w:lang w:val="en-AU"/>
              </w:rPr>
            </w:pPr>
            <w:r>
              <w:rPr>
                <w:rFonts w:cs="Arial"/>
                <w:noProof/>
                <w:color w:val="000000"/>
                <w:szCs w:val="21"/>
                <w:highlight w:val="black"/>
              </w:rPr>
              <w:t>''''''''''''' '''''''''''''''''' ''''''''''''''''</w:t>
            </w:r>
          </w:p>
        </w:tc>
      </w:tr>
    </w:tbl>
    <w:p w:rsidR="00A57383" w:rsidRPr="005F2796" w:rsidRDefault="00A57383" w:rsidP="00A57383">
      <w:pPr>
        <w:pStyle w:val="TableFooter"/>
      </w:pPr>
      <w:r w:rsidRPr="005F2796">
        <w:rPr>
          <w:rFonts w:cstheme="minorHAnsi"/>
        </w:rPr>
        <w:t>Hazard ratio &lt;1 favours venetoclax plus rituximab.</w:t>
      </w:r>
      <w:r w:rsidRPr="005F2796">
        <w:t xml:space="preserve"> </w:t>
      </w:r>
    </w:p>
    <w:p w:rsidR="00A57383" w:rsidRPr="005F2796" w:rsidRDefault="00A57383" w:rsidP="00A57383">
      <w:pPr>
        <w:pStyle w:val="TableFooter"/>
      </w:pPr>
      <w:r w:rsidRPr="005F2796">
        <w:t>Source: Table 15, p.50 of MAIC technical document, Attachment 6 of the submission.</w:t>
      </w:r>
    </w:p>
    <w:p w:rsidR="00A57383" w:rsidRPr="005F2796" w:rsidRDefault="00A57383" w:rsidP="003A595A">
      <w:pPr>
        <w:pStyle w:val="TableFooter"/>
        <w:spacing w:after="160"/>
      </w:pPr>
      <w:r w:rsidRPr="005F2796">
        <w:t>Abbreviations: VEN, venetoclax; RIT, rituximab; IBR, ibrutinib; HR, hazard ratio; CI, confidence interval.</w:t>
      </w:r>
    </w:p>
    <w:p w:rsidR="005808B4" w:rsidRPr="005F2796" w:rsidRDefault="00A57383" w:rsidP="000E38D2">
      <w:pPr>
        <w:pStyle w:val="ListParagraph"/>
        <w:numPr>
          <w:ilvl w:val="1"/>
          <w:numId w:val="2"/>
        </w:numPr>
        <w:spacing w:after="160"/>
      </w:pPr>
      <w:r w:rsidRPr="005F2796">
        <w:t>Based on the adjusted results, there was a statistically significant difference for overall survival (in favour of venetoclax plus rituximab), but no statistically significant difference in progression-free survival. Adjustment in the MAIC had a large impact on the venetoclax plus rituximab results, particularly for the overall survival outcome. The results of the unanchored MAIC were considered to be highly uncertain, and at very high risk of bias.</w:t>
      </w:r>
      <w:bookmarkStart w:id="27" w:name="_Toc413139279"/>
      <w:bookmarkStart w:id="28" w:name="_Toc522042673"/>
      <w:r w:rsidR="005808B4" w:rsidRPr="005F2796">
        <w:br w:type="page"/>
      </w:r>
    </w:p>
    <w:p w:rsidR="00A57383" w:rsidRPr="005F2796" w:rsidRDefault="00A57383" w:rsidP="003A595A">
      <w:pPr>
        <w:pStyle w:val="Heading2"/>
        <w:keepNext w:val="0"/>
        <w:keepLines w:val="0"/>
        <w:widowControl w:val="0"/>
        <w:spacing w:before="0" w:after="160"/>
        <w:contextualSpacing/>
      </w:pPr>
      <w:bookmarkStart w:id="29" w:name="_Toc524621099"/>
      <w:r w:rsidRPr="005F2796">
        <w:lastRenderedPageBreak/>
        <w:t>Comparative harms</w:t>
      </w:r>
      <w:bookmarkEnd w:id="27"/>
      <w:bookmarkEnd w:id="28"/>
      <w:bookmarkEnd w:id="29"/>
    </w:p>
    <w:p w:rsidR="00A57383" w:rsidRPr="005F2796" w:rsidRDefault="00A57383" w:rsidP="00FE2CA8">
      <w:pPr>
        <w:pStyle w:val="ListParagraph"/>
        <w:numPr>
          <w:ilvl w:val="1"/>
          <w:numId w:val="2"/>
        </w:numPr>
        <w:spacing w:after="160"/>
      </w:pPr>
      <w:r w:rsidRPr="005F2796">
        <w:t>The claim of non-inferior safety was based on a naïve indirect comparison of safety results for venetoclax plus rituximab (MURANO) and ibrutinib (RESONATE), summarised in the table below.</w:t>
      </w:r>
    </w:p>
    <w:p w:rsidR="00A57383" w:rsidRPr="005F2796" w:rsidRDefault="00A57383" w:rsidP="00A57383">
      <w:pPr>
        <w:pStyle w:val="TableHeading0"/>
      </w:pPr>
      <w:r w:rsidRPr="005F2796">
        <w:t>Table 6: Naïve indirect comparison of safety outcomes between venetoclax plus rituximab and ibrutinib</w:t>
      </w:r>
    </w:p>
    <w:tbl>
      <w:tblPr>
        <w:tblStyle w:val="Summarybox1"/>
        <w:tblW w:w="5001" w:type="pct"/>
        <w:tblLook w:val="04A0" w:firstRow="1" w:lastRow="0" w:firstColumn="1" w:lastColumn="0" w:noHBand="0" w:noVBand="1"/>
        <w:tblCaption w:val="Naïve indirect comparison of safety outcomes between venetoclax plus rituximab and ibrutinib"/>
      </w:tblPr>
      <w:tblGrid>
        <w:gridCol w:w="2540"/>
        <w:gridCol w:w="1295"/>
        <w:gridCol w:w="1264"/>
        <w:gridCol w:w="1329"/>
        <w:gridCol w:w="1297"/>
        <w:gridCol w:w="1293"/>
      </w:tblGrid>
      <w:tr w:rsidR="00A57383" w:rsidRPr="005F2796" w:rsidTr="00816ABA">
        <w:trPr>
          <w:tblHeader/>
        </w:trPr>
        <w:tc>
          <w:tcPr>
            <w:tcW w:w="1408" w:type="pct"/>
            <w:tcBorders>
              <w:bottom w:val="single" w:sz="4" w:space="0" w:color="auto"/>
            </w:tcBorders>
            <w:shd w:val="clear" w:color="auto" w:fill="auto"/>
          </w:tcPr>
          <w:p w:rsidR="00A57383" w:rsidRPr="005F2796" w:rsidRDefault="00A57383" w:rsidP="00EF6959">
            <w:pPr>
              <w:rPr>
                <w:rFonts w:ascii="Arial Narrow" w:hAnsi="Arial Narrow"/>
                <w:sz w:val="20"/>
              </w:rPr>
            </w:pPr>
          </w:p>
        </w:tc>
        <w:tc>
          <w:tcPr>
            <w:tcW w:w="1419" w:type="pct"/>
            <w:gridSpan w:val="2"/>
            <w:tcBorders>
              <w:bottom w:val="single" w:sz="4" w:space="0" w:color="auto"/>
            </w:tcBorders>
            <w:shd w:val="clear" w:color="auto" w:fill="auto"/>
            <w:vAlign w:val="center"/>
          </w:tcPr>
          <w:p w:rsidR="00A57383" w:rsidRPr="005F2796" w:rsidRDefault="00A57383" w:rsidP="00EF6959">
            <w:pPr>
              <w:jc w:val="center"/>
              <w:rPr>
                <w:rFonts w:ascii="Arial Narrow" w:hAnsi="Arial Narrow"/>
                <w:b/>
                <w:sz w:val="20"/>
              </w:rPr>
            </w:pPr>
            <w:r w:rsidRPr="005F2796">
              <w:rPr>
                <w:rFonts w:ascii="Arial Narrow" w:hAnsi="Arial Narrow"/>
                <w:b/>
                <w:sz w:val="20"/>
              </w:rPr>
              <w:t xml:space="preserve">MURANO </w:t>
            </w:r>
          </w:p>
          <w:p w:rsidR="00A57383" w:rsidRPr="005F2796" w:rsidRDefault="00A57383" w:rsidP="00EF6959">
            <w:pPr>
              <w:jc w:val="center"/>
              <w:rPr>
                <w:rFonts w:ascii="Arial Narrow" w:hAnsi="Arial Narrow"/>
                <w:b/>
                <w:sz w:val="20"/>
              </w:rPr>
            </w:pPr>
            <w:r w:rsidRPr="005F2796">
              <w:rPr>
                <w:rFonts w:ascii="Arial Narrow" w:hAnsi="Arial Narrow"/>
                <w:b/>
                <w:sz w:val="20"/>
              </w:rPr>
              <w:t>VEN + RIT</w:t>
            </w:r>
          </w:p>
          <w:p w:rsidR="00A57383" w:rsidRPr="005F2796" w:rsidRDefault="00A57383" w:rsidP="00EF6959">
            <w:pPr>
              <w:jc w:val="center"/>
              <w:rPr>
                <w:rFonts w:ascii="Arial Narrow" w:hAnsi="Arial Narrow"/>
                <w:b/>
                <w:sz w:val="20"/>
              </w:rPr>
            </w:pPr>
            <w:r w:rsidRPr="005F2796">
              <w:rPr>
                <w:rFonts w:ascii="Arial Narrow" w:hAnsi="Arial Narrow"/>
                <w:b/>
                <w:sz w:val="20"/>
              </w:rPr>
              <w:t>N=194</w:t>
            </w:r>
          </w:p>
        </w:tc>
        <w:tc>
          <w:tcPr>
            <w:tcW w:w="2173" w:type="pct"/>
            <w:gridSpan w:val="3"/>
            <w:tcBorders>
              <w:bottom w:val="single" w:sz="4" w:space="0" w:color="auto"/>
            </w:tcBorders>
            <w:shd w:val="clear" w:color="auto" w:fill="auto"/>
          </w:tcPr>
          <w:p w:rsidR="00A57383" w:rsidRPr="005F2796" w:rsidRDefault="00A57383" w:rsidP="00EF6959">
            <w:pPr>
              <w:jc w:val="center"/>
              <w:rPr>
                <w:rFonts w:ascii="Arial Narrow" w:hAnsi="Arial Narrow"/>
                <w:b/>
                <w:sz w:val="20"/>
              </w:rPr>
            </w:pPr>
            <w:r w:rsidRPr="005F2796">
              <w:rPr>
                <w:rFonts w:ascii="Arial Narrow" w:hAnsi="Arial Narrow"/>
                <w:b/>
                <w:sz w:val="20"/>
              </w:rPr>
              <w:t xml:space="preserve">RESONATE </w:t>
            </w:r>
          </w:p>
          <w:p w:rsidR="00A57383" w:rsidRPr="005F2796" w:rsidRDefault="00A57383" w:rsidP="00EF6959">
            <w:pPr>
              <w:jc w:val="center"/>
              <w:rPr>
                <w:rFonts w:ascii="Arial Narrow" w:hAnsi="Arial Narrow"/>
                <w:b/>
                <w:sz w:val="20"/>
              </w:rPr>
            </w:pPr>
            <w:r w:rsidRPr="005F2796">
              <w:rPr>
                <w:rFonts w:ascii="Arial Narrow" w:hAnsi="Arial Narrow"/>
                <w:b/>
                <w:sz w:val="20"/>
              </w:rPr>
              <w:t>IBR</w:t>
            </w:r>
          </w:p>
          <w:p w:rsidR="00A57383" w:rsidRPr="005F2796" w:rsidRDefault="00A57383" w:rsidP="00EF6959">
            <w:pPr>
              <w:jc w:val="center"/>
              <w:rPr>
                <w:rFonts w:ascii="Arial Narrow" w:hAnsi="Arial Narrow"/>
                <w:b/>
                <w:sz w:val="20"/>
              </w:rPr>
            </w:pPr>
            <w:r w:rsidRPr="005F2796">
              <w:rPr>
                <w:rFonts w:ascii="Arial Narrow" w:hAnsi="Arial Narrow"/>
                <w:b/>
                <w:sz w:val="20"/>
              </w:rPr>
              <w:t>N=195</w:t>
            </w:r>
          </w:p>
        </w:tc>
      </w:tr>
      <w:tr w:rsidR="00A57383" w:rsidRPr="005F2796" w:rsidTr="00EF6959">
        <w:tc>
          <w:tcPr>
            <w:tcW w:w="1408" w:type="pct"/>
            <w:tcBorders>
              <w:bottom w:val="single" w:sz="4" w:space="0" w:color="auto"/>
            </w:tcBorders>
            <w:shd w:val="clear" w:color="auto" w:fill="auto"/>
          </w:tcPr>
          <w:p w:rsidR="00A57383" w:rsidRPr="005F2796" w:rsidRDefault="00A57383" w:rsidP="00EF6959">
            <w:pPr>
              <w:rPr>
                <w:rFonts w:ascii="Arial Narrow" w:hAnsi="Arial Narrow"/>
                <w:sz w:val="20"/>
              </w:rPr>
            </w:pPr>
            <w:r w:rsidRPr="005F2796">
              <w:rPr>
                <w:rFonts w:ascii="Arial Narrow" w:hAnsi="Arial Narrow"/>
                <w:sz w:val="20"/>
              </w:rPr>
              <w:t>Median duration of follow-up</w:t>
            </w:r>
            <w:r w:rsidR="008029DE" w:rsidRPr="005F2796">
              <w:rPr>
                <w:rFonts w:ascii="Arial Narrow" w:hAnsi="Arial Narrow"/>
                <w:sz w:val="20"/>
              </w:rPr>
              <w:t>, months</w:t>
            </w:r>
            <w:r w:rsidRPr="005F2796">
              <w:rPr>
                <w:rFonts w:ascii="Arial Narrow" w:hAnsi="Arial Narrow"/>
                <w:sz w:val="20"/>
              </w:rPr>
              <w:t xml:space="preserve"> (range)</w:t>
            </w:r>
          </w:p>
        </w:tc>
        <w:tc>
          <w:tcPr>
            <w:tcW w:w="718"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rPr>
            </w:pPr>
            <w:r w:rsidRPr="005F2796">
              <w:rPr>
                <w:rFonts w:ascii="Arial Narrow" w:hAnsi="Arial Narrow"/>
                <w:sz w:val="20"/>
              </w:rPr>
              <w:t>May 2017 cut</w:t>
            </w:r>
          </w:p>
          <w:p w:rsidR="00A57383" w:rsidRPr="005F2796" w:rsidRDefault="00A57383" w:rsidP="00EF6959">
            <w:pPr>
              <w:jc w:val="center"/>
              <w:rPr>
                <w:rFonts w:ascii="Arial Narrow" w:hAnsi="Arial Narrow"/>
                <w:b/>
                <w:sz w:val="20"/>
              </w:rPr>
            </w:pPr>
            <w:r w:rsidRPr="005F2796">
              <w:rPr>
                <w:rFonts w:ascii="Arial Narrow" w:hAnsi="Arial Narrow"/>
                <w:sz w:val="20"/>
              </w:rPr>
              <w:t>24.8 (0.3-37.4)</w:t>
            </w:r>
          </w:p>
        </w:tc>
        <w:tc>
          <w:tcPr>
            <w:tcW w:w="70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rPr>
            </w:pPr>
            <w:r w:rsidRPr="005F2796">
              <w:rPr>
                <w:rFonts w:ascii="Arial Narrow" w:hAnsi="Arial Narrow"/>
                <w:sz w:val="20"/>
              </w:rPr>
              <w:t>May 2018 cut</w:t>
            </w:r>
          </w:p>
          <w:p w:rsidR="00A57383" w:rsidRPr="003B0FCB" w:rsidRDefault="008029DE" w:rsidP="008029DE">
            <w:pPr>
              <w:jc w:val="center"/>
              <w:rPr>
                <w:rFonts w:ascii="Arial Narrow" w:hAnsi="Arial Narrow"/>
                <w:b/>
                <w:sz w:val="20"/>
              </w:rPr>
            </w:pPr>
            <w:r w:rsidRPr="003B0FCB">
              <w:rPr>
                <w:rFonts w:ascii="Arial Narrow" w:hAnsi="Arial Narrow"/>
                <w:sz w:val="20"/>
              </w:rPr>
              <w:t>36.1 (0.3-48.6)</w:t>
            </w:r>
          </w:p>
        </w:tc>
        <w:tc>
          <w:tcPr>
            <w:tcW w:w="737"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rPr>
            </w:pPr>
            <w:r w:rsidRPr="005F2796">
              <w:rPr>
                <w:rFonts w:ascii="Arial Narrow" w:hAnsi="Arial Narrow"/>
                <w:sz w:val="20"/>
              </w:rPr>
              <w:t>Byrd 2014</w:t>
            </w:r>
          </w:p>
          <w:p w:rsidR="00A57383" w:rsidRPr="005F2796" w:rsidRDefault="00A57383" w:rsidP="00EF6959">
            <w:pPr>
              <w:jc w:val="center"/>
              <w:rPr>
                <w:rFonts w:ascii="Arial Narrow" w:hAnsi="Arial Narrow"/>
                <w:sz w:val="20"/>
                <w:vertAlign w:val="superscript"/>
              </w:rPr>
            </w:pPr>
            <w:r w:rsidRPr="005F2796">
              <w:rPr>
                <w:rFonts w:ascii="Arial Narrow" w:hAnsi="Arial Narrow"/>
                <w:sz w:val="20"/>
              </w:rPr>
              <w:t>9.4 (0.1-16.6)</w:t>
            </w:r>
          </w:p>
        </w:tc>
        <w:tc>
          <w:tcPr>
            <w:tcW w:w="719"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rPr>
            </w:pPr>
            <w:r w:rsidRPr="005F2796">
              <w:rPr>
                <w:rFonts w:ascii="Arial Narrow" w:hAnsi="Arial Narrow"/>
                <w:sz w:val="20"/>
              </w:rPr>
              <w:t>Brown 2018</w:t>
            </w:r>
          </w:p>
          <w:p w:rsidR="00A57383" w:rsidRPr="005F2796" w:rsidRDefault="00A57383" w:rsidP="00EF6959">
            <w:pPr>
              <w:jc w:val="center"/>
              <w:rPr>
                <w:rFonts w:ascii="Arial Narrow" w:hAnsi="Arial Narrow"/>
                <w:sz w:val="20"/>
              </w:rPr>
            </w:pPr>
            <w:r w:rsidRPr="005F2796">
              <w:rPr>
                <w:rFonts w:ascii="Arial Narrow" w:hAnsi="Arial Narrow"/>
                <w:sz w:val="20"/>
              </w:rPr>
              <w:t>19 (NR)</w:t>
            </w:r>
          </w:p>
        </w:tc>
        <w:tc>
          <w:tcPr>
            <w:tcW w:w="717" w:type="pct"/>
            <w:tcBorders>
              <w:bottom w:val="single" w:sz="4" w:space="0" w:color="auto"/>
            </w:tcBorders>
            <w:vAlign w:val="center"/>
          </w:tcPr>
          <w:p w:rsidR="00A57383" w:rsidRPr="005F2796" w:rsidRDefault="00A57383" w:rsidP="00EF6959">
            <w:pPr>
              <w:jc w:val="center"/>
              <w:rPr>
                <w:rFonts w:ascii="Arial Narrow" w:hAnsi="Arial Narrow"/>
                <w:sz w:val="20"/>
              </w:rPr>
            </w:pPr>
            <w:r w:rsidRPr="005F2796">
              <w:rPr>
                <w:rFonts w:ascii="Arial Narrow" w:hAnsi="Arial Narrow"/>
                <w:sz w:val="20"/>
              </w:rPr>
              <w:t>Byrd 2017</w:t>
            </w:r>
          </w:p>
          <w:p w:rsidR="00A57383" w:rsidRPr="005F2796" w:rsidRDefault="00A57383" w:rsidP="00EF6959">
            <w:pPr>
              <w:jc w:val="center"/>
              <w:rPr>
                <w:rFonts w:ascii="Arial Narrow" w:hAnsi="Arial Narrow"/>
                <w:sz w:val="20"/>
              </w:rPr>
            </w:pPr>
            <w:r w:rsidRPr="005F2796">
              <w:rPr>
                <w:rFonts w:ascii="Arial Narrow" w:hAnsi="Arial Narrow"/>
                <w:sz w:val="20"/>
              </w:rPr>
              <w:t>44 (NR)</w:t>
            </w:r>
          </w:p>
        </w:tc>
      </w:tr>
      <w:tr w:rsidR="00A57383" w:rsidRPr="005F2796" w:rsidTr="00EF6959">
        <w:tc>
          <w:tcPr>
            <w:tcW w:w="1408" w:type="pct"/>
            <w:shd w:val="clear" w:color="auto" w:fill="auto"/>
            <w:vAlign w:val="center"/>
          </w:tcPr>
          <w:p w:rsidR="00A57383" w:rsidRPr="005F2796" w:rsidRDefault="00A57383" w:rsidP="00EF6959">
            <w:pPr>
              <w:pStyle w:val="TableText"/>
            </w:pPr>
            <w:r w:rsidRPr="005F2796">
              <w:rPr>
                <w:rFonts w:cs="Arial"/>
                <w:snapToGrid w:val="0"/>
              </w:rPr>
              <w:t>Grade 3 or 4 AE</w:t>
            </w:r>
          </w:p>
        </w:tc>
        <w:tc>
          <w:tcPr>
            <w:tcW w:w="718" w:type="pct"/>
            <w:shd w:val="clear" w:color="auto" w:fill="auto"/>
            <w:vAlign w:val="center"/>
          </w:tcPr>
          <w:p w:rsidR="00A57383" w:rsidRPr="00907220" w:rsidRDefault="00A57383" w:rsidP="00EF6959">
            <w:pPr>
              <w:pStyle w:val="Tabletext0"/>
              <w:framePr w:wrap="around"/>
            </w:pPr>
            <w:r w:rsidRPr="00907220">
              <w:rPr>
                <w:rFonts w:cs="Arial"/>
                <w:snapToGrid w:val="0"/>
              </w:rPr>
              <w:t>159 (82.0)</w:t>
            </w:r>
          </w:p>
        </w:tc>
        <w:tc>
          <w:tcPr>
            <w:tcW w:w="701" w:type="pct"/>
            <w:shd w:val="clear" w:color="auto" w:fill="auto"/>
            <w:vAlign w:val="center"/>
          </w:tcPr>
          <w:p w:rsidR="00A57383" w:rsidRPr="004B34A4" w:rsidRDefault="004B34A4" w:rsidP="00EF6959">
            <w:pPr>
              <w:pStyle w:val="Tabletext0"/>
              <w:framePr w:wrap="around"/>
              <w:rPr>
                <w:highlight w:val="black"/>
              </w:rPr>
            </w:pPr>
            <w:r>
              <w:rPr>
                <w:rFonts w:cs="Arial"/>
                <w:noProof/>
                <w:snapToGrid w:val="0"/>
                <w:color w:val="000000"/>
                <w:highlight w:val="black"/>
              </w:rPr>
              <w:t>''''''''' ''''''''''''''</w:t>
            </w:r>
          </w:p>
        </w:tc>
        <w:tc>
          <w:tcPr>
            <w:tcW w:w="737"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round"/>
              <w:rPr>
                <w:vertAlign w:val="superscript"/>
              </w:rPr>
            </w:pPr>
            <w:r w:rsidRPr="005F2796">
              <w:rPr>
                <w:rFonts w:cs="Calibri"/>
              </w:rPr>
              <w:t>99 (51)</w:t>
            </w:r>
          </w:p>
        </w:tc>
        <w:tc>
          <w:tcPr>
            <w:tcW w:w="719"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round"/>
            </w:pPr>
            <w:r w:rsidRPr="005F2796">
              <w:rPr>
                <w:rFonts w:cs="Calibri"/>
              </w:rPr>
              <w:t>NR</w:t>
            </w:r>
          </w:p>
        </w:tc>
        <w:tc>
          <w:tcPr>
            <w:tcW w:w="717"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round"/>
            </w:pPr>
            <w:r w:rsidRPr="005F2796">
              <w:rPr>
                <w:rFonts w:cs="Calibri"/>
              </w:rPr>
              <w:t>NR</w:t>
            </w:r>
          </w:p>
        </w:tc>
      </w:tr>
      <w:tr w:rsidR="00A57383" w:rsidRPr="005F2796" w:rsidTr="00EF6959">
        <w:tc>
          <w:tcPr>
            <w:tcW w:w="1408" w:type="pct"/>
            <w:shd w:val="clear" w:color="auto" w:fill="auto"/>
            <w:vAlign w:val="center"/>
          </w:tcPr>
          <w:p w:rsidR="00A57383" w:rsidRPr="005F2796" w:rsidRDefault="00A57383" w:rsidP="00EF6959">
            <w:pPr>
              <w:pStyle w:val="TableText"/>
            </w:pPr>
            <w:r w:rsidRPr="005F2796">
              <w:rPr>
                <w:rFonts w:cs="Arial"/>
                <w:snapToGrid w:val="0"/>
              </w:rPr>
              <w:t>Serious AE</w:t>
            </w:r>
          </w:p>
        </w:tc>
        <w:tc>
          <w:tcPr>
            <w:tcW w:w="718" w:type="pct"/>
            <w:shd w:val="clear" w:color="auto" w:fill="auto"/>
            <w:vAlign w:val="center"/>
          </w:tcPr>
          <w:p w:rsidR="00A57383" w:rsidRPr="00907220" w:rsidRDefault="00A57383" w:rsidP="00EF6959">
            <w:pPr>
              <w:pStyle w:val="Tabletext0"/>
              <w:framePr w:wrap="auto" w:vAnchor="margin" w:yAlign="inline"/>
            </w:pPr>
            <w:r w:rsidRPr="00907220">
              <w:rPr>
                <w:rFonts w:cs="Arial"/>
                <w:snapToGrid w:val="0"/>
              </w:rPr>
              <w:t>90 (46.4)</w:t>
            </w:r>
          </w:p>
        </w:tc>
        <w:tc>
          <w:tcPr>
            <w:tcW w:w="701" w:type="pct"/>
            <w:shd w:val="clear" w:color="auto" w:fill="auto"/>
            <w:vAlign w:val="center"/>
          </w:tcPr>
          <w:p w:rsidR="00A57383" w:rsidRPr="004B34A4" w:rsidRDefault="004B34A4" w:rsidP="00EF6959">
            <w:pPr>
              <w:pStyle w:val="Tabletext0"/>
              <w:framePr w:wrap="auto" w:vAnchor="margin" w:yAlign="inline"/>
              <w:rPr>
                <w:highlight w:val="black"/>
              </w:rPr>
            </w:pPr>
            <w:r>
              <w:rPr>
                <w:rFonts w:cs="Arial"/>
                <w:noProof/>
                <w:snapToGrid w:val="0"/>
                <w:color w:val="000000"/>
                <w:highlight w:val="black"/>
              </w:rPr>
              <w:t>''''''' '''''''''''''</w:t>
            </w:r>
          </w:p>
        </w:tc>
        <w:tc>
          <w:tcPr>
            <w:tcW w:w="737"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uto" w:vAnchor="margin" w:yAlign="inline"/>
              <w:rPr>
                <w:vertAlign w:val="superscript"/>
              </w:rPr>
            </w:pPr>
            <w:r w:rsidRPr="005F2796">
              <w:rPr>
                <w:rFonts w:cs="Calibri"/>
              </w:rPr>
              <w:t>81 (42)</w:t>
            </w:r>
          </w:p>
        </w:tc>
        <w:tc>
          <w:tcPr>
            <w:tcW w:w="719"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uto" w:vAnchor="margin" w:yAlign="inline"/>
            </w:pPr>
            <w:r w:rsidRPr="005F2796">
              <w:rPr>
                <w:rFonts w:cs="Calibri"/>
              </w:rPr>
              <w:t>NR</w:t>
            </w:r>
          </w:p>
        </w:tc>
        <w:tc>
          <w:tcPr>
            <w:tcW w:w="717"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uto" w:vAnchor="margin" w:yAlign="inline"/>
            </w:pPr>
            <w:r w:rsidRPr="005F2796">
              <w:rPr>
                <w:rFonts w:cs="Calibri"/>
              </w:rPr>
              <w:t>NR</w:t>
            </w:r>
          </w:p>
        </w:tc>
      </w:tr>
      <w:tr w:rsidR="00A57383" w:rsidRPr="005F2796" w:rsidTr="00EF6959">
        <w:trPr>
          <w:trHeight w:val="64"/>
        </w:trPr>
        <w:tc>
          <w:tcPr>
            <w:tcW w:w="1408" w:type="pct"/>
            <w:shd w:val="clear" w:color="auto" w:fill="auto"/>
            <w:vAlign w:val="center"/>
          </w:tcPr>
          <w:p w:rsidR="00A57383" w:rsidRPr="005F2796" w:rsidRDefault="00A57383" w:rsidP="00EF6959">
            <w:pPr>
              <w:pStyle w:val="TableText"/>
            </w:pPr>
            <w:r w:rsidRPr="005F2796">
              <w:rPr>
                <w:rFonts w:cs="Arial"/>
                <w:snapToGrid w:val="0"/>
              </w:rPr>
              <w:t>Treatment-related AE</w:t>
            </w:r>
          </w:p>
        </w:tc>
        <w:tc>
          <w:tcPr>
            <w:tcW w:w="718" w:type="pct"/>
            <w:shd w:val="clear" w:color="auto" w:fill="auto"/>
            <w:vAlign w:val="center"/>
          </w:tcPr>
          <w:p w:rsidR="00A57383" w:rsidRPr="00907220" w:rsidRDefault="00A57383" w:rsidP="00EF6959">
            <w:pPr>
              <w:pStyle w:val="Tabletext0"/>
              <w:framePr w:wrap="auto" w:vAnchor="margin" w:yAlign="inline"/>
            </w:pPr>
            <w:r w:rsidRPr="00907220">
              <w:rPr>
                <w:rFonts w:cs="Arial"/>
                <w:snapToGrid w:val="0"/>
              </w:rPr>
              <w:t>170 (87.6)</w:t>
            </w:r>
          </w:p>
        </w:tc>
        <w:tc>
          <w:tcPr>
            <w:tcW w:w="701" w:type="pct"/>
            <w:shd w:val="clear" w:color="auto" w:fill="auto"/>
            <w:vAlign w:val="center"/>
          </w:tcPr>
          <w:p w:rsidR="00A57383" w:rsidRPr="004B34A4" w:rsidRDefault="004B34A4" w:rsidP="00EF6959">
            <w:pPr>
              <w:pStyle w:val="Tabletext0"/>
              <w:framePr w:wrap="auto" w:vAnchor="margin" w:yAlign="inline"/>
              <w:rPr>
                <w:highlight w:val="black"/>
              </w:rPr>
            </w:pPr>
            <w:r>
              <w:rPr>
                <w:rFonts w:cs="Arial"/>
                <w:noProof/>
                <w:snapToGrid w:val="0"/>
                <w:color w:val="000000"/>
                <w:highlight w:val="black"/>
              </w:rPr>
              <w:t>''''''''' '''''''''''''''</w:t>
            </w:r>
          </w:p>
        </w:tc>
        <w:tc>
          <w:tcPr>
            <w:tcW w:w="737" w:type="pct"/>
            <w:shd w:val="clear" w:color="auto" w:fill="auto"/>
          </w:tcPr>
          <w:p w:rsidR="00A57383" w:rsidRPr="005F2796" w:rsidRDefault="00A57383" w:rsidP="00EF6959">
            <w:pPr>
              <w:pStyle w:val="Tabletext0"/>
              <w:framePr w:wrap="auto" w:vAnchor="margin" w:yAlign="inline"/>
            </w:pPr>
            <w:r w:rsidRPr="005F2796">
              <w:t>NR</w:t>
            </w:r>
          </w:p>
        </w:tc>
        <w:tc>
          <w:tcPr>
            <w:tcW w:w="719" w:type="pct"/>
            <w:shd w:val="clear" w:color="auto" w:fill="auto"/>
          </w:tcPr>
          <w:p w:rsidR="00A57383" w:rsidRPr="005F2796" w:rsidRDefault="00A57383" w:rsidP="00EF6959">
            <w:pPr>
              <w:pStyle w:val="Tabletext0"/>
              <w:framePr w:wrap="auto" w:vAnchor="margin" w:yAlign="inline"/>
            </w:pPr>
            <w:r w:rsidRPr="005F2796">
              <w:t>NR</w:t>
            </w:r>
          </w:p>
        </w:tc>
        <w:tc>
          <w:tcPr>
            <w:tcW w:w="717" w:type="pct"/>
          </w:tcPr>
          <w:p w:rsidR="00A57383" w:rsidRPr="005F2796" w:rsidRDefault="00A57383" w:rsidP="00EF6959">
            <w:pPr>
              <w:pStyle w:val="Tabletext0"/>
              <w:framePr w:wrap="auto" w:vAnchor="margin" w:yAlign="inline"/>
            </w:pPr>
            <w:r w:rsidRPr="005F2796">
              <w:t>NR</w:t>
            </w:r>
          </w:p>
        </w:tc>
      </w:tr>
      <w:tr w:rsidR="00A57383" w:rsidRPr="005F2796" w:rsidTr="00EF6959">
        <w:trPr>
          <w:trHeight w:val="58"/>
        </w:trPr>
        <w:tc>
          <w:tcPr>
            <w:tcW w:w="1408" w:type="pct"/>
            <w:shd w:val="clear" w:color="auto" w:fill="auto"/>
            <w:vAlign w:val="center"/>
          </w:tcPr>
          <w:p w:rsidR="00A57383" w:rsidRPr="005F2796" w:rsidRDefault="00A57383" w:rsidP="00EF6959">
            <w:pPr>
              <w:pStyle w:val="TableText"/>
            </w:pPr>
            <w:r w:rsidRPr="005F2796">
              <w:rPr>
                <w:rFonts w:cs="Arial"/>
                <w:snapToGrid w:val="0"/>
              </w:rPr>
              <w:t>Discontinuations due to AE</w:t>
            </w:r>
          </w:p>
        </w:tc>
        <w:tc>
          <w:tcPr>
            <w:tcW w:w="718" w:type="pct"/>
            <w:shd w:val="clear" w:color="auto" w:fill="auto"/>
            <w:vAlign w:val="center"/>
          </w:tcPr>
          <w:p w:rsidR="00A57383" w:rsidRPr="00907220" w:rsidRDefault="00A57383" w:rsidP="00EF6959">
            <w:pPr>
              <w:pStyle w:val="Tabletext0"/>
              <w:framePr w:wrap="auto" w:vAnchor="margin" w:yAlign="inline"/>
            </w:pPr>
            <w:r w:rsidRPr="00907220">
              <w:rPr>
                <w:rFonts w:cs="Arial"/>
                <w:snapToGrid w:val="0"/>
              </w:rPr>
              <w:t>30 (15.5)</w:t>
            </w:r>
          </w:p>
        </w:tc>
        <w:tc>
          <w:tcPr>
            <w:tcW w:w="701" w:type="pct"/>
            <w:shd w:val="clear" w:color="auto" w:fill="auto"/>
            <w:vAlign w:val="center"/>
          </w:tcPr>
          <w:p w:rsidR="00A57383" w:rsidRPr="004B34A4" w:rsidRDefault="004B34A4" w:rsidP="00EF6959">
            <w:pPr>
              <w:pStyle w:val="Tabletext0"/>
              <w:framePr w:wrap="auto" w:vAnchor="margin" w:yAlign="inline"/>
              <w:rPr>
                <w:highlight w:val="black"/>
              </w:rPr>
            </w:pPr>
            <w:r>
              <w:rPr>
                <w:rFonts w:cs="Arial"/>
                <w:noProof/>
                <w:snapToGrid w:val="0"/>
                <w:color w:val="000000"/>
                <w:highlight w:val="black"/>
              </w:rPr>
              <w:t>'''''' '''''''''''''''</w:t>
            </w:r>
          </w:p>
        </w:tc>
        <w:tc>
          <w:tcPr>
            <w:tcW w:w="737"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uto" w:vAnchor="margin" w:yAlign="inline"/>
            </w:pPr>
            <w:r w:rsidRPr="005F2796">
              <w:rPr>
                <w:rFonts w:cs="Calibri"/>
              </w:rPr>
              <w:t>8 (4.1)</w:t>
            </w:r>
          </w:p>
        </w:tc>
        <w:tc>
          <w:tcPr>
            <w:tcW w:w="719"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uto" w:vAnchor="margin" w:yAlign="inline"/>
            </w:pPr>
            <w:r w:rsidRPr="005F2796">
              <w:rPr>
                <w:rFonts w:cs="Calibri"/>
              </w:rPr>
              <w:t>NR</w:t>
            </w:r>
          </w:p>
        </w:tc>
        <w:tc>
          <w:tcPr>
            <w:tcW w:w="717" w:type="pct"/>
            <w:tcBorders>
              <w:top w:val="nil"/>
              <w:left w:val="nil"/>
              <w:bottom w:val="single" w:sz="8" w:space="0" w:color="auto"/>
              <w:right w:val="single" w:sz="8" w:space="0" w:color="auto"/>
            </w:tcBorders>
            <w:vAlign w:val="center"/>
          </w:tcPr>
          <w:p w:rsidR="00A57383" w:rsidRPr="005F2796" w:rsidRDefault="00A57383" w:rsidP="00EF6959">
            <w:pPr>
              <w:pStyle w:val="Tabletext0"/>
              <w:framePr w:wrap="auto" w:vAnchor="margin" w:yAlign="inline"/>
            </w:pPr>
            <w:r w:rsidRPr="005F2796">
              <w:rPr>
                <w:rFonts w:cs="Calibri"/>
              </w:rPr>
              <w:t>23 (11.8)</w:t>
            </w:r>
          </w:p>
        </w:tc>
      </w:tr>
      <w:tr w:rsidR="00A57383" w:rsidRPr="005F2796" w:rsidTr="00EF6959">
        <w:trPr>
          <w:trHeight w:val="58"/>
        </w:trPr>
        <w:tc>
          <w:tcPr>
            <w:tcW w:w="1408" w:type="pct"/>
            <w:tcBorders>
              <w:bottom w:val="single" w:sz="4" w:space="0" w:color="auto"/>
            </w:tcBorders>
            <w:shd w:val="clear" w:color="auto" w:fill="auto"/>
            <w:vAlign w:val="center"/>
          </w:tcPr>
          <w:p w:rsidR="00A57383" w:rsidRPr="005F2796" w:rsidRDefault="00A57383" w:rsidP="00EF6959">
            <w:pPr>
              <w:jc w:val="left"/>
              <w:rPr>
                <w:rFonts w:ascii="Arial Narrow" w:hAnsi="Arial Narrow"/>
                <w:sz w:val="20"/>
              </w:rPr>
            </w:pPr>
            <w:r w:rsidRPr="005F2796">
              <w:rPr>
                <w:rFonts w:ascii="Arial Narrow" w:hAnsi="Arial Narrow" w:cs="Arial"/>
                <w:snapToGrid w:val="0"/>
                <w:sz w:val="20"/>
              </w:rPr>
              <w:t>AE leading to death</w:t>
            </w:r>
          </w:p>
        </w:tc>
        <w:tc>
          <w:tcPr>
            <w:tcW w:w="718" w:type="pct"/>
            <w:tcBorders>
              <w:bottom w:val="single" w:sz="4" w:space="0" w:color="auto"/>
            </w:tcBorders>
            <w:shd w:val="clear" w:color="auto" w:fill="auto"/>
            <w:vAlign w:val="center"/>
          </w:tcPr>
          <w:p w:rsidR="00A57383" w:rsidRPr="00907220" w:rsidRDefault="00A57383" w:rsidP="00EF6959">
            <w:pPr>
              <w:jc w:val="center"/>
              <w:rPr>
                <w:rFonts w:ascii="Arial Narrow" w:hAnsi="Arial Narrow"/>
                <w:sz w:val="20"/>
              </w:rPr>
            </w:pPr>
            <w:r w:rsidRPr="00907220">
              <w:rPr>
                <w:rFonts w:ascii="Arial Narrow" w:hAnsi="Arial Narrow"/>
                <w:sz w:val="20"/>
              </w:rPr>
              <w:t>10 (5.2)</w:t>
            </w:r>
          </w:p>
        </w:tc>
        <w:tc>
          <w:tcPr>
            <w:tcW w:w="701" w:type="pct"/>
            <w:tcBorders>
              <w:bottom w:val="single" w:sz="4" w:space="0" w:color="auto"/>
            </w:tcBorders>
            <w:shd w:val="clear" w:color="auto" w:fill="auto"/>
            <w:vAlign w:val="center"/>
          </w:tcPr>
          <w:p w:rsidR="00A57383" w:rsidRPr="004B34A4" w:rsidRDefault="004B34A4" w:rsidP="00EF6959">
            <w:pPr>
              <w:jc w:val="center"/>
              <w:rPr>
                <w:rFonts w:ascii="Arial Narrow" w:hAnsi="Arial Narrow"/>
                <w:sz w:val="20"/>
                <w:highlight w:val="black"/>
              </w:rPr>
            </w:pPr>
            <w:r>
              <w:rPr>
                <w:rFonts w:ascii="Arial Narrow" w:hAnsi="Arial Narrow" w:cs="Arial"/>
                <w:noProof/>
                <w:snapToGrid w:val="0"/>
                <w:color w:val="000000"/>
                <w:sz w:val="20"/>
                <w:highlight w:val="black"/>
              </w:rPr>
              <w:t>''''' '''''''''''</w:t>
            </w:r>
          </w:p>
        </w:tc>
        <w:tc>
          <w:tcPr>
            <w:tcW w:w="737" w:type="pct"/>
            <w:tcBorders>
              <w:top w:val="nil"/>
              <w:left w:val="nil"/>
              <w:bottom w:val="single" w:sz="4" w:space="0" w:color="auto"/>
              <w:right w:val="single" w:sz="8" w:space="0" w:color="auto"/>
            </w:tcBorders>
            <w:vAlign w:val="center"/>
          </w:tcPr>
          <w:p w:rsidR="00A57383" w:rsidRPr="005F2796" w:rsidRDefault="00A57383" w:rsidP="00EF6959">
            <w:pPr>
              <w:jc w:val="center"/>
              <w:rPr>
                <w:rFonts w:ascii="Arial Narrow" w:hAnsi="Arial Narrow" w:cstheme="minorHAnsi"/>
                <w:sz w:val="20"/>
                <w:vertAlign w:val="superscript"/>
              </w:rPr>
            </w:pPr>
            <w:r w:rsidRPr="005F2796">
              <w:rPr>
                <w:rFonts w:ascii="Arial Narrow" w:hAnsi="Arial Narrow" w:cs="Calibri"/>
                <w:sz w:val="20"/>
              </w:rPr>
              <w:t>8 (4)</w:t>
            </w:r>
          </w:p>
        </w:tc>
        <w:tc>
          <w:tcPr>
            <w:tcW w:w="719" w:type="pct"/>
            <w:tcBorders>
              <w:top w:val="nil"/>
              <w:left w:val="nil"/>
              <w:bottom w:val="single" w:sz="4" w:space="0" w:color="auto"/>
              <w:right w:val="single" w:sz="8" w:space="0" w:color="auto"/>
            </w:tcBorders>
            <w:vAlign w:val="center"/>
          </w:tcPr>
          <w:p w:rsidR="00A57383" w:rsidRPr="005F2796" w:rsidRDefault="00A57383" w:rsidP="00EF6959">
            <w:pPr>
              <w:jc w:val="center"/>
              <w:rPr>
                <w:rFonts w:ascii="Arial Narrow" w:hAnsi="Arial Narrow"/>
                <w:sz w:val="20"/>
              </w:rPr>
            </w:pPr>
            <w:r w:rsidRPr="005F2796">
              <w:rPr>
                <w:rFonts w:ascii="Arial Narrow" w:hAnsi="Arial Narrow" w:cs="Calibri"/>
                <w:sz w:val="20"/>
              </w:rPr>
              <w:t>NR</w:t>
            </w:r>
          </w:p>
        </w:tc>
        <w:tc>
          <w:tcPr>
            <w:tcW w:w="717" w:type="pct"/>
            <w:tcBorders>
              <w:top w:val="nil"/>
              <w:left w:val="nil"/>
              <w:bottom w:val="single" w:sz="4" w:space="0" w:color="auto"/>
              <w:right w:val="single" w:sz="8" w:space="0" w:color="auto"/>
            </w:tcBorders>
            <w:vAlign w:val="center"/>
          </w:tcPr>
          <w:p w:rsidR="00A57383" w:rsidRPr="005F2796" w:rsidRDefault="00A57383" w:rsidP="00EF6959">
            <w:pPr>
              <w:jc w:val="center"/>
              <w:rPr>
                <w:rFonts w:ascii="Arial Narrow" w:hAnsi="Arial Narrow" w:cstheme="minorHAnsi"/>
                <w:sz w:val="20"/>
              </w:rPr>
            </w:pPr>
            <w:r w:rsidRPr="005F2796">
              <w:rPr>
                <w:rFonts w:ascii="Arial Narrow" w:hAnsi="Arial Narrow" w:cs="Calibri"/>
                <w:sz w:val="20"/>
              </w:rPr>
              <w:t>NR</w:t>
            </w:r>
          </w:p>
        </w:tc>
      </w:tr>
      <w:tr w:rsidR="00A57383" w:rsidRPr="005F2796" w:rsidTr="00EF6959">
        <w:trPr>
          <w:trHeight w:val="105"/>
        </w:trPr>
        <w:tc>
          <w:tcPr>
            <w:tcW w:w="1408" w:type="pct"/>
            <w:tcBorders>
              <w:bottom w:val="single" w:sz="4" w:space="0" w:color="auto"/>
            </w:tcBorders>
            <w:shd w:val="clear" w:color="auto" w:fill="auto"/>
            <w:vAlign w:val="center"/>
          </w:tcPr>
          <w:p w:rsidR="00A57383" w:rsidRPr="005F2796" w:rsidRDefault="00A57383" w:rsidP="00EF6959">
            <w:pPr>
              <w:jc w:val="left"/>
              <w:rPr>
                <w:rFonts w:ascii="Arial Narrow" w:hAnsi="Arial Narrow" w:cs="Arial"/>
                <w:snapToGrid w:val="0"/>
                <w:sz w:val="20"/>
              </w:rPr>
            </w:pPr>
            <w:r w:rsidRPr="005F2796">
              <w:rPr>
                <w:rFonts w:ascii="Arial Narrow" w:hAnsi="Arial Narrow"/>
                <w:sz w:val="20"/>
              </w:rPr>
              <w:t>Any AE</w:t>
            </w:r>
          </w:p>
        </w:tc>
        <w:tc>
          <w:tcPr>
            <w:tcW w:w="718" w:type="pct"/>
            <w:tcBorders>
              <w:bottom w:val="single" w:sz="4" w:space="0" w:color="auto"/>
            </w:tcBorders>
            <w:shd w:val="clear" w:color="auto" w:fill="auto"/>
            <w:vAlign w:val="center"/>
          </w:tcPr>
          <w:p w:rsidR="00A57383" w:rsidRPr="00907220" w:rsidRDefault="00A57383" w:rsidP="00EF6959">
            <w:pPr>
              <w:jc w:val="center"/>
              <w:rPr>
                <w:rFonts w:ascii="Arial Narrow" w:hAnsi="Arial Narrow"/>
                <w:sz w:val="20"/>
              </w:rPr>
            </w:pPr>
            <w:r w:rsidRPr="00907220">
              <w:rPr>
                <w:rFonts w:ascii="Arial Narrow" w:hAnsi="Arial Narrow"/>
                <w:sz w:val="20"/>
              </w:rPr>
              <w:t>194 (100)</w:t>
            </w:r>
          </w:p>
        </w:tc>
        <w:tc>
          <w:tcPr>
            <w:tcW w:w="701" w:type="pct"/>
            <w:tcBorders>
              <w:bottom w:val="single" w:sz="4" w:space="0" w:color="auto"/>
            </w:tcBorders>
            <w:shd w:val="clear" w:color="auto" w:fill="auto"/>
            <w:vAlign w:val="center"/>
          </w:tcPr>
          <w:p w:rsidR="00A57383" w:rsidRPr="004B34A4" w:rsidRDefault="004B34A4" w:rsidP="00EF6959">
            <w:pPr>
              <w:jc w:val="center"/>
              <w:rPr>
                <w:rFonts w:ascii="Arial Narrow" w:hAnsi="Arial Narrow" w:cs="Arial"/>
                <w:snapToGrid w:val="0"/>
                <w:sz w:val="20"/>
                <w:highlight w:val="black"/>
              </w:rPr>
            </w:pPr>
            <w:r>
              <w:rPr>
                <w:rFonts w:ascii="Arial Narrow" w:hAnsi="Arial Narrow"/>
                <w:noProof/>
                <w:color w:val="000000"/>
                <w:sz w:val="20"/>
                <w:highlight w:val="black"/>
              </w:rPr>
              <w:t>''''''''' ''''''''''''</w:t>
            </w:r>
          </w:p>
        </w:tc>
        <w:tc>
          <w:tcPr>
            <w:tcW w:w="737" w:type="pct"/>
            <w:tcBorders>
              <w:top w:val="nil"/>
              <w:left w:val="nil"/>
              <w:bottom w:val="single" w:sz="4" w:space="0" w:color="auto"/>
              <w:right w:val="single" w:sz="8" w:space="0" w:color="auto"/>
            </w:tcBorders>
            <w:vAlign w:val="center"/>
          </w:tcPr>
          <w:p w:rsidR="00A57383" w:rsidRPr="005F2796" w:rsidRDefault="00A57383" w:rsidP="00EF6959">
            <w:pPr>
              <w:jc w:val="center"/>
              <w:rPr>
                <w:rFonts w:ascii="Arial Narrow" w:hAnsi="Arial Narrow" w:cs="Calibri"/>
                <w:sz w:val="20"/>
              </w:rPr>
            </w:pPr>
            <w:r w:rsidRPr="005F2796">
              <w:rPr>
                <w:rFonts w:ascii="Arial Narrow" w:hAnsi="Arial Narrow" w:cs="Calibri"/>
                <w:sz w:val="20"/>
              </w:rPr>
              <w:t>194 (99)</w:t>
            </w:r>
          </w:p>
        </w:tc>
        <w:tc>
          <w:tcPr>
            <w:tcW w:w="719" w:type="pct"/>
            <w:tcBorders>
              <w:top w:val="nil"/>
              <w:left w:val="nil"/>
              <w:bottom w:val="single" w:sz="4" w:space="0" w:color="auto"/>
              <w:right w:val="single" w:sz="8" w:space="0" w:color="auto"/>
            </w:tcBorders>
            <w:vAlign w:val="center"/>
          </w:tcPr>
          <w:p w:rsidR="00A57383" w:rsidRPr="005F2796" w:rsidRDefault="00A57383" w:rsidP="00EF6959">
            <w:pPr>
              <w:jc w:val="center"/>
              <w:rPr>
                <w:rFonts w:ascii="Arial Narrow" w:hAnsi="Arial Narrow" w:cs="Calibri"/>
                <w:sz w:val="20"/>
              </w:rPr>
            </w:pPr>
            <w:r w:rsidRPr="005F2796">
              <w:rPr>
                <w:rFonts w:ascii="Arial Narrow" w:hAnsi="Arial Narrow" w:cs="Calibri"/>
                <w:sz w:val="20"/>
              </w:rPr>
              <w:t>NR</w:t>
            </w:r>
          </w:p>
        </w:tc>
        <w:tc>
          <w:tcPr>
            <w:tcW w:w="717" w:type="pct"/>
            <w:tcBorders>
              <w:top w:val="nil"/>
              <w:left w:val="nil"/>
              <w:bottom w:val="single" w:sz="4" w:space="0" w:color="auto"/>
              <w:right w:val="single" w:sz="8" w:space="0" w:color="auto"/>
            </w:tcBorders>
            <w:vAlign w:val="center"/>
          </w:tcPr>
          <w:p w:rsidR="00A57383" w:rsidRPr="005F2796" w:rsidRDefault="00A57383" w:rsidP="00EF6959">
            <w:pPr>
              <w:jc w:val="center"/>
              <w:rPr>
                <w:rFonts w:ascii="Arial Narrow" w:hAnsi="Arial Narrow" w:cs="Calibri"/>
                <w:sz w:val="20"/>
              </w:rPr>
            </w:pPr>
            <w:r w:rsidRPr="005F2796">
              <w:rPr>
                <w:rFonts w:ascii="Arial Narrow" w:hAnsi="Arial Narrow" w:cs="Calibri"/>
                <w:sz w:val="20"/>
              </w:rPr>
              <w:t>NR</w:t>
            </w:r>
          </w:p>
        </w:tc>
      </w:tr>
      <w:tr w:rsidR="00A57383" w:rsidRPr="005F2796" w:rsidTr="00EF6959">
        <w:trPr>
          <w:trHeight w:val="51"/>
        </w:trPr>
        <w:tc>
          <w:tcPr>
            <w:tcW w:w="1408" w:type="pct"/>
            <w:tcBorders>
              <w:top w:val="single" w:sz="4" w:space="0" w:color="auto"/>
              <w:bottom w:val="single" w:sz="4" w:space="0" w:color="auto"/>
            </w:tcBorders>
            <w:shd w:val="clear" w:color="auto" w:fill="auto"/>
          </w:tcPr>
          <w:p w:rsidR="00A57383" w:rsidRPr="005F2796" w:rsidRDefault="00A57383" w:rsidP="00EF6959">
            <w:pPr>
              <w:jc w:val="left"/>
              <w:rPr>
                <w:rFonts w:ascii="Arial Narrow" w:hAnsi="Arial Narrow" w:cs="Arial"/>
                <w:snapToGrid w:val="0"/>
                <w:sz w:val="20"/>
              </w:rPr>
            </w:pPr>
            <w:r w:rsidRPr="005F2796">
              <w:rPr>
                <w:rFonts w:ascii="Arial Narrow" w:hAnsi="Arial Narrow" w:cs="Arial"/>
                <w:snapToGrid w:val="0"/>
                <w:sz w:val="20"/>
              </w:rPr>
              <w:t>Any grade, incidence ≥20%:</w:t>
            </w:r>
          </w:p>
          <w:p w:rsidR="00A57383" w:rsidRPr="005F2796" w:rsidRDefault="00A57383" w:rsidP="00EF6959">
            <w:pPr>
              <w:pStyle w:val="ListParagraph"/>
              <w:numPr>
                <w:ilvl w:val="0"/>
                <w:numId w:val="27"/>
              </w:numPr>
              <w:ind w:left="28" w:hanging="93"/>
              <w:jc w:val="left"/>
              <w:rPr>
                <w:rFonts w:ascii="Arial Narrow" w:hAnsi="Arial Narrow" w:cs="Arial"/>
                <w:snapToGrid w:val="0"/>
                <w:sz w:val="20"/>
              </w:rPr>
            </w:pPr>
            <w:r w:rsidRPr="005F2796">
              <w:rPr>
                <w:rFonts w:ascii="Arial Narrow" w:hAnsi="Arial Narrow" w:cs="Calibri"/>
                <w:color w:val="2D2926"/>
                <w:sz w:val="20"/>
              </w:rPr>
              <w:t>Neutropenia</w:t>
            </w:r>
          </w:p>
          <w:p w:rsidR="00A57383" w:rsidRPr="005F2796" w:rsidRDefault="00A57383" w:rsidP="00EF6959">
            <w:pPr>
              <w:pStyle w:val="ListParagraph"/>
              <w:numPr>
                <w:ilvl w:val="0"/>
                <w:numId w:val="27"/>
              </w:numPr>
              <w:ind w:left="28" w:hanging="93"/>
              <w:jc w:val="left"/>
              <w:rPr>
                <w:rFonts w:ascii="Arial Narrow" w:hAnsi="Arial Narrow" w:cs="Arial"/>
                <w:snapToGrid w:val="0"/>
                <w:sz w:val="20"/>
              </w:rPr>
            </w:pPr>
            <w:r w:rsidRPr="005F2796">
              <w:rPr>
                <w:rFonts w:ascii="Arial Narrow" w:hAnsi="Arial Narrow" w:cs="Calibri"/>
                <w:color w:val="2D2926"/>
                <w:sz w:val="20"/>
              </w:rPr>
              <w:t>Anaemia</w:t>
            </w:r>
          </w:p>
          <w:p w:rsidR="00A57383" w:rsidRPr="005F2796" w:rsidRDefault="00A57383" w:rsidP="00EF6959">
            <w:pPr>
              <w:pStyle w:val="ListParagraph"/>
              <w:numPr>
                <w:ilvl w:val="0"/>
                <w:numId w:val="27"/>
              </w:numPr>
              <w:ind w:left="28" w:hanging="93"/>
              <w:jc w:val="left"/>
              <w:rPr>
                <w:rFonts w:ascii="Arial Narrow" w:hAnsi="Arial Narrow" w:cs="Arial"/>
                <w:snapToGrid w:val="0"/>
                <w:sz w:val="20"/>
              </w:rPr>
            </w:pPr>
            <w:r w:rsidRPr="005F2796">
              <w:rPr>
                <w:rFonts w:ascii="Arial Narrow" w:hAnsi="Arial Narrow" w:cs="Calibri"/>
                <w:color w:val="2D2926"/>
                <w:sz w:val="20"/>
              </w:rPr>
              <w:t>Diarrhoea</w:t>
            </w:r>
          </w:p>
          <w:p w:rsidR="00A57383" w:rsidRPr="005F2796" w:rsidRDefault="00A57383" w:rsidP="00EF6959">
            <w:pPr>
              <w:pStyle w:val="ListParagraph"/>
              <w:numPr>
                <w:ilvl w:val="0"/>
                <w:numId w:val="27"/>
              </w:numPr>
              <w:ind w:left="28" w:hanging="93"/>
              <w:jc w:val="left"/>
              <w:rPr>
                <w:rFonts w:ascii="Arial Narrow" w:hAnsi="Arial Narrow" w:cs="Arial"/>
                <w:snapToGrid w:val="0"/>
                <w:sz w:val="20"/>
              </w:rPr>
            </w:pPr>
            <w:r w:rsidRPr="005F2796">
              <w:rPr>
                <w:rFonts w:ascii="Arial Narrow" w:hAnsi="Arial Narrow" w:cs="Calibri"/>
                <w:color w:val="2D2926"/>
                <w:sz w:val="20"/>
              </w:rPr>
              <w:t>Nausea</w:t>
            </w:r>
          </w:p>
          <w:p w:rsidR="00A57383" w:rsidRPr="005F2796" w:rsidRDefault="00A57383" w:rsidP="00EF6959">
            <w:pPr>
              <w:pStyle w:val="ListParagraph"/>
              <w:numPr>
                <w:ilvl w:val="0"/>
                <w:numId w:val="27"/>
              </w:numPr>
              <w:ind w:left="28" w:hanging="93"/>
              <w:jc w:val="left"/>
              <w:rPr>
                <w:rFonts w:ascii="Arial Narrow" w:hAnsi="Arial Narrow" w:cs="Arial"/>
                <w:snapToGrid w:val="0"/>
                <w:sz w:val="20"/>
              </w:rPr>
            </w:pPr>
            <w:r w:rsidRPr="005F2796">
              <w:rPr>
                <w:rFonts w:ascii="Arial Narrow" w:hAnsi="Arial Narrow" w:cs="Calibri"/>
                <w:color w:val="2D2926"/>
                <w:sz w:val="20"/>
              </w:rPr>
              <w:t>Upper respiratory tract infection</w:t>
            </w:r>
          </w:p>
          <w:p w:rsidR="00A57383" w:rsidRPr="005F2796" w:rsidRDefault="00A57383" w:rsidP="00EF6959">
            <w:pPr>
              <w:pStyle w:val="ListParagraph"/>
              <w:numPr>
                <w:ilvl w:val="0"/>
                <w:numId w:val="27"/>
              </w:numPr>
              <w:ind w:left="28" w:hanging="93"/>
              <w:jc w:val="left"/>
              <w:rPr>
                <w:rFonts w:ascii="Arial Narrow" w:hAnsi="Arial Narrow" w:cs="Arial"/>
                <w:snapToGrid w:val="0"/>
                <w:sz w:val="20"/>
              </w:rPr>
            </w:pPr>
            <w:r w:rsidRPr="005F2796">
              <w:rPr>
                <w:rFonts w:ascii="Arial Narrow" w:hAnsi="Arial Narrow" w:cs="Calibri"/>
                <w:color w:val="2D2926"/>
                <w:sz w:val="20"/>
              </w:rPr>
              <w:t>Fatigue</w:t>
            </w:r>
          </w:p>
          <w:p w:rsidR="00A57383" w:rsidRPr="005F2796" w:rsidRDefault="00A57383" w:rsidP="00EF6959">
            <w:pPr>
              <w:pStyle w:val="ListParagraph"/>
              <w:numPr>
                <w:ilvl w:val="0"/>
                <w:numId w:val="27"/>
              </w:numPr>
              <w:ind w:left="28" w:hanging="93"/>
              <w:jc w:val="left"/>
              <w:rPr>
                <w:rFonts w:ascii="Arial Narrow" w:hAnsi="Arial Narrow" w:cs="Arial"/>
                <w:snapToGrid w:val="0"/>
                <w:sz w:val="20"/>
              </w:rPr>
            </w:pPr>
            <w:r w:rsidRPr="005F2796">
              <w:rPr>
                <w:rFonts w:ascii="Arial Narrow" w:hAnsi="Arial Narrow" w:cs="Calibri"/>
                <w:color w:val="2D2926"/>
                <w:sz w:val="20"/>
              </w:rPr>
              <w:t>Pyrexia</w:t>
            </w:r>
          </w:p>
          <w:p w:rsidR="00A57383" w:rsidRPr="005F2796" w:rsidRDefault="00A57383" w:rsidP="00EF6959">
            <w:pPr>
              <w:pStyle w:val="ListParagraph"/>
              <w:numPr>
                <w:ilvl w:val="0"/>
                <w:numId w:val="27"/>
              </w:numPr>
              <w:ind w:left="28" w:hanging="93"/>
              <w:jc w:val="left"/>
              <w:rPr>
                <w:rFonts w:ascii="Arial Narrow" w:hAnsi="Arial Narrow" w:cs="Arial"/>
                <w:snapToGrid w:val="0"/>
                <w:sz w:val="20"/>
              </w:rPr>
            </w:pPr>
            <w:r w:rsidRPr="005F2796">
              <w:rPr>
                <w:rFonts w:ascii="Arial Narrow" w:hAnsi="Arial Narrow" w:cs="Calibri"/>
                <w:color w:val="2D2926"/>
                <w:sz w:val="20"/>
              </w:rPr>
              <w:t>Cough</w:t>
            </w:r>
          </w:p>
        </w:tc>
        <w:tc>
          <w:tcPr>
            <w:tcW w:w="718" w:type="pct"/>
            <w:tcBorders>
              <w:top w:val="single" w:sz="4" w:space="0" w:color="auto"/>
              <w:bottom w:val="single" w:sz="4" w:space="0" w:color="auto"/>
            </w:tcBorders>
            <w:shd w:val="clear" w:color="auto" w:fill="auto"/>
          </w:tcPr>
          <w:p w:rsidR="00A57383" w:rsidRPr="00907220" w:rsidRDefault="00A57383" w:rsidP="00EF6959">
            <w:pPr>
              <w:jc w:val="center"/>
              <w:rPr>
                <w:rFonts w:ascii="Arial Narrow" w:hAnsi="Arial Narrow" w:cs="Calibri"/>
                <w:color w:val="2D2926"/>
                <w:sz w:val="20"/>
              </w:rPr>
            </w:pPr>
          </w:p>
          <w:p w:rsidR="00A57383" w:rsidRPr="00907220" w:rsidRDefault="00A57383" w:rsidP="00EF6959">
            <w:pPr>
              <w:jc w:val="center"/>
              <w:rPr>
                <w:rFonts w:ascii="Arial Narrow" w:hAnsi="Arial Narrow"/>
                <w:sz w:val="20"/>
              </w:rPr>
            </w:pPr>
            <w:r w:rsidRPr="00907220">
              <w:rPr>
                <w:rFonts w:ascii="Arial Narrow" w:hAnsi="Arial Narrow" w:cs="Calibri"/>
                <w:color w:val="2D2926"/>
                <w:sz w:val="20"/>
              </w:rPr>
              <w:t>118 (61)</w:t>
            </w:r>
          </w:p>
          <w:p w:rsidR="00A57383" w:rsidRPr="00907220" w:rsidRDefault="00A57383" w:rsidP="00EF6959">
            <w:pPr>
              <w:jc w:val="center"/>
              <w:rPr>
                <w:rFonts w:ascii="Arial Narrow" w:hAnsi="Arial Narrow"/>
                <w:sz w:val="20"/>
              </w:rPr>
            </w:pPr>
            <w:r w:rsidRPr="00907220">
              <w:rPr>
                <w:rFonts w:ascii="Arial Narrow" w:hAnsi="Arial Narrow" w:cs="Calibri"/>
                <w:color w:val="2D2926"/>
                <w:sz w:val="20"/>
              </w:rPr>
              <w:t>30 (16)</w:t>
            </w:r>
          </w:p>
          <w:p w:rsidR="00A57383" w:rsidRPr="00907220" w:rsidRDefault="00A57383" w:rsidP="00EF6959">
            <w:pPr>
              <w:jc w:val="center"/>
              <w:rPr>
                <w:rFonts w:ascii="Arial Narrow" w:hAnsi="Arial Narrow"/>
                <w:sz w:val="20"/>
              </w:rPr>
            </w:pPr>
            <w:r w:rsidRPr="00907220">
              <w:rPr>
                <w:rFonts w:ascii="Arial Narrow" w:hAnsi="Arial Narrow" w:cs="Calibri"/>
                <w:color w:val="2D2926"/>
                <w:sz w:val="20"/>
              </w:rPr>
              <w:t>77 (40)</w:t>
            </w:r>
          </w:p>
          <w:p w:rsidR="00A57383" w:rsidRPr="00907220" w:rsidRDefault="00A57383" w:rsidP="00EF6959">
            <w:pPr>
              <w:jc w:val="center"/>
              <w:rPr>
                <w:rFonts w:ascii="Arial Narrow" w:hAnsi="Arial Narrow"/>
                <w:sz w:val="20"/>
              </w:rPr>
            </w:pPr>
            <w:r w:rsidRPr="00907220">
              <w:rPr>
                <w:rFonts w:ascii="Arial Narrow" w:hAnsi="Arial Narrow" w:cs="Calibri"/>
                <w:color w:val="2D2926"/>
                <w:sz w:val="20"/>
              </w:rPr>
              <w:t>41 (21)</w:t>
            </w:r>
          </w:p>
          <w:p w:rsidR="00A57383" w:rsidRPr="00907220" w:rsidRDefault="00A57383" w:rsidP="00EF6959">
            <w:pPr>
              <w:jc w:val="center"/>
              <w:rPr>
                <w:rFonts w:ascii="Arial Narrow" w:hAnsi="Arial Narrow"/>
                <w:sz w:val="20"/>
              </w:rPr>
            </w:pPr>
            <w:r w:rsidRPr="00907220">
              <w:rPr>
                <w:rFonts w:ascii="Arial Narrow" w:hAnsi="Arial Narrow" w:cs="Calibri"/>
                <w:color w:val="2D2926"/>
                <w:sz w:val="20"/>
              </w:rPr>
              <w:t>43 (22)</w:t>
            </w:r>
          </w:p>
          <w:p w:rsidR="00A57383" w:rsidRPr="00907220" w:rsidRDefault="00A57383" w:rsidP="00EF6959">
            <w:pPr>
              <w:jc w:val="center"/>
              <w:rPr>
                <w:rFonts w:ascii="Arial Narrow" w:hAnsi="Arial Narrow"/>
                <w:sz w:val="20"/>
              </w:rPr>
            </w:pPr>
            <w:r w:rsidRPr="00907220">
              <w:rPr>
                <w:rFonts w:ascii="Arial Narrow" w:hAnsi="Arial Narrow" w:cs="Calibri"/>
                <w:color w:val="2D2926"/>
                <w:sz w:val="20"/>
              </w:rPr>
              <w:t>34 (18)</w:t>
            </w:r>
          </w:p>
          <w:p w:rsidR="00A57383" w:rsidRPr="00907220" w:rsidRDefault="00A57383" w:rsidP="00EF6959">
            <w:pPr>
              <w:jc w:val="center"/>
              <w:rPr>
                <w:rFonts w:ascii="Arial Narrow" w:hAnsi="Arial Narrow"/>
                <w:sz w:val="20"/>
              </w:rPr>
            </w:pPr>
            <w:r w:rsidRPr="00907220">
              <w:rPr>
                <w:rFonts w:ascii="Arial Narrow" w:hAnsi="Arial Narrow" w:cs="Calibri"/>
                <w:color w:val="2D2926"/>
                <w:sz w:val="20"/>
              </w:rPr>
              <w:t>29 (15)</w:t>
            </w:r>
          </w:p>
          <w:p w:rsidR="00A57383" w:rsidRPr="00907220" w:rsidRDefault="00A57383" w:rsidP="00EF6959">
            <w:pPr>
              <w:jc w:val="center"/>
              <w:rPr>
                <w:rFonts w:ascii="Arial Narrow" w:hAnsi="Arial Narrow"/>
                <w:sz w:val="20"/>
              </w:rPr>
            </w:pPr>
            <w:r w:rsidRPr="00907220">
              <w:rPr>
                <w:rFonts w:ascii="Arial Narrow" w:hAnsi="Arial Narrow" w:cs="Calibri"/>
                <w:color w:val="2D2926"/>
                <w:sz w:val="20"/>
              </w:rPr>
              <w:t>35 (18)</w:t>
            </w:r>
          </w:p>
        </w:tc>
        <w:tc>
          <w:tcPr>
            <w:tcW w:w="701" w:type="pct"/>
            <w:tcBorders>
              <w:top w:val="single" w:sz="4" w:space="0" w:color="auto"/>
              <w:bottom w:val="single" w:sz="4" w:space="0" w:color="auto"/>
            </w:tcBorders>
            <w:shd w:val="clear" w:color="auto" w:fill="auto"/>
          </w:tcPr>
          <w:p w:rsidR="00A57383" w:rsidRPr="00907220" w:rsidRDefault="00A57383" w:rsidP="00EF6959">
            <w:pPr>
              <w:jc w:val="center"/>
              <w:rPr>
                <w:rFonts w:ascii="Arial Narrow" w:hAnsi="Arial Narrow" w:cs="Calibri"/>
                <w:color w:val="2D2926"/>
                <w:sz w:val="20"/>
              </w:rPr>
            </w:pPr>
          </w:p>
          <w:p w:rsidR="00A57383" w:rsidRPr="004B34A4" w:rsidRDefault="004B34A4" w:rsidP="00EF6959">
            <w:pPr>
              <w:jc w:val="center"/>
              <w:rPr>
                <w:rFonts w:ascii="Arial Narrow" w:hAnsi="Arial Narrow"/>
                <w:sz w:val="20"/>
                <w:highlight w:val="black"/>
              </w:rPr>
            </w:pPr>
            <w:r>
              <w:rPr>
                <w:rFonts w:ascii="Arial Narrow" w:hAnsi="Arial Narrow" w:cs="Calibri"/>
                <w:noProof/>
                <w:color w:val="000000"/>
                <w:sz w:val="20"/>
                <w:highlight w:val="black"/>
              </w:rPr>
              <w:t>'''''''''</w:t>
            </w:r>
          </w:p>
          <w:p w:rsidR="00A57383" w:rsidRPr="004B34A4" w:rsidRDefault="004B34A4" w:rsidP="00EF6959">
            <w:pPr>
              <w:jc w:val="center"/>
              <w:rPr>
                <w:rFonts w:ascii="Arial Narrow" w:hAnsi="Arial Narrow"/>
                <w:sz w:val="20"/>
                <w:highlight w:val="black"/>
              </w:rPr>
            </w:pPr>
            <w:r>
              <w:rPr>
                <w:rFonts w:ascii="Arial Narrow" w:hAnsi="Arial Narrow" w:cs="Calibri"/>
                <w:noProof/>
                <w:color w:val="000000"/>
                <w:sz w:val="20"/>
                <w:highlight w:val="black"/>
              </w:rPr>
              <w:t>''''''''</w:t>
            </w:r>
          </w:p>
          <w:p w:rsidR="00A57383" w:rsidRPr="004B34A4" w:rsidRDefault="004B34A4" w:rsidP="00EF6959">
            <w:pPr>
              <w:jc w:val="center"/>
              <w:rPr>
                <w:rFonts w:ascii="Arial Narrow" w:hAnsi="Arial Narrow"/>
                <w:sz w:val="20"/>
                <w:highlight w:val="black"/>
              </w:rPr>
            </w:pPr>
            <w:r>
              <w:rPr>
                <w:rFonts w:ascii="Arial Narrow" w:hAnsi="Arial Narrow" w:cs="Calibri"/>
                <w:noProof/>
                <w:color w:val="000000"/>
                <w:sz w:val="20"/>
                <w:highlight w:val="black"/>
              </w:rPr>
              <w:t>''''''''</w:t>
            </w:r>
          </w:p>
          <w:p w:rsidR="00A57383" w:rsidRPr="004B34A4" w:rsidRDefault="004B34A4" w:rsidP="00EF6959">
            <w:pPr>
              <w:jc w:val="center"/>
              <w:rPr>
                <w:rFonts w:ascii="Arial Narrow" w:hAnsi="Arial Narrow"/>
                <w:sz w:val="20"/>
                <w:highlight w:val="black"/>
              </w:rPr>
            </w:pPr>
            <w:r>
              <w:rPr>
                <w:rFonts w:ascii="Arial Narrow" w:hAnsi="Arial Narrow" w:cs="Calibri"/>
                <w:noProof/>
                <w:color w:val="000000"/>
                <w:sz w:val="20"/>
                <w:highlight w:val="black"/>
              </w:rPr>
              <w:t>'''''''''</w:t>
            </w:r>
          </w:p>
          <w:p w:rsidR="00A57383" w:rsidRPr="004B34A4" w:rsidRDefault="004B34A4" w:rsidP="00EF6959">
            <w:pPr>
              <w:jc w:val="center"/>
              <w:rPr>
                <w:rFonts w:ascii="Arial Narrow" w:hAnsi="Arial Narrow"/>
                <w:sz w:val="20"/>
                <w:highlight w:val="black"/>
              </w:rPr>
            </w:pPr>
            <w:r>
              <w:rPr>
                <w:rFonts w:ascii="Arial Narrow" w:hAnsi="Arial Narrow" w:cs="Calibri"/>
                <w:noProof/>
                <w:color w:val="000000"/>
                <w:sz w:val="20"/>
                <w:highlight w:val="black"/>
              </w:rPr>
              <w:t>'''''''</w:t>
            </w:r>
          </w:p>
          <w:p w:rsidR="00A57383" w:rsidRPr="004B34A4" w:rsidRDefault="004B34A4" w:rsidP="00EF6959">
            <w:pPr>
              <w:jc w:val="center"/>
              <w:rPr>
                <w:rFonts w:ascii="Arial Narrow" w:hAnsi="Arial Narrow"/>
                <w:sz w:val="20"/>
                <w:highlight w:val="black"/>
              </w:rPr>
            </w:pPr>
            <w:r>
              <w:rPr>
                <w:rFonts w:ascii="Arial Narrow" w:hAnsi="Arial Narrow" w:cs="Calibri"/>
                <w:noProof/>
                <w:color w:val="000000"/>
                <w:sz w:val="20"/>
                <w:highlight w:val="black"/>
              </w:rPr>
              <w:t>'''''''''</w:t>
            </w:r>
          </w:p>
          <w:p w:rsidR="00A57383" w:rsidRPr="004B34A4" w:rsidRDefault="004B34A4" w:rsidP="00EF6959">
            <w:pPr>
              <w:jc w:val="center"/>
              <w:rPr>
                <w:rFonts w:ascii="Arial Narrow" w:hAnsi="Arial Narrow"/>
                <w:sz w:val="20"/>
                <w:highlight w:val="black"/>
              </w:rPr>
            </w:pPr>
            <w:r>
              <w:rPr>
                <w:rFonts w:ascii="Arial Narrow" w:hAnsi="Arial Narrow" w:cs="Calibri"/>
                <w:noProof/>
                <w:color w:val="000000"/>
                <w:sz w:val="20"/>
                <w:highlight w:val="black"/>
              </w:rPr>
              <w:t>'''''''''</w:t>
            </w:r>
          </w:p>
          <w:p w:rsidR="00A57383" w:rsidRPr="004B34A4" w:rsidRDefault="004B34A4" w:rsidP="00EF6959">
            <w:pPr>
              <w:jc w:val="center"/>
              <w:rPr>
                <w:rFonts w:ascii="Arial Narrow" w:hAnsi="Arial Narrow" w:cs="Arial"/>
                <w:snapToGrid w:val="0"/>
                <w:sz w:val="20"/>
                <w:highlight w:val="black"/>
              </w:rPr>
            </w:pPr>
            <w:r>
              <w:rPr>
                <w:rFonts w:ascii="Arial Narrow" w:hAnsi="Arial Narrow" w:cs="Calibri"/>
                <w:noProof/>
                <w:color w:val="000000"/>
                <w:sz w:val="20"/>
                <w:highlight w:val="black"/>
              </w:rPr>
              <w:t>'''''''''</w:t>
            </w:r>
          </w:p>
        </w:tc>
        <w:tc>
          <w:tcPr>
            <w:tcW w:w="737" w:type="pct"/>
            <w:tcBorders>
              <w:top w:val="single" w:sz="4" w:space="0" w:color="auto"/>
              <w:left w:val="nil"/>
              <w:bottom w:val="single" w:sz="4" w:space="0" w:color="auto"/>
              <w:right w:val="single" w:sz="8" w:space="0" w:color="auto"/>
            </w:tcBorders>
          </w:tcPr>
          <w:p w:rsidR="00A57383" w:rsidRPr="005F2796" w:rsidRDefault="00A57383" w:rsidP="00EF6959">
            <w:pPr>
              <w:jc w:val="center"/>
              <w:rPr>
                <w:rFonts w:ascii="Arial Narrow" w:hAnsi="Arial Narrow" w:cs="Calibri"/>
                <w:color w:val="2D2926"/>
                <w:sz w:val="20"/>
              </w:rPr>
            </w:pP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42 (22)</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44 (23)</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93 (48)</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51 (26)</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31 (16)</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54 (28)</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46 (24)</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38 (20)</w:t>
            </w:r>
          </w:p>
        </w:tc>
        <w:tc>
          <w:tcPr>
            <w:tcW w:w="719" w:type="pct"/>
            <w:tcBorders>
              <w:top w:val="single" w:sz="4" w:space="0" w:color="auto"/>
              <w:left w:val="nil"/>
              <w:bottom w:val="single" w:sz="4" w:space="0" w:color="auto"/>
              <w:right w:val="single" w:sz="8" w:space="0" w:color="auto"/>
            </w:tcBorders>
          </w:tcPr>
          <w:p w:rsidR="00A57383" w:rsidRPr="005F2796" w:rsidRDefault="00A57383" w:rsidP="00EF6959">
            <w:pPr>
              <w:jc w:val="center"/>
              <w:rPr>
                <w:rFonts w:ascii="Arial Narrow" w:hAnsi="Arial Narrow" w:cs="Calibri"/>
                <w:color w:val="2D2926"/>
                <w:sz w:val="20"/>
              </w:rPr>
            </w:pP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50 (26)</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49 (25)</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105 (54)</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61 (31)</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49 (25)</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67 (34)</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58 (30)</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51 (26)</w:t>
            </w:r>
          </w:p>
        </w:tc>
        <w:tc>
          <w:tcPr>
            <w:tcW w:w="717" w:type="pct"/>
            <w:tcBorders>
              <w:top w:val="single" w:sz="4" w:space="0" w:color="auto"/>
              <w:left w:val="nil"/>
              <w:bottom w:val="single" w:sz="4" w:space="0" w:color="auto"/>
              <w:right w:val="single" w:sz="8" w:space="0" w:color="auto"/>
            </w:tcBorders>
          </w:tcPr>
          <w:p w:rsidR="00A57383" w:rsidRPr="005F2796" w:rsidRDefault="00A57383" w:rsidP="00EF6959">
            <w:pPr>
              <w:jc w:val="center"/>
              <w:rPr>
                <w:rFonts w:ascii="Arial Narrow" w:hAnsi="Arial Narrow" w:cs="Calibri"/>
                <w:color w:val="2D2926"/>
                <w:sz w:val="20"/>
              </w:rPr>
            </w:pP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NR</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NR</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NR</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NR</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NR</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NR</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NR</w:t>
            </w:r>
          </w:p>
          <w:p w:rsidR="00A57383" w:rsidRPr="005F2796" w:rsidRDefault="00A57383" w:rsidP="00EF6959">
            <w:pPr>
              <w:jc w:val="center"/>
              <w:rPr>
                <w:rFonts w:ascii="Arial Narrow" w:hAnsi="Arial Narrow" w:cs="Calibri"/>
                <w:sz w:val="20"/>
              </w:rPr>
            </w:pPr>
            <w:r w:rsidRPr="005F2796">
              <w:rPr>
                <w:rFonts w:ascii="Arial Narrow" w:hAnsi="Arial Narrow" w:cs="Calibri"/>
                <w:color w:val="2D2926"/>
                <w:sz w:val="20"/>
              </w:rPr>
              <w:t>NR</w:t>
            </w:r>
          </w:p>
        </w:tc>
      </w:tr>
      <w:tr w:rsidR="00A57383" w:rsidRPr="005F2796" w:rsidTr="00EF6959">
        <w:trPr>
          <w:trHeight w:val="1809"/>
        </w:trPr>
        <w:tc>
          <w:tcPr>
            <w:tcW w:w="1408" w:type="pct"/>
            <w:tcBorders>
              <w:top w:val="single" w:sz="4" w:space="0" w:color="auto"/>
            </w:tcBorders>
            <w:shd w:val="clear" w:color="auto" w:fill="auto"/>
          </w:tcPr>
          <w:p w:rsidR="00A57383" w:rsidRPr="005F2796" w:rsidRDefault="00A57383" w:rsidP="00EF6959">
            <w:pPr>
              <w:jc w:val="left"/>
              <w:rPr>
                <w:rFonts w:ascii="Arial Narrow" w:hAnsi="Arial Narrow" w:cs="Arial"/>
                <w:snapToGrid w:val="0"/>
                <w:sz w:val="20"/>
              </w:rPr>
            </w:pPr>
            <w:r w:rsidRPr="005F2796">
              <w:rPr>
                <w:rFonts w:ascii="Arial Narrow" w:hAnsi="Arial Narrow" w:cs="Arial"/>
                <w:snapToGrid w:val="0"/>
                <w:sz w:val="20"/>
              </w:rPr>
              <w:t>Grade ≥3, incidence ≥5%:</w:t>
            </w:r>
          </w:p>
          <w:p w:rsidR="00A57383" w:rsidRPr="005F2796" w:rsidRDefault="00A57383" w:rsidP="00EF6959">
            <w:pPr>
              <w:jc w:val="left"/>
              <w:rPr>
                <w:rFonts w:ascii="Arial Narrow" w:hAnsi="Arial Narrow" w:cs="Arial"/>
                <w:snapToGrid w:val="0"/>
                <w:sz w:val="20"/>
              </w:rPr>
            </w:pPr>
            <w:r w:rsidRPr="005F2796">
              <w:rPr>
                <w:rFonts w:ascii="Arial Narrow" w:hAnsi="Arial Narrow"/>
                <w:sz w:val="20"/>
              </w:rPr>
              <w:t>Neutropenia</w:t>
            </w:r>
          </w:p>
          <w:p w:rsidR="00A57383" w:rsidRPr="005F2796" w:rsidRDefault="00A57383" w:rsidP="00EF6959">
            <w:pPr>
              <w:jc w:val="left"/>
              <w:rPr>
                <w:rFonts w:ascii="Arial Narrow" w:hAnsi="Arial Narrow" w:cs="Arial"/>
                <w:snapToGrid w:val="0"/>
                <w:sz w:val="20"/>
              </w:rPr>
            </w:pPr>
            <w:r w:rsidRPr="005F2796">
              <w:rPr>
                <w:rFonts w:ascii="Arial Narrow" w:hAnsi="Arial Narrow"/>
                <w:sz w:val="20"/>
              </w:rPr>
              <w:t>Anaemia</w:t>
            </w:r>
          </w:p>
          <w:p w:rsidR="00A57383" w:rsidRPr="005F2796" w:rsidRDefault="00A57383" w:rsidP="00EF6959">
            <w:pPr>
              <w:jc w:val="left"/>
              <w:rPr>
                <w:rFonts w:ascii="Arial Narrow" w:hAnsi="Arial Narrow" w:cs="Arial"/>
                <w:snapToGrid w:val="0"/>
                <w:sz w:val="20"/>
              </w:rPr>
            </w:pPr>
            <w:r w:rsidRPr="005F2796">
              <w:rPr>
                <w:rFonts w:ascii="Arial Narrow" w:hAnsi="Arial Narrow"/>
                <w:sz w:val="20"/>
              </w:rPr>
              <w:t>Thrombocytopenia</w:t>
            </w:r>
          </w:p>
          <w:p w:rsidR="00A57383" w:rsidRPr="005F2796" w:rsidRDefault="00A57383" w:rsidP="00EF6959">
            <w:pPr>
              <w:jc w:val="left"/>
              <w:rPr>
                <w:rFonts w:ascii="Arial Narrow" w:hAnsi="Arial Narrow" w:cs="Arial"/>
                <w:snapToGrid w:val="0"/>
                <w:sz w:val="20"/>
              </w:rPr>
            </w:pPr>
            <w:r w:rsidRPr="005F2796">
              <w:rPr>
                <w:rFonts w:ascii="Arial Narrow" w:hAnsi="Arial Narrow"/>
                <w:sz w:val="20"/>
              </w:rPr>
              <w:t>Febrile neutropenia</w:t>
            </w:r>
          </w:p>
          <w:p w:rsidR="00A57383" w:rsidRPr="005F2796" w:rsidRDefault="00A57383" w:rsidP="00EF6959">
            <w:pPr>
              <w:jc w:val="left"/>
              <w:rPr>
                <w:rFonts w:ascii="Arial Narrow" w:hAnsi="Arial Narrow" w:cs="Arial"/>
                <w:snapToGrid w:val="0"/>
                <w:sz w:val="20"/>
              </w:rPr>
            </w:pPr>
            <w:r w:rsidRPr="005F2796">
              <w:rPr>
                <w:rFonts w:ascii="Arial Narrow" w:hAnsi="Arial Narrow" w:cstheme="minorHAnsi"/>
                <w:sz w:val="20"/>
              </w:rPr>
              <w:t>Pneumonia</w:t>
            </w:r>
          </w:p>
          <w:p w:rsidR="00A57383" w:rsidRPr="005F2796" w:rsidRDefault="00A57383" w:rsidP="00EF6959">
            <w:pPr>
              <w:jc w:val="left"/>
              <w:rPr>
                <w:rFonts w:ascii="Arial Narrow" w:hAnsi="Arial Narrow" w:cs="Arial"/>
                <w:snapToGrid w:val="0"/>
                <w:sz w:val="20"/>
              </w:rPr>
            </w:pPr>
            <w:r w:rsidRPr="005F2796">
              <w:rPr>
                <w:rFonts w:ascii="Arial Narrow" w:hAnsi="Arial Narrow" w:cstheme="minorHAnsi"/>
                <w:sz w:val="20"/>
              </w:rPr>
              <w:t>Neutrophil count decreased</w:t>
            </w:r>
          </w:p>
          <w:p w:rsidR="00A57383" w:rsidRPr="005F2796" w:rsidRDefault="00A57383" w:rsidP="00EF6959">
            <w:pPr>
              <w:jc w:val="left"/>
              <w:rPr>
                <w:rFonts w:ascii="Arial Narrow" w:hAnsi="Arial Narrow" w:cs="Arial"/>
                <w:snapToGrid w:val="0"/>
                <w:sz w:val="20"/>
              </w:rPr>
            </w:pPr>
            <w:r w:rsidRPr="005F2796">
              <w:rPr>
                <w:rFonts w:ascii="Arial Narrow" w:hAnsi="Arial Narrow" w:cstheme="minorHAnsi"/>
                <w:sz w:val="20"/>
              </w:rPr>
              <w:t>Diarrhoea</w:t>
            </w:r>
          </w:p>
          <w:p w:rsidR="00A57383" w:rsidRPr="005F2796" w:rsidRDefault="00A57383" w:rsidP="00EF6959">
            <w:pPr>
              <w:jc w:val="left"/>
              <w:rPr>
                <w:rFonts w:ascii="Arial Narrow" w:hAnsi="Arial Narrow" w:cs="Arial"/>
                <w:snapToGrid w:val="0"/>
                <w:sz w:val="20"/>
              </w:rPr>
            </w:pPr>
            <w:r w:rsidRPr="005F2796">
              <w:rPr>
                <w:rFonts w:ascii="Arial Narrow" w:hAnsi="Arial Narrow" w:cstheme="minorHAnsi"/>
                <w:sz w:val="20"/>
              </w:rPr>
              <w:t>Major haemorrhage</w:t>
            </w:r>
          </w:p>
          <w:p w:rsidR="00A57383" w:rsidRPr="005F2796" w:rsidRDefault="00A57383" w:rsidP="00EF6959">
            <w:pPr>
              <w:jc w:val="left"/>
              <w:rPr>
                <w:rFonts w:ascii="Arial Narrow" w:hAnsi="Arial Narrow" w:cs="Arial"/>
                <w:snapToGrid w:val="0"/>
                <w:sz w:val="20"/>
              </w:rPr>
            </w:pPr>
            <w:r w:rsidRPr="005F2796">
              <w:rPr>
                <w:rFonts w:ascii="Arial Narrow" w:hAnsi="Arial Narrow" w:cstheme="minorHAnsi"/>
                <w:sz w:val="20"/>
              </w:rPr>
              <w:t>Atrial fibrillation</w:t>
            </w:r>
          </w:p>
        </w:tc>
        <w:tc>
          <w:tcPr>
            <w:tcW w:w="718" w:type="pct"/>
            <w:tcBorders>
              <w:top w:val="single" w:sz="4" w:space="0" w:color="auto"/>
            </w:tcBorders>
            <w:shd w:val="clear" w:color="auto" w:fill="auto"/>
          </w:tcPr>
          <w:p w:rsidR="00A57383" w:rsidRPr="00907220" w:rsidRDefault="00A57383" w:rsidP="00EF6959">
            <w:pPr>
              <w:jc w:val="center"/>
              <w:rPr>
                <w:rFonts w:ascii="Arial Narrow" w:hAnsi="Arial Narrow"/>
                <w:sz w:val="20"/>
              </w:rPr>
            </w:pPr>
          </w:p>
          <w:p w:rsidR="00A57383" w:rsidRPr="00907220" w:rsidRDefault="00A57383" w:rsidP="00EF6959">
            <w:pPr>
              <w:jc w:val="center"/>
              <w:rPr>
                <w:rFonts w:ascii="Arial Narrow" w:hAnsi="Arial Narrow" w:cs="Calibri"/>
                <w:color w:val="2D2926"/>
                <w:sz w:val="20"/>
              </w:rPr>
            </w:pPr>
            <w:r w:rsidRPr="00907220">
              <w:rPr>
                <w:rFonts w:ascii="Arial Narrow" w:hAnsi="Arial Narrow"/>
                <w:sz w:val="20"/>
              </w:rPr>
              <w:t>112 (58)</w:t>
            </w:r>
          </w:p>
          <w:p w:rsidR="00A57383" w:rsidRPr="00907220" w:rsidRDefault="00A57383" w:rsidP="00EF6959">
            <w:pPr>
              <w:jc w:val="center"/>
              <w:rPr>
                <w:rFonts w:ascii="Arial Narrow" w:hAnsi="Arial Narrow" w:cs="Calibri"/>
                <w:color w:val="2D2926"/>
                <w:sz w:val="20"/>
              </w:rPr>
            </w:pPr>
            <w:r w:rsidRPr="00907220">
              <w:rPr>
                <w:rFonts w:ascii="Arial Narrow" w:hAnsi="Arial Narrow"/>
                <w:sz w:val="20"/>
              </w:rPr>
              <w:t>21 (11)</w:t>
            </w:r>
          </w:p>
          <w:p w:rsidR="00A57383" w:rsidRPr="00907220" w:rsidRDefault="00A57383" w:rsidP="00EF6959">
            <w:pPr>
              <w:jc w:val="center"/>
              <w:rPr>
                <w:rFonts w:ascii="Arial Narrow" w:hAnsi="Arial Narrow" w:cs="Calibri"/>
                <w:color w:val="2D2926"/>
                <w:sz w:val="20"/>
              </w:rPr>
            </w:pPr>
            <w:r w:rsidRPr="00907220">
              <w:rPr>
                <w:rFonts w:ascii="Arial Narrow" w:hAnsi="Arial Narrow"/>
                <w:sz w:val="20"/>
              </w:rPr>
              <w:t>11 (6)</w:t>
            </w:r>
          </w:p>
          <w:p w:rsidR="00A57383" w:rsidRPr="00907220" w:rsidRDefault="00A57383" w:rsidP="00EF6959">
            <w:pPr>
              <w:jc w:val="center"/>
              <w:rPr>
                <w:rFonts w:ascii="Arial Narrow" w:hAnsi="Arial Narrow" w:cs="Calibri"/>
                <w:color w:val="2D2926"/>
                <w:sz w:val="20"/>
              </w:rPr>
            </w:pPr>
            <w:r w:rsidRPr="00907220">
              <w:rPr>
                <w:rFonts w:ascii="Arial Narrow" w:hAnsi="Arial Narrow"/>
                <w:sz w:val="20"/>
              </w:rPr>
              <w:t>7 (4)</w:t>
            </w:r>
          </w:p>
          <w:p w:rsidR="00A57383" w:rsidRPr="00907220" w:rsidRDefault="00A57383" w:rsidP="00EF6959">
            <w:pPr>
              <w:jc w:val="center"/>
              <w:rPr>
                <w:rFonts w:ascii="Arial Narrow" w:hAnsi="Arial Narrow" w:cs="Calibri"/>
                <w:color w:val="2D2926"/>
                <w:sz w:val="20"/>
              </w:rPr>
            </w:pPr>
            <w:r w:rsidRPr="00907220">
              <w:rPr>
                <w:rFonts w:ascii="Arial Narrow" w:hAnsi="Arial Narrow" w:cstheme="minorHAnsi"/>
                <w:color w:val="000000" w:themeColor="text1"/>
                <w:sz w:val="20"/>
              </w:rPr>
              <w:t>10 (5)</w:t>
            </w:r>
          </w:p>
          <w:p w:rsidR="00A57383" w:rsidRPr="00907220" w:rsidRDefault="00A57383" w:rsidP="00EF6959">
            <w:pPr>
              <w:jc w:val="center"/>
              <w:rPr>
                <w:rFonts w:ascii="Arial Narrow" w:hAnsi="Arial Narrow" w:cs="Calibri"/>
                <w:color w:val="2D2926"/>
                <w:sz w:val="20"/>
              </w:rPr>
            </w:pPr>
            <w:r w:rsidRPr="00907220">
              <w:rPr>
                <w:rFonts w:ascii="Arial Narrow" w:hAnsi="Arial Narrow" w:cstheme="minorHAnsi"/>
                <w:color w:val="000000" w:themeColor="text1"/>
                <w:sz w:val="20"/>
              </w:rPr>
              <w:t>10 (5)</w:t>
            </w:r>
          </w:p>
          <w:p w:rsidR="00A57383" w:rsidRPr="00907220" w:rsidRDefault="00A57383" w:rsidP="00EF6959">
            <w:pPr>
              <w:jc w:val="center"/>
              <w:rPr>
                <w:rFonts w:ascii="Arial Narrow" w:hAnsi="Arial Narrow" w:cs="Calibri"/>
                <w:color w:val="2D2926"/>
                <w:sz w:val="20"/>
              </w:rPr>
            </w:pPr>
            <w:r w:rsidRPr="00907220">
              <w:rPr>
                <w:rFonts w:ascii="Arial Narrow" w:hAnsi="Arial Narrow" w:cstheme="minorHAnsi"/>
                <w:color w:val="000000" w:themeColor="text1"/>
                <w:sz w:val="20"/>
              </w:rPr>
              <w:t>5 (3)</w:t>
            </w:r>
          </w:p>
          <w:p w:rsidR="00A57383" w:rsidRPr="00907220" w:rsidRDefault="00A57383" w:rsidP="00EF6959">
            <w:pPr>
              <w:jc w:val="center"/>
              <w:rPr>
                <w:rFonts w:ascii="Arial Narrow" w:hAnsi="Arial Narrow" w:cs="Calibri"/>
                <w:color w:val="2D2926"/>
                <w:sz w:val="20"/>
              </w:rPr>
            </w:pPr>
            <w:r w:rsidRPr="00907220">
              <w:rPr>
                <w:rFonts w:ascii="Arial Narrow" w:hAnsi="Arial Narrow" w:cstheme="minorHAnsi"/>
                <w:color w:val="000000" w:themeColor="text1"/>
                <w:sz w:val="20"/>
              </w:rPr>
              <w:t>0</w:t>
            </w:r>
          </w:p>
          <w:p w:rsidR="00A57383" w:rsidRPr="00907220" w:rsidRDefault="00A57383" w:rsidP="00EF6959">
            <w:pPr>
              <w:jc w:val="center"/>
              <w:rPr>
                <w:rFonts w:ascii="Arial Narrow" w:hAnsi="Arial Narrow" w:cs="Calibri"/>
                <w:color w:val="2D2926"/>
                <w:sz w:val="20"/>
              </w:rPr>
            </w:pPr>
            <w:r w:rsidRPr="00907220">
              <w:rPr>
                <w:rFonts w:ascii="Arial Narrow" w:hAnsi="Arial Narrow" w:cstheme="minorHAnsi"/>
                <w:color w:val="000000" w:themeColor="text1"/>
                <w:sz w:val="20"/>
              </w:rPr>
              <w:t>1 (&lt;1)</w:t>
            </w:r>
          </w:p>
        </w:tc>
        <w:tc>
          <w:tcPr>
            <w:tcW w:w="701" w:type="pct"/>
            <w:tcBorders>
              <w:top w:val="single" w:sz="4" w:space="0" w:color="auto"/>
            </w:tcBorders>
            <w:shd w:val="clear" w:color="auto" w:fill="auto"/>
          </w:tcPr>
          <w:p w:rsidR="00A57383" w:rsidRPr="00907220" w:rsidRDefault="00A57383" w:rsidP="00EF6959">
            <w:pPr>
              <w:jc w:val="center"/>
              <w:rPr>
                <w:rFonts w:ascii="Arial Narrow" w:hAnsi="Arial Narrow"/>
                <w:sz w:val="20"/>
              </w:rPr>
            </w:pPr>
          </w:p>
          <w:p w:rsidR="00A57383" w:rsidRPr="004B34A4" w:rsidRDefault="004B34A4" w:rsidP="00EF6959">
            <w:pPr>
              <w:jc w:val="center"/>
              <w:rPr>
                <w:rFonts w:ascii="Arial Narrow" w:hAnsi="Arial Narrow" w:cs="Calibri"/>
                <w:color w:val="2D2926"/>
                <w:sz w:val="20"/>
                <w:highlight w:val="black"/>
              </w:rPr>
            </w:pPr>
            <w:r>
              <w:rPr>
                <w:rFonts w:ascii="Arial Narrow" w:hAnsi="Arial Narrow"/>
                <w:noProof/>
                <w:color w:val="000000"/>
                <w:sz w:val="20"/>
                <w:highlight w:val="black"/>
              </w:rPr>
              <w:t>''''''''' '''''''''</w:t>
            </w:r>
          </w:p>
          <w:p w:rsidR="00A57383" w:rsidRPr="004B34A4" w:rsidRDefault="004B34A4" w:rsidP="00EF6959">
            <w:pPr>
              <w:jc w:val="center"/>
              <w:rPr>
                <w:rFonts w:ascii="Arial Narrow" w:hAnsi="Arial Narrow" w:cs="Calibri"/>
                <w:color w:val="2D2926"/>
                <w:sz w:val="20"/>
                <w:highlight w:val="black"/>
              </w:rPr>
            </w:pPr>
            <w:r>
              <w:rPr>
                <w:rFonts w:ascii="Arial Narrow" w:hAnsi="Arial Narrow"/>
                <w:noProof/>
                <w:color w:val="000000"/>
                <w:sz w:val="20"/>
                <w:highlight w:val="black"/>
              </w:rPr>
              <w:t>''''' ''''''''''</w:t>
            </w:r>
          </w:p>
          <w:p w:rsidR="00A57383" w:rsidRPr="004B34A4" w:rsidRDefault="004B34A4" w:rsidP="00EF6959">
            <w:pPr>
              <w:jc w:val="center"/>
              <w:rPr>
                <w:rFonts w:ascii="Arial Narrow" w:hAnsi="Arial Narrow" w:cs="Calibri"/>
                <w:color w:val="2D2926"/>
                <w:sz w:val="20"/>
                <w:highlight w:val="black"/>
              </w:rPr>
            </w:pPr>
            <w:r>
              <w:rPr>
                <w:rFonts w:ascii="Arial Narrow" w:hAnsi="Arial Narrow"/>
                <w:noProof/>
                <w:color w:val="000000"/>
                <w:sz w:val="20"/>
                <w:highlight w:val="black"/>
              </w:rPr>
              <w:t>'''''' ''''''''</w:t>
            </w:r>
          </w:p>
          <w:p w:rsidR="00A57383" w:rsidRPr="004B34A4" w:rsidRDefault="004B34A4" w:rsidP="00EF6959">
            <w:pPr>
              <w:jc w:val="center"/>
              <w:rPr>
                <w:rFonts w:ascii="Arial Narrow" w:hAnsi="Arial Narrow" w:cs="Calibri"/>
                <w:color w:val="2D2926"/>
                <w:sz w:val="20"/>
                <w:highlight w:val="black"/>
              </w:rPr>
            </w:pPr>
            <w:r>
              <w:rPr>
                <w:rFonts w:ascii="Arial Narrow" w:hAnsi="Arial Narrow"/>
                <w:noProof/>
                <w:color w:val="000000"/>
                <w:sz w:val="20"/>
                <w:highlight w:val="black"/>
              </w:rPr>
              <w:t>''''''' ''''''''</w:t>
            </w:r>
          </w:p>
          <w:p w:rsidR="00A57383" w:rsidRPr="004B34A4" w:rsidRDefault="004B34A4" w:rsidP="00EF6959">
            <w:pPr>
              <w:jc w:val="center"/>
              <w:rPr>
                <w:rFonts w:ascii="Arial Narrow" w:hAnsi="Arial Narrow" w:cs="Calibri"/>
                <w:color w:val="2D2926"/>
                <w:sz w:val="20"/>
                <w:highlight w:val="black"/>
              </w:rPr>
            </w:pPr>
            <w:r>
              <w:rPr>
                <w:rFonts w:ascii="Arial Narrow" w:hAnsi="Arial Narrow" w:cstheme="minorHAnsi"/>
                <w:noProof/>
                <w:color w:val="000000"/>
                <w:sz w:val="20"/>
                <w:highlight w:val="black"/>
              </w:rPr>
              <w:t>'''''' '''''''</w:t>
            </w:r>
          </w:p>
          <w:p w:rsidR="00A57383" w:rsidRPr="004B34A4" w:rsidRDefault="004B34A4" w:rsidP="00EF6959">
            <w:pPr>
              <w:jc w:val="center"/>
              <w:rPr>
                <w:rFonts w:ascii="Arial Narrow" w:hAnsi="Arial Narrow" w:cs="Calibri"/>
                <w:color w:val="2D2926"/>
                <w:sz w:val="20"/>
                <w:highlight w:val="black"/>
              </w:rPr>
            </w:pPr>
            <w:r>
              <w:rPr>
                <w:rFonts w:ascii="Arial Narrow" w:hAnsi="Arial Narrow" w:cstheme="minorHAnsi"/>
                <w:noProof/>
                <w:color w:val="000000"/>
                <w:sz w:val="20"/>
                <w:highlight w:val="black"/>
              </w:rPr>
              <w:t>'''''' '''''''</w:t>
            </w:r>
          </w:p>
          <w:p w:rsidR="00A57383" w:rsidRPr="004B34A4" w:rsidRDefault="004B34A4" w:rsidP="00EF6959">
            <w:pPr>
              <w:jc w:val="center"/>
              <w:rPr>
                <w:rFonts w:ascii="Arial Narrow" w:hAnsi="Arial Narrow" w:cs="Calibri"/>
                <w:color w:val="2D2926"/>
                <w:sz w:val="20"/>
                <w:highlight w:val="black"/>
              </w:rPr>
            </w:pPr>
            <w:r>
              <w:rPr>
                <w:rFonts w:ascii="Arial Narrow" w:hAnsi="Arial Narrow" w:cstheme="minorHAnsi"/>
                <w:noProof/>
                <w:color w:val="000000"/>
                <w:sz w:val="20"/>
                <w:highlight w:val="black"/>
              </w:rPr>
              <w:t>''' ''''''</w:t>
            </w:r>
          </w:p>
          <w:p w:rsidR="00A57383" w:rsidRPr="004B34A4" w:rsidRDefault="004B34A4" w:rsidP="00EF6959">
            <w:pPr>
              <w:jc w:val="center"/>
              <w:rPr>
                <w:rFonts w:ascii="Arial Narrow" w:hAnsi="Arial Narrow" w:cs="Calibri"/>
                <w:color w:val="2D2926"/>
                <w:sz w:val="20"/>
                <w:highlight w:val="black"/>
              </w:rPr>
            </w:pPr>
            <w:r>
              <w:rPr>
                <w:rFonts w:ascii="Arial Narrow" w:hAnsi="Arial Narrow" w:cstheme="minorHAnsi"/>
                <w:noProof/>
                <w:color w:val="000000"/>
                <w:sz w:val="20"/>
                <w:highlight w:val="black"/>
              </w:rPr>
              <w:t>'''</w:t>
            </w:r>
          </w:p>
          <w:p w:rsidR="00A57383" w:rsidRPr="004B34A4" w:rsidRDefault="004B34A4" w:rsidP="00EF6959">
            <w:pPr>
              <w:jc w:val="center"/>
              <w:rPr>
                <w:rFonts w:ascii="Arial Narrow" w:hAnsi="Arial Narrow" w:cs="Calibri"/>
                <w:color w:val="2D2926"/>
                <w:sz w:val="20"/>
                <w:highlight w:val="black"/>
              </w:rPr>
            </w:pPr>
            <w:r>
              <w:rPr>
                <w:rFonts w:ascii="Arial Narrow" w:hAnsi="Arial Narrow" w:cstheme="minorHAnsi"/>
                <w:noProof/>
                <w:color w:val="000000"/>
                <w:sz w:val="20"/>
                <w:highlight w:val="black"/>
              </w:rPr>
              <w:t>''' '''''''''''</w:t>
            </w:r>
          </w:p>
        </w:tc>
        <w:tc>
          <w:tcPr>
            <w:tcW w:w="737" w:type="pct"/>
            <w:tcBorders>
              <w:top w:val="single" w:sz="4" w:space="0" w:color="auto"/>
              <w:left w:val="nil"/>
              <w:right w:val="single" w:sz="8" w:space="0" w:color="auto"/>
            </w:tcBorders>
          </w:tcPr>
          <w:p w:rsidR="00A57383" w:rsidRPr="005F2796" w:rsidRDefault="00A57383" w:rsidP="00EF6959">
            <w:pPr>
              <w:jc w:val="center"/>
              <w:rPr>
                <w:rFonts w:ascii="Arial Narrow" w:hAnsi="Arial Narrow"/>
                <w:sz w:val="20"/>
              </w:rPr>
            </w:pP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32 (16)</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9 (5)</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11 (6)</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w:t>
            </w:r>
          </w:p>
          <w:p w:rsidR="00A57383" w:rsidRPr="005F2796" w:rsidRDefault="00A57383" w:rsidP="00EF6959">
            <w:pPr>
              <w:jc w:val="center"/>
              <w:rPr>
                <w:rFonts w:ascii="Arial Narrow" w:hAnsi="Arial Narrow" w:cs="Calibri"/>
                <w:color w:val="2D2926"/>
                <w:sz w:val="20"/>
              </w:rPr>
            </w:pPr>
            <w:r w:rsidRPr="005F2796">
              <w:rPr>
                <w:rFonts w:ascii="Arial Narrow" w:hAnsi="Arial Narrow" w:cstheme="minorHAnsi"/>
                <w:sz w:val="20"/>
              </w:rPr>
              <w:t>13 (7)</w:t>
            </w:r>
          </w:p>
          <w:p w:rsidR="00A57383" w:rsidRPr="005F2796" w:rsidRDefault="00A57383" w:rsidP="00EF6959">
            <w:pPr>
              <w:jc w:val="center"/>
              <w:rPr>
                <w:rFonts w:ascii="Arial Narrow" w:hAnsi="Arial Narrow" w:cs="Calibri"/>
                <w:color w:val="2D2926"/>
                <w:sz w:val="20"/>
              </w:rPr>
            </w:pPr>
            <w:r w:rsidRPr="005F2796">
              <w:rPr>
                <w:rFonts w:ascii="Arial Narrow" w:hAnsi="Arial Narrow" w:cstheme="minorHAnsi"/>
                <w:sz w:val="20"/>
              </w:rPr>
              <w:t>NR</w:t>
            </w:r>
          </w:p>
          <w:p w:rsidR="00A57383" w:rsidRPr="005F2796" w:rsidRDefault="00A57383" w:rsidP="00EF6959">
            <w:pPr>
              <w:jc w:val="center"/>
              <w:rPr>
                <w:rFonts w:ascii="Arial Narrow" w:hAnsi="Arial Narrow" w:cs="Calibri"/>
                <w:color w:val="2D2926"/>
                <w:sz w:val="20"/>
              </w:rPr>
            </w:pPr>
            <w:r w:rsidRPr="005F2796">
              <w:rPr>
                <w:rFonts w:ascii="Arial Narrow" w:hAnsi="Arial Narrow" w:cstheme="minorHAnsi"/>
                <w:sz w:val="20"/>
              </w:rPr>
              <w:t>8 (4)</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w:t>
            </w:r>
          </w:p>
          <w:p w:rsidR="00A57383" w:rsidRPr="005F2796" w:rsidRDefault="00A57383" w:rsidP="00EF6959">
            <w:pPr>
              <w:jc w:val="center"/>
              <w:rPr>
                <w:rFonts w:ascii="Arial Narrow" w:hAnsi="Arial Narrow" w:cs="Calibri"/>
                <w:color w:val="2D2926"/>
                <w:sz w:val="20"/>
              </w:rPr>
            </w:pPr>
            <w:r w:rsidRPr="005F2796">
              <w:rPr>
                <w:rFonts w:ascii="Arial Narrow" w:hAnsi="Arial Narrow" w:cstheme="minorHAnsi"/>
                <w:sz w:val="20"/>
              </w:rPr>
              <w:t>7 (NR)</w:t>
            </w:r>
          </w:p>
        </w:tc>
        <w:tc>
          <w:tcPr>
            <w:tcW w:w="719" w:type="pct"/>
            <w:tcBorders>
              <w:top w:val="single" w:sz="4" w:space="0" w:color="auto"/>
              <w:left w:val="nil"/>
              <w:right w:val="single" w:sz="8" w:space="0" w:color="auto"/>
            </w:tcBorders>
          </w:tcPr>
          <w:p w:rsidR="00A57383" w:rsidRPr="005F2796" w:rsidRDefault="00A57383" w:rsidP="00EF6959">
            <w:pPr>
              <w:jc w:val="center"/>
              <w:rPr>
                <w:rFonts w:ascii="Arial Narrow" w:hAnsi="Arial Narrow"/>
                <w:sz w:val="20"/>
              </w:rPr>
            </w:pP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38 (20)</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12 (6)</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11 (6)</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w:t>
            </w:r>
          </w:p>
          <w:p w:rsidR="00A57383" w:rsidRPr="005F2796" w:rsidRDefault="00A57383" w:rsidP="00EF6959">
            <w:pPr>
              <w:jc w:val="center"/>
              <w:rPr>
                <w:rFonts w:ascii="Arial Narrow" w:hAnsi="Arial Narrow" w:cs="Calibri"/>
                <w:color w:val="2D2926"/>
                <w:sz w:val="20"/>
              </w:rPr>
            </w:pPr>
            <w:r w:rsidRPr="005F2796">
              <w:rPr>
                <w:rFonts w:ascii="Arial Narrow" w:hAnsi="Arial Narrow" w:cstheme="minorHAnsi"/>
                <w:sz w:val="20"/>
              </w:rPr>
              <w:t>20 (10)</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w:t>
            </w:r>
          </w:p>
          <w:p w:rsidR="00A57383" w:rsidRPr="005F2796" w:rsidRDefault="00A57383" w:rsidP="00EF6959">
            <w:pPr>
              <w:jc w:val="center"/>
              <w:rPr>
                <w:rFonts w:ascii="Arial Narrow" w:hAnsi="Arial Narrow" w:cs="Calibri"/>
                <w:color w:val="2D2926"/>
                <w:sz w:val="20"/>
              </w:rPr>
            </w:pPr>
            <w:r w:rsidRPr="005F2796">
              <w:rPr>
                <w:rFonts w:ascii="Arial Narrow" w:hAnsi="Arial Narrow" w:cstheme="minorHAnsi"/>
                <w:sz w:val="20"/>
              </w:rPr>
              <w:t>9 (5)</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w:t>
            </w:r>
          </w:p>
        </w:tc>
        <w:tc>
          <w:tcPr>
            <w:tcW w:w="717" w:type="pct"/>
            <w:tcBorders>
              <w:top w:val="single" w:sz="4" w:space="0" w:color="auto"/>
              <w:left w:val="nil"/>
              <w:right w:val="single" w:sz="8" w:space="0" w:color="auto"/>
            </w:tcBorders>
          </w:tcPr>
          <w:p w:rsidR="00A57383" w:rsidRPr="005F2796" w:rsidRDefault="00A57383" w:rsidP="00EF6959">
            <w:pPr>
              <w:jc w:val="center"/>
              <w:rPr>
                <w:rFonts w:ascii="Arial Narrow" w:hAnsi="Arial Narrow"/>
                <w:sz w:val="20"/>
              </w:rPr>
            </w:pP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 (23)</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 (8)</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 (8)</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w:t>
            </w:r>
          </w:p>
          <w:p w:rsidR="00A57383" w:rsidRPr="005F2796" w:rsidRDefault="00A57383" w:rsidP="00EF6959">
            <w:pPr>
              <w:jc w:val="center"/>
              <w:rPr>
                <w:rFonts w:ascii="Arial Narrow" w:hAnsi="Arial Narrow" w:cs="Calibri"/>
                <w:color w:val="2D2926"/>
                <w:sz w:val="20"/>
              </w:rPr>
            </w:pPr>
            <w:r w:rsidRPr="005F2796">
              <w:rPr>
                <w:rFonts w:ascii="Arial Narrow" w:hAnsi="Arial Narrow" w:cstheme="minorHAnsi"/>
                <w:sz w:val="20"/>
              </w:rPr>
              <w:t>NR (17)</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NR</w:t>
            </w:r>
          </w:p>
          <w:p w:rsidR="00A57383" w:rsidRPr="005F2796" w:rsidRDefault="00A57383" w:rsidP="00EF6959">
            <w:pPr>
              <w:jc w:val="center"/>
              <w:rPr>
                <w:rFonts w:ascii="Arial Narrow" w:hAnsi="Arial Narrow" w:cs="Calibri"/>
                <w:color w:val="2D2926"/>
                <w:sz w:val="20"/>
              </w:rPr>
            </w:pPr>
            <w:r w:rsidRPr="005F2796">
              <w:rPr>
                <w:rFonts w:ascii="Arial Narrow" w:hAnsi="Arial Narrow" w:cstheme="minorHAnsi"/>
                <w:sz w:val="20"/>
              </w:rPr>
              <w:t>NR (6)</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12 (6)</w:t>
            </w:r>
          </w:p>
          <w:p w:rsidR="00A57383" w:rsidRPr="005F2796" w:rsidRDefault="00A57383" w:rsidP="00EF6959">
            <w:pPr>
              <w:jc w:val="center"/>
              <w:rPr>
                <w:rFonts w:ascii="Arial Narrow" w:hAnsi="Arial Narrow" w:cs="Calibri"/>
                <w:color w:val="2D2926"/>
                <w:sz w:val="20"/>
              </w:rPr>
            </w:pPr>
            <w:r w:rsidRPr="005F2796">
              <w:rPr>
                <w:rFonts w:ascii="Arial Narrow" w:hAnsi="Arial Narrow"/>
                <w:sz w:val="20"/>
              </w:rPr>
              <w:t>11 (6)</w:t>
            </w:r>
          </w:p>
        </w:tc>
      </w:tr>
    </w:tbl>
    <w:p w:rsidR="00A57383" w:rsidRPr="005F2796" w:rsidRDefault="00A57383" w:rsidP="003A595A">
      <w:pPr>
        <w:pStyle w:val="TableFooter"/>
        <w:spacing w:after="160"/>
      </w:pPr>
      <w:r w:rsidRPr="005F2796">
        <w:t>Source: Table 42, p.107; Table 43, pp108-109; Table 44, pp110-11 of the submission; Table 11, p.17 of the ‘MURANO updated datacut’ Word document provided during the evaluation; Table 2, p.220 of Byrd et al. (2014); Table 3, p.88 of Brown et al. (2018); Byrd et al. (2017) conference poster.</w:t>
      </w:r>
    </w:p>
    <w:p w:rsidR="00A57383" w:rsidRPr="005F2796" w:rsidRDefault="00A57383" w:rsidP="000E38D2">
      <w:pPr>
        <w:pStyle w:val="ListParagraph"/>
        <w:numPr>
          <w:ilvl w:val="1"/>
          <w:numId w:val="2"/>
        </w:numPr>
        <w:spacing w:after="160"/>
      </w:pPr>
      <w:r w:rsidRPr="005F2796">
        <w:t>Reported rates of Grade 3/4 adverse events were numerically higher for venetoclax plus rituximab</w:t>
      </w:r>
      <w:r w:rsidR="00816ABA" w:rsidRPr="005F2796">
        <w:t xml:space="preserve"> compared with ibrutinib</w:t>
      </w:r>
      <w:r w:rsidRPr="005F2796">
        <w:t xml:space="preserve">, predominantly due to higher rates of neutropenia and anaemia. </w:t>
      </w:r>
      <w:r w:rsidR="001D01C5" w:rsidRPr="005F2796">
        <w:t xml:space="preserve">The ESC considered </w:t>
      </w:r>
      <w:r w:rsidR="00FE2CA8" w:rsidRPr="005F2796">
        <w:t xml:space="preserve">that </w:t>
      </w:r>
      <w:r w:rsidR="001D01C5" w:rsidRPr="005F2796">
        <w:t>t</w:t>
      </w:r>
      <w:r w:rsidR="001D01C5" w:rsidRPr="005F2796">
        <w:rPr>
          <w:szCs w:val="24"/>
        </w:rPr>
        <w:t xml:space="preserve">his </w:t>
      </w:r>
      <w:r w:rsidR="00FE2CA8" w:rsidRPr="005F2796">
        <w:rPr>
          <w:szCs w:val="24"/>
        </w:rPr>
        <w:t xml:space="preserve">difference </w:t>
      </w:r>
      <w:r w:rsidR="001D01C5" w:rsidRPr="005F2796">
        <w:rPr>
          <w:szCs w:val="24"/>
        </w:rPr>
        <w:t xml:space="preserve">is likely to be clinically relevant, especially for the PBS population who are likely to be older and have more comorbidities. </w:t>
      </w:r>
      <w:r w:rsidRPr="005F2796">
        <w:t>Discontinuations due to adverse events were also numerically higher for venetoclax plus rituximab. The results of the naïve indirect safety comparison should be interpreted with caution, given differences in the trial populations and differences in the timing of assessments.</w:t>
      </w:r>
    </w:p>
    <w:p w:rsidR="00A57383" w:rsidRPr="005F2796" w:rsidRDefault="00E41DDE" w:rsidP="003A595A">
      <w:pPr>
        <w:pStyle w:val="Heading2"/>
        <w:keepNext w:val="0"/>
        <w:keepLines w:val="0"/>
        <w:widowControl w:val="0"/>
        <w:spacing w:before="0" w:after="160"/>
        <w:contextualSpacing/>
      </w:pPr>
      <w:bookmarkStart w:id="30" w:name="_Toc524621100"/>
      <w:r w:rsidRPr="005F2796">
        <w:t>Clinical claim</w:t>
      </w:r>
      <w:bookmarkEnd w:id="30"/>
    </w:p>
    <w:p w:rsidR="00A57383" w:rsidRPr="005F2796" w:rsidRDefault="00A57383" w:rsidP="000E38D2">
      <w:pPr>
        <w:pStyle w:val="ListParagraph"/>
        <w:numPr>
          <w:ilvl w:val="1"/>
          <w:numId w:val="2"/>
        </w:numPr>
        <w:spacing w:after="160"/>
      </w:pPr>
      <w:r w:rsidRPr="005F2796">
        <w:lastRenderedPageBreak/>
        <w:t>The submission described venetoclax plus rituximab as non-inferior in terms of effectiveness, and different, but non-inferior, in terms of safety compared to ibrutinib monotherapy.</w:t>
      </w:r>
    </w:p>
    <w:p w:rsidR="00A57383" w:rsidRPr="005F2796" w:rsidRDefault="00A57383" w:rsidP="000E38D2">
      <w:pPr>
        <w:pStyle w:val="ListParagraph"/>
        <w:numPr>
          <w:ilvl w:val="1"/>
          <w:numId w:val="2"/>
        </w:numPr>
        <w:spacing w:after="160"/>
      </w:pPr>
      <w:r w:rsidRPr="005F2796">
        <w:t xml:space="preserve">The </w:t>
      </w:r>
      <w:r w:rsidR="00FB069B" w:rsidRPr="005F2796">
        <w:t xml:space="preserve">following issues with the </w:t>
      </w:r>
      <w:r w:rsidRPr="005F2796">
        <w:t xml:space="preserve">clinical claim presented in the submission </w:t>
      </w:r>
      <w:r w:rsidR="00FB069B" w:rsidRPr="005F2796">
        <w:t>were identified in the evaluation:</w:t>
      </w:r>
    </w:p>
    <w:p w:rsidR="00DF2693" w:rsidRPr="005F2796" w:rsidRDefault="00A57383" w:rsidP="00FB069B">
      <w:pPr>
        <w:pStyle w:val="ListParagraph"/>
        <w:numPr>
          <w:ilvl w:val="1"/>
          <w:numId w:val="43"/>
        </w:numPr>
        <w:spacing w:after="160"/>
        <w:ind w:left="851" w:hanging="284"/>
      </w:pPr>
      <w:r w:rsidRPr="005F2796">
        <w:t xml:space="preserve">The claim of non-inferior effectiveness was based on an indirect comparison of venetoclax plus rituximab (MURANO) to ibrutinib plus bendamustine plus rituximab (HELIOS) using bendamustine plus rituximab as common reference. </w:t>
      </w:r>
      <w:r w:rsidR="00DF2693" w:rsidRPr="005F2796">
        <w:t>The indirect comparison relied upon the assumption that ibrutinib plus bendamustine plus rituximab was a suitable proxy for ibrutinib monotherapy.</w:t>
      </w:r>
    </w:p>
    <w:p w:rsidR="00A57383" w:rsidRPr="005F2796" w:rsidRDefault="00A57383" w:rsidP="00FB069B">
      <w:pPr>
        <w:pStyle w:val="ListParagraph"/>
        <w:numPr>
          <w:ilvl w:val="1"/>
          <w:numId w:val="43"/>
        </w:numPr>
        <w:spacing w:after="160"/>
        <w:ind w:left="851" w:hanging="284"/>
      </w:pPr>
      <w:r w:rsidRPr="005F2796">
        <w:t xml:space="preserve">Differences </w:t>
      </w:r>
      <w:r w:rsidR="00DD1897" w:rsidRPr="005F2796">
        <w:t>in trial design</w:t>
      </w:r>
      <w:r w:rsidR="003863AA" w:rsidRPr="005F2796">
        <w:t xml:space="preserve"> and the distribution of potential treatment effect modifiers</w:t>
      </w:r>
      <w:r w:rsidR="00DD1897" w:rsidRPr="005F2796">
        <w:t xml:space="preserve"> </w:t>
      </w:r>
      <w:r w:rsidR="00660366" w:rsidRPr="005F2796">
        <w:t>between the MURANO and HELIOS trials</w:t>
      </w:r>
      <w:r w:rsidRPr="005F2796">
        <w:t xml:space="preserve"> limited the exchangeability of the trials. Given the reduced efficacy of bendamustine plus rituximab in patients with 17p deletion, the indirect comparison was likely to be biased in favou</w:t>
      </w:r>
      <w:r w:rsidR="00FE2CA8" w:rsidRPr="005F2796">
        <w:t>r of venetoclax plus rituximab.</w:t>
      </w:r>
    </w:p>
    <w:p w:rsidR="00A57383" w:rsidRPr="005F2796" w:rsidRDefault="00A57383" w:rsidP="00FB069B">
      <w:pPr>
        <w:pStyle w:val="ListParagraph"/>
        <w:numPr>
          <w:ilvl w:val="1"/>
          <w:numId w:val="43"/>
        </w:numPr>
        <w:spacing w:after="160"/>
        <w:ind w:left="851" w:hanging="284"/>
      </w:pPr>
      <w:r w:rsidRPr="005F2796">
        <w:t xml:space="preserve">The submission presented an unanchored MAIC of venetoclax plus rituximab (MURANO) and </w:t>
      </w:r>
      <w:r w:rsidR="00816ABA" w:rsidRPr="005F2796">
        <w:t>ibrutinib</w:t>
      </w:r>
      <w:r w:rsidRPr="005F2796">
        <w:t xml:space="preserve"> (RESONATE) to support the </w:t>
      </w:r>
      <w:r w:rsidR="00565EEC" w:rsidRPr="005F2796">
        <w:t>indirect comparison</w:t>
      </w:r>
      <w:r w:rsidRPr="005F2796">
        <w:t xml:space="preserve">. </w:t>
      </w:r>
      <w:r w:rsidR="00565EEC" w:rsidRPr="005F2796">
        <w:t xml:space="preserve">It was unclear whether all relevant effect modifiers and prognostic variables were identified and included in the analysis. Matching for the selected variables resulted in a large reduction in effective sample size, likely due to limited overlap between the trial populations. </w:t>
      </w:r>
      <w:r w:rsidRPr="005F2796">
        <w:t>The results of the unanchored MAIC were considered to be highly uncertain,</w:t>
      </w:r>
      <w:r w:rsidR="00FE2CA8" w:rsidRPr="005F2796">
        <w:t xml:space="preserve"> and at very high risk of bias.</w:t>
      </w:r>
    </w:p>
    <w:p w:rsidR="00FB069B" w:rsidRPr="005F2796" w:rsidRDefault="00FB069B" w:rsidP="000E38D2">
      <w:pPr>
        <w:pStyle w:val="ListParagraph"/>
        <w:numPr>
          <w:ilvl w:val="1"/>
          <w:numId w:val="2"/>
        </w:numPr>
        <w:spacing w:after="160"/>
      </w:pPr>
      <w:r w:rsidRPr="005F2796">
        <w:t xml:space="preserve">The ESC considered the multiple step indirect comparison resulted in a high level of uncertainty in deeming non-inferior effectiveness of venetoclax plus rituximab versus ibrutinib; however, the MURANO trial data does support clinical efficacy of venetoclax plus rituximab and its place of therapy is likely to be similar to that of ibrutinib, albeit venetoclax plus rituximab sequential therapy may occur </w:t>
      </w:r>
      <w:r w:rsidR="00FE2CA8" w:rsidRPr="005F2796">
        <w:t>after</w:t>
      </w:r>
      <w:r w:rsidRPr="005F2796">
        <w:t xml:space="preserve"> ibrutinib. The </w:t>
      </w:r>
      <w:r w:rsidR="00FE2CA8" w:rsidRPr="005F2796">
        <w:t xml:space="preserve">proposed </w:t>
      </w:r>
      <w:r w:rsidRPr="005F2796">
        <w:t>place of venetoclax plus rituximab in the management of CLL is supported by treatment guidelines.</w:t>
      </w:r>
    </w:p>
    <w:p w:rsidR="007E5815" w:rsidRPr="005F2796" w:rsidRDefault="00A57383" w:rsidP="0047252A">
      <w:pPr>
        <w:pStyle w:val="ListParagraph"/>
        <w:numPr>
          <w:ilvl w:val="1"/>
          <w:numId w:val="2"/>
        </w:numPr>
        <w:spacing w:after="160"/>
        <w:ind w:left="578" w:hanging="578"/>
      </w:pPr>
      <w:r w:rsidRPr="005F2796">
        <w:t xml:space="preserve">The claim of non-inferior safety was based on a naïve indirect comparison of safety results for venetoclax plus rituximab (MURANO) and ibrutinib (RESONATE). </w:t>
      </w:r>
      <w:r w:rsidR="00AD4B43" w:rsidRPr="005F2796">
        <w:t xml:space="preserve">Overall, this claim may not be adequately supported due to a lack of available comparative data. </w:t>
      </w:r>
      <w:r w:rsidRPr="005F2796">
        <w:t>Reported rates of Grade 3/4 adverse events were numerically higher for venetoclax plus rituximab, predominantly due to higher rates of neutropenia and anaemia.</w:t>
      </w:r>
      <w:r w:rsidR="007E5815" w:rsidRPr="005F2796">
        <w:t xml:space="preserve"> The ESC considered there </w:t>
      </w:r>
      <w:r w:rsidR="00FE2CA8" w:rsidRPr="005F2796">
        <w:t>wa</w:t>
      </w:r>
      <w:r w:rsidR="007E5815" w:rsidRPr="005F2796">
        <w:t xml:space="preserve">s uncertainty with the naïve indirect comparison; however, the </w:t>
      </w:r>
      <w:r w:rsidR="00FE2CA8" w:rsidRPr="005F2796">
        <w:t xml:space="preserve">greater rate of </w:t>
      </w:r>
      <w:r w:rsidR="007E5815" w:rsidRPr="005F2796">
        <w:t xml:space="preserve">Grade 3 and 4 adverse events </w:t>
      </w:r>
      <w:r w:rsidR="0025367C" w:rsidRPr="005F2796">
        <w:t>after</w:t>
      </w:r>
      <w:r w:rsidR="007E5815" w:rsidRPr="005F2796">
        <w:t xml:space="preserve"> venetoclax plus rituximab </w:t>
      </w:r>
      <w:r w:rsidR="00FE2CA8" w:rsidRPr="005F2796">
        <w:t>we</w:t>
      </w:r>
      <w:r w:rsidR="007E5815" w:rsidRPr="005F2796">
        <w:t xml:space="preserve">re likely to be clinically relevant. Non-inferior safety therefore is </w:t>
      </w:r>
      <w:r w:rsidR="00FE2CA8" w:rsidRPr="005F2796">
        <w:t>doubtful</w:t>
      </w:r>
      <w:r w:rsidR="007E5815" w:rsidRPr="005F2796">
        <w:t xml:space="preserve"> and the ESC agreed with the evaluation that this claim is not adequately supported</w:t>
      </w:r>
      <w:r w:rsidR="004E448A" w:rsidRPr="005F2796">
        <w:t>.</w:t>
      </w:r>
      <w:r w:rsidR="007E5815" w:rsidRPr="005F2796">
        <w:t xml:space="preserve"> </w:t>
      </w:r>
      <w:r w:rsidR="004E448A" w:rsidRPr="005F2796">
        <w:t>A</w:t>
      </w:r>
      <w:r w:rsidR="00FE2CA8" w:rsidRPr="005F2796">
        <w:t>s a consequence</w:t>
      </w:r>
      <w:r w:rsidR="004E448A" w:rsidRPr="005F2796">
        <w:t>,</w:t>
      </w:r>
      <w:r w:rsidR="00FE2CA8" w:rsidRPr="005F2796">
        <w:t xml:space="preserve"> </w:t>
      </w:r>
      <w:r w:rsidR="007E5815" w:rsidRPr="005F2796">
        <w:t>additional treatment costs for adverse events should be incorporated in the cost-minimisation analysis</w:t>
      </w:r>
      <w:r w:rsidR="004E448A" w:rsidRPr="005F2796">
        <w:t>.</w:t>
      </w:r>
      <w:r w:rsidR="00B130E6">
        <w:t xml:space="preserve"> The Pre-PBAC R</w:t>
      </w:r>
      <w:r w:rsidR="0047252A" w:rsidRPr="005F2796">
        <w:t xml:space="preserve">esponse included a breakdown of the costs of AEs, noting that as ibrutinib is administered until disease progression, this cost was </w:t>
      </w:r>
      <w:r w:rsidR="0047252A" w:rsidRPr="005F2796">
        <w:lastRenderedPageBreak/>
        <w:t>likely to be underestimated for ibrutinib as patients may continue to experience AEs whilst they are on active treatment.</w:t>
      </w:r>
    </w:p>
    <w:p w:rsidR="00480FF5" w:rsidRPr="005F2796" w:rsidRDefault="00480FF5" w:rsidP="00480FF5">
      <w:pPr>
        <w:pStyle w:val="ListParagraph"/>
        <w:numPr>
          <w:ilvl w:val="1"/>
          <w:numId w:val="2"/>
        </w:numPr>
        <w:spacing w:after="160"/>
        <w:ind w:left="578" w:hanging="578"/>
      </w:pPr>
      <w:bookmarkStart w:id="31" w:name="_Toc413139282"/>
      <w:bookmarkStart w:id="32" w:name="_Toc522042675"/>
      <w:bookmarkStart w:id="33" w:name="_Toc524621101"/>
      <w:r w:rsidRPr="005F2796">
        <w:t xml:space="preserve">The PBAC considered that the claim of non-inferior comparative effectiveness </w:t>
      </w:r>
      <w:r w:rsidR="00551A64" w:rsidRPr="005F2796">
        <w:t>v</w:t>
      </w:r>
      <w:r w:rsidR="0047252A" w:rsidRPr="005F2796">
        <w:t>ersu</w:t>
      </w:r>
      <w:r w:rsidR="00551A64" w:rsidRPr="005F2796">
        <w:t xml:space="preserve">s ibrutinib </w:t>
      </w:r>
      <w:r w:rsidRPr="005F2796">
        <w:t xml:space="preserve">was </w:t>
      </w:r>
      <w:r w:rsidR="009205B5" w:rsidRPr="005F2796">
        <w:t>reasonable.</w:t>
      </w:r>
    </w:p>
    <w:p w:rsidR="00480FF5" w:rsidRPr="005F2796" w:rsidRDefault="00480FF5" w:rsidP="00480FF5">
      <w:pPr>
        <w:pStyle w:val="ListParagraph"/>
        <w:numPr>
          <w:ilvl w:val="1"/>
          <w:numId w:val="2"/>
        </w:numPr>
        <w:spacing w:after="160"/>
        <w:ind w:left="578" w:hanging="578"/>
      </w:pPr>
      <w:r w:rsidRPr="005F2796">
        <w:t xml:space="preserve">The PBAC considered that the claim of non-inferior comparative safety was </w:t>
      </w:r>
      <w:r w:rsidR="00DA39E0" w:rsidRPr="005F2796">
        <w:t xml:space="preserve">uncertain given the greater rate of Grade 3 and 4 adverse events </w:t>
      </w:r>
      <w:r w:rsidR="00E0463A">
        <w:t>with</w:t>
      </w:r>
      <w:r w:rsidR="00DA39E0" w:rsidRPr="005F2796">
        <w:t xml:space="preserve"> venetoclax plus rituximab </w:t>
      </w:r>
      <w:r w:rsidR="00E0463A">
        <w:t>was</w:t>
      </w:r>
      <w:r w:rsidR="00DA39E0" w:rsidRPr="005F2796">
        <w:t xml:space="preserve"> likely to be clinically relevant and that a claim of </w:t>
      </w:r>
      <w:r w:rsidRPr="005F2796">
        <w:t>a different safety profile</w:t>
      </w:r>
      <w:r w:rsidR="00DA39E0" w:rsidRPr="005F2796">
        <w:t xml:space="preserve"> was more accurate</w:t>
      </w:r>
      <w:r w:rsidR="009205B5" w:rsidRPr="005F2796">
        <w:t>.</w:t>
      </w:r>
    </w:p>
    <w:p w:rsidR="009E7C7F" w:rsidRPr="005F2796" w:rsidRDefault="009E7C7F" w:rsidP="009E7C7F">
      <w:pPr>
        <w:spacing w:after="160"/>
      </w:pPr>
      <w:r w:rsidRPr="005F2796">
        <w:rPr>
          <w:i/>
        </w:rPr>
        <w:t>For more detail on the PBAC’s view, see Section 7 PBAC Outcome.</w:t>
      </w:r>
    </w:p>
    <w:p w:rsidR="00A57383" w:rsidRPr="005F2796" w:rsidRDefault="00A57383" w:rsidP="000E38D2">
      <w:pPr>
        <w:pStyle w:val="Heading2"/>
        <w:spacing w:before="0" w:after="160"/>
      </w:pPr>
      <w:r w:rsidRPr="005F2796">
        <w:t>Economic analysis</w:t>
      </w:r>
      <w:bookmarkEnd w:id="31"/>
      <w:bookmarkEnd w:id="32"/>
      <w:bookmarkEnd w:id="33"/>
    </w:p>
    <w:p w:rsidR="00A57383" w:rsidRPr="005F2796" w:rsidRDefault="00A57383" w:rsidP="000E38D2">
      <w:pPr>
        <w:pStyle w:val="ListParagraph"/>
        <w:numPr>
          <w:ilvl w:val="1"/>
          <w:numId w:val="2"/>
        </w:numPr>
        <w:spacing w:after="160"/>
        <w:rPr>
          <w:iCs/>
        </w:rPr>
      </w:pPr>
      <w:r w:rsidRPr="005F2796">
        <w:t>The submission presented a cost-minimisation analysis of venetoclax plus rituximab versus ibrutinib, based on the claim of non-inferior effectiveness and different but non-inferior safety.</w:t>
      </w:r>
      <w:r w:rsidR="00DF0A5F" w:rsidRPr="005F2796">
        <w:t xml:space="preserve"> </w:t>
      </w:r>
      <w:r w:rsidR="00D6232C" w:rsidRPr="005F2796">
        <w:rPr>
          <w:iCs/>
        </w:rPr>
        <w:t>Should the PBAC accept the clinical claim of overall non-inferior effectiveness and safety, the cost-minimisation approach must establish that the cost per patient for treatment with venetoclax plus rituximab would be no more than the cost per patient of ibrutinib monotherapy. The cost per patient takes into account the mean equi-effective doses of the new intervention and the alternative therapy, and also accounts for any difference in the mean duration of treatment.</w:t>
      </w:r>
      <w:r w:rsidR="00AF5FA1" w:rsidRPr="005F2796">
        <w:rPr>
          <w:iCs/>
        </w:rPr>
        <w:t xml:space="preserve"> Where these cost per patient calculations are uncertain, the guiding principle is that the Australian Government should not bear the financial risk of this uncertainty because the Australian population already has access to therapy that is at least as effective and safe.</w:t>
      </w:r>
    </w:p>
    <w:p w:rsidR="00A57383" w:rsidRPr="005F2796" w:rsidRDefault="00A57383" w:rsidP="00F87F5B">
      <w:pPr>
        <w:pStyle w:val="ListParagraph"/>
        <w:numPr>
          <w:ilvl w:val="1"/>
          <w:numId w:val="2"/>
        </w:numPr>
        <w:spacing w:after="160"/>
      </w:pPr>
      <w:r w:rsidRPr="005F2796">
        <w:t>The cost-minimisation analysis incorporated differen</w:t>
      </w:r>
      <w:r w:rsidR="00565EEC" w:rsidRPr="005F2796">
        <w:t>t</w:t>
      </w:r>
      <w:r w:rsidRPr="005F2796">
        <w:t xml:space="preserve"> treatment durations for venetoclax and ibrutinib. </w:t>
      </w:r>
      <w:r w:rsidR="009A618A" w:rsidRPr="005F2796">
        <w:t>The recommended treatment course for venetoclax was based on the indication proposed in the draft product information (24 months plus 5-week titration). However, t</w:t>
      </w:r>
      <w:r w:rsidRPr="005F2796">
        <w:t xml:space="preserve">he assumed treatment duration </w:t>
      </w:r>
      <w:r w:rsidR="009A618A" w:rsidRPr="005F2796">
        <w:t xml:space="preserve">is </w:t>
      </w:r>
      <w:r w:rsidRPr="005F2796">
        <w:t xml:space="preserve">associated with uncertainty, given the limited long-term follow-up of patients in the post-treatment phase. </w:t>
      </w:r>
      <w:r w:rsidR="009973C0" w:rsidRPr="005F2796">
        <w:t xml:space="preserve">There is potential for venetoclax to be used for longer than 24 months if longer-term efficacy data does not demonstrate durability of treatment effect in the post-treatment period. </w:t>
      </w:r>
      <w:r w:rsidR="0015167A" w:rsidRPr="005F2796">
        <w:t xml:space="preserve">The </w:t>
      </w:r>
      <w:r w:rsidR="006E38FF">
        <w:t>P</w:t>
      </w:r>
      <w:r w:rsidR="0015167A" w:rsidRPr="005F2796">
        <w:t>re-</w:t>
      </w:r>
      <w:r w:rsidR="006E38FF">
        <w:t>S</w:t>
      </w:r>
      <w:r w:rsidR="0015167A" w:rsidRPr="005F2796">
        <w:t>ub-</w:t>
      </w:r>
      <w:r w:rsidR="006E38FF">
        <w:t>C</w:t>
      </w:r>
      <w:r w:rsidR="0015167A" w:rsidRPr="005F2796">
        <w:t xml:space="preserve">ommittee </w:t>
      </w:r>
      <w:r w:rsidR="006E38FF">
        <w:t>R</w:t>
      </w:r>
      <w:r w:rsidR="0015167A" w:rsidRPr="005F2796">
        <w:t xml:space="preserve">esponse (PSCR) argued the product information and proposed PBS restriction include criteria to prevent treatment for longer than 24 months after the 5-week titration period. The ESC </w:t>
      </w:r>
      <w:r w:rsidR="0025367C" w:rsidRPr="005F2796">
        <w:t>advised</w:t>
      </w:r>
      <w:r w:rsidR="0015167A" w:rsidRPr="005F2796">
        <w:t xml:space="preserve"> the potential uncertainty in treatment duration due to the limited long-term efficacy data </w:t>
      </w:r>
      <w:r w:rsidR="0025367C" w:rsidRPr="005F2796">
        <w:t>sh</w:t>
      </w:r>
      <w:r w:rsidR="0015167A" w:rsidRPr="005F2796">
        <w:t xml:space="preserve">ould </w:t>
      </w:r>
      <w:r w:rsidR="003B6666" w:rsidRPr="005F2796">
        <w:t xml:space="preserve">also </w:t>
      </w:r>
      <w:r w:rsidR="0015167A" w:rsidRPr="005F2796">
        <w:t xml:space="preserve">be managed through </w:t>
      </w:r>
      <w:r w:rsidR="0025367C" w:rsidRPr="005F2796">
        <w:t>a</w:t>
      </w:r>
      <w:r w:rsidR="0015167A" w:rsidRPr="005F2796">
        <w:t xml:space="preserve"> risk</w:t>
      </w:r>
      <w:r w:rsidR="00024E8A" w:rsidRPr="005F2796">
        <w:t xml:space="preserve"> </w:t>
      </w:r>
      <w:r w:rsidR="0015167A" w:rsidRPr="005F2796">
        <w:t>shar</w:t>
      </w:r>
      <w:r w:rsidR="00024E8A" w:rsidRPr="005F2796">
        <w:t>ing</w:t>
      </w:r>
      <w:r w:rsidR="0015167A" w:rsidRPr="005F2796">
        <w:t xml:space="preserve"> agreement (RSA)</w:t>
      </w:r>
      <w:r w:rsidR="0025367C" w:rsidRPr="005F2796">
        <w:t>,</w:t>
      </w:r>
      <w:r w:rsidR="0015167A" w:rsidRPr="005F2796">
        <w:t xml:space="preserve"> </w:t>
      </w:r>
      <w:r w:rsidR="00AB4B61" w:rsidRPr="005F2796">
        <w:t xml:space="preserve">and </w:t>
      </w:r>
      <w:r w:rsidR="0015167A" w:rsidRPr="005F2796">
        <w:t xml:space="preserve">by calculation of the treatment cost per patient for venetoclax </w:t>
      </w:r>
      <w:r w:rsidR="00AB4B61" w:rsidRPr="005F2796">
        <w:t xml:space="preserve">plus rituximab </w:t>
      </w:r>
      <w:r w:rsidR="0015167A" w:rsidRPr="005F2796">
        <w:t xml:space="preserve">being </w:t>
      </w:r>
      <w:r w:rsidR="004B34A4">
        <w:rPr>
          <w:noProof/>
          <w:color w:val="000000"/>
          <w:highlight w:val="black"/>
        </w:rPr>
        <w:t>''''' ''''''''''' ''''''''''</w:t>
      </w:r>
      <w:r w:rsidR="00F87F5B" w:rsidRPr="00AF49F1">
        <w:t xml:space="preserve"> </w:t>
      </w:r>
      <w:r w:rsidR="00F87F5B" w:rsidRPr="005F2796">
        <w:t xml:space="preserve">the cost per patient of </w:t>
      </w:r>
      <w:r w:rsidR="00F87F5B" w:rsidRPr="00AF49F1">
        <w:t>ibrutinib monotherapy</w:t>
      </w:r>
      <w:r w:rsidR="00F87F5B" w:rsidRPr="005F2796">
        <w:t>.</w:t>
      </w:r>
    </w:p>
    <w:p w:rsidR="00A57383" w:rsidRPr="005F2796" w:rsidRDefault="00A57383" w:rsidP="000E38D2">
      <w:pPr>
        <w:pStyle w:val="ListParagraph"/>
        <w:numPr>
          <w:ilvl w:val="1"/>
          <w:numId w:val="2"/>
        </w:numPr>
        <w:spacing w:after="160"/>
      </w:pPr>
      <w:r w:rsidRPr="005F2796">
        <w:t xml:space="preserve">The submission assumed a maximum treatment duration for ibrutinib of 44 months based on the median duration of follow-up for ibrutinib reported in the most recent publication for the RESONATE trial (compared to 72 months in the </w:t>
      </w:r>
      <w:r w:rsidR="002158DC" w:rsidRPr="005F2796">
        <w:t>financial</w:t>
      </w:r>
      <w:r w:rsidRPr="005F2796">
        <w:t xml:space="preserve"> estimates). </w:t>
      </w:r>
      <w:r w:rsidR="00505D6F" w:rsidRPr="005F2796">
        <w:t xml:space="preserve">The assumption of a 44-month maximum treatment duration may not be reasonable, as some patients will require treatment for more than 44 months. </w:t>
      </w:r>
      <w:r w:rsidR="0025367C" w:rsidRPr="005F2796">
        <w:t>The estimate</w:t>
      </w:r>
      <w:r w:rsidR="009973C0" w:rsidRPr="005F2796">
        <w:t xml:space="preserve"> of </w:t>
      </w:r>
      <w:r w:rsidR="009973C0" w:rsidRPr="005F2796">
        <w:lastRenderedPageBreak/>
        <w:t>treatment duration for ibrutinib has a large impact on the cost-minimised price for venetoclax.</w:t>
      </w:r>
      <w:r w:rsidR="00F87F5B" w:rsidRPr="005F2796">
        <w:t xml:space="preserve"> </w:t>
      </w:r>
      <w:r w:rsidR="00F87F5B" w:rsidRPr="00DC712B">
        <w:t xml:space="preserve">The ESC </w:t>
      </w:r>
      <w:r w:rsidR="00AB4B61" w:rsidRPr="00DC712B">
        <w:t>advised</w:t>
      </w:r>
      <w:r w:rsidR="00F87F5B" w:rsidRPr="00DC712B">
        <w:t xml:space="preserve"> </w:t>
      </w:r>
      <w:r w:rsidR="0025367C" w:rsidRPr="00DC712B">
        <w:t xml:space="preserve">that the </w:t>
      </w:r>
      <w:r w:rsidR="0025367C" w:rsidRPr="005F2796">
        <w:t>cost-</w:t>
      </w:r>
      <w:r w:rsidR="00AB4B61" w:rsidRPr="005F2796">
        <w:t xml:space="preserve">minimisation </w:t>
      </w:r>
      <w:r w:rsidR="0025367C" w:rsidRPr="005F2796">
        <w:t xml:space="preserve">approach </w:t>
      </w:r>
      <w:r w:rsidR="00AB4B61" w:rsidRPr="00F479FE">
        <w:t xml:space="preserve">would need to be based on the treatment duration </w:t>
      </w:r>
      <w:r w:rsidR="00AB4B61" w:rsidRPr="00C43B51">
        <w:t xml:space="preserve">of </w:t>
      </w:r>
      <w:r w:rsidR="00AB4B61" w:rsidRPr="003B0FCB">
        <w:t>ibrutinib</w:t>
      </w:r>
      <w:r w:rsidR="00AB4B61" w:rsidRPr="00C43B51">
        <w:t xml:space="preserve"> </w:t>
      </w:r>
      <w:r w:rsidR="0025367C" w:rsidRPr="00C43B51">
        <w:t>accepted</w:t>
      </w:r>
      <w:r w:rsidR="00AB4B61" w:rsidRPr="00C43B51">
        <w:t xml:space="preserve"> to obtain its PBS </w:t>
      </w:r>
      <w:r w:rsidR="00AB4B61" w:rsidRPr="003B0FCB">
        <w:t>listing</w:t>
      </w:r>
      <w:r w:rsidR="00AB4B61" w:rsidRPr="00F479FE">
        <w:t>. There is risk of longer treatment duration with both venetoclax (see paragraph 6.3) and ibrutinib</w:t>
      </w:r>
      <w:r w:rsidR="0025367C" w:rsidRPr="005F2796">
        <w:t>. As a result</w:t>
      </w:r>
      <w:r w:rsidR="00AB4B61" w:rsidRPr="005F2796">
        <w:t xml:space="preserve">, venetoclax plus rituximab, if PBAC recommended, would need to </w:t>
      </w:r>
      <w:r w:rsidR="004B34A4">
        <w:rPr>
          <w:noProof/>
          <w:color w:val="000000"/>
          <w:highlight w:val="black"/>
        </w:rPr>
        <w:t>''''''' '''''' ''''''''''''''''' ''''''''</w:t>
      </w:r>
      <w:r w:rsidR="00AB4B61" w:rsidRPr="005F2796">
        <w:t>.</w:t>
      </w:r>
    </w:p>
    <w:p w:rsidR="0021657D" w:rsidRPr="005F2796" w:rsidRDefault="00A57383" w:rsidP="000E38D2">
      <w:pPr>
        <w:pStyle w:val="ListParagraph"/>
        <w:numPr>
          <w:ilvl w:val="1"/>
          <w:numId w:val="2"/>
        </w:numPr>
        <w:spacing w:after="160"/>
      </w:pPr>
      <w:r w:rsidRPr="005F2796">
        <w:t xml:space="preserve">The submission used the </w:t>
      </w:r>
      <w:r w:rsidR="00A00BFD" w:rsidRPr="005F2796">
        <w:t xml:space="preserve">ibrutinib </w:t>
      </w:r>
      <w:r w:rsidRPr="005F2796">
        <w:t xml:space="preserve">progression free survival curve from the RESONATE </w:t>
      </w:r>
      <w:r w:rsidR="00A00BFD" w:rsidRPr="005F2796">
        <w:t xml:space="preserve">trial </w:t>
      </w:r>
      <w:r w:rsidRPr="005F2796">
        <w:t>to adjust for the proportion of patients who discontinue treatment due to disease progression. The submission claimed that the use of a single progression-free survival curve was consistent with the claim of non-inferior efficacy, and the assumption that venetoclax plus rituximab and ibrutinib patients experience the same rate of disease progression.</w:t>
      </w:r>
      <w:r w:rsidR="0021657D" w:rsidRPr="005F2796">
        <w:t xml:space="preserve"> </w:t>
      </w:r>
      <w:r w:rsidR="00505D6F" w:rsidRPr="005F2796">
        <w:t>Treatment discontinuations for reasons other than disease progression, such as adverse events, were not included in the analysis. This may not be reasonable given potential differences in adverse event profiles and tolerability between treatments. The analysis did not adjust for differences in dose intensity between treatments.</w:t>
      </w:r>
    </w:p>
    <w:p w:rsidR="00A57383" w:rsidRPr="005F2796" w:rsidRDefault="0021657D" w:rsidP="000E38D2">
      <w:pPr>
        <w:pStyle w:val="ListParagraph"/>
        <w:numPr>
          <w:ilvl w:val="1"/>
          <w:numId w:val="2"/>
        </w:numPr>
        <w:spacing w:after="160"/>
      </w:pPr>
      <w:r w:rsidRPr="005F2796">
        <w:t xml:space="preserve">Based on the ibrutinib progression-free survival curve, the average time on treatment was estimated to be </w:t>
      </w:r>
      <w:r w:rsidR="004B34A4">
        <w:rPr>
          <w:noProof/>
          <w:color w:val="000000"/>
          <w:highlight w:val="black"/>
        </w:rPr>
        <w:t>'''''''''</w:t>
      </w:r>
      <w:r w:rsidRPr="005F2796">
        <w:t xml:space="preserve"> months for venetoclax and 32.8 months for ibrutinib. The submission claimed that the estimated time on venetoclax derived using the RESONATE progression-free survival curve was consistent with the median venetoclax treatment exposure of </w:t>
      </w:r>
      <w:r w:rsidRPr="003B0FCB">
        <w:t xml:space="preserve">22.1 </w:t>
      </w:r>
      <w:r w:rsidRPr="005F2796">
        <w:t xml:space="preserve">months observed in the MURANO trial. </w:t>
      </w:r>
      <w:r w:rsidR="00326AD6" w:rsidRPr="005F2796">
        <w:t>Based on the May 2018 data</w:t>
      </w:r>
      <w:r w:rsidR="004C57E6" w:rsidRPr="005F2796">
        <w:t xml:space="preserve"> cut</w:t>
      </w:r>
      <w:r w:rsidR="00326AD6" w:rsidRPr="005F2796">
        <w:t xml:space="preserve">, </w:t>
      </w:r>
      <w:r w:rsidR="004C57E6" w:rsidRPr="005F2796">
        <w:t xml:space="preserve">median duration of venetoclax exposure was </w:t>
      </w:r>
      <w:r w:rsidR="004B34A4">
        <w:rPr>
          <w:noProof/>
          <w:color w:val="000000"/>
          <w:highlight w:val="black"/>
        </w:rPr>
        <w:t>''''''''</w:t>
      </w:r>
      <w:r w:rsidR="004C57E6" w:rsidRPr="005F2796">
        <w:t xml:space="preserve"> months</w:t>
      </w:r>
      <w:r w:rsidR="001C4AC4" w:rsidRPr="005F2796">
        <w:t xml:space="preserve"> (mean </w:t>
      </w:r>
      <w:r w:rsidR="004B34A4">
        <w:rPr>
          <w:noProof/>
          <w:color w:val="000000"/>
          <w:highlight w:val="black"/>
        </w:rPr>
        <w:t>'''''</w:t>
      </w:r>
      <w:r w:rsidR="001C4AC4" w:rsidRPr="005F2796">
        <w:t xml:space="preserve"> months)</w:t>
      </w:r>
      <w:r w:rsidR="0025367C" w:rsidRPr="005F2796">
        <w:t>.</w:t>
      </w:r>
    </w:p>
    <w:p w:rsidR="00A57383" w:rsidRPr="005F2796" w:rsidRDefault="00A57383" w:rsidP="000E38D2">
      <w:pPr>
        <w:pStyle w:val="ListParagraph"/>
        <w:numPr>
          <w:ilvl w:val="1"/>
          <w:numId w:val="2"/>
        </w:numPr>
        <w:spacing w:after="160"/>
      </w:pPr>
      <w:r w:rsidRPr="005F2796">
        <w:t>Based on the recommended treatment course, adjusted for disease progressions, the submission proposed the following equi-effective doses:</w:t>
      </w:r>
    </w:p>
    <w:p w:rsidR="00A57383" w:rsidRPr="005F2796" w:rsidRDefault="00A57383" w:rsidP="000E38D2">
      <w:pPr>
        <w:pStyle w:val="ListParagraph"/>
        <w:numPr>
          <w:ilvl w:val="0"/>
          <w:numId w:val="27"/>
        </w:numPr>
        <w:spacing w:after="160"/>
        <w:ind w:left="993" w:hanging="294"/>
      </w:pPr>
      <w:r w:rsidRPr="005F2796">
        <w:t xml:space="preserve">One starting pack and </w:t>
      </w:r>
      <w:r w:rsidR="004B34A4">
        <w:rPr>
          <w:noProof/>
          <w:color w:val="000000"/>
          <w:highlight w:val="black"/>
        </w:rPr>
        <w:t>'''''''''''</w:t>
      </w:r>
      <w:r w:rsidRPr="005F2796">
        <w:t xml:space="preserve"> continuing packs of venetoclax plus 5.80 infusions of rituximab is equi-effective to </w:t>
      </w:r>
      <w:r w:rsidR="004B34A4">
        <w:rPr>
          <w:noProof/>
          <w:color w:val="000000"/>
          <w:highlight w:val="black"/>
        </w:rPr>
        <w:t>''''''''''</w:t>
      </w:r>
      <w:r w:rsidRPr="005F2796">
        <w:t xml:space="preserve"> packs of ibrutinib.</w:t>
      </w:r>
    </w:p>
    <w:p w:rsidR="003E7B5E" w:rsidRPr="005F2796" w:rsidRDefault="00A57383" w:rsidP="00A2624A">
      <w:pPr>
        <w:pStyle w:val="ListParagraph"/>
        <w:numPr>
          <w:ilvl w:val="1"/>
          <w:numId w:val="2"/>
        </w:numPr>
        <w:spacing w:after="160"/>
      </w:pPr>
      <w:r w:rsidRPr="005F2796">
        <w:t>The cost-minimisation analysis included costs associated with administration of rituximab, and costs associated with tumour lysis syndrome prophylaxis. Costs of treating adverse event occurrences were not included in the cost-minimisation analysis. Increased rates of neutropenia associated with venetoclax plus rituximab treatment may result in increased use of granulocyte-colony stimulating factor.</w:t>
      </w:r>
      <w:r w:rsidR="003E7B5E" w:rsidRPr="005F2796">
        <w:t xml:space="preserve"> Given the </w:t>
      </w:r>
      <w:r w:rsidR="0025367C" w:rsidRPr="005F2796">
        <w:t xml:space="preserve">greater rate of </w:t>
      </w:r>
      <w:r w:rsidR="003E7B5E" w:rsidRPr="005F2796">
        <w:t xml:space="preserve">Grade 3 and 4 adverse events </w:t>
      </w:r>
      <w:r w:rsidR="00594F18" w:rsidRPr="005F2796">
        <w:t>with</w:t>
      </w:r>
      <w:r w:rsidR="003E7B5E" w:rsidRPr="005F2796">
        <w:t xml:space="preserve"> venetoclax plus rituximab, </w:t>
      </w:r>
      <w:r w:rsidR="0025367C" w:rsidRPr="005F2796">
        <w:t xml:space="preserve">additional </w:t>
      </w:r>
      <w:r w:rsidR="003E7B5E" w:rsidRPr="005F2796">
        <w:t xml:space="preserve">treatment costs </w:t>
      </w:r>
      <w:r w:rsidR="0025367C" w:rsidRPr="005F2796">
        <w:t>of these events</w:t>
      </w:r>
      <w:r w:rsidR="00D73F5D" w:rsidRPr="005F2796">
        <w:t xml:space="preserve">, </w:t>
      </w:r>
      <w:r w:rsidR="00D73F5D" w:rsidRPr="005F2796">
        <w:rPr>
          <w:szCs w:val="24"/>
        </w:rPr>
        <w:t>in particular use of growth factor support and treatment of severe tumour lysis and infections,</w:t>
      </w:r>
      <w:r w:rsidR="00D73F5D" w:rsidRPr="005F2796">
        <w:t xml:space="preserve"> </w:t>
      </w:r>
      <w:r w:rsidR="00DF6EC9" w:rsidRPr="005F2796">
        <w:t>should be</w:t>
      </w:r>
      <w:r w:rsidR="003E7B5E" w:rsidRPr="005F2796">
        <w:t xml:space="preserve"> incorporated in the cost minimisation</w:t>
      </w:r>
      <w:r w:rsidR="00D73F5D" w:rsidRPr="005F2796">
        <w:t xml:space="preserve"> approach.</w:t>
      </w:r>
      <w:r w:rsidR="00A2624A" w:rsidRPr="005F2796">
        <w:t xml:space="preserve"> The </w:t>
      </w:r>
      <w:r w:rsidR="00B130E6">
        <w:t>Pre-PBAC R</w:t>
      </w:r>
      <w:r w:rsidR="00A2624A" w:rsidRPr="005F2796">
        <w:t xml:space="preserve">esponse included the estimated average AE cost for a patient receiving a course of venetoclax plus rituximab treatment based on 36-month follow-up </w:t>
      </w:r>
      <w:r w:rsidR="009E7C7F" w:rsidRPr="005F2796">
        <w:t xml:space="preserve">data </w:t>
      </w:r>
      <w:r w:rsidR="00A2624A" w:rsidRPr="005F2796">
        <w:t>from MURANO with patients off treatment for an average of 12 months ($</w:t>
      </w:r>
      <w:r w:rsidR="004B34A4">
        <w:rPr>
          <w:noProof/>
          <w:color w:val="000000"/>
          <w:highlight w:val="black"/>
        </w:rPr>
        <w:t>'''''''</w:t>
      </w:r>
      <w:r w:rsidR="00A2624A" w:rsidRPr="005F2796">
        <w:t>) and a patient receiving ibrutinib treatment based on 44-months follow-up from the RESONATE trial ($</w:t>
      </w:r>
      <w:r w:rsidR="004B34A4">
        <w:rPr>
          <w:noProof/>
          <w:color w:val="000000"/>
          <w:highlight w:val="black"/>
        </w:rPr>
        <w:t>'''''''</w:t>
      </w:r>
      <w:r w:rsidR="00A2624A" w:rsidRPr="005F2796">
        <w:t>) (see table below). The response further suggested that</w:t>
      </w:r>
      <w:r w:rsidR="009205B5" w:rsidRPr="005F2796">
        <w:t>,</w:t>
      </w:r>
      <w:r w:rsidR="00A2624A" w:rsidRPr="005F2796">
        <w:t xml:space="preserve"> as ibrutinib is administered until disease progression, this is likely to </w:t>
      </w:r>
      <w:r w:rsidR="00A2624A" w:rsidRPr="005F2796">
        <w:lastRenderedPageBreak/>
        <w:t>underestimate</w:t>
      </w:r>
      <w:r w:rsidR="00851AC5" w:rsidRPr="005F2796">
        <w:t xml:space="preserve"> the cost</w:t>
      </w:r>
      <w:r w:rsidR="00A2624A" w:rsidRPr="005F2796">
        <w:t xml:space="preserve"> for ibrutinib as patients may continue to experience AEs whilst they are on active treatment.</w:t>
      </w:r>
    </w:p>
    <w:p w:rsidR="007A7E3E" w:rsidRPr="005F2796" w:rsidRDefault="007A7E3E" w:rsidP="007A7E3E">
      <w:pPr>
        <w:pStyle w:val="TableHeading0"/>
      </w:pPr>
      <w:r w:rsidRPr="005F2796">
        <w:t>Table 7: Estimated cost of treating AEs for venetoclax plus rituximab and ibrutinib</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646"/>
        <w:gridCol w:w="1647"/>
        <w:gridCol w:w="1647"/>
        <w:gridCol w:w="1647"/>
        <w:gridCol w:w="1647"/>
      </w:tblGrid>
      <w:tr w:rsidR="007A7E3E" w:rsidRPr="005F2796" w:rsidTr="007A7E3E">
        <w:trPr>
          <w:trHeight w:val="253"/>
        </w:trPr>
        <w:tc>
          <w:tcPr>
            <w:tcW w:w="2230" w:type="dxa"/>
          </w:tcPr>
          <w:p w:rsidR="007A7E3E" w:rsidRPr="005F2796" w:rsidRDefault="007A7E3E" w:rsidP="007A7E3E">
            <w:pPr>
              <w:autoSpaceDE w:val="0"/>
              <w:autoSpaceDN w:val="0"/>
              <w:adjustRightInd w:val="0"/>
              <w:jc w:val="left"/>
              <w:rPr>
                <w:rFonts w:ascii="Arial Narrow" w:hAnsi="Arial Narrow" w:cs="Times New Roman"/>
                <w:b/>
                <w:color w:val="000000"/>
                <w:sz w:val="20"/>
                <w:szCs w:val="20"/>
              </w:rPr>
            </w:pPr>
            <w:r w:rsidRPr="005F2796">
              <w:rPr>
                <w:rFonts w:ascii="Arial Narrow" w:hAnsi="Arial Narrow" w:cs="Times New Roman"/>
                <w:b/>
                <w:color w:val="000000"/>
                <w:sz w:val="20"/>
                <w:szCs w:val="20"/>
              </w:rPr>
              <w:t>AE</w:t>
            </w:r>
          </w:p>
        </w:tc>
        <w:tc>
          <w:tcPr>
            <w:tcW w:w="1646"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b/>
                <w:bCs/>
                <w:color w:val="000000"/>
                <w:sz w:val="20"/>
                <w:szCs w:val="20"/>
              </w:rPr>
              <w:t xml:space="preserve">Cost per AE </w:t>
            </w:r>
          </w:p>
        </w:tc>
        <w:tc>
          <w:tcPr>
            <w:tcW w:w="1647"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b/>
                <w:bCs/>
                <w:color w:val="000000"/>
                <w:sz w:val="20"/>
                <w:szCs w:val="20"/>
              </w:rPr>
              <w:t xml:space="preserve">Frequency (VR) </w:t>
            </w:r>
          </w:p>
        </w:tc>
        <w:tc>
          <w:tcPr>
            <w:tcW w:w="1647"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b/>
                <w:bCs/>
                <w:color w:val="000000"/>
                <w:sz w:val="20"/>
                <w:szCs w:val="20"/>
              </w:rPr>
              <w:t xml:space="preserve">Frequency (IBR) </w:t>
            </w:r>
          </w:p>
        </w:tc>
        <w:tc>
          <w:tcPr>
            <w:tcW w:w="1647"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b/>
                <w:bCs/>
                <w:color w:val="000000"/>
                <w:sz w:val="20"/>
                <w:szCs w:val="20"/>
              </w:rPr>
              <w:t xml:space="preserve">WAC* (VR) </w:t>
            </w:r>
          </w:p>
        </w:tc>
        <w:tc>
          <w:tcPr>
            <w:tcW w:w="1647"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b/>
                <w:bCs/>
                <w:color w:val="000000"/>
                <w:sz w:val="20"/>
                <w:szCs w:val="20"/>
              </w:rPr>
              <w:t xml:space="preserve">WAC* (IBR) </w:t>
            </w:r>
          </w:p>
        </w:tc>
      </w:tr>
      <w:tr w:rsidR="007A7E3E" w:rsidRPr="005F2796" w:rsidTr="007A7E3E">
        <w:trPr>
          <w:trHeight w:val="141"/>
        </w:trPr>
        <w:tc>
          <w:tcPr>
            <w:tcW w:w="2230"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color w:val="000000"/>
                <w:sz w:val="20"/>
                <w:szCs w:val="20"/>
              </w:rPr>
              <w:t xml:space="preserve">Clinical TLS </w:t>
            </w:r>
          </w:p>
        </w:tc>
        <w:tc>
          <w:tcPr>
            <w:tcW w:w="1646"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r>
      <w:tr w:rsidR="007A7E3E" w:rsidRPr="005F2796" w:rsidTr="007A7E3E">
        <w:trPr>
          <w:trHeight w:val="141"/>
        </w:trPr>
        <w:tc>
          <w:tcPr>
            <w:tcW w:w="2230"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color w:val="000000"/>
                <w:sz w:val="20"/>
                <w:szCs w:val="20"/>
              </w:rPr>
              <w:t xml:space="preserve">Neutropenia (treated) </w:t>
            </w:r>
          </w:p>
        </w:tc>
        <w:tc>
          <w:tcPr>
            <w:tcW w:w="1646"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r>
      <w:tr w:rsidR="007A7E3E" w:rsidRPr="005F2796" w:rsidTr="007A7E3E">
        <w:trPr>
          <w:trHeight w:val="140"/>
        </w:trPr>
        <w:tc>
          <w:tcPr>
            <w:tcW w:w="2230"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color w:val="000000"/>
                <w:sz w:val="20"/>
                <w:szCs w:val="20"/>
              </w:rPr>
              <w:t xml:space="preserve">AF (Grade 3-4) </w:t>
            </w:r>
          </w:p>
        </w:tc>
        <w:tc>
          <w:tcPr>
            <w:tcW w:w="1646"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c>
          <w:tcPr>
            <w:tcW w:w="1647" w:type="dxa"/>
          </w:tcPr>
          <w:p w:rsidR="007A7E3E" w:rsidRPr="004B34A4" w:rsidRDefault="004B34A4" w:rsidP="007A7E3E">
            <w:pPr>
              <w:autoSpaceDE w:val="0"/>
              <w:autoSpaceDN w:val="0"/>
              <w:adjustRightInd w:val="0"/>
              <w:jc w:val="left"/>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 xml:space="preserve">''''''''''' </w:t>
            </w:r>
          </w:p>
        </w:tc>
      </w:tr>
      <w:tr w:rsidR="007A7E3E" w:rsidRPr="005F2796" w:rsidTr="007A7E3E">
        <w:trPr>
          <w:trHeight w:val="145"/>
        </w:trPr>
        <w:tc>
          <w:tcPr>
            <w:tcW w:w="2230" w:type="dxa"/>
          </w:tcPr>
          <w:p w:rsidR="007A7E3E" w:rsidRPr="005F2796" w:rsidRDefault="007A7E3E" w:rsidP="007A7E3E">
            <w:pPr>
              <w:autoSpaceDE w:val="0"/>
              <w:autoSpaceDN w:val="0"/>
              <w:adjustRightInd w:val="0"/>
              <w:jc w:val="left"/>
              <w:rPr>
                <w:rFonts w:ascii="Arial Narrow" w:hAnsi="Arial Narrow" w:cs="Times New Roman"/>
                <w:color w:val="000000"/>
                <w:sz w:val="20"/>
                <w:szCs w:val="20"/>
              </w:rPr>
            </w:pPr>
            <w:r w:rsidRPr="005F2796">
              <w:rPr>
                <w:rFonts w:ascii="Arial Narrow" w:hAnsi="Arial Narrow" w:cs="Times New Roman"/>
                <w:b/>
                <w:bCs/>
                <w:color w:val="000000"/>
                <w:sz w:val="20"/>
                <w:szCs w:val="20"/>
              </w:rPr>
              <w:t xml:space="preserve">Total </w:t>
            </w:r>
          </w:p>
        </w:tc>
        <w:tc>
          <w:tcPr>
            <w:tcW w:w="1646" w:type="dxa"/>
          </w:tcPr>
          <w:p w:rsidR="007A7E3E" w:rsidRPr="002A0DC7" w:rsidRDefault="007A7E3E" w:rsidP="007A7E3E">
            <w:pPr>
              <w:autoSpaceDE w:val="0"/>
              <w:autoSpaceDN w:val="0"/>
              <w:adjustRightInd w:val="0"/>
              <w:jc w:val="left"/>
              <w:rPr>
                <w:rFonts w:ascii="Arial Narrow" w:hAnsi="Arial Narrow" w:cs="Times New Roman"/>
                <w:color w:val="000000"/>
                <w:sz w:val="20"/>
                <w:szCs w:val="20"/>
              </w:rPr>
            </w:pPr>
          </w:p>
        </w:tc>
        <w:tc>
          <w:tcPr>
            <w:tcW w:w="1647" w:type="dxa"/>
          </w:tcPr>
          <w:p w:rsidR="007A7E3E" w:rsidRPr="002A0DC7" w:rsidRDefault="007A7E3E" w:rsidP="007A7E3E">
            <w:pPr>
              <w:autoSpaceDE w:val="0"/>
              <w:autoSpaceDN w:val="0"/>
              <w:adjustRightInd w:val="0"/>
              <w:jc w:val="left"/>
              <w:rPr>
                <w:rFonts w:ascii="Arial Narrow" w:hAnsi="Arial Narrow" w:cs="Times New Roman"/>
                <w:color w:val="000000"/>
                <w:sz w:val="20"/>
                <w:szCs w:val="20"/>
              </w:rPr>
            </w:pPr>
          </w:p>
        </w:tc>
        <w:tc>
          <w:tcPr>
            <w:tcW w:w="1647" w:type="dxa"/>
          </w:tcPr>
          <w:p w:rsidR="007A7E3E" w:rsidRPr="002A0DC7" w:rsidRDefault="007A7E3E" w:rsidP="007A7E3E">
            <w:pPr>
              <w:autoSpaceDE w:val="0"/>
              <w:autoSpaceDN w:val="0"/>
              <w:adjustRightInd w:val="0"/>
              <w:jc w:val="left"/>
              <w:rPr>
                <w:rFonts w:ascii="Arial Narrow" w:hAnsi="Arial Narrow" w:cs="Times New Roman"/>
                <w:color w:val="000000"/>
                <w:sz w:val="20"/>
                <w:szCs w:val="20"/>
              </w:rPr>
            </w:pPr>
          </w:p>
        </w:tc>
        <w:tc>
          <w:tcPr>
            <w:tcW w:w="1647" w:type="dxa"/>
          </w:tcPr>
          <w:p w:rsidR="007A7E3E" w:rsidRPr="004B34A4" w:rsidRDefault="004B34A4" w:rsidP="007A7E3E">
            <w:pPr>
              <w:autoSpaceDE w:val="0"/>
              <w:autoSpaceDN w:val="0"/>
              <w:adjustRightInd w:val="0"/>
              <w:jc w:val="left"/>
              <w:rPr>
                <w:rFonts w:ascii="Arial Narrow" w:hAnsi="Arial Narrow" w:cs="Times New Roman"/>
                <w:b/>
                <w:color w:val="000000"/>
                <w:sz w:val="20"/>
                <w:szCs w:val="20"/>
                <w:highlight w:val="black"/>
              </w:rPr>
            </w:pPr>
            <w:r>
              <w:rPr>
                <w:rFonts w:ascii="Arial Narrow" w:hAnsi="Arial Narrow" w:cs="Times New Roman"/>
                <w:b/>
                <w:noProof/>
                <w:color w:val="000000"/>
                <w:sz w:val="20"/>
                <w:szCs w:val="20"/>
                <w:highlight w:val="black"/>
              </w:rPr>
              <w:t>'''''''''''</w:t>
            </w:r>
          </w:p>
        </w:tc>
        <w:tc>
          <w:tcPr>
            <w:tcW w:w="1647" w:type="dxa"/>
          </w:tcPr>
          <w:p w:rsidR="007A7E3E" w:rsidRPr="004B34A4" w:rsidRDefault="004B34A4" w:rsidP="007A7E3E">
            <w:pPr>
              <w:autoSpaceDE w:val="0"/>
              <w:autoSpaceDN w:val="0"/>
              <w:adjustRightInd w:val="0"/>
              <w:jc w:val="left"/>
              <w:rPr>
                <w:rFonts w:ascii="Arial Narrow" w:hAnsi="Arial Narrow" w:cs="Times New Roman"/>
                <w:b/>
                <w:color w:val="000000"/>
                <w:sz w:val="20"/>
                <w:szCs w:val="20"/>
                <w:highlight w:val="black"/>
              </w:rPr>
            </w:pPr>
            <w:r>
              <w:rPr>
                <w:rFonts w:ascii="Arial Narrow" w:hAnsi="Arial Narrow" w:cs="Times New Roman"/>
                <w:b/>
                <w:noProof/>
                <w:color w:val="000000"/>
                <w:sz w:val="20"/>
                <w:szCs w:val="20"/>
                <w:highlight w:val="black"/>
              </w:rPr>
              <w:t>''''''''''</w:t>
            </w:r>
          </w:p>
        </w:tc>
      </w:tr>
    </w:tbl>
    <w:p w:rsidR="006F3F8F" w:rsidRDefault="006F3F8F" w:rsidP="007A7E3E">
      <w:pPr>
        <w:pStyle w:val="TableFooter"/>
      </w:pPr>
      <w:r w:rsidRPr="006F3F8F">
        <w:t>AE: adverse event; VR: venetoclax+rituximab; IBR: ibrutinib; TLS: tumour lysis syndrome; AF: atrial fibrillation; WAC: weighted average cost/patient</w:t>
      </w:r>
    </w:p>
    <w:p w:rsidR="007A7E3E" w:rsidRPr="005F2796" w:rsidRDefault="007A7E3E" w:rsidP="007A7E3E">
      <w:pPr>
        <w:pStyle w:val="TableFooter"/>
      </w:pPr>
      <w:r w:rsidRPr="005F2796">
        <w:t xml:space="preserve">Source: </w:t>
      </w:r>
      <w:r w:rsidR="00B130E6">
        <w:t>Pre-PBAC R</w:t>
      </w:r>
      <w:r w:rsidRPr="005F2796">
        <w:t>esponse, p3.</w:t>
      </w:r>
    </w:p>
    <w:p w:rsidR="007A7E3E" w:rsidRPr="005F2796" w:rsidRDefault="007A7E3E" w:rsidP="007A7E3E">
      <w:pPr>
        <w:pStyle w:val="TableFooter"/>
      </w:pPr>
    </w:p>
    <w:p w:rsidR="003514CE" w:rsidRPr="005F2796" w:rsidRDefault="003514CE" w:rsidP="00720BA1">
      <w:pPr>
        <w:pStyle w:val="ListParagraph"/>
        <w:numPr>
          <w:ilvl w:val="1"/>
          <w:numId w:val="2"/>
        </w:numPr>
        <w:spacing w:after="160"/>
      </w:pPr>
      <w:r w:rsidRPr="005F2796">
        <w:t>The cost-minimisation was based on the published price of ibrutinib. The analysis was conducted using dispensed price for maximum quantities (DPMQs), rather than ex-manufacturer prices (AEMPs).</w:t>
      </w:r>
    </w:p>
    <w:p w:rsidR="009E45B6" w:rsidRPr="005F2796" w:rsidRDefault="009E45B6" w:rsidP="000E38D2">
      <w:pPr>
        <w:pStyle w:val="ListParagraph"/>
        <w:numPr>
          <w:ilvl w:val="1"/>
          <w:numId w:val="2"/>
        </w:numPr>
        <w:spacing w:after="160"/>
      </w:pPr>
      <w:r w:rsidRPr="005F2796">
        <w:t xml:space="preserve">Table </w:t>
      </w:r>
      <w:r w:rsidR="007A7E3E" w:rsidRPr="005F2796">
        <w:t>8</w:t>
      </w:r>
      <w:r w:rsidRPr="005F2796">
        <w:t xml:space="preserve"> presents the derivation of the venetoclax DPMQ.</w:t>
      </w:r>
    </w:p>
    <w:p w:rsidR="009E45B6" w:rsidRPr="005F2796" w:rsidRDefault="009E45B6" w:rsidP="009E45B6">
      <w:pPr>
        <w:pStyle w:val="TableHeading0"/>
      </w:pPr>
      <w:r w:rsidRPr="005F2796">
        <w:t xml:space="preserve">Table </w:t>
      </w:r>
      <w:r w:rsidR="007A7E3E" w:rsidRPr="005F2796">
        <w:t>8</w:t>
      </w:r>
      <w:r w:rsidRPr="005F2796">
        <w:t>: Cost-minimised price for venetoclax based on the ibrutinib published price</w:t>
      </w:r>
    </w:p>
    <w:tbl>
      <w:tblPr>
        <w:tblStyle w:val="Summarybox8"/>
        <w:tblW w:w="5000" w:type="pct"/>
        <w:tblLook w:val="04A0" w:firstRow="1" w:lastRow="0" w:firstColumn="1" w:lastColumn="0" w:noHBand="0" w:noVBand="1"/>
        <w:tblCaption w:val="Cost-minimised price for venetoclax based on the ibrutinib published price"/>
      </w:tblPr>
      <w:tblGrid>
        <w:gridCol w:w="3053"/>
        <w:gridCol w:w="1489"/>
        <w:gridCol w:w="1501"/>
        <w:gridCol w:w="1482"/>
        <w:gridCol w:w="1491"/>
      </w:tblGrid>
      <w:tr w:rsidR="009E45B6" w:rsidRPr="005F2796" w:rsidTr="0021657D">
        <w:tc>
          <w:tcPr>
            <w:tcW w:w="1693" w:type="pct"/>
            <w:shd w:val="clear" w:color="auto" w:fill="auto"/>
            <w:noWrap/>
            <w:vAlign w:val="center"/>
            <w:hideMark/>
          </w:tcPr>
          <w:p w:rsidR="009E45B6" w:rsidRPr="005F2796" w:rsidRDefault="009E45B6" w:rsidP="0021657D">
            <w:pPr>
              <w:keepNext/>
              <w:keepLines/>
              <w:rPr>
                <w:rFonts w:ascii="Arial Narrow" w:eastAsia="TimesNewRoman" w:hAnsi="Arial Narrow" w:cs="Calibri"/>
                <w:b/>
                <w:color w:val="000000"/>
                <w:sz w:val="20"/>
                <w:szCs w:val="20"/>
                <w:lang w:eastAsia="en-AU"/>
              </w:rPr>
            </w:pPr>
            <w:r w:rsidRPr="005F2796">
              <w:rPr>
                <w:rFonts w:ascii="Arial Narrow" w:eastAsia="TimesNewRoman" w:hAnsi="Arial Narrow" w:cs="Calibri"/>
                <w:b/>
                <w:color w:val="000000"/>
                <w:sz w:val="20"/>
                <w:szCs w:val="20"/>
                <w:lang w:eastAsia="en-AU"/>
              </w:rPr>
              <w:t>Parameter</w:t>
            </w:r>
          </w:p>
        </w:tc>
        <w:tc>
          <w:tcPr>
            <w:tcW w:w="826" w:type="pct"/>
            <w:shd w:val="clear" w:color="auto" w:fill="auto"/>
            <w:noWrap/>
            <w:vAlign w:val="center"/>
            <w:hideMark/>
          </w:tcPr>
          <w:p w:rsidR="009E45B6" w:rsidRPr="005F2796" w:rsidRDefault="009E45B6" w:rsidP="0021657D">
            <w:pPr>
              <w:keepNext/>
              <w:keepLines/>
              <w:jc w:val="center"/>
              <w:rPr>
                <w:rFonts w:ascii="Arial Narrow" w:eastAsia="TimesNewRoman" w:hAnsi="Arial Narrow" w:cs="Calibri"/>
                <w:b/>
                <w:color w:val="000000"/>
                <w:sz w:val="20"/>
                <w:szCs w:val="20"/>
                <w:lang w:eastAsia="en-AU"/>
              </w:rPr>
            </w:pPr>
            <w:r w:rsidRPr="005F2796">
              <w:rPr>
                <w:rFonts w:ascii="Arial Narrow" w:eastAsia="TimesNewRoman" w:hAnsi="Arial Narrow" w:cs="Calibri"/>
                <w:b/>
                <w:color w:val="000000"/>
                <w:sz w:val="20"/>
                <w:szCs w:val="20"/>
                <w:lang w:eastAsia="en-AU"/>
              </w:rPr>
              <w:t>Starting pack</w:t>
            </w:r>
          </w:p>
        </w:tc>
        <w:tc>
          <w:tcPr>
            <w:tcW w:w="832" w:type="pct"/>
            <w:shd w:val="clear" w:color="auto" w:fill="auto"/>
            <w:noWrap/>
            <w:vAlign w:val="center"/>
            <w:hideMark/>
          </w:tcPr>
          <w:p w:rsidR="009E45B6" w:rsidRPr="005F2796" w:rsidRDefault="009E45B6" w:rsidP="0021657D">
            <w:pPr>
              <w:keepNext/>
              <w:keepLines/>
              <w:jc w:val="center"/>
              <w:rPr>
                <w:rFonts w:ascii="Arial Narrow" w:eastAsia="TimesNewRoman" w:hAnsi="Arial Narrow" w:cs="Calibri"/>
                <w:b/>
                <w:color w:val="000000"/>
                <w:sz w:val="20"/>
                <w:szCs w:val="20"/>
                <w:lang w:eastAsia="en-AU"/>
              </w:rPr>
            </w:pPr>
            <w:r w:rsidRPr="005F2796">
              <w:rPr>
                <w:rFonts w:ascii="Arial Narrow" w:eastAsia="TimesNewRoman" w:hAnsi="Arial Narrow" w:cs="Calibri"/>
                <w:b/>
                <w:color w:val="000000"/>
                <w:sz w:val="20"/>
                <w:szCs w:val="20"/>
                <w:lang w:eastAsia="en-AU"/>
              </w:rPr>
              <w:t>Continuing pack</w:t>
            </w:r>
          </w:p>
        </w:tc>
        <w:tc>
          <w:tcPr>
            <w:tcW w:w="822" w:type="pct"/>
            <w:shd w:val="clear" w:color="auto" w:fill="auto"/>
            <w:vAlign w:val="center"/>
          </w:tcPr>
          <w:p w:rsidR="009E45B6" w:rsidRPr="005F2796" w:rsidRDefault="009E45B6" w:rsidP="0021657D">
            <w:pPr>
              <w:keepNext/>
              <w:keepLines/>
              <w:jc w:val="center"/>
              <w:rPr>
                <w:rFonts w:ascii="Arial Narrow" w:eastAsia="TimesNewRoman" w:hAnsi="Arial Narrow" w:cs="Calibri"/>
                <w:b/>
                <w:color w:val="000000"/>
                <w:sz w:val="20"/>
                <w:szCs w:val="20"/>
                <w:lang w:eastAsia="en-AU"/>
              </w:rPr>
            </w:pPr>
            <w:r w:rsidRPr="005F2796">
              <w:rPr>
                <w:rFonts w:ascii="Arial Narrow" w:eastAsia="TimesNewRoman" w:hAnsi="Arial Narrow" w:cs="Calibri"/>
                <w:b/>
                <w:color w:val="000000"/>
                <w:sz w:val="20"/>
                <w:szCs w:val="20"/>
                <w:lang w:eastAsia="en-AU"/>
              </w:rPr>
              <w:t>10 mg dose hold pack</w:t>
            </w:r>
          </w:p>
        </w:tc>
        <w:tc>
          <w:tcPr>
            <w:tcW w:w="827" w:type="pct"/>
            <w:shd w:val="clear" w:color="auto" w:fill="auto"/>
            <w:vAlign w:val="center"/>
          </w:tcPr>
          <w:p w:rsidR="009E45B6" w:rsidRPr="005F2796" w:rsidRDefault="009E45B6" w:rsidP="0021657D">
            <w:pPr>
              <w:keepNext/>
              <w:keepLines/>
              <w:jc w:val="center"/>
              <w:rPr>
                <w:rFonts w:ascii="Arial Narrow" w:eastAsia="TimesNewRoman" w:hAnsi="Arial Narrow" w:cs="Calibri"/>
                <w:b/>
                <w:color w:val="000000"/>
                <w:sz w:val="20"/>
                <w:szCs w:val="20"/>
                <w:lang w:eastAsia="en-AU"/>
              </w:rPr>
            </w:pPr>
            <w:r w:rsidRPr="005F2796">
              <w:rPr>
                <w:rFonts w:ascii="Arial Narrow" w:eastAsia="TimesNewRoman" w:hAnsi="Arial Narrow" w:cs="Calibri"/>
                <w:b/>
                <w:color w:val="000000"/>
                <w:sz w:val="20"/>
                <w:szCs w:val="20"/>
                <w:lang w:eastAsia="en-AU"/>
              </w:rPr>
              <w:t>50 mg dose hold pack</w:t>
            </w:r>
          </w:p>
        </w:tc>
      </w:tr>
      <w:tr w:rsidR="009E45B6" w:rsidRPr="005F2796" w:rsidTr="0021657D">
        <w:tc>
          <w:tcPr>
            <w:tcW w:w="1693" w:type="pct"/>
            <w:shd w:val="clear" w:color="auto" w:fill="auto"/>
            <w:noWrap/>
            <w:vAlign w:val="center"/>
          </w:tcPr>
          <w:p w:rsidR="009E45B6" w:rsidRPr="005F2796" w:rsidRDefault="009E45B6" w:rsidP="0021657D">
            <w:pPr>
              <w:keepNext/>
              <w:keepLines/>
              <w:rPr>
                <w:rFonts w:ascii="Arial Narrow" w:eastAsia="TimesNewRoman" w:hAnsi="Arial Narrow" w:cs="Calibri"/>
                <w:b/>
                <w:color w:val="000000"/>
                <w:sz w:val="20"/>
                <w:szCs w:val="20"/>
                <w:lang w:eastAsia="en-AU"/>
              </w:rPr>
            </w:pPr>
            <w:r w:rsidRPr="005F2796">
              <w:rPr>
                <w:rFonts w:ascii="Arial Narrow" w:eastAsia="TimesNewRoman" w:hAnsi="Arial Narrow" w:cs="Calibri"/>
                <w:color w:val="000000"/>
                <w:sz w:val="20"/>
                <w:szCs w:val="20"/>
                <w:lang w:eastAsia="en-AU"/>
              </w:rPr>
              <w:t>Milligrams per pack</w:t>
            </w:r>
          </w:p>
        </w:tc>
        <w:tc>
          <w:tcPr>
            <w:tcW w:w="826" w:type="pct"/>
            <w:shd w:val="clear" w:color="auto" w:fill="auto"/>
            <w:noWrap/>
            <w:vAlign w:val="center"/>
          </w:tcPr>
          <w:p w:rsidR="009E45B6" w:rsidRPr="005F2796" w:rsidRDefault="009E45B6" w:rsidP="0021657D">
            <w:pPr>
              <w:keepNext/>
              <w:keepLines/>
              <w:jc w:val="center"/>
              <w:rPr>
                <w:rFonts w:ascii="Arial Narrow" w:eastAsia="TimesNewRoman" w:hAnsi="Arial Narrow" w:cs="Calibri"/>
                <w:b/>
                <w:color w:val="000000"/>
                <w:sz w:val="20"/>
                <w:szCs w:val="20"/>
                <w:lang w:eastAsia="en-AU"/>
              </w:rPr>
            </w:pPr>
            <w:r w:rsidRPr="005F2796">
              <w:rPr>
                <w:rFonts w:ascii="Arial Narrow" w:eastAsia="TimesNewRoman" w:hAnsi="Arial Narrow" w:cs="Calibri"/>
                <w:color w:val="000000"/>
                <w:sz w:val="20"/>
                <w:szCs w:val="20"/>
                <w:lang w:eastAsia="en-AU"/>
              </w:rPr>
              <w:t>2,590 mg</w:t>
            </w:r>
          </w:p>
        </w:tc>
        <w:tc>
          <w:tcPr>
            <w:tcW w:w="832" w:type="pct"/>
            <w:shd w:val="clear" w:color="auto" w:fill="auto"/>
            <w:noWrap/>
            <w:vAlign w:val="center"/>
          </w:tcPr>
          <w:p w:rsidR="009E45B6" w:rsidRPr="005F2796" w:rsidRDefault="009E45B6" w:rsidP="0021657D">
            <w:pPr>
              <w:keepNext/>
              <w:keepLines/>
              <w:jc w:val="center"/>
              <w:rPr>
                <w:rFonts w:ascii="Arial Narrow" w:eastAsia="TimesNewRoman" w:hAnsi="Arial Narrow" w:cs="Calibri"/>
                <w:b/>
                <w:color w:val="000000"/>
                <w:sz w:val="20"/>
                <w:szCs w:val="20"/>
                <w:lang w:eastAsia="en-AU"/>
              </w:rPr>
            </w:pPr>
            <w:r w:rsidRPr="005F2796">
              <w:rPr>
                <w:rFonts w:ascii="Arial Narrow" w:eastAsia="TimesNewRoman" w:hAnsi="Arial Narrow" w:cs="Calibri"/>
                <w:color w:val="000000"/>
                <w:sz w:val="20"/>
                <w:szCs w:val="20"/>
                <w:lang w:eastAsia="en-AU"/>
              </w:rPr>
              <w:t>12,000 mg</w:t>
            </w:r>
          </w:p>
        </w:tc>
        <w:tc>
          <w:tcPr>
            <w:tcW w:w="822" w:type="pct"/>
            <w:shd w:val="clear" w:color="auto" w:fill="auto"/>
            <w:vAlign w:val="center"/>
          </w:tcPr>
          <w:p w:rsidR="009E45B6" w:rsidRPr="005F2796" w:rsidRDefault="009E45B6" w:rsidP="0021657D">
            <w:pPr>
              <w:keepNext/>
              <w:keepLines/>
              <w:jc w:val="center"/>
              <w:rPr>
                <w:rFonts w:ascii="Arial Narrow" w:eastAsia="TimesNewRoman" w:hAnsi="Arial Narrow" w:cs="Calibri"/>
                <w:b/>
                <w:color w:val="000000"/>
                <w:sz w:val="20"/>
                <w:szCs w:val="20"/>
                <w:lang w:eastAsia="en-AU"/>
              </w:rPr>
            </w:pPr>
            <w:r w:rsidRPr="005F2796">
              <w:rPr>
                <w:rFonts w:ascii="Arial Narrow" w:eastAsia="TimesNewRoman" w:hAnsi="Arial Narrow" w:cs="Calibri"/>
                <w:color w:val="000000"/>
                <w:sz w:val="20"/>
                <w:szCs w:val="20"/>
                <w:lang w:eastAsia="en-AU"/>
              </w:rPr>
              <w:t>140 mg</w:t>
            </w:r>
          </w:p>
        </w:tc>
        <w:tc>
          <w:tcPr>
            <w:tcW w:w="827" w:type="pct"/>
            <w:shd w:val="clear" w:color="auto" w:fill="auto"/>
            <w:vAlign w:val="center"/>
          </w:tcPr>
          <w:p w:rsidR="009E45B6" w:rsidRPr="005F2796" w:rsidRDefault="009E45B6" w:rsidP="0021657D">
            <w:pPr>
              <w:keepNext/>
              <w:keepLines/>
              <w:jc w:val="center"/>
              <w:rPr>
                <w:rFonts w:ascii="Arial Narrow" w:eastAsia="TimesNewRoman" w:hAnsi="Arial Narrow" w:cs="Calibri"/>
                <w:b/>
                <w:color w:val="000000"/>
                <w:sz w:val="20"/>
                <w:szCs w:val="20"/>
                <w:lang w:eastAsia="en-AU"/>
              </w:rPr>
            </w:pPr>
            <w:r w:rsidRPr="005F2796">
              <w:rPr>
                <w:rFonts w:ascii="Arial Narrow" w:eastAsia="TimesNewRoman" w:hAnsi="Arial Narrow" w:cs="Calibri"/>
                <w:color w:val="000000"/>
                <w:sz w:val="20"/>
                <w:szCs w:val="20"/>
                <w:lang w:eastAsia="en-AU"/>
              </w:rPr>
              <w:t>350 mg</w:t>
            </w:r>
          </w:p>
        </w:tc>
      </w:tr>
      <w:tr w:rsidR="009E45B6" w:rsidRPr="005F2796" w:rsidTr="0021657D">
        <w:tc>
          <w:tcPr>
            <w:tcW w:w="1693" w:type="pct"/>
            <w:shd w:val="clear" w:color="auto" w:fill="auto"/>
            <w:noWrap/>
            <w:vAlign w:val="center"/>
          </w:tcPr>
          <w:p w:rsidR="009E45B6" w:rsidRPr="005F2796" w:rsidRDefault="009E45B6" w:rsidP="0021657D">
            <w:pPr>
              <w:keepNext/>
              <w:keepLines/>
              <w:rPr>
                <w:rFonts w:ascii="Arial Narrow" w:eastAsia="TimesNewRoman" w:hAnsi="Arial Narrow" w:cs="Calibri"/>
                <w:color w:val="000000"/>
                <w:sz w:val="20"/>
                <w:szCs w:val="20"/>
                <w:lang w:eastAsia="en-AU"/>
              </w:rPr>
            </w:pPr>
            <w:r w:rsidRPr="005F2796">
              <w:rPr>
                <w:rFonts w:ascii="Arial Narrow" w:eastAsia="TimesNewRoman" w:hAnsi="Arial Narrow" w:cs="Calibri"/>
                <w:color w:val="000000"/>
                <w:sz w:val="20"/>
                <w:szCs w:val="20"/>
                <w:lang w:eastAsia="en-AU"/>
              </w:rPr>
              <w:t>Venetoclax price per mg</w:t>
            </w:r>
          </w:p>
        </w:tc>
        <w:tc>
          <w:tcPr>
            <w:tcW w:w="3307" w:type="pct"/>
            <w:gridSpan w:val="4"/>
            <w:tcBorders>
              <w:bottom w:val="single" w:sz="4" w:space="0" w:color="auto"/>
            </w:tcBorders>
            <w:shd w:val="clear" w:color="auto" w:fill="auto"/>
            <w:noWrap/>
            <w:vAlign w:val="center"/>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eastAsia="TimesNewRoman" w:hAnsi="Arial Narrow" w:cs="Calibri"/>
                <w:noProof/>
                <w:color w:val="000000"/>
                <w:sz w:val="20"/>
                <w:szCs w:val="20"/>
                <w:highlight w:val="black"/>
                <w:lang w:eastAsia="en-AU"/>
              </w:rPr>
              <w:t>'''''''''''''</w:t>
            </w:r>
          </w:p>
        </w:tc>
      </w:tr>
      <w:tr w:rsidR="009E45B6" w:rsidRPr="005F2796" w:rsidTr="0021657D">
        <w:tc>
          <w:tcPr>
            <w:tcW w:w="1693" w:type="pct"/>
            <w:shd w:val="clear" w:color="auto" w:fill="auto"/>
            <w:noWrap/>
            <w:vAlign w:val="center"/>
          </w:tcPr>
          <w:p w:rsidR="009E45B6" w:rsidRPr="005F2796" w:rsidRDefault="009E45B6" w:rsidP="0021657D">
            <w:pPr>
              <w:keepNext/>
              <w:keepLines/>
              <w:rPr>
                <w:rFonts w:ascii="Arial Narrow" w:eastAsia="TimesNewRoman" w:hAnsi="Arial Narrow" w:cs="Calibri"/>
                <w:color w:val="000000"/>
                <w:sz w:val="20"/>
                <w:szCs w:val="20"/>
                <w:lang w:eastAsia="en-AU"/>
              </w:rPr>
            </w:pPr>
            <w:r w:rsidRPr="005F2796">
              <w:rPr>
                <w:rFonts w:ascii="Arial Narrow" w:eastAsia="TimesNewRoman" w:hAnsi="Arial Narrow" w:cs="Calibri"/>
                <w:color w:val="000000"/>
                <w:sz w:val="20"/>
                <w:szCs w:val="20"/>
                <w:lang w:eastAsia="en-AU"/>
              </w:rPr>
              <w:t>Venetoclax AEMP per pack</w:t>
            </w:r>
          </w:p>
        </w:tc>
        <w:tc>
          <w:tcPr>
            <w:tcW w:w="826" w:type="pct"/>
            <w:shd w:val="clear" w:color="auto" w:fill="auto"/>
            <w:noWrap/>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hAnsi="Arial Narrow"/>
                <w:noProof/>
                <w:color w:val="000000"/>
                <w:sz w:val="20"/>
                <w:szCs w:val="20"/>
                <w:highlight w:val="black"/>
              </w:rPr>
              <w:t>'''''''''''''''''''''''</w:t>
            </w:r>
          </w:p>
        </w:tc>
        <w:tc>
          <w:tcPr>
            <w:tcW w:w="832" w:type="pct"/>
            <w:shd w:val="clear" w:color="auto" w:fill="auto"/>
            <w:noWrap/>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hAnsi="Arial Narrow"/>
                <w:noProof/>
                <w:color w:val="000000"/>
                <w:sz w:val="20"/>
                <w:szCs w:val="20"/>
                <w:highlight w:val="black"/>
              </w:rPr>
              <w:t>''''''''''''''''''''''''''</w:t>
            </w:r>
          </w:p>
        </w:tc>
        <w:tc>
          <w:tcPr>
            <w:tcW w:w="822" w:type="pct"/>
            <w:shd w:val="clear" w:color="auto" w:fill="auto"/>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hAnsi="Arial Narrow"/>
                <w:noProof/>
                <w:color w:val="000000"/>
                <w:sz w:val="20"/>
                <w:szCs w:val="20"/>
                <w:highlight w:val="black"/>
              </w:rPr>
              <w:t>''''''''''''''''''''</w:t>
            </w:r>
          </w:p>
        </w:tc>
        <w:tc>
          <w:tcPr>
            <w:tcW w:w="827" w:type="pct"/>
            <w:shd w:val="clear" w:color="auto" w:fill="auto"/>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hAnsi="Arial Narrow"/>
                <w:noProof/>
                <w:color w:val="000000"/>
                <w:sz w:val="20"/>
                <w:szCs w:val="20"/>
                <w:highlight w:val="black"/>
              </w:rPr>
              <w:t>''''''''''''''''''''</w:t>
            </w:r>
          </w:p>
        </w:tc>
      </w:tr>
      <w:tr w:rsidR="009E45B6" w:rsidRPr="005F2796" w:rsidTr="0021657D">
        <w:tc>
          <w:tcPr>
            <w:tcW w:w="1693" w:type="pct"/>
            <w:shd w:val="clear" w:color="auto" w:fill="auto"/>
            <w:noWrap/>
            <w:vAlign w:val="center"/>
          </w:tcPr>
          <w:p w:rsidR="009E45B6" w:rsidRPr="005F2796" w:rsidRDefault="009E45B6" w:rsidP="0021657D">
            <w:pPr>
              <w:keepNext/>
              <w:keepLines/>
              <w:rPr>
                <w:rFonts w:ascii="Arial Narrow" w:eastAsia="TimesNewRoman" w:hAnsi="Arial Narrow" w:cs="Calibri"/>
                <w:color w:val="000000"/>
                <w:sz w:val="20"/>
                <w:szCs w:val="20"/>
                <w:lang w:eastAsia="en-AU"/>
              </w:rPr>
            </w:pPr>
            <w:r w:rsidRPr="005F2796">
              <w:rPr>
                <w:rFonts w:ascii="Arial Narrow" w:eastAsia="TimesNewRoman" w:hAnsi="Arial Narrow" w:cs="Calibri"/>
                <w:color w:val="000000"/>
                <w:sz w:val="20"/>
                <w:szCs w:val="20"/>
                <w:lang w:eastAsia="en-AU"/>
              </w:rPr>
              <w:t>Venetoclax DPMQ per pack</w:t>
            </w:r>
          </w:p>
        </w:tc>
        <w:tc>
          <w:tcPr>
            <w:tcW w:w="826" w:type="pct"/>
            <w:shd w:val="clear" w:color="auto" w:fill="auto"/>
            <w:noWrap/>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hAnsi="Arial Narrow"/>
                <w:noProof/>
                <w:color w:val="000000"/>
                <w:sz w:val="20"/>
                <w:szCs w:val="20"/>
                <w:highlight w:val="black"/>
              </w:rPr>
              <w:t>'''''''''''''''''''''''</w:t>
            </w:r>
          </w:p>
        </w:tc>
        <w:tc>
          <w:tcPr>
            <w:tcW w:w="832" w:type="pct"/>
            <w:shd w:val="clear" w:color="auto" w:fill="auto"/>
            <w:noWrap/>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hAnsi="Arial Narrow"/>
                <w:noProof/>
                <w:color w:val="000000"/>
                <w:sz w:val="20"/>
                <w:szCs w:val="20"/>
                <w:highlight w:val="black"/>
              </w:rPr>
              <w:t>'''''''''''''''''''''''''''</w:t>
            </w:r>
          </w:p>
        </w:tc>
        <w:tc>
          <w:tcPr>
            <w:tcW w:w="822" w:type="pct"/>
            <w:shd w:val="clear" w:color="auto" w:fill="auto"/>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hAnsi="Arial Narrow"/>
                <w:noProof/>
                <w:color w:val="000000"/>
                <w:sz w:val="20"/>
                <w:szCs w:val="20"/>
                <w:highlight w:val="black"/>
              </w:rPr>
              <w:t>''''''''''''''''''''''</w:t>
            </w:r>
          </w:p>
        </w:tc>
        <w:tc>
          <w:tcPr>
            <w:tcW w:w="827" w:type="pct"/>
            <w:shd w:val="clear" w:color="auto" w:fill="auto"/>
          </w:tcPr>
          <w:p w:rsidR="009E45B6" w:rsidRPr="004B34A4" w:rsidRDefault="004B34A4" w:rsidP="0021657D">
            <w:pPr>
              <w:keepNext/>
              <w:keepLines/>
              <w:jc w:val="center"/>
              <w:rPr>
                <w:rFonts w:ascii="Arial Narrow" w:eastAsia="TimesNewRoman" w:hAnsi="Arial Narrow" w:cs="Calibri"/>
                <w:color w:val="000000"/>
                <w:sz w:val="20"/>
                <w:szCs w:val="20"/>
                <w:highlight w:val="black"/>
                <w:lang w:eastAsia="en-AU"/>
              </w:rPr>
            </w:pPr>
            <w:r>
              <w:rPr>
                <w:rFonts w:ascii="Arial Narrow" w:hAnsi="Arial Narrow"/>
                <w:noProof/>
                <w:color w:val="000000"/>
                <w:sz w:val="20"/>
                <w:szCs w:val="20"/>
                <w:highlight w:val="black"/>
              </w:rPr>
              <w:t>''''''''''''''''''''</w:t>
            </w:r>
          </w:p>
        </w:tc>
      </w:tr>
    </w:tbl>
    <w:p w:rsidR="009E45B6" w:rsidRPr="005F2796" w:rsidRDefault="009E45B6" w:rsidP="009E45B6">
      <w:pPr>
        <w:pStyle w:val="TableFooter"/>
      </w:pPr>
      <w:r w:rsidRPr="005F2796">
        <w:t>Source: Table 68, p.154 of the submission.</w:t>
      </w:r>
    </w:p>
    <w:p w:rsidR="009E45B6" w:rsidRPr="005F2796" w:rsidRDefault="009E45B6" w:rsidP="00DF6EC9">
      <w:pPr>
        <w:pStyle w:val="TableFooter"/>
        <w:spacing w:after="160"/>
      </w:pPr>
      <w:r w:rsidRPr="005F2796">
        <w:t>AEMP, approved ex-manufacturer price; DPMQ, dispensed price for maximum quantity.</w:t>
      </w:r>
    </w:p>
    <w:p w:rsidR="00F47067" w:rsidRPr="005F2796" w:rsidRDefault="009E45B6" w:rsidP="00F47067">
      <w:pPr>
        <w:pStyle w:val="ListParagraph"/>
        <w:numPr>
          <w:ilvl w:val="1"/>
          <w:numId w:val="2"/>
        </w:numPr>
      </w:pPr>
      <w:r w:rsidRPr="005F2796">
        <w:t>The submission calculated a DPMQ of $</w:t>
      </w:r>
      <w:r w:rsidR="004B34A4">
        <w:rPr>
          <w:noProof/>
          <w:color w:val="000000"/>
          <w:highlight w:val="black"/>
        </w:rPr>
        <w:t>'''''''''''</w:t>
      </w:r>
      <w:r w:rsidRPr="005F2796">
        <w:t xml:space="preserve"> for each venetoclax starting pack, and a DPMQ of $</w:t>
      </w:r>
      <w:r w:rsidR="004B34A4">
        <w:rPr>
          <w:noProof/>
          <w:color w:val="000000"/>
          <w:highlight w:val="black"/>
        </w:rPr>
        <w:t>'''''''''''''</w:t>
      </w:r>
      <w:r w:rsidRPr="005F2796">
        <w:t xml:space="preserve"> for each venetoclax continuing pack. The submission acknowledged that the results of the cost-minimisation analysis were uncertain as the effective price of ibrutinib was unknown, and due to assumptions relating to the maximum treatment duration applied to ibrutinib.</w:t>
      </w:r>
      <w:r w:rsidR="00F47067" w:rsidRPr="005F2796">
        <w:t xml:space="preserve"> The ESC considered the cost-minimisation method used to calculate the AEMP and DPMQ of venetoclax </w:t>
      </w:r>
      <w:r w:rsidR="009205B5" w:rsidRPr="005F2796">
        <w:t>wa</w:t>
      </w:r>
      <w:r w:rsidR="00F47067" w:rsidRPr="005F2796">
        <w:t xml:space="preserve">s overly complicated. The treatment course cost of venetoclax plus rituximab should equate to the treatment </w:t>
      </w:r>
      <w:r w:rsidR="004B34A4">
        <w:rPr>
          <w:noProof/>
          <w:color w:val="000000"/>
          <w:highlight w:val="black"/>
        </w:rPr>
        <w:t>''''''' ''''''''''''' ''''' ''''''''''''''</w:t>
      </w:r>
      <w:r w:rsidR="00F47067" w:rsidRPr="005F2796">
        <w:t xml:space="preserve"> calculated for </w:t>
      </w:r>
      <w:r w:rsidR="00DF6EC9" w:rsidRPr="005F2796">
        <w:t xml:space="preserve">its </w:t>
      </w:r>
      <w:r w:rsidR="00F47067" w:rsidRPr="005F2796">
        <w:t xml:space="preserve">PBS listing, recognising that there will be differences in the published treatment cost course of ibrutinib to the undisclosed treatment cost course. Furthermore, the RSA arrangement in place may further affect </w:t>
      </w:r>
      <w:bookmarkStart w:id="34" w:name="_GoBack"/>
      <w:bookmarkEnd w:id="34"/>
      <w:r w:rsidR="00F47067" w:rsidRPr="005F2796">
        <w:t>the ibrutinib cost, and thus venetoclax plus rituximab would need to join the same RSA to ensure financial risk to the Australian Government is mitigated.</w:t>
      </w:r>
    </w:p>
    <w:p w:rsidR="00A57383" w:rsidRPr="005F2796" w:rsidRDefault="00A57383" w:rsidP="008D3158">
      <w:pPr>
        <w:pStyle w:val="Heading2"/>
        <w:spacing w:before="120" w:after="160"/>
      </w:pPr>
      <w:bookmarkStart w:id="35" w:name="_Toc413139283"/>
      <w:bookmarkStart w:id="36" w:name="_Toc522042676"/>
      <w:bookmarkStart w:id="37" w:name="_Toc524621102"/>
      <w:r w:rsidRPr="005F2796">
        <w:t>Drug cost/patient/cours</w:t>
      </w:r>
      <w:bookmarkEnd w:id="35"/>
      <w:r w:rsidRPr="005F2796">
        <w:t>e: $</w:t>
      </w:r>
      <w:bookmarkEnd w:id="36"/>
      <w:bookmarkEnd w:id="37"/>
      <w:r w:rsidR="004B34A4">
        <w:rPr>
          <w:noProof/>
          <w:color w:val="000000"/>
          <w:highlight w:val="black"/>
        </w:rPr>
        <w:t>'''''''''''''</w:t>
      </w:r>
      <w:r w:rsidR="009E7C7F" w:rsidRPr="005F2796">
        <w:t xml:space="preserve"> (published price)</w:t>
      </w:r>
    </w:p>
    <w:p w:rsidR="00A57383" w:rsidRPr="005F2796" w:rsidRDefault="00A57383" w:rsidP="00F47067">
      <w:pPr>
        <w:pStyle w:val="ListParagraph"/>
        <w:numPr>
          <w:ilvl w:val="1"/>
          <w:numId w:val="2"/>
        </w:numPr>
        <w:spacing w:after="160"/>
      </w:pPr>
      <w:r w:rsidRPr="005F2796">
        <w:t>Based on the cost-minimisation analysis presented in the submission (adjusted for disease progression using the progression-free survival curve for the ibrutinib arm of the RESONATE trial), the cost per patient per course for venetoclax plus rituximab is $</w:t>
      </w:r>
      <w:r w:rsidR="004B34A4">
        <w:rPr>
          <w:noProof/>
          <w:color w:val="000000"/>
          <w:highlight w:val="black"/>
        </w:rPr>
        <w:t>''''''''''''''</w:t>
      </w:r>
      <w:r w:rsidRPr="005F2796">
        <w:t>. The calculation includes one venetoclax starting pack (requested DPMQ of $</w:t>
      </w:r>
      <w:r w:rsidR="004B34A4">
        <w:rPr>
          <w:noProof/>
          <w:color w:val="000000"/>
          <w:highlight w:val="black"/>
        </w:rPr>
        <w:t>''''''''''''''''</w:t>
      </w:r>
      <w:r w:rsidRPr="005F2796">
        <w:t>), 20.78 venetoclax continuing packs (requested DPMQ of $</w:t>
      </w:r>
      <w:r w:rsidR="004B34A4">
        <w:rPr>
          <w:noProof/>
          <w:color w:val="000000"/>
          <w:highlight w:val="black"/>
        </w:rPr>
        <w:t>'''''''''''''''''</w:t>
      </w:r>
      <w:r w:rsidRPr="005F2796">
        <w:t>), rituximab drug costs of $</w:t>
      </w:r>
      <w:r w:rsidR="004B34A4">
        <w:rPr>
          <w:noProof/>
          <w:color w:val="000000"/>
          <w:highlight w:val="black"/>
        </w:rPr>
        <w:t>'''''''''''''''''</w:t>
      </w:r>
      <w:r w:rsidRPr="005F2796">
        <w:t>, rituximab administration costs of $</w:t>
      </w:r>
      <w:r w:rsidR="004B34A4">
        <w:rPr>
          <w:noProof/>
          <w:color w:val="000000"/>
          <w:highlight w:val="black"/>
        </w:rPr>
        <w:t>'''''''''''''</w:t>
      </w:r>
      <w:r w:rsidRPr="005F2796">
        <w:t>, and tumour lysis syndrome prophylaxis costs of $</w:t>
      </w:r>
      <w:r w:rsidR="004B34A4">
        <w:rPr>
          <w:noProof/>
          <w:color w:val="000000"/>
          <w:highlight w:val="black"/>
        </w:rPr>
        <w:t>'''''''''''''''''</w:t>
      </w:r>
      <w:r w:rsidRPr="005F2796">
        <w:t xml:space="preserve">, and assumes a maximum </w:t>
      </w:r>
      <w:r w:rsidRPr="005F2796">
        <w:lastRenderedPageBreak/>
        <w:t>treatment duration of 25 months.</w:t>
      </w:r>
      <w:r w:rsidR="00F47067" w:rsidRPr="005F2796">
        <w:t xml:space="preserve"> Given the uncertainty of non-inferior safety of </w:t>
      </w:r>
      <w:r w:rsidR="00F32114" w:rsidRPr="005F2796">
        <w:t>venetoclax</w:t>
      </w:r>
      <w:r w:rsidR="00DF6EC9" w:rsidRPr="005F2796">
        <w:t xml:space="preserve"> plus rituximab</w:t>
      </w:r>
      <w:r w:rsidR="00F47067" w:rsidRPr="005F2796">
        <w:t xml:space="preserve"> versus ibrutinib, </w:t>
      </w:r>
      <w:r w:rsidR="00D73F5D" w:rsidRPr="005F2796">
        <w:t xml:space="preserve">the ESC advised that </w:t>
      </w:r>
      <w:r w:rsidR="00F47067" w:rsidRPr="005F2796">
        <w:t xml:space="preserve">the cost-minimisation </w:t>
      </w:r>
      <w:r w:rsidR="00D73F5D" w:rsidRPr="005F2796">
        <w:t xml:space="preserve">be adjusted </w:t>
      </w:r>
      <w:r w:rsidR="00F47067" w:rsidRPr="005F2796">
        <w:t>to incorporate higher adverse event treatment costs.</w:t>
      </w:r>
    </w:p>
    <w:p w:rsidR="00F47067" w:rsidRPr="005F2796" w:rsidRDefault="00A57383" w:rsidP="009205B5">
      <w:pPr>
        <w:pStyle w:val="ListParagraph"/>
        <w:numPr>
          <w:ilvl w:val="1"/>
          <w:numId w:val="2"/>
        </w:numPr>
        <w:spacing w:after="160"/>
        <w:ind w:left="578" w:hanging="578"/>
      </w:pPr>
      <w:r w:rsidRPr="005F2796">
        <w:t>Based on the cost-minimisation analysis presented in the submission (adjusted for disease progression using the progression-free survival curve for the ibrutinib arm of the RESONATE trial), the cost per patient per course for ibrutinib is $281,130.54. The calculation includes 32.01 ibrutinib packs (DPMQ $8,782.81), and assumes a maximum treatment duration of 44 months.</w:t>
      </w:r>
      <w:r w:rsidR="00F47067" w:rsidRPr="005F2796">
        <w:t xml:space="preserve"> See above comments regarding appropriate method of cost-minimisation.</w:t>
      </w:r>
    </w:p>
    <w:p w:rsidR="00A57383" w:rsidRPr="005F2796" w:rsidRDefault="00A57383" w:rsidP="000E38D2">
      <w:pPr>
        <w:pStyle w:val="Heading2"/>
        <w:spacing w:before="0" w:after="160"/>
      </w:pPr>
      <w:bookmarkStart w:id="38" w:name="_Toc413139284"/>
      <w:bookmarkStart w:id="39" w:name="_Toc522042677"/>
      <w:bookmarkStart w:id="40" w:name="_Toc524621103"/>
      <w:r w:rsidRPr="005F2796">
        <w:t>Estimated PBS usage &amp; financial implications</w:t>
      </w:r>
      <w:bookmarkEnd w:id="38"/>
      <w:bookmarkEnd w:id="39"/>
      <w:bookmarkEnd w:id="40"/>
    </w:p>
    <w:p w:rsidR="00A57383" w:rsidRPr="005F2796" w:rsidRDefault="00A57383" w:rsidP="000E38D2">
      <w:pPr>
        <w:pStyle w:val="ListParagraph"/>
        <w:numPr>
          <w:ilvl w:val="1"/>
          <w:numId w:val="2"/>
        </w:numPr>
        <w:spacing w:after="160"/>
      </w:pPr>
      <w:r w:rsidRPr="005F2796">
        <w:t xml:space="preserve">This submission </w:t>
      </w:r>
      <w:r w:rsidR="003E4E34" w:rsidRPr="005F2796">
        <w:t>was not</w:t>
      </w:r>
      <w:r w:rsidR="00D73F5D" w:rsidRPr="005F2796">
        <w:t xml:space="preserve"> considered by DUSC.</w:t>
      </w:r>
    </w:p>
    <w:p w:rsidR="00076DB3" w:rsidRPr="005F2796" w:rsidRDefault="00076DB3" w:rsidP="00720BA1">
      <w:pPr>
        <w:pStyle w:val="ListParagraph"/>
        <w:numPr>
          <w:ilvl w:val="1"/>
          <w:numId w:val="2"/>
        </w:numPr>
        <w:spacing w:after="160"/>
      </w:pPr>
      <w:r w:rsidRPr="005F2796">
        <w:t>The</w:t>
      </w:r>
      <w:r w:rsidRPr="005F2796">
        <w:rPr>
          <w:i/>
        </w:rPr>
        <w:t xml:space="preserve"> </w:t>
      </w:r>
      <w:r w:rsidRPr="005F2796">
        <w:t>ESC noted the budget impact of patients using venetoclax plus rituximab following ibrutinib, or ibrutinib following venetoclax plus rituximab was not explored in the submission.</w:t>
      </w:r>
    </w:p>
    <w:p w:rsidR="00A57383" w:rsidRPr="005F2796" w:rsidRDefault="00A57383" w:rsidP="00720BA1">
      <w:pPr>
        <w:pStyle w:val="ListParagraph"/>
        <w:numPr>
          <w:ilvl w:val="1"/>
          <w:numId w:val="2"/>
        </w:numPr>
        <w:spacing w:after="160"/>
      </w:pPr>
      <w:r w:rsidRPr="005F2796">
        <w:t xml:space="preserve">The submission used an epidemiological approach to estimate the utilisation and financial </w:t>
      </w:r>
      <w:r w:rsidR="008D2A2F" w:rsidRPr="005F2796">
        <w:t>implications</w:t>
      </w:r>
      <w:r w:rsidRPr="005F2796">
        <w:t xml:space="preserve"> associated with the PBS listing of venetoclax plus rituximab</w:t>
      </w:r>
      <w:r w:rsidR="003F1C17" w:rsidRPr="005F2796">
        <w:t xml:space="preserve">, due to limited available PBS dispensing data for ibrutinib. </w:t>
      </w:r>
      <w:r w:rsidRPr="005F2796">
        <w:t>Estimates presented in the submission were based on published prices.</w:t>
      </w:r>
    </w:p>
    <w:p w:rsidR="00A57383" w:rsidRPr="005F2796" w:rsidRDefault="00A57383" w:rsidP="000E38D2">
      <w:pPr>
        <w:pStyle w:val="ListParagraph"/>
        <w:numPr>
          <w:ilvl w:val="1"/>
          <w:numId w:val="2"/>
        </w:numPr>
        <w:spacing w:after="160"/>
      </w:pPr>
      <w:r w:rsidRPr="005F2796">
        <w:t xml:space="preserve">The </w:t>
      </w:r>
      <w:r w:rsidR="00A9323D" w:rsidRPr="005F2796">
        <w:t>estimated patient numbers</w:t>
      </w:r>
      <w:r w:rsidRPr="005F2796">
        <w:t xml:space="preserve"> were informed by the results of two clinician surveys conducted by the sponsor. An initial survey was conducted in July 2016 to inform the estimates for the venetoclax monotherapy submission. An additional survey of nine Australian consultants specialising in the treatment of CLL was conducted between April and June 2018.</w:t>
      </w:r>
    </w:p>
    <w:p w:rsidR="00A57383" w:rsidRPr="005F2796" w:rsidRDefault="00A57383" w:rsidP="000E38D2">
      <w:pPr>
        <w:pStyle w:val="ListParagraph"/>
        <w:numPr>
          <w:ilvl w:val="1"/>
          <w:numId w:val="2"/>
        </w:numPr>
        <w:spacing w:after="160"/>
      </w:pPr>
      <w:r w:rsidRPr="005F2796">
        <w:t>Expected medicine utilisation was adjusted by applying the time-on-treatment curve for the ibrutinib arm of the RESONATE trial to the recommended treatment courses for venetoclax plus rituximab, and ibrutinib. The submission stated that the time-on-treatment curve was chosen (rather than the projected progression-free survival curve which was used in the cost-minimisation analysis) as it accounts for treatment discontinuations, and is mor</w:t>
      </w:r>
      <w:r w:rsidR="00D73F5D" w:rsidRPr="005F2796">
        <w:t>e reflective of real world use.</w:t>
      </w:r>
    </w:p>
    <w:p w:rsidR="008D3158" w:rsidRPr="005F2796" w:rsidRDefault="00A57383" w:rsidP="00720BA1">
      <w:pPr>
        <w:pStyle w:val="ListParagraph"/>
        <w:numPr>
          <w:ilvl w:val="1"/>
          <w:numId w:val="2"/>
        </w:numPr>
        <w:spacing w:after="160"/>
      </w:pPr>
      <w:r w:rsidRPr="005F2796">
        <w:t xml:space="preserve">In the budget impact analysis, ibrutinib treatment was assumed to continue for up to </w:t>
      </w:r>
      <w:r w:rsidR="00DF6EC9" w:rsidRPr="005F2796">
        <w:t xml:space="preserve">72 months </w:t>
      </w:r>
      <w:r w:rsidRPr="005F2796">
        <w:t>(compared to 44 months in the cost-minimisation analysis). The recommended treatment course for venetoclax was based on the indication proposed in the draft product information. There is potential for venetoclax to be used for longer than 24 months if longer-term efficacy data does not demonstrate durability of treatment effect in the post-treatment period.</w:t>
      </w:r>
      <w:r w:rsidR="008D3158" w:rsidRPr="005F2796">
        <w:t xml:space="preserve"> </w:t>
      </w:r>
      <w:r w:rsidR="008D3158" w:rsidRPr="00F479FE">
        <w:t>The longer treatment duration of ibrutinib used in the budget impact analysis is likely to have overestimated the cost offsets</w:t>
      </w:r>
      <w:r w:rsidR="00D73F5D" w:rsidRPr="00F479FE">
        <w:t xml:space="preserve"> for venetoclax</w:t>
      </w:r>
      <w:r w:rsidR="008D3158" w:rsidRPr="005F2796">
        <w:t>.</w:t>
      </w:r>
    </w:p>
    <w:p w:rsidR="00A57383" w:rsidRPr="005F2796" w:rsidRDefault="00A57383" w:rsidP="00720BA1">
      <w:pPr>
        <w:pStyle w:val="ListParagraph"/>
        <w:numPr>
          <w:ilvl w:val="1"/>
          <w:numId w:val="2"/>
        </w:numPr>
        <w:spacing w:after="160"/>
      </w:pPr>
      <w:r w:rsidRPr="005F2796">
        <w:t xml:space="preserve">Table </w:t>
      </w:r>
      <w:r w:rsidR="007A7E3E" w:rsidRPr="005F2796">
        <w:t>9</w:t>
      </w:r>
      <w:r w:rsidR="009E45B6" w:rsidRPr="005F2796">
        <w:t xml:space="preserve"> </w:t>
      </w:r>
      <w:r w:rsidRPr="005F2796">
        <w:t xml:space="preserve">presents the estimated utilisation and financial </w:t>
      </w:r>
      <w:r w:rsidR="008D2A2F" w:rsidRPr="005F2796">
        <w:t>implications</w:t>
      </w:r>
      <w:r w:rsidRPr="005F2796">
        <w:t xml:space="preserve"> of venetoclax plus rituximab over the first six years of listing.</w:t>
      </w:r>
    </w:p>
    <w:p w:rsidR="00A57383" w:rsidRPr="005F2796" w:rsidRDefault="00A57383" w:rsidP="00A57383">
      <w:pPr>
        <w:pStyle w:val="TableHeading0"/>
      </w:pPr>
      <w:r w:rsidRPr="005F2796">
        <w:lastRenderedPageBreak/>
        <w:t xml:space="preserve">Table </w:t>
      </w:r>
      <w:r w:rsidR="007A7E3E" w:rsidRPr="005F2796">
        <w:t>9</w:t>
      </w:r>
      <w:r w:rsidRPr="005F2796">
        <w:t>: Estimated financial implications for the health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03"/>
        <w:gridCol w:w="1101"/>
        <w:gridCol w:w="1102"/>
        <w:gridCol w:w="1102"/>
        <w:gridCol w:w="1102"/>
        <w:gridCol w:w="1102"/>
        <w:gridCol w:w="1104"/>
      </w:tblGrid>
      <w:tr w:rsidR="00A57383" w:rsidRPr="005F2796" w:rsidTr="00EF6959">
        <w:trPr>
          <w:tblHeader/>
        </w:trPr>
        <w:tc>
          <w:tcPr>
            <w:tcW w:w="1333" w:type="pct"/>
            <w:tcBorders>
              <w:left w:val="single" w:sz="4" w:space="0" w:color="auto"/>
              <w:bottom w:val="single" w:sz="4" w:space="0" w:color="auto"/>
            </w:tcBorders>
            <w:shd w:val="clear" w:color="auto" w:fill="auto"/>
            <w:vAlign w:val="bottom"/>
            <w:hideMark/>
          </w:tcPr>
          <w:p w:rsidR="00A57383" w:rsidRPr="005F2796" w:rsidRDefault="00A57383" w:rsidP="00EF6959">
            <w:pPr>
              <w:rPr>
                <w:rFonts w:ascii="Arial Narrow" w:eastAsia="Times New Roman" w:hAnsi="Arial Narrow" w:cs="Arial"/>
                <w:snapToGrid w:val="0"/>
                <w:sz w:val="20"/>
                <w:szCs w:val="20"/>
                <w:lang w:eastAsia="en-AU"/>
              </w:rPr>
            </w:pPr>
          </w:p>
        </w:tc>
        <w:tc>
          <w:tcPr>
            <w:tcW w:w="611" w:type="pct"/>
            <w:tcBorders>
              <w:bottom w:val="single" w:sz="4" w:space="0" w:color="auto"/>
            </w:tcBorders>
            <w:shd w:val="clear" w:color="auto" w:fill="auto"/>
            <w:vAlign w:val="bottom"/>
            <w:hideMark/>
          </w:tcPr>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Year 1</w:t>
            </w:r>
          </w:p>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(2019)</w:t>
            </w:r>
          </w:p>
        </w:tc>
        <w:tc>
          <w:tcPr>
            <w:tcW w:w="611" w:type="pct"/>
            <w:tcBorders>
              <w:bottom w:val="single" w:sz="4" w:space="0" w:color="auto"/>
            </w:tcBorders>
            <w:shd w:val="clear" w:color="auto" w:fill="auto"/>
            <w:vAlign w:val="bottom"/>
            <w:hideMark/>
          </w:tcPr>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Year 2</w:t>
            </w:r>
          </w:p>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(2020)</w:t>
            </w:r>
          </w:p>
        </w:tc>
        <w:tc>
          <w:tcPr>
            <w:tcW w:w="611" w:type="pct"/>
            <w:tcBorders>
              <w:bottom w:val="single" w:sz="4" w:space="0" w:color="auto"/>
            </w:tcBorders>
            <w:shd w:val="clear" w:color="auto" w:fill="auto"/>
            <w:vAlign w:val="bottom"/>
            <w:hideMark/>
          </w:tcPr>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Year 3</w:t>
            </w:r>
            <w:r w:rsidRPr="005F2796">
              <w:rPr>
                <w:rFonts w:ascii="Arial Narrow" w:eastAsia="Times New Roman" w:hAnsi="Arial Narrow" w:cs="Arial"/>
                <w:b/>
                <w:bCs/>
                <w:snapToGrid w:val="0"/>
                <w:sz w:val="20"/>
                <w:szCs w:val="20"/>
                <w:lang w:eastAsia="en-AU"/>
              </w:rPr>
              <w:br/>
              <w:t>(2021)</w:t>
            </w:r>
          </w:p>
        </w:tc>
        <w:tc>
          <w:tcPr>
            <w:tcW w:w="611" w:type="pct"/>
            <w:tcBorders>
              <w:bottom w:val="single" w:sz="4" w:space="0" w:color="auto"/>
            </w:tcBorders>
            <w:shd w:val="clear" w:color="auto" w:fill="auto"/>
            <w:vAlign w:val="bottom"/>
            <w:hideMark/>
          </w:tcPr>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Year 4</w:t>
            </w:r>
          </w:p>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(2022)</w:t>
            </w:r>
          </w:p>
        </w:tc>
        <w:tc>
          <w:tcPr>
            <w:tcW w:w="611" w:type="pct"/>
            <w:tcBorders>
              <w:bottom w:val="single" w:sz="4" w:space="0" w:color="auto"/>
              <w:right w:val="single" w:sz="4" w:space="0" w:color="auto"/>
            </w:tcBorders>
            <w:shd w:val="clear" w:color="auto" w:fill="auto"/>
            <w:vAlign w:val="bottom"/>
            <w:hideMark/>
          </w:tcPr>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Year 5</w:t>
            </w:r>
          </w:p>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(2023)</w:t>
            </w:r>
          </w:p>
        </w:tc>
        <w:tc>
          <w:tcPr>
            <w:tcW w:w="612" w:type="pct"/>
            <w:tcBorders>
              <w:bottom w:val="single" w:sz="4" w:space="0" w:color="auto"/>
              <w:right w:val="single" w:sz="4" w:space="0" w:color="auto"/>
            </w:tcBorders>
          </w:tcPr>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Year 6</w:t>
            </w:r>
          </w:p>
          <w:p w:rsidR="00A57383" w:rsidRPr="005F2796" w:rsidRDefault="00A57383" w:rsidP="00EF6959">
            <w:pPr>
              <w:jc w:val="center"/>
              <w:rPr>
                <w:rFonts w:ascii="Arial Narrow" w:eastAsia="Times New Roman" w:hAnsi="Arial Narrow" w:cs="Arial"/>
                <w:b/>
                <w:bCs/>
                <w:snapToGrid w:val="0"/>
                <w:sz w:val="20"/>
                <w:szCs w:val="20"/>
                <w:lang w:eastAsia="en-AU"/>
              </w:rPr>
            </w:pPr>
            <w:r w:rsidRPr="005F2796">
              <w:rPr>
                <w:rFonts w:ascii="Arial Narrow" w:eastAsia="Times New Roman" w:hAnsi="Arial Narrow" w:cs="Arial"/>
                <w:b/>
                <w:bCs/>
                <w:snapToGrid w:val="0"/>
                <w:sz w:val="20"/>
                <w:szCs w:val="20"/>
                <w:lang w:eastAsia="en-AU"/>
              </w:rPr>
              <w:t>(2024)</w:t>
            </w:r>
          </w:p>
        </w:tc>
      </w:tr>
      <w:tr w:rsidR="00A57383" w:rsidRPr="005F2796" w:rsidTr="00EF6959">
        <w:tc>
          <w:tcPr>
            <w:tcW w:w="5000" w:type="pct"/>
            <w:gridSpan w:val="7"/>
            <w:tcBorders>
              <w:left w:val="single" w:sz="4" w:space="0" w:color="auto"/>
              <w:bottom w:val="single" w:sz="4" w:space="0" w:color="auto"/>
              <w:right w:val="single" w:sz="4" w:space="0" w:color="auto"/>
            </w:tcBorders>
            <w:shd w:val="clear" w:color="auto" w:fill="auto"/>
            <w:vAlign w:val="bottom"/>
          </w:tcPr>
          <w:p w:rsidR="00A57383" w:rsidRPr="005F2796" w:rsidRDefault="00A57383" w:rsidP="00EF6959">
            <w:pPr>
              <w:rPr>
                <w:rFonts w:ascii="Arial Narrow" w:eastAsia="Times New Roman" w:hAnsi="Arial Narrow" w:cs="Arial"/>
                <w:b/>
                <w:snapToGrid w:val="0"/>
                <w:sz w:val="20"/>
                <w:szCs w:val="20"/>
              </w:rPr>
            </w:pPr>
            <w:r w:rsidRPr="005F2796">
              <w:rPr>
                <w:rFonts w:ascii="Arial Narrow" w:eastAsia="Times New Roman" w:hAnsi="Arial Narrow" w:cs="Arial"/>
                <w:b/>
                <w:snapToGrid w:val="0"/>
                <w:sz w:val="20"/>
                <w:szCs w:val="20"/>
              </w:rPr>
              <w:t>Incident CLL patients</w:t>
            </w:r>
          </w:p>
        </w:tc>
      </w:tr>
      <w:tr w:rsidR="00A57383" w:rsidRPr="005F2796" w:rsidTr="00EF6959">
        <w:tc>
          <w:tcPr>
            <w:tcW w:w="1333" w:type="pct"/>
            <w:tcBorders>
              <w:left w:val="single" w:sz="4" w:space="0" w:color="auto"/>
              <w:bottom w:val="single" w:sz="4" w:space="0" w:color="auto"/>
            </w:tcBorders>
            <w:shd w:val="clear" w:color="auto" w:fill="auto"/>
            <w:vAlign w:val="bottom"/>
            <w:hideMark/>
          </w:tcPr>
          <w:p w:rsidR="00A57383" w:rsidRPr="005F2796" w:rsidRDefault="00A57383" w:rsidP="00EF6959">
            <w:pPr>
              <w:rPr>
                <w:rFonts w:ascii="Arial Narrow" w:eastAsia="Times New Roman" w:hAnsi="Arial Narrow" w:cs="Arial"/>
                <w:snapToGrid w:val="0"/>
                <w:sz w:val="20"/>
                <w:szCs w:val="20"/>
                <w:lang w:eastAsia="en-AU"/>
              </w:rPr>
            </w:pPr>
            <w:r w:rsidRPr="005F2796">
              <w:rPr>
                <w:rFonts w:ascii="Arial Narrow" w:eastAsia="Times New Roman" w:hAnsi="Arial Narrow" w:cs="Arial"/>
                <w:snapToGrid w:val="0"/>
                <w:sz w:val="20"/>
                <w:szCs w:val="20"/>
                <w:lang w:eastAsia="en-AU"/>
              </w:rPr>
              <w:t>Australian population</w:t>
            </w:r>
          </w:p>
        </w:tc>
        <w:tc>
          <w:tcPr>
            <w:tcW w:w="611" w:type="pct"/>
            <w:shd w:val="clear" w:color="auto" w:fill="auto"/>
            <w:vAlign w:val="center"/>
          </w:tcPr>
          <w:p w:rsidR="00A57383" w:rsidRPr="005F2796" w:rsidRDefault="00A57383" w:rsidP="00EF6959">
            <w:pPr>
              <w:jc w:val="center"/>
              <w:rPr>
                <w:rFonts w:ascii="Arial Narrow" w:eastAsia="Times New Roman" w:hAnsi="Arial Narrow" w:cs="Arial"/>
                <w:snapToGrid w:val="0"/>
                <w:sz w:val="20"/>
                <w:szCs w:val="20"/>
              </w:rPr>
            </w:pPr>
            <w:r w:rsidRPr="005F2796">
              <w:rPr>
                <w:rFonts w:ascii="Arial Narrow" w:eastAsia="Times New Roman" w:hAnsi="Arial Narrow" w:cs="Arial"/>
                <w:snapToGrid w:val="0"/>
                <w:sz w:val="20"/>
                <w:szCs w:val="20"/>
              </w:rPr>
              <w:t>25,619,895</w:t>
            </w:r>
          </w:p>
        </w:tc>
        <w:tc>
          <w:tcPr>
            <w:tcW w:w="611" w:type="pct"/>
            <w:shd w:val="clear" w:color="auto" w:fill="auto"/>
            <w:vAlign w:val="center"/>
          </w:tcPr>
          <w:p w:rsidR="00A57383" w:rsidRPr="005F2796" w:rsidRDefault="00A57383" w:rsidP="00EF6959">
            <w:pPr>
              <w:jc w:val="center"/>
              <w:rPr>
                <w:rFonts w:ascii="Arial Narrow" w:eastAsia="Times New Roman" w:hAnsi="Arial Narrow" w:cs="Arial"/>
                <w:snapToGrid w:val="0"/>
                <w:sz w:val="20"/>
                <w:szCs w:val="20"/>
              </w:rPr>
            </w:pPr>
            <w:r w:rsidRPr="005F2796">
              <w:rPr>
                <w:rFonts w:ascii="Arial Narrow" w:eastAsia="Times New Roman" w:hAnsi="Arial Narrow" w:cs="Arial"/>
                <w:snapToGrid w:val="0"/>
                <w:sz w:val="20"/>
                <w:szCs w:val="20"/>
              </w:rPr>
              <w:t>26,037,356</w:t>
            </w:r>
          </w:p>
        </w:tc>
        <w:tc>
          <w:tcPr>
            <w:tcW w:w="611" w:type="pct"/>
            <w:shd w:val="clear" w:color="auto" w:fill="auto"/>
            <w:vAlign w:val="center"/>
          </w:tcPr>
          <w:p w:rsidR="00A57383" w:rsidRPr="005F2796" w:rsidRDefault="00A57383" w:rsidP="00EF6959">
            <w:pPr>
              <w:jc w:val="center"/>
              <w:rPr>
                <w:rFonts w:ascii="Arial Narrow" w:eastAsia="Times New Roman" w:hAnsi="Arial Narrow" w:cs="Arial"/>
                <w:snapToGrid w:val="0"/>
                <w:sz w:val="20"/>
                <w:szCs w:val="20"/>
              </w:rPr>
            </w:pPr>
            <w:r w:rsidRPr="005F2796">
              <w:rPr>
                <w:rFonts w:ascii="Arial Narrow" w:eastAsia="Times New Roman" w:hAnsi="Arial Narrow" w:cs="Arial"/>
                <w:snapToGrid w:val="0"/>
                <w:sz w:val="20"/>
                <w:szCs w:val="20"/>
              </w:rPr>
              <w:t>26,452,147</w:t>
            </w:r>
          </w:p>
        </w:tc>
        <w:tc>
          <w:tcPr>
            <w:tcW w:w="611" w:type="pct"/>
            <w:shd w:val="clear" w:color="auto" w:fill="auto"/>
            <w:vAlign w:val="center"/>
          </w:tcPr>
          <w:p w:rsidR="00A57383" w:rsidRPr="005F2796" w:rsidRDefault="00A57383" w:rsidP="00EF6959">
            <w:pPr>
              <w:jc w:val="center"/>
              <w:rPr>
                <w:rFonts w:ascii="Arial Narrow" w:eastAsia="Times New Roman" w:hAnsi="Arial Narrow" w:cs="Arial"/>
                <w:snapToGrid w:val="0"/>
                <w:sz w:val="20"/>
                <w:szCs w:val="20"/>
              </w:rPr>
            </w:pPr>
            <w:r w:rsidRPr="005F2796">
              <w:rPr>
                <w:rFonts w:ascii="Arial Narrow" w:eastAsia="Times New Roman" w:hAnsi="Arial Narrow" w:cs="Arial"/>
                <w:snapToGrid w:val="0"/>
                <w:sz w:val="20"/>
                <w:szCs w:val="20"/>
              </w:rPr>
              <w:t>26,866,209</w:t>
            </w:r>
          </w:p>
        </w:tc>
        <w:tc>
          <w:tcPr>
            <w:tcW w:w="611" w:type="pct"/>
            <w:tcBorders>
              <w:right w:val="single" w:sz="4" w:space="0" w:color="auto"/>
            </w:tcBorders>
            <w:shd w:val="clear" w:color="auto" w:fill="auto"/>
            <w:vAlign w:val="center"/>
          </w:tcPr>
          <w:p w:rsidR="00A57383" w:rsidRPr="005F2796" w:rsidRDefault="00A57383" w:rsidP="00EF6959">
            <w:pPr>
              <w:jc w:val="center"/>
              <w:rPr>
                <w:rFonts w:ascii="Arial Narrow" w:eastAsia="Times New Roman" w:hAnsi="Arial Narrow" w:cs="Arial"/>
                <w:snapToGrid w:val="0"/>
                <w:sz w:val="20"/>
                <w:szCs w:val="20"/>
              </w:rPr>
            </w:pPr>
            <w:r w:rsidRPr="005F2796">
              <w:rPr>
                <w:rFonts w:ascii="Arial Narrow" w:eastAsia="Times New Roman" w:hAnsi="Arial Narrow" w:cs="Arial"/>
                <w:snapToGrid w:val="0"/>
                <w:sz w:val="20"/>
                <w:szCs w:val="20"/>
              </w:rPr>
              <w:t>27,279,046</w:t>
            </w:r>
          </w:p>
        </w:tc>
        <w:tc>
          <w:tcPr>
            <w:tcW w:w="612" w:type="pct"/>
            <w:tcBorders>
              <w:right w:val="single" w:sz="4" w:space="0" w:color="auto"/>
            </w:tcBorders>
            <w:vAlign w:val="center"/>
          </w:tcPr>
          <w:p w:rsidR="00A57383" w:rsidRPr="005F2796" w:rsidRDefault="00A57383" w:rsidP="00EF6959">
            <w:pPr>
              <w:jc w:val="center"/>
              <w:rPr>
                <w:rFonts w:ascii="Arial Narrow" w:eastAsia="Times New Roman" w:hAnsi="Arial Narrow" w:cs="Arial"/>
                <w:snapToGrid w:val="0"/>
                <w:sz w:val="20"/>
                <w:szCs w:val="20"/>
              </w:rPr>
            </w:pPr>
            <w:r w:rsidRPr="005F2796">
              <w:rPr>
                <w:rFonts w:ascii="Arial Narrow" w:eastAsia="Times New Roman" w:hAnsi="Arial Narrow" w:cs="Arial"/>
                <w:snapToGrid w:val="0"/>
                <w:sz w:val="20"/>
                <w:szCs w:val="20"/>
              </w:rPr>
              <w:t>27,690,209</w:t>
            </w:r>
          </w:p>
        </w:tc>
      </w:tr>
      <w:tr w:rsidR="00A57383" w:rsidRPr="005F2796" w:rsidTr="00EF6959">
        <w:tc>
          <w:tcPr>
            <w:tcW w:w="1333" w:type="pct"/>
            <w:tcBorders>
              <w:left w:val="single" w:sz="4" w:space="0" w:color="auto"/>
              <w:bottom w:val="single" w:sz="4" w:space="0" w:color="auto"/>
            </w:tcBorders>
            <w:shd w:val="clear" w:color="auto" w:fill="auto"/>
            <w:noWrap/>
            <w:vAlign w:val="bottom"/>
          </w:tcPr>
          <w:p w:rsidR="00A57383" w:rsidRPr="005F2796" w:rsidRDefault="00A57383" w:rsidP="00EF6959">
            <w:pPr>
              <w:rPr>
                <w:rFonts w:ascii="Arial Narrow" w:eastAsia="Times New Roman" w:hAnsi="Arial Narrow" w:cs="Arial"/>
                <w:snapToGrid w:val="0"/>
                <w:sz w:val="20"/>
                <w:szCs w:val="20"/>
                <w:lang w:eastAsia="en-AU"/>
              </w:rPr>
            </w:pPr>
            <w:r w:rsidRPr="005F2796">
              <w:rPr>
                <w:rFonts w:ascii="Arial Narrow" w:eastAsia="Times New Roman" w:hAnsi="Arial Narrow" w:cs="Arial"/>
                <w:snapToGrid w:val="0"/>
                <w:sz w:val="20"/>
                <w:szCs w:val="20"/>
                <w:lang w:eastAsia="en-AU"/>
              </w:rPr>
              <w:t>Incidence of CLL (0.0054%)</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eastAsia="Times New Roman" w:hAnsi="Arial Narrow" w:cs="Arial"/>
                <w:iCs/>
                <w:snapToGrid w:val="0"/>
                <w:sz w:val="20"/>
                <w:szCs w:val="20"/>
                <w:lang w:eastAsia="en-AU"/>
              </w:rPr>
            </w:pPr>
            <w:r w:rsidRPr="005F2796">
              <w:rPr>
                <w:rFonts w:ascii="Arial Narrow" w:hAnsi="Arial Narrow"/>
                <w:sz w:val="20"/>
                <w:szCs w:val="20"/>
              </w:rPr>
              <w:t>1383</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eastAsia="Times New Roman" w:hAnsi="Arial Narrow" w:cs="Arial"/>
                <w:iCs/>
                <w:snapToGrid w:val="0"/>
                <w:sz w:val="20"/>
                <w:szCs w:val="20"/>
                <w:lang w:eastAsia="en-AU"/>
              </w:rPr>
            </w:pPr>
            <w:r w:rsidRPr="005F2796">
              <w:rPr>
                <w:rFonts w:ascii="Arial Narrow" w:hAnsi="Arial Narrow"/>
                <w:sz w:val="20"/>
                <w:szCs w:val="20"/>
              </w:rPr>
              <w:t>1406</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eastAsia="Times New Roman" w:hAnsi="Arial Narrow" w:cs="Arial"/>
                <w:iCs/>
                <w:snapToGrid w:val="0"/>
                <w:sz w:val="20"/>
                <w:szCs w:val="20"/>
                <w:lang w:eastAsia="en-AU"/>
              </w:rPr>
            </w:pPr>
            <w:r w:rsidRPr="005F2796">
              <w:rPr>
                <w:rFonts w:ascii="Arial Narrow" w:hAnsi="Arial Narrow"/>
                <w:sz w:val="20"/>
                <w:szCs w:val="20"/>
              </w:rPr>
              <w:t>1428</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eastAsia="Times New Roman" w:hAnsi="Arial Narrow" w:cs="Arial"/>
                <w:iCs/>
                <w:snapToGrid w:val="0"/>
                <w:sz w:val="20"/>
                <w:szCs w:val="20"/>
                <w:lang w:eastAsia="en-AU"/>
              </w:rPr>
            </w:pPr>
            <w:r w:rsidRPr="005F2796">
              <w:rPr>
                <w:rFonts w:ascii="Arial Narrow" w:hAnsi="Arial Narrow"/>
                <w:sz w:val="20"/>
                <w:szCs w:val="20"/>
              </w:rPr>
              <w:t>1451</w:t>
            </w:r>
          </w:p>
        </w:tc>
        <w:tc>
          <w:tcPr>
            <w:tcW w:w="611" w:type="pct"/>
            <w:tcBorders>
              <w:bottom w:val="single" w:sz="4" w:space="0" w:color="auto"/>
              <w:right w:val="single" w:sz="4" w:space="0" w:color="auto"/>
            </w:tcBorders>
            <w:shd w:val="clear" w:color="auto" w:fill="auto"/>
            <w:vAlign w:val="center"/>
          </w:tcPr>
          <w:p w:rsidR="00A57383" w:rsidRPr="005F2796" w:rsidRDefault="00A57383" w:rsidP="00EF6959">
            <w:pPr>
              <w:jc w:val="center"/>
              <w:rPr>
                <w:rFonts w:ascii="Arial Narrow" w:eastAsia="Times New Roman" w:hAnsi="Arial Narrow" w:cs="Arial"/>
                <w:iCs/>
                <w:snapToGrid w:val="0"/>
                <w:sz w:val="20"/>
                <w:szCs w:val="20"/>
                <w:lang w:eastAsia="en-AU"/>
              </w:rPr>
            </w:pPr>
            <w:r w:rsidRPr="005F2796">
              <w:rPr>
                <w:rFonts w:ascii="Arial Narrow" w:hAnsi="Arial Narrow"/>
                <w:sz w:val="20"/>
                <w:szCs w:val="20"/>
              </w:rPr>
              <w:t>1473</w:t>
            </w:r>
          </w:p>
        </w:tc>
        <w:tc>
          <w:tcPr>
            <w:tcW w:w="612" w:type="pct"/>
            <w:tcBorders>
              <w:bottom w:val="single" w:sz="4" w:space="0" w:color="auto"/>
              <w:right w:val="single" w:sz="4" w:space="0" w:color="auto"/>
            </w:tcBorders>
            <w:vAlign w:val="center"/>
          </w:tcPr>
          <w:p w:rsidR="00A57383" w:rsidRPr="005F2796" w:rsidRDefault="00A57383" w:rsidP="00EF6959">
            <w:pPr>
              <w:jc w:val="center"/>
              <w:rPr>
                <w:rFonts w:ascii="Arial Narrow" w:eastAsia="Times New Roman" w:hAnsi="Arial Narrow" w:cs="Arial"/>
                <w:snapToGrid w:val="0"/>
                <w:sz w:val="20"/>
                <w:szCs w:val="20"/>
              </w:rPr>
            </w:pPr>
            <w:r w:rsidRPr="005F2796">
              <w:rPr>
                <w:rFonts w:ascii="Arial Narrow" w:hAnsi="Arial Narrow"/>
                <w:sz w:val="20"/>
                <w:szCs w:val="20"/>
              </w:rPr>
              <w:t>1495</w:t>
            </w:r>
          </w:p>
        </w:tc>
      </w:tr>
      <w:tr w:rsidR="00A57383" w:rsidRPr="005F2796" w:rsidTr="00EF6959">
        <w:tc>
          <w:tcPr>
            <w:tcW w:w="1333" w:type="pct"/>
            <w:tcBorders>
              <w:top w:val="single" w:sz="4" w:space="0" w:color="auto"/>
              <w:left w:val="single" w:sz="4" w:space="0" w:color="auto"/>
              <w:bottom w:val="single" w:sz="4" w:space="0" w:color="auto"/>
            </w:tcBorders>
            <w:shd w:val="clear" w:color="auto" w:fill="auto"/>
            <w:noWrap/>
            <w:vAlign w:val="bottom"/>
          </w:tcPr>
          <w:p w:rsidR="00A57383" w:rsidRPr="005F2796" w:rsidRDefault="00A57383" w:rsidP="00EF6959">
            <w:pPr>
              <w:rPr>
                <w:rFonts w:ascii="Arial Narrow" w:eastAsia="Times New Roman" w:hAnsi="Arial Narrow" w:cs="Arial"/>
                <w:snapToGrid w:val="0"/>
                <w:sz w:val="20"/>
                <w:szCs w:val="20"/>
                <w:lang w:eastAsia="en-AU"/>
              </w:rPr>
            </w:pPr>
            <w:r w:rsidRPr="005F2796">
              <w:rPr>
                <w:rFonts w:ascii="Arial Narrow" w:eastAsia="Times New Roman" w:hAnsi="Arial Narrow" w:cs="Arial"/>
                <w:snapToGrid w:val="0"/>
                <w:sz w:val="20"/>
                <w:szCs w:val="20"/>
                <w:lang w:eastAsia="en-AU"/>
              </w:rPr>
              <w:t>Total treated patients</w:t>
            </w:r>
            <w:r w:rsidR="00696EFB" w:rsidRPr="005F2796">
              <w:rPr>
                <w:rFonts w:ascii="Arial Narrow" w:eastAsia="Times New Roman" w:hAnsi="Arial Narrow" w:cs="Arial"/>
                <w:snapToGrid w:val="0"/>
                <w:sz w:val="20"/>
                <w:szCs w:val="20"/>
                <w:lang w:eastAsia="en-AU"/>
              </w:rPr>
              <w:t xml:space="preserve"> (first-line)</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right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2" w:type="pct"/>
            <w:tcBorders>
              <w:top w:val="single" w:sz="4" w:space="0" w:color="auto"/>
              <w:bottom w:val="single" w:sz="4" w:space="0" w:color="auto"/>
              <w:right w:val="single" w:sz="4" w:space="0" w:color="auto"/>
            </w:tcBorders>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r>
      <w:tr w:rsidR="00A57383" w:rsidRPr="005F2796" w:rsidTr="00EF6959">
        <w:tc>
          <w:tcPr>
            <w:tcW w:w="1333" w:type="pct"/>
            <w:tcBorders>
              <w:top w:val="single" w:sz="4" w:space="0" w:color="auto"/>
              <w:left w:val="single" w:sz="4" w:space="0" w:color="auto"/>
              <w:bottom w:val="single" w:sz="4" w:space="0" w:color="auto"/>
            </w:tcBorders>
            <w:shd w:val="clear" w:color="auto" w:fill="auto"/>
            <w:noWrap/>
          </w:tcPr>
          <w:p w:rsidR="00A57383" w:rsidRPr="005F2796" w:rsidRDefault="00A57383" w:rsidP="00696EFB">
            <w:pPr>
              <w:jc w:val="left"/>
              <w:rPr>
                <w:rFonts w:ascii="Arial Narrow" w:eastAsia="Times New Roman" w:hAnsi="Arial Narrow" w:cs="Arial"/>
                <w:snapToGrid w:val="0"/>
                <w:sz w:val="20"/>
                <w:szCs w:val="20"/>
                <w:lang w:eastAsia="en-AU"/>
              </w:rPr>
            </w:pPr>
            <w:r w:rsidRPr="005F2796">
              <w:rPr>
                <w:rFonts w:ascii="Arial Narrow" w:hAnsi="Arial Narrow"/>
                <w:sz w:val="20"/>
                <w:szCs w:val="20"/>
              </w:rPr>
              <w:t>Total eligible patients</w:t>
            </w:r>
            <w:r w:rsidR="00696EFB" w:rsidRPr="005F2796">
              <w:rPr>
                <w:rFonts w:ascii="Arial Narrow" w:hAnsi="Arial Narrow"/>
                <w:sz w:val="20"/>
                <w:szCs w:val="20"/>
              </w:rPr>
              <w:t xml:space="preserve"> (R/R </w:t>
            </w:r>
            <w:r w:rsidR="00A67BCB" w:rsidRPr="005F2796">
              <w:rPr>
                <w:rFonts w:ascii="Arial Narrow" w:hAnsi="Arial Narrow"/>
                <w:sz w:val="20"/>
                <w:szCs w:val="20"/>
              </w:rPr>
              <w:t xml:space="preserve">&amp; </w:t>
            </w:r>
            <w:r w:rsidR="00696EFB" w:rsidRPr="005F2796">
              <w:rPr>
                <w:rFonts w:ascii="Arial Narrow" w:hAnsi="Arial Narrow"/>
                <w:sz w:val="20"/>
                <w:szCs w:val="20"/>
              </w:rPr>
              <w:t>not suitable for purine analogue</w:t>
            </w:r>
            <w:r w:rsidR="00A67BCB" w:rsidRPr="005F2796">
              <w:rPr>
                <w:rFonts w:ascii="Arial Narrow" w:hAnsi="Arial Narrow"/>
                <w:sz w:val="20"/>
                <w:szCs w:val="20"/>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right w:val="single" w:sz="4" w:space="0" w:color="auto"/>
            </w:tcBorders>
            <w:shd w:val="clear" w:color="auto" w:fill="auto"/>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c>
          <w:tcPr>
            <w:tcW w:w="612" w:type="pct"/>
            <w:tcBorders>
              <w:top w:val="single" w:sz="4" w:space="0" w:color="auto"/>
              <w:bottom w:val="single" w:sz="4" w:space="0" w:color="auto"/>
              <w:right w:val="single" w:sz="4" w:space="0" w:color="auto"/>
            </w:tcBorders>
            <w:vAlign w:val="center"/>
          </w:tcPr>
          <w:p w:rsidR="00A57383" w:rsidRPr="004B34A4" w:rsidRDefault="004B34A4" w:rsidP="00EF6959">
            <w:pPr>
              <w:jc w:val="center"/>
              <w:rPr>
                <w:rFonts w:ascii="Arial Narrow" w:eastAsia="Times New Roman" w:hAnsi="Arial Narrow" w:cs="Arial"/>
                <w:snapToGrid w:val="0"/>
                <w:sz w:val="20"/>
                <w:szCs w:val="20"/>
                <w:highlight w:val="black"/>
              </w:rPr>
            </w:pPr>
            <w:r>
              <w:rPr>
                <w:rFonts w:ascii="Arial Narrow" w:hAnsi="Arial Narrow"/>
                <w:noProof/>
                <w:color w:val="000000"/>
                <w:sz w:val="20"/>
                <w:szCs w:val="20"/>
                <w:highlight w:val="black"/>
              </w:rPr>
              <w:t>''''''''''</w:t>
            </w:r>
          </w:p>
        </w:tc>
      </w:tr>
      <w:tr w:rsidR="00A57383" w:rsidRPr="005F2796" w:rsidTr="00EF6959">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rsidR="00A57383" w:rsidRPr="005F2796" w:rsidRDefault="00A57383" w:rsidP="00EF6959">
            <w:pPr>
              <w:rPr>
                <w:rFonts w:ascii="Arial Narrow" w:hAnsi="Arial Narrow"/>
                <w:b/>
                <w:sz w:val="20"/>
                <w:szCs w:val="20"/>
              </w:rPr>
            </w:pPr>
            <w:r w:rsidRPr="005F2796">
              <w:rPr>
                <w:rFonts w:ascii="Arial Narrow" w:hAnsi="Arial Narrow"/>
                <w:b/>
                <w:sz w:val="20"/>
                <w:szCs w:val="20"/>
              </w:rPr>
              <w:t>Number of packs for VEN + RIT</w:t>
            </w:r>
          </w:p>
        </w:tc>
      </w:tr>
      <w:tr w:rsidR="00A57383" w:rsidRPr="005F2796" w:rsidTr="00EF6959">
        <w:tc>
          <w:tcPr>
            <w:tcW w:w="1333" w:type="pct"/>
            <w:tcBorders>
              <w:top w:val="single" w:sz="4" w:space="0" w:color="auto"/>
              <w:left w:val="single" w:sz="4" w:space="0" w:color="auto"/>
              <w:bottom w:val="single" w:sz="4" w:space="0" w:color="auto"/>
            </w:tcBorders>
            <w:shd w:val="clear" w:color="auto" w:fill="auto"/>
            <w:noWrap/>
          </w:tcPr>
          <w:p w:rsidR="00A57383" w:rsidRPr="005F2796" w:rsidRDefault="00A57383" w:rsidP="00EF6959">
            <w:pPr>
              <w:jc w:val="left"/>
              <w:rPr>
                <w:rFonts w:ascii="Arial Narrow" w:hAnsi="Arial Narrow"/>
                <w:sz w:val="20"/>
                <w:szCs w:val="20"/>
              </w:rPr>
            </w:pPr>
            <w:r w:rsidRPr="005F2796">
              <w:rPr>
                <w:rFonts w:ascii="Arial Narrow" w:hAnsi="Arial Narrow"/>
                <w:sz w:val="20"/>
                <w:szCs w:val="20"/>
              </w:rPr>
              <w:t xml:space="preserve">Venetoclax plus rituximab market share </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right w:val="single" w:sz="4" w:space="0" w:color="auto"/>
            </w:tcBorders>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2" w:type="pct"/>
            <w:tcBorders>
              <w:top w:val="single" w:sz="4" w:space="0" w:color="auto"/>
              <w:bottom w:val="single" w:sz="4" w:space="0" w:color="auto"/>
              <w:right w:val="single" w:sz="4" w:space="0" w:color="auto"/>
            </w:tcBorders>
            <w:vAlign w:val="center"/>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57383" w:rsidRPr="005F2796" w:rsidTr="00EF6959">
        <w:tc>
          <w:tcPr>
            <w:tcW w:w="1333" w:type="pct"/>
            <w:tcBorders>
              <w:top w:val="single" w:sz="4" w:space="0" w:color="auto"/>
              <w:left w:val="single" w:sz="4" w:space="0" w:color="auto"/>
              <w:bottom w:val="single" w:sz="4" w:space="0" w:color="auto"/>
            </w:tcBorders>
            <w:shd w:val="clear" w:color="auto" w:fill="auto"/>
            <w:noWrap/>
          </w:tcPr>
          <w:p w:rsidR="00A57383" w:rsidRPr="005F2796" w:rsidRDefault="00A57383" w:rsidP="00EF6959">
            <w:pPr>
              <w:rPr>
                <w:rFonts w:ascii="Arial Narrow" w:hAnsi="Arial Narrow"/>
                <w:sz w:val="20"/>
                <w:szCs w:val="20"/>
                <w:lang w:eastAsia="en-AU"/>
              </w:rPr>
            </w:pPr>
            <w:r w:rsidRPr="005F2796">
              <w:rPr>
                <w:rFonts w:ascii="Arial Narrow" w:hAnsi="Arial Narrow"/>
                <w:sz w:val="20"/>
                <w:szCs w:val="20"/>
              </w:rPr>
              <w:t>Starting packs</w:t>
            </w:r>
          </w:p>
        </w:tc>
        <w:tc>
          <w:tcPr>
            <w:tcW w:w="611" w:type="pct"/>
            <w:tcBorders>
              <w:top w:val="single" w:sz="4" w:space="0" w:color="auto"/>
              <w:bottom w:val="single" w:sz="4" w:space="0" w:color="auto"/>
            </w:tcBorders>
            <w:shd w:val="clear" w:color="auto" w:fill="auto"/>
          </w:tcPr>
          <w:p w:rsidR="00A57383" w:rsidRPr="004B34A4" w:rsidRDefault="004B34A4" w:rsidP="00EF6959">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tcPr>
          <w:p w:rsidR="00A57383" w:rsidRPr="004B34A4" w:rsidRDefault="004B34A4" w:rsidP="00EF6959">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tcBorders>
            <w:shd w:val="clear" w:color="auto" w:fill="auto"/>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top w:val="single" w:sz="4" w:space="0" w:color="auto"/>
              <w:bottom w:val="single" w:sz="4" w:space="0" w:color="auto"/>
              <w:right w:val="single" w:sz="4" w:space="0" w:color="auto"/>
            </w:tcBorders>
            <w:shd w:val="clear" w:color="auto" w:fill="auto"/>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2" w:type="pct"/>
            <w:tcBorders>
              <w:top w:val="single" w:sz="4" w:space="0" w:color="auto"/>
              <w:bottom w:val="single" w:sz="4" w:space="0" w:color="auto"/>
              <w:right w:val="single" w:sz="4" w:space="0" w:color="auto"/>
            </w:tcBorders>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bottom w:val="single" w:sz="4" w:space="0" w:color="auto"/>
            </w:tcBorders>
            <w:shd w:val="clear" w:color="auto" w:fill="auto"/>
            <w:noWrap/>
          </w:tcPr>
          <w:p w:rsidR="00A57383" w:rsidRPr="005F2796" w:rsidRDefault="00A57383" w:rsidP="00EF6959">
            <w:pPr>
              <w:rPr>
                <w:rFonts w:ascii="Arial Narrow" w:hAnsi="Arial Narrow"/>
                <w:sz w:val="20"/>
                <w:szCs w:val="20"/>
                <w:lang w:eastAsia="en-AU"/>
              </w:rPr>
            </w:pPr>
            <w:r w:rsidRPr="005F2796">
              <w:rPr>
                <w:rFonts w:ascii="Arial Narrow" w:hAnsi="Arial Narrow"/>
                <w:sz w:val="20"/>
                <w:szCs w:val="20"/>
              </w:rPr>
              <w:t>Dose-hold packs (10 mg)</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right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2" w:type="pct"/>
            <w:tcBorders>
              <w:bottom w:val="single" w:sz="4" w:space="0" w:color="auto"/>
              <w:right w:val="single" w:sz="4" w:space="0" w:color="auto"/>
            </w:tcBorders>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bottom w:val="single" w:sz="4" w:space="0" w:color="auto"/>
            </w:tcBorders>
            <w:shd w:val="clear" w:color="auto" w:fill="auto"/>
            <w:noWrap/>
          </w:tcPr>
          <w:p w:rsidR="00A57383" w:rsidRPr="005F2796" w:rsidRDefault="00A57383" w:rsidP="00EF6959">
            <w:pPr>
              <w:rPr>
                <w:rFonts w:ascii="Arial Narrow" w:hAnsi="Arial Narrow"/>
                <w:sz w:val="20"/>
                <w:szCs w:val="20"/>
                <w:lang w:eastAsia="en-AU"/>
              </w:rPr>
            </w:pPr>
            <w:r w:rsidRPr="005F2796">
              <w:rPr>
                <w:rFonts w:ascii="Arial Narrow" w:hAnsi="Arial Narrow"/>
                <w:sz w:val="20"/>
                <w:szCs w:val="20"/>
              </w:rPr>
              <w:t xml:space="preserve">Dose-hold packs (50 mg) </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right w:val="single" w:sz="4" w:space="0" w:color="auto"/>
            </w:tcBorders>
            <w:shd w:val="clear" w:color="auto" w:fill="auto"/>
          </w:tcPr>
          <w:p w:rsidR="00A57383" w:rsidRPr="004B34A4" w:rsidRDefault="004B34A4" w:rsidP="00EF6959">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2" w:type="pct"/>
            <w:tcBorders>
              <w:bottom w:val="single" w:sz="4" w:space="0" w:color="auto"/>
              <w:right w:val="single" w:sz="4" w:space="0" w:color="auto"/>
            </w:tcBorders>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B03FD" w:rsidRPr="005F2796" w:rsidTr="00EF6959">
        <w:tc>
          <w:tcPr>
            <w:tcW w:w="1333" w:type="pct"/>
            <w:tcBorders>
              <w:left w:val="single" w:sz="4" w:space="0" w:color="auto"/>
              <w:bottom w:val="single" w:sz="4" w:space="0" w:color="auto"/>
            </w:tcBorders>
            <w:shd w:val="clear" w:color="auto" w:fill="auto"/>
            <w:noWrap/>
            <w:vAlign w:val="bottom"/>
          </w:tcPr>
          <w:p w:rsidR="008B03FD" w:rsidRPr="005F2796" w:rsidRDefault="008B03FD" w:rsidP="008B03FD">
            <w:pPr>
              <w:rPr>
                <w:rFonts w:ascii="Arial Narrow" w:hAnsi="Arial Narrow"/>
                <w:sz w:val="20"/>
                <w:szCs w:val="20"/>
                <w:lang w:eastAsia="en-AU"/>
              </w:rPr>
            </w:pPr>
            <w:r w:rsidRPr="005F2796">
              <w:rPr>
                <w:rFonts w:ascii="Arial Narrow" w:hAnsi="Arial Narrow"/>
                <w:sz w:val="20"/>
                <w:szCs w:val="20"/>
                <w:lang w:eastAsia="en-AU"/>
              </w:rPr>
              <w:t>Total continuing packs</w:t>
            </w:r>
          </w:p>
        </w:tc>
        <w:tc>
          <w:tcPr>
            <w:tcW w:w="611" w:type="pct"/>
            <w:tcBorders>
              <w:bottom w:val="single" w:sz="4" w:space="0" w:color="auto"/>
            </w:tcBorders>
            <w:shd w:val="clear" w:color="auto" w:fill="auto"/>
          </w:tcPr>
          <w:p w:rsidR="008B03FD" w:rsidRPr="004B34A4" w:rsidRDefault="004B34A4" w:rsidP="008B03FD">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8B03FD" w:rsidRPr="004B34A4" w:rsidRDefault="004B34A4" w:rsidP="008B03FD">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8B03FD" w:rsidRPr="004B34A4" w:rsidRDefault="004B34A4" w:rsidP="008B03FD">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8B03FD" w:rsidRPr="004B34A4" w:rsidRDefault="004B34A4" w:rsidP="008B03FD">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right w:val="single" w:sz="4" w:space="0" w:color="auto"/>
            </w:tcBorders>
            <w:shd w:val="clear" w:color="auto" w:fill="auto"/>
          </w:tcPr>
          <w:p w:rsidR="008B03FD" w:rsidRPr="004B34A4" w:rsidRDefault="004B34A4" w:rsidP="008B03FD">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c>
          <w:tcPr>
            <w:tcW w:w="612" w:type="pct"/>
            <w:tcBorders>
              <w:bottom w:val="single" w:sz="4" w:space="0" w:color="auto"/>
              <w:right w:val="single" w:sz="4" w:space="0" w:color="auto"/>
            </w:tcBorders>
          </w:tcPr>
          <w:p w:rsidR="008B03FD" w:rsidRPr="004B34A4" w:rsidRDefault="004B34A4" w:rsidP="008B03FD">
            <w:pPr>
              <w:jc w:val="center"/>
              <w:rPr>
                <w:rFonts w:ascii="Arial Narrow" w:hAnsi="Arial Narrow"/>
                <w:iCs/>
                <w:sz w:val="20"/>
                <w:szCs w:val="20"/>
                <w:highlight w:val="black"/>
              </w:rPr>
            </w:pPr>
            <w:r>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bottom w:val="single" w:sz="4" w:space="0" w:color="auto"/>
            </w:tcBorders>
            <w:shd w:val="clear" w:color="auto" w:fill="auto"/>
            <w:noWrap/>
          </w:tcPr>
          <w:p w:rsidR="00A57383" w:rsidRPr="005F2796" w:rsidRDefault="00A57383" w:rsidP="00EF6959">
            <w:pPr>
              <w:rPr>
                <w:rFonts w:ascii="Arial Narrow" w:hAnsi="Arial Narrow"/>
                <w:sz w:val="20"/>
                <w:lang w:eastAsia="en-AU"/>
              </w:rPr>
            </w:pPr>
            <w:r w:rsidRPr="005F2796">
              <w:rPr>
                <w:rFonts w:ascii="Arial Narrow" w:hAnsi="Arial Narrow"/>
                <w:sz w:val="20"/>
                <w:szCs w:val="20"/>
              </w:rPr>
              <w:t>Rituximab 375mg/m</w:t>
            </w:r>
            <w:r w:rsidRPr="005F2796">
              <w:rPr>
                <w:rFonts w:ascii="Arial Narrow" w:hAnsi="Arial Narrow"/>
                <w:sz w:val="20"/>
                <w:szCs w:val="20"/>
                <w:vertAlign w:val="superscript"/>
              </w:rPr>
              <w:t>2</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1" w:type="pct"/>
            <w:tcBorders>
              <w:bottom w:val="single" w:sz="4" w:space="0" w:color="auto"/>
              <w:right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2" w:type="pct"/>
            <w:tcBorders>
              <w:bottom w:val="single" w:sz="4" w:space="0" w:color="auto"/>
              <w:right w:val="single" w:sz="4" w:space="0" w:color="auto"/>
            </w:tcBorders>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bottom w:val="single" w:sz="4" w:space="0" w:color="auto"/>
            </w:tcBorders>
            <w:shd w:val="clear" w:color="auto" w:fill="auto"/>
            <w:noWrap/>
          </w:tcPr>
          <w:p w:rsidR="00A57383" w:rsidRPr="005F2796" w:rsidRDefault="00A57383" w:rsidP="00EF6959">
            <w:pPr>
              <w:rPr>
                <w:rFonts w:ascii="Arial Narrow" w:hAnsi="Arial Narrow"/>
                <w:sz w:val="20"/>
                <w:lang w:eastAsia="en-AU"/>
              </w:rPr>
            </w:pPr>
            <w:r w:rsidRPr="005F2796">
              <w:rPr>
                <w:rFonts w:ascii="Arial Narrow" w:hAnsi="Arial Narrow"/>
                <w:sz w:val="20"/>
                <w:szCs w:val="20"/>
              </w:rPr>
              <w:t>Rituximab 500mg/m</w:t>
            </w:r>
            <w:r w:rsidRPr="005F2796">
              <w:rPr>
                <w:rFonts w:ascii="Arial Narrow" w:hAnsi="Arial Narrow"/>
                <w:sz w:val="20"/>
                <w:szCs w:val="20"/>
                <w:vertAlign w:val="superscript"/>
              </w:rPr>
              <w:t>2</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1" w:type="pct"/>
            <w:tcBorders>
              <w:bottom w:val="single" w:sz="4" w:space="0" w:color="auto"/>
              <w:right w:val="single" w:sz="4" w:space="0" w:color="auto"/>
            </w:tcBorders>
            <w:shd w:val="clear" w:color="auto" w:fill="auto"/>
          </w:tcPr>
          <w:p w:rsidR="00A57383" w:rsidRPr="004B34A4" w:rsidRDefault="004B34A4" w:rsidP="00EF6959">
            <w:pPr>
              <w:jc w:val="center"/>
              <w:rPr>
                <w:rFonts w:ascii="Arial Narrow" w:hAnsi="Arial Narrow"/>
                <w:iCs/>
                <w:sz w:val="20"/>
                <w:highlight w:val="black"/>
              </w:rPr>
            </w:pPr>
            <w:r>
              <w:rPr>
                <w:rFonts w:ascii="Arial Narrow" w:hAnsi="Arial Narrow"/>
                <w:noProof/>
                <w:color w:val="000000"/>
                <w:sz w:val="20"/>
                <w:szCs w:val="20"/>
                <w:highlight w:val="black"/>
              </w:rPr>
              <w:t>'''''''''</w:t>
            </w:r>
          </w:p>
        </w:tc>
        <w:tc>
          <w:tcPr>
            <w:tcW w:w="612" w:type="pct"/>
            <w:tcBorders>
              <w:bottom w:val="single" w:sz="4" w:space="0" w:color="auto"/>
              <w:right w:val="single" w:sz="4" w:space="0" w:color="auto"/>
            </w:tcBorders>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57383" w:rsidRPr="005F2796" w:rsidTr="00EF6959">
        <w:tc>
          <w:tcPr>
            <w:tcW w:w="5000" w:type="pct"/>
            <w:gridSpan w:val="7"/>
            <w:tcBorders>
              <w:left w:val="single" w:sz="4" w:space="0" w:color="auto"/>
              <w:bottom w:val="single" w:sz="4" w:space="0" w:color="auto"/>
              <w:right w:val="single" w:sz="4" w:space="0" w:color="auto"/>
            </w:tcBorders>
            <w:shd w:val="clear" w:color="auto" w:fill="auto"/>
            <w:noWrap/>
            <w:vAlign w:val="bottom"/>
          </w:tcPr>
          <w:p w:rsidR="00A57383" w:rsidRPr="005F2796" w:rsidRDefault="00A57383" w:rsidP="00EF6959">
            <w:pPr>
              <w:rPr>
                <w:rFonts w:ascii="Arial Narrow" w:hAnsi="Arial Narrow"/>
                <w:b/>
                <w:iCs/>
                <w:sz w:val="20"/>
              </w:rPr>
            </w:pPr>
            <w:r w:rsidRPr="005F2796">
              <w:rPr>
                <w:rFonts w:ascii="Arial Narrow" w:hAnsi="Arial Narrow"/>
                <w:b/>
                <w:sz w:val="20"/>
                <w:lang w:eastAsia="en-AU"/>
              </w:rPr>
              <w:t>Cost of VEN + RIT</w:t>
            </w:r>
          </w:p>
        </w:tc>
      </w:tr>
      <w:tr w:rsidR="00A57383" w:rsidRPr="005F2796" w:rsidTr="00EF6959">
        <w:tc>
          <w:tcPr>
            <w:tcW w:w="1333" w:type="pct"/>
            <w:tcBorders>
              <w:left w:val="single" w:sz="4" w:space="0" w:color="auto"/>
              <w:bottom w:val="single" w:sz="4" w:space="0" w:color="auto"/>
            </w:tcBorders>
            <w:shd w:val="clear" w:color="auto" w:fill="auto"/>
            <w:noWrap/>
            <w:vAlign w:val="bottom"/>
          </w:tcPr>
          <w:p w:rsidR="00A57383" w:rsidRPr="005F2796" w:rsidRDefault="00A57383" w:rsidP="00EF6959">
            <w:pPr>
              <w:jc w:val="left"/>
              <w:rPr>
                <w:rFonts w:ascii="Arial Narrow" w:hAnsi="Arial Narrow"/>
                <w:sz w:val="20"/>
                <w:szCs w:val="20"/>
                <w:lang w:eastAsia="en-AU"/>
              </w:rPr>
            </w:pPr>
            <w:r w:rsidRPr="005F2796">
              <w:rPr>
                <w:rFonts w:ascii="Arial Narrow" w:hAnsi="Arial Narrow"/>
                <w:sz w:val="20"/>
                <w:szCs w:val="20"/>
                <w:lang w:eastAsia="en-AU"/>
              </w:rPr>
              <w:t>Venetoclax costs</w:t>
            </w:r>
          </w:p>
        </w:tc>
        <w:tc>
          <w:tcPr>
            <w:tcW w:w="611" w:type="pct"/>
            <w:tcBorders>
              <w:bottom w:val="single" w:sz="4" w:space="0" w:color="auto"/>
            </w:tcBorders>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bottom w:val="single" w:sz="4" w:space="0" w:color="auto"/>
            </w:tcBorders>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bottom w:val="single" w:sz="4" w:space="0" w:color="auto"/>
              <w:right w:val="single" w:sz="4" w:space="0" w:color="auto"/>
            </w:tcBorders>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2" w:type="pct"/>
            <w:tcBorders>
              <w:bottom w:val="single" w:sz="4" w:space="0" w:color="auto"/>
              <w:right w:val="single" w:sz="4" w:space="0" w:color="auto"/>
            </w:tcBorders>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bottom w:val="single" w:sz="4" w:space="0" w:color="auto"/>
            </w:tcBorders>
            <w:shd w:val="clear" w:color="auto" w:fill="auto"/>
            <w:noWrap/>
          </w:tcPr>
          <w:p w:rsidR="00A57383" w:rsidRPr="005F2796" w:rsidRDefault="00A57383" w:rsidP="00EF6959">
            <w:pPr>
              <w:jc w:val="left"/>
              <w:rPr>
                <w:rFonts w:ascii="Arial Narrow" w:hAnsi="Arial Narrow"/>
                <w:b/>
                <w:sz w:val="20"/>
                <w:szCs w:val="20"/>
                <w:lang w:eastAsia="en-AU"/>
              </w:rPr>
            </w:pPr>
            <w:r w:rsidRPr="005F2796">
              <w:rPr>
                <w:rFonts w:ascii="Arial Narrow" w:hAnsi="Arial Narrow"/>
                <w:sz w:val="20"/>
                <w:szCs w:val="20"/>
              </w:rPr>
              <w:t>Rituximab costs</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cs="Arial"/>
                <w:color w:val="000000"/>
                <w:sz w:val="20"/>
                <w:szCs w:val="20"/>
              </w:rPr>
              <w:t>$</w:t>
            </w:r>
            <w:r w:rsidR="004B34A4">
              <w:rPr>
                <w:rFonts w:ascii="Arial Narrow" w:hAnsi="Arial Narrow" w:cs="Arial"/>
                <w:noProof/>
                <w:color w:val="000000"/>
                <w:sz w:val="20"/>
                <w:szCs w:val="20"/>
                <w:highlight w:val="black"/>
              </w:rPr>
              <w:t>''''''''''''''''''''''</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cs="Arial"/>
                <w:color w:val="000000"/>
                <w:sz w:val="20"/>
                <w:szCs w:val="20"/>
              </w:rPr>
              <w:t>$</w:t>
            </w:r>
            <w:r w:rsidR="004B34A4">
              <w:rPr>
                <w:rFonts w:ascii="Arial Narrow" w:hAnsi="Arial Narrow" w:cs="Arial"/>
                <w:noProof/>
                <w:color w:val="000000"/>
                <w:sz w:val="20"/>
                <w:szCs w:val="20"/>
                <w:highlight w:val="black"/>
              </w:rPr>
              <w:t>''''''''''''''''''''''''''</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cs="Arial"/>
                <w:color w:val="000000"/>
                <w:sz w:val="20"/>
                <w:szCs w:val="20"/>
              </w:rPr>
              <w:t>$</w:t>
            </w:r>
            <w:r w:rsidR="004B34A4">
              <w:rPr>
                <w:rFonts w:ascii="Arial Narrow" w:hAnsi="Arial Narrow" w:cs="Arial"/>
                <w:noProof/>
                <w:color w:val="000000"/>
                <w:sz w:val="20"/>
                <w:szCs w:val="20"/>
                <w:highlight w:val="black"/>
              </w:rPr>
              <w:t>''''''''''''''''''''''''</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cs="Arial"/>
                <w:color w:val="000000"/>
                <w:sz w:val="20"/>
                <w:szCs w:val="20"/>
              </w:rPr>
              <w:t>$</w:t>
            </w:r>
            <w:r w:rsidR="004B34A4">
              <w:rPr>
                <w:rFonts w:ascii="Arial Narrow" w:hAnsi="Arial Narrow" w:cs="Arial"/>
                <w:noProof/>
                <w:color w:val="000000"/>
                <w:sz w:val="20"/>
                <w:szCs w:val="20"/>
                <w:highlight w:val="black"/>
              </w:rPr>
              <w:t>''''''''''''''''''''''''</w:t>
            </w:r>
          </w:p>
        </w:tc>
        <w:tc>
          <w:tcPr>
            <w:tcW w:w="611" w:type="pct"/>
            <w:tcBorders>
              <w:bottom w:val="single" w:sz="4" w:space="0" w:color="auto"/>
              <w:right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cs="Arial"/>
                <w:color w:val="000000"/>
                <w:sz w:val="20"/>
                <w:szCs w:val="20"/>
              </w:rPr>
              <w:t>$</w:t>
            </w:r>
            <w:r w:rsidR="004B34A4">
              <w:rPr>
                <w:rFonts w:ascii="Arial Narrow" w:hAnsi="Arial Narrow" w:cs="Arial"/>
                <w:noProof/>
                <w:color w:val="000000"/>
                <w:sz w:val="20"/>
                <w:szCs w:val="20"/>
                <w:highlight w:val="black"/>
              </w:rPr>
              <w:t>''''''''''''''''''''''</w:t>
            </w:r>
          </w:p>
        </w:tc>
        <w:tc>
          <w:tcPr>
            <w:tcW w:w="612" w:type="pct"/>
            <w:tcBorders>
              <w:bottom w:val="single" w:sz="4" w:space="0" w:color="auto"/>
              <w:right w:val="single" w:sz="4" w:space="0" w:color="auto"/>
            </w:tcBorders>
            <w:vAlign w:val="center"/>
          </w:tcPr>
          <w:p w:rsidR="00A57383" w:rsidRPr="005F2796" w:rsidRDefault="00A57383" w:rsidP="00EF6959">
            <w:pPr>
              <w:jc w:val="center"/>
              <w:rPr>
                <w:rFonts w:ascii="Arial Narrow" w:hAnsi="Arial Narrow"/>
                <w:sz w:val="20"/>
                <w:szCs w:val="20"/>
              </w:rPr>
            </w:pPr>
            <w:r w:rsidRPr="005F2796">
              <w:rPr>
                <w:rFonts w:ascii="Arial Narrow" w:hAnsi="Arial Narrow" w:cs="Arial"/>
                <w:color w:val="000000"/>
                <w:sz w:val="20"/>
                <w:szCs w:val="20"/>
              </w:rPr>
              <w:t>$</w:t>
            </w:r>
            <w:r w:rsidR="004B34A4">
              <w:rPr>
                <w:rFonts w:ascii="Arial Narrow" w:hAnsi="Arial Narrow" w:cs="Arial"/>
                <w:noProof/>
                <w:color w:val="000000"/>
                <w:sz w:val="20"/>
                <w:szCs w:val="20"/>
                <w:highlight w:val="black"/>
              </w:rPr>
              <w:t>''''''''''''''''''''''</w:t>
            </w:r>
          </w:p>
        </w:tc>
      </w:tr>
      <w:tr w:rsidR="00A57383" w:rsidRPr="005F2796" w:rsidTr="00EF6959">
        <w:tc>
          <w:tcPr>
            <w:tcW w:w="1333" w:type="pct"/>
            <w:tcBorders>
              <w:left w:val="single" w:sz="4" w:space="0" w:color="auto"/>
              <w:bottom w:val="single" w:sz="4" w:space="0" w:color="auto"/>
            </w:tcBorders>
            <w:shd w:val="clear" w:color="auto" w:fill="auto"/>
            <w:noWrap/>
            <w:vAlign w:val="bottom"/>
          </w:tcPr>
          <w:p w:rsidR="00A57383" w:rsidRPr="005F2796" w:rsidRDefault="00A57383" w:rsidP="00EF6959">
            <w:pPr>
              <w:jc w:val="left"/>
              <w:rPr>
                <w:rFonts w:ascii="Arial Narrow" w:hAnsi="Arial Narrow"/>
                <w:sz w:val="20"/>
                <w:szCs w:val="20"/>
                <w:lang w:eastAsia="en-AU"/>
              </w:rPr>
            </w:pPr>
            <w:r w:rsidRPr="005F2796">
              <w:rPr>
                <w:rFonts w:ascii="Arial Narrow" w:hAnsi="Arial Narrow"/>
                <w:sz w:val="20"/>
                <w:lang w:eastAsia="en-AU"/>
              </w:rPr>
              <w:t>Total cost of VEN + RIT</w:t>
            </w:r>
          </w:p>
        </w:tc>
        <w:tc>
          <w:tcPr>
            <w:tcW w:w="611" w:type="pct"/>
            <w:tcBorders>
              <w:top w:val="nil"/>
              <w:left w:val="nil"/>
              <w:bottom w:val="nil"/>
              <w:right w:val="single" w:sz="4" w:space="0" w:color="auto"/>
            </w:tcBorders>
            <w:shd w:val="clear" w:color="000000" w:fill="FFFFFF"/>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top w:val="nil"/>
              <w:left w:val="single" w:sz="4" w:space="0" w:color="auto"/>
              <w:bottom w:val="nil"/>
              <w:right w:val="single" w:sz="4" w:space="0" w:color="auto"/>
            </w:tcBorders>
            <w:shd w:val="clear" w:color="000000" w:fill="FFFFFF"/>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top w:val="nil"/>
              <w:left w:val="single" w:sz="4" w:space="0" w:color="auto"/>
              <w:bottom w:val="nil"/>
              <w:right w:val="single" w:sz="4" w:space="0" w:color="auto"/>
            </w:tcBorders>
            <w:shd w:val="clear" w:color="000000" w:fill="FFFFFF"/>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top w:val="nil"/>
              <w:left w:val="single" w:sz="4" w:space="0" w:color="auto"/>
              <w:bottom w:val="nil"/>
              <w:right w:val="single" w:sz="4" w:space="0" w:color="auto"/>
            </w:tcBorders>
            <w:shd w:val="clear" w:color="000000" w:fill="FFFFFF"/>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top w:val="nil"/>
              <w:left w:val="single" w:sz="4" w:space="0" w:color="auto"/>
              <w:bottom w:val="nil"/>
              <w:right w:val="single" w:sz="4" w:space="0" w:color="auto"/>
            </w:tcBorders>
            <w:shd w:val="clear" w:color="000000" w:fill="FFFFFF"/>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2" w:type="pct"/>
            <w:tcBorders>
              <w:top w:val="nil"/>
              <w:left w:val="single" w:sz="4" w:space="0" w:color="auto"/>
              <w:bottom w:val="nil"/>
              <w:right w:val="single" w:sz="4" w:space="0" w:color="auto"/>
            </w:tcBorders>
            <w:shd w:val="clear" w:color="000000" w:fill="FFFFFF"/>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bottom w:val="single" w:sz="4" w:space="0" w:color="auto"/>
            </w:tcBorders>
            <w:shd w:val="clear" w:color="auto" w:fill="auto"/>
            <w:noWrap/>
            <w:vAlign w:val="bottom"/>
          </w:tcPr>
          <w:p w:rsidR="00A57383" w:rsidRPr="005F2796" w:rsidRDefault="00A57383" w:rsidP="00C06895">
            <w:pPr>
              <w:jc w:val="left"/>
              <w:rPr>
                <w:rFonts w:ascii="Arial Narrow" w:hAnsi="Arial Narrow"/>
                <w:sz w:val="20"/>
                <w:szCs w:val="20"/>
                <w:lang w:eastAsia="en-AU"/>
              </w:rPr>
            </w:pPr>
            <w:r w:rsidRPr="005F2796">
              <w:rPr>
                <w:rFonts w:ascii="Arial Narrow" w:hAnsi="Arial Narrow"/>
                <w:sz w:val="20"/>
                <w:szCs w:val="20"/>
                <w:lang w:eastAsia="en-AU"/>
              </w:rPr>
              <w:t>Patient copayments ($14.59 per script)</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bottom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bottom w:val="single" w:sz="4" w:space="0" w:color="auto"/>
              <w:right w:val="single" w:sz="4" w:space="0" w:color="auto"/>
            </w:tcBorders>
            <w:shd w:val="clear" w:color="auto" w:fill="auto"/>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2" w:type="pct"/>
            <w:tcBorders>
              <w:bottom w:val="single" w:sz="4" w:space="0" w:color="auto"/>
              <w:right w:val="single" w:sz="4" w:space="0" w:color="auto"/>
            </w:tcBorders>
            <w:vAlign w:val="center"/>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tcBorders>
            <w:shd w:val="clear" w:color="auto" w:fill="auto"/>
            <w:noWrap/>
            <w:vAlign w:val="bottom"/>
          </w:tcPr>
          <w:p w:rsidR="00A57383" w:rsidRPr="005F2796" w:rsidRDefault="00A57383" w:rsidP="00EF6959">
            <w:pPr>
              <w:rPr>
                <w:rFonts w:ascii="Arial Narrow" w:hAnsi="Arial Narrow"/>
                <w:sz w:val="20"/>
                <w:szCs w:val="20"/>
                <w:lang w:eastAsia="en-AU"/>
              </w:rPr>
            </w:pPr>
            <w:r w:rsidRPr="005F2796">
              <w:rPr>
                <w:rFonts w:ascii="Arial Narrow" w:hAnsi="Arial Narrow"/>
                <w:sz w:val="20"/>
                <w:szCs w:val="20"/>
                <w:lang w:eastAsia="en-AU"/>
              </w:rPr>
              <w:t>Net cost to PBS/RPBS</w:t>
            </w:r>
          </w:p>
        </w:tc>
        <w:tc>
          <w:tcPr>
            <w:tcW w:w="611" w:type="pct"/>
            <w:shd w:val="clear" w:color="auto" w:fill="auto"/>
            <w:vAlign w:val="center"/>
          </w:tcPr>
          <w:p w:rsidR="00A57383" w:rsidRPr="005F2796" w:rsidRDefault="00A57383" w:rsidP="00EF6959">
            <w:pPr>
              <w:jc w:val="center"/>
              <w:rPr>
                <w:rFonts w:ascii="Arial Narrow" w:hAnsi="Arial Narrow"/>
                <w:b/>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vAlign w:val="center"/>
          </w:tcPr>
          <w:p w:rsidR="00A57383" w:rsidRPr="005F2796" w:rsidRDefault="00A57383" w:rsidP="00EF6959">
            <w:pPr>
              <w:jc w:val="center"/>
              <w:rPr>
                <w:rFonts w:ascii="Arial Narrow" w:hAnsi="Arial Narrow"/>
                <w:b/>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vAlign w:val="center"/>
          </w:tcPr>
          <w:p w:rsidR="00A57383" w:rsidRPr="005F2796" w:rsidRDefault="00A57383" w:rsidP="00EF6959">
            <w:pPr>
              <w:jc w:val="center"/>
              <w:rPr>
                <w:rFonts w:ascii="Arial Narrow" w:hAnsi="Arial Narrow"/>
                <w:b/>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vAlign w:val="center"/>
          </w:tcPr>
          <w:p w:rsidR="00A57383" w:rsidRPr="005F2796" w:rsidRDefault="00A57383" w:rsidP="00EF6959">
            <w:pPr>
              <w:jc w:val="center"/>
              <w:rPr>
                <w:rFonts w:ascii="Arial Narrow" w:hAnsi="Arial Narrow"/>
                <w:b/>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right w:val="single" w:sz="4" w:space="0" w:color="auto"/>
            </w:tcBorders>
            <w:shd w:val="clear" w:color="auto" w:fill="auto"/>
            <w:vAlign w:val="center"/>
          </w:tcPr>
          <w:p w:rsidR="00A57383" w:rsidRPr="005F2796" w:rsidRDefault="00A57383" w:rsidP="00EF6959">
            <w:pPr>
              <w:jc w:val="center"/>
              <w:rPr>
                <w:rFonts w:ascii="Arial Narrow" w:hAnsi="Arial Narrow"/>
                <w:b/>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2" w:type="pct"/>
            <w:tcBorders>
              <w:right w:val="single" w:sz="4" w:space="0" w:color="auto"/>
            </w:tcBorders>
            <w:vAlign w:val="center"/>
          </w:tcPr>
          <w:p w:rsidR="00A57383" w:rsidRPr="005F2796" w:rsidRDefault="00A57383" w:rsidP="00EF6959">
            <w:pPr>
              <w:jc w:val="center"/>
              <w:rPr>
                <w:rFonts w:ascii="Arial Narrow" w:hAnsi="Arial Narrow"/>
                <w:b/>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r>
      <w:tr w:rsidR="00A57383" w:rsidRPr="005F2796" w:rsidTr="00EF6959">
        <w:tc>
          <w:tcPr>
            <w:tcW w:w="5000" w:type="pct"/>
            <w:gridSpan w:val="7"/>
            <w:tcBorders>
              <w:left w:val="single" w:sz="4" w:space="0" w:color="auto"/>
              <w:right w:val="single" w:sz="4" w:space="0" w:color="auto"/>
            </w:tcBorders>
            <w:shd w:val="clear" w:color="auto" w:fill="auto"/>
            <w:noWrap/>
            <w:vAlign w:val="bottom"/>
          </w:tcPr>
          <w:p w:rsidR="00A57383" w:rsidRPr="005F2796" w:rsidRDefault="00A57383" w:rsidP="00EF6959">
            <w:pPr>
              <w:jc w:val="left"/>
              <w:rPr>
                <w:rFonts w:ascii="Arial Narrow" w:hAnsi="Arial Narrow"/>
                <w:b/>
                <w:sz w:val="20"/>
                <w:szCs w:val="20"/>
              </w:rPr>
            </w:pPr>
            <w:r w:rsidRPr="005F2796">
              <w:rPr>
                <w:rFonts w:ascii="Arial Narrow" w:hAnsi="Arial Narrow"/>
                <w:b/>
                <w:sz w:val="20"/>
                <w:szCs w:val="20"/>
              </w:rPr>
              <w:t>Reduction in IBR cost with VEN + RIT listing</w:t>
            </w:r>
          </w:p>
        </w:tc>
      </w:tr>
      <w:tr w:rsidR="00A57383" w:rsidRPr="005F2796" w:rsidTr="00EF6959">
        <w:tc>
          <w:tcPr>
            <w:tcW w:w="1333" w:type="pct"/>
            <w:tcBorders>
              <w:left w:val="single" w:sz="4" w:space="0" w:color="auto"/>
            </w:tcBorders>
            <w:shd w:val="clear" w:color="auto" w:fill="auto"/>
            <w:noWrap/>
          </w:tcPr>
          <w:p w:rsidR="00A57383" w:rsidRPr="005F2796" w:rsidRDefault="00A57383" w:rsidP="00EF6959">
            <w:pPr>
              <w:rPr>
                <w:rFonts w:ascii="Arial Narrow" w:hAnsi="Arial Narrow"/>
                <w:sz w:val="20"/>
                <w:szCs w:val="20"/>
                <w:lang w:eastAsia="en-AU"/>
              </w:rPr>
            </w:pPr>
            <w:r w:rsidRPr="005F2796">
              <w:rPr>
                <w:rFonts w:ascii="Arial Narrow" w:hAnsi="Arial Narrow" w:cstheme="minorHAnsi"/>
                <w:sz w:val="20"/>
                <w:szCs w:val="20"/>
              </w:rPr>
              <w:t>Ibrutinib packs (50% reduction)</w:t>
            </w:r>
          </w:p>
        </w:tc>
        <w:tc>
          <w:tcPr>
            <w:tcW w:w="611" w:type="pct"/>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cs="Calibri"/>
                <w:bCs/>
                <w:noProof/>
                <w:color w:val="000000"/>
                <w:sz w:val="20"/>
                <w:szCs w:val="20"/>
                <w:highlight w:val="black"/>
              </w:rPr>
              <w:t>''''''''''''</w:t>
            </w:r>
          </w:p>
        </w:tc>
        <w:tc>
          <w:tcPr>
            <w:tcW w:w="611" w:type="pct"/>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cs="Calibri"/>
                <w:bCs/>
                <w:noProof/>
                <w:color w:val="000000"/>
                <w:sz w:val="20"/>
                <w:szCs w:val="20"/>
                <w:highlight w:val="black"/>
              </w:rPr>
              <w:t>''''''''''''</w:t>
            </w:r>
          </w:p>
        </w:tc>
        <w:tc>
          <w:tcPr>
            <w:tcW w:w="611" w:type="pct"/>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cs="Calibri"/>
                <w:bCs/>
                <w:noProof/>
                <w:color w:val="000000"/>
                <w:sz w:val="20"/>
                <w:szCs w:val="20"/>
                <w:highlight w:val="black"/>
              </w:rPr>
              <w:t>'''''''''''</w:t>
            </w:r>
          </w:p>
        </w:tc>
        <w:tc>
          <w:tcPr>
            <w:tcW w:w="611" w:type="pct"/>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cs="Calibri"/>
                <w:bCs/>
                <w:noProof/>
                <w:color w:val="000000"/>
                <w:sz w:val="20"/>
                <w:szCs w:val="20"/>
                <w:highlight w:val="black"/>
              </w:rPr>
              <w:t>'''''''''''</w:t>
            </w:r>
          </w:p>
        </w:tc>
        <w:tc>
          <w:tcPr>
            <w:tcW w:w="611" w:type="pct"/>
            <w:tcBorders>
              <w:right w:val="single" w:sz="4" w:space="0" w:color="auto"/>
            </w:tcBorders>
            <w:shd w:val="clear" w:color="auto" w:fill="auto"/>
            <w:vAlign w:val="center"/>
          </w:tcPr>
          <w:p w:rsidR="00A57383" w:rsidRPr="004B34A4" w:rsidRDefault="004B34A4" w:rsidP="00EF6959">
            <w:pPr>
              <w:jc w:val="center"/>
              <w:rPr>
                <w:rFonts w:ascii="Arial Narrow" w:hAnsi="Arial Narrow"/>
                <w:sz w:val="20"/>
                <w:szCs w:val="20"/>
                <w:highlight w:val="black"/>
              </w:rPr>
            </w:pPr>
            <w:r>
              <w:rPr>
                <w:rFonts w:ascii="Arial Narrow" w:hAnsi="Arial Narrow" w:cs="Calibri"/>
                <w:bCs/>
                <w:noProof/>
                <w:color w:val="000000"/>
                <w:sz w:val="20"/>
                <w:szCs w:val="20"/>
                <w:highlight w:val="black"/>
              </w:rPr>
              <w:t>''''''''''''</w:t>
            </w:r>
          </w:p>
        </w:tc>
        <w:tc>
          <w:tcPr>
            <w:tcW w:w="612" w:type="pct"/>
            <w:tcBorders>
              <w:right w:val="single" w:sz="4" w:space="0" w:color="auto"/>
            </w:tcBorders>
            <w:vAlign w:val="center"/>
          </w:tcPr>
          <w:p w:rsidR="00A57383" w:rsidRPr="004B34A4" w:rsidRDefault="004B34A4" w:rsidP="00EF6959">
            <w:pPr>
              <w:jc w:val="center"/>
              <w:rPr>
                <w:rFonts w:ascii="Arial Narrow" w:hAnsi="Arial Narrow"/>
                <w:sz w:val="20"/>
                <w:szCs w:val="20"/>
                <w:highlight w:val="black"/>
              </w:rPr>
            </w:pPr>
            <w:r>
              <w:rPr>
                <w:rFonts w:ascii="Arial Narrow" w:hAnsi="Arial Narrow" w:cs="Calibri"/>
                <w:bCs/>
                <w:noProof/>
                <w:color w:val="000000"/>
                <w:sz w:val="20"/>
                <w:szCs w:val="20"/>
                <w:highlight w:val="black"/>
              </w:rPr>
              <w:t>'''''''''''''</w:t>
            </w:r>
          </w:p>
        </w:tc>
      </w:tr>
      <w:tr w:rsidR="00A57383" w:rsidRPr="005F2796" w:rsidTr="00EF6959">
        <w:tc>
          <w:tcPr>
            <w:tcW w:w="1333" w:type="pct"/>
            <w:tcBorders>
              <w:left w:val="single" w:sz="4" w:space="0" w:color="auto"/>
            </w:tcBorders>
            <w:shd w:val="clear" w:color="auto" w:fill="auto"/>
            <w:noWrap/>
          </w:tcPr>
          <w:p w:rsidR="00A57383" w:rsidRPr="005F2796" w:rsidRDefault="00A57383" w:rsidP="00EF6959">
            <w:pPr>
              <w:rPr>
                <w:rFonts w:ascii="Arial Narrow" w:hAnsi="Arial Narrow"/>
                <w:sz w:val="20"/>
                <w:szCs w:val="20"/>
                <w:lang w:eastAsia="en-AU"/>
              </w:rPr>
            </w:pPr>
            <w:r w:rsidRPr="005F2796">
              <w:rPr>
                <w:rFonts w:ascii="Arial Narrow" w:hAnsi="Arial Narrow"/>
                <w:sz w:val="20"/>
                <w:szCs w:val="20"/>
              </w:rPr>
              <w:t>Net cost to PBS/RPBS</w:t>
            </w:r>
          </w:p>
        </w:tc>
        <w:tc>
          <w:tcPr>
            <w:tcW w:w="611" w:type="pct"/>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right w:val="single" w:sz="4" w:space="0" w:color="auto"/>
            </w:tcBorders>
            <w:shd w:val="clear" w:color="auto" w:fill="auto"/>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2" w:type="pct"/>
            <w:tcBorders>
              <w:right w:val="single" w:sz="4" w:space="0" w:color="auto"/>
            </w:tcBorders>
          </w:tcPr>
          <w:p w:rsidR="00A57383" w:rsidRPr="005F2796" w:rsidRDefault="00A57383" w:rsidP="00EF6959">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r>
      <w:tr w:rsidR="00A57383" w:rsidRPr="005F2796" w:rsidTr="00EF6959">
        <w:tc>
          <w:tcPr>
            <w:tcW w:w="5000" w:type="pct"/>
            <w:gridSpan w:val="7"/>
            <w:tcBorders>
              <w:left w:val="single" w:sz="4" w:space="0" w:color="auto"/>
              <w:right w:val="single" w:sz="4" w:space="0" w:color="auto"/>
            </w:tcBorders>
            <w:shd w:val="clear" w:color="auto" w:fill="auto"/>
            <w:noWrap/>
            <w:vAlign w:val="bottom"/>
          </w:tcPr>
          <w:p w:rsidR="00A57383" w:rsidRPr="005F2796" w:rsidRDefault="00A57383" w:rsidP="00EF6959">
            <w:pPr>
              <w:jc w:val="left"/>
              <w:rPr>
                <w:rFonts w:ascii="Arial Narrow" w:hAnsi="Arial Narrow"/>
                <w:b/>
                <w:sz w:val="20"/>
                <w:szCs w:val="20"/>
              </w:rPr>
            </w:pPr>
            <w:r w:rsidRPr="005F2796">
              <w:rPr>
                <w:rFonts w:ascii="Arial Narrow" w:hAnsi="Arial Narrow"/>
                <w:b/>
                <w:sz w:val="20"/>
                <w:szCs w:val="20"/>
              </w:rPr>
              <w:t>Additional cost for allopurinol with VEN + RIT listing</w:t>
            </w:r>
          </w:p>
        </w:tc>
      </w:tr>
      <w:tr w:rsidR="00A57383" w:rsidRPr="005F2796" w:rsidTr="00EF6959">
        <w:tc>
          <w:tcPr>
            <w:tcW w:w="1333" w:type="pct"/>
            <w:tcBorders>
              <w:left w:val="single" w:sz="4" w:space="0" w:color="auto"/>
            </w:tcBorders>
            <w:shd w:val="clear" w:color="auto" w:fill="auto"/>
            <w:noWrap/>
          </w:tcPr>
          <w:p w:rsidR="00A57383" w:rsidRPr="005F2796" w:rsidRDefault="00A57383" w:rsidP="00EF6959">
            <w:pPr>
              <w:rPr>
                <w:rFonts w:ascii="Arial Narrow" w:hAnsi="Arial Narrow"/>
                <w:sz w:val="20"/>
                <w:szCs w:val="20"/>
                <w:lang w:eastAsia="en-AU"/>
              </w:rPr>
            </w:pPr>
            <w:r w:rsidRPr="005F2796">
              <w:rPr>
                <w:rFonts w:ascii="Arial Narrow" w:hAnsi="Arial Narrow"/>
                <w:sz w:val="20"/>
                <w:szCs w:val="20"/>
              </w:rPr>
              <w:t>Patients initiating VEN + RIT</w:t>
            </w:r>
          </w:p>
        </w:tc>
        <w:tc>
          <w:tcPr>
            <w:tcW w:w="611" w:type="pct"/>
            <w:shd w:val="clear" w:color="auto" w:fill="auto"/>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right w:val="single" w:sz="4" w:space="0" w:color="auto"/>
            </w:tcBorders>
            <w:shd w:val="clear" w:color="auto" w:fill="auto"/>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2" w:type="pct"/>
            <w:tcBorders>
              <w:right w:val="single" w:sz="4" w:space="0" w:color="auto"/>
            </w:tcBorders>
          </w:tcPr>
          <w:p w:rsidR="00A57383" w:rsidRPr="004B34A4" w:rsidRDefault="004B34A4" w:rsidP="00EF695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tcBorders>
            <w:shd w:val="clear" w:color="auto" w:fill="auto"/>
            <w:noWrap/>
          </w:tcPr>
          <w:p w:rsidR="00A57383" w:rsidRPr="005F2796" w:rsidRDefault="00A57383" w:rsidP="00EF6959">
            <w:pPr>
              <w:rPr>
                <w:rFonts w:ascii="Arial Narrow" w:hAnsi="Arial Narrow"/>
                <w:sz w:val="20"/>
                <w:szCs w:val="20"/>
                <w:lang w:eastAsia="en-AU"/>
              </w:rPr>
            </w:pPr>
            <w:r w:rsidRPr="005F2796">
              <w:rPr>
                <w:rFonts w:ascii="Arial Narrow" w:hAnsi="Arial Narrow"/>
                <w:sz w:val="20"/>
                <w:szCs w:val="20"/>
              </w:rPr>
              <w:t>Net cost to PBS/RPBS</w:t>
            </w:r>
          </w:p>
        </w:tc>
        <w:tc>
          <w:tcPr>
            <w:tcW w:w="611" w:type="pct"/>
            <w:shd w:val="clear" w:color="auto" w:fill="auto"/>
          </w:tcPr>
          <w:p w:rsidR="00A57383" w:rsidRPr="005F2796" w:rsidRDefault="00A57383">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tcPr>
          <w:p w:rsidR="00A57383" w:rsidRPr="005F2796" w:rsidRDefault="00A57383">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tcPr>
          <w:p w:rsidR="00A57383" w:rsidRPr="005F2796" w:rsidRDefault="00A57383">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shd w:val="clear" w:color="auto" w:fill="auto"/>
          </w:tcPr>
          <w:p w:rsidR="00A57383" w:rsidRPr="005F2796" w:rsidRDefault="00A57383">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1" w:type="pct"/>
            <w:tcBorders>
              <w:right w:val="single" w:sz="4" w:space="0" w:color="auto"/>
            </w:tcBorders>
            <w:shd w:val="clear" w:color="auto" w:fill="auto"/>
          </w:tcPr>
          <w:p w:rsidR="00A57383" w:rsidRPr="005F2796" w:rsidRDefault="00A57383">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c>
          <w:tcPr>
            <w:tcW w:w="612" w:type="pct"/>
            <w:tcBorders>
              <w:right w:val="single" w:sz="4" w:space="0" w:color="auto"/>
            </w:tcBorders>
          </w:tcPr>
          <w:p w:rsidR="00A57383" w:rsidRPr="005F2796" w:rsidRDefault="00A57383">
            <w:pPr>
              <w:jc w:val="center"/>
              <w:rPr>
                <w:rFonts w:ascii="Arial Narrow" w:hAnsi="Arial Narrow"/>
                <w:sz w:val="20"/>
                <w:szCs w:val="20"/>
              </w:rPr>
            </w:pPr>
            <w:r w:rsidRPr="005F2796">
              <w:rPr>
                <w:rFonts w:ascii="Arial Narrow" w:hAnsi="Arial Narrow"/>
                <w:sz w:val="20"/>
                <w:szCs w:val="20"/>
              </w:rPr>
              <w:t>$</w:t>
            </w:r>
            <w:r w:rsidR="004B34A4">
              <w:rPr>
                <w:rFonts w:ascii="Arial Narrow" w:hAnsi="Arial Narrow"/>
                <w:noProof/>
                <w:color w:val="000000"/>
                <w:sz w:val="20"/>
                <w:szCs w:val="20"/>
                <w:highlight w:val="black"/>
              </w:rPr>
              <w:t>'''''''''''''</w:t>
            </w:r>
          </w:p>
        </w:tc>
      </w:tr>
      <w:tr w:rsidR="00A57383" w:rsidRPr="005F2796" w:rsidTr="00EF6959">
        <w:tc>
          <w:tcPr>
            <w:tcW w:w="1333" w:type="pct"/>
            <w:tcBorders>
              <w:left w:val="single" w:sz="4" w:space="0" w:color="auto"/>
            </w:tcBorders>
            <w:shd w:val="clear" w:color="auto" w:fill="auto"/>
            <w:noWrap/>
          </w:tcPr>
          <w:p w:rsidR="00A57383" w:rsidRPr="005F2796" w:rsidRDefault="00A57383" w:rsidP="00EF6959">
            <w:pPr>
              <w:rPr>
                <w:rFonts w:ascii="Arial Narrow" w:hAnsi="Arial Narrow"/>
                <w:sz w:val="20"/>
                <w:szCs w:val="20"/>
                <w:lang w:eastAsia="en-AU"/>
              </w:rPr>
            </w:pPr>
            <w:r w:rsidRPr="005F2796">
              <w:rPr>
                <w:rFonts w:ascii="Arial Narrow" w:hAnsi="Arial Narrow"/>
                <w:b/>
                <w:sz w:val="20"/>
                <w:szCs w:val="20"/>
                <w:lang w:eastAsia="en-AU"/>
              </w:rPr>
              <w:t>Net cost to the PBS/RPBS</w:t>
            </w:r>
          </w:p>
        </w:tc>
        <w:tc>
          <w:tcPr>
            <w:tcW w:w="611" w:type="pct"/>
            <w:shd w:val="clear" w:color="auto" w:fill="auto"/>
          </w:tcPr>
          <w:p w:rsidR="00A57383" w:rsidRPr="005F2796" w:rsidRDefault="00A57383">
            <w:pPr>
              <w:jc w:val="center"/>
              <w:rPr>
                <w:rFonts w:ascii="Arial Narrow" w:hAnsi="Arial Narrow"/>
                <w:sz w:val="20"/>
                <w:szCs w:val="20"/>
              </w:rPr>
            </w:pPr>
            <w:r w:rsidRPr="005F2796">
              <w:rPr>
                <w:rFonts w:ascii="Arial Narrow" w:hAnsi="Arial Narrow"/>
                <w:b/>
                <w:sz w:val="20"/>
                <w:szCs w:val="20"/>
              </w:rPr>
              <w:t>$</w:t>
            </w:r>
            <w:r w:rsidR="004B34A4">
              <w:rPr>
                <w:rFonts w:ascii="Arial Narrow" w:hAnsi="Arial Narrow"/>
                <w:b/>
                <w:noProof/>
                <w:color w:val="000000"/>
                <w:sz w:val="20"/>
                <w:szCs w:val="20"/>
                <w:highlight w:val="black"/>
              </w:rPr>
              <w:t>''''''''''''''''''</w:t>
            </w:r>
          </w:p>
        </w:tc>
        <w:tc>
          <w:tcPr>
            <w:tcW w:w="611" w:type="pct"/>
            <w:shd w:val="clear" w:color="auto" w:fill="auto"/>
          </w:tcPr>
          <w:p w:rsidR="00A57383" w:rsidRPr="005F2796" w:rsidRDefault="00A57383">
            <w:pPr>
              <w:jc w:val="center"/>
              <w:rPr>
                <w:rFonts w:ascii="Arial Narrow" w:hAnsi="Arial Narrow"/>
                <w:sz w:val="20"/>
                <w:szCs w:val="20"/>
              </w:rPr>
            </w:pPr>
            <w:r w:rsidRPr="005F2796">
              <w:rPr>
                <w:rFonts w:ascii="Arial Narrow" w:hAnsi="Arial Narrow"/>
                <w:b/>
                <w:sz w:val="20"/>
                <w:szCs w:val="20"/>
              </w:rPr>
              <w:t>$</w:t>
            </w:r>
            <w:r w:rsidR="004B34A4">
              <w:rPr>
                <w:rFonts w:ascii="Arial Narrow" w:hAnsi="Arial Narrow"/>
                <w:b/>
                <w:noProof/>
                <w:color w:val="000000"/>
                <w:sz w:val="20"/>
                <w:szCs w:val="20"/>
                <w:highlight w:val="black"/>
              </w:rPr>
              <w:t>''''''''''''''''''''''</w:t>
            </w:r>
          </w:p>
        </w:tc>
        <w:tc>
          <w:tcPr>
            <w:tcW w:w="611" w:type="pct"/>
            <w:shd w:val="clear" w:color="auto" w:fill="auto"/>
          </w:tcPr>
          <w:p w:rsidR="00A57383" w:rsidRPr="005F2796" w:rsidRDefault="00A57383">
            <w:pPr>
              <w:jc w:val="center"/>
              <w:rPr>
                <w:rFonts w:ascii="Arial Narrow" w:hAnsi="Arial Narrow"/>
                <w:sz w:val="20"/>
                <w:szCs w:val="20"/>
              </w:rPr>
            </w:pPr>
            <w:r w:rsidRPr="005F2796">
              <w:rPr>
                <w:rFonts w:ascii="Arial Narrow" w:hAnsi="Arial Narrow"/>
                <w:b/>
                <w:sz w:val="20"/>
                <w:szCs w:val="20"/>
              </w:rPr>
              <w:t>$</w:t>
            </w:r>
            <w:r w:rsidR="004B34A4">
              <w:rPr>
                <w:rFonts w:ascii="Arial Narrow" w:hAnsi="Arial Narrow"/>
                <w:b/>
                <w:noProof/>
                <w:color w:val="000000"/>
                <w:sz w:val="20"/>
                <w:szCs w:val="20"/>
                <w:highlight w:val="black"/>
              </w:rPr>
              <w:t>''''''''''''''''''</w:t>
            </w:r>
          </w:p>
        </w:tc>
        <w:tc>
          <w:tcPr>
            <w:tcW w:w="611" w:type="pct"/>
            <w:shd w:val="clear" w:color="auto" w:fill="auto"/>
          </w:tcPr>
          <w:p w:rsidR="00A57383" w:rsidRPr="005F2796" w:rsidRDefault="00A57383">
            <w:pPr>
              <w:jc w:val="center"/>
              <w:rPr>
                <w:rFonts w:ascii="Arial Narrow" w:hAnsi="Arial Narrow"/>
                <w:sz w:val="20"/>
                <w:szCs w:val="20"/>
              </w:rPr>
            </w:pPr>
            <w:r w:rsidRPr="005F2796">
              <w:rPr>
                <w:rFonts w:ascii="Arial Narrow" w:hAnsi="Arial Narrow"/>
                <w:b/>
                <w:sz w:val="20"/>
                <w:szCs w:val="20"/>
              </w:rPr>
              <w:t>-$</w:t>
            </w:r>
            <w:r w:rsidR="004B34A4">
              <w:rPr>
                <w:rFonts w:ascii="Arial Narrow" w:hAnsi="Arial Narrow"/>
                <w:b/>
                <w:noProof/>
                <w:color w:val="000000"/>
                <w:sz w:val="20"/>
                <w:szCs w:val="20"/>
                <w:highlight w:val="black"/>
              </w:rPr>
              <w:t>'''''''''''''''''''</w:t>
            </w:r>
          </w:p>
        </w:tc>
        <w:tc>
          <w:tcPr>
            <w:tcW w:w="611" w:type="pct"/>
            <w:tcBorders>
              <w:right w:val="single" w:sz="4" w:space="0" w:color="auto"/>
            </w:tcBorders>
            <w:shd w:val="clear" w:color="auto" w:fill="auto"/>
          </w:tcPr>
          <w:p w:rsidR="00A57383" w:rsidRPr="005F2796" w:rsidRDefault="00A57383">
            <w:pPr>
              <w:jc w:val="center"/>
              <w:rPr>
                <w:rFonts w:ascii="Arial Narrow" w:hAnsi="Arial Narrow"/>
                <w:sz w:val="20"/>
                <w:szCs w:val="20"/>
              </w:rPr>
            </w:pPr>
            <w:r w:rsidRPr="005F2796">
              <w:rPr>
                <w:rFonts w:ascii="Arial Narrow" w:hAnsi="Arial Narrow"/>
                <w:b/>
                <w:sz w:val="20"/>
                <w:szCs w:val="20"/>
              </w:rPr>
              <w:t>-$</w:t>
            </w:r>
            <w:r w:rsidR="004B34A4">
              <w:rPr>
                <w:rFonts w:ascii="Arial Narrow" w:hAnsi="Arial Narrow"/>
                <w:b/>
                <w:noProof/>
                <w:color w:val="000000"/>
                <w:sz w:val="20"/>
                <w:szCs w:val="20"/>
                <w:highlight w:val="black"/>
              </w:rPr>
              <w:t>'''''''''''''''''''</w:t>
            </w:r>
          </w:p>
        </w:tc>
        <w:tc>
          <w:tcPr>
            <w:tcW w:w="612" w:type="pct"/>
            <w:tcBorders>
              <w:right w:val="single" w:sz="4" w:space="0" w:color="auto"/>
            </w:tcBorders>
          </w:tcPr>
          <w:p w:rsidR="00A57383" w:rsidRPr="005F2796" w:rsidRDefault="00A57383">
            <w:pPr>
              <w:jc w:val="center"/>
              <w:rPr>
                <w:rFonts w:ascii="Arial Narrow" w:hAnsi="Arial Narrow"/>
                <w:sz w:val="20"/>
                <w:szCs w:val="20"/>
              </w:rPr>
            </w:pPr>
            <w:r w:rsidRPr="005F2796">
              <w:rPr>
                <w:rFonts w:ascii="Arial Narrow" w:hAnsi="Arial Narrow"/>
                <w:b/>
                <w:sz w:val="20"/>
                <w:szCs w:val="20"/>
              </w:rPr>
              <w:t>-$</w:t>
            </w:r>
            <w:r w:rsidR="004B34A4">
              <w:rPr>
                <w:rFonts w:ascii="Arial Narrow" w:hAnsi="Arial Narrow"/>
                <w:b/>
                <w:noProof/>
                <w:color w:val="000000"/>
                <w:sz w:val="20"/>
                <w:szCs w:val="20"/>
                <w:highlight w:val="black"/>
              </w:rPr>
              <w:t>''''''''''''''''''''</w:t>
            </w:r>
          </w:p>
        </w:tc>
      </w:tr>
    </w:tbl>
    <w:p w:rsidR="00A57383" w:rsidRPr="005F2796" w:rsidRDefault="00A57383" w:rsidP="00A57383">
      <w:pPr>
        <w:pStyle w:val="TableFooter"/>
      </w:pPr>
      <w:r w:rsidRPr="005F2796">
        <w:t>Source: ‘Section 4 VR PBAC July 2018_1’ Excel workbook of the submission.</w:t>
      </w:r>
    </w:p>
    <w:p w:rsidR="00A12098" w:rsidRDefault="00A57383" w:rsidP="00DF6EC9">
      <w:pPr>
        <w:pStyle w:val="TableFooter"/>
        <w:spacing w:after="160"/>
      </w:pPr>
      <w:r w:rsidRPr="005F2796">
        <w:t>Abbreviations: CLL, chronic lymphocytic leukaemia; VEN, venetoclax; RIT, rituximab; IBR, ibrutinib; TLS, tumour lysis syndrome; RIT, rituximab.</w:t>
      </w:r>
    </w:p>
    <w:p w:rsidR="00A12098" w:rsidRPr="003B0FCB" w:rsidRDefault="00A12098" w:rsidP="00DF6EC9">
      <w:pPr>
        <w:pStyle w:val="TableFooter"/>
        <w:spacing w:after="160"/>
        <w:rPr>
          <w:rFonts w:asciiTheme="minorHAnsi" w:hAnsiTheme="minorHAnsi" w:cstheme="minorHAnsi"/>
          <w:i/>
          <w:sz w:val="24"/>
          <w:szCs w:val="24"/>
        </w:rPr>
      </w:pPr>
      <w:r>
        <w:rPr>
          <w:rFonts w:asciiTheme="minorHAnsi" w:hAnsiTheme="minorHAnsi" w:cstheme="minorHAnsi"/>
          <w:i/>
          <w:sz w:val="24"/>
          <w:szCs w:val="24"/>
        </w:rPr>
        <w:t xml:space="preserve">The redacted table shows that at Year 6, the estimated number of patients was </w:t>
      </w:r>
      <w:r w:rsidR="00E65B1D">
        <w:rPr>
          <w:rFonts w:asciiTheme="minorHAnsi" w:hAnsiTheme="minorHAnsi" w:cstheme="minorHAnsi"/>
          <w:i/>
          <w:sz w:val="24"/>
          <w:szCs w:val="24"/>
        </w:rPr>
        <w:t>less than 10,000 per year and the net saving to the PBS would be $10 – $20 million per year.</w:t>
      </w:r>
    </w:p>
    <w:p w:rsidR="00A12098" w:rsidRDefault="00A12098" w:rsidP="003B0FCB">
      <w:pPr>
        <w:pStyle w:val="TableFooter"/>
        <w:spacing w:after="160"/>
      </w:pPr>
    </w:p>
    <w:p w:rsidR="00A57383" w:rsidRPr="005F2796" w:rsidRDefault="00A57383" w:rsidP="000E38D2">
      <w:pPr>
        <w:pStyle w:val="ListParagraph"/>
        <w:numPr>
          <w:ilvl w:val="1"/>
          <w:numId w:val="2"/>
        </w:numPr>
        <w:spacing w:after="160"/>
      </w:pPr>
      <w:r w:rsidRPr="005F2796">
        <w:t xml:space="preserve">The submission estimated a net cost to the PBS of </w:t>
      </w:r>
      <w:r w:rsidR="006F18DE">
        <w:t>less than $10 million to $10 – $20 million per year</w:t>
      </w:r>
      <w:r w:rsidRPr="005F2796">
        <w:t xml:space="preserve"> in Years 1 to 3, and net cost savings of </w:t>
      </w:r>
      <w:r w:rsidR="006F18DE">
        <w:t>less than $10 million to $10 – $20 million per year</w:t>
      </w:r>
      <w:r w:rsidRPr="005F2796">
        <w:t xml:space="preserve"> in Years 4 to 6. The estimated cumulative net cost over six years was </w:t>
      </w:r>
      <w:r w:rsidR="006F18DE">
        <w:t>less than $10 million</w:t>
      </w:r>
      <w:r w:rsidRPr="005F2796">
        <w:t>.</w:t>
      </w:r>
      <w:r w:rsidR="003F1C17" w:rsidRPr="005F2796">
        <w:t xml:space="preserve"> </w:t>
      </w:r>
      <w:r w:rsidR="006C1354" w:rsidRPr="005F2796">
        <w:t xml:space="preserve">Net costs in Years 1 to 3 were due to higher </w:t>
      </w:r>
      <w:r w:rsidR="005704D8" w:rsidRPr="005F2796">
        <w:t>annual treatment</w:t>
      </w:r>
      <w:r w:rsidR="006C1354" w:rsidRPr="005F2796">
        <w:t xml:space="preserve"> costs </w:t>
      </w:r>
      <w:r w:rsidR="005704D8" w:rsidRPr="005F2796">
        <w:t xml:space="preserve">for venetoclax plus rituximab </w:t>
      </w:r>
      <w:r w:rsidR="006C1354" w:rsidRPr="005F2796">
        <w:t>compared to ibrutinib</w:t>
      </w:r>
      <w:r w:rsidR="00360A01" w:rsidRPr="005F2796">
        <w:t xml:space="preserve"> </w:t>
      </w:r>
      <w:r w:rsidR="00F32114" w:rsidRPr="005F2796">
        <w:t>i.e.</w:t>
      </w:r>
      <w:r w:rsidR="00360A01" w:rsidRPr="005F2796">
        <w:t xml:space="preserve"> the cost of 20.78 continuing packs of venetoclax plus 5.80 infusions of rituximab costing the </w:t>
      </w:r>
      <w:r w:rsidR="00017BBE" w:rsidRPr="005F2796">
        <w:t>equivalent</w:t>
      </w:r>
      <w:r w:rsidR="00360A01" w:rsidRPr="005F2796">
        <w:t xml:space="preserve"> of 32.01 packs of ibrutinib</w:t>
      </w:r>
      <w:r w:rsidR="006C1354" w:rsidRPr="005F2796">
        <w:t xml:space="preserve">. Net savings in Years 4 to 6 were </w:t>
      </w:r>
      <w:r w:rsidR="005704D8" w:rsidRPr="005F2796">
        <w:t>driven by the longer duration of t</w:t>
      </w:r>
      <w:r w:rsidR="001C4AC4" w:rsidRPr="005F2796">
        <w:t>reatment with ibrutinib</w:t>
      </w:r>
      <w:r w:rsidR="005704D8" w:rsidRPr="005F2796">
        <w:t xml:space="preserve"> compared to venetoclax.</w:t>
      </w:r>
    </w:p>
    <w:p w:rsidR="00A57383" w:rsidRPr="005F2796" w:rsidRDefault="00A57383" w:rsidP="000E38D2">
      <w:pPr>
        <w:pStyle w:val="ListParagraph"/>
        <w:numPr>
          <w:ilvl w:val="1"/>
          <w:numId w:val="2"/>
        </w:numPr>
        <w:spacing w:after="160"/>
      </w:pPr>
      <w:r w:rsidRPr="005F2796">
        <w:lastRenderedPageBreak/>
        <w:t>The utilisation/financial estimates were considered to be highly uncerta</w:t>
      </w:r>
      <w:r w:rsidR="00D73F5D" w:rsidRPr="005F2796">
        <w:t>in due to the following issues:</w:t>
      </w:r>
    </w:p>
    <w:p w:rsidR="00A57383" w:rsidRPr="005F2796" w:rsidRDefault="00A57383" w:rsidP="00A57383">
      <w:pPr>
        <w:pStyle w:val="ListParagraph"/>
        <w:numPr>
          <w:ilvl w:val="0"/>
          <w:numId w:val="27"/>
        </w:numPr>
        <w:ind w:left="1134" w:hanging="294"/>
      </w:pPr>
      <w:r w:rsidRPr="005F2796">
        <w:t>The estimates were derived using an incidence-based approach that did not account for prevalent pati</w:t>
      </w:r>
      <w:r w:rsidR="00D73F5D" w:rsidRPr="005F2796">
        <w:t>ents who may require treatment.</w:t>
      </w:r>
    </w:p>
    <w:p w:rsidR="008D3158" w:rsidRPr="005F2796" w:rsidRDefault="00A57383" w:rsidP="008D3158">
      <w:pPr>
        <w:pStyle w:val="ListParagraph"/>
        <w:numPr>
          <w:ilvl w:val="0"/>
          <w:numId w:val="27"/>
        </w:numPr>
        <w:ind w:left="1134" w:hanging="294"/>
      </w:pPr>
      <w:r w:rsidRPr="005F2796">
        <w:t xml:space="preserve">Patients currently receiving ibrutinib treatment were not included in the budget impact analysis, however, may be treated with </w:t>
      </w:r>
      <w:r w:rsidR="00BF7593" w:rsidRPr="005F2796">
        <w:t>venetoclax</w:t>
      </w:r>
      <w:r w:rsidRPr="005F2796">
        <w:t xml:space="preserve"> plus rituximab as a later-line therapy.</w:t>
      </w:r>
      <w:r w:rsidR="008D3158" w:rsidRPr="005F2796">
        <w:t xml:space="preserve"> The PSCR suggested that these prevalent patients are unlikely to be treated with </w:t>
      </w:r>
      <w:r w:rsidR="00B768CD" w:rsidRPr="005F2796">
        <w:t>venetoclax plus rituximab</w:t>
      </w:r>
      <w:r w:rsidR="008D3158" w:rsidRPr="005F2796">
        <w:t xml:space="preserve">, however </w:t>
      </w:r>
      <w:r w:rsidR="00B768CD" w:rsidRPr="005F2796">
        <w:t>the ESC advised that</w:t>
      </w:r>
      <w:r w:rsidR="00D73F5D" w:rsidRPr="005F2796">
        <w:t>,</w:t>
      </w:r>
      <w:r w:rsidR="00B768CD" w:rsidRPr="005F2796">
        <w:t xml:space="preserve"> </w:t>
      </w:r>
      <w:r w:rsidR="008D3158" w:rsidRPr="005F2796">
        <w:t xml:space="preserve">with </w:t>
      </w:r>
      <w:r w:rsidR="00B768CD" w:rsidRPr="005F2796">
        <w:t xml:space="preserve">the </w:t>
      </w:r>
      <w:r w:rsidR="008D3158" w:rsidRPr="005F2796">
        <w:t xml:space="preserve">risk of sequential therapy, </w:t>
      </w:r>
      <w:r w:rsidR="00D73F5D" w:rsidRPr="005F2796">
        <w:t xml:space="preserve">the </w:t>
      </w:r>
      <w:r w:rsidR="008D3158" w:rsidRPr="005F2796">
        <w:t xml:space="preserve">numbers </w:t>
      </w:r>
      <w:r w:rsidR="00B768CD" w:rsidRPr="005F2796">
        <w:t xml:space="preserve">of patients treated with venetoclax plus rituximab </w:t>
      </w:r>
      <w:r w:rsidR="008D3158" w:rsidRPr="005F2796">
        <w:t>may be underestimated</w:t>
      </w:r>
      <w:r w:rsidR="00B768CD" w:rsidRPr="005F2796">
        <w:t>.</w:t>
      </w:r>
    </w:p>
    <w:p w:rsidR="00A57383" w:rsidRPr="005F2796" w:rsidRDefault="00A57383" w:rsidP="00A57383">
      <w:pPr>
        <w:pStyle w:val="ListParagraph"/>
        <w:numPr>
          <w:ilvl w:val="0"/>
          <w:numId w:val="27"/>
        </w:numPr>
        <w:ind w:left="1134" w:hanging="294"/>
      </w:pPr>
      <w:r w:rsidRPr="005F2796">
        <w:t>The derivation of the eligible incident population relied upon the results of two clinician surveys conducted by the sponsor. It was unclear whether the utilisation estimates were reliable due to a potential lack of representativeness, and the currency of the results in a</w:t>
      </w:r>
      <w:r w:rsidR="00D73F5D" w:rsidRPr="005F2796">
        <w:t xml:space="preserve"> rapidly changing disease area.</w:t>
      </w:r>
    </w:p>
    <w:p w:rsidR="00A57383" w:rsidRPr="005F2796" w:rsidRDefault="00A57383" w:rsidP="00A57383">
      <w:pPr>
        <w:pStyle w:val="ListParagraph"/>
        <w:numPr>
          <w:ilvl w:val="0"/>
          <w:numId w:val="27"/>
        </w:numPr>
        <w:ind w:left="1134" w:hanging="294"/>
      </w:pPr>
      <w:r w:rsidRPr="005F2796">
        <w:t>The budget impact</w:t>
      </w:r>
      <w:r w:rsidR="008D2A2F" w:rsidRPr="005F2796">
        <w:t xml:space="preserve"> analysi</w:t>
      </w:r>
      <w:r w:rsidRPr="005F2796">
        <w:t>s did not include idelalisib plus rituximab as a treatment option, despite overla</w:t>
      </w:r>
      <w:r w:rsidR="00D73F5D" w:rsidRPr="005F2796">
        <w:t>pping PBS restriction criteria.</w:t>
      </w:r>
    </w:p>
    <w:p w:rsidR="00A57383" w:rsidRPr="005F2796" w:rsidRDefault="00A57383" w:rsidP="00A57383">
      <w:pPr>
        <w:pStyle w:val="ListParagraph"/>
        <w:numPr>
          <w:ilvl w:val="0"/>
          <w:numId w:val="27"/>
        </w:numPr>
        <w:ind w:left="1134" w:hanging="294"/>
      </w:pPr>
      <w:r w:rsidRPr="005F2796">
        <w:t>It is unclear whether venetoclax plus rituximab will substitute for ibrutinib or be used as a later line therapy, as the optimal sequencing of therapies in this population is no</w:t>
      </w:r>
      <w:r w:rsidR="00765D9E" w:rsidRPr="005F2796">
        <w:t>t yet established.</w:t>
      </w:r>
    </w:p>
    <w:p w:rsidR="00A57383" w:rsidRPr="005F2796" w:rsidRDefault="00A57383" w:rsidP="00A57383">
      <w:pPr>
        <w:pStyle w:val="ListParagraph"/>
        <w:numPr>
          <w:ilvl w:val="0"/>
          <w:numId w:val="27"/>
        </w:numPr>
        <w:ind w:left="1134" w:hanging="294"/>
      </w:pPr>
      <w:r w:rsidRPr="005F2796">
        <w:t xml:space="preserve">The financial </w:t>
      </w:r>
      <w:r w:rsidR="008D2A2F" w:rsidRPr="005F2796">
        <w:t>implications</w:t>
      </w:r>
      <w:r w:rsidRPr="005F2796">
        <w:t xml:space="preserve"> did not account for later-line treatments among patients who experience disease progression or discontinue due to adverse events. Venetoclax plus rituximab, ibrutinib, and idelalisib plus rituximab are all potential later-line treatment options. There is also potential for patients treated with venetoclax plus rituximab to be retreated if they experience relapse in the post-treatment period.</w:t>
      </w:r>
    </w:p>
    <w:p w:rsidR="00A57383" w:rsidRPr="005F2796" w:rsidRDefault="00A57383" w:rsidP="00A57383">
      <w:pPr>
        <w:pStyle w:val="ListParagraph"/>
        <w:numPr>
          <w:ilvl w:val="0"/>
          <w:numId w:val="27"/>
        </w:numPr>
        <w:ind w:left="1134" w:hanging="294"/>
      </w:pPr>
      <w:r w:rsidRPr="005F2796">
        <w:t>There is limited post-treatment follow-up for venetoclax plus rituximab. There is potential for venetoclax to be used for longer than 24 months if longer-term efficacy data does not demonstrate durability of treatment effect in the post-treatment period.</w:t>
      </w:r>
    </w:p>
    <w:p w:rsidR="00A57383" w:rsidRPr="005F2796" w:rsidRDefault="00A57383" w:rsidP="00A57383">
      <w:pPr>
        <w:pStyle w:val="ListParagraph"/>
        <w:numPr>
          <w:ilvl w:val="0"/>
          <w:numId w:val="27"/>
        </w:numPr>
        <w:ind w:left="1134" w:hanging="294"/>
      </w:pPr>
      <w:r w:rsidRPr="005F2796">
        <w:t>There is potential for use of venetoclax outside of the proposed restriction, including use beyond the 24 months, retreatment of patients who experience disease progression, use in the first-line setting (particularly for patients with 17p deletion/TP53 mutation), use of venetoclax as monotherapy, or use in combination with other agents.</w:t>
      </w:r>
    </w:p>
    <w:p w:rsidR="00B50620" w:rsidRPr="005F2796" w:rsidRDefault="00B50620" w:rsidP="00B50620">
      <w:pPr>
        <w:pStyle w:val="ListParagraph"/>
        <w:numPr>
          <w:ilvl w:val="1"/>
          <w:numId w:val="2"/>
        </w:numPr>
        <w:spacing w:before="120" w:after="160"/>
        <w:ind w:left="578" w:hanging="578"/>
      </w:pPr>
      <w:bookmarkStart w:id="41" w:name="_Toc413139285"/>
      <w:r w:rsidRPr="005F2796">
        <w:t xml:space="preserve">The ESC agreed with the evaluation that there are multiple uncertainties associated with the utilisation/financial estimates and </w:t>
      </w:r>
      <w:r w:rsidR="00D73F5D" w:rsidRPr="005F2796">
        <w:t xml:space="preserve">advised that, </w:t>
      </w:r>
      <w:r w:rsidRPr="005F2796">
        <w:t xml:space="preserve">in order to mitigate risk, venetoclax plus rituximab would need to </w:t>
      </w:r>
      <w:r w:rsidR="004B34A4">
        <w:rPr>
          <w:noProof/>
          <w:color w:val="000000"/>
          <w:highlight w:val="black"/>
        </w:rPr>
        <w:t>''''''' '''''' ''''''''''''''' '''''''' '''' '''''''''</w:t>
      </w:r>
      <w:r w:rsidRPr="005F2796">
        <w:t xml:space="preserve"> for ibrutinib to ensure no ne</w:t>
      </w:r>
      <w:r w:rsidR="00D73F5D" w:rsidRPr="005F2796">
        <w:t>t financial cost to government.</w:t>
      </w:r>
      <w:r w:rsidR="00460CC0" w:rsidRPr="005F2796">
        <w:t xml:space="preserve"> The PBAC also noted the </w:t>
      </w:r>
      <w:r w:rsidR="003B0FCB">
        <w:t>Pre-PBAC R</w:t>
      </w:r>
      <w:r w:rsidR="00C3362C" w:rsidRPr="005F2796">
        <w:t xml:space="preserve">esponse indicated sequential use of ibrutinib and venetoclax plus rituximab could result in a </w:t>
      </w:r>
      <w:r w:rsidR="00194F92" w:rsidRPr="005F2796">
        <w:t xml:space="preserve">substantial increase in </w:t>
      </w:r>
      <w:r w:rsidR="00C3362C" w:rsidRPr="005F2796">
        <w:t xml:space="preserve">the treated patient population.  </w:t>
      </w:r>
      <w:r w:rsidR="00194F92" w:rsidRPr="005F2796">
        <w:t>These estimates were not independently evaluated.</w:t>
      </w:r>
    </w:p>
    <w:p w:rsidR="00A57383" w:rsidRPr="005F2796" w:rsidRDefault="00A57383" w:rsidP="000E38D2">
      <w:pPr>
        <w:pStyle w:val="Heading2"/>
        <w:spacing w:before="0" w:after="160"/>
      </w:pPr>
      <w:bookmarkStart w:id="42" w:name="_Toc522042678"/>
      <w:bookmarkStart w:id="43" w:name="_Toc524621104"/>
      <w:r w:rsidRPr="005F2796">
        <w:lastRenderedPageBreak/>
        <w:t>Quality use of medicines</w:t>
      </w:r>
      <w:bookmarkEnd w:id="41"/>
      <w:bookmarkEnd w:id="42"/>
      <w:bookmarkEnd w:id="43"/>
    </w:p>
    <w:p w:rsidR="00A57383" w:rsidRPr="005F2796" w:rsidRDefault="00A57383" w:rsidP="000E38D2">
      <w:pPr>
        <w:pStyle w:val="ListParagraph"/>
        <w:numPr>
          <w:ilvl w:val="1"/>
          <w:numId w:val="2"/>
        </w:numPr>
        <w:spacing w:after="160"/>
      </w:pPr>
      <w:r w:rsidRPr="005F2796">
        <w:t>The submission acknowledged the risk of tumour lysis syndrome associated with venetoclax as well as the potential risk of medication error during the initial titration phase for venetoclax. To address this issue, the sponsor will undertake risk communication activities with patients and physicians.</w:t>
      </w:r>
    </w:p>
    <w:p w:rsidR="00A57383" w:rsidRPr="005F2796" w:rsidRDefault="00A57383" w:rsidP="000E38D2">
      <w:pPr>
        <w:pStyle w:val="Heading2"/>
        <w:spacing w:before="0" w:after="160"/>
      </w:pPr>
      <w:bookmarkStart w:id="44" w:name="_Toc413139286"/>
      <w:bookmarkStart w:id="45" w:name="_Toc522042679"/>
      <w:bookmarkStart w:id="46" w:name="_Toc524621105"/>
      <w:r w:rsidRPr="005F2796">
        <w:t>Financial management – risk sharing arrangements</w:t>
      </w:r>
      <w:bookmarkEnd w:id="44"/>
      <w:bookmarkEnd w:id="45"/>
      <w:bookmarkEnd w:id="46"/>
    </w:p>
    <w:p w:rsidR="00CD4335" w:rsidRPr="004B34A4" w:rsidRDefault="00A57383" w:rsidP="000E38D2">
      <w:pPr>
        <w:pStyle w:val="ListParagraph"/>
        <w:numPr>
          <w:ilvl w:val="1"/>
          <w:numId w:val="2"/>
        </w:numPr>
        <w:spacing w:after="160"/>
      </w:pPr>
      <w:r w:rsidRPr="005F2796">
        <w:t>The submission acknowledged that ibrutinib is subject to a special pricing arrangement. The submission also noted that ibrutinib is subject to a</w:t>
      </w:r>
      <w:r w:rsidR="00F479FE">
        <w:t>n</w:t>
      </w:r>
      <w:r w:rsidRPr="00F479FE">
        <w:t xml:space="preserve"> </w:t>
      </w:r>
      <w:r w:rsidR="002D5026" w:rsidRPr="00F479FE">
        <w:t>RSA</w:t>
      </w:r>
      <w:r w:rsidRPr="00F479FE">
        <w:t>, but that no details of the agreement are available. The submission stated that the sponsor w</w:t>
      </w:r>
      <w:r w:rsidR="00D73F5D" w:rsidRPr="00F479FE">
        <w:t>ould</w:t>
      </w:r>
      <w:r w:rsidRPr="005F2796">
        <w:t xml:space="preserve"> work with the Department of Health, should a</w:t>
      </w:r>
      <w:r w:rsidR="00F479FE">
        <w:t xml:space="preserve">n RSA </w:t>
      </w:r>
      <w:r w:rsidRPr="00F479FE">
        <w:t>for venetoclax plus rituximab be required.</w:t>
      </w:r>
      <w:r w:rsidR="00B50620" w:rsidRPr="00F479FE">
        <w:t xml:space="preserve"> </w:t>
      </w:r>
      <w:r w:rsidR="00CF6CF9" w:rsidRPr="00F479FE">
        <w:t>The PBAC advised that</w:t>
      </w:r>
      <w:r w:rsidR="00B50620" w:rsidRPr="00F479FE">
        <w:t xml:space="preserve"> venetoclax plus rituximab would need to </w:t>
      </w:r>
      <w:r w:rsidR="004B34A4">
        <w:rPr>
          <w:noProof/>
          <w:color w:val="000000"/>
          <w:highlight w:val="black"/>
        </w:rPr>
        <w:t>'''''''' ''''''' '''''''''''''''' '''''''' '''' '''''''''' '''''' '''''''''''''''''</w:t>
      </w:r>
    </w:p>
    <w:p w:rsidR="00337075" w:rsidRPr="005F2796" w:rsidRDefault="00337075" w:rsidP="00337075">
      <w:pPr>
        <w:pStyle w:val="Heading1"/>
        <w:spacing w:before="0" w:after="160"/>
        <w:ind w:left="709" w:hanging="709"/>
      </w:pPr>
      <w:bookmarkStart w:id="47" w:name="_Toc392857618"/>
      <w:bookmarkStart w:id="48" w:name="_Toc522042680"/>
      <w:bookmarkStart w:id="49" w:name="_Toc524621107"/>
      <w:r w:rsidRPr="005F2796">
        <w:t xml:space="preserve">PBAC </w:t>
      </w:r>
      <w:r w:rsidR="0052059A" w:rsidRPr="005F2796">
        <w:t>o</w:t>
      </w:r>
      <w:r w:rsidRPr="005F2796">
        <w:t>utcome</w:t>
      </w:r>
    </w:p>
    <w:p w:rsidR="00337075" w:rsidRPr="00DC712B" w:rsidRDefault="005B6189" w:rsidP="00D20B65">
      <w:pPr>
        <w:pStyle w:val="ListParagraph"/>
        <w:numPr>
          <w:ilvl w:val="1"/>
          <w:numId w:val="2"/>
        </w:numPr>
        <w:spacing w:after="160"/>
        <w:rPr>
          <w:snapToGrid w:val="0"/>
        </w:rPr>
      </w:pPr>
      <w:r w:rsidRPr="00DC712B">
        <w:rPr>
          <w:snapToGrid w:val="0"/>
        </w:rPr>
        <w:t>The PBAC recommended the listing of venetoclax</w:t>
      </w:r>
      <w:r w:rsidR="006B63B4" w:rsidRPr="00DC712B">
        <w:rPr>
          <w:snapToGrid w:val="0"/>
        </w:rPr>
        <w:t xml:space="preserve"> in combination with rituximab</w:t>
      </w:r>
      <w:r w:rsidR="00EF1187" w:rsidRPr="00DC712B">
        <w:rPr>
          <w:snapToGrid w:val="0"/>
        </w:rPr>
        <w:t xml:space="preserve"> for the treatment of </w:t>
      </w:r>
      <w:r w:rsidR="00F05F1D" w:rsidRPr="00DC712B">
        <w:rPr>
          <w:snapToGrid w:val="0"/>
        </w:rPr>
        <w:t xml:space="preserve">certain patients with </w:t>
      </w:r>
      <w:r w:rsidR="00EF1187" w:rsidRPr="00DC712B">
        <w:rPr>
          <w:snapToGrid w:val="0"/>
        </w:rPr>
        <w:t>relapsed or refractory CLL</w:t>
      </w:r>
      <w:r w:rsidRPr="00DC712B">
        <w:rPr>
          <w:snapToGrid w:val="0"/>
        </w:rPr>
        <w:t>.</w:t>
      </w:r>
      <w:r w:rsidR="00D20B65" w:rsidRPr="00DC712B">
        <w:rPr>
          <w:snapToGrid w:val="0"/>
        </w:rPr>
        <w:t xml:space="preserve"> </w:t>
      </w:r>
      <w:r w:rsidR="00D20B65" w:rsidRPr="005F2796">
        <w:rPr>
          <w:snapToGrid w:val="0"/>
        </w:rPr>
        <w:t xml:space="preserve">The PBAC recommended listing on a cost-minimisation basis </w:t>
      </w:r>
      <w:r w:rsidR="00923F1F" w:rsidRPr="005F2796">
        <w:rPr>
          <w:snapToGrid w:val="0"/>
        </w:rPr>
        <w:t>with</w:t>
      </w:r>
      <w:r w:rsidR="00D20B65" w:rsidRPr="005F2796">
        <w:rPr>
          <w:snapToGrid w:val="0"/>
        </w:rPr>
        <w:t xml:space="preserve"> ibrutinib</w:t>
      </w:r>
      <w:r w:rsidR="00EC2518" w:rsidRPr="00F479FE">
        <w:rPr>
          <w:snapToGrid w:val="0"/>
        </w:rPr>
        <w:t xml:space="preserve"> on the basis of equivalent treatment cost per patient,</w:t>
      </w:r>
      <w:r w:rsidR="00D20B65" w:rsidRPr="00F479FE">
        <w:rPr>
          <w:snapToGrid w:val="0"/>
        </w:rPr>
        <w:t xml:space="preserve"> and inclusion in the </w:t>
      </w:r>
      <w:r w:rsidR="004B34A4">
        <w:rPr>
          <w:noProof/>
          <w:snapToGrid w:val="0"/>
          <w:color w:val="000000"/>
          <w:highlight w:val="black"/>
        </w:rPr>
        <w:t>'''''''''''''' '''''' ''''''''''''''' ''''''''''''''''''' '''''''''' '''''' ''''''''''''''' '''''''' '''''' '''''''''''''' ''''' '''''' ''''''''''''' '''''''''''''''''''''' '''''''''</w:t>
      </w:r>
      <w:r w:rsidR="00D20B65" w:rsidRPr="00F479FE">
        <w:rPr>
          <w:snapToGrid w:val="0"/>
        </w:rPr>
        <w:t>.</w:t>
      </w:r>
    </w:p>
    <w:p w:rsidR="001E6EF5" w:rsidRPr="00DC712B" w:rsidRDefault="001E6EF5" w:rsidP="001E6EF5">
      <w:pPr>
        <w:pStyle w:val="ListParagraph"/>
        <w:numPr>
          <w:ilvl w:val="1"/>
          <w:numId w:val="2"/>
        </w:numPr>
        <w:spacing w:after="160"/>
        <w:rPr>
          <w:snapToGrid w:val="0"/>
        </w:rPr>
      </w:pPr>
      <w:r w:rsidRPr="00DC712B">
        <w:rPr>
          <w:snapToGrid w:val="0"/>
        </w:rPr>
        <w:t xml:space="preserve">The PBAC </w:t>
      </w:r>
      <w:r w:rsidR="00F067EF" w:rsidRPr="00DC712B">
        <w:rPr>
          <w:snapToGrid w:val="0"/>
        </w:rPr>
        <w:t>advis</w:t>
      </w:r>
      <w:r w:rsidRPr="00DC712B">
        <w:rPr>
          <w:snapToGrid w:val="0"/>
        </w:rPr>
        <w:t>ed that the sequential use of venetoclax plus rituximab and ibrutinib was likely and may be clinically appropriate given the different mechanism of action and the emerging evidence</w:t>
      </w:r>
      <w:r w:rsidR="0052059A" w:rsidRPr="00DC712B">
        <w:rPr>
          <w:snapToGrid w:val="0"/>
        </w:rPr>
        <w:t xml:space="preserve"> of clinical benefit with sequential therapy</w:t>
      </w:r>
      <w:r w:rsidRPr="00DC712B">
        <w:rPr>
          <w:snapToGrid w:val="0"/>
        </w:rPr>
        <w:t xml:space="preserve">. </w:t>
      </w:r>
      <w:r w:rsidR="001C0DB7" w:rsidRPr="00DC712B">
        <w:rPr>
          <w:snapToGrid w:val="0"/>
        </w:rPr>
        <w:t>The PBAC also noted the clinician in the sponsor hearing supported sequential therapy</w:t>
      </w:r>
      <w:r w:rsidR="00F76A55" w:rsidRPr="00DC712B">
        <w:rPr>
          <w:snapToGrid w:val="0"/>
        </w:rPr>
        <w:t xml:space="preserve">, with the optimal </w:t>
      </w:r>
      <w:r w:rsidR="0052059A" w:rsidRPr="00DC712B">
        <w:rPr>
          <w:snapToGrid w:val="0"/>
        </w:rPr>
        <w:t xml:space="preserve">order of </w:t>
      </w:r>
      <w:r w:rsidR="00F76A55" w:rsidRPr="00DC712B">
        <w:rPr>
          <w:snapToGrid w:val="0"/>
        </w:rPr>
        <w:t xml:space="preserve">sequencing </w:t>
      </w:r>
      <w:r w:rsidR="0052059A" w:rsidRPr="00DC712B">
        <w:rPr>
          <w:snapToGrid w:val="0"/>
        </w:rPr>
        <w:t xml:space="preserve">still </w:t>
      </w:r>
      <w:r w:rsidR="00F76A55" w:rsidRPr="00DC712B">
        <w:rPr>
          <w:snapToGrid w:val="0"/>
        </w:rPr>
        <w:t>being unclear</w:t>
      </w:r>
      <w:r w:rsidR="001C0DB7" w:rsidRPr="00DC712B">
        <w:rPr>
          <w:snapToGrid w:val="0"/>
        </w:rPr>
        <w:t xml:space="preserve">. </w:t>
      </w:r>
      <w:r w:rsidRPr="00DC712B">
        <w:rPr>
          <w:snapToGrid w:val="0"/>
        </w:rPr>
        <w:t xml:space="preserve">However, </w:t>
      </w:r>
      <w:r w:rsidR="00747CCC" w:rsidRPr="00DC712B">
        <w:rPr>
          <w:snapToGrid w:val="0"/>
        </w:rPr>
        <w:t xml:space="preserve">the appropriate comparator </w:t>
      </w:r>
      <w:r w:rsidR="00E812B0" w:rsidRPr="00DC712B">
        <w:rPr>
          <w:snapToGrid w:val="0"/>
        </w:rPr>
        <w:t xml:space="preserve">to </w:t>
      </w:r>
      <w:r w:rsidR="00747CCC" w:rsidRPr="00DC712B">
        <w:rPr>
          <w:snapToGrid w:val="0"/>
        </w:rPr>
        <w:t>a sequential treatment algorithm was unclear</w:t>
      </w:r>
      <w:r w:rsidR="00E812B0" w:rsidRPr="00DC712B">
        <w:rPr>
          <w:snapToGrid w:val="0"/>
        </w:rPr>
        <w:t>,</w:t>
      </w:r>
      <w:r w:rsidR="00747CCC" w:rsidRPr="00DC712B">
        <w:rPr>
          <w:snapToGrid w:val="0"/>
        </w:rPr>
        <w:t xml:space="preserve"> and </w:t>
      </w:r>
      <w:r w:rsidRPr="00DC712B">
        <w:rPr>
          <w:snapToGrid w:val="0"/>
        </w:rPr>
        <w:t xml:space="preserve">the submission did not address the likelihood of sequential use. Based on </w:t>
      </w:r>
      <w:r w:rsidR="00024E8A" w:rsidRPr="00DC712B">
        <w:rPr>
          <w:snapToGrid w:val="0"/>
        </w:rPr>
        <w:t xml:space="preserve">further </w:t>
      </w:r>
      <w:r w:rsidRPr="00DC712B">
        <w:rPr>
          <w:snapToGrid w:val="0"/>
        </w:rPr>
        <w:t xml:space="preserve">information </w:t>
      </w:r>
      <w:r w:rsidR="00747CCC" w:rsidRPr="00DC712B">
        <w:rPr>
          <w:snapToGrid w:val="0"/>
        </w:rPr>
        <w:t xml:space="preserve">on estimated patient numbers </w:t>
      </w:r>
      <w:r w:rsidRPr="00DC712B">
        <w:rPr>
          <w:snapToGrid w:val="0"/>
        </w:rPr>
        <w:t xml:space="preserve">provided in the </w:t>
      </w:r>
      <w:r w:rsidR="003B0FCB">
        <w:rPr>
          <w:snapToGrid w:val="0"/>
        </w:rPr>
        <w:t>Pre-PBAC R</w:t>
      </w:r>
      <w:r w:rsidRPr="00DC712B">
        <w:rPr>
          <w:snapToGrid w:val="0"/>
        </w:rPr>
        <w:t xml:space="preserve">esponse, the PBAC considered the financial </w:t>
      </w:r>
      <w:r w:rsidR="00CE3548" w:rsidRPr="00DC712B">
        <w:rPr>
          <w:snapToGrid w:val="0"/>
        </w:rPr>
        <w:t xml:space="preserve">implications </w:t>
      </w:r>
      <w:r w:rsidRPr="00DC712B">
        <w:rPr>
          <w:snapToGrid w:val="0"/>
        </w:rPr>
        <w:t xml:space="preserve">of </w:t>
      </w:r>
      <w:r w:rsidR="00AC37F8" w:rsidRPr="00DC712B">
        <w:rPr>
          <w:snapToGrid w:val="0"/>
        </w:rPr>
        <w:t xml:space="preserve">this </w:t>
      </w:r>
      <w:r w:rsidRPr="00DC712B">
        <w:rPr>
          <w:snapToGrid w:val="0"/>
        </w:rPr>
        <w:t xml:space="preserve">sequential use could be </w:t>
      </w:r>
      <w:r w:rsidR="00C65C36" w:rsidRPr="00DC712B">
        <w:rPr>
          <w:snapToGrid w:val="0"/>
        </w:rPr>
        <w:t>high, but were also highly uncertain</w:t>
      </w:r>
      <w:r w:rsidRPr="00DC712B">
        <w:rPr>
          <w:snapToGrid w:val="0"/>
        </w:rPr>
        <w:t>.</w:t>
      </w:r>
    </w:p>
    <w:p w:rsidR="001E6EF5" w:rsidRPr="004B34A4" w:rsidRDefault="003B0FCB" w:rsidP="001E6EF5">
      <w:pPr>
        <w:pStyle w:val="ListParagraph"/>
        <w:numPr>
          <w:ilvl w:val="1"/>
          <w:numId w:val="2"/>
        </w:numPr>
        <w:spacing w:after="160"/>
        <w:rPr>
          <w:snapToGrid w:val="0"/>
        </w:rPr>
      </w:pPr>
      <w:r>
        <w:rPr>
          <w:snapToGrid w:val="0"/>
        </w:rPr>
        <w:t>The PBAC noted the Pre-PBAC R</w:t>
      </w:r>
      <w:r w:rsidR="001E6EF5" w:rsidRPr="00DC712B">
        <w:rPr>
          <w:snapToGrid w:val="0"/>
        </w:rPr>
        <w:t xml:space="preserve">esponse requested </w:t>
      </w:r>
      <w:r w:rsidR="00024E8A" w:rsidRPr="00DC712B">
        <w:rPr>
          <w:snapToGrid w:val="0"/>
        </w:rPr>
        <w:t xml:space="preserve">that </w:t>
      </w:r>
      <w:r w:rsidR="001E6EF5" w:rsidRPr="00DC712B">
        <w:rPr>
          <w:snapToGrid w:val="0"/>
        </w:rPr>
        <w:t xml:space="preserve">sequential use of venetoclax and ibrutinib be excluded </w:t>
      </w:r>
      <w:r w:rsidR="00AC37F8" w:rsidRPr="00DC712B">
        <w:rPr>
          <w:snapToGrid w:val="0"/>
        </w:rPr>
        <w:t>from</w:t>
      </w:r>
      <w:r w:rsidR="001E6EF5" w:rsidRPr="00DC712B">
        <w:rPr>
          <w:snapToGrid w:val="0"/>
        </w:rPr>
        <w:t xml:space="preserve"> the</w:t>
      </w:r>
      <w:r w:rsidR="00747CCC" w:rsidRPr="00DC712B">
        <w:rPr>
          <w:snapToGrid w:val="0"/>
        </w:rPr>
        <w:t>ir</w:t>
      </w:r>
      <w:r w:rsidR="001E6EF5" w:rsidRPr="00DC712B">
        <w:rPr>
          <w:snapToGrid w:val="0"/>
        </w:rPr>
        <w:t xml:space="preserve"> restriction criteria unless a modified RSA was negotiated to account for the </w:t>
      </w:r>
      <w:r w:rsidR="00AC37F8" w:rsidRPr="00DC712B">
        <w:rPr>
          <w:snapToGrid w:val="0"/>
        </w:rPr>
        <w:t xml:space="preserve">expected </w:t>
      </w:r>
      <w:r w:rsidR="001E6EF5" w:rsidRPr="00DC712B">
        <w:rPr>
          <w:snapToGrid w:val="0"/>
        </w:rPr>
        <w:t>additional cost. The PBAC considered it would not be clinically appropriate to restrict sequential use</w:t>
      </w:r>
      <w:r w:rsidR="00766F2E" w:rsidRPr="00DC712B">
        <w:rPr>
          <w:snapToGrid w:val="0"/>
        </w:rPr>
        <w:t>,</w:t>
      </w:r>
      <w:r w:rsidR="001E6EF5" w:rsidRPr="00DC712B">
        <w:rPr>
          <w:snapToGrid w:val="0"/>
        </w:rPr>
        <w:t xml:space="preserve"> but the cost-effec</w:t>
      </w:r>
      <w:r w:rsidR="00766F2E" w:rsidRPr="00DC712B">
        <w:rPr>
          <w:snapToGrid w:val="0"/>
        </w:rPr>
        <w:t>t</w:t>
      </w:r>
      <w:r w:rsidR="001E6EF5" w:rsidRPr="00DC712B">
        <w:rPr>
          <w:snapToGrid w:val="0"/>
        </w:rPr>
        <w:t>iv</w:t>
      </w:r>
      <w:r w:rsidR="001C0DB7" w:rsidRPr="00DC712B">
        <w:rPr>
          <w:snapToGrid w:val="0"/>
        </w:rPr>
        <w:t>e</w:t>
      </w:r>
      <w:r w:rsidR="001E6EF5" w:rsidRPr="00DC712B">
        <w:rPr>
          <w:snapToGrid w:val="0"/>
        </w:rPr>
        <w:t xml:space="preserve">ness of sequential use was uncertain. Therefore, the PBAC recommended venetoclax be listed with the same </w:t>
      </w:r>
      <w:r w:rsidR="00F479FE" w:rsidRPr="00F479FE">
        <w:rPr>
          <w:snapToGrid w:val="0"/>
        </w:rPr>
        <w:t>restriction</w:t>
      </w:r>
      <w:r w:rsidR="001E6EF5" w:rsidRPr="00DC712B">
        <w:rPr>
          <w:snapToGrid w:val="0"/>
        </w:rPr>
        <w:t xml:space="preserve"> criteria as ibrutinib and </w:t>
      </w:r>
      <w:r w:rsidR="00AC37F8" w:rsidRPr="00DC712B">
        <w:rPr>
          <w:snapToGrid w:val="0"/>
        </w:rPr>
        <w:t xml:space="preserve">that </w:t>
      </w:r>
      <w:r w:rsidR="00F05F1D" w:rsidRPr="005F2796">
        <w:t xml:space="preserve">the requested listing of </w:t>
      </w:r>
      <w:r w:rsidR="00AC37F8" w:rsidRPr="00DC712B">
        <w:rPr>
          <w:snapToGrid w:val="0"/>
        </w:rPr>
        <w:t xml:space="preserve">venetoclax be </w:t>
      </w:r>
      <w:r w:rsidR="001E6EF5" w:rsidRPr="00DC712B">
        <w:rPr>
          <w:snapToGrid w:val="0"/>
        </w:rPr>
        <w:t xml:space="preserve">included in the </w:t>
      </w:r>
      <w:r w:rsidR="004B34A4">
        <w:rPr>
          <w:noProof/>
          <w:snapToGrid w:val="0"/>
          <w:color w:val="000000"/>
          <w:highlight w:val="black"/>
        </w:rPr>
        <w:t>''''''''''''' ''''''''''''''' ''''''' ''''''''' ''''' ''''''''''''' '''' '''''' '''''''''''' '''''''''''''''''''' ''''''''''</w:t>
      </w:r>
    </w:p>
    <w:p w:rsidR="000D7F10" w:rsidRPr="00F479FE" w:rsidRDefault="001F53C0" w:rsidP="000D7F10">
      <w:pPr>
        <w:pStyle w:val="ListParagraph"/>
        <w:numPr>
          <w:ilvl w:val="1"/>
          <w:numId w:val="2"/>
        </w:numPr>
        <w:spacing w:after="160"/>
      </w:pPr>
      <w:r w:rsidRPr="00DC712B">
        <w:rPr>
          <w:snapToGrid w:val="0"/>
        </w:rPr>
        <w:t xml:space="preserve">The PBAC </w:t>
      </w:r>
      <w:r w:rsidR="000D7F10" w:rsidRPr="00DC712B">
        <w:rPr>
          <w:snapToGrid w:val="0"/>
        </w:rPr>
        <w:t xml:space="preserve">noted the comparator selection issues detailed in section 5 above, and </w:t>
      </w:r>
      <w:r w:rsidRPr="00DC712B">
        <w:rPr>
          <w:snapToGrid w:val="0"/>
        </w:rPr>
        <w:t>considered</w:t>
      </w:r>
      <w:r w:rsidR="00F65225" w:rsidRPr="00DC712B">
        <w:rPr>
          <w:snapToGrid w:val="0"/>
        </w:rPr>
        <w:t xml:space="preserve"> ibrutinib was </w:t>
      </w:r>
      <w:r w:rsidR="000D7F10" w:rsidRPr="00DC712B">
        <w:rPr>
          <w:snapToGrid w:val="0"/>
        </w:rPr>
        <w:t>the</w:t>
      </w:r>
      <w:r w:rsidR="00F65225" w:rsidRPr="00DC712B">
        <w:rPr>
          <w:snapToGrid w:val="0"/>
        </w:rPr>
        <w:t xml:space="preserve"> appropriate comparator (in the second-line treatment setting)</w:t>
      </w:r>
      <w:r w:rsidR="00F65225" w:rsidRPr="005F2796">
        <w:t>.</w:t>
      </w:r>
      <w:r w:rsidR="000D7F10" w:rsidRPr="005F2796">
        <w:t xml:space="preserve"> The Committee considered this in the context that, for some patients, venetoclax plu</w:t>
      </w:r>
      <w:r w:rsidR="000D7F10" w:rsidRPr="00F479FE">
        <w:t>s rituximab would provide reduced toxicity over idelalisib plus rituximab.</w:t>
      </w:r>
    </w:p>
    <w:p w:rsidR="009E6BC9" w:rsidRPr="00DC712B" w:rsidRDefault="009E6BC9" w:rsidP="009E6BC9">
      <w:pPr>
        <w:pStyle w:val="ListParagraph"/>
        <w:numPr>
          <w:ilvl w:val="1"/>
          <w:numId w:val="2"/>
        </w:numPr>
        <w:spacing w:after="160"/>
        <w:rPr>
          <w:snapToGrid w:val="0"/>
        </w:rPr>
      </w:pPr>
      <w:r w:rsidRPr="00DC712B">
        <w:rPr>
          <w:snapToGrid w:val="0"/>
        </w:rPr>
        <w:lastRenderedPageBreak/>
        <w:t>The PBAC recalled its July 2017 recommendation that, based on the limited evidence available at the time, venetoclax was likely to be clinically non-inferior to idelalisib plus rituximab after failure of a kinase inhibitor in relapsed or refractory CLL. The PBAC</w:t>
      </w:r>
      <w:r w:rsidRPr="005F2796">
        <w:t xml:space="preserve"> considered this recommendation in a later setting was based on lower quality evidence (single-arm studies) in a different clinical setting compared to the evidence considered</w:t>
      </w:r>
      <w:r w:rsidRPr="00F479FE">
        <w:t xml:space="preserve"> in this submission (a randomised controlled trial in the second-line setting). Additionally, while no formal comparison was conducted during the evaluation, the PBAC considered the time limited </w:t>
      </w:r>
      <w:r w:rsidRPr="00DC712B">
        <w:rPr>
          <w:bCs/>
        </w:rPr>
        <w:t>venetoclax plus rituximab regimen was likely to be less toxic than idelalisib plus rituximab. Therefore, the PBAC was satisfied overall that venetoclax plus rituximab provides, for some patients, a significant improvement in toxicity over idelalisib plus rituximab.</w:t>
      </w:r>
    </w:p>
    <w:p w:rsidR="00A00BFD" w:rsidRPr="00DC712B" w:rsidRDefault="00DA39E0" w:rsidP="000D7F10">
      <w:pPr>
        <w:pStyle w:val="ListParagraph"/>
        <w:numPr>
          <w:ilvl w:val="1"/>
          <w:numId w:val="2"/>
        </w:numPr>
        <w:spacing w:after="160"/>
        <w:rPr>
          <w:snapToGrid w:val="0"/>
        </w:rPr>
      </w:pPr>
      <w:r w:rsidRPr="005F2796">
        <w:t xml:space="preserve">The PBAC accepted the evidence from the MURANO trial showed venetoclax plus rituximab was </w:t>
      </w:r>
      <w:r w:rsidR="00E812B0" w:rsidRPr="00F479FE">
        <w:t xml:space="preserve">more effective than </w:t>
      </w:r>
      <w:r w:rsidRPr="00F479FE">
        <w:t xml:space="preserve">bendamustine plus rituximab, which included </w:t>
      </w:r>
      <w:r w:rsidR="00C75B4A" w:rsidRPr="00F479FE">
        <w:t>approximately one third</w:t>
      </w:r>
      <w:r w:rsidRPr="00F479FE">
        <w:t xml:space="preserve"> of patients in the comparator arm receiving </w:t>
      </w:r>
      <w:r w:rsidR="00C75B4A" w:rsidRPr="00F479FE">
        <w:t xml:space="preserve">either ibrutinib or idelalisib </w:t>
      </w:r>
      <w:r w:rsidR="00104B77" w:rsidRPr="005F2796">
        <w:t xml:space="preserve">after </w:t>
      </w:r>
      <w:r w:rsidR="00C75B4A" w:rsidRPr="005F2796">
        <w:t>disease</w:t>
      </w:r>
      <w:r w:rsidR="00104B77" w:rsidRPr="005F2796">
        <w:t xml:space="preserve"> progression</w:t>
      </w:r>
      <w:r w:rsidRPr="005F2796">
        <w:t>.</w:t>
      </w:r>
      <w:r w:rsidR="00A00BFD" w:rsidRPr="005F2796">
        <w:t xml:space="preserve"> At a median duration of follow-up of 36 months, venetoclax plus rituximab was associated with a statistically significant improvement in investigator-assessed progression-free survival compared to bendamustine plus rituximab (hazard ratio 0.16; 95% CI: 0.12, 0.23) and overall survival (hazard ratio 0.50; 95% CI: 0.30, 0.85).</w:t>
      </w:r>
    </w:p>
    <w:p w:rsidR="004B39DB" w:rsidRPr="00DC712B" w:rsidRDefault="004B39DB" w:rsidP="000D7F10">
      <w:pPr>
        <w:pStyle w:val="ListParagraph"/>
        <w:numPr>
          <w:ilvl w:val="1"/>
          <w:numId w:val="2"/>
        </w:numPr>
        <w:spacing w:after="160"/>
        <w:rPr>
          <w:snapToGrid w:val="0"/>
        </w:rPr>
      </w:pPr>
      <w:r w:rsidRPr="00DC712B">
        <w:rPr>
          <w:snapToGrid w:val="0"/>
        </w:rPr>
        <w:t xml:space="preserve">The PBAC </w:t>
      </w:r>
      <w:r w:rsidR="00522A1A" w:rsidRPr="00DC712B">
        <w:rPr>
          <w:snapToGrid w:val="0"/>
        </w:rPr>
        <w:t xml:space="preserve">considered </w:t>
      </w:r>
      <w:r w:rsidRPr="00DC712B">
        <w:rPr>
          <w:snapToGrid w:val="0"/>
        </w:rPr>
        <w:t xml:space="preserve">the multiple step indirect comparison </w:t>
      </w:r>
      <w:r w:rsidR="00FB54D4" w:rsidRPr="00DC712B">
        <w:rPr>
          <w:snapToGrid w:val="0"/>
        </w:rPr>
        <w:t xml:space="preserve">presented </w:t>
      </w:r>
      <w:r w:rsidRPr="00DC712B">
        <w:rPr>
          <w:snapToGrid w:val="0"/>
        </w:rPr>
        <w:t xml:space="preserve">resulted in a high level of uncertainty in supporting the </w:t>
      </w:r>
      <w:r w:rsidR="00522A1A" w:rsidRPr="00DC712B">
        <w:rPr>
          <w:snapToGrid w:val="0"/>
        </w:rPr>
        <w:t>claim of</w:t>
      </w:r>
      <w:r w:rsidRPr="00DC712B">
        <w:rPr>
          <w:snapToGrid w:val="0"/>
        </w:rPr>
        <w:t xml:space="preserve"> non-inferior effectiveness </w:t>
      </w:r>
      <w:r w:rsidR="00522A1A" w:rsidRPr="00DC712B">
        <w:rPr>
          <w:snapToGrid w:val="0"/>
        </w:rPr>
        <w:t xml:space="preserve">and safety </w:t>
      </w:r>
      <w:r w:rsidRPr="00DC712B">
        <w:rPr>
          <w:snapToGrid w:val="0"/>
        </w:rPr>
        <w:t>of venetoclax plus rituximab versus ibrutinib</w:t>
      </w:r>
      <w:r w:rsidR="00522A1A" w:rsidRPr="00DC712B">
        <w:rPr>
          <w:snapToGrid w:val="0"/>
        </w:rPr>
        <w:t>. However, the PBAC accepted the evidence, while uncertain, supported a claim of non-inferior comparative effectiveness</w:t>
      </w:r>
      <w:r w:rsidR="00DA39E0" w:rsidRPr="00DC712B">
        <w:rPr>
          <w:snapToGrid w:val="0"/>
        </w:rPr>
        <w:t>. The PBAC considered venetoclax plus rituximab had a different</w:t>
      </w:r>
      <w:r w:rsidR="00522A1A" w:rsidRPr="00DC712B">
        <w:rPr>
          <w:snapToGrid w:val="0"/>
        </w:rPr>
        <w:t xml:space="preserve"> </w:t>
      </w:r>
      <w:r w:rsidR="008D2A2F" w:rsidRPr="00DC712B">
        <w:rPr>
          <w:snapToGrid w:val="0"/>
        </w:rPr>
        <w:t>but no</w:t>
      </w:r>
      <w:r w:rsidR="00CE3548" w:rsidRPr="00DC712B">
        <w:rPr>
          <w:snapToGrid w:val="0"/>
        </w:rPr>
        <w:t>n</w:t>
      </w:r>
      <w:r w:rsidR="00A554CC">
        <w:rPr>
          <w:snapToGrid w:val="0"/>
        </w:rPr>
        <w:t>-</w:t>
      </w:r>
      <w:r w:rsidR="00CE3548" w:rsidRPr="00DC712B">
        <w:rPr>
          <w:snapToGrid w:val="0"/>
        </w:rPr>
        <w:t>infer</w:t>
      </w:r>
      <w:r w:rsidR="008D2A2F" w:rsidRPr="00DC712B">
        <w:rPr>
          <w:snapToGrid w:val="0"/>
        </w:rPr>
        <w:t xml:space="preserve">ior </w:t>
      </w:r>
      <w:r w:rsidR="00522A1A" w:rsidRPr="00DC712B">
        <w:rPr>
          <w:snapToGrid w:val="0"/>
        </w:rPr>
        <w:t>safety</w:t>
      </w:r>
      <w:r w:rsidR="00A934CB" w:rsidRPr="00DC712B">
        <w:rPr>
          <w:snapToGrid w:val="0"/>
        </w:rPr>
        <w:t xml:space="preserve"> </w:t>
      </w:r>
      <w:r w:rsidR="00DA39E0" w:rsidRPr="00DC712B">
        <w:rPr>
          <w:snapToGrid w:val="0"/>
        </w:rPr>
        <w:t xml:space="preserve">profile </w:t>
      </w:r>
      <w:r w:rsidR="00A934CB" w:rsidRPr="00DC712B">
        <w:rPr>
          <w:snapToGrid w:val="0"/>
        </w:rPr>
        <w:t>to ibrutinib</w:t>
      </w:r>
      <w:r w:rsidR="00104B77" w:rsidRPr="00DC712B">
        <w:rPr>
          <w:snapToGrid w:val="0"/>
        </w:rPr>
        <w:t>,</w:t>
      </w:r>
      <w:r w:rsidR="00DA39E0" w:rsidRPr="00DC712B">
        <w:rPr>
          <w:snapToGrid w:val="0"/>
        </w:rPr>
        <w:t xml:space="preserve"> and that</w:t>
      </w:r>
      <w:r w:rsidR="00A00BFD" w:rsidRPr="00DC712B">
        <w:rPr>
          <w:snapToGrid w:val="0"/>
        </w:rPr>
        <w:t xml:space="preserve"> the</w:t>
      </w:r>
      <w:r w:rsidR="00DA39E0" w:rsidRPr="00DC712B">
        <w:rPr>
          <w:snapToGrid w:val="0"/>
        </w:rPr>
        <w:t xml:space="preserve"> </w:t>
      </w:r>
      <w:r w:rsidR="00104B77" w:rsidRPr="00DC712B">
        <w:rPr>
          <w:snapToGrid w:val="0"/>
        </w:rPr>
        <w:t xml:space="preserve">different </w:t>
      </w:r>
      <w:r w:rsidR="00DA39E0" w:rsidRPr="005F2796">
        <w:t xml:space="preserve">treatment costs for </w:t>
      </w:r>
      <w:r w:rsidR="00104B77" w:rsidRPr="005F2796">
        <w:t xml:space="preserve">these </w:t>
      </w:r>
      <w:r w:rsidR="00DA39E0" w:rsidRPr="005F2796">
        <w:t xml:space="preserve">adverse event </w:t>
      </w:r>
      <w:r w:rsidR="00104B77" w:rsidRPr="00F479FE">
        <w:t xml:space="preserve">profiles </w:t>
      </w:r>
      <w:r w:rsidR="00DA39E0" w:rsidRPr="00F479FE">
        <w:t xml:space="preserve">should be incorporated in the cost-minimisation </w:t>
      </w:r>
      <w:r w:rsidR="008D2A2F" w:rsidRPr="00F479FE">
        <w:t>approach</w:t>
      </w:r>
      <w:r w:rsidR="00522A1A" w:rsidRPr="00DC712B">
        <w:rPr>
          <w:snapToGrid w:val="0"/>
        </w:rPr>
        <w:t>.</w:t>
      </w:r>
    </w:p>
    <w:p w:rsidR="00BD13E0" w:rsidRPr="002068F8" w:rsidRDefault="00F6408A" w:rsidP="00BD13E0">
      <w:pPr>
        <w:pStyle w:val="ListParagraph"/>
        <w:numPr>
          <w:ilvl w:val="1"/>
          <w:numId w:val="2"/>
        </w:numPr>
        <w:spacing w:after="160"/>
        <w:rPr>
          <w:snapToGrid w:val="0"/>
        </w:rPr>
      </w:pPr>
      <w:r w:rsidRPr="005F2796">
        <w:rPr>
          <w:szCs w:val="24"/>
        </w:rPr>
        <w:t xml:space="preserve">The PBAC </w:t>
      </w:r>
      <w:r w:rsidR="00E142BF" w:rsidRPr="005F2796">
        <w:rPr>
          <w:szCs w:val="24"/>
        </w:rPr>
        <w:t xml:space="preserve">advised </w:t>
      </w:r>
      <w:r w:rsidRPr="00F479FE">
        <w:rPr>
          <w:szCs w:val="24"/>
        </w:rPr>
        <w:t>that</w:t>
      </w:r>
      <w:r w:rsidR="00E142BF" w:rsidRPr="00F479FE">
        <w:rPr>
          <w:szCs w:val="24"/>
        </w:rPr>
        <w:t xml:space="preserve"> the</w:t>
      </w:r>
      <w:r w:rsidRPr="00F479FE">
        <w:rPr>
          <w:szCs w:val="24"/>
        </w:rPr>
        <w:t xml:space="preserve"> </w:t>
      </w:r>
      <w:r w:rsidR="00E142BF" w:rsidRPr="00F479FE">
        <w:rPr>
          <w:szCs w:val="24"/>
        </w:rPr>
        <w:t xml:space="preserve">cost-minimisation </w:t>
      </w:r>
      <w:r w:rsidR="00AC37F8" w:rsidRPr="00F479FE">
        <w:rPr>
          <w:szCs w:val="24"/>
        </w:rPr>
        <w:t xml:space="preserve">approach </w:t>
      </w:r>
      <w:r w:rsidR="00E142BF" w:rsidRPr="00F479FE">
        <w:rPr>
          <w:iCs/>
        </w:rPr>
        <w:t xml:space="preserve">must establish that the cost per patient for treatment with </w:t>
      </w:r>
      <w:r w:rsidR="00E23117" w:rsidRPr="00F479FE">
        <w:rPr>
          <w:szCs w:val="24"/>
        </w:rPr>
        <w:t xml:space="preserve">venetoclax plus rituximab </w:t>
      </w:r>
      <w:r w:rsidR="0035050F" w:rsidRPr="005F2796">
        <w:rPr>
          <w:szCs w:val="24"/>
        </w:rPr>
        <w:t>w</w:t>
      </w:r>
      <w:r w:rsidR="00E23117" w:rsidRPr="005F2796">
        <w:rPr>
          <w:szCs w:val="24"/>
        </w:rPr>
        <w:t xml:space="preserve">ould be </w:t>
      </w:r>
      <w:r w:rsidR="00E142BF" w:rsidRPr="005F2796">
        <w:rPr>
          <w:szCs w:val="24"/>
        </w:rPr>
        <w:t>no more than the</w:t>
      </w:r>
      <w:r w:rsidR="00E23117" w:rsidRPr="005F2796">
        <w:rPr>
          <w:szCs w:val="24"/>
        </w:rPr>
        <w:t xml:space="preserve"> </w:t>
      </w:r>
      <w:r w:rsidR="008D2A2F" w:rsidRPr="005F2796">
        <w:rPr>
          <w:szCs w:val="24"/>
        </w:rPr>
        <w:t xml:space="preserve">effective </w:t>
      </w:r>
      <w:r w:rsidR="00E23117" w:rsidRPr="005F2796">
        <w:rPr>
          <w:szCs w:val="24"/>
        </w:rPr>
        <w:t xml:space="preserve">cost per patient </w:t>
      </w:r>
      <w:r w:rsidR="001C3884" w:rsidRPr="005F2796">
        <w:rPr>
          <w:szCs w:val="24"/>
        </w:rPr>
        <w:t xml:space="preserve">as </w:t>
      </w:r>
      <w:r w:rsidR="00CA2BA5" w:rsidRPr="005F2796">
        <w:rPr>
          <w:szCs w:val="24"/>
        </w:rPr>
        <w:t xml:space="preserve">already </w:t>
      </w:r>
      <w:r w:rsidR="001C3884" w:rsidRPr="005F2796">
        <w:rPr>
          <w:szCs w:val="24"/>
        </w:rPr>
        <w:t xml:space="preserve">agreed for ibrutinib. </w:t>
      </w:r>
      <w:r w:rsidR="0035050F" w:rsidRPr="005F2796">
        <w:t xml:space="preserve">The PBAC agreed with the ESC (paragraph 6.51) that the cost-minimisation method used in the submission was overly complicated. </w:t>
      </w:r>
      <w:r w:rsidR="007A7E3E" w:rsidRPr="00DC712B">
        <w:t>The</w:t>
      </w:r>
      <w:r w:rsidR="00EC2518" w:rsidRPr="00DC712B">
        <w:t xml:space="preserve"> PBAC therefore advised that a more appropriate</w:t>
      </w:r>
      <w:r w:rsidR="007A7E3E" w:rsidRPr="00DC712B">
        <w:t xml:space="preserve"> </w:t>
      </w:r>
      <w:r w:rsidR="007A7E3E" w:rsidRPr="005F2796">
        <w:t xml:space="preserve">cost-minimisation approach would need to be based on the treatment duration of ibrutinib </w:t>
      </w:r>
      <w:r w:rsidR="00EC2518" w:rsidRPr="00F479FE">
        <w:t xml:space="preserve">which was </w:t>
      </w:r>
      <w:r w:rsidR="007A7E3E" w:rsidRPr="00F479FE">
        <w:t xml:space="preserve">accepted </w:t>
      </w:r>
      <w:r w:rsidR="00EC2518" w:rsidRPr="00F479FE">
        <w:t xml:space="preserve">at the time of </w:t>
      </w:r>
      <w:r w:rsidR="007A7E3E" w:rsidRPr="00F479FE">
        <w:t>its</w:t>
      </w:r>
      <w:r w:rsidR="00EC2518" w:rsidRPr="00F479FE">
        <w:t xml:space="preserve"> initial</w:t>
      </w:r>
      <w:r w:rsidR="007A7E3E" w:rsidRPr="005F2796">
        <w:t xml:space="preserve"> PBS listing</w:t>
      </w:r>
      <w:r w:rsidR="00BD13E0" w:rsidRPr="005F2796">
        <w:t xml:space="preserve"> and</w:t>
      </w:r>
      <w:r w:rsidR="007A7E3E" w:rsidRPr="005F2796">
        <w:t xml:space="preserve"> include</w:t>
      </w:r>
      <w:r w:rsidR="007A7E3E" w:rsidRPr="005F2796">
        <w:rPr>
          <w:szCs w:val="24"/>
        </w:rPr>
        <w:t xml:space="preserve"> the dose intensity of each medicine</w:t>
      </w:r>
      <w:r w:rsidR="007A7E3E" w:rsidRPr="005F2796">
        <w:t xml:space="preserve">. </w:t>
      </w:r>
      <w:r w:rsidR="001C3884" w:rsidRPr="005F2796">
        <w:rPr>
          <w:szCs w:val="24"/>
        </w:rPr>
        <w:t xml:space="preserve">The cost per patient for venetoclax </w:t>
      </w:r>
      <w:r w:rsidR="00FB3B71" w:rsidRPr="005F2796">
        <w:rPr>
          <w:szCs w:val="24"/>
        </w:rPr>
        <w:t>plus</w:t>
      </w:r>
      <w:r w:rsidR="004F5F6F" w:rsidRPr="005F2796">
        <w:rPr>
          <w:szCs w:val="24"/>
        </w:rPr>
        <w:t xml:space="preserve"> </w:t>
      </w:r>
      <w:r w:rsidR="001C3884" w:rsidRPr="005F2796">
        <w:rPr>
          <w:szCs w:val="24"/>
        </w:rPr>
        <w:t>rituximab should take into account</w:t>
      </w:r>
      <w:r w:rsidR="000B54F6" w:rsidRPr="005F2796">
        <w:rPr>
          <w:szCs w:val="24"/>
        </w:rPr>
        <w:t xml:space="preserve"> the </w:t>
      </w:r>
      <w:r w:rsidR="00EC2518" w:rsidRPr="005F2796">
        <w:rPr>
          <w:szCs w:val="24"/>
        </w:rPr>
        <w:t xml:space="preserve">infusion </w:t>
      </w:r>
      <w:r w:rsidR="000B54F6" w:rsidRPr="005F2796">
        <w:rPr>
          <w:szCs w:val="24"/>
        </w:rPr>
        <w:t>cost</w:t>
      </w:r>
      <w:r w:rsidR="00EC2518" w:rsidRPr="005F2796">
        <w:rPr>
          <w:szCs w:val="24"/>
        </w:rPr>
        <w:t>s</w:t>
      </w:r>
      <w:r w:rsidR="000B54F6" w:rsidRPr="005F2796">
        <w:rPr>
          <w:szCs w:val="24"/>
        </w:rPr>
        <w:t xml:space="preserve"> of ad</w:t>
      </w:r>
      <w:r w:rsidR="001C3884" w:rsidRPr="005F2796">
        <w:rPr>
          <w:szCs w:val="24"/>
        </w:rPr>
        <w:t>ministering rituximab</w:t>
      </w:r>
      <w:r w:rsidR="00A2624A" w:rsidRPr="005F2796">
        <w:rPr>
          <w:szCs w:val="24"/>
        </w:rPr>
        <w:t>.</w:t>
      </w:r>
      <w:r w:rsidR="001C3884" w:rsidRPr="005F2796">
        <w:rPr>
          <w:szCs w:val="24"/>
        </w:rPr>
        <w:t xml:space="preserve"> </w:t>
      </w:r>
      <w:r w:rsidR="00BD13E0" w:rsidRPr="005F2796">
        <w:rPr>
          <w:szCs w:val="24"/>
        </w:rPr>
        <w:t xml:space="preserve">The PBAC considered the </w:t>
      </w:r>
      <w:r w:rsidR="00BD13E0" w:rsidRPr="002068F8">
        <w:rPr>
          <w:snapToGrid w:val="0"/>
        </w:rPr>
        <w:t>treatment costs of adverse events for venetoclax plus rituximab should also be included in the cost per patient calculation, in particular use of growth factor support and the treatment of severe tumour lysis</w:t>
      </w:r>
      <w:r w:rsidR="00555FCC" w:rsidRPr="002068F8">
        <w:rPr>
          <w:snapToGrid w:val="0"/>
        </w:rPr>
        <w:t xml:space="preserve"> (see Table 7 above)</w:t>
      </w:r>
      <w:r w:rsidR="00766F2E" w:rsidRPr="002068F8">
        <w:rPr>
          <w:snapToGrid w:val="0"/>
        </w:rPr>
        <w:t>.</w:t>
      </w:r>
    </w:p>
    <w:p w:rsidR="00A202C9" w:rsidRPr="005F2796" w:rsidRDefault="00D80000" w:rsidP="001B5EFE">
      <w:pPr>
        <w:pStyle w:val="ListParagraph"/>
        <w:numPr>
          <w:ilvl w:val="1"/>
          <w:numId w:val="2"/>
        </w:numPr>
        <w:spacing w:after="160"/>
      </w:pPr>
      <w:r w:rsidRPr="005F2796">
        <w:t xml:space="preserve">The PBAC noted there were considerable </w:t>
      </w:r>
      <w:r w:rsidR="00543463" w:rsidRPr="005F2796">
        <w:t>uncertainties</w:t>
      </w:r>
      <w:r w:rsidRPr="005F2796">
        <w:t xml:space="preserve"> regarding the financial estimates provided in the submission</w:t>
      </w:r>
      <w:r w:rsidR="00D56151" w:rsidRPr="00F479FE">
        <w:t xml:space="preserve"> and </w:t>
      </w:r>
      <w:r w:rsidR="00766F2E" w:rsidRPr="00F479FE">
        <w:t>the</w:t>
      </w:r>
      <w:r w:rsidR="00AC37F8" w:rsidRPr="00F479FE">
        <w:t xml:space="preserve"> </w:t>
      </w:r>
      <w:r w:rsidR="00747CCC" w:rsidRPr="002068F8">
        <w:rPr>
          <w:snapToGrid w:val="0"/>
        </w:rPr>
        <w:t xml:space="preserve">estimated patient numbers in the </w:t>
      </w:r>
      <w:r w:rsidR="003B0FCB">
        <w:t>P</w:t>
      </w:r>
      <w:r w:rsidR="00766F2E" w:rsidRPr="005F2796">
        <w:t>re</w:t>
      </w:r>
      <w:r w:rsidR="003B0FCB">
        <w:t>-PBAC R</w:t>
      </w:r>
      <w:r w:rsidR="00AC37F8" w:rsidRPr="005F2796">
        <w:t>esponse</w:t>
      </w:r>
      <w:r w:rsidR="00766F2E" w:rsidRPr="00F479FE">
        <w:t xml:space="preserve"> </w:t>
      </w:r>
      <w:r w:rsidR="00AC37F8" w:rsidRPr="00F479FE">
        <w:t xml:space="preserve">raised </w:t>
      </w:r>
      <w:r w:rsidR="00766F2E" w:rsidRPr="00F479FE">
        <w:t xml:space="preserve">concerns </w:t>
      </w:r>
      <w:r w:rsidR="00AC37F8" w:rsidRPr="00F479FE">
        <w:t xml:space="preserve">about </w:t>
      </w:r>
      <w:r w:rsidR="00766F2E" w:rsidRPr="00F479FE">
        <w:t xml:space="preserve">large increases </w:t>
      </w:r>
      <w:r w:rsidR="00AC37F8" w:rsidRPr="00F479FE">
        <w:t xml:space="preserve">in costs which were not </w:t>
      </w:r>
      <w:r w:rsidR="00024E8A" w:rsidRPr="005F2796">
        <w:t xml:space="preserve">specifically </w:t>
      </w:r>
      <w:r w:rsidR="00AC37F8" w:rsidRPr="005F2796">
        <w:t>supported by clinical evidence or economic evaluation. G</w:t>
      </w:r>
      <w:r w:rsidR="00D56151" w:rsidRPr="005F2796">
        <w:t xml:space="preserve">iven these </w:t>
      </w:r>
      <w:r w:rsidR="00D56151" w:rsidRPr="005F2796">
        <w:lastRenderedPageBreak/>
        <w:t>uncertainties</w:t>
      </w:r>
      <w:r w:rsidR="00AC37F8" w:rsidRPr="005F2796">
        <w:t xml:space="preserve"> and concerns</w:t>
      </w:r>
      <w:r w:rsidR="0099403A" w:rsidRPr="005F2796">
        <w:t xml:space="preserve">, </w:t>
      </w:r>
      <w:r w:rsidR="00207B57" w:rsidRPr="005F2796">
        <w:t>t</w:t>
      </w:r>
      <w:r w:rsidR="00543463" w:rsidRPr="005F2796">
        <w:t xml:space="preserve">he PBAC considered </w:t>
      </w:r>
      <w:r w:rsidR="00AC37F8" w:rsidRPr="005F2796">
        <w:t xml:space="preserve">that the requested listing of </w:t>
      </w:r>
      <w:r w:rsidRPr="005F2796">
        <w:t xml:space="preserve">venetoclax would need to </w:t>
      </w:r>
      <w:r w:rsidR="004B34A4">
        <w:rPr>
          <w:noProof/>
          <w:color w:val="000000"/>
          <w:highlight w:val="black"/>
        </w:rPr>
        <w:t xml:space="preserve">''''''' ''''''' ''''''''''''' ''''''' '''' ''''''''''' ''''' ''''''''''''''' </w:t>
      </w:r>
      <w:r w:rsidRPr="005F2796">
        <w:t>to ensure no net financial cost to the government.</w:t>
      </w:r>
    </w:p>
    <w:p w:rsidR="000568CB" w:rsidRPr="005F2796" w:rsidRDefault="000568CB" w:rsidP="0099403A">
      <w:pPr>
        <w:pStyle w:val="ListParagraph"/>
        <w:numPr>
          <w:ilvl w:val="1"/>
          <w:numId w:val="2"/>
        </w:numPr>
        <w:spacing w:after="160"/>
      </w:pPr>
      <w:r w:rsidRPr="005F2796">
        <w:t xml:space="preserve">The PBAC advised </w:t>
      </w:r>
      <w:r w:rsidR="00F05F1D" w:rsidRPr="005F2796">
        <w:t xml:space="preserve">that </w:t>
      </w:r>
      <w:r w:rsidRPr="005F2796">
        <w:t xml:space="preserve">a major submission would be required to </w:t>
      </w:r>
      <w:r w:rsidR="004B34A4">
        <w:rPr>
          <w:noProof/>
          <w:color w:val="000000"/>
          <w:highlight w:val="black"/>
        </w:rPr>
        <w:t>'''''''''''''''' ''''''' '''''''''''' ''''''''''''''''''''' ''''''''</w:t>
      </w:r>
      <w:r w:rsidRPr="005F2796">
        <w:t xml:space="preserve"> associated with the existing </w:t>
      </w:r>
      <w:r w:rsidR="00F05F1D" w:rsidRPr="005F2796">
        <w:t xml:space="preserve">ibrutinib </w:t>
      </w:r>
      <w:r w:rsidRPr="005F2796">
        <w:t xml:space="preserve">RSA to account for sequential use of </w:t>
      </w:r>
      <w:r w:rsidR="00F05F1D" w:rsidRPr="005F2796">
        <w:t>these listings.</w:t>
      </w:r>
    </w:p>
    <w:p w:rsidR="00692FAC" w:rsidRPr="005F2796" w:rsidRDefault="00692FAC" w:rsidP="00F05F1D">
      <w:pPr>
        <w:pStyle w:val="ListParagraph"/>
        <w:numPr>
          <w:ilvl w:val="1"/>
          <w:numId w:val="2"/>
        </w:numPr>
        <w:spacing w:after="160"/>
        <w:rPr>
          <w:rFonts w:cs="Arial"/>
          <w:bCs/>
          <w:snapToGrid w:val="0"/>
        </w:rPr>
      </w:pPr>
      <w:r w:rsidRPr="005F2796">
        <w:t>The PBAC advised that any early access program should accord with the proposed PBS restriction rather than the TGA approval to allow patients to be eligible for grandfathering to the PBS. If the sponsor commits to the early access program</w:t>
      </w:r>
      <w:r w:rsidR="00F05F1D" w:rsidRPr="005F2796">
        <w:t>,</w:t>
      </w:r>
      <w:r w:rsidRPr="005F2796">
        <w:t xml:space="preserve"> it was requested that a grandfathering restriction be drafted by the sponsor.</w:t>
      </w:r>
    </w:p>
    <w:p w:rsidR="00F067EF" w:rsidRPr="005F2796" w:rsidRDefault="00F067EF" w:rsidP="00F067EF">
      <w:pPr>
        <w:pStyle w:val="ListParagraph"/>
        <w:numPr>
          <w:ilvl w:val="1"/>
          <w:numId w:val="2"/>
        </w:numPr>
        <w:spacing w:after="160"/>
        <w:ind w:left="578" w:hanging="578"/>
      </w:pPr>
      <w:r w:rsidRPr="005F2796">
        <w:t>The PBAC considered a telephone authority, consistent with the PBS listing of ibrutinib, would be appropriate.</w:t>
      </w:r>
    </w:p>
    <w:p w:rsidR="00C575B8" w:rsidRPr="005F2796" w:rsidRDefault="00C575B8" w:rsidP="00F05F1D">
      <w:pPr>
        <w:pStyle w:val="ListParagraph"/>
        <w:numPr>
          <w:ilvl w:val="1"/>
          <w:numId w:val="2"/>
        </w:numPr>
        <w:spacing w:after="160"/>
        <w:rPr>
          <w:rFonts w:cs="Arial"/>
          <w:bCs/>
          <w:snapToGrid w:val="0"/>
        </w:rPr>
      </w:pPr>
      <w:r w:rsidRPr="005F2796">
        <w:rPr>
          <w:rFonts w:cs="Arial"/>
          <w:bCs/>
          <w:snapToGrid w:val="0"/>
        </w:rPr>
        <w:t xml:space="preserve">The PBAC advised that venetoclax is not </w:t>
      </w:r>
      <w:r w:rsidRPr="005F2796">
        <w:t>suitable</w:t>
      </w:r>
      <w:r w:rsidRPr="005F2796">
        <w:rPr>
          <w:rFonts w:cs="Arial"/>
          <w:bCs/>
          <w:snapToGrid w:val="0"/>
        </w:rPr>
        <w:t xml:space="preserve"> for prescribing by nurse practitioners.</w:t>
      </w:r>
    </w:p>
    <w:p w:rsidR="00C575B8" w:rsidRPr="005F2796" w:rsidRDefault="00C575B8" w:rsidP="00F05F1D">
      <w:pPr>
        <w:pStyle w:val="ListParagraph"/>
        <w:numPr>
          <w:ilvl w:val="1"/>
          <w:numId w:val="2"/>
        </w:numPr>
        <w:spacing w:after="160"/>
        <w:rPr>
          <w:rFonts w:cs="Arial"/>
          <w:bCs/>
          <w:snapToGrid w:val="0"/>
        </w:rPr>
      </w:pPr>
      <w:r w:rsidRPr="005F2796">
        <w:rPr>
          <w:rFonts w:cs="Arial"/>
          <w:bCs/>
          <w:snapToGrid w:val="0"/>
        </w:rPr>
        <w:t>The PBAC recommended that venetoclax should not be treated as interchangeable on an individual patient basis with any other drugs, particularly noting the different mechanism of action of venetoclax to other available drugs.</w:t>
      </w:r>
    </w:p>
    <w:p w:rsidR="00C575B8" w:rsidRPr="005F2796" w:rsidRDefault="00C575B8" w:rsidP="00F05F1D">
      <w:pPr>
        <w:pStyle w:val="ListParagraph"/>
        <w:numPr>
          <w:ilvl w:val="1"/>
          <w:numId w:val="2"/>
        </w:numPr>
        <w:spacing w:after="160"/>
        <w:rPr>
          <w:rFonts w:cs="Arial"/>
          <w:bCs/>
          <w:snapToGrid w:val="0"/>
        </w:rPr>
      </w:pPr>
      <w:r w:rsidRPr="005F2796">
        <w:rPr>
          <w:rFonts w:cs="Arial"/>
          <w:bCs/>
          <w:snapToGrid w:val="0"/>
        </w:rPr>
        <w:t>The PBAC recommended that the Early Supply Rule should apply.</w:t>
      </w:r>
    </w:p>
    <w:p w:rsidR="00C575B8" w:rsidRPr="005F2796" w:rsidRDefault="00C575B8" w:rsidP="00F05F1D">
      <w:pPr>
        <w:pStyle w:val="ListParagraph"/>
        <w:numPr>
          <w:ilvl w:val="1"/>
          <w:numId w:val="2"/>
        </w:numPr>
        <w:spacing w:after="160"/>
        <w:rPr>
          <w:bCs/>
          <w:szCs w:val="24"/>
          <w:lang w:eastAsia="en-AU"/>
        </w:rPr>
      </w:pPr>
      <w:r w:rsidRPr="005F2796">
        <w:rPr>
          <w:bCs/>
          <w:szCs w:val="24"/>
          <w:lang w:eastAsia="en-AU"/>
        </w:rPr>
        <w:t>The PBAC noted that this submission was not eligible for an Independent Review as it was a positive recommendation.</w:t>
      </w:r>
    </w:p>
    <w:p w:rsidR="009D3573" w:rsidRPr="00603381" w:rsidRDefault="006C359A" w:rsidP="006C359A">
      <w:pPr>
        <w:pStyle w:val="Heading2"/>
        <w:spacing w:before="0" w:after="160"/>
        <w:rPr>
          <w:i w:val="0"/>
          <w:sz w:val="24"/>
          <w:szCs w:val="24"/>
        </w:rPr>
      </w:pPr>
      <w:r w:rsidRPr="00603381">
        <w:rPr>
          <w:i w:val="0"/>
          <w:sz w:val="24"/>
          <w:szCs w:val="24"/>
        </w:rPr>
        <w:t>Outcome:</w:t>
      </w:r>
    </w:p>
    <w:p w:rsidR="003D10D5" w:rsidRDefault="000C0A28" w:rsidP="00DA6D5C">
      <w:pPr>
        <w:spacing w:after="160"/>
      </w:pPr>
      <w:r w:rsidRPr="002068F8">
        <w:rPr>
          <w:snapToGrid w:val="0"/>
        </w:rPr>
        <w:t>Recommended</w:t>
      </w:r>
      <w:r w:rsidRPr="005F2796">
        <w:t>.</w:t>
      </w:r>
    </w:p>
    <w:p w:rsidR="00603381" w:rsidRPr="005F2796" w:rsidRDefault="00603381" w:rsidP="00DA6D5C">
      <w:pPr>
        <w:spacing w:after="160"/>
      </w:pPr>
    </w:p>
    <w:p w:rsidR="00AB3B2C" w:rsidRPr="005F2796" w:rsidRDefault="00AB3B2C" w:rsidP="00AB3B2C">
      <w:pPr>
        <w:pStyle w:val="Heading1"/>
        <w:spacing w:before="0" w:after="160"/>
        <w:ind w:left="709" w:hanging="709"/>
      </w:pPr>
      <w:r w:rsidRPr="005F2796">
        <w:t>Recommended listing</w:t>
      </w:r>
    </w:p>
    <w:p w:rsidR="00692FAC" w:rsidRPr="00F479FE" w:rsidRDefault="00692FAC" w:rsidP="00AB3B2C">
      <w:pPr>
        <w:pStyle w:val="ListParagraph"/>
        <w:numPr>
          <w:ilvl w:val="1"/>
          <w:numId w:val="2"/>
        </w:numPr>
        <w:spacing w:after="160"/>
      </w:pPr>
      <w:r w:rsidRPr="00F479FE">
        <w:t>The sponsor has not provided wording for the proposed grandfathering restriction.</w:t>
      </w:r>
    </w:p>
    <w:p w:rsidR="00AB3B2C" w:rsidRPr="00F479FE" w:rsidRDefault="00A660E6" w:rsidP="00AB3B2C">
      <w:pPr>
        <w:pStyle w:val="ListParagraph"/>
        <w:numPr>
          <w:ilvl w:val="1"/>
          <w:numId w:val="2"/>
        </w:numPr>
        <w:spacing w:after="160"/>
      </w:pPr>
      <w:r w:rsidRPr="00F479FE">
        <w:t>Add new item:</w:t>
      </w:r>
    </w:p>
    <w:p w:rsidR="0016323F" w:rsidRPr="00603381" w:rsidRDefault="0016323F" w:rsidP="003B0FCB">
      <w:pPr>
        <w:pStyle w:val="Heading2"/>
      </w:pPr>
      <w:r w:rsidRPr="00603381">
        <w:t>Initial treatment</w:t>
      </w:r>
    </w:p>
    <w:tbl>
      <w:tblPr>
        <w:tblW w:w="9214" w:type="dxa"/>
        <w:tblInd w:w="108" w:type="dxa"/>
        <w:tblLayout w:type="fixed"/>
        <w:tblLook w:val="0000" w:firstRow="0" w:lastRow="0" w:firstColumn="0" w:lastColumn="0" w:noHBand="0" w:noVBand="0"/>
      </w:tblPr>
      <w:tblGrid>
        <w:gridCol w:w="2835"/>
        <w:gridCol w:w="567"/>
        <w:gridCol w:w="567"/>
        <w:gridCol w:w="1559"/>
        <w:gridCol w:w="1276"/>
        <w:gridCol w:w="2410"/>
      </w:tblGrid>
      <w:tr w:rsidR="00C45CA6" w:rsidRPr="005F2796" w:rsidTr="00C45CA6">
        <w:trPr>
          <w:gridAfter w:val="1"/>
          <w:wAfter w:w="2410" w:type="dxa"/>
          <w:cantSplit/>
          <w:trHeight w:val="471"/>
        </w:trPr>
        <w:tc>
          <w:tcPr>
            <w:tcW w:w="2835" w:type="dxa"/>
            <w:tcBorders>
              <w:bottom w:val="single" w:sz="4" w:space="0" w:color="auto"/>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Name, Restriction,</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Manner of administration and form</w:t>
            </w:r>
          </w:p>
        </w:tc>
        <w:tc>
          <w:tcPr>
            <w:tcW w:w="567" w:type="dxa"/>
            <w:tcBorders>
              <w:bottom w:val="single" w:sz="4" w:space="0" w:color="auto"/>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Max.</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Qty</w:t>
            </w:r>
          </w:p>
        </w:tc>
        <w:tc>
          <w:tcPr>
            <w:tcW w:w="567" w:type="dxa"/>
            <w:tcBorders>
              <w:bottom w:val="single" w:sz="4" w:space="0" w:color="auto"/>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№.of</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Rpts</w:t>
            </w:r>
          </w:p>
        </w:tc>
        <w:tc>
          <w:tcPr>
            <w:tcW w:w="2835" w:type="dxa"/>
            <w:gridSpan w:val="2"/>
            <w:tcBorders>
              <w:bottom w:val="single" w:sz="4" w:space="0" w:color="auto"/>
            </w:tcBorders>
          </w:tcPr>
          <w:p w:rsidR="00C45CA6" w:rsidRPr="005F2796" w:rsidRDefault="00C45CA6" w:rsidP="009E7C7F">
            <w:pPr>
              <w:keepNext/>
              <w:rPr>
                <w:rFonts w:ascii="Arial Narrow" w:hAnsi="Arial Narrow" w:cs="Arial"/>
                <w:sz w:val="20"/>
                <w:szCs w:val="20"/>
              </w:rPr>
            </w:pPr>
            <w:r w:rsidRPr="005F2796">
              <w:rPr>
                <w:rFonts w:ascii="Arial Narrow" w:hAnsi="Arial Narrow" w:cs="Arial"/>
                <w:sz w:val="20"/>
                <w:szCs w:val="20"/>
              </w:rPr>
              <w:t>Proprietary Name and Manufacturer</w:t>
            </w:r>
          </w:p>
        </w:tc>
      </w:tr>
      <w:tr w:rsidR="00C45CA6" w:rsidRPr="005F2796" w:rsidTr="00C45CA6">
        <w:trPr>
          <w:gridAfter w:val="1"/>
          <w:wAfter w:w="2410" w:type="dxa"/>
          <w:cantSplit/>
          <w:trHeight w:val="577"/>
        </w:trPr>
        <w:tc>
          <w:tcPr>
            <w:tcW w:w="2835" w:type="dxa"/>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mallCaps/>
                <w:sz w:val="20"/>
                <w:szCs w:val="20"/>
              </w:rPr>
              <w:t>Venetoclax</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Tablet, 10 mg, 14</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Tablet, 50 mg, 7</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Tablet, 100 mg, 21</w:t>
            </w:r>
          </w:p>
        </w:tc>
        <w:tc>
          <w:tcPr>
            <w:tcW w:w="567" w:type="dxa"/>
          </w:tcPr>
          <w:p w:rsidR="00C45CA6" w:rsidRPr="005F2796" w:rsidRDefault="00C45CA6" w:rsidP="009E7C7F">
            <w:pPr>
              <w:keepNext/>
              <w:ind w:left="-108"/>
              <w:rPr>
                <w:rFonts w:ascii="Arial Narrow" w:hAnsi="Arial Narrow" w:cs="Arial"/>
                <w:sz w:val="20"/>
                <w:szCs w:val="20"/>
              </w:rPr>
            </w:pP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1</w:t>
            </w:r>
          </w:p>
        </w:tc>
        <w:tc>
          <w:tcPr>
            <w:tcW w:w="567" w:type="dxa"/>
          </w:tcPr>
          <w:p w:rsidR="00C45CA6" w:rsidRPr="005F2796" w:rsidRDefault="00C45CA6" w:rsidP="009E7C7F">
            <w:pPr>
              <w:keepNext/>
              <w:ind w:left="-108"/>
              <w:rPr>
                <w:rFonts w:ascii="Arial Narrow" w:hAnsi="Arial Narrow" w:cs="Arial"/>
                <w:sz w:val="20"/>
                <w:szCs w:val="20"/>
              </w:rPr>
            </w:pP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0</w:t>
            </w:r>
          </w:p>
        </w:tc>
        <w:tc>
          <w:tcPr>
            <w:tcW w:w="1559" w:type="dxa"/>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Venclexta</w:t>
            </w:r>
            <w:r w:rsidRPr="005F2796">
              <w:rPr>
                <w:rFonts w:ascii="Arial Narrow" w:hAnsi="Arial Narrow" w:cs="Arial"/>
                <w:sz w:val="20"/>
                <w:szCs w:val="20"/>
                <w:vertAlign w:val="superscript"/>
              </w:rPr>
              <w:t>®</w:t>
            </w:r>
          </w:p>
        </w:tc>
        <w:tc>
          <w:tcPr>
            <w:tcW w:w="1276" w:type="dxa"/>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AbbVie</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sz w:val="20"/>
                <w:szCs w:val="20"/>
              </w:rPr>
              <w:t>GENERAL – General Schedule (Code GE)</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Check1"/>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 xml:space="preserve">Dental  </w:t>
            </w:r>
            <w:r w:rsidRPr="002068F8">
              <w:rPr>
                <w:rFonts w:ascii="Arial Narrow" w:hAnsi="Arial Narrow" w:cs="Arial"/>
                <w:sz w:val="20"/>
                <w:szCs w:val="20"/>
              </w:rPr>
              <w:fldChar w:fldCharType="begin">
                <w:ffData>
                  <w:name w:val=""/>
                  <w:enabled/>
                  <w:calcOnExit w:val="0"/>
                  <w:checkBox>
                    <w:sizeAuto/>
                    <w:default w:val="1"/>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 xml:space="preserve">Medical Practitioners  </w:t>
            </w:r>
            <w:r w:rsidRPr="002068F8">
              <w:rPr>
                <w:rFonts w:ascii="Arial Narrow" w:hAnsi="Arial Narrow" w:cs="Arial"/>
                <w:sz w:val="20"/>
                <w:szCs w:val="20"/>
              </w:rPr>
              <w:fldChar w:fldCharType="begin">
                <w:ffData>
                  <w:name w:val="Check3"/>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 xml:space="preserve">Nurse practitioners  </w:t>
            </w:r>
            <w:r w:rsidRPr="002068F8">
              <w:rPr>
                <w:rFonts w:ascii="Arial Narrow" w:hAnsi="Arial Narrow" w:cs="Arial"/>
                <w:sz w:val="20"/>
                <w:szCs w:val="20"/>
              </w:rPr>
              <w:fldChar w:fldCharType="begin">
                <w:ffData>
                  <w:name w:val=""/>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Optometrists</w:t>
            </w:r>
          </w:p>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Check5"/>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Midwives</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Episodicity:</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3C2067" w:rsidP="009E7C7F">
            <w:pPr>
              <w:rPr>
                <w:rFonts w:ascii="Arial Narrow" w:hAnsi="Arial Narrow" w:cs="Arial"/>
                <w:sz w:val="20"/>
                <w:szCs w:val="20"/>
              </w:rPr>
            </w:pPr>
            <w:r w:rsidRPr="005F2796">
              <w:rPr>
                <w:rFonts w:ascii="Arial Narrow" w:hAnsi="Arial Narrow" w:cs="Calibri"/>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Calibri"/>
                <w:sz w:val="20"/>
                <w:szCs w:val="20"/>
              </w:rPr>
              <w:t>Chronic lymphocytic leukaemia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3C2067">
            <w:pPr>
              <w:rPr>
                <w:rFonts w:ascii="Arial Narrow" w:hAnsi="Arial Narrow" w:cs="Arial"/>
                <w:sz w:val="20"/>
                <w:szCs w:val="20"/>
              </w:rPr>
            </w:pPr>
            <w:r w:rsidRPr="005F2796">
              <w:rPr>
                <w:rFonts w:ascii="Arial Narrow" w:hAnsi="Arial Narrow" w:cs="Calibri"/>
                <w:sz w:val="20"/>
                <w:szCs w:val="20"/>
              </w:rPr>
              <w:t xml:space="preserve">Chronic lymphocytic leukaemia </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i/>
                <w:sz w:val="20"/>
                <w:szCs w:val="20"/>
              </w:rPr>
            </w:pPr>
            <w:r w:rsidRPr="005F2796">
              <w:rPr>
                <w:rFonts w:ascii="Arial Narrow" w:hAnsi="Arial Narrow" w:cs="Arial"/>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sz w:val="20"/>
                <w:szCs w:val="20"/>
              </w:rPr>
              <w:t>Initial treatment</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Restriction Level / Method:</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Check1"/>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Restricted benefit</w:t>
            </w:r>
          </w:p>
          <w:p w:rsidR="0016323F" w:rsidRPr="005F2796" w:rsidRDefault="003C2067" w:rsidP="009E7C7F">
            <w:pPr>
              <w:rPr>
                <w:rFonts w:ascii="Arial Narrow" w:hAnsi="Arial Narrow" w:cs="Calibri"/>
                <w:sz w:val="20"/>
                <w:szCs w:val="20"/>
              </w:rPr>
            </w:pPr>
            <w:r w:rsidRPr="002068F8">
              <w:rPr>
                <w:rFonts w:ascii="Arial Narrow" w:hAnsi="Arial Narrow" w:cs="Calibri"/>
                <w:sz w:val="20"/>
                <w:szCs w:val="20"/>
              </w:rPr>
              <w:fldChar w:fldCharType="begin">
                <w:ffData>
                  <w:name w:val=""/>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0016323F" w:rsidRPr="005F2796">
              <w:rPr>
                <w:rFonts w:ascii="Arial Narrow" w:hAnsi="Arial Narrow" w:cs="Calibri"/>
                <w:sz w:val="20"/>
                <w:szCs w:val="20"/>
              </w:rPr>
              <w:t>Authority Required - In Writing</w:t>
            </w:r>
          </w:p>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Check3"/>
                  <w:enabled/>
                  <w:calcOnExit w:val="0"/>
                  <w:checkBox>
                    <w:sizeAuto/>
                    <w:default w:val="1"/>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Authority Required - Telephone</w:t>
            </w:r>
          </w:p>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Authority Required – Emergency</w:t>
            </w:r>
          </w:p>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Check5"/>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Authority Required - Electronic</w:t>
            </w:r>
          </w:p>
          <w:p w:rsidR="0016323F" w:rsidRPr="005F2796" w:rsidRDefault="0016323F" w:rsidP="009E7C7F">
            <w:pPr>
              <w:rPr>
                <w:rFonts w:ascii="Arial Narrow" w:hAnsi="Arial Narrow" w:cs="Arial"/>
                <w:sz w:val="20"/>
                <w:szCs w:val="20"/>
              </w:rPr>
            </w:pPr>
            <w:r w:rsidRPr="002068F8">
              <w:rPr>
                <w:rFonts w:ascii="Arial Narrow" w:hAnsi="Arial Narrow" w:cs="Calibri"/>
                <w:sz w:val="20"/>
                <w:szCs w:val="20"/>
              </w:rPr>
              <w:fldChar w:fldCharType="begin">
                <w:ffData>
                  <w:name w:val="Check5"/>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Streamlined</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Treatment criteria:</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3C2067" w:rsidP="009E7C7F">
            <w:pPr>
              <w:rPr>
                <w:rFonts w:ascii="Arial Narrow" w:hAnsi="Arial Narrow"/>
                <w:sz w:val="20"/>
                <w:szCs w:val="20"/>
              </w:rPr>
            </w:pPr>
            <w:r w:rsidRPr="005F2796">
              <w:rPr>
                <w:rFonts w:ascii="Arial Narrow" w:hAnsi="Arial Narrow"/>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b/>
                <w:sz w:val="20"/>
                <w:szCs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The treatment must be used as monotherapy,</w:t>
            </w:r>
          </w:p>
          <w:p w:rsidR="0016323F" w:rsidRPr="005F2796" w:rsidRDefault="0016323F" w:rsidP="009E7C7F">
            <w:pPr>
              <w:rPr>
                <w:rFonts w:ascii="Arial Narrow" w:hAnsi="Arial Narrow" w:cs="Calibri"/>
                <w:b/>
                <w:sz w:val="20"/>
                <w:szCs w:val="20"/>
              </w:rPr>
            </w:pPr>
            <w:r w:rsidRPr="005F2796">
              <w:rPr>
                <w:rFonts w:ascii="Arial Narrow" w:hAnsi="Arial Narrow" w:cs="Calibri"/>
                <w:b/>
                <w:sz w:val="20"/>
                <w:szCs w:val="20"/>
              </w:rPr>
              <w:t>AND</w:t>
            </w:r>
          </w:p>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The condition must have relapsed or be refractory to at least one prior therapy,</w:t>
            </w:r>
          </w:p>
          <w:p w:rsidR="0016323F" w:rsidRPr="005F2796" w:rsidRDefault="0016323F" w:rsidP="009E7C7F">
            <w:pPr>
              <w:rPr>
                <w:rFonts w:ascii="Arial Narrow" w:hAnsi="Arial Narrow" w:cs="Calibri"/>
                <w:sz w:val="20"/>
                <w:szCs w:val="20"/>
              </w:rPr>
            </w:pPr>
            <w:r w:rsidRPr="005F2796">
              <w:rPr>
                <w:rFonts w:ascii="Arial Narrow" w:hAnsi="Arial Narrow" w:cs="Calibri"/>
                <w:b/>
                <w:sz w:val="20"/>
                <w:szCs w:val="20"/>
              </w:rPr>
              <w:t>AND</w:t>
            </w:r>
          </w:p>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Patient must have a WHO performance status of 0 or 1,</w:t>
            </w:r>
          </w:p>
          <w:p w:rsidR="0016323F" w:rsidRPr="005F2796" w:rsidRDefault="0016323F" w:rsidP="009E7C7F">
            <w:pPr>
              <w:rPr>
                <w:rFonts w:ascii="Arial Narrow" w:hAnsi="Arial Narrow" w:cs="Calibri"/>
                <w:sz w:val="20"/>
                <w:szCs w:val="20"/>
              </w:rPr>
            </w:pPr>
            <w:r w:rsidRPr="005F2796">
              <w:rPr>
                <w:rFonts w:ascii="Arial Narrow" w:hAnsi="Arial Narrow" w:cs="Calibri"/>
                <w:b/>
                <w:sz w:val="20"/>
                <w:szCs w:val="20"/>
              </w:rPr>
              <w:t>AND</w:t>
            </w:r>
          </w:p>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Patient must not have previously received PBS-subsidised treatment with this drug,</w:t>
            </w:r>
          </w:p>
          <w:p w:rsidR="0016323F" w:rsidRPr="005F2796" w:rsidRDefault="0016323F" w:rsidP="009E7C7F">
            <w:pPr>
              <w:rPr>
                <w:rFonts w:ascii="Arial Narrow" w:hAnsi="Arial Narrow" w:cs="Calibri"/>
                <w:sz w:val="20"/>
                <w:szCs w:val="20"/>
              </w:rPr>
            </w:pPr>
            <w:r w:rsidRPr="005F2796">
              <w:rPr>
                <w:rFonts w:ascii="Arial Narrow" w:hAnsi="Arial Narrow" w:cs="Calibri"/>
                <w:b/>
                <w:sz w:val="20"/>
                <w:szCs w:val="20"/>
              </w:rPr>
              <w:t>AND</w:t>
            </w:r>
          </w:p>
          <w:p w:rsidR="0016323F" w:rsidRPr="005F2796" w:rsidRDefault="0016323F" w:rsidP="009E7C7F">
            <w:pPr>
              <w:rPr>
                <w:rFonts w:ascii="Arial Narrow" w:hAnsi="Arial Narrow" w:cs="Arial"/>
                <w:i/>
                <w:sz w:val="20"/>
                <w:szCs w:val="20"/>
              </w:rPr>
            </w:pPr>
            <w:r w:rsidRPr="005F2796">
              <w:rPr>
                <w:rFonts w:ascii="Arial Narrow" w:hAnsi="Arial Narrow" w:cs="Calibri"/>
                <w:sz w:val="20"/>
                <w:szCs w:val="20"/>
              </w:rPr>
              <w:t>Patient must be considered unsuitable for treatment or retreatment with a purine analogue.</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Population criteria:</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A patient must be considered unsuitable for treatment or retreatment with a purine analogue as demonstrated by at least one of the following:</w:t>
            </w:r>
          </w:p>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 xml:space="preserve">a) </w:t>
            </w:r>
            <w:r w:rsidR="00DA6D5C" w:rsidRPr="005F2796">
              <w:rPr>
                <w:rFonts w:ascii="Arial Narrow" w:hAnsi="Arial Narrow" w:cs="Calibri"/>
                <w:sz w:val="20"/>
                <w:szCs w:val="20"/>
              </w:rPr>
              <w:t>f</w:t>
            </w:r>
            <w:r w:rsidRPr="005F2796">
              <w:rPr>
                <w:rFonts w:ascii="Arial Narrow" w:hAnsi="Arial Narrow" w:cs="Calibri"/>
                <w:sz w:val="20"/>
                <w:szCs w:val="20"/>
              </w:rPr>
              <w:t>ailure to respond (stable disease or disease progression on treatment), or a progression-free interval of less than 3 years from treatment with a purine analogue-based therapy and anti-CD20-containing chemoimmunotherapy regimen after at least two cycles;</w:t>
            </w:r>
          </w:p>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 xml:space="preserve">b) </w:t>
            </w:r>
            <w:r w:rsidR="00DA6D5C" w:rsidRPr="005F2796">
              <w:rPr>
                <w:rFonts w:ascii="Arial Narrow" w:hAnsi="Arial Narrow" w:cs="Calibri"/>
                <w:sz w:val="20"/>
                <w:szCs w:val="20"/>
              </w:rPr>
              <w:t>a</w:t>
            </w:r>
            <w:r w:rsidRPr="005F2796">
              <w:rPr>
                <w:rFonts w:ascii="Arial Narrow" w:hAnsi="Arial Narrow" w:cs="Calibri"/>
                <w:sz w:val="20"/>
                <w:szCs w:val="20"/>
              </w:rPr>
              <w:t>ge is 70 years or older;</w:t>
            </w:r>
          </w:p>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 xml:space="preserve">c) </w:t>
            </w:r>
            <w:r w:rsidR="00DA6D5C" w:rsidRPr="005F2796">
              <w:rPr>
                <w:rFonts w:ascii="Arial Narrow" w:hAnsi="Arial Narrow" w:cs="Calibri"/>
                <w:sz w:val="20"/>
                <w:szCs w:val="20"/>
              </w:rPr>
              <w:t>a</w:t>
            </w:r>
            <w:r w:rsidRPr="005F2796">
              <w:rPr>
                <w:rFonts w:ascii="Arial Narrow" w:hAnsi="Arial Narrow" w:cs="Calibri"/>
                <w:sz w:val="20"/>
                <w:szCs w:val="20"/>
              </w:rPr>
              <w:t>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p>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 xml:space="preserve">d) </w:t>
            </w:r>
            <w:r w:rsidR="00DA6D5C" w:rsidRPr="005F2796">
              <w:rPr>
                <w:rFonts w:ascii="Arial Narrow" w:hAnsi="Arial Narrow" w:cs="Calibri"/>
                <w:sz w:val="20"/>
                <w:szCs w:val="20"/>
              </w:rPr>
              <w:t>h</w:t>
            </w:r>
            <w:r w:rsidRPr="005F2796">
              <w:rPr>
                <w:rFonts w:ascii="Arial Narrow" w:hAnsi="Arial Narrow" w:cs="Calibri"/>
                <w:sz w:val="20"/>
                <w:szCs w:val="20"/>
              </w:rPr>
              <w:t>istory of purine analogue-associated autoimmune anaemia or autoimmune thrombocytopenia;</w:t>
            </w:r>
          </w:p>
          <w:p w:rsidR="0016323F" w:rsidRPr="005F2796" w:rsidRDefault="0016323F" w:rsidP="009E7C7F">
            <w:pPr>
              <w:rPr>
                <w:rFonts w:ascii="Arial Narrow" w:hAnsi="Arial Narrow" w:cs="Arial"/>
                <w:sz w:val="20"/>
                <w:szCs w:val="20"/>
              </w:rPr>
            </w:pPr>
            <w:r w:rsidRPr="005F2796">
              <w:rPr>
                <w:rFonts w:ascii="Arial Narrow" w:hAnsi="Arial Narrow" w:cs="Calibri"/>
                <w:sz w:val="20"/>
                <w:szCs w:val="20"/>
              </w:rPr>
              <w:t xml:space="preserve">e) </w:t>
            </w:r>
            <w:r w:rsidR="00DA6D5C" w:rsidRPr="005F2796">
              <w:rPr>
                <w:rFonts w:ascii="Arial Narrow" w:hAnsi="Arial Narrow" w:cs="Calibri"/>
                <w:sz w:val="20"/>
                <w:szCs w:val="20"/>
              </w:rPr>
              <w:t>e</w:t>
            </w:r>
            <w:r w:rsidRPr="005F2796">
              <w:rPr>
                <w:rFonts w:ascii="Arial Narrow" w:hAnsi="Arial Narrow" w:cs="Calibri"/>
                <w:sz w:val="20"/>
                <w:szCs w:val="20"/>
              </w:rPr>
              <w:t xml:space="preserve">vidence of one or more 17p chromosomal deletions demonstrated by fluorescence </w:t>
            </w:r>
            <w:r w:rsidRPr="005F2796">
              <w:rPr>
                <w:rFonts w:ascii="Arial Narrow" w:hAnsi="Arial Narrow" w:cs="Calibri"/>
                <w:i/>
                <w:sz w:val="20"/>
                <w:szCs w:val="20"/>
              </w:rPr>
              <w:t>in situ</w:t>
            </w:r>
            <w:r w:rsidRPr="005F2796">
              <w:rPr>
                <w:rFonts w:ascii="Arial Narrow" w:hAnsi="Arial Narrow" w:cs="Calibri"/>
                <w:sz w:val="20"/>
                <w:szCs w:val="20"/>
              </w:rPr>
              <w:t xml:space="preserve"> hybridisation</w:t>
            </w:r>
            <w:r w:rsidRPr="005F2796">
              <w:rPr>
                <w:rFonts w:ascii="Arial Narrow" w:hAnsi="Arial Narrow" w:cs="Calibri"/>
                <w:i/>
                <w:sz w:val="20"/>
                <w:szCs w:val="20"/>
              </w:rPr>
              <w:t xml:space="preserve"> </w:t>
            </w:r>
            <w:r w:rsidRPr="005F2796">
              <w:rPr>
                <w:rFonts w:ascii="Arial Narrow" w:hAnsi="Arial Narrow" w:cs="Calibri"/>
                <w:sz w:val="20"/>
                <w:szCs w:val="20"/>
              </w:rPr>
              <w:t>(FISH).</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Foreword</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Definitions</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b/>
                <w:sz w:val="20"/>
                <w:szCs w:val="20"/>
              </w:rPr>
              <w:t>Prescriber Instructions</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3C2067" w:rsidP="009E7C7F">
            <w:pPr>
              <w:pStyle w:val="ListParagraph"/>
              <w:ind w:left="0"/>
              <w:rPr>
                <w:rFonts w:ascii="Arial Narrow" w:hAnsi="Arial Narrow" w:cs="Arial"/>
                <w:sz w:val="20"/>
                <w:szCs w:val="20"/>
              </w:rPr>
            </w:pPr>
            <w:r w:rsidRPr="005F2796">
              <w:rPr>
                <w:rFonts w:ascii="Arial Narrow" w:hAnsi="Arial Narrow" w:cs="Arial"/>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i/>
                <w:sz w:val="20"/>
                <w:szCs w:val="20"/>
              </w:rPr>
            </w:pPr>
            <w:r w:rsidRPr="005F2796">
              <w:rPr>
                <w:rFonts w:ascii="Arial Narrow" w:hAnsi="Arial Narrow" w:cs="Arial"/>
                <w:b/>
                <w:sz w:val="20"/>
                <w:szCs w:val="20"/>
              </w:rPr>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sz w:val="20"/>
              </w:rPr>
            </w:pPr>
            <w:r w:rsidRPr="005F2796">
              <w:rPr>
                <w:rFonts w:ascii="Arial Narrow" w:hAnsi="Arial Narrow"/>
                <w:sz w:val="20"/>
              </w:rPr>
              <w:t>No increase in the maximum quantity or num</w:t>
            </w:r>
            <w:r w:rsidR="00255367" w:rsidRPr="005F2796">
              <w:rPr>
                <w:rFonts w:ascii="Arial Narrow" w:hAnsi="Arial Narrow"/>
                <w:sz w:val="20"/>
              </w:rPr>
              <w:t>ber of units may be authorised.</w:t>
            </w:r>
          </w:p>
          <w:p w:rsidR="0016323F" w:rsidRPr="005F2796" w:rsidRDefault="0016323F" w:rsidP="009E7C7F">
            <w:pPr>
              <w:rPr>
                <w:rFonts w:ascii="Arial Narrow" w:hAnsi="Arial Narrow"/>
                <w:sz w:val="20"/>
              </w:rPr>
            </w:pPr>
          </w:p>
          <w:p w:rsidR="0016323F" w:rsidRPr="005F2796" w:rsidRDefault="0016323F" w:rsidP="009E7C7F">
            <w:pPr>
              <w:rPr>
                <w:rFonts w:ascii="Arial Narrow" w:hAnsi="Arial Narrow"/>
                <w:sz w:val="20"/>
              </w:rPr>
            </w:pPr>
            <w:r w:rsidRPr="005F2796">
              <w:rPr>
                <w:rFonts w:ascii="Arial Narrow" w:hAnsi="Arial Narrow"/>
                <w:sz w:val="20"/>
              </w:rPr>
              <w:t>No increase in the maximum number of repeats may be authorised.</w:t>
            </w:r>
          </w:p>
          <w:p w:rsidR="0016323F" w:rsidRPr="005F2796" w:rsidRDefault="0016323F" w:rsidP="009E7C7F">
            <w:pPr>
              <w:rPr>
                <w:rFonts w:ascii="Arial Narrow" w:hAnsi="Arial Narrow" w:cs="Arial"/>
                <w:sz w:val="20"/>
                <w:szCs w:val="20"/>
              </w:rPr>
            </w:pPr>
          </w:p>
          <w:p w:rsidR="0016323F" w:rsidRPr="005F2796" w:rsidRDefault="0016323F" w:rsidP="009E7C7F">
            <w:pPr>
              <w:rPr>
                <w:rFonts w:ascii="Arial Narrow" w:hAnsi="Arial Narrow" w:cs="Arial"/>
                <w:i/>
                <w:strike/>
                <w:sz w:val="20"/>
                <w:szCs w:val="20"/>
              </w:rPr>
            </w:pPr>
            <w:r w:rsidRPr="005F2796">
              <w:rPr>
                <w:rFonts w:ascii="Arial Narrow" w:hAnsi="Arial Narrow" w:cs="Arial"/>
                <w:sz w:val="20"/>
                <w:szCs w:val="20"/>
              </w:rPr>
              <w:t>Special pricing arrangements apply.</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Cautions</w:t>
            </w:r>
          </w:p>
        </w:tc>
        <w:tc>
          <w:tcPr>
            <w:tcW w:w="6379" w:type="dxa"/>
            <w:gridSpan w:val="5"/>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sz w:val="20"/>
                <w:szCs w:val="20"/>
              </w:rPr>
              <w:t>NA</w:t>
            </w:r>
          </w:p>
        </w:tc>
      </w:tr>
    </w:tbl>
    <w:p w:rsidR="0016323F" w:rsidRPr="005F2796" w:rsidRDefault="0016323F" w:rsidP="00B24983">
      <w:pPr>
        <w:pStyle w:val="Heading2"/>
        <w:rPr>
          <w:rFonts w:eastAsiaTheme="minorHAnsi"/>
        </w:rPr>
      </w:pPr>
      <w:r w:rsidRPr="005F2796">
        <w:rPr>
          <w:rFonts w:ascii="Arial" w:hAnsi="Arial" w:cs="Arial"/>
          <w:sz w:val="22"/>
        </w:rPr>
        <w:br w:type="page"/>
      </w:r>
      <w:r w:rsidRPr="005F2796">
        <w:rPr>
          <w:rFonts w:eastAsiaTheme="minorHAnsi"/>
        </w:rPr>
        <w:t>Dose holding</w:t>
      </w:r>
    </w:p>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C45CA6" w:rsidRPr="005F2796" w:rsidTr="00C45CA6">
        <w:trPr>
          <w:gridAfter w:val="1"/>
          <w:wAfter w:w="1701" w:type="dxa"/>
          <w:cantSplit/>
          <w:trHeight w:val="471"/>
        </w:trPr>
        <w:tc>
          <w:tcPr>
            <w:tcW w:w="3261" w:type="dxa"/>
            <w:gridSpan w:val="2"/>
            <w:tcBorders>
              <w:bottom w:val="single" w:sz="4" w:space="0" w:color="auto"/>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Name, Restriction,</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Manner of administration and form</w:t>
            </w:r>
          </w:p>
        </w:tc>
        <w:tc>
          <w:tcPr>
            <w:tcW w:w="567" w:type="dxa"/>
            <w:tcBorders>
              <w:bottom w:val="single" w:sz="4" w:space="0" w:color="auto"/>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Max.</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Qty</w:t>
            </w:r>
          </w:p>
        </w:tc>
        <w:tc>
          <w:tcPr>
            <w:tcW w:w="850" w:type="dxa"/>
            <w:tcBorders>
              <w:bottom w:val="single" w:sz="4" w:space="0" w:color="auto"/>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№.of</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Rpts</w:t>
            </w:r>
          </w:p>
        </w:tc>
        <w:tc>
          <w:tcPr>
            <w:tcW w:w="2835" w:type="dxa"/>
            <w:gridSpan w:val="2"/>
            <w:tcBorders>
              <w:bottom w:val="single" w:sz="4" w:space="0" w:color="auto"/>
            </w:tcBorders>
          </w:tcPr>
          <w:p w:rsidR="00C45CA6" w:rsidRPr="002068F8" w:rsidRDefault="00C45CA6" w:rsidP="009E7C7F">
            <w:pPr>
              <w:keepNext/>
              <w:rPr>
                <w:rFonts w:ascii="Arial Narrow" w:hAnsi="Arial Narrow" w:cs="Arial"/>
                <w:sz w:val="20"/>
                <w:szCs w:val="20"/>
              </w:rPr>
            </w:pPr>
            <w:r w:rsidRPr="005F2796">
              <w:rPr>
                <w:rFonts w:ascii="Arial Narrow" w:hAnsi="Arial Narrow" w:cs="Arial"/>
                <w:sz w:val="20"/>
                <w:szCs w:val="20"/>
              </w:rPr>
              <w:t>Proprietary Name and Manufacturer</w:t>
            </w:r>
          </w:p>
        </w:tc>
      </w:tr>
      <w:tr w:rsidR="00C45CA6" w:rsidRPr="005F2796" w:rsidTr="00C45CA6">
        <w:trPr>
          <w:gridAfter w:val="1"/>
          <w:wAfter w:w="1701" w:type="dxa"/>
          <w:cantSplit/>
          <w:trHeight w:val="577"/>
        </w:trPr>
        <w:tc>
          <w:tcPr>
            <w:tcW w:w="3261" w:type="dxa"/>
            <w:gridSpan w:val="2"/>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mallCaps/>
                <w:sz w:val="20"/>
                <w:szCs w:val="20"/>
              </w:rPr>
              <w:t>VENETOCLAX</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 xml:space="preserve">Tablet 10 mg, 14 </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Tablet 50 mg, 7</w:t>
            </w:r>
          </w:p>
        </w:tc>
        <w:tc>
          <w:tcPr>
            <w:tcW w:w="567" w:type="dxa"/>
          </w:tcPr>
          <w:p w:rsidR="00C45CA6" w:rsidRPr="005F2796" w:rsidRDefault="00C45CA6" w:rsidP="009E7C7F">
            <w:pPr>
              <w:keepNext/>
              <w:ind w:left="-108"/>
              <w:rPr>
                <w:rFonts w:ascii="Arial Narrow" w:hAnsi="Arial Narrow" w:cs="Arial"/>
                <w:sz w:val="20"/>
                <w:szCs w:val="20"/>
              </w:rPr>
            </w:pP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1</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1</w:t>
            </w:r>
          </w:p>
        </w:tc>
        <w:tc>
          <w:tcPr>
            <w:tcW w:w="850" w:type="dxa"/>
          </w:tcPr>
          <w:p w:rsidR="00C45CA6" w:rsidRPr="005F2796" w:rsidRDefault="00C45CA6" w:rsidP="009E7C7F">
            <w:pPr>
              <w:keepNext/>
              <w:ind w:left="-108"/>
              <w:rPr>
                <w:rFonts w:ascii="Arial Narrow" w:hAnsi="Arial Narrow" w:cs="Arial"/>
                <w:sz w:val="20"/>
                <w:szCs w:val="20"/>
              </w:rPr>
            </w:pP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0</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0</w:t>
            </w:r>
          </w:p>
        </w:tc>
        <w:tc>
          <w:tcPr>
            <w:tcW w:w="1559" w:type="dxa"/>
          </w:tcPr>
          <w:p w:rsidR="00C45CA6" w:rsidRPr="005F2796" w:rsidRDefault="00C45CA6" w:rsidP="009E7C7F">
            <w:pPr>
              <w:keepNext/>
              <w:rPr>
                <w:rFonts w:ascii="Arial Narrow" w:hAnsi="Arial Narrow" w:cs="Arial"/>
                <w:sz w:val="20"/>
                <w:szCs w:val="20"/>
              </w:rPr>
            </w:pPr>
            <w:r w:rsidRPr="005F2796">
              <w:rPr>
                <w:rFonts w:ascii="Arial Narrow" w:hAnsi="Arial Narrow" w:cs="Arial"/>
                <w:sz w:val="20"/>
                <w:szCs w:val="20"/>
              </w:rPr>
              <w:t>Venclexta</w:t>
            </w:r>
            <w:r w:rsidRPr="005F2796">
              <w:rPr>
                <w:rFonts w:ascii="Arial Narrow" w:hAnsi="Arial Narrow" w:cs="Arial"/>
                <w:sz w:val="20"/>
                <w:szCs w:val="20"/>
                <w:vertAlign w:val="superscript"/>
              </w:rPr>
              <w:t>®</w:t>
            </w:r>
          </w:p>
        </w:tc>
        <w:tc>
          <w:tcPr>
            <w:tcW w:w="1276" w:type="dxa"/>
          </w:tcPr>
          <w:p w:rsidR="00C45CA6" w:rsidRPr="005F2796" w:rsidRDefault="00C45CA6" w:rsidP="009E7C7F">
            <w:pPr>
              <w:keepNext/>
              <w:rPr>
                <w:rFonts w:ascii="Arial Narrow" w:hAnsi="Arial Narrow" w:cs="Arial"/>
                <w:sz w:val="20"/>
                <w:szCs w:val="20"/>
              </w:rPr>
            </w:pPr>
            <w:r w:rsidRPr="005F2796">
              <w:rPr>
                <w:rFonts w:ascii="Arial Narrow" w:hAnsi="Arial Narrow" w:cs="Arial"/>
                <w:sz w:val="20"/>
                <w:szCs w:val="20"/>
              </w:rPr>
              <w:t>AbbVie</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sz w:val="20"/>
                <w:szCs w:val="20"/>
              </w:rPr>
              <w:t>GENERAL – General Schedule (Code GE)</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Check1"/>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 xml:space="preserve">Dental  </w:t>
            </w:r>
            <w:r w:rsidRPr="002068F8">
              <w:rPr>
                <w:rFonts w:ascii="Arial Narrow" w:hAnsi="Arial Narrow" w:cs="Arial"/>
                <w:sz w:val="20"/>
                <w:szCs w:val="20"/>
              </w:rPr>
              <w:fldChar w:fldCharType="begin">
                <w:ffData>
                  <w:name w:val=""/>
                  <w:enabled/>
                  <w:calcOnExit w:val="0"/>
                  <w:checkBox>
                    <w:sizeAuto/>
                    <w:default w:val="1"/>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 xml:space="preserve">Medical Practitioners  </w:t>
            </w:r>
            <w:r w:rsidRPr="002068F8">
              <w:rPr>
                <w:rFonts w:ascii="Arial Narrow" w:hAnsi="Arial Narrow" w:cs="Arial"/>
                <w:sz w:val="20"/>
                <w:szCs w:val="20"/>
              </w:rPr>
              <w:fldChar w:fldCharType="begin">
                <w:ffData>
                  <w:name w:val="Check3"/>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 xml:space="preserve">Nurse practitioners  </w:t>
            </w:r>
            <w:r w:rsidRPr="002068F8">
              <w:rPr>
                <w:rFonts w:ascii="Arial Narrow" w:hAnsi="Arial Narrow" w:cs="Arial"/>
                <w:sz w:val="20"/>
                <w:szCs w:val="20"/>
              </w:rPr>
              <w:fldChar w:fldCharType="begin">
                <w:ffData>
                  <w:name w:val=""/>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Optometrists</w:t>
            </w:r>
          </w:p>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Check5"/>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Midwives</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3C2067"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3C2067"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Chronic lymphocytic leukaemia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3C2067">
            <w:pPr>
              <w:rPr>
                <w:rFonts w:ascii="Arial Narrow" w:hAnsi="Arial Narrow" w:cs="Calibri"/>
                <w:sz w:val="20"/>
                <w:szCs w:val="20"/>
              </w:rPr>
            </w:pPr>
            <w:r w:rsidRPr="005F2796">
              <w:rPr>
                <w:rFonts w:ascii="Arial Narrow" w:hAnsi="Arial Narrow" w:cs="Calibri"/>
                <w:i/>
                <w:sz w:val="20"/>
                <w:szCs w:val="20"/>
              </w:rPr>
              <w:t>C</w:t>
            </w:r>
            <w:r w:rsidRPr="005F2796">
              <w:rPr>
                <w:rFonts w:ascii="Arial Narrow" w:hAnsi="Arial Narrow" w:cs="Calibri"/>
                <w:sz w:val="20"/>
                <w:szCs w:val="20"/>
              </w:rPr>
              <w:t xml:space="preserve">hronic lymphocytic leukaemia </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i/>
                <w:sz w:val="20"/>
                <w:szCs w:val="20"/>
              </w:rPr>
            </w:pPr>
            <w:r w:rsidRPr="005F2796">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Continuing treatment</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i/>
                <w:sz w:val="20"/>
                <w:szCs w:val="20"/>
              </w:rPr>
            </w:pPr>
            <w:r w:rsidRPr="005F2796">
              <w:rPr>
                <w:rFonts w:ascii="Arial Narrow" w:hAnsi="Arial Narrow" w:cs="Arial"/>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Check1"/>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Restricted benefit</w:t>
            </w:r>
          </w:p>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Authority Required - In Writing</w:t>
            </w:r>
          </w:p>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
                  <w:enabled/>
                  <w:calcOnExit w:val="0"/>
                  <w:checkBox>
                    <w:sizeAuto/>
                    <w:default w:val="1"/>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Authority Required - Telephone</w:t>
            </w:r>
          </w:p>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Authority Required - Emergency</w:t>
            </w:r>
          </w:p>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Check5"/>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Authority Required - Electronic</w:t>
            </w:r>
          </w:p>
          <w:p w:rsidR="0016323F" w:rsidRPr="005F2796" w:rsidRDefault="0016323F" w:rsidP="009E7C7F">
            <w:pPr>
              <w:rPr>
                <w:rFonts w:ascii="Arial Narrow" w:hAnsi="Arial Narrow" w:cs="Arial"/>
                <w:sz w:val="20"/>
                <w:szCs w:val="20"/>
              </w:rPr>
            </w:pPr>
            <w:r w:rsidRPr="002068F8">
              <w:rPr>
                <w:rFonts w:ascii="Arial Narrow" w:hAnsi="Arial Narrow" w:cs="Arial"/>
                <w:sz w:val="20"/>
                <w:szCs w:val="20"/>
              </w:rPr>
              <w:fldChar w:fldCharType="begin">
                <w:ffData>
                  <w:name w:val="Check5"/>
                  <w:enabled/>
                  <w:calcOnExit w:val="0"/>
                  <w:checkBox>
                    <w:sizeAuto/>
                    <w:default w:val="0"/>
                  </w:checkBox>
                </w:ffData>
              </w:fldChar>
            </w:r>
            <w:r w:rsidRPr="005F2796">
              <w:rPr>
                <w:rFonts w:ascii="Arial Narrow" w:hAnsi="Arial Narrow" w:cs="Arial"/>
                <w:sz w:val="20"/>
                <w:szCs w:val="20"/>
              </w:rPr>
              <w:instrText xml:space="preserve"> FORMCHECKBOX </w:instrText>
            </w:r>
            <w:r w:rsidR="00A04224">
              <w:rPr>
                <w:rFonts w:ascii="Arial Narrow" w:hAnsi="Arial Narrow" w:cs="Arial"/>
                <w:sz w:val="20"/>
                <w:szCs w:val="20"/>
              </w:rPr>
            </w:r>
            <w:r w:rsidR="00A04224">
              <w:rPr>
                <w:rFonts w:ascii="Arial Narrow" w:hAnsi="Arial Narrow" w:cs="Arial"/>
                <w:sz w:val="20"/>
                <w:szCs w:val="20"/>
              </w:rPr>
              <w:fldChar w:fldCharType="separate"/>
            </w:r>
            <w:r w:rsidRPr="002068F8">
              <w:rPr>
                <w:rFonts w:ascii="Arial Narrow" w:hAnsi="Arial Narrow" w:cs="Arial"/>
                <w:sz w:val="20"/>
                <w:szCs w:val="20"/>
              </w:rPr>
              <w:fldChar w:fldCharType="end"/>
            </w:r>
            <w:r w:rsidRPr="005F2796">
              <w:rPr>
                <w:rFonts w:ascii="Arial Narrow" w:hAnsi="Arial Narrow" w:cs="Arial"/>
                <w:sz w:val="20"/>
                <w:szCs w:val="20"/>
              </w:rPr>
              <w:t>Streamlined</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3C2067" w:rsidP="009E7C7F">
            <w:pPr>
              <w:pStyle w:val="TableText1"/>
              <w:rPr>
                <w:lang w:eastAsia="en-AU"/>
              </w:rPr>
            </w:pPr>
            <w:r w:rsidRPr="005F2796">
              <w:rPr>
                <w:lang w:eastAsia="en-AU"/>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sz w:val="20"/>
                <w:szCs w:val="20"/>
              </w:rPr>
            </w:pPr>
            <w:r w:rsidRPr="005F2796">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The treatment must be used as monotherapy,</w:t>
            </w:r>
          </w:p>
          <w:p w:rsidR="0016323F" w:rsidRPr="005F2796" w:rsidRDefault="0016323F" w:rsidP="009E7C7F">
            <w:pPr>
              <w:rPr>
                <w:rFonts w:ascii="Arial Narrow" w:hAnsi="Arial Narrow" w:cs="Calibri"/>
                <w:b/>
                <w:sz w:val="20"/>
                <w:szCs w:val="20"/>
              </w:rPr>
            </w:pPr>
            <w:r w:rsidRPr="005F2796">
              <w:rPr>
                <w:rFonts w:ascii="Arial Narrow" w:hAnsi="Arial Narrow" w:cs="Calibri"/>
                <w:b/>
                <w:sz w:val="20"/>
                <w:szCs w:val="20"/>
              </w:rPr>
              <w:t>AND</w:t>
            </w:r>
          </w:p>
          <w:p w:rsidR="0016323F" w:rsidRPr="005F2796" w:rsidRDefault="0016323F" w:rsidP="009E7C7F">
            <w:pPr>
              <w:pStyle w:val="TableText1"/>
              <w:rPr>
                <w:rFonts w:cs="Calibri"/>
              </w:rPr>
            </w:pPr>
            <w:r w:rsidRPr="005F2796">
              <w:rPr>
                <w:rFonts w:cs="Calibri"/>
              </w:rPr>
              <w:t>Patient must not develop progressive disease whilst receiving PBS-subsidised treatment with this drug for this condition,</w:t>
            </w:r>
          </w:p>
          <w:p w:rsidR="0016323F" w:rsidRPr="005F2796" w:rsidRDefault="0016323F" w:rsidP="009E7C7F">
            <w:pPr>
              <w:rPr>
                <w:rFonts w:ascii="Arial Narrow" w:hAnsi="Arial Narrow" w:cs="Calibri"/>
                <w:b/>
                <w:sz w:val="20"/>
                <w:szCs w:val="20"/>
              </w:rPr>
            </w:pPr>
            <w:r w:rsidRPr="005F2796">
              <w:rPr>
                <w:rFonts w:ascii="Arial Narrow" w:hAnsi="Arial Narrow" w:cs="Calibri"/>
                <w:b/>
                <w:sz w:val="20"/>
                <w:szCs w:val="20"/>
              </w:rPr>
              <w:t>AND</w:t>
            </w:r>
          </w:p>
          <w:p w:rsidR="0016323F" w:rsidRPr="005F2796" w:rsidRDefault="0016323F" w:rsidP="003C2067">
            <w:pPr>
              <w:rPr>
                <w:rFonts w:ascii="Arial Narrow" w:hAnsi="Arial Narrow" w:cs="Calibri"/>
                <w:sz w:val="20"/>
                <w:szCs w:val="20"/>
              </w:rPr>
            </w:pPr>
            <w:r w:rsidRPr="005F2796">
              <w:rPr>
                <w:rFonts w:ascii="Arial Narrow" w:hAnsi="Arial Narrow" w:cs="Calibri"/>
                <w:sz w:val="20"/>
                <w:szCs w:val="20"/>
              </w:rPr>
              <w:t>Patient must have previously received PBS-subsidised treatment with this drug for this condition.</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Foreword</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Definitions</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255367">
            <w:pPr>
              <w:rPr>
                <w:rFonts w:ascii="Arial Narrow" w:hAnsi="Arial Narrow" w:cs="Arial"/>
                <w:sz w:val="20"/>
                <w:szCs w:val="20"/>
              </w:rPr>
            </w:pPr>
            <w:r w:rsidRPr="005F2796">
              <w:rPr>
                <w:rFonts w:ascii="Arial Narrow" w:hAnsi="Arial Narrow" w:cs="Arial"/>
                <w:b/>
                <w:sz w:val="20"/>
                <w:szCs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sz w:val="20"/>
              </w:rPr>
            </w:pPr>
            <w:r w:rsidRPr="005F2796">
              <w:rPr>
                <w:rFonts w:ascii="Arial Narrow" w:hAnsi="Arial Narrow"/>
                <w:sz w:val="20"/>
              </w:rPr>
              <w:t xml:space="preserve">No increase in the maximum quantity or number of units may be authorised. </w:t>
            </w:r>
          </w:p>
          <w:p w:rsidR="0016323F" w:rsidRPr="005F2796" w:rsidRDefault="0016323F" w:rsidP="009E7C7F">
            <w:pPr>
              <w:rPr>
                <w:rFonts w:ascii="Arial Narrow" w:hAnsi="Arial Narrow"/>
                <w:sz w:val="20"/>
              </w:rPr>
            </w:pPr>
          </w:p>
          <w:p w:rsidR="0016323F" w:rsidRPr="005F2796" w:rsidRDefault="0016323F" w:rsidP="009E7C7F">
            <w:pPr>
              <w:rPr>
                <w:rFonts w:ascii="Arial Narrow" w:hAnsi="Arial Narrow"/>
                <w:sz w:val="20"/>
              </w:rPr>
            </w:pPr>
            <w:r w:rsidRPr="005F2796">
              <w:rPr>
                <w:rFonts w:ascii="Arial Narrow" w:hAnsi="Arial Narrow"/>
                <w:sz w:val="20"/>
              </w:rPr>
              <w:t xml:space="preserve">No increase in the maximum number of repeats may be authorised. </w:t>
            </w:r>
          </w:p>
          <w:p w:rsidR="0016323F" w:rsidRPr="005F2796" w:rsidRDefault="0016323F" w:rsidP="009E7C7F">
            <w:pPr>
              <w:rPr>
                <w:rFonts w:ascii="Arial Narrow" w:hAnsi="Arial Narrow" w:cs="Arial"/>
                <w:sz w:val="20"/>
                <w:szCs w:val="20"/>
              </w:rPr>
            </w:pPr>
          </w:p>
          <w:p w:rsidR="0016323F" w:rsidRPr="005F2796" w:rsidRDefault="0016323F" w:rsidP="009E7C7F">
            <w:pPr>
              <w:rPr>
                <w:rFonts w:ascii="Arial Narrow" w:hAnsi="Arial Narrow" w:cs="Calibri"/>
                <w:strike/>
                <w:sz w:val="20"/>
                <w:szCs w:val="20"/>
              </w:rPr>
            </w:pPr>
            <w:r w:rsidRPr="005F2796">
              <w:rPr>
                <w:rFonts w:ascii="Arial Narrow" w:hAnsi="Arial Narrow" w:cs="Arial"/>
                <w:sz w:val="20"/>
                <w:szCs w:val="20"/>
              </w:rPr>
              <w:t>Special pricing arrangements apply.</w:t>
            </w:r>
          </w:p>
        </w:tc>
      </w:tr>
      <w:tr w:rsidR="0016323F" w:rsidRPr="005F2796" w:rsidTr="00C45CA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bl>
    <w:p w:rsidR="0016323F" w:rsidRPr="005F2796" w:rsidRDefault="0016323F" w:rsidP="003B0FCB">
      <w:pPr>
        <w:pStyle w:val="Heading2"/>
        <w:rPr>
          <w:rFonts w:eastAsiaTheme="minorHAnsi"/>
        </w:rPr>
      </w:pPr>
      <w:r w:rsidRPr="005F2796">
        <w:rPr>
          <w:rFonts w:ascii="Arial" w:hAnsi="Arial" w:cs="Arial"/>
          <w:sz w:val="22"/>
        </w:rPr>
        <w:br w:type="page"/>
      </w:r>
      <w:r w:rsidRPr="005F2796">
        <w:rPr>
          <w:rFonts w:eastAsiaTheme="minorHAnsi"/>
        </w:rPr>
        <w:t>Continuing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448"/>
        <w:gridCol w:w="601"/>
        <w:gridCol w:w="903"/>
        <w:gridCol w:w="1654"/>
        <w:gridCol w:w="1359"/>
        <w:gridCol w:w="1809"/>
      </w:tblGrid>
      <w:tr w:rsidR="00C45CA6" w:rsidRPr="005F2796" w:rsidTr="00C45CA6">
        <w:trPr>
          <w:gridAfter w:val="1"/>
          <w:wAfter w:w="1003" w:type="pct"/>
          <w:cantSplit/>
          <w:trHeight w:val="577"/>
          <w:jc w:val="center"/>
        </w:trPr>
        <w:tc>
          <w:tcPr>
            <w:tcW w:w="1496" w:type="pct"/>
            <w:gridSpan w:val="2"/>
            <w:tcBorders>
              <w:top w:val="nil"/>
              <w:left w:val="nil"/>
              <w:bottom w:val="single" w:sz="4" w:space="0" w:color="auto"/>
              <w:right w:val="nil"/>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Name, Restriction,</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Manner of administration and form</w:t>
            </w:r>
          </w:p>
        </w:tc>
        <w:tc>
          <w:tcPr>
            <w:tcW w:w="333" w:type="pct"/>
            <w:tcBorders>
              <w:top w:val="nil"/>
              <w:left w:val="nil"/>
              <w:bottom w:val="single" w:sz="4" w:space="0" w:color="auto"/>
              <w:right w:val="nil"/>
            </w:tcBorders>
          </w:tcPr>
          <w:p w:rsidR="00C45CA6" w:rsidRPr="005F2796" w:rsidRDefault="00C45CA6" w:rsidP="009E7C7F">
            <w:pPr>
              <w:keepNext/>
              <w:ind w:left="-108"/>
              <w:rPr>
                <w:rFonts w:ascii="Arial Narrow" w:hAnsi="Arial Narrow"/>
                <w:sz w:val="20"/>
                <w:szCs w:val="20"/>
              </w:rPr>
            </w:pPr>
            <w:r w:rsidRPr="005F2796">
              <w:rPr>
                <w:rFonts w:ascii="Arial Narrow" w:hAnsi="Arial Narrow" w:cs="Arial"/>
                <w:sz w:val="20"/>
                <w:szCs w:val="20"/>
              </w:rPr>
              <w:t>Max</w:t>
            </w:r>
            <w:r w:rsidRPr="005F2796">
              <w:rPr>
                <w:rFonts w:ascii="Arial Narrow" w:hAnsi="Arial Narrow"/>
                <w:sz w:val="20"/>
                <w:szCs w:val="20"/>
              </w:rPr>
              <w:t>.</w:t>
            </w:r>
          </w:p>
          <w:p w:rsidR="00C45CA6" w:rsidRPr="005F2796" w:rsidRDefault="00C45CA6" w:rsidP="009E7C7F">
            <w:pPr>
              <w:keepNext/>
              <w:ind w:left="-108"/>
              <w:rPr>
                <w:rFonts w:ascii="Arial Narrow" w:hAnsi="Arial Narrow"/>
                <w:sz w:val="20"/>
                <w:szCs w:val="20"/>
              </w:rPr>
            </w:pPr>
            <w:r w:rsidRPr="005F2796">
              <w:rPr>
                <w:rFonts w:ascii="Arial Narrow" w:hAnsi="Arial Narrow" w:cs="Arial"/>
                <w:sz w:val="20"/>
                <w:szCs w:val="20"/>
              </w:rPr>
              <w:t>Qty</w:t>
            </w:r>
          </w:p>
        </w:tc>
        <w:tc>
          <w:tcPr>
            <w:tcW w:w="500" w:type="pct"/>
            <w:tcBorders>
              <w:top w:val="nil"/>
              <w:left w:val="nil"/>
              <w:bottom w:val="single" w:sz="4" w:space="0" w:color="auto"/>
              <w:right w:val="nil"/>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№.of</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Rpts</w:t>
            </w:r>
          </w:p>
        </w:tc>
        <w:tc>
          <w:tcPr>
            <w:tcW w:w="1669" w:type="pct"/>
            <w:gridSpan w:val="2"/>
            <w:tcBorders>
              <w:top w:val="nil"/>
              <w:left w:val="nil"/>
              <w:bottom w:val="single" w:sz="4" w:space="0" w:color="auto"/>
              <w:right w:val="nil"/>
            </w:tcBorders>
          </w:tcPr>
          <w:p w:rsidR="00C45CA6" w:rsidRPr="005F2796" w:rsidRDefault="00C45CA6" w:rsidP="009E7C7F">
            <w:pPr>
              <w:pStyle w:val="TableText1"/>
              <w:spacing w:before="0" w:after="0"/>
              <w:rPr>
                <w:szCs w:val="24"/>
                <w:lang w:eastAsia="en-AU"/>
              </w:rPr>
            </w:pPr>
            <w:r w:rsidRPr="005F2796">
              <w:rPr>
                <w:rFonts w:cs="Arial"/>
                <w:iCs/>
                <w:lang w:eastAsia="en-AU"/>
              </w:rPr>
              <w:t>Proprietary Name and Manufacturer</w:t>
            </w:r>
          </w:p>
        </w:tc>
      </w:tr>
      <w:tr w:rsidR="00C45CA6" w:rsidRPr="005F2796" w:rsidTr="00C45CA6">
        <w:trPr>
          <w:gridAfter w:val="1"/>
          <w:wAfter w:w="1003" w:type="pct"/>
          <w:cantSplit/>
          <w:trHeight w:val="577"/>
          <w:jc w:val="center"/>
        </w:trPr>
        <w:tc>
          <w:tcPr>
            <w:tcW w:w="1496" w:type="pct"/>
            <w:gridSpan w:val="2"/>
            <w:tcBorders>
              <w:top w:val="single" w:sz="4" w:space="0" w:color="auto"/>
              <w:left w:val="nil"/>
              <w:bottom w:val="nil"/>
              <w:right w:val="nil"/>
            </w:tcBorders>
          </w:tcPr>
          <w:p w:rsidR="00C45CA6" w:rsidRPr="005F2796" w:rsidRDefault="00C45CA6" w:rsidP="009E7C7F">
            <w:pPr>
              <w:keepNext/>
              <w:ind w:left="-108"/>
              <w:rPr>
                <w:rFonts w:ascii="Arial Narrow" w:hAnsi="Arial Narrow" w:cs="Arial"/>
                <w:caps/>
                <w:sz w:val="20"/>
                <w:szCs w:val="20"/>
              </w:rPr>
            </w:pPr>
            <w:r w:rsidRPr="005F2796">
              <w:rPr>
                <w:rFonts w:ascii="Arial Narrow" w:hAnsi="Arial Narrow" w:cs="Arial"/>
                <w:caps/>
                <w:sz w:val="20"/>
                <w:szCs w:val="20"/>
              </w:rPr>
              <w:t>Venetoclax</w:t>
            </w:r>
          </w:p>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Tablet, 100 mg, 120</w:t>
            </w:r>
          </w:p>
        </w:tc>
        <w:tc>
          <w:tcPr>
            <w:tcW w:w="333" w:type="pct"/>
            <w:tcBorders>
              <w:top w:val="single" w:sz="4" w:space="0" w:color="auto"/>
              <w:left w:val="nil"/>
              <w:bottom w:val="nil"/>
              <w:right w:val="nil"/>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1</w:t>
            </w:r>
          </w:p>
        </w:tc>
        <w:tc>
          <w:tcPr>
            <w:tcW w:w="500" w:type="pct"/>
            <w:tcBorders>
              <w:top w:val="single" w:sz="4" w:space="0" w:color="auto"/>
              <w:left w:val="nil"/>
              <w:bottom w:val="nil"/>
              <w:right w:val="nil"/>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5</w:t>
            </w:r>
          </w:p>
        </w:tc>
        <w:tc>
          <w:tcPr>
            <w:tcW w:w="916" w:type="pct"/>
            <w:tcBorders>
              <w:top w:val="single" w:sz="4" w:space="0" w:color="auto"/>
              <w:left w:val="nil"/>
              <w:bottom w:val="nil"/>
              <w:right w:val="nil"/>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Venclexta®</w:t>
            </w:r>
          </w:p>
        </w:tc>
        <w:tc>
          <w:tcPr>
            <w:tcW w:w="752" w:type="pct"/>
            <w:tcBorders>
              <w:top w:val="single" w:sz="4" w:space="0" w:color="auto"/>
              <w:left w:val="nil"/>
              <w:bottom w:val="nil"/>
              <w:right w:val="nil"/>
            </w:tcBorders>
          </w:tcPr>
          <w:p w:rsidR="00C45CA6" w:rsidRPr="005F2796" w:rsidRDefault="00C45CA6" w:rsidP="009E7C7F">
            <w:pPr>
              <w:keepNext/>
              <w:ind w:left="-108"/>
              <w:rPr>
                <w:rFonts w:ascii="Arial Narrow" w:hAnsi="Arial Narrow" w:cs="Arial"/>
                <w:sz w:val="20"/>
                <w:szCs w:val="20"/>
              </w:rPr>
            </w:pPr>
            <w:r w:rsidRPr="005F2796">
              <w:rPr>
                <w:rFonts w:ascii="Arial Narrow" w:hAnsi="Arial Narrow" w:cs="Arial"/>
                <w:sz w:val="20"/>
                <w:szCs w:val="20"/>
              </w:rPr>
              <w:t>AbbVie</w:t>
            </w:r>
          </w:p>
        </w:tc>
      </w:tr>
      <w:tr w:rsidR="0016323F" w:rsidRPr="005F2796" w:rsidTr="00C45CA6">
        <w:trPr>
          <w:cantSplit/>
          <w:trHeight w:val="360"/>
          <w:jc w:val="center"/>
        </w:trPr>
        <w:tc>
          <w:tcPr>
            <w:tcW w:w="1248" w:type="pct"/>
            <w:tcBorders>
              <w:top w:val="single" w:sz="4" w:space="0" w:color="auto"/>
            </w:tcBorders>
          </w:tcPr>
          <w:p w:rsidR="0016323F" w:rsidRPr="005F2796" w:rsidRDefault="0016323F" w:rsidP="009E7C7F">
            <w:pPr>
              <w:pStyle w:val="TableText1"/>
              <w:rPr>
                <w:b/>
                <w:szCs w:val="24"/>
                <w:lang w:eastAsia="en-AU"/>
              </w:rPr>
            </w:pPr>
            <w:r w:rsidRPr="005F2796">
              <w:rPr>
                <w:b/>
                <w:szCs w:val="24"/>
                <w:lang w:eastAsia="en-AU"/>
              </w:rPr>
              <w:t>Category / Program</w:t>
            </w:r>
          </w:p>
        </w:tc>
        <w:tc>
          <w:tcPr>
            <w:tcW w:w="3749" w:type="pct"/>
            <w:gridSpan w:val="6"/>
            <w:tcBorders>
              <w:top w:val="single" w:sz="4" w:space="0" w:color="auto"/>
            </w:tcBorders>
          </w:tcPr>
          <w:p w:rsidR="0016323F" w:rsidRPr="005F2796" w:rsidRDefault="0016323F" w:rsidP="009E7C7F">
            <w:pPr>
              <w:pStyle w:val="TableText1"/>
              <w:rPr>
                <w:szCs w:val="24"/>
                <w:lang w:eastAsia="en-AU"/>
              </w:rPr>
            </w:pPr>
            <w:r w:rsidRPr="005F2796">
              <w:rPr>
                <w:szCs w:val="24"/>
                <w:lang w:eastAsia="en-AU"/>
              </w:rPr>
              <w:t>GENERAL – General Schedule (Code GE)</w:t>
            </w:r>
          </w:p>
        </w:tc>
      </w:tr>
      <w:tr w:rsidR="0016323F" w:rsidRPr="005F2796" w:rsidTr="00C45CA6">
        <w:trPr>
          <w:cantSplit/>
          <w:trHeight w:val="360"/>
          <w:jc w:val="center"/>
        </w:trPr>
        <w:tc>
          <w:tcPr>
            <w:tcW w:w="1248" w:type="pct"/>
          </w:tcPr>
          <w:p w:rsidR="0016323F" w:rsidRPr="005F2796" w:rsidRDefault="0016323F" w:rsidP="009E7C7F">
            <w:pPr>
              <w:pStyle w:val="TableText1"/>
              <w:rPr>
                <w:b/>
                <w:szCs w:val="24"/>
                <w:lang w:eastAsia="en-AU"/>
              </w:rPr>
            </w:pPr>
            <w:r w:rsidRPr="005F2796">
              <w:rPr>
                <w:b/>
                <w:szCs w:val="24"/>
                <w:lang w:eastAsia="en-AU"/>
              </w:rPr>
              <w:t>Prescriber type:</w:t>
            </w:r>
          </w:p>
        </w:tc>
        <w:tc>
          <w:tcPr>
            <w:tcW w:w="3749" w:type="pct"/>
            <w:gridSpan w:val="6"/>
          </w:tcPr>
          <w:p w:rsidR="0016323F" w:rsidRPr="005F2796" w:rsidRDefault="0016323F" w:rsidP="009E7C7F">
            <w:pPr>
              <w:pStyle w:val="TableText1"/>
              <w:rPr>
                <w:szCs w:val="24"/>
                <w:lang w:eastAsia="en-AU"/>
              </w:rPr>
            </w:pPr>
            <w:r w:rsidRPr="002068F8">
              <w:rPr>
                <w:szCs w:val="24"/>
                <w:lang w:eastAsia="en-AU"/>
              </w:rPr>
              <w:fldChar w:fldCharType="begin">
                <w:ffData>
                  <w:name w:val="Check1"/>
                  <w:enabled/>
                  <w:calcOnExit w:val="0"/>
                  <w:checkBox>
                    <w:sizeAuto/>
                    <w:default w:val="0"/>
                  </w:checkBox>
                </w:ffData>
              </w:fldChar>
            </w:r>
            <w:r w:rsidRPr="005F2796">
              <w:rPr>
                <w:szCs w:val="24"/>
                <w:lang w:eastAsia="en-AU"/>
              </w:rPr>
              <w:instrText xml:space="preserve"> FORMCHECKBOX </w:instrText>
            </w:r>
            <w:r w:rsidR="00A04224">
              <w:rPr>
                <w:szCs w:val="24"/>
                <w:lang w:eastAsia="en-AU"/>
              </w:rPr>
            </w:r>
            <w:r w:rsidR="00A04224">
              <w:rPr>
                <w:szCs w:val="24"/>
                <w:lang w:eastAsia="en-AU"/>
              </w:rPr>
              <w:fldChar w:fldCharType="separate"/>
            </w:r>
            <w:r w:rsidRPr="002068F8">
              <w:rPr>
                <w:szCs w:val="24"/>
                <w:lang w:eastAsia="en-AU"/>
              </w:rPr>
              <w:fldChar w:fldCharType="end"/>
            </w:r>
            <w:r w:rsidRPr="005F2796">
              <w:rPr>
                <w:szCs w:val="24"/>
                <w:lang w:eastAsia="en-AU"/>
              </w:rPr>
              <w:t xml:space="preserve">Dental  </w:t>
            </w:r>
            <w:r w:rsidRPr="002068F8">
              <w:rPr>
                <w:szCs w:val="24"/>
                <w:lang w:eastAsia="en-AU"/>
              </w:rPr>
              <w:fldChar w:fldCharType="begin">
                <w:ffData>
                  <w:name w:val=""/>
                  <w:enabled/>
                  <w:calcOnExit w:val="0"/>
                  <w:checkBox>
                    <w:sizeAuto/>
                    <w:default w:val="1"/>
                  </w:checkBox>
                </w:ffData>
              </w:fldChar>
            </w:r>
            <w:r w:rsidRPr="005F2796">
              <w:rPr>
                <w:szCs w:val="24"/>
                <w:lang w:eastAsia="en-AU"/>
              </w:rPr>
              <w:instrText xml:space="preserve"> FORMCHECKBOX </w:instrText>
            </w:r>
            <w:r w:rsidR="00A04224">
              <w:rPr>
                <w:szCs w:val="24"/>
                <w:lang w:eastAsia="en-AU"/>
              </w:rPr>
            </w:r>
            <w:r w:rsidR="00A04224">
              <w:rPr>
                <w:szCs w:val="24"/>
                <w:lang w:eastAsia="en-AU"/>
              </w:rPr>
              <w:fldChar w:fldCharType="separate"/>
            </w:r>
            <w:r w:rsidRPr="002068F8">
              <w:rPr>
                <w:szCs w:val="24"/>
                <w:lang w:eastAsia="en-AU"/>
              </w:rPr>
              <w:fldChar w:fldCharType="end"/>
            </w:r>
            <w:r w:rsidRPr="005F2796">
              <w:rPr>
                <w:szCs w:val="24"/>
                <w:lang w:eastAsia="en-AU"/>
              </w:rPr>
              <w:t xml:space="preserve">Medical Practitioners  </w:t>
            </w:r>
            <w:r w:rsidRPr="002068F8">
              <w:rPr>
                <w:szCs w:val="24"/>
                <w:lang w:eastAsia="en-AU"/>
              </w:rPr>
              <w:fldChar w:fldCharType="begin">
                <w:ffData>
                  <w:name w:val="Check3"/>
                  <w:enabled/>
                  <w:calcOnExit w:val="0"/>
                  <w:checkBox>
                    <w:sizeAuto/>
                    <w:default w:val="0"/>
                  </w:checkBox>
                </w:ffData>
              </w:fldChar>
            </w:r>
            <w:r w:rsidRPr="005F2796">
              <w:rPr>
                <w:szCs w:val="24"/>
                <w:lang w:eastAsia="en-AU"/>
              </w:rPr>
              <w:instrText xml:space="preserve"> FORMCHECKBOX </w:instrText>
            </w:r>
            <w:r w:rsidR="00A04224">
              <w:rPr>
                <w:szCs w:val="24"/>
                <w:lang w:eastAsia="en-AU"/>
              </w:rPr>
            </w:r>
            <w:r w:rsidR="00A04224">
              <w:rPr>
                <w:szCs w:val="24"/>
                <w:lang w:eastAsia="en-AU"/>
              </w:rPr>
              <w:fldChar w:fldCharType="separate"/>
            </w:r>
            <w:r w:rsidRPr="002068F8">
              <w:rPr>
                <w:szCs w:val="24"/>
                <w:lang w:eastAsia="en-AU"/>
              </w:rPr>
              <w:fldChar w:fldCharType="end"/>
            </w:r>
            <w:r w:rsidRPr="005F2796">
              <w:rPr>
                <w:szCs w:val="24"/>
                <w:lang w:eastAsia="en-AU"/>
              </w:rPr>
              <w:t xml:space="preserve">Nurse practitioners  </w:t>
            </w:r>
            <w:r w:rsidRPr="002068F8">
              <w:rPr>
                <w:szCs w:val="24"/>
                <w:lang w:eastAsia="en-AU"/>
              </w:rPr>
              <w:fldChar w:fldCharType="begin">
                <w:ffData>
                  <w:name w:val=""/>
                  <w:enabled/>
                  <w:calcOnExit w:val="0"/>
                  <w:checkBox>
                    <w:sizeAuto/>
                    <w:default w:val="0"/>
                  </w:checkBox>
                </w:ffData>
              </w:fldChar>
            </w:r>
            <w:r w:rsidRPr="005F2796">
              <w:rPr>
                <w:szCs w:val="24"/>
                <w:lang w:eastAsia="en-AU"/>
              </w:rPr>
              <w:instrText xml:space="preserve"> FORMCHECKBOX </w:instrText>
            </w:r>
            <w:r w:rsidR="00A04224">
              <w:rPr>
                <w:szCs w:val="24"/>
                <w:lang w:eastAsia="en-AU"/>
              </w:rPr>
            </w:r>
            <w:r w:rsidR="00A04224">
              <w:rPr>
                <w:szCs w:val="24"/>
                <w:lang w:eastAsia="en-AU"/>
              </w:rPr>
              <w:fldChar w:fldCharType="separate"/>
            </w:r>
            <w:r w:rsidRPr="002068F8">
              <w:rPr>
                <w:szCs w:val="24"/>
                <w:lang w:eastAsia="en-AU"/>
              </w:rPr>
              <w:fldChar w:fldCharType="end"/>
            </w:r>
            <w:r w:rsidRPr="005F2796">
              <w:rPr>
                <w:szCs w:val="24"/>
                <w:lang w:eastAsia="en-AU"/>
              </w:rPr>
              <w:t>Optometrists</w:t>
            </w:r>
          </w:p>
          <w:p w:rsidR="0016323F" w:rsidRPr="005F2796" w:rsidRDefault="0016323F" w:rsidP="009E7C7F">
            <w:pPr>
              <w:pStyle w:val="TableText1"/>
              <w:rPr>
                <w:szCs w:val="24"/>
                <w:lang w:eastAsia="en-AU"/>
              </w:rPr>
            </w:pPr>
            <w:r w:rsidRPr="002068F8">
              <w:rPr>
                <w:szCs w:val="24"/>
                <w:lang w:eastAsia="en-AU"/>
              </w:rPr>
              <w:fldChar w:fldCharType="begin">
                <w:ffData>
                  <w:name w:val="Check5"/>
                  <w:enabled/>
                  <w:calcOnExit w:val="0"/>
                  <w:checkBox>
                    <w:sizeAuto/>
                    <w:default w:val="0"/>
                  </w:checkBox>
                </w:ffData>
              </w:fldChar>
            </w:r>
            <w:r w:rsidRPr="005F2796">
              <w:rPr>
                <w:szCs w:val="24"/>
                <w:lang w:eastAsia="en-AU"/>
              </w:rPr>
              <w:instrText xml:space="preserve"> FORMCHECKBOX </w:instrText>
            </w:r>
            <w:r w:rsidR="00A04224">
              <w:rPr>
                <w:szCs w:val="24"/>
                <w:lang w:eastAsia="en-AU"/>
              </w:rPr>
            </w:r>
            <w:r w:rsidR="00A04224">
              <w:rPr>
                <w:szCs w:val="24"/>
                <w:lang w:eastAsia="en-AU"/>
              </w:rPr>
              <w:fldChar w:fldCharType="separate"/>
            </w:r>
            <w:r w:rsidRPr="002068F8">
              <w:rPr>
                <w:szCs w:val="24"/>
                <w:lang w:eastAsia="en-AU"/>
              </w:rPr>
              <w:fldChar w:fldCharType="end"/>
            </w:r>
            <w:r w:rsidRPr="005F2796">
              <w:rPr>
                <w:szCs w:val="24"/>
                <w:lang w:eastAsia="en-AU"/>
              </w:rPr>
              <w:t>Midwives</w:t>
            </w:r>
          </w:p>
        </w:tc>
      </w:tr>
      <w:tr w:rsidR="0016323F" w:rsidRPr="005F2796" w:rsidTr="00C45CA6">
        <w:trPr>
          <w:cantSplit/>
          <w:trHeight w:val="360"/>
          <w:jc w:val="center"/>
        </w:trPr>
        <w:tc>
          <w:tcPr>
            <w:tcW w:w="1248" w:type="pct"/>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Episodicity:</w:t>
            </w:r>
          </w:p>
        </w:tc>
        <w:tc>
          <w:tcPr>
            <w:tcW w:w="3749" w:type="pct"/>
            <w:gridSpan w:val="6"/>
          </w:tcPr>
          <w:p w:rsidR="0016323F" w:rsidRPr="005F2796" w:rsidRDefault="003C2067"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jc w:val="center"/>
        </w:trPr>
        <w:tc>
          <w:tcPr>
            <w:tcW w:w="1248" w:type="pct"/>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Severity:</w:t>
            </w:r>
          </w:p>
        </w:tc>
        <w:tc>
          <w:tcPr>
            <w:tcW w:w="3749" w:type="pct"/>
            <w:gridSpan w:val="6"/>
          </w:tcPr>
          <w:p w:rsidR="0016323F" w:rsidRPr="005F2796" w:rsidRDefault="003C2067"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jc w:val="center"/>
        </w:trPr>
        <w:tc>
          <w:tcPr>
            <w:tcW w:w="1248" w:type="pct"/>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Condition:</w:t>
            </w:r>
          </w:p>
        </w:tc>
        <w:tc>
          <w:tcPr>
            <w:tcW w:w="3749" w:type="pct"/>
            <w:gridSpan w:val="6"/>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Chronic lymphocytic leukaemia</w:t>
            </w:r>
          </w:p>
        </w:tc>
      </w:tr>
      <w:tr w:rsidR="0016323F" w:rsidRPr="005F2796" w:rsidTr="00C45CA6">
        <w:trPr>
          <w:cantSplit/>
          <w:trHeight w:val="360"/>
          <w:jc w:val="center"/>
        </w:trPr>
        <w:tc>
          <w:tcPr>
            <w:tcW w:w="1248" w:type="pct"/>
          </w:tcPr>
          <w:p w:rsidR="0016323F" w:rsidRPr="005F2796" w:rsidRDefault="0016323F" w:rsidP="009E7C7F">
            <w:pPr>
              <w:pStyle w:val="TableText1"/>
              <w:rPr>
                <w:b/>
                <w:szCs w:val="24"/>
                <w:lang w:eastAsia="en-AU"/>
              </w:rPr>
            </w:pPr>
            <w:r w:rsidRPr="005F2796">
              <w:rPr>
                <w:b/>
                <w:szCs w:val="24"/>
                <w:lang w:eastAsia="en-AU"/>
              </w:rPr>
              <w:t>PBS Indication:</w:t>
            </w:r>
          </w:p>
        </w:tc>
        <w:tc>
          <w:tcPr>
            <w:tcW w:w="3749" w:type="pct"/>
            <w:gridSpan w:val="6"/>
          </w:tcPr>
          <w:p w:rsidR="0016323F" w:rsidRPr="005F2796" w:rsidRDefault="0016323F" w:rsidP="003C2067">
            <w:pPr>
              <w:rPr>
                <w:rFonts w:ascii="Arial Narrow" w:hAnsi="Arial Narrow" w:cs="Calibri"/>
                <w:sz w:val="20"/>
                <w:szCs w:val="20"/>
              </w:rPr>
            </w:pPr>
            <w:r w:rsidRPr="005F2796">
              <w:rPr>
                <w:rFonts w:ascii="Arial Narrow" w:hAnsi="Arial Narrow" w:cs="Calibri"/>
                <w:i/>
                <w:sz w:val="20"/>
                <w:szCs w:val="20"/>
              </w:rPr>
              <w:t>C</w:t>
            </w:r>
            <w:r w:rsidRPr="005F2796">
              <w:rPr>
                <w:rFonts w:ascii="Arial Narrow" w:hAnsi="Arial Narrow" w:cs="Calibri"/>
                <w:sz w:val="20"/>
                <w:szCs w:val="20"/>
              </w:rPr>
              <w:t xml:space="preserve">hronic lymphocytic leukaemia </w:t>
            </w:r>
          </w:p>
        </w:tc>
      </w:tr>
      <w:tr w:rsidR="0016323F" w:rsidRPr="005F2796" w:rsidTr="00C45CA6">
        <w:trPr>
          <w:cantSplit/>
          <w:trHeight w:val="360"/>
          <w:jc w:val="center"/>
        </w:trPr>
        <w:tc>
          <w:tcPr>
            <w:tcW w:w="1248" w:type="pct"/>
          </w:tcPr>
          <w:p w:rsidR="0016323F" w:rsidRPr="005F2796" w:rsidRDefault="0016323F" w:rsidP="009E7C7F">
            <w:pPr>
              <w:pStyle w:val="TableText1"/>
              <w:rPr>
                <w:b/>
                <w:szCs w:val="24"/>
                <w:lang w:eastAsia="en-AU"/>
              </w:rPr>
            </w:pPr>
            <w:r w:rsidRPr="005F2796">
              <w:rPr>
                <w:b/>
                <w:szCs w:val="24"/>
                <w:lang w:eastAsia="en-AU"/>
              </w:rPr>
              <w:t>Treatment phase</w:t>
            </w:r>
          </w:p>
        </w:tc>
        <w:tc>
          <w:tcPr>
            <w:tcW w:w="3749" w:type="pct"/>
            <w:gridSpan w:val="6"/>
          </w:tcPr>
          <w:p w:rsidR="0016323F" w:rsidRPr="005F2796" w:rsidRDefault="0016323F" w:rsidP="009E7C7F">
            <w:pPr>
              <w:rPr>
                <w:rFonts w:ascii="Arial Narrow" w:hAnsi="Arial Narrow" w:cs="Calibri"/>
                <w:i/>
                <w:sz w:val="20"/>
                <w:szCs w:val="20"/>
              </w:rPr>
            </w:pPr>
            <w:r w:rsidRPr="005F2796">
              <w:rPr>
                <w:rFonts w:ascii="Arial Narrow" w:hAnsi="Arial Narrow" w:cs="Calibri"/>
                <w:sz w:val="20"/>
                <w:szCs w:val="20"/>
              </w:rPr>
              <w:t>Continuing treatment</w:t>
            </w:r>
          </w:p>
        </w:tc>
      </w:tr>
      <w:tr w:rsidR="0016323F" w:rsidRPr="005F2796" w:rsidTr="00C45CA6">
        <w:trPr>
          <w:cantSplit/>
          <w:trHeight w:val="360"/>
          <w:jc w:val="center"/>
        </w:trPr>
        <w:tc>
          <w:tcPr>
            <w:tcW w:w="1248" w:type="pct"/>
          </w:tcPr>
          <w:p w:rsidR="0016323F" w:rsidRPr="005F2796" w:rsidRDefault="0016323F" w:rsidP="009E7C7F">
            <w:pPr>
              <w:pStyle w:val="TableText1"/>
              <w:rPr>
                <w:b/>
                <w:szCs w:val="24"/>
                <w:lang w:eastAsia="en-AU"/>
              </w:rPr>
            </w:pPr>
            <w:r w:rsidRPr="005F2796">
              <w:rPr>
                <w:b/>
                <w:szCs w:val="24"/>
                <w:lang w:eastAsia="en-AU"/>
              </w:rPr>
              <w:t>Restriction Level / Method:</w:t>
            </w:r>
          </w:p>
        </w:tc>
        <w:tc>
          <w:tcPr>
            <w:tcW w:w="3749" w:type="pct"/>
            <w:gridSpan w:val="6"/>
          </w:tcPr>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Check1"/>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Restricted benefit</w:t>
            </w:r>
          </w:p>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Authority Required - In Writing</w:t>
            </w:r>
          </w:p>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Check3"/>
                  <w:enabled/>
                  <w:calcOnExit w:val="0"/>
                  <w:checkBox>
                    <w:sizeAuto/>
                    <w:default w:val="1"/>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Authority Required - Telephone</w:t>
            </w:r>
          </w:p>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Authority Required – Emergency</w:t>
            </w:r>
          </w:p>
          <w:p w:rsidR="0016323F" w:rsidRPr="005F2796" w:rsidRDefault="0016323F" w:rsidP="009E7C7F">
            <w:pPr>
              <w:rPr>
                <w:rFonts w:ascii="Arial Narrow" w:hAnsi="Arial Narrow" w:cs="Calibri"/>
                <w:sz w:val="20"/>
                <w:szCs w:val="20"/>
              </w:rPr>
            </w:pPr>
            <w:r w:rsidRPr="002068F8">
              <w:rPr>
                <w:rFonts w:ascii="Arial Narrow" w:hAnsi="Arial Narrow" w:cs="Calibri"/>
                <w:sz w:val="20"/>
                <w:szCs w:val="20"/>
              </w:rPr>
              <w:fldChar w:fldCharType="begin">
                <w:ffData>
                  <w:name w:val="Check5"/>
                  <w:enabled/>
                  <w:calcOnExit w:val="0"/>
                  <w:checkBox>
                    <w:sizeAuto/>
                    <w:default w:val="0"/>
                  </w:checkBox>
                </w:ffData>
              </w:fldChar>
            </w:r>
            <w:r w:rsidRPr="005F2796">
              <w:rPr>
                <w:rFonts w:ascii="Arial Narrow" w:hAnsi="Arial Narrow" w:cs="Calibri"/>
                <w:sz w:val="20"/>
                <w:szCs w:val="20"/>
              </w:rPr>
              <w:instrText xml:space="preserve"> FORMCHECKBOX </w:instrText>
            </w:r>
            <w:r w:rsidR="00A04224">
              <w:rPr>
                <w:rFonts w:ascii="Arial Narrow" w:hAnsi="Arial Narrow" w:cs="Calibri"/>
                <w:sz w:val="20"/>
                <w:szCs w:val="20"/>
              </w:rPr>
            </w:r>
            <w:r w:rsidR="00A04224">
              <w:rPr>
                <w:rFonts w:ascii="Arial Narrow" w:hAnsi="Arial Narrow" w:cs="Calibri"/>
                <w:sz w:val="20"/>
                <w:szCs w:val="20"/>
              </w:rPr>
              <w:fldChar w:fldCharType="separate"/>
            </w:r>
            <w:r w:rsidRPr="002068F8">
              <w:rPr>
                <w:rFonts w:ascii="Arial Narrow" w:hAnsi="Arial Narrow" w:cs="Calibri"/>
                <w:sz w:val="20"/>
                <w:szCs w:val="20"/>
              </w:rPr>
              <w:fldChar w:fldCharType="end"/>
            </w:r>
            <w:r w:rsidRPr="005F2796">
              <w:rPr>
                <w:rFonts w:ascii="Arial Narrow" w:hAnsi="Arial Narrow" w:cs="Calibri"/>
                <w:sz w:val="20"/>
                <w:szCs w:val="20"/>
              </w:rPr>
              <w:t>Authority Required - Electronic</w:t>
            </w:r>
          </w:p>
          <w:p w:rsidR="0016323F" w:rsidRPr="005F2796" w:rsidRDefault="0016323F" w:rsidP="009E7C7F">
            <w:pPr>
              <w:pStyle w:val="TableText1"/>
              <w:rPr>
                <w:i/>
                <w:szCs w:val="24"/>
                <w:lang w:eastAsia="en-AU"/>
              </w:rPr>
            </w:pPr>
            <w:r w:rsidRPr="002068F8">
              <w:rPr>
                <w:rFonts w:cs="Calibri"/>
              </w:rPr>
              <w:fldChar w:fldCharType="begin">
                <w:ffData>
                  <w:name w:val="Check5"/>
                  <w:enabled/>
                  <w:calcOnExit w:val="0"/>
                  <w:checkBox>
                    <w:sizeAuto/>
                    <w:default w:val="0"/>
                  </w:checkBox>
                </w:ffData>
              </w:fldChar>
            </w:r>
            <w:r w:rsidRPr="005F2796">
              <w:rPr>
                <w:rFonts w:cs="Calibri"/>
              </w:rPr>
              <w:instrText xml:space="preserve"> FORMCHECKBOX </w:instrText>
            </w:r>
            <w:r w:rsidR="00A04224">
              <w:rPr>
                <w:rFonts w:cs="Calibri"/>
              </w:rPr>
            </w:r>
            <w:r w:rsidR="00A04224">
              <w:rPr>
                <w:rFonts w:cs="Calibri"/>
              </w:rPr>
              <w:fldChar w:fldCharType="separate"/>
            </w:r>
            <w:r w:rsidRPr="002068F8">
              <w:rPr>
                <w:rFonts w:cs="Calibri"/>
              </w:rPr>
              <w:fldChar w:fldCharType="end"/>
            </w:r>
            <w:r w:rsidRPr="005F2796">
              <w:rPr>
                <w:rFonts w:cs="Calibri"/>
              </w:rPr>
              <w:t>Streamlined</w:t>
            </w:r>
          </w:p>
        </w:tc>
      </w:tr>
      <w:tr w:rsidR="0016323F" w:rsidRPr="005F2796" w:rsidTr="00C45CA6">
        <w:trPr>
          <w:cantSplit/>
          <w:trHeight w:val="360"/>
          <w:jc w:val="center"/>
        </w:trPr>
        <w:tc>
          <w:tcPr>
            <w:tcW w:w="1248" w:type="pct"/>
          </w:tcPr>
          <w:p w:rsidR="0016323F" w:rsidRPr="005F2796" w:rsidRDefault="0016323F" w:rsidP="009E7C7F">
            <w:pPr>
              <w:pStyle w:val="TableText1"/>
              <w:rPr>
                <w:b/>
                <w:szCs w:val="24"/>
                <w:lang w:eastAsia="en-AU"/>
              </w:rPr>
            </w:pPr>
            <w:r w:rsidRPr="005F2796">
              <w:rPr>
                <w:b/>
                <w:szCs w:val="24"/>
                <w:lang w:eastAsia="en-AU"/>
              </w:rPr>
              <w:t>Treatment criteria</w:t>
            </w:r>
          </w:p>
        </w:tc>
        <w:tc>
          <w:tcPr>
            <w:tcW w:w="3749" w:type="pct"/>
            <w:gridSpan w:val="6"/>
          </w:tcPr>
          <w:p w:rsidR="0016323F" w:rsidRPr="005F2796" w:rsidRDefault="003C2067" w:rsidP="009E7C7F">
            <w:pPr>
              <w:pStyle w:val="TableText1"/>
              <w:rPr>
                <w:szCs w:val="24"/>
                <w:lang w:eastAsia="en-AU"/>
              </w:rPr>
            </w:pPr>
            <w:r w:rsidRPr="005F2796">
              <w:rPr>
                <w:lang w:eastAsia="en-AU"/>
              </w:rPr>
              <w:t>NA</w:t>
            </w:r>
          </w:p>
        </w:tc>
      </w:tr>
      <w:tr w:rsidR="0016323F" w:rsidRPr="005F2796" w:rsidTr="00C45CA6">
        <w:trPr>
          <w:cantSplit/>
          <w:trHeight w:val="360"/>
          <w:jc w:val="center"/>
        </w:trPr>
        <w:tc>
          <w:tcPr>
            <w:tcW w:w="1248" w:type="pct"/>
          </w:tcPr>
          <w:p w:rsidR="0016323F" w:rsidRPr="005F2796" w:rsidRDefault="0016323F" w:rsidP="009E7C7F">
            <w:pPr>
              <w:pStyle w:val="TableText1"/>
              <w:rPr>
                <w:b/>
                <w:szCs w:val="24"/>
                <w:lang w:eastAsia="en-AU"/>
              </w:rPr>
            </w:pPr>
            <w:r w:rsidRPr="005F2796">
              <w:rPr>
                <w:b/>
                <w:szCs w:val="24"/>
                <w:lang w:eastAsia="en-AU"/>
              </w:rPr>
              <w:t>Clinical criteria:</w:t>
            </w:r>
          </w:p>
        </w:tc>
        <w:tc>
          <w:tcPr>
            <w:tcW w:w="3749" w:type="pct"/>
            <w:gridSpan w:val="6"/>
          </w:tcPr>
          <w:p w:rsidR="000E5420" w:rsidRPr="005F2796" w:rsidRDefault="0016323F" w:rsidP="009E7C7F">
            <w:pPr>
              <w:rPr>
                <w:rFonts w:ascii="Arial Narrow" w:hAnsi="Arial Narrow" w:cs="Calibri"/>
                <w:sz w:val="20"/>
                <w:szCs w:val="20"/>
              </w:rPr>
            </w:pPr>
            <w:r w:rsidRPr="005F2796">
              <w:rPr>
                <w:rFonts w:ascii="Arial Narrow" w:hAnsi="Arial Narrow" w:cs="Calibri"/>
                <w:sz w:val="20"/>
                <w:szCs w:val="20"/>
              </w:rPr>
              <w:t>Patient must have previously received PBS-subsidised treatment with this drug for this condition,</w:t>
            </w:r>
          </w:p>
          <w:p w:rsidR="0016323F" w:rsidRPr="005F2796" w:rsidRDefault="0016323F" w:rsidP="009E7C7F">
            <w:pPr>
              <w:rPr>
                <w:rFonts w:ascii="Arial Narrow" w:hAnsi="Arial Narrow" w:cs="Calibri"/>
                <w:b/>
                <w:sz w:val="20"/>
                <w:szCs w:val="20"/>
              </w:rPr>
            </w:pPr>
            <w:r w:rsidRPr="005F2796">
              <w:rPr>
                <w:rFonts w:ascii="Arial Narrow" w:hAnsi="Arial Narrow" w:cs="Calibri"/>
                <w:b/>
                <w:sz w:val="20"/>
                <w:szCs w:val="20"/>
              </w:rPr>
              <w:t>AND</w:t>
            </w:r>
          </w:p>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 xml:space="preserve">The treatment must be </w:t>
            </w:r>
            <w:r w:rsidR="003C2067" w:rsidRPr="005F2796">
              <w:rPr>
                <w:rFonts w:ascii="Arial Narrow" w:hAnsi="Arial Narrow" w:cs="Calibri"/>
                <w:sz w:val="20"/>
                <w:szCs w:val="20"/>
              </w:rPr>
              <w:t xml:space="preserve">as monotherapy for seven days, then </w:t>
            </w:r>
            <w:r w:rsidRPr="005F2796">
              <w:rPr>
                <w:rFonts w:ascii="Arial Narrow" w:hAnsi="Arial Narrow" w:cs="Calibri"/>
                <w:sz w:val="20"/>
                <w:szCs w:val="20"/>
              </w:rPr>
              <w:t>in combination with rituximab for up to a maximum of six cycles unless rituximab is contraindicated, followed by monotherapy,</w:t>
            </w:r>
          </w:p>
          <w:p w:rsidR="0016323F" w:rsidRPr="005F2796" w:rsidRDefault="0016323F" w:rsidP="009E7C7F">
            <w:pPr>
              <w:rPr>
                <w:rFonts w:ascii="Arial Narrow" w:hAnsi="Arial Narrow" w:cs="Calibri"/>
                <w:b/>
                <w:sz w:val="20"/>
                <w:szCs w:val="20"/>
              </w:rPr>
            </w:pPr>
            <w:r w:rsidRPr="005F2796">
              <w:rPr>
                <w:rFonts w:ascii="Arial Narrow" w:hAnsi="Arial Narrow" w:cs="Calibri"/>
                <w:b/>
                <w:sz w:val="20"/>
                <w:szCs w:val="20"/>
              </w:rPr>
              <w:t>AND</w:t>
            </w:r>
          </w:p>
          <w:p w:rsidR="0016323F" w:rsidRPr="005F2796" w:rsidRDefault="0016323F" w:rsidP="009E7C7F">
            <w:pPr>
              <w:pStyle w:val="TableText1"/>
              <w:rPr>
                <w:rFonts w:cs="Calibri"/>
              </w:rPr>
            </w:pPr>
            <w:r w:rsidRPr="005F2796">
              <w:rPr>
                <w:rFonts w:cs="Calibri"/>
              </w:rPr>
              <w:t>Patient must not develop progressive disease whilst receiving PBS-subsidised treatment with this drug for this condition,</w:t>
            </w:r>
          </w:p>
          <w:p w:rsidR="0016323F" w:rsidRPr="005F2796" w:rsidRDefault="0016323F" w:rsidP="009E7C7F">
            <w:pPr>
              <w:rPr>
                <w:rFonts w:ascii="Arial Narrow" w:hAnsi="Arial Narrow" w:cs="Calibri"/>
                <w:b/>
                <w:sz w:val="20"/>
                <w:szCs w:val="20"/>
              </w:rPr>
            </w:pPr>
            <w:r w:rsidRPr="005F2796">
              <w:rPr>
                <w:rFonts w:ascii="Arial Narrow" w:hAnsi="Arial Narrow" w:cs="Calibri"/>
                <w:b/>
                <w:sz w:val="20"/>
                <w:szCs w:val="20"/>
              </w:rPr>
              <w:t>AND</w:t>
            </w:r>
          </w:p>
          <w:p w:rsidR="0016323F" w:rsidRPr="005F2796" w:rsidRDefault="0016323F" w:rsidP="009E7C7F">
            <w:pPr>
              <w:pStyle w:val="TableText1"/>
              <w:rPr>
                <w:rFonts w:cs="Calibri"/>
                <w:i/>
              </w:rPr>
            </w:pPr>
            <w:r w:rsidRPr="005F2796">
              <w:rPr>
                <w:rFonts w:cs="Calibri"/>
              </w:rPr>
              <w:t>Patient must not r</w:t>
            </w:r>
            <w:r w:rsidR="003571EA" w:rsidRPr="005F2796">
              <w:rPr>
                <w:rFonts w:cs="Calibri"/>
              </w:rPr>
              <w:t>eceive more than 24 months and seven</w:t>
            </w:r>
            <w:r w:rsidRPr="005F2796">
              <w:rPr>
                <w:rFonts w:cs="Calibri"/>
              </w:rPr>
              <w:t xml:space="preserve"> days of treatment under this restriction.</w:t>
            </w:r>
          </w:p>
        </w:tc>
      </w:tr>
      <w:tr w:rsidR="0016323F" w:rsidRPr="005F2796" w:rsidTr="00C45CA6">
        <w:trPr>
          <w:cantSplit/>
          <w:trHeight w:val="360"/>
          <w:jc w:val="center"/>
        </w:trPr>
        <w:tc>
          <w:tcPr>
            <w:tcW w:w="1248" w:type="pct"/>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Population criteria:</w:t>
            </w:r>
          </w:p>
        </w:tc>
        <w:tc>
          <w:tcPr>
            <w:tcW w:w="3749" w:type="pct"/>
            <w:gridSpan w:val="6"/>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jc w:val="center"/>
        </w:trPr>
        <w:tc>
          <w:tcPr>
            <w:tcW w:w="1248" w:type="pct"/>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Foreword</w:t>
            </w:r>
          </w:p>
        </w:tc>
        <w:tc>
          <w:tcPr>
            <w:tcW w:w="3749" w:type="pct"/>
            <w:gridSpan w:val="6"/>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jc w:val="center"/>
        </w:trPr>
        <w:tc>
          <w:tcPr>
            <w:tcW w:w="1248" w:type="pct"/>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Definitions</w:t>
            </w:r>
          </w:p>
        </w:tc>
        <w:tc>
          <w:tcPr>
            <w:tcW w:w="3749" w:type="pct"/>
            <w:gridSpan w:val="6"/>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jc w:val="center"/>
        </w:trPr>
        <w:tc>
          <w:tcPr>
            <w:tcW w:w="1248" w:type="pct"/>
          </w:tcPr>
          <w:p w:rsidR="0016323F" w:rsidRPr="005F2796" w:rsidRDefault="0016323F" w:rsidP="00255367">
            <w:pPr>
              <w:rPr>
                <w:rFonts w:ascii="Arial Narrow" w:hAnsi="Arial Narrow" w:cs="Arial"/>
                <w:sz w:val="20"/>
                <w:szCs w:val="20"/>
              </w:rPr>
            </w:pPr>
            <w:r w:rsidRPr="005F2796">
              <w:rPr>
                <w:rFonts w:ascii="Arial Narrow" w:hAnsi="Arial Narrow" w:cs="Arial"/>
                <w:b/>
                <w:sz w:val="20"/>
                <w:szCs w:val="20"/>
              </w:rPr>
              <w:t>Prescriber Instructions</w:t>
            </w:r>
          </w:p>
        </w:tc>
        <w:tc>
          <w:tcPr>
            <w:tcW w:w="3749" w:type="pct"/>
            <w:gridSpan w:val="6"/>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tr w:rsidR="0016323F" w:rsidRPr="005F2796" w:rsidTr="00C45CA6">
        <w:trPr>
          <w:cantSplit/>
          <w:trHeight w:val="360"/>
          <w:jc w:val="center"/>
        </w:trPr>
        <w:tc>
          <w:tcPr>
            <w:tcW w:w="1248" w:type="pct"/>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Administrative Advice</w:t>
            </w:r>
          </w:p>
        </w:tc>
        <w:tc>
          <w:tcPr>
            <w:tcW w:w="3749" w:type="pct"/>
            <w:gridSpan w:val="6"/>
          </w:tcPr>
          <w:p w:rsidR="0016323F" w:rsidRPr="005F2796" w:rsidRDefault="0016323F" w:rsidP="009E7C7F">
            <w:pPr>
              <w:rPr>
                <w:rFonts w:ascii="Arial Narrow" w:hAnsi="Arial Narrow"/>
                <w:sz w:val="20"/>
              </w:rPr>
            </w:pPr>
            <w:r w:rsidRPr="005F2796">
              <w:rPr>
                <w:rFonts w:ascii="Arial Narrow" w:hAnsi="Arial Narrow"/>
                <w:sz w:val="20"/>
              </w:rPr>
              <w:t xml:space="preserve">No increase in the maximum quantity or number of units may be authorised. </w:t>
            </w:r>
          </w:p>
          <w:p w:rsidR="0016323F" w:rsidRPr="005F2796" w:rsidRDefault="0016323F" w:rsidP="009E7C7F">
            <w:pPr>
              <w:rPr>
                <w:rFonts w:ascii="Arial Narrow" w:hAnsi="Arial Narrow"/>
                <w:sz w:val="20"/>
              </w:rPr>
            </w:pPr>
          </w:p>
          <w:p w:rsidR="0016323F" w:rsidRPr="005F2796" w:rsidRDefault="0016323F" w:rsidP="009E7C7F">
            <w:pPr>
              <w:rPr>
                <w:rFonts w:ascii="Arial Narrow" w:hAnsi="Arial Narrow"/>
                <w:sz w:val="20"/>
              </w:rPr>
            </w:pPr>
            <w:r w:rsidRPr="005F2796">
              <w:rPr>
                <w:rFonts w:ascii="Arial Narrow" w:hAnsi="Arial Narrow"/>
                <w:sz w:val="20"/>
              </w:rPr>
              <w:t xml:space="preserve">No increase in the maximum number of repeats may be authorised. </w:t>
            </w:r>
          </w:p>
          <w:p w:rsidR="0016323F" w:rsidRPr="005F2796" w:rsidRDefault="0016323F" w:rsidP="009E7C7F">
            <w:pPr>
              <w:rPr>
                <w:rFonts w:ascii="Arial Narrow" w:hAnsi="Arial Narrow" w:cs="Arial"/>
                <w:sz w:val="20"/>
                <w:szCs w:val="20"/>
              </w:rPr>
            </w:pPr>
          </w:p>
          <w:p w:rsidR="0016323F" w:rsidRPr="005F2796" w:rsidRDefault="0016323F" w:rsidP="009E7C7F">
            <w:pPr>
              <w:rPr>
                <w:rFonts w:ascii="Arial Narrow" w:hAnsi="Arial Narrow" w:cs="Calibri"/>
                <w:strike/>
                <w:sz w:val="20"/>
                <w:szCs w:val="20"/>
              </w:rPr>
            </w:pPr>
            <w:r w:rsidRPr="005F2796">
              <w:rPr>
                <w:rFonts w:ascii="Arial Narrow" w:hAnsi="Arial Narrow" w:cs="Arial"/>
                <w:sz w:val="20"/>
                <w:szCs w:val="20"/>
              </w:rPr>
              <w:t>Special pricing arrangements apply.</w:t>
            </w:r>
          </w:p>
        </w:tc>
      </w:tr>
      <w:tr w:rsidR="0016323F" w:rsidRPr="005F2796" w:rsidTr="00C45CA6">
        <w:trPr>
          <w:cantSplit/>
          <w:trHeight w:val="360"/>
          <w:jc w:val="center"/>
        </w:trPr>
        <w:tc>
          <w:tcPr>
            <w:tcW w:w="1248" w:type="pct"/>
          </w:tcPr>
          <w:p w:rsidR="0016323F" w:rsidRPr="005F2796" w:rsidRDefault="0016323F" w:rsidP="009E7C7F">
            <w:pPr>
              <w:rPr>
                <w:rFonts w:ascii="Arial Narrow" w:hAnsi="Arial Narrow" w:cs="Arial"/>
                <w:b/>
                <w:sz w:val="20"/>
                <w:szCs w:val="20"/>
              </w:rPr>
            </w:pPr>
            <w:r w:rsidRPr="005F2796">
              <w:rPr>
                <w:rFonts w:ascii="Arial Narrow" w:hAnsi="Arial Narrow" w:cs="Arial"/>
                <w:b/>
                <w:sz w:val="20"/>
                <w:szCs w:val="20"/>
              </w:rPr>
              <w:t>Cautions</w:t>
            </w:r>
          </w:p>
        </w:tc>
        <w:tc>
          <w:tcPr>
            <w:tcW w:w="3749" w:type="pct"/>
            <w:gridSpan w:val="6"/>
          </w:tcPr>
          <w:p w:rsidR="0016323F" w:rsidRPr="005F2796" w:rsidRDefault="0016323F" w:rsidP="009E7C7F">
            <w:pPr>
              <w:rPr>
                <w:rFonts w:ascii="Arial Narrow" w:hAnsi="Arial Narrow" w:cs="Calibri"/>
                <w:sz w:val="20"/>
                <w:szCs w:val="20"/>
              </w:rPr>
            </w:pPr>
            <w:r w:rsidRPr="005F2796">
              <w:rPr>
                <w:rFonts w:ascii="Arial Narrow" w:hAnsi="Arial Narrow" w:cs="Calibri"/>
                <w:sz w:val="20"/>
                <w:szCs w:val="20"/>
              </w:rPr>
              <w:t>NA</w:t>
            </w:r>
          </w:p>
        </w:tc>
      </w:tr>
      <w:bookmarkEnd w:id="47"/>
      <w:bookmarkEnd w:id="48"/>
      <w:bookmarkEnd w:id="49"/>
    </w:tbl>
    <w:p w:rsidR="009D3573" w:rsidRDefault="009D3573" w:rsidP="00475841">
      <w:pPr>
        <w:jc w:val="left"/>
        <w:rPr>
          <w:highlight w:val="yellow"/>
        </w:rPr>
      </w:pPr>
    </w:p>
    <w:p w:rsidR="006D6B5A" w:rsidRPr="00FD04AB" w:rsidRDefault="00D8673C" w:rsidP="00D8673C">
      <w:pPr>
        <w:pStyle w:val="Heading1"/>
        <w:spacing w:before="0" w:after="160"/>
        <w:ind w:left="709" w:hanging="709"/>
      </w:pPr>
      <w:r w:rsidRPr="00FD04AB">
        <w:t>Context for Decision</w:t>
      </w:r>
    </w:p>
    <w:p w:rsidR="00D8673C" w:rsidRPr="00FD04AB" w:rsidRDefault="00D8673C" w:rsidP="00D8673C">
      <w:pPr>
        <w:spacing w:after="120"/>
        <w:ind w:left="720"/>
      </w:pPr>
      <w:r w:rsidRPr="00FD04AB">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8673C" w:rsidRPr="00FD04AB" w:rsidRDefault="00D8673C" w:rsidP="00D8673C">
      <w:pPr>
        <w:pStyle w:val="Heading1"/>
        <w:spacing w:before="0" w:after="160"/>
        <w:ind w:left="709" w:hanging="709"/>
      </w:pPr>
      <w:r w:rsidRPr="00FD04AB">
        <w:t>Sponsor’s Comment</w:t>
      </w:r>
    </w:p>
    <w:p w:rsidR="00D8673C" w:rsidRPr="003B0FCB" w:rsidRDefault="00C32930" w:rsidP="003B0FCB">
      <w:pPr>
        <w:spacing w:after="120" w:line="276" w:lineRule="auto"/>
        <w:ind w:left="720"/>
        <w:rPr>
          <w:bCs/>
          <w:szCs w:val="24"/>
        </w:rPr>
      </w:pPr>
      <w:r>
        <w:rPr>
          <w:lang w:eastAsia="en-AU"/>
        </w:rPr>
        <w:t>AbbVie welcomes the decision of the PBAC and is working with the Department of Health on the earliest possible PBS listing.</w:t>
      </w:r>
    </w:p>
    <w:sectPr w:rsidR="00D8673C" w:rsidRPr="003B0FCB" w:rsidSect="00D8673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AF116" w16cid:durableId="1F9BD3E0"/>
  <w16cid:commentId w16cid:paraId="1967CFE1" w16cid:durableId="1F9BDB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24" w:rsidRDefault="00A04224" w:rsidP="00BA3306">
      <w:r>
        <w:separator/>
      </w:r>
    </w:p>
  </w:endnote>
  <w:endnote w:type="continuationSeparator" w:id="0">
    <w:p w:rsidR="00A04224" w:rsidRDefault="00A04224" w:rsidP="00BA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24" w:rsidRDefault="00A04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24" w:rsidRPr="00D8673C" w:rsidRDefault="00A04224" w:rsidP="00F644C6">
    <w:pPr>
      <w:pStyle w:val="Footer"/>
      <w:jc w:val="center"/>
    </w:pPr>
    <w:r w:rsidRPr="00D8673C">
      <w:fldChar w:fldCharType="begin"/>
    </w:r>
    <w:r w:rsidRPr="00D8673C">
      <w:instrText xml:space="preserve"> PAGE   \* MERGEFORMAT </w:instrText>
    </w:r>
    <w:r w:rsidRPr="00D8673C">
      <w:fldChar w:fldCharType="separate"/>
    </w:r>
    <w:r w:rsidR="00A41323">
      <w:rPr>
        <w:noProof/>
      </w:rPr>
      <w:t>12</w:t>
    </w:r>
    <w:r w:rsidRPr="00D867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24" w:rsidRDefault="00A0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24" w:rsidRDefault="00A04224" w:rsidP="00BA3306">
      <w:r>
        <w:separator/>
      </w:r>
    </w:p>
  </w:footnote>
  <w:footnote w:type="continuationSeparator" w:id="0">
    <w:p w:rsidR="00A04224" w:rsidRDefault="00A04224" w:rsidP="00BA3306">
      <w:r>
        <w:continuationSeparator/>
      </w:r>
    </w:p>
  </w:footnote>
  <w:footnote w:id="1">
    <w:p w:rsidR="00A04224" w:rsidRPr="008D6599" w:rsidRDefault="00A04224">
      <w:pPr>
        <w:pStyle w:val="FootnoteText"/>
      </w:pPr>
      <w:r>
        <w:rPr>
          <w:rStyle w:val="FootnoteReference"/>
        </w:rPr>
        <w:footnoteRef/>
      </w:r>
      <w:r>
        <w:t xml:space="preserve"> Jones JA, Mato AR, Wierda WG, Davids MS, Choi M, Cheson BD, Furman RR, Lamanna N, Barr PM, Zhou L, Chyla B, Hamed Salem A, Humerickhouse RA, Potluri J, Coutre S, Wayach J &amp; Byrd JC; “</w:t>
      </w:r>
      <w:r w:rsidRPr="008D6599">
        <w:t>Venetoclax for chronic lymphocytic leukaemia progressing after ibrutinib: an interim analysis of a multicentre, open-label, phase 2 trial</w:t>
      </w:r>
      <w:r>
        <w:t xml:space="preserve">”; </w:t>
      </w:r>
      <w:r>
        <w:rPr>
          <w:i/>
        </w:rPr>
        <w:t>The Lancet Oncology</w:t>
      </w:r>
      <w:r>
        <w:t xml:space="preserve"> (2018); 19(1): 65–75.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24" w:rsidRDefault="00A04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24" w:rsidRDefault="00A04224" w:rsidP="00D8673C">
    <w:pPr>
      <w:jc w:val="center"/>
      <w:rPr>
        <w:i/>
        <w:szCs w:val="24"/>
      </w:rPr>
    </w:pPr>
    <w:r>
      <w:rPr>
        <w:i/>
        <w:szCs w:val="24"/>
      </w:rPr>
      <w:t>Public Summary Document – November 2018 PBAC Meeting</w:t>
    </w:r>
  </w:p>
  <w:p w:rsidR="00A04224" w:rsidRPr="00D8673C" w:rsidRDefault="00A04224" w:rsidP="00F644C6">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24" w:rsidRDefault="00A04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A95"/>
    <w:multiLevelType w:val="hybridMultilevel"/>
    <w:tmpl w:val="674892FA"/>
    <w:lvl w:ilvl="0" w:tplc="959052AE">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E0C"/>
    <w:multiLevelType w:val="hybridMultilevel"/>
    <w:tmpl w:val="755CDC54"/>
    <w:lvl w:ilvl="0" w:tplc="EC46F8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32D6D"/>
    <w:multiLevelType w:val="hybridMultilevel"/>
    <w:tmpl w:val="D5E2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D67819"/>
    <w:multiLevelType w:val="hybridMultilevel"/>
    <w:tmpl w:val="5080CE12"/>
    <w:lvl w:ilvl="0" w:tplc="394CA1BC">
      <w:start w:val="4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E9787A"/>
    <w:multiLevelType w:val="hybridMultilevel"/>
    <w:tmpl w:val="EA1A6CE2"/>
    <w:lvl w:ilvl="0" w:tplc="D6CC0E0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8251E"/>
    <w:multiLevelType w:val="hybridMultilevel"/>
    <w:tmpl w:val="3C7A5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61A7B"/>
    <w:multiLevelType w:val="hybridMultilevel"/>
    <w:tmpl w:val="4D5E845A"/>
    <w:lvl w:ilvl="0" w:tplc="00000004">
      <w:numFmt w:val="bullet"/>
      <w:lvlText w:val="-"/>
      <w:lvlJc w:val="left"/>
      <w:pPr>
        <w:ind w:left="360" w:hanging="360"/>
      </w:pPr>
      <w:rPr>
        <w:rFonts w:ascii="Times New Roman" w:hAnsi="Times New Roman" w:cs="Times New Roman"/>
      </w:rPr>
    </w:lvl>
    <w:lvl w:ilvl="1" w:tplc="00000004">
      <w:numFmt w:val="bullet"/>
      <w:lvlText w:val="-"/>
      <w:lvlJc w:val="left"/>
      <w:pPr>
        <w:ind w:left="1080" w:hanging="360"/>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EA78EB"/>
    <w:multiLevelType w:val="hybridMultilevel"/>
    <w:tmpl w:val="3C1A347A"/>
    <w:lvl w:ilvl="0" w:tplc="E77E77E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8054D"/>
    <w:multiLevelType w:val="hybridMultilevel"/>
    <w:tmpl w:val="FAD680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91538D"/>
    <w:multiLevelType w:val="hybridMultilevel"/>
    <w:tmpl w:val="60120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F4E0C"/>
    <w:multiLevelType w:val="hybridMultilevel"/>
    <w:tmpl w:val="B6185B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945A7"/>
    <w:multiLevelType w:val="hybridMultilevel"/>
    <w:tmpl w:val="48100C14"/>
    <w:lvl w:ilvl="0" w:tplc="4F26B74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E6825"/>
    <w:multiLevelType w:val="multilevel"/>
    <w:tmpl w:val="1E9CB34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89D4A75"/>
    <w:multiLevelType w:val="multilevel"/>
    <w:tmpl w:val="3A924D58"/>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716C2"/>
    <w:multiLevelType w:val="hybridMultilevel"/>
    <w:tmpl w:val="79C867D8"/>
    <w:lvl w:ilvl="0" w:tplc="3B90669A">
      <w:start w:val="1"/>
      <w:numFmt w:val="bullet"/>
      <w:lvlText w:val="•"/>
      <w:lvlJc w:val="left"/>
      <w:pPr>
        <w:tabs>
          <w:tab w:val="num" w:pos="720"/>
        </w:tabs>
        <w:ind w:left="720" w:hanging="360"/>
      </w:pPr>
      <w:rPr>
        <w:rFonts w:ascii="Arial" w:hAnsi="Arial" w:hint="default"/>
      </w:rPr>
    </w:lvl>
    <w:lvl w:ilvl="1" w:tplc="B26ED2CA" w:tentative="1">
      <w:start w:val="1"/>
      <w:numFmt w:val="bullet"/>
      <w:lvlText w:val="•"/>
      <w:lvlJc w:val="left"/>
      <w:pPr>
        <w:tabs>
          <w:tab w:val="num" w:pos="1440"/>
        </w:tabs>
        <w:ind w:left="1440" w:hanging="360"/>
      </w:pPr>
      <w:rPr>
        <w:rFonts w:ascii="Arial" w:hAnsi="Arial" w:hint="default"/>
      </w:rPr>
    </w:lvl>
    <w:lvl w:ilvl="2" w:tplc="1DE07A90" w:tentative="1">
      <w:start w:val="1"/>
      <w:numFmt w:val="bullet"/>
      <w:lvlText w:val="•"/>
      <w:lvlJc w:val="left"/>
      <w:pPr>
        <w:tabs>
          <w:tab w:val="num" w:pos="2160"/>
        </w:tabs>
        <w:ind w:left="2160" w:hanging="360"/>
      </w:pPr>
      <w:rPr>
        <w:rFonts w:ascii="Arial" w:hAnsi="Arial" w:hint="default"/>
      </w:rPr>
    </w:lvl>
    <w:lvl w:ilvl="3" w:tplc="5656A3E8" w:tentative="1">
      <w:start w:val="1"/>
      <w:numFmt w:val="bullet"/>
      <w:lvlText w:val="•"/>
      <w:lvlJc w:val="left"/>
      <w:pPr>
        <w:tabs>
          <w:tab w:val="num" w:pos="2880"/>
        </w:tabs>
        <w:ind w:left="2880" w:hanging="360"/>
      </w:pPr>
      <w:rPr>
        <w:rFonts w:ascii="Arial" w:hAnsi="Arial" w:hint="default"/>
      </w:rPr>
    </w:lvl>
    <w:lvl w:ilvl="4" w:tplc="86A04332" w:tentative="1">
      <w:start w:val="1"/>
      <w:numFmt w:val="bullet"/>
      <w:lvlText w:val="•"/>
      <w:lvlJc w:val="left"/>
      <w:pPr>
        <w:tabs>
          <w:tab w:val="num" w:pos="3600"/>
        </w:tabs>
        <w:ind w:left="3600" w:hanging="360"/>
      </w:pPr>
      <w:rPr>
        <w:rFonts w:ascii="Arial" w:hAnsi="Arial" w:hint="default"/>
      </w:rPr>
    </w:lvl>
    <w:lvl w:ilvl="5" w:tplc="32208020" w:tentative="1">
      <w:start w:val="1"/>
      <w:numFmt w:val="bullet"/>
      <w:lvlText w:val="•"/>
      <w:lvlJc w:val="left"/>
      <w:pPr>
        <w:tabs>
          <w:tab w:val="num" w:pos="4320"/>
        </w:tabs>
        <w:ind w:left="4320" w:hanging="360"/>
      </w:pPr>
      <w:rPr>
        <w:rFonts w:ascii="Arial" w:hAnsi="Arial" w:hint="default"/>
      </w:rPr>
    </w:lvl>
    <w:lvl w:ilvl="6" w:tplc="C3F8894C" w:tentative="1">
      <w:start w:val="1"/>
      <w:numFmt w:val="bullet"/>
      <w:lvlText w:val="•"/>
      <w:lvlJc w:val="left"/>
      <w:pPr>
        <w:tabs>
          <w:tab w:val="num" w:pos="5040"/>
        </w:tabs>
        <w:ind w:left="5040" w:hanging="360"/>
      </w:pPr>
      <w:rPr>
        <w:rFonts w:ascii="Arial" w:hAnsi="Arial" w:hint="default"/>
      </w:rPr>
    </w:lvl>
    <w:lvl w:ilvl="7" w:tplc="AF62C0AE" w:tentative="1">
      <w:start w:val="1"/>
      <w:numFmt w:val="bullet"/>
      <w:lvlText w:val="•"/>
      <w:lvlJc w:val="left"/>
      <w:pPr>
        <w:tabs>
          <w:tab w:val="num" w:pos="5760"/>
        </w:tabs>
        <w:ind w:left="5760" w:hanging="360"/>
      </w:pPr>
      <w:rPr>
        <w:rFonts w:ascii="Arial" w:hAnsi="Arial" w:hint="default"/>
      </w:rPr>
    </w:lvl>
    <w:lvl w:ilvl="8" w:tplc="5EEE2A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B94EB3"/>
    <w:multiLevelType w:val="hybridMultilevel"/>
    <w:tmpl w:val="556685A8"/>
    <w:lvl w:ilvl="0" w:tplc="EDC4165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D1F31"/>
    <w:multiLevelType w:val="hybridMultilevel"/>
    <w:tmpl w:val="8D34AE52"/>
    <w:lvl w:ilvl="0" w:tplc="FD149682">
      <w:start w:val="1"/>
      <w:numFmt w:val="bullet"/>
      <w:lvlText w:val="•"/>
      <w:lvlJc w:val="left"/>
      <w:pPr>
        <w:tabs>
          <w:tab w:val="num" w:pos="720"/>
        </w:tabs>
        <w:ind w:left="720" w:hanging="360"/>
      </w:pPr>
      <w:rPr>
        <w:rFonts w:ascii="Arial" w:hAnsi="Arial" w:hint="default"/>
      </w:rPr>
    </w:lvl>
    <w:lvl w:ilvl="1" w:tplc="9A066CC4">
      <w:start w:val="1"/>
      <w:numFmt w:val="bullet"/>
      <w:lvlText w:val="•"/>
      <w:lvlJc w:val="left"/>
      <w:pPr>
        <w:tabs>
          <w:tab w:val="num" w:pos="1440"/>
        </w:tabs>
        <w:ind w:left="1440" w:hanging="360"/>
      </w:pPr>
      <w:rPr>
        <w:rFonts w:ascii="Arial" w:hAnsi="Arial" w:hint="default"/>
      </w:rPr>
    </w:lvl>
    <w:lvl w:ilvl="2" w:tplc="23560670" w:tentative="1">
      <w:start w:val="1"/>
      <w:numFmt w:val="bullet"/>
      <w:lvlText w:val="•"/>
      <w:lvlJc w:val="left"/>
      <w:pPr>
        <w:tabs>
          <w:tab w:val="num" w:pos="2160"/>
        </w:tabs>
        <w:ind w:left="2160" w:hanging="360"/>
      </w:pPr>
      <w:rPr>
        <w:rFonts w:ascii="Arial" w:hAnsi="Arial" w:hint="default"/>
      </w:rPr>
    </w:lvl>
    <w:lvl w:ilvl="3" w:tplc="621E7518" w:tentative="1">
      <w:start w:val="1"/>
      <w:numFmt w:val="bullet"/>
      <w:lvlText w:val="•"/>
      <w:lvlJc w:val="left"/>
      <w:pPr>
        <w:tabs>
          <w:tab w:val="num" w:pos="2880"/>
        </w:tabs>
        <w:ind w:left="2880" w:hanging="360"/>
      </w:pPr>
      <w:rPr>
        <w:rFonts w:ascii="Arial" w:hAnsi="Arial" w:hint="default"/>
      </w:rPr>
    </w:lvl>
    <w:lvl w:ilvl="4" w:tplc="A51CC8F4" w:tentative="1">
      <w:start w:val="1"/>
      <w:numFmt w:val="bullet"/>
      <w:lvlText w:val="•"/>
      <w:lvlJc w:val="left"/>
      <w:pPr>
        <w:tabs>
          <w:tab w:val="num" w:pos="3600"/>
        </w:tabs>
        <w:ind w:left="3600" w:hanging="360"/>
      </w:pPr>
      <w:rPr>
        <w:rFonts w:ascii="Arial" w:hAnsi="Arial" w:hint="default"/>
      </w:rPr>
    </w:lvl>
    <w:lvl w:ilvl="5" w:tplc="F7A418C0" w:tentative="1">
      <w:start w:val="1"/>
      <w:numFmt w:val="bullet"/>
      <w:lvlText w:val="•"/>
      <w:lvlJc w:val="left"/>
      <w:pPr>
        <w:tabs>
          <w:tab w:val="num" w:pos="4320"/>
        </w:tabs>
        <w:ind w:left="4320" w:hanging="360"/>
      </w:pPr>
      <w:rPr>
        <w:rFonts w:ascii="Arial" w:hAnsi="Arial" w:hint="default"/>
      </w:rPr>
    </w:lvl>
    <w:lvl w:ilvl="6" w:tplc="F086FDE2" w:tentative="1">
      <w:start w:val="1"/>
      <w:numFmt w:val="bullet"/>
      <w:lvlText w:val="•"/>
      <w:lvlJc w:val="left"/>
      <w:pPr>
        <w:tabs>
          <w:tab w:val="num" w:pos="5040"/>
        </w:tabs>
        <w:ind w:left="5040" w:hanging="360"/>
      </w:pPr>
      <w:rPr>
        <w:rFonts w:ascii="Arial" w:hAnsi="Arial" w:hint="default"/>
      </w:rPr>
    </w:lvl>
    <w:lvl w:ilvl="7" w:tplc="638A1568" w:tentative="1">
      <w:start w:val="1"/>
      <w:numFmt w:val="bullet"/>
      <w:lvlText w:val="•"/>
      <w:lvlJc w:val="left"/>
      <w:pPr>
        <w:tabs>
          <w:tab w:val="num" w:pos="5760"/>
        </w:tabs>
        <w:ind w:left="5760" w:hanging="360"/>
      </w:pPr>
      <w:rPr>
        <w:rFonts w:ascii="Arial" w:hAnsi="Arial" w:hint="default"/>
      </w:rPr>
    </w:lvl>
    <w:lvl w:ilvl="8" w:tplc="B8F88F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0D56A0"/>
    <w:multiLevelType w:val="hybridMultilevel"/>
    <w:tmpl w:val="6DA2514E"/>
    <w:lvl w:ilvl="0" w:tplc="C43CDE9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561E42"/>
    <w:multiLevelType w:val="hybridMultilevel"/>
    <w:tmpl w:val="EF3EC5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ED19A6"/>
    <w:multiLevelType w:val="hybridMultilevel"/>
    <w:tmpl w:val="5C2C9BDC"/>
    <w:lvl w:ilvl="0" w:tplc="7B5C079C">
      <w:start w:val="9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E527B"/>
    <w:multiLevelType w:val="hybridMultilevel"/>
    <w:tmpl w:val="247E4236"/>
    <w:lvl w:ilvl="0" w:tplc="3F4CB1B0">
      <w:start w:val="100"/>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F34F72"/>
    <w:multiLevelType w:val="hybridMultilevel"/>
    <w:tmpl w:val="0E6A4590"/>
    <w:lvl w:ilvl="0" w:tplc="30E6548C">
      <w:start w:val="1"/>
      <w:numFmt w:val="bullet"/>
      <w:lvlText w:val="•"/>
      <w:lvlJc w:val="left"/>
      <w:pPr>
        <w:tabs>
          <w:tab w:val="num" w:pos="720"/>
        </w:tabs>
        <w:ind w:left="720" w:hanging="360"/>
      </w:pPr>
      <w:rPr>
        <w:rFonts w:ascii="Arial" w:hAnsi="Arial" w:hint="default"/>
      </w:rPr>
    </w:lvl>
    <w:lvl w:ilvl="1" w:tplc="0E203F28">
      <w:start w:val="5526"/>
      <w:numFmt w:val="bullet"/>
      <w:lvlText w:val="•"/>
      <w:lvlJc w:val="left"/>
      <w:pPr>
        <w:tabs>
          <w:tab w:val="num" w:pos="1440"/>
        </w:tabs>
        <w:ind w:left="1440" w:hanging="360"/>
      </w:pPr>
      <w:rPr>
        <w:rFonts w:ascii="Arial" w:hAnsi="Arial" w:hint="default"/>
      </w:rPr>
    </w:lvl>
    <w:lvl w:ilvl="2" w:tplc="2FE6E49A" w:tentative="1">
      <w:start w:val="1"/>
      <w:numFmt w:val="bullet"/>
      <w:lvlText w:val="•"/>
      <w:lvlJc w:val="left"/>
      <w:pPr>
        <w:tabs>
          <w:tab w:val="num" w:pos="2160"/>
        </w:tabs>
        <w:ind w:left="2160" w:hanging="360"/>
      </w:pPr>
      <w:rPr>
        <w:rFonts w:ascii="Arial" w:hAnsi="Arial" w:hint="default"/>
      </w:rPr>
    </w:lvl>
    <w:lvl w:ilvl="3" w:tplc="69D214E4" w:tentative="1">
      <w:start w:val="1"/>
      <w:numFmt w:val="bullet"/>
      <w:lvlText w:val="•"/>
      <w:lvlJc w:val="left"/>
      <w:pPr>
        <w:tabs>
          <w:tab w:val="num" w:pos="2880"/>
        </w:tabs>
        <w:ind w:left="2880" w:hanging="360"/>
      </w:pPr>
      <w:rPr>
        <w:rFonts w:ascii="Arial" w:hAnsi="Arial" w:hint="default"/>
      </w:rPr>
    </w:lvl>
    <w:lvl w:ilvl="4" w:tplc="D1DEA982" w:tentative="1">
      <w:start w:val="1"/>
      <w:numFmt w:val="bullet"/>
      <w:lvlText w:val="•"/>
      <w:lvlJc w:val="left"/>
      <w:pPr>
        <w:tabs>
          <w:tab w:val="num" w:pos="3600"/>
        </w:tabs>
        <w:ind w:left="3600" w:hanging="360"/>
      </w:pPr>
      <w:rPr>
        <w:rFonts w:ascii="Arial" w:hAnsi="Arial" w:hint="default"/>
      </w:rPr>
    </w:lvl>
    <w:lvl w:ilvl="5" w:tplc="5644028C" w:tentative="1">
      <w:start w:val="1"/>
      <w:numFmt w:val="bullet"/>
      <w:lvlText w:val="•"/>
      <w:lvlJc w:val="left"/>
      <w:pPr>
        <w:tabs>
          <w:tab w:val="num" w:pos="4320"/>
        </w:tabs>
        <w:ind w:left="4320" w:hanging="360"/>
      </w:pPr>
      <w:rPr>
        <w:rFonts w:ascii="Arial" w:hAnsi="Arial" w:hint="default"/>
      </w:rPr>
    </w:lvl>
    <w:lvl w:ilvl="6" w:tplc="048A70C0" w:tentative="1">
      <w:start w:val="1"/>
      <w:numFmt w:val="bullet"/>
      <w:lvlText w:val="•"/>
      <w:lvlJc w:val="left"/>
      <w:pPr>
        <w:tabs>
          <w:tab w:val="num" w:pos="5040"/>
        </w:tabs>
        <w:ind w:left="5040" w:hanging="360"/>
      </w:pPr>
      <w:rPr>
        <w:rFonts w:ascii="Arial" w:hAnsi="Arial" w:hint="default"/>
      </w:rPr>
    </w:lvl>
    <w:lvl w:ilvl="7" w:tplc="0DDE5C60" w:tentative="1">
      <w:start w:val="1"/>
      <w:numFmt w:val="bullet"/>
      <w:lvlText w:val="•"/>
      <w:lvlJc w:val="left"/>
      <w:pPr>
        <w:tabs>
          <w:tab w:val="num" w:pos="5760"/>
        </w:tabs>
        <w:ind w:left="5760" w:hanging="360"/>
      </w:pPr>
      <w:rPr>
        <w:rFonts w:ascii="Arial" w:hAnsi="Arial" w:hint="default"/>
      </w:rPr>
    </w:lvl>
    <w:lvl w:ilvl="8" w:tplc="283A97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0805CD"/>
    <w:multiLevelType w:val="hybridMultilevel"/>
    <w:tmpl w:val="A4EC99CE"/>
    <w:lvl w:ilvl="0" w:tplc="00000004">
      <w:numFmt w:val="bullet"/>
      <w:lvlText w:val="-"/>
      <w:lvlJc w:val="left"/>
      <w:pPr>
        <w:ind w:left="1080" w:hanging="360"/>
      </w:pPr>
      <w:rPr>
        <w:rFonts w:ascii="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93C0CC0"/>
    <w:multiLevelType w:val="hybridMultilevel"/>
    <w:tmpl w:val="8E1A1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523B90"/>
    <w:multiLevelType w:val="hybridMultilevel"/>
    <w:tmpl w:val="B8867A08"/>
    <w:lvl w:ilvl="0" w:tplc="E77E77E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CF2FF3"/>
    <w:multiLevelType w:val="hybridMultilevel"/>
    <w:tmpl w:val="69429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9020F3"/>
    <w:multiLevelType w:val="hybridMultilevel"/>
    <w:tmpl w:val="8F8084E0"/>
    <w:lvl w:ilvl="0" w:tplc="3D14A92C">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3E598D"/>
    <w:multiLevelType w:val="hybridMultilevel"/>
    <w:tmpl w:val="6A9C44F6"/>
    <w:lvl w:ilvl="0" w:tplc="20B06616">
      <w:start w:val="1"/>
      <w:numFmt w:val="bullet"/>
      <w:lvlText w:val="•"/>
      <w:lvlJc w:val="left"/>
      <w:pPr>
        <w:tabs>
          <w:tab w:val="num" w:pos="720"/>
        </w:tabs>
        <w:ind w:left="720" w:hanging="360"/>
      </w:pPr>
      <w:rPr>
        <w:rFonts w:ascii="Arial" w:hAnsi="Arial" w:hint="default"/>
      </w:rPr>
    </w:lvl>
    <w:lvl w:ilvl="1" w:tplc="B98EF0BE" w:tentative="1">
      <w:start w:val="1"/>
      <w:numFmt w:val="bullet"/>
      <w:lvlText w:val="•"/>
      <w:lvlJc w:val="left"/>
      <w:pPr>
        <w:tabs>
          <w:tab w:val="num" w:pos="1440"/>
        </w:tabs>
        <w:ind w:left="1440" w:hanging="360"/>
      </w:pPr>
      <w:rPr>
        <w:rFonts w:ascii="Arial" w:hAnsi="Arial" w:hint="default"/>
      </w:rPr>
    </w:lvl>
    <w:lvl w:ilvl="2" w:tplc="2AAA44EC" w:tentative="1">
      <w:start w:val="1"/>
      <w:numFmt w:val="bullet"/>
      <w:lvlText w:val="•"/>
      <w:lvlJc w:val="left"/>
      <w:pPr>
        <w:tabs>
          <w:tab w:val="num" w:pos="2160"/>
        </w:tabs>
        <w:ind w:left="2160" w:hanging="360"/>
      </w:pPr>
      <w:rPr>
        <w:rFonts w:ascii="Arial" w:hAnsi="Arial" w:hint="default"/>
      </w:rPr>
    </w:lvl>
    <w:lvl w:ilvl="3" w:tplc="6BF03410" w:tentative="1">
      <w:start w:val="1"/>
      <w:numFmt w:val="bullet"/>
      <w:lvlText w:val="•"/>
      <w:lvlJc w:val="left"/>
      <w:pPr>
        <w:tabs>
          <w:tab w:val="num" w:pos="2880"/>
        </w:tabs>
        <w:ind w:left="2880" w:hanging="360"/>
      </w:pPr>
      <w:rPr>
        <w:rFonts w:ascii="Arial" w:hAnsi="Arial" w:hint="default"/>
      </w:rPr>
    </w:lvl>
    <w:lvl w:ilvl="4" w:tplc="CE10C36E" w:tentative="1">
      <w:start w:val="1"/>
      <w:numFmt w:val="bullet"/>
      <w:lvlText w:val="•"/>
      <w:lvlJc w:val="left"/>
      <w:pPr>
        <w:tabs>
          <w:tab w:val="num" w:pos="3600"/>
        </w:tabs>
        <w:ind w:left="3600" w:hanging="360"/>
      </w:pPr>
      <w:rPr>
        <w:rFonts w:ascii="Arial" w:hAnsi="Arial" w:hint="default"/>
      </w:rPr>
    </w:lvl>
    <w:lvl w:ilvl="5" w:tplc="FDE292C6" w:tentative="1">
      <w:start w:val="1"/>
      <w:numFmt w:val="bullet"/>
      <w:lvlText w:val="•"/>
      <w:lvlJc w:val="left"/>
      <w:pPr>
        <w:tabs>
          <w:tab w:val="num" w:pos="4320"/>
        </w:tabs>
        <w:ind w:left="4320" w:hanging="360"/>
      </w:pPr>
      <w:rPr>
        <w:rFonts w:ascii="Arial" w:hAnsi="Arial" w:hint="default"/>
      </w:rPr>
    </w:lvl>
    <w:lvl w:ilvl="6" w:tplc="3DC03F48" w:tentative="1">
      <w:start w:val="1"/>
      <w:numFmt w:val="bullet"/>
      <w:lvlText w:val="•"/>
      <w:lvlJc w:val="left"/>
      <w:pPr>
        <w:tabs>
          <w:tab w:val="num" w:pos="5040"/>
        </w:tabs>
        <w:ind w:left="5040" w:hanging="360"/>
      </w:pPr>
      <w:rPr>
        <w:rFonts w:ascii="Arial" w:hAnsi="Arial" w:hint="default"/>
      </w:rPr>
    </w:lvl>
    <w:lvl w:ilvl="7" w:tplc="FEA83578" w:tentative="1">
      <w:start w:val="1"/>
      <w:numFmt w:val="bullet"/>
      <w:lvlText w:val="•"/>
      <w:lvlJc w:val="left"/>
      <w:pPr>
        <w:tabs>
          <w:tab w:val="num" w:pos="5760"/>
        </w:tabs>
        <w:ind w:left="5760" w:hanging="360"/>
      </w:pPr>
      <w:rPr>
        <w:rFonts w:ascii="Arial" w:hAnsi="Arial" w:hint="default"/>
      </w:rPr>
    </w:lvl>
    <w:lvl w:ilvl="8" w:tplc="90A240D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89593C"/>
    <w:multiLevelType w:val="hybridMultilevel"/>
    <w:tmpl w:val="14AC8834"/>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452EBA"/>
    <w:multiLevelType w:val="hybridMultilevel"/>
    <w:tmpl w:val="0582D0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57F70"/>
    <w:multiLevelType w:val="hybridMultilevel"/>
    <w:tmpl w:val="0E2AAB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755342"/>
    <w:multiLevelType w:val="hybridMultilevel"/>
    <w:tmpl w:val="B6185BF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4356EE"/>
    <w:multiLevelType w:val="multilevel"/>
    <w:tmpl w:val="D36677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253302"/>
    <w:multiLevelType w:val="hybridMultilevel"/>
    <w:tmpl w:val="1962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2C296B"/>
    <w:multiLevelType w:val="multilevel"/>
    <w:tmpl w:val="ADCCDDDC"/>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abstractNumId w:val="32"/>
  </w:num>
  <w:num w:numId="2">
    <w:abstractNumId w:val="15"/>
  </w:num>
  <w:num w:numId="3">
    <w:abstractNumId w:val="24"/>
  </w:num>
  <w:num w:numId="4">
    <w:abstractNumId w:val="47"/>
  </w:num>
  <w:num w:numId="5">
    <w:abstractNumId w:val="4"/>
  </w:num>
  <w:num w:numId="6">
    <w:abstractNumId w:val="3"/>
  </w:num>
  <w:num w:numId="7">
    <w:abstractNumId w:val="43"/>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46"/>
  </w:num>
  <w:num w:numId="13">
    <w:abstractNumId w:val="45"/>
  </w:num>
  <w:num w:numId="14">
    <w:abstractNumId w:val="33"/>
  </w:num>
  <w:num w:numId="15">
    <w:abstractNumId w:val="2"/>
  </w:num>
  <w:num w:numId="16">
    <w:abstractNumId w:val="40"/>
  </w:num>
  <w:num w:numId="17">
    <w:abstractNumId w:val="6"/>
  </w:num>
  <w:num w:numId="18">
    <w:abstractNumId w:val="44"/>
  </w:num>
  <w:num w:numId="19">
    <w:abstractNumId w:val="42"/>
  </w:num>
  <w:num w:numId="20">
    <w:abstractNumId w:val="22"/>
  </w:num>
  <w:num w:numId="21">
    <w:abstractNumId w:val="28"/>
  </w:num>
  <w:num w:numId="22">
    <w:abstractNumId w:val="30"/>
  </w:num>
  <w:num w:numId="23">
    <w:abstractNumId w:val="13"/>
  </w:num>
  <w:num w:numId="24">
    <w:abstractNumId w:val="9"/>
  </w:num>
  <w:num w:numId="25">
    <w:abstractNumId w:val="37"/>
  </w:num>
  <w:num w:numId="26">
    <w:abstractNumId w:val="5"/>
  </w:num>
  <w:num w:numId="27">
    <w:abstractNumId w:val="26"/>
  </w:num>
  <w:num w:numId="28">
    <w:abstractNumId w:val="25"/>
  </w:num>
  <w:num w:numId="29">
    <w:abstractNumId w:val="10"/>
  </w:num>
  <w:num w:numId="30">
    <w:abstractNumId w:val="12"/>
  </w:num>
  <w:num w:numId="31">
    <w:abstractNumId w:val="35"/>
  </w:num>
  <w:num w:numId="32">
    <w:abstractNumId w:val="11"/>
  </w:num>
  <w:num w:numId="33">
    <w:abstractNumId w:val="14"/>
  </w:num>
  <w:num w:numId="34">
    <w:abstractNumId w:val="8"/>
  </w:num>
  <w:num w:numId="35">
    <w:abstractNumId w:val="38"/>
  </w:num>
  <w:num w:numId="36">
    <w:abstractNumId w:val="39"/>
  </w:num>
  <w:num w:numId="37">
    <w:abstractNumId w:val="7"/>
  </w:num>
  <w:num w:numId="38">
    <w:abstractNumId w:val="0"/>
  </w:num>
  <w:num w:numId="39">
    <w:abstractNumId w:val="20"/>
  </w:num>
  <w:num w:numId="40">
    <w:abstractNumId w:val="41"/>
  </w:num>
  <w:num w:numId="41">
    <w:abstractNumId w:val="34"/>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8"/>
  </w:num>
  <w:num w:numId="47">
    <w:abstractNumId w:val="27"/>
  </w:num>
  <w:num w:numId="48">
    <w:abstractNumId w:val="19"/>
  </w:num>
  <w:num w:numId="49">
    <w:abstractNumId w:val="36"/>
  </w:num>
  <w:num w:numId="50">
    <w:abstractNumId w:val="21"/>
  </w:num>
  <w:num w:numId="51">
    <w:abstractNumId w:val="29"/>
  </w:num>
  <w:num w:numId="52">
    <w:abstractNumId w:val="15"/>
  </w:num>
  <w:num w:numId="53">
    <w:abstractNumId w:val="15"/>
  </w:num>
  <w:num w:numId="54">
    <w:abstractNumId w:val="15"/>
  </w:num>
  <w:num w:numId="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29"/>
    <w:rsid w:val="00001A9D"/>
    <w:rsid w:val="00001AB4"/>
    <w:rsid w:val="00001F9F"/>
    <w:rsid w:val="000036A1"/>
    <w:rsid w:val="0000374C"/>
    <w:rsid w:val="00003F99"/>
    <w:rsid w:val="00004345"/>
    <w:rsid w:val="0000446C"/>
    <w:rsid w:val="00006387"/>
    <w:rsid w:val="000073D9"/>
    <w:rsid w:val="0000763F"/>
    <w:rsid w:val="0001039E"/>
    <w:rsid w:val="0001066F"/>
    <w:rsid w:val="00010C5F"/>
    <w:rsid w:val="00013222"/>
    <w:rsid w:val="00013465"/>
    <w:rsid w:val="00015AEE"/>
    <w:rsid w:val="00015FF5"/>
    <w:rsid w:val="00016DFF"/>
    <w:rsid w:val="00017731"/>
    <w:rsid w:val="00017BBE"/>
    <w:rsid w:val="0002095B"/>
    <w:rsid w:val="00020EBE"/>
    <w:rsid w:val="00021424"/>
    <w:rsid w:val="00021A49"/>
    <w:rsid w:val="00022149"/>
    <w:rsid w:val="00022C31"/>
    <w:rsid w:val="00022CF4"/>
    <w:rsid w:val="00023222"/>
    <w:rsid w:val="0002422B"/>
    <w:rsid w:val="000247DE"/>
    <w:rsid w:val="00024E8A"/>
    <w:rsid w:val="00025631"/>
    <w:rsid w:val="00025866"/>
    <w:rsid w:val="00026A99"/>
    <w:rsid w:val="00027EC5"/>
    <w:rsid w:val="00031609"/>
    <w:rsid w:val="00031E3A"/>
    <w:rsid w:val="00032AFF"/>
    <w:rsid w:val="000332AD"/>
    <w:rsid w:val="00033A57"/>
    <w:rsid w:val="00033A74"/>
    <w:rsid w:val="00034404"/>
    <w:rsid w:val="0003761D"/>
    <w:rsid w:val="00040743"/>
    <w:rsid w:val="00042625"/>
    <w:rsid w:val="000435C6"/>
    <w:rsid w:val="00044AE4"/>
    <w:rsid w:val="00044FAD"/>
    <w:rsid w:val="00045783"/>
    <w:rsid w:val="000461CF"/>
    <w:rsid w:val="000462F1"/>
    <w:rsid w:val="00046625"/>
    <w:rsid w:val="00046891"/>
    <w:rsid w:val="00046EEE"/>
    <w:rsid w:val="00050CEF"/>
    <w:rsid w:val="000528A4"/>
    <w:rsid w:val="00053701"/>
    <w:rsid w:val="000547EB"/>
    <w:rsid w:val="00055CEB"/>
    <w:rsid w:val="000568CB"/>
    <w:rsid w:val="0005745F"/>
    <w:rsid w:val="00057F71"/>
    <w:rsid w:val="00060C42"/>
    <w:rsid w:val="00062067"/>
    <w:rsid w:val="00063609"/>
    <w:rsid w:val="00063C16"/>
    <w:rsid w:val="00065C62"/>
    <w:rsid w:val="00065CDE"/>
    <w:rsid w:val="00065F4A"/>
    <w:rsid w:val="00067021"/>
    <w:rsid w:val="000673B0"/>
    <w:rsid w:val="00067651"/>
    <w:rsid w:val="000707E3"/>
    <w:rsid w:val="00072604"/>
    <w:rsid w:val="00073665"/>
    <w:rsid w:val="00075F7B"/>
    <w:rsid w:val="00076A2C"/>
    <w:rsid w:val="00076DB3"/>
    <w:rsid w:val="00076E2E"/>
    <w:rsid w:val="00080FF3"/>
    <w:rsid w:val="0008124F"/>
    <w:rsid w:val="00081982"/>
    <w:rsid w:val="00082BAB"/>
    <w:rsid w:val="0008302A"/>
    <w:rsid w:val="00083DD7"/>
    <w:rsid w:val="000847FE"/>
    <w:rsid w:val="00086133"/>
    <w:rsid w:val="00090E4B"/>
    <w:rsid w:val="0009325A"/>
    <w:rsid w:val="0009339B"/>
    <w:rsid w:val="00093AF2"/>
    <w:rsid w:val="000940E6"/>
    <w:rsid w:val="000945F4"/>
    <w:rsid w:val="000959B7"/>
    <w:rsid w:val="00095E93"/>
    <w:rsid w:val="00097504"/>
    <w:rsid w:val="0009754F"/>
    <w:rsid w:val="000A06D1"/>
    <w:rsid w:val="000A14D0"/>
    <w:rsid w:val="000A2694"/>
    <w:rsid w:val="000A27C6"/>
    <w:rsid w:val="000A2EF1"/>
    <w:rsid w:val="000A31FD"/>
    <w:rsid w:val="000A333E"/>
    <w:rsid w:val="000A3B5D"/>
    <w:rsid w:val="000A64A8"/>
    <w:rsid w:val="000A6FBD"/>
    <w:rsid w:val="000A77C1"/>
    <w:rsid w:val="000A7BB3"/>
    <w:rsid w:val="000B2804"/>
    <w:rsid w:val="000B54F6"/>
    <w:rsid w:val="000B56CD"/>
    <w:rsid w:val="000B6B69"/>
    <w:rsid w:val="000C0142"/>
    <w:rsid w:val="000C036D"/>
    <w:rsid w:val="000C0A28"/>
    <w:rsid w:val="000C1DB6"/>
    <w:rsid w:val="000C3F9D"/>
    <w:rsid w:val="000C4196"/>
    <w:rsid w:val="000C6A40"/>
    <w:rsid w:val="000C6A75"/>
    <w:rsid w:val="000C720D"/>
    <w:rsid w:val="000C76F0"/>
    <w:rsid w:val="000D0023"/>
    <w:rsid w:val="000D2B40"/>
    <w:rsid w:val="000D2E92"/>
    <w:rsid w:val="000D324A"/>
    <w:rsid w:val="000D38DE"/>
    <w:rsid w:val="000D3A64"/>
    <w:rsid w:val="000D3D5A"/>
    <w:rsid w:val="000D4E6A"/>
    <w:rsid w:val="000D5F02"/>
    <w:rsid w:val="000D6513"/>
    <w:rsid w:val="000D6DF3"/>
    <w:rsid w:val="000D70E9"/>
    <w:rsid w:val="000D71F4"/>
    <w:rsid w:val="000D7F10"/>
    <w:rsid w:val="000E3818"/>
    <w:rsid w:val="000E38D2"/>
    <w:rsid w:val="000E38F9"/>
    <w:rsid w:val="000E48E6"/>
    <w:rsid w:val="000E5420"/>
    <w:rsid w:val="000E5502"/>
    <w:rsid w:val="000E5DFD"/>
    <w:rsid w:val="000E706D"/>
    <w:rsid w:val="000E7470"/>
    <w:rsid w:val="000F011C"/>
    <w:rsid w:val="000F04CB"/>
    <w:rsid w:val="000F1399"/>
    <w:rsid w:val="000F1AF2"/>
    <w:rsid w:val="000F2534"/>
    <w:rsid w:val="000F2FAF"/>
    <w:rsid w:val="000F3652"/>
    <w:rsid w:val="000F40F0"/>
    <w:rsid w:val="000F71FF"/>
    <w:rsid w:val="00100EDC"/>
    <w:rsid w:val="001012E4"/>
    <w:rsid w:val="00101536"/>
    <w:rsid w:val="00101EAE"/>
    <w:rsid w:val="00103402"/>
    <w:rsid w:val="001037E4"/>
    <w:rsid w:val="00104B77"/>
    <w:rsid w:val="00105378"/>
    <w:rsid w:val="001059BA"/>
    <w:rsid w:val="00106B5F"/>
    <w:rsid w:val="00106E11"/>
    <w:rsid w:val="001070FA"/>
    <w:rsid w:val="00107362"/>
    <w:rsid w:val="001120A1"/>
    <w:rsid w:val="00112D03"/>
    <w:rsid w:val="00113C5C"/>
    <w:rsid w:val="001145A3"/>
    <w:rsid w:val="001149BA"/>
    <w:rsid w:val="00115D54"/>
    <w:rsid w:val="00116C74"/>
    <w:rsid w:val="001205B9"/>
    <w:rsid w:val="00120797"/>
    <w:rsid w:val="00121871"/>
    <w:rsid w:val="00121EB0"/>
    <w:rsid w:val="001231E9"/>
    <w:rsid w:val="00123640"/>
    <w:rsid w:val="0012384F"/>
    <w:rsid w:val="00126079"/>
    <w:rsid w:val="0012649E"/>
    <w:rsid w:val="0012701F"/>
    <w:rsid w:val="001279AE"/>
    <w:rsid w:val="0013092C"/>
    <w:rsid w:val="00132710"/>
    <w:rsid w:val="00132819"/>
    <w:rsid w:val="00133517"/>
    <w:rsid w:val="00134CAB"/>
    <w:rsid w:val="00134CCC"/>
    <w:rsid w:val="00134DED"/>
    <w:rsid w:val="00136E76"/>
    <w:rsid w:val="00140797"/>
    <w:rsid w:val="00141664"/>
    <w:rsid w:val="00141B40"/>
    <w:rsid w:val="00142221"/>
    <w:rsid w:val="001428BE"/>
    <w:rsid w:val="00142F00"/>
    <w:rsid w:val="00144DEB"/>
    <w:rsid w:val="00145444"/>
    <w:rsid w:val="0014566F"/>
    <w:rsid w:val="00145B01"/>
    <w:rsid w:val="00145BB4"/>
    <w:rsid w:val="00145D10"/>
    <w:rsid w:val="001468C6"/>
    <w:rsid w:val="00146C47"/>
    <w:rsid w:val="0014745B"/>
    <w:rsid w:val="00150B50"/>
    <w:rsid w:val="00151505"/>
    <w:rsid w:val="0015167A"/>
    <w:rsid w:val="00151B60"/>
    <w:rsid w:val="001535E9"/>
    <w:rsid w:val="00153FDE"/>
    <w:rsid w:val="001550DE"/>
    <w:rsid w:val="00155C95"/>
    <w:rsid w:val="001610DF"/>
    <w:rsid w:val="00161234"/>
    <w:rsid w:val="00162B03"/>
    <w:rsid w:val="00163212"/>
    <w:rsid w:val="0016323F"/>
    <w:rsid w:val="00164683"/>
    <w:rsid w:val="00165A49"/>
    <w:rsid w:val="001671D7"/>
    <w:rsid w:val="001674DA"/>
    <w:rsid w:val="0016789D"/>
    <w:rsid w:val="001722AD"/>
    <w:rsid w:val="00173577"/>
    <w:rsid w:val="00173BA6"/>
    <w:rsid w:val="00174D41"/>
    <w:rsid w:val="00175B37"/>
    <w:rsid w:val="0017638E"/>
    <w:rsid w:val="00176AA5"/>
    <w:rsid w:val="00176CFE"/>
    <w:rsid w:val="0017720E"/>
    <w:rsid w:val="00177893"/>
    <w:rsid w:val="00180130"/>
    <w:rsid w:val="00180D8E"/>
    <w:rsid w:val="00181648"/>
    <w:rsid w:val="001821A6"/>
    <w:rsid w:val="0018303A"/>
    <w:rsid w:val="00184221"/>
    <w:rsid w:val="00184F4C"/>
    <w:rsid w:val="00186307"/>
    <w:rsid w:val="00186EBC"/>
    <w:rsid w:val="001905CD"/>
    <w:rsid w:val="001935B0"/>
    <w:rsid w:val="00193D70"/>
    <w:rsid w:val="00194F92"/>
    <w:rsid w:val="0019561C"/>
    <w:rsid w:val="001957BB"/>
    <w:rsid w:val="00195DA4"/>
    <w:rsid w:val="001A0142"/>
    <w:rsid w:val="001A02B2"/>
    <w:rsid w:val="001A0AD0"/>
    <w:rsid w:val="001A1D3C"/>
    <w:rsid w:val="001A415F"/>
    <w:rsid w:val="001A4E24"/>
    <w:rsid w:val="001A50F7"/>
    <w:rsid w:val="001A7B67"/>
    <w:rsid w:val="001A7F6E"/>
    <w:rsid w:val="001B00CE"/>
    <w:rsid w:val="001B08F4"/>
    <w:rsid w:val="001B1055"/>
    <w:rsid w:val="001B164A"/>
    <w:rsid w:val="001B22FD"/>
    <w:rsid w:val="001B38B0"/>
    <w:rsid w:val="001B4288"/>
    <w:rsid w:val="001B4D8D"/>
    <w:rsid w:val="001B4DC1"/>
    <w:rsid w:val="001B4DF4"/>
    <w:rsid w:val="001B5EFE"/>
    <w:rsid w:val="001B6389"/>
    <w:rsid w:val="001C0297"/>
    <w:rsid w:val="001C04CC"/>
    <w:rsid w:val="001C051E"/>
    <w:rsid w:val="001C0DB7"/>
    <w:rsid w:val="001C0E32"/>
    <w:rsid w:val="001C1605"/>
    <w:rsid w:val="001C1A66"/>
    <w:rsid w:val="001C3884"/>
    <w:rsid w:val="001C3F7D"/>
    <w:rsid w:val="001C4555"/>
    <w:rsid w:val="001C4AC4"/>
    <w:rsid w:val="001C4B51"/>
    <w:rsid w:val="001C4F22"/>
    <w:rsid w:val="001C6197"/>
    <w:rsid w:val="001D01C5"/>
    <w:rsid w:val="001D0EFC"/>
    <w:rsid w:val="001D13EF"/>
    <w:rsid w:val="001D18E8"/>
    <w:rsid w:val="001D1D5D"/>
    <w:rsid w:val="001D2E01"/>
    <w:rsid w:val="001D413A"/>
    <w:rsid w:val="001D559D"/>
    <w:rsid w:val="001D59D9"/>
    <w:rsid w:val="001D5DE3"/>
    <w:rsid w:val="001D60B2"/>
    <w:rsid w:val="001E1145"/>
    <w:rsid w:val="001E1237"/>
    <w:rsid w:val="001E148F"/>
    <w:rsid w:val="001E189A"/>
    <w:rsid w:val="001E1FCE"/>
    <w:rsid w:val="001E4361"/>
    <w:rsid w:val="001E4707"/>
    <w:rsid w:val="001E474A"/>
    <w:rsid w:val="001E5918"/>
    <w:rsid w:val="001E5AB1"/>
    <w:rsid w:val="001E5EF8"/>
    <w:rsid w:val="001E6EF5"/>
    <w:rsid w:val="001E760F"/>
    <w:rsid w:val="001F073C"/>
    <w:rsid w:val="001F0BEE"/>
    <w:rsid w:val="001F0D4E"/>
    <w:rsid w:val="001F0F2F"/>
    <w:rsid w:val="001F273F"/>
    <w:rsid w:val="001F2912"/>
    <w:rsid w:val="001F33FF"/>
    <w:rsid w:val="001F34EE"/>
    <w:rsid w:val="001F35F2"/>
    <w:rsid w:val="001F4C40"/>
    <w:rsid w:val="001F4ED4"/>
    <w:rsid w:val="001F5300"/>
    <w:rsid w:val="001F53C0"/>
    <w:rsid w:val="001F6732"/>
    <w:rsid w:val="001F6B70"/>
    <w:rsid w:val="001F76E1"/>
    <w:rsid w:val="002001C6"/>
    <w:rsid w:val="00200296"/>
    <w:rsid w:val="00201ADB"/>
    <w:rsid w:val="00202EFB"/>
    <w:rsid w:val="00203F4B"/>
    <w:rsid w:val="00204915"/>
    <w:rsid w:val="0020574E"/>
    <w:rsid w:val="002058E5"/>
    <w:rsid w:val="002068F8"/>
    <w:rsid w:val="00207252"/>
    <w:rsid w:val="00207581"/>
    <w:rsid w:val="002077C0"/>
    <w:rsid w:val="00207B57"/>
    <w:rsid w:val="00210C9D"/>
    <w:rsid w:val="00210F62"/>
    <w:rsid w:val="00210FAA"/>
    <w:rsid w:val="00215055"/>
    <w:rsid w:val="0021536B"/>
    <w:rsid w:val="002154B7"/>
    <w:rsid w:val="002158DC"/>
    <w:rsid w:val="0021657D"/>
    <w:rsid w:val="00222E01"/>
    <w:rsid w:val="0022347C"/>
    <w:rsid w:val="002234A6"/>
    <w:rsid w:val="00226650"/>
    <w:rsid w:val="00226EC4"/>
    <w:rsid w:val="002275A0"/>
    <w:rsid w:val="0023048C"/>
    <w:rsid w:val="0023054F"/>
    <w:rsid w:val="00230D7B"/>
    <w:rsid w:val="00233E4C"/>
    <w:rsid w:val="00236382"/>
    <w:rsid w:val="00237224"/>
    <w:rsid w:val="00237B93"/>
    <w:rsid w:val="00241AF0"/>
    <w:rsid w:val="002425EA"/>
    <w:rsid w:val="00242EA0"/>
    <w:rsid w:val="0024349E"/>
    <w:rsid w:val="00243685"/>
    <w:rsid w:val="00243715"/>
    <w:rsid w:val="002470A8"/>
    <w:rsid w:val="002500F6"/>
    <w:rsid w:val="0025243B"/>
    <w:rsid w:val="0025367C"/>
    <w:rsid w:val="00255367"/>
    <w:rsid w:val="0025613F"/>
    <w:rsid w:val="00256A66"/>
    <w:rsid w:val="00257AFA"/>
    <w:rsid w:val="00261DC6"/>
    <w:rsid w:val="00262993"/>
    <w:rsid w:val="00263B76"/>
    <w:rsid w:val="00264623"/>
    <w:rsid w:val="00265AF2"/>
    <w:rsid w:val="0026718D"/>
    <w:rsid w:val="0027152A"/>
    <w:rsid w:val="00273C92"/>
    <w:rsid w:val="002742CE"/>
    <w:rsid w:val="002745BC"/>
    <w:rsid w:val="002756AD"/>
    <w:rsid w:val="00280B5B"/>
    <w:rsid w:val="0028156B"/>
    <w:rsid w:val="00282D1F"/>
    <w:rsid w:val="00282E00"/>
    <w:rsid w:val="002836DF"/>
    <w:rsid w:val="00283EEC"/>
    <w:rsid w:val="0028416A"/>
    <w:rsid w:val="00285D10"/>
    <w:rsid w:val="002865D9"/>
    <w:rsid w:val="00291017"/>
    <w:rsid w:val="002921E0"/>
    <w:rsid w:val="002928F4"/>
    <w:rsid w:val="00293344"/>
    <w:rsid w:val="002946B1"/>
    <w:rsid w:val="00296A18"/>
    <w:rsid w:val="00297B1D"/>
    <w:rsid w:val="002A0DC7"/>
    <w:rsid w:val="002A253F"/>
    <w:rsid w:val="002A2F9E"/>
    <w:rsid w:val="002A3510"/>
    <w:rsid w:val="002A4503"/>
    <w:rsid w:val="002A6B30"/>
    <w:rsid w:val="002B2D68"/>
    <w:rsid w:val="002B4941"/>
    <w:rsid w:val="002B5822"/>
    <w:rsid w:val="002B5AE9"/>
    <w:rsid w:val="002B5D74"/>
    <w:rsid w:val="002B68E7"/>
    <w:rsid w:val="002B6976"/>
    <w:rsid w:val="002B7ADB"/>
    <w:rsid w:val="002C1D2F"/>
    <w:rsid w:val="002C20B2"/>
    <w:rsid w:val="002C3599"/>
    <w:rsid w:val="002C3B22"/>
    <w:rsid w:val="002C3DC8"/>
    <w:rsid w:val="002C4BB6"/>
    <w:rsid w:val="002C4C0E"/>
    <w:rsid w:val="002C58F2"/>
    <w:rsid w:val="002C5F21"/>
    <w:rsid w:val="002D2857"/>
    <w:rsid w:val="002D2D02"/>
    <w:rsid w:val="002D2FCA"/>
    <w:rsid w:val="002D34C2"/>
    <w:rsid w:val="002D5026"/>
    <w:rsid w:val="002D5460"/>
    <w:rsid w:val="002D5DAE"/>
    <w:rsid w:val="002D602B"/>
    <w:rsid w:val="002D60D7"/>
    <w:rsid w:val="002D7823"/>
    <w:rsid w:val="002D78A5"/>
    <w:rsid w:val="002E023E"/>
    <w:rsid w:val="002E1A45"/>
    <w:rsid w:val="002E279D"/>
    <w:rsid w:val="002E2D78"/>
    <w:rsid w:val="002E339F"/>
    <w:rsid w:val="002E348B"/>
    <w:rsid w:val="002E3562"/>
    <w:rsid w:val="002E3FAB"/>
    <w:rsid w:val="002E400B"/>
    <w:rsid w:val="002E42FD"/>
    <w:rsid w:val="002E4C2D"/>
    <w:rsid w:val="002E5DEA"/>
    <w:rsid w:val="002E659A"/>
    <w:rsid w:val="002E724A"/>
    <w:rsid w:val="002F0955"/>
    <w:rsid w:val="002F0CC4"/>
    <w:rsid w:val="002F0E8F"/>
    <w:rsid w:val="002F16CF"/>
    <w:rsid w:val="002F20BC"/>
    <w:rsid w:val="002F23C1"/>
    <w:rsid w:val="002F29B1"/>
    <w:rsid w:val="002F311E"/>
    <w:rsid w:val="002F48BB"/>
    <w:rsid w:val="002F68CE"/>
    <w:rsid w:val="002F71B8"/>
    <w:rsid w:val="003001DA"/>
    <w:rsid w:val="0030057F"/>
    <w:rsid w:val="00301821"/>
    <w:rsid w:val="00301EA1"/>
    <w:rsid w:val="00302292"/>
    <w:rsid w:val="00302FCC"/>
    <w:rsid w:val="003062AE"/>
    <w:rsid w:val="00307D29"/>
    <w:rsid w:val="003144B1"/>
    <w:rsid w:val="00314726"/>
    <w:rsid w:val="00315514"/>
    <w:rsid w:val="00317694"/>
    <w:rsid w:val="00321088"/>
    <w:rsid w:val="00321976"/>
    <w:rsid w:val="00321C38"/>
    <w:rsid w:val="003220C4"/>
    <w:rsid w:val="0032607A"/>
    <w:rsid w:val="003261FF"/>
    <w:rsid w:val="00326AD6"/>
    <w:rsid w:val="003312A9"/>
    <w:rsid w:val="00331DC5"/>
    <w:rsid w:val="0033221C"/>
    <w:rsid w:val="0033230B"/>
    <w:rsid w:val="00332882"/>
    <w:rsid w:val="00334ACF"/>
    <w:rsid w:val="003350A4"/>
    <w:rsid w:val="003350DA"/>
    <w:rsid w:val="0033635E"/>
    <w:rsid w:val="00337075"/>
    <w:rsid w:val="00337249"/>
    <w:rsid w:val="00340EFB"/>
    <w:rsid w:val="00340F19"/>
    <w:rsid w:val="00341286"/>
    <w:rsid w:val="0034131A"/>
    <w:rsid w:val="00341A14"/>
    <w:rsid w:val="00343683"/>
    <w:rsid w:val="00345326"/>
    <w:rsid w:val="003500A8"/>
    <w:rsid w:val="0035050F"/>
    <w:rsid w:val="00351381"/>
    <w:rsid w:val="003514CE"/>
    <w:rsid w:val="003518D0"/>
    <w:rsid w:val="00352454"/>
    <w:rsid w:val="003530A6"/>
    <w:rsid w:val="00353627"/>
    <w:rsid w:val="00353782"/>
    <w:rsid w:val="00353B6C"/>
    <w:rsid w:val="00353E45"/>
    <w:rsid w:val="003541F9"/>
    <w:rsid w:val="003544E0"/>
    <w:rsid w:val="00354B5F"/>
    <w:rsid w:val="00355264"/>
    <w:rsid w:val="00355F72"/>
    <w:rsid w:val="003562D2"/>
    <w:rsid w:val="003571EA"/>
    <w:rsid w:val="003572FC"/>
    <w:rsid w:val="00357657"/>
    <w:rsid w:val="0035786B"/>
    <w:rsid w:val="00360A01"/>
    <w:rsid w:val="00361BCA"/>
    <w:rsid w:val="00361D3B"/>
    <w:rsid w:val="0036202E"/>
    <w:rsid w:val="00362F5F"/>
    <w:rsid w:val="003639A6"/>
    <w:rsid w:val="00365095"/>
    <w:rsid w:val="00366E13"/>
    <w:rsid w:val="003679AE"/>
    <w:rsid w:val="00370577"/>
    <w:rsid w:val="00371735"/>
    <w:rsid w:val="00372DC9"/>
    <w:rsid w:val="00373628"/>
    <w:rsid w:val="00373BBE"/>
    <w:rsid w:val="00374212"/>
    <w:rsid w:val="00374C4B"/>
    <w:rsid w:val="0037565E"/>
    <w:rsid w:val="0037781E"/>
    <w:rsid w:val="003809C8"/>
    <w:rsid w:val="0038281C"/>
    <w:rsid w:val="0038442B"/>
    <w:rsid w:val="0038450B"/>
    <w:rsid w:val="0038478C"/>
    <w:rsid w:val="003851FE"/>
    <w:rsid w:val="00385A64"/>
    <w:rsid w:val="00385E64"/>
    <w:rsid w:val="003863AA"/>
    <w:rsid w:val="00386D1A"/>
    <w:rsid w:val="00387680"/>
    <w:rsid w:val="003905A9"/>
    <w:rsid w:val="003913FE"/>
    <w:rsid w:val="0039183F"/>
    <w:rsid w:val="00393024"/>
    <w:rsid w:val="00393395"/>
    <w:rsid w:val="003945B7"/>
    <w:rsid w:val="00394886"/>
    <w:rsid w:val="00395718"/>
    <w:rsid w:val="00397170"/>
    <w:rsid w:val="00397D3F"/>
    <w:rsid w:val="00397E28"/>
    <w:rsid w:val="003A3433"/>
    <w:rsid w:val="003A3687"/>
    <w:rsid w:val="003A427A"/>
    <w:rsid w:val="003A537E"/>
    <w:rsid w:val="003A595A"/>
    <w:rsid w:val="003A660F"/>
    <w:rsid w:val="003A746B"/>
    <w:rsid w:val="003A7C1E"/>
    <w:rsid w:val="003B095E"/>
    <w:rsid w:val="003B0FCB"/>
    <w:rsid w:val="003B1ACE"/>
    <w:rsid w:val="003B583C"/>
    <w:rsid w:val="003B6046"/>
    <w:rsid w:val="003B6666"/>
    <w:rsid w:val="003B68D2"/>
    <w:rsid w:val="003C0BF9"/>
    <w:rsid w:val="003C0EAF"/>
    <w:rsid w:val="003C169C"/>
    <w:rsid w:val="003C1A9F"/>
    <w:rsid w:val="003C203B"/>
    <w:rsid w:val="003C2067"/>
    <w:rsid w:val="003C2C36"/>
    <w:rsid w:val="003C4CE5"/>
    <w:rsid w:val="003C50DD"/>
    <w:rsid w:val="003C5C2F"/>
    <w:rsid w:val="003C5F28"/>
    <w:rsid w:val="003C6A1F"/>
    <w:rsid w:val="003C6D97"/>
    <w:rsid w:val="003D0175"/>
    <w:rsid w:val="003D10D5"/>
    <w:rsid w:val="003D11A9"/>
    <w:rsid w:val="003D2A37"/>
    <w:rsid w:val="003D39BE"/>
    <w:rsid w:val="003D3E64"/>
    <w:rsid w:val="003D590A"/>
    <w:rsid w:val="003D69EF"/>
    <w:rsid w:val="003D7F8C"/>
    <w:rsid w:val="003E02BA"/>
    <w:rsid w:val="003E074C"/>
    <w:rsid w:val="003E0EDB"/>
    <w:rsid w:val="003E2820"/>
    <w:rsid w:val="003E31CB"/>
    <w:rsid w:val="003E3BC8"/>
    <w:rsid w:val="003E4553"/>
    <w:rsid w:val="003E4E34"/>
    <w:rsid w:val="003E51FD"/>
    <w:rsid w:val="003E6475"/>
    <w:rsid w:val="003E7B5E"/>
    <w:rsid w:val="003E7B83"/>
    <w:rsid w:val="003F105A"/>
    <w:rsid w:val="003F1C17"/>
    <w:rsid w:val="003F283D"/>
    <w:rsid w:val="003F2BD7"/>
    <w:rsid w:val="003F2C0A"/>
    <w:rsid w:val="003F2E63"/>
    <w:rsid w:val="003F3815"/>
    <w:rsid w:val="003F3C93"/>
    <w:rsid w:val="003F51F7"/>
    <w:rsid w:val="003F6199"/>
    <w:rsid w:val="003F61AD"/>
    <w:rsid w:val="003F63F2"/>
    <w:rsid w:val="003F70F7"/>
    <w:rsid w:val="0040230D"/>
    <w:rsid w:val="004029FC"/>
    <w:rsid w:val="00402CD7"/>
    <w:rsid w:val="004033BF"/>
    <w:rsid w:val="004046D9"/>
    <w:rsid w:val="00404DB5"/>
    <w:rsid w:val="00404F27"/>
    <w:rsid w:val="00405B39"/>
    <w:rsid w:val="00406352"/>
    <w:rsid w:val="004066F0"/>
    <w:rsid w:val="00407475"/>
    <w:rsid w:val="00407C78"/>
    <w:rsid w:val="004123C6"/>
    <w:rsid w:val="00412685"/>
    <w:rsid w:val="00414492"/>
    <w:rsid w:val="004148D6"/>
    <w:rsid w:val="00414C0A"/>
    <w:rsid w:val="004178DB"/>
    <w:rsid w:val="00421450"/>
    <w:rsid w:val="00421941"/>
    <w:rsid w:val="00422216"/>
    <w:rsid w:val="004226F7"/>
    <w:rsid w:val="004278B3"/>
    <w:rsid w:val="00427E55"/>
    <w:rsid w:val="00430CD9"/>
    <w:rsid w:val="00430E79"/>
    <w:rsid w:val="00431089"/>
    <w:rsid w:val="004311DA"/>
    <w:rsid w:val="0043244F"/>
    <w:rsid w:val="00433A61"/>
    <w:rsid w:val="0043404B"/>
    <w:rsid w:val="004350F4"/>
    <w:rsid w:val="004354B8"/>
    <w:rsid w:val="00435951"/>
    <w:rsid w:val="00435FE2"/>
    <w:rsid w:val="00437BB5"/>
    <w:rsid w:val="00441124"/>
    <w:rsid w:val="0044482B"/>
    <w:rsid w:val="00444C32"/>
    <w:rsid w:val="00444ECC"/>
    <w:rsid w:val="00445C28"/>
    <w:rsid w:val="00445E9A"/>
    <w:rsid w:val="00446CC9"/>
    <w:rsid w:val="0045002D"/>
    <w:rsid w:val="00450BC9"/>
    <w:rsid w:val="00452074"/>
    <w:rsid w:val="00453BAE"/>
    <w:rsid w:val="00453D59"/>
    <w:rsid w:val="0045433C"/>
    <w:rsid w:val="00454493"/>
    <w:rsid w:val="00454EB5"/>
    <w:rsid w:val="0045613F"/>
    <w:rsid w:val="00460CC0"/>
    <w:rsid w:val="00461474"/>
    <w:rsid w:val="004619BB"/>
    <w:rsid w:val="0046282E"/>
    <w:rsid w:val="00464FDD"/>
    <w:rsid w:val="004656D4"/>
    <w:rsid w:val="00465D3F"/>
    <w:rsid w:val="004661ED"/>
    <w:rsid w:val="0046621E"/>
    <w:rsid w:val="004667C0"/>
    <w:rsid w:val="004678F3"/>
    <w:rsid w:val="0047252A"/>
    <w:rsid w:val="00472D4D"/>
    <w:rsid w:val="00473165"/>
    <w:rsid w:val="00473A0B"/>
    <w:rsid w:val="004741A5"/>
    <w:rsid w:val="004748B7"/>
    <w:rsid w:val="00475841"/>
    <w:rsid w:val="0047792E"/>
    <w:rsid w:val="00480FF5"/>
    <w:rsid w:val="0048338F"/>
    <w:rsid w:val="004839A6"/>
    <w:rsid w:val="00486C74"/>
    <w:rsid w:val="004870B1"/>
    <w:rsid w:val="00491293"/>
    <w:rsid w:val="00491650"/>
    <w:rsid w:val="004919DD"/>
    <w:rsid w:val="00491A42"/>
    <w:rsid w:val="00491EA1"/>
    <w:rsid w:val="00492286"/>
    <w:rsid w:val="00492BE7"/>
    <w:rsid w:val="00493A2F"/>
    <w:rsid w:val="00493C07"/>
    <w:rsid w:val="00493CB5"/>
    <w:rsid w:val="00494ABD"/>
    <w:rsid w:val="00494F7C"/>
    <w:rsid w:val="00496CD5"/>
    <w:rsid w:val="00496DE7"/>
    <w:rsid w:val="00496E68"/>
    <w:rsid w:val="00496F8F"/>
    <w:rsid w:val="004A01C0"/>
    <w:rsid w:val="004A0CD7"/>
    <w:rsid w:val="004A1C44"/>
    <w:rsid w:val="004A2CC5"/>
    <w:rsid w:val="004A2DF5"/>
    <w:rsid w:val="004A42AC"/>
    <w:rsid w:val="004A4876"/>
    <w:rsid w:val="004A4983"/>
    <w:rsid w:val="004A4EF3"/>
    <w:rsid w:val="004A52ED"/>
    <w:rsid w:val="004B0D0D"/>
    <w:rsid w:val="004B34A4"/>
    <w:rsid w:val="004B39DB"/>
    <w:rsid w:val="004B3C00"/>
    <w:rsid w:val="004B6345"/>
    <w:rsid w:val="004B6F00"/>
    <w:rsid w:val="004C09B9"/>
    <w:rsid w:val="004C1861"/>
    <w:rsid w:val="004C2DA2"/>
    <w:rsid w:val="004C328C"/>
    <w:rsid w:val="004C4CE0"/>
    <w:rsid w:val="004C507A"/>
    <w:rsid w:val="004C57E6"/>
    <w:rsid w:val="004C6809"/>
    <w:rsid w:val="004D1006"/>
    <w:rsid w:val="004D211D"/>
    <w:rsid w:val="004D45DF"/>
    <w:rsid w:val="004D4E14"/>
    <w:rsid w:val="004D4EB8"/>
    <w:rsid w:val="004D685A"/>
    <w:rsid w:val="004E09AD"/>
    <w:rsid w:val="004E0C0B"/>
    <w:rsid w:val="004E2125"/>
    <w:rsid w:val="004E316A"/>
    <w:rsid w:val="004E448A"/>
    <w:rsid w:val="004E4F59"/>
    <w:rsid w:val="004E5CDF"/>
    <w:rsid w:val="004E60AC"/>
    <w:rsid w:val="004E7D06"/>
    <w:rsid w:val="004E7F65"/>
    <w:rsid w:val="004F25F1"/>
    <w:rsid w:val="004F2994"/>
    <w:rsid w:val="004F3688"/>
    <w:rsid w:val="004F3AAE"/>
    <w:rsid w:val="004F3DE7"/>
    <w:rsid w:val="004F4415"/>
    <w:rsid w:val="004F4B81"/>
    <w:rsid w:val="004F4BDE"/>
    <w:rsid w:val="004F5E11"/>
    <w:rsid w:val="004F5F6F"/>
    <w:rsid w:val="004F6163"/>
    <w:rsid w:val="004F74AC"/>
    <w:rsid w:val="004F7CAC"/>
    <w:rsid w:val="00501D1C"/>
    <w:rsid w:val="00502495"/>
    <w:rsid w:val="00502FAD"/>
    <w:rsid w:val="00503175"/>
    <w:rsid w:val="00503FC8"/>
    <w:rsid w:val="00504720"/>
    <w:rsid w:val="00505D6F"/>
    <w:rsid w:val="005060F0"/>
    <w:rsid w:val="00507713"/>
    <w:rsid w:val="00507EA5"/>
    <w:rsid w:val="005108A0"/>
    <w:rsid w:val="00510BE9"/>
    <w:rsid w:val="00511320"/>
    <w:rsid w:val="00511FC8"/>
    <w:rsid w:val="00512237"/>
    <w:rsid w:val="005143F9"/>
    <w:rsid w:val="0051453C"/>
    <w:rsid w:val="0051493D"/>
    <w:rsid w:val="005149F3"/>
    <w:rsid w:val="00514A39"/>
    <w:rsid w:val="00514C90"/>
    <w:rsid w:val="00515D56"/>
    <w:rsid w:val="00516566"/>
    <w:rsid w:val="00516F5C"/>
    <w:rsid w:val="00516F63"/>
    <w:rsid w:val="0052055E"/>
    <w:rsid w:val="0052059A"/>
    <w:rsid w:val="0052077B"/>
    <w:rsid w:val="00521079"/>
    <w:rsid w:val="005218C3"/>
    <w:rsid w:val="00521ABA"/>
    <w:rsid w:val="00521F94"/>
    <w:rsid w:val="00522A1A"/>
    <w:rsid w:val="005236FC"/>
    <w:rsid w:val="00523E85"/>
    <w:rsid w:val="00524EFC"/>
    <w:rsid w:val="00525369"/>
    <w:rsid w:val="005258A0"/>
    <w:rsid w:val="00531C11"/>
    <w:rsid w:val="00532753"/>
    <w:rsid w:val="00532AAB"/>
    <w:rsid w:val="00532DB1"/>
    <w:rsid w:val="00535C74"/>
    <w:rsid w:val="005361AB"/>
    <w:rsid w:val="00536FC2"/>
    <w:rsid w:val="0054022F"/>
    <w:rsid w:val="00540FB4"/>
    <w:rsid w:val="00541030"/>
    <w:rsid w:val="00541D43"/>
    <w:rsid w:val="00542068"/>
    <w:rsid w:val="00542825"/>
    <w:rsid w:val="0054300D"/>
    <w:rsid w:val="005433FC"/>
    <w:rsid w:val="00543463"/>
    <w:rsid w:val="005435F7"/>
    <w:rsid w:val="00543AF9"/>
    <w:rsid w:val="00543B21"/>
    <w:rsid w:val="00543C10"/>
    <w:rsid w:val="005466C1"/>
    <w:rsid w:val="0055079D"/>
    <w:rsid w:val="00550FDF"/>
    <w:rsid w:val="00551225"/>
    <w:rsid w:val="00551A64"/>
    <w:rsid w:val="00551DF2"/>
    <w:rsid w:val="0055235C"/>
    <w:rsid w:val="00554FCC"/>
    <w:rsid w:val="0055532F"/>
    <w:rsid w:val="005553AD"/>
    <w:rsid w:val="005553D1"/>
    <w:rsid w:val="0055556D"/>
    <w:rsid w:val="005558A9"/>
    <w:rsid w:val="00555F98"/>
    <w:rsid w:val="00555FCC"/>
    <w:rsid w:val="00556667"/>
    <w:rsid w:val="00556787"/>
    <w:rsid w:val="00556D82"/>
    <w:rsid w:val="00561D24"/>
    <w:rsid w:val="005638C9"/>
    <w:rsid w:val="00563CE4"/>
    <w:rsid w:val="005645E5"/>
    <w:rsid w:val="00565A26"/>
    <w:rsid w:val="00565EEC"/>
    <w:rsid w:val="0056761E"/>
    <w:rsid w:val="005704D8"/>
    <w:rsid w:val="00570652"/>
    <w:rsid w:val="0057314E"/>
    <w:rsid w:val="00574AA3"/>
    <w:rsid w:val="00574B84"/>
    <w:rsid w:val="00575871"/>
    <w:rsid w:val="0057594E"/>
    <w:rsid w:val="00576ADE"/>
    <w:rsid w:val="00576BCF"/>
    <w:rsid w:val="00576F56"/>
    <w:rsid w:val="00577703"/>
    <w:rsid w:val="00577CFD"/>
    <w:rsid w:val="00577DEF"/>
    <w:rsid w:val="00577F85"/>
    <w:rsid w:val="005808B4"/>
    <w:rsid w:val="00580B16"/>
    <w:rsid w:val="005812E1"/>
    <w:rsid w:val="005817BC"/>
    <w:rsid w:val="005844DF"/>
    <w:rsid w:val="0058591E"/>
    <w:rsid w:val="00586483"/>
    <w:rsid w:val="00587023"/>
    <w:rsid w:val="0058736B"/>
    <w:rsid w:val="00587710"/>
    <w:rsid w:val="00591388"/>
    <w:rsid w:val="005924A7"/>
    <w:rsid w:val="00592D40"/>
    <w:rsid w:val="00592F66"/>
    <w:rsid w:val="00593416"/>
    <w:rsid w:val="00594467"/>
    <w:rsid w:val="005948F6"/>
    <w:rsid w:val="00594F18"/>
    <w:rsid w:val="005952A6"/>
    <w:rsid w:val="0059574C"/>
    <w:rsid w:val="00596178"/>
    <w:rsid w:val="00596E71"/>
    <w:rsid w:val="00597954"/>
    <w:rsid w:val="00597972"/>
    <w:rsid w:val="005A3977"/>
    <w:rsid w:val="005B1B17"/>
    <w:rsid w:val="005B20B5"/>
    <w:rsid w:val="005B3891"/>
    <w:rsid w:val="005B426B"/>
    <w:rsid w:val="005B46FD"/>
    <w:rsid w:val="005B4CF3"/>
    <w:rsid w:val="005B525D"/>
    <w:rsid w:val="005B6189"/>
    <w:rsid w:val="005B6A11"/>
    <w:rsid w:val="005C1D80"/>
    <w:rsid w:val="005C30DE"/>
    <w:rsid w:val="005C35AF"/>
    <w:rsid w:val="005C3BD2"/>
    <w:rsid w:val="005C4FEA"/>
    <w:rsid w:val="005C5010"/>
    <w:rsid w:val="005C6285"/>
    <w:rsid w:val="005C7EE8"/>
    <w:rsid w:val="005D0202"/>
    <w:rsid w:val="005D0B65"/>
    <w:rsid w:val="005D234F"/>
    <w:rsid w:val="005D27AA"/>
    <w:rsid w:val="005D45E3"/>
    <w:rsid w:val="005D5BA1"/>
    <w:rsid w:val="005D622E"/>
    <w:rsid w:val="005D74C0"/>
    <w:rsid w:val="005D788F"/>
    <w:rsid w:val="005D7A49"/>
    <w:rsid w:val="005E11B5"/>
    <w:rsid w:val="005E293D"/>
    <w:rsid w:val="005E46D3"/>
    <w:rsid w:val="005E49B2"/>
    <w:rsid w:val="005E54C6"/>
    <w:rsid w:val="005E64D9"/>
    <w:rsid w:val="005E6952"/>
    <w:rsid w:val="005E6C9E"/>
    <w:rsid w:val="005E6D89"/>
    <w:rsid w:val="005E735B"/>
    <w:rsid w:val="005F0961"/>
    <w:rsid w:val="005F0AE8"/>
    <w:rsid w:val="005F2796"/>
    <w:rsid w:val="005F2A6B"/>
    <w:rsid w:val="005F3239"/>
    <w:rsid w:val="005F3EC3"/>
    <w:rsid w:val="005F40C1"/>
    <w:rsid w:val="005F5CF9"/>
    <w:rsid w:val="005F5D90"/>
    <w:rsid w:val="005F6885"/>
    <w:rsid w:val="005F6BD5"/>
    <w:rsid w:val="005F7346"/>
    <w:rsid w:val="0060030F"/>
    <w:rsid w:val="006010F8"/>
    <w:rsid w:val="0060228D"/>
    <w:rsid w:val="006024D3"/>
    <w:rsid w:val="00602F0C"/>
    <w:rsid w:val="00603189"/>
    <w:rsid w:val="00603381"/>
    <w:rsid w:val="00604104"/>
    <w:rsid w:val="006042D6"/>
    <w:rsid w:val="0060440B"/>
    <w:rsid w:val="00605B87"/>
    <w:rsid w:val="00606EF9"/>
    <w:rsid w:val="0060706A"/>
    <w:rsid w:val="006070C4"/>
    <w:rsid w:val="0060749D"/>
    <w:rsid w:val="00607758"/>
    <w:rsid w:val="00610D5E"/>
    <w:rsid w:val="006110E8"/>
    <w:rsid w:val="00611392"/>
    <w:rsid w:val="00611A09"/>
    <w:rsid w:val="00613467"/>
    <w:rsid w:val="0061545A"/>
    <w:rsid w:val="00616091"/>
    <w:rsid w:val="00616E2A"/>
    <w:rsid w:val="0062062D"/>
    <w:rsid w:val="00620695"/>
    <w:rsid w:val="00621189"/>
    <w:rsid w:val="00624315"/>
    <w:rsid w:val="0062545B"/>
    <w:rsid w:val="006254C6"/>
    <w:rsid w:val="0062552A"/>
    <w:rsid w:val="00625867"/>
    <w:rsid w:val="00626A21"/>
    <w:rsid w:val="00627D8B"/>
    <w:rsid w:val="0063283C"/>
    <w:rsid w:val="006332BE"/>
    <w:rsid w:val="00634B9D"/>
    <w:rsid w:val="0063565C"/>
    <w:rsid w:val="006377AE"/>
    <w:rsid w:val="00637E43"/>
    <w:rsid w:val="006408C3"/>
    <w:rsid w:val="00640F99"/>
    <w:rsid w:val="00641E06"/>
    <w:rsid w:val="006437C9"/>
    <w:rsid w:val="00643931"/>
    <w:rsid w:val="00644916"/>
    <w:rsid w:val="00644C0F"/>
    <w:rsid w:val="00645F84"/>
    <w:rsid w:val="0064620D"/>
    <w:rsid w:val="006462DB"/>
    <w:rsid w:val="0065131E"/>
    <w:rsid w:val="00654BBC"/>
    <w:rsid w:val="00655290"/>
    <w:rsid w:val="00655AA2"/>
    <w:rsid w:val="00657754"/>
    <w:rsid w:val="00657A4A"/>
    <w:rsid w:val="00660366"/>
    <w:rsid w:val="00660602"/>
    <w:rsid w:val="00661286"/>
    <w:rsid w:val="00662DFF"/>
    <w:rsid w:val="00663743"/>
    <w:rsid w:val="00663BEE"/>
    <w:rsid w:val="006640F5"/>
    <w:rsid w:val="00664356"/>
    <w:rsid w:val="006654A9"/>
    <w:rsid w:val="00671797"/>
    <w:rsid w:val="0067185D"/>
    <w:rsid w:val="00672120"/>
    <w:rsid w:val="0067239B"/>
    <w:rsid w:val="00672539"/>
    <w:rsid w:val="006732AA"/>
    <w:rsid w:val="006765DE"/>
    <w:rsid w:val="00677C69"/>
    <w:rsid w:val="00677EB8"/>
    <w:rsid w:val="00680256"/>
    <w:rsid w:val="00681B6E"/>
    <w:rsid w:val="006826B1"/>
    <w:rsid w:val="00683F2B"/>
    <w:rsid w:val="00684B58"/>
    <w:rsid w:val="006853FE"/>
    <w:rsid w:val="00685542"/>
    <w:rsid w:val="006900B3"/>
    <w:rsid w:val="00691210"/>
    <w:rsid w:val="00691913"/>
    <w:rsid w:val="00691C5F"/>
    <w:rsid w:val="00692FAC"/>
    <w:rsid w:val="00692FB3"/>
    <w:rsid w:val="00694288"/>
    <w:rsid w:val="006955A3"/>
    <w:rsid w:val="00695E29"/>
    <w:rsid w:val="00696EFB"/>
    <w:rsid w:val="006A03BE"/>
    <w:rsid w:val="006A0F44"/>
    <w:rsid w:val="006A1089"/>
    <w:rsid w:val="006A138B"/>
    <w:rsid w:val="006A1BE4"/>
    <w:rsid w:val="006A1CB8"/>
    <w:rsid w:val="006A2DF5"/>
    <w:rsid w:val="006A3DAA"/>
    <w:rsid w:val="006A5B61"/>
    <w:rsid w:val="006A5D31"/>
    <w:rsid w:val="006A6241"/>
    <w:rsid w:val="006A62D0"/>
    <w:rsid w:val="006B0F0C"/>
    <w:rsid w:val="006B140A"/>
    <w:rsid w:val="006B143B"/>
    <w:rsid w:val="006B19B3"/>
    <w:rsid w:val="006B43AF"/>
    <w:rsid w:val="006B4B76"/>
    <w:rsid w:val="006B4E04"/>
    <w:rsid w:val="006B4EC1"/>
    <w:rsid w:val="006B63B4"/>
    <w:rsid w:val="006B6E1C"/>
    <w:rsid w:val="006C1354"/>
    <w:rsid w:val="006C1C7C"/>
    <w:rsid w:val="006C2A7F"/>
    <w:rsid w:val="006C359A"/>
    <w:rsid w:val="006C37BC"/>
    <w:rsid w:val="006C4906"/>
    <w:rsid w:val="006C5888"/>
    <w:rsid w:val="006C5C9A"/>
    <w:rsid w:val="006C6320"/>
    <w:rsid w:val="006C63B4"/>
    <w:rsid w:val="006D108B"/>
    <w:rsid w:val="006D15E8"/>
    <w:rsid w:val="006D20DD"/>
    <w:rsid w:val="006D2F5E"/>
    <w:rsid w:val="006D3271"/>
    <w:rsid w:val="006D3AE7"/>
    <w:rsid w:val="006D4013"/>
    <w:rsid w:val="006D445A"/>
    <w:rsid w:val="006D45AC"/>
    <w:rsid w:val="006D48B3"/>
    <w:rsid w:val="006D6B5A"/>
    <w:rsid w:val="006E2482"/>
    <w:rsid w:val="006E298D"/>
    <w:rsid w:val="006E3830"/>
    <w:rsid w:val="006E38FF"/>
    <w:rsid w:val="006E4552"/>
    <w:rsid w:val="006E48E5"/>
    <w:rsid w:val="006E4A6F"/>
    <w:rsid w:val="006E4BC2"/>
    <w:rsid w:val="006E5088"/>
    <w:rsid w:val="006E5617"/>
    <w:rsid w:val="006E7186"/>
    <w:rsid w:val="006E7302"/>
    <w:rsid w:val="006E7D78"/>
    <w:rsid w:val="006F00EA"/>
    <w:rsid w:val="006F0F8C"/>
    <w:rsid w:val="006F1516"/>
    <w:rsid w:val="006F161E"/>
    <w:rsid w:val="006F18DE"/>
    <w:rsid w:val="006F21CC"/>
    <w:rsid w:val="006F3F8F"/>
    <w:rsid w:val="006F4590"/>
    <w:rsid w:val="006F4BB3"/>
    <w:rsid w:val="006F53A6"/>
    <w:rsid w:val="006F7A0D"/>
    <w:rsid w:val="006F7CBD"/>
    <w:rsid w:val="00703CCC"/>
    <w:rsid w:val="0070649C"/>
    <w:rsid w:val="00707082"/>
    <w:rsid w:val="00710310"/>
    <w:rsid w:val="00712C73"/>
    <w:rsid w:val="00713F27"/>
    <w:rsid w:val="00720BA1"/>
    <w:rsid w:val="007214B9"/>
    <w:rsid w:val="0072161A"/>
    <w:rsid w:val="00723AB1"/>
    <w:rsid w:val="00723E1E"/>
    <w:rsid w:val="00724AC6"/>
    <w:rsid w:val="00727DE4"/>
    <w:rsid w:val="00730DF7"/>
    <w:rsid w:val="00731197"/>
    <w:rsid w:val="00731656"/>
    <w:rsid w:val="00733F29"/>
    <w:rsid w:val="00734152"/>
    <w:rsid w:val="00736116"/>
    <w:rsid w:val="0073697B"/>
    <w:rsid w:val="00737EDD"/>
    <w:rsid w:val="0074052C"/>
    <w:rsid w:val="007413FE"/>
    <w:rsid w:val="007415BB"/>
    <w:rsid w:val="00741B63"/>
    <w:rsid w:val="00741FA1"/>
    <w:rsid w:val="00744DB0"/>
    <w:rsid w:val="00747333"/>
    <w:rsid w:val="0074751F"/>
    <w:rsid w:val="00747CCC"/>
    <w:rsid w:val="0075045F"/>
    <w:rsid w:val="00750977"/>
    <w:rsid w:val="007509A6"/>
    <w:rsid w:val="00750B5A"/>
    <w:rsid w:val="00750E66"/>
    <w:rsid w:val="00751984"/>
    <w:rsid w:val="00753103"/>
    <w:rsid w:val="007537F2"/>
    <w:rsid w:val="00753B6E"/>
    <w:rsid w:val="00754423"/>
    <w:rsid w:val="007562D7"/>
    <w:rsid w:val="0076202B"/>
    <w:rsid w:val="007633B0"/>
    <w:rsid w:val="00763494"/>
    <w:rsid w:val="0076477D"/>
    <w:rsid w:val="00764D3F"/>
    <w:rsid w:val="00765242"/>
    <w:rsid w:val="00765CD7"/>
    <w:rsid w:val="00765D9E"/>
    <w:rsid w:val="00766F2E"/>
    <w:rsid w:val="00766FE3"/>
    <w:rsid w:val="00770CDC"/>
    <w:rsid w:val="007715D2"/>
    <w:rsid w:val="00771B56"/>
    <w:rsid w:val="00771E0B"/>
    <w:rsid w:val="00772140"/>
    <w:rsid w:val="00772501"/>
    <w:rsid w:val="00772C70"/>
    <w:rsid w:val="007732C0"/>
    <w:rsid w:val="00773FE1"/>
    <w:rsid w:val="00776441"/>
    <w:rsid w:val="00776A53"/>
    <w:rsid w:val="0077797F"/>
    <w:rsid w:val="00780C2F"/>
    <w:rsid w:val="00780F05"/>
    <w:rsid w:val="007837E0"/>
    <w:rsid w:val="00784673"/>
    <w:rsid w:val="007847FA"/>
    <w:rsid w:val="00786200"/>
    <w:rsid w:val="0078727B"/>
    <w:rsid w:val="00790150"/>
    <w:rsid w:val="00790910"/>
    <w:rsid w:val="0079124C"/>
    <w:rsid w:val="00791DE1"/>
    <w:rsid w:val="00794485"/>
    <w:rsid w:val="00794908"/>
    <w:rsid w:val="00794A82"/>
    <w:rsid w:val="00795DAD"/>
    <w:rsid w:val="0079676F"/>
    <w:rsid w:val="007A0098"/>
    <w:rsid w:val="007A2D27"/>
    <w:rsid w:val="007A3A8C"/>
    <w:rsid w:val="007A441E"/>
    <w:rsid w:val="007A54E3"/>
    <w:rsid w:val="007A621D"/>
    <w:rsid w:val="007A6AC9"/>
    <w:rsid w:val="007A7BC1"/>
    <w:rsid w:val="007A7E3E"/>
    <w:rsid w:val="007B0E0C"/>
    <w:rsid w:val="007B305E"/>
    <w:rsid w:val="007C0451"/>
    <w:rsid w:val="007C26E5"/>
    <w:rsid w:val="007C34B6"/>
    <w:rsid w:val="007C5852"/>
    <w:rsid w:val="007C720A"/>
    <w:rsid w:val="007C7623"/>
    <w:rsid w:val="007C7817"/>
    <w:rsid w:val="007D0126"/>
    <w:rsid w:val="007D01D6"/>
    <w:rsid w:val="007D08C7"/>
    <w:rsid w:val="007D0BCC"/>
    <w:rsid w:val="007D1092"/>
    <w:rsid w:val="007D1CE2"/>
    <w:rsid w:val="007D2621"/>
    <w:rsid w:val="007D2DFE"/>
    <w:rsid w:val="007D32C7"/>
    <w:rsid w:val="007D3A0E"/>
    <w:rsid w:val="007D3A79"/>
    <w:rsid w:val="007D3E43"/>
    <w:rsid w:val="007D5135"/>
    <w:rsid w:val="007D5CB5"/>
    <w:rsid w:val="007D63C6"/>
    <w:rsid w:val="007D6934"/>
    <w:rsid w:val="007D70E2"/>
    <w:rsid w:val="007D7437"/>
    <w:rsid w:val="007D7918"/>
    <w:rsid w:val="007E02A7"/>
    <w:rsid w:val="007E0AA2"/>
    <w:rsid w:val="007E2F71"/>
    <w:rsid w:val="007E3562"/>
    <w:rsid w:val="007E5815"/>
    <w:rsid w:val="007E7C05"/>
    <w:rsid w:val="007E7EEC"/>
    <w:rsid w:val="007F08CA"/>
    <w:rsid w:val="007F0F6A"/>
    <w:rsid w:val="007F1B02"/>
    <w:rsid w:val="007F2F0C"/>
    <w:rsid w:val="007F3B6E"/>
    <w:rsid w:val="007F448C"/>
    <w:rsid w:val="007F5E93"/>
    <w:rsid w:val="007F68E0"/>
    <w:rsid w:val="007F6C8D"/>
    <w:rsid w:val="007F6DDA"/>
    <w:rsid w:val="008013FA"/>
    <w:rsid w:val="00801F4F"/>
    <w:rsid w:val="008029DE"/>
    <w:rsid w:val="00803FF7"/>
    <w:rsid w:val="008041A4"/>
    <w:rsid w:val="00804736"/>
    <w:rsid w:val="008051D4"/>
    <w:rsid w:val="008058E8"/>
    <w:rsid w:val="00805D13"/>
    <w:rsid w:val="00806434"/>
    <w:rsid w:val="008071A8"/>
    <w:rsid w:val="008106AE"/>
    <w:rsid w:val="008110B9"/>
    <w:rsid w:val="008125C0"/>
    <w:rsid w:val="00812E6B"/>
    <w:rsid w:val="00813288"/>
    <w:rsid w:val="0081582A"/>
    <w:rsid w:val="0081604F"/>
    <w:rsid w:val="008160D9"/>
    <w:rsid w:val="008169B7"/>
    <w:rsid w:val="00816ABA"/>
    <w:rsid w:val="008210A4"/>
    <w:rsid w:val="00821A29"/>
    <w:rsid w:val="00822962"/>
    <w:rsid w:val="00823233"/>
    <w:rsid w:val="00824426"/>
    <w:rsid w:val="0082535B"/>
    <w:rsid w:val="00827011"/>
    <w:rsid w:val="00827360"/>
    <w:rsid w:val="008278E3"/>
    <w:rsid w:val="00827A06"/>
    <w:rsid w:val="008300FB"/>
    <w:rsid w:val="00830E52"/>
    <w:rsid w:val="008324E3"/>
    <w:rsid w:val="00834A01"/>
    <w:rsid w:val="00834DD9"/>
    <w:rsid w:val="008368D5"/>
    <w:rsid w:val="00836E8D"/>
    <w:rsid w:val="00836F26"/>
    <w:rsid w:val="008412FD"/>
    <w:rsid w:val="008415F3"/>
    <w:rsid w:val="00842058"/>
    <w:rsid w:val="00843902"/>
    <w:rsid w:val="008444A9"/>
    <w:rsid w:val="00844871"/>
    <w:rsid w:val="00845946"/>
    <w:rsid w:val="00845D28"/>
    <w:rsid w:val="008463D5"/>
    <w:rsid w:val="008476A0"/>
    <w:rsid w:val="00851AC5"/>
    <w:rsid w:val="00852F38"/>
    <w:rsid w:val="00854A50"/>
    <w:rsid w:val="00854C36"/>
    <w:rsid w:val="0085627E"/>
    <w:rsid w:val="00856C34"/>
    <w:rsid w:val="00857D93"/>
    <w:rsid w:val="00862E56"/>
    <w:rsid w:val="0086483E"/>
    <w:rsid w:val="00864BCC"/>
    <w:rsid w:val="00865DC1"/>
    <w:rsid w:val="008664C7"/>
    <w:rsid w:val="00866E36"/>
    <w:rsid w:val="00870089"/>
    <w:rsid w:val="00871A51"/>
    <w:rsid w:val="008750F9"/>
    <w:rsid w:val="00875341"/>
    <w:rsid w:val="0087536F"/>
    <w:rsid w:val="00880A40"/>
    <w:rsid w:val="008812BA"/>
    <w:rsid w:val="008815B3"/>
    <w:rsid w:val="00882C4D"/>
    <w:rsid w:val="008842D1"/>
    <w:rsid w:val="0088444E"/>
    <w:rsid w:val="008852BE"/>
    <w:rsid w:val="008869F4"/>
    <w:rsid w:val="008879EC"/>
    <w:rsid w:val="008903AB"/>
    <w:rsid w:val="008911F7"/>
    <w:rsid w:val="0089174F"/>
    <w:rsid w:val="0089186A"/>
    <w:rsid w:val="00893EEF"/>
    <w:rsid w:val="008945C0"/>
    <w:rsid w:val="00894AEC"/>
    <w:rsid w:val="008A0DF6"/>
    <w:rsid w:val="008A1E11"/>
    <w:rsid w:val="008A24FD"/>
    <w:rsid w:val="008A3273"/>
    <w:rsid w:val="008A3C58"/>
    <w:rsid w:val="008A4880"/>
    <w:rsid w:val="008A494F"/>
    <w:rsid w:val="008A52B1"/>
    <w:rsid w:val="008A5F08"/>
    <w:rsid w:val="008A66AA"/>
    <w:rsid w:val="008A7881"/>
    <w:rsid w:val="008B03FD"/>
    <w:rsid w:val="008B0B98"/>
    <w:rsid w:val="008B282C"/>
    <w:rsid w:val="008B2881"/>
    <w:rsid w:val="008B5388"/>
    <w:rsid w:val="008B570A"/>
    <w:rsid w:val="008B5B32"/>
    <w:rsid w:val="008B677D"/>
    <w:rsid w:val="008B6FF7"/>
    <w:rsid w:val="008C027D"/>
    <w:rsid w:val="008C03D1"/>
    <w:rsid w:val="008C2438"/>
    <w:rsid w:val="008C25D3"/>
    <w:rsid w:val="008C2ADD"/>
    <w:rsid w:val="008C2DC2"/>
    <w:rsid w:val="008C5AA5"/>
    <w:rsid w:val="008C61EF"/>
    <w:rsid w:val="008D0FCC"/>
    <w:rsid w:val="008D152D"/>
    <w:rsid w:val="008D1E4E"/>
    <w:rsid w:val="008D2A2F"/>
    <w:rsid w:val="008D2FBD"/>
    <w:rsid w:val="008D3158"/>
    <w:rsid w:val="008D5B72"/>
    <w:rsid w:val="008D5D7B"/>
    <w:rsid w:val="008D6599"/>
    <w:rsid w:val="008D78FF"/>
    <w:rsid w:val="008D7B9C"/>
    <w:rsid w:val="008D7EEB"/>
    <w:rsid w:val="008D7F51"/>
    <w:rsid w:val="008E0CE3"/>
    <w:rsid w:val="008E1A83"/>
    <w:rsid w:val="008E1D86"/>
    <w:rsid w:val="008E22B9"/>
    <w:rsid w:val="008E24D9"/>
    <w:rsid w:val="008E2C07"/>
    <w:rsid w:val="008E6079"/>
    <w:rsid w:val="008F2066"/>
    <w:rsid w:val="008F22C5"/>
    <w:rsid w:val="008F3052"/>
    <w:rsid w:val="008F365B"/>
    <w:rsid w:val="008F3FEB"/>
    <w:rsid w:val="008F455C"/>
    <w:rsid w:val="008F4674"/>
    <w:rsid w:val="008F4E23"/>
    <w:rsid w:val="008F76D0"/>
    <w:rsid w:val="0090091C"/>
    <w:rsid w:val="00901FD9"/>
    <w:rsid w:val="00902E7B"/>
    <w:rsid w:val="009030E2"/>
    <w:rsid w:val="00903761"/>
    <w:rsid w:val="009062E1"/>
    <w:rsid w:val="00907220"/>
    <w:rsid w:val="00911FB7"/>
    <w:rsid w:val="009126EB"/>
    <w:rsid w:val="00912D0C"/>
    <w:rsid w:val="009135E5"/>
    <w:rsid w:val="00914599"/>
    <w:rsid w:val="00914D56"/>
    <w:rsid w:val="00914DA7"/>
    <w:rsid w:val="009157F4"/>
    <w:rsid w:val="00915ADA"/>
    <w:rsid w:val="00915F63"/>
    <w:rsid w:val="009162B8"/>
    <w:rsid w:val="00917391"/>
    <w:rsid w:val="0091763B"/>
    <w:rsid w:val="009177E9"/>
    <w:rsid w:val="00917890"/>
    <w:rsid w:val="009205B5"/>
    <w:rsid w:val="00920DB8"/>
    <w:rsid w:val="009212CA"/>
    <w:rsid w:val="00922288"/>
    <w:rsid w:val="009229D3"/>
    <w:rsid w:val="00923F1F"/>
    <w:rsid w:val="00924527"/>
    <w:rsid w:val="0092606A"/>
    <w:rsid w:val="0092607E"/>
    <w:rsid w:val="0092622F"/>
    <w:rsid w:val="0093095D"/>
    <w:rsid w:val="009309C7"/>
    <w:rsid w:val="00931384"/>
    <w:rsid w:val="00931C5E"/>
    <w:rsid w:val="009331CF"/>
    <w:rsid w:val="009334AC"/>
    <w:rsid w:val="009350AF"/>
    <w:rsid w:val="00935EED"/>
    <w:rsid w:val="00936563"/>
    <w:rsid w:val="00940FF1"/>
    <w:rsid w:val="00942010"/>
    <w:rsid w:val="0094320A"/>
    <w:rsid w:val="009441A2"/>
    <w:rsid w:val="00945A63"/>
    <w:rsid w:val="00945BE4"/>
    <w:rsid w:val="009503CB"/>
    <w:rsid w:val="009511A0"/>
    <w:rsid w:val="0095170D"/>
    <w:rsid w:val="00951846"/>
    <w:rsid w:val="00952A9E"/>
    <w:rsid w:val="0095307F"/>
    <w:rsid w:val="009531BE"/>
    <w:rsid w:val="0095495D"/>
    <w:rsid w:val="00954A85"/>
    <w:rsid w:val="00954EC8"/>
    <w:rsid w:val="009550EC"/>
    <w:rsid w:val="00955526"/>
    <w:rsid w:val="00956710"/>
    <w:rsid w:val="0095768E"/>
    <w:rsid w:val="009579AA"/>
    <w:rsid w:val="0096017B"/>
    <w:rsid w:val="00960295"/>
    <w:rsid w:val="009609AD"/>
    <w:rsid w:val="00960ADB"/>
    <w:rsid w:val="009617BB"/>
    <w:rsid w:val="00963186"/>
    <w:rsid w:val="00966C09"/>
    <w:rsid w:val="00966CC0"/>
    <w:rsid w:val="00976803"/>
    <w:rsid w:val="00977F81"/>
    <w:rsid w:val="009810A6"/>
    <w:rsid w:val="009813A5"/>
    <w:rsid w:val="00981EB9"/>
    <w:rsid w:val="009820D9"/>
    <w:rsid w:val="009830CC"/>
    <w:rsid w:val="009838A4"/>
    <w:rsid w:val="00984441"/>
    <w:rsid w:val="009844CF"/>
    <w:rsid w:val="00984DD8"/>
    <w:rsid w:val="0098555A"/>
    <w:rsid w:val="00987530"/>
    <w:rsid w:val="0099085F"/>
    <w:rsid w:val="00990C67"/>
    <w:rsid w:val="00991A27"/>
    <w:rsid w:val="009925DB"/>
    <w:rsid w:val="00993CC9"/>
    <w:rsid w:val="0099403A"/>
    <w:rsid w:val="00994418"/>
    <w:rsid w:val="00995E86"/>
    <w:rsid w:val="0099662B"/>
    <w:rsid w:val="009973C0"/>
    <w:rsid w:val="009A2516"/>
    <w:rsid w:val="009A5AF5"/>
    <w:rsid w:val="009A606E"/>
    <w:rsid w:val="009A618A"/>
    <w:rsid w:val="009A6F74"/>
    <w:rsid w:val="009A7262"/>
    <w:rsid w:val="009A783E"/>
    <w:rsid w:val="009B277B"/>
    <w:rsid w:val="009B2B56"/>
    <w:rsid w:val="009B2D0C"/>
    <w:rsid w:val="009B376D"/>
    <w:rsid w:val="009B3F7E"/>
    <w:rsid w:val="009B3FB3"/>
    <w:rsid w:val="009B410E"/>
    <w:rsid w:val="009B48A2"/>
    <w:rsid w:val="009B5B21"/>
    <w:rsid w:val="009B6EAA"/>
    <w:rsid w:val="009B7A14"/>
    <w:rsid w:val="009B7DBB"/>
    <w:rsid w:val="009C1972"/>
    <w:rsid w:val="009C1C2E"/>
    <w:rsid w:val="009C1C3D"/>
    <w:rsid w:val="009C1ED4"/>
    <w:rsid w:val="009C24C1"/>
    <w:rsid w:val="009C2E8D"/>
    <w:rsid w:val="009C41FA"/>
    <w:rsid w:val="009C4CA8"/>
    <w:rsid w:val="009C650F"/>
    <w:rsid w:val="009C6945"/>
    <w:rsid w:val="009C6B96"/>
    <w:rsid w:val="009C72CC"/>
    <w:rsid w:val="009D0114"/>
    <w:rsid w:val="009D09D8"/>
    <w:rsid w:val="009D3573"/>
    <w:rsid w:val="009D3628"/>
    <w:rsid w:val="009D4C2A"/>
    <w:rsid w:val="009D516D"/>
    <w:rsid w:val="009D579F"/>
    <w:rsid w:val="009D6914"/>
    <w:rsid w:val="009D6E6C"/>
    <w:rsid w:val="009E0503"/>
    <w:rsid w:val="009E159A"/>
    <w:rsid w:val="009E1C22"/>
    <w:rsid w:val="009E2019"/>
    <w:rsid w:val="009E2481"/>
    <w:rsid w:val="009E2531"/>
    <w:rsid w:val="009E31B0"/>
    <w:rsid w:val="009E4597"/>
    <w:rsid w:val="009E45B6"/>
    <w:rsid w:val="009E4F4B"/>
    <w:rsid w:val="009E5640"/>
    <w:rsid w:val="009E6BC9"/>
    <w:rsid w:val="009E7C7F"/>
    <w:rsid w:val="009F2DF0"/>
    <w:rsid w:val="009F3631"/>
    <w:rsid w:val="009F3790"/>
    <w:rsid w:val="009F4359"/>
    <w:rsid w:val="009F5B61"/>
    <w:rsid w:val="009F7514"/>
    <w:rsid w:val="009F7CEB"/>
    <w:rsid w:val="009F7D05"/>
    <w:rsid w:val="00A00BFD"/>
    <w:rsid w:val="00A01122"/>
    <w:rsid w:val="00A01B93"/>
    <w:rsid w:val="00A03EAD"/>
    <w:rsid w:val="00A040FD"/>
    <w:rsid w:val="00A04224"/>
    <w:rsid w:val="00A0426A"/>
    <w:rsid w:val="00A04C0D"/>
    <w:rsid w:val="00A051E5"/>
    <w:rsid w:val="00A06A7F"/>
    <w:rsid w:val="00A07A7F"/>
    <w:rsid w:val="00A10BF9"/>
    <w:rsid w:val="00A12098"/>
    <w:rsid w:val="00A125C7"/>
    <w:rsid w:val="00A12983"/>
    <w:rsid w:val="00A13308"/>
    <w:rsid w:val="00A14209"/>
    <w:rsid w:val="00A1794A"/>
    <w:rsid w:val="00A17CC2"/>
    <w:rsid w:val="00A17D2A"/>
    <w:rsid w:val="00A202C9"/>
    <w:rsid w:val="00A20B1A"/>
    <w:rsid w:val="00A21129"/>
    <w:rsid w:val="00A22A39"/>
    <w:rsid w:val="00A23B2D"/>
    <w:rsid w:val="00A24100"/>
    <w:rsid w:val="00A248F6"/>
    <w:rsid w:val="00A2624A"/>
    <w:rsid w:val="00A27164"/>
    <w:rsid w:val="00A272E8"/>
    <w:rsid w:val="00A322F1"/>
    <w:rsid w:val="00A32B8C"/>
    <w:rsid w:val="00A33E85"/>
    <w:rsid w:val="00A37713"/>
    <w:rsid w:val="00A37D40"/>
    <w:rsid w:val="00A37DC0"/>
    <w:rsid w:val="00A405BC"/>
    <w:rsid w:val="00A410AE"/>
    <w:rsid w:val="00A41323"/>
    <w:rsid w:val="00A414B8"/>
    <w:rsid w:val="00A41E5D"/>
    <w:rsid w:val="00A42B00"/>
    <w:rsid w:val="00A44C47"/>
    <w:rsid w:val="00A46D8C"/>
    <w:rsid w:val="00A47980"/>
    <w:rsid w:val="00A50029"/>
    <w:rsid w:val="00A50EF7"/>
    <w:rsid w:val="00A51B04"/>
    <w:rsid w:val="00A51D22"/>
    <w:rsid w:val="00A535FB"/>
    <w:rsid w:val="00A5385A"/>
    <w:rsid w:val="00A539EA"/>
    <w:rsid w:val="00A543A3"/>
    <w:rsid w:val="00A54737"/>
    <w:rsid w:val="00A554CC"/>
    <w:rsid w:val="00A57383"/>
    <w:rsid w:val="00A61760"/>
    <w:rsid w:val="00A62A02"/>
    <w:rsid w:val="00A62B3C"/>
    <w:rsid w:val="00A6374D"/>
    <w:rsid w:val="00A63A18"/>
    <w:rsid w:val="00A6591A"/>
    <w:rsid w:val="00A660E6"/>
    <w:rsid w:val="00A66225"/>
    <w:rsid w:val="00A6676F"/>
    <w:rsid w:val="00A6773E"/>
    <w:rsid w:val="00A67BCB"/>
    <w:rsid w:val="00A67E9E"/>
    <w:rsid w:val="00A70828"/>
    <w:rsid w:val="00A72989"/>
    <w:rsid w:val="00A73366"/>
    <w:rsid w:val="00A746CB"/>
    <w:rsid w:val="00A76817"/>
    <w:rsid w:val="00A805EE"/>
    <w:rsid w:val="00A8094F"/>
    <w:rsid w:val="00A80A77"/>
    <w:rsid w:val="00A81F82"/>
    <w:rsid w:val="00A83F0D"/>
    <w:rsid w:val="00A83FBF"/>
    <w:rsid w:val="00A841B0"/>
    <w:rsid w:val="00A84648"/>
    <w:rsid w:val="00A84742"/>
    <w:rsid w:val="00A848C1"/>
    <w:rsid w:val="00A85135"/>
    <w:rsid w:val="00A85A2B"/>
    <w:rsid w:val="00A861BB"/>
    <w:rsid w:val="00A87256"/>
    <w:rsid w:val="00A87D8B"/>
    <w:rsid w:val="00A91C20"/>
    <w:rsid w:val="00A9323D"/>
    <w:rsid w:val="00A934CB"/>
    <w:rsid w:val="00A93543"/>
    <w:rsid w:val="00A94EFC"/>
    <w:rsid w:val="00A95F1A"/>
    <w:rsid w:val="00A95F54"/>
    <w:rsid w:val="00A97524"/>
    <w:rsid w:val="00AA0359"/>
    <w:rsid w:val="00AA1681"/>
    <w:rsid w:val="00AA2FA1"/>
    <w:rsid w:val="00AA31BA"/>
    <w:rsid w:val="00AA3E5F"/>
    <w:rsid w:val="00AA4530"/>
    <w:rsid w:val="00AA496D"/>
    <w:rsid w:val="00AA51C1"/>
    <w:rsid w:val="00AA55B8"/>
    <w:rsid w:val="00AA6156"/>
    <w:rsid w:val="00AA629A"/>
    <w:rsid w:val="00AA649A"/>
    <w:rsid w:val="00AA7146"/>
    <w:rsid w:val="00AA73AC"/>
    <w:rsid w:val="00AA7687"/>
    <w:rsid w:val="00AA7B18"/>
    <w:rsid w:val="00AA7B77"/>
    <w:rsid w:val="00AB1870"/>
    <w:rsid w:val="00AB187A"/>
    <w:rsid w:val="00AB1BC3"/>
    <w:rsid w:val="00AB2438"/>
    <w:rsid w:val="00AB2CD0"/>
    <w:rsid w:val="00AB3B2C"/>
    <w:rsid w:val="00AB3FE4"/>
    <w:rsid w:val="00AB4B61"/>
    <w:rsid w:val="00AB514A"/>
    <w:rsid w:val="00AB7ACC"/>
    <w:rsid w:val="00AC34B5"/>
    <w:rsid w:val="00AC37F8"/>
    <w:rsid w:val="00AC50E3"/>
    <w:rsid w:val="00AC5B0F"/>
    <w:rsid w:val="00AC5C61"/>
    <w:rsid w:val="00AD2B1A"/>
    <w:rsid w:val="00AD3251"/>
    <w:rsid w:val="00AD3355"/>
    <w:rsid w:val="00AD3E0C"/>
    <w:rsid w:val="00AD44A3"/>
    <w:rsid w:val="00AD4A14"/>
    <w:rsid w:val="00AD4B43"/>
    <w:rsid w:val="00AD4CDD"/>
    <w:rsid w:val="00AD51C9"/>
    <w:rsid w:val="00AD6700"/>
    <w:rsid w:val="00AD6715"/>
    <w:rsid w:val="00AD6B15"/>
    <w:rsid w:val="00AD7F9C"/>
    <w:rsid w:val="00AE033D"/>
    <w:rsid w:val="00AE0561"/>
    <w:rsid w:val="00AE2A68"/>
    <w:rsid w:val="00AE513E"/>
    <w:rsid w:val="00AE5746"/>
    <w:rsid w:val="00AE7661"/>
    <w:rsid w:val="00AE7AA8"/>
    <w:rsid w:val="00AF058F"/>
    <w:rsid w:val="00AF0DF9"/>
    <w:rsid w:val="00AF10D9"/>
    <w:rsid w:val="00AF1C9E"/>
    <w:rsid w:val="00AF28C7"/>
    <w:rsid w:val="00AF49F1"/>
    <w:rsid w:val="00AF4BE4"/>
    <w:rsid w:val="00AF5FA1"/>
    <w:rsid w:val="00AF641F"/>
    <w:rsid w:val="00AF66B5"/>
    <w:rsid w:val="00AF6EB1"/>
    <w:rsid w:val="00B01158"/>
    <w:rsid w:val="00B02B00"/>
    <w:rsid w:val="00B04D09"/>
    <w:rsid w:val="00B050CD"/>
    <w:rsid w:val="00B05A6C"/>
    <w:rsid w:val="00B1081E"/>
    <w:rsid w:val="00B11EA0"/>
    <w:rsid w:val="00B12CBD"/>
    <w:rsid w:val="00B130E6"/>
    <w:rsid w:val="00B138CC"/>
    <w:rsid w:val="00B13C7D"/>
    <w:rsid w:val="00B15616"/>
    <w:rsid w:val="00B1581C"/>
    <w:rsid w:val="00B17CD2"/>
    <w:rsid w:val="00B17FDB"/>
    <w:rsid w:val="00B212CA"/>
    <w:rsid w:val="00B21BB1"/>
    <w:rsid w:val="00B2286A"/>
    <w:rsid w:val="00B22961"/>
    <w:rsid w:val="00B22AC0"/>
    <w:rsid w:val="00B23375"/>
    <w:rsid w:val="00B240E8"/>
    <w:rsid w:val="00B24983"/>
    <w:rsid w:val="00B24B53"/>
    <w:rsid w:val="00B24B93"/>
    <w:rsid w:val="00B2538D"/>
    <w:rsid w:val="00B2563D"/>
    <w:rsid w:val="00B25D68"/>
    <w:rsid w:val="00B26099"/>
    <w:rsid w:val="00B260AC"/>
    <w:rsid w:val="00B26275"/>
    <w:rsid w:val="00B2777B"/>
    <w:rsid w:val="00B3068C"/>
    <w:rsid w:val="00B30783"/>
    <w:rsid w:val="00B30E51"/>
    <w:rsid w:val="00B32579"/>
    <w:rsid w:val="00B33DFE"/>
    <w:rsid w:val="00B340EB"/>
    <w:rsid w:val="00B35FDB"/>
    <w:rsid w:val="00B3650B"/>
    <w:rsid w:val="00B366A6"/>
    <w:rsid w:val="00B37095"/>
    <w:rsid w:val="00B37CC4"/>
    <w:rsid w:val="00B413D5"/>
    <w:rsid w:val="00B42EA5"/>
    <w:rsid w:val="00B437E1"/>
    <w:rsid w:val="00B44D6C"/>
    <w:rsid w:val="00B46A9F"/>
    <w:rsid w:val="00B4725C"/>
    <w:rsid w:val="00B4757E"/>
    <w:rsid w:val="00B47A5D"/>
    <w:rsid w:val="00B50620"/>
    <w:rsid w:val="00B51E89"/>
    <w:rsid w:val="00B52355"/>
    <w:rsid w:val="00B52F44"/>
    <w:rsid w:val="00B539FB"/>
    <w:rsid w:val="00B56427"/>
    <w:rsid w:val="00B56F74"/>
    <w:rsid w:val="00B57E06"/>
    <w:rsid w:val="00B6200E"/>
    <w:rsid w:val="00B623B6"/>
    <w:rsid w:val="00B623CE"/>
    <w:rsid w:val="00B6367E"/>
    <w:rsid w:val="00B63B06"/>
    <w:rsid w:val="00B63E02"/>
    <w:rsid w:val="00B642AE"/>
    <w:rsid w:val="00B642B5"/>
    <w:rsid w:val="00B65609"/>
    <w:rsid w:val="00B6680B"/>
    <w:rsid w:val="00B66C37"/>
    <w:rsid w:val="00B67119"/>
    <w:rsid w:val="00B7023B"/>
    <w:rsid w:val="00B70F7A"/>
    <w:rsid w:val="00B71183"/>
    <w:rsid w:val="00B71675"/>
    <w:rsid w:val="00B71B62"/>
    <w:rsid w:val="00B71EF9"/>
    <w:rsid w:val="00B73099"/>
    <w:rsid w:val="00B73CFE"/>
    <w:rsid w:val="00B73D0F"/>
    <w:rsid w:val="00B74733"/>
    <w:rsid w:val="00B75BC0"/>
    <w:rsid w:val="00B768CD"/>
    <w:rsid w:val="00B7796D"/>
    <w:rsid w:val="00B80B83"/>
    <w:rsid w:val="00B81A5A"/>
    <w:rsid w:val="00B826DF"/>
    <w:rsid w:val="00B8321C"/>
    <w:rsid w:val="00B83AE0"/>
    <w:rsid w:val="00B85DAE"/>
    <w:rsid w:val="00B85EC1"/>
    <w:rsid w:val="00B863A0"/>
    <w:rsid w:val="00B86942"/>
    <w:rsid w:val="00B915D3"/>
    <w:rsid w:val="00B956EC"/>
    <w:rsid w:val="00B95D44"/>
    <w:rsid w:val="00B97B41"/>
    <w:rsid w:val="00B97C6C"/>
    <w:rsid w:val="00B97E42"/>
    <w:rsid w:val="00BA01AB"/>
    <w:rsid w:val="00BA0470"/>
    <w:rsid w:val="00BA09F6"/>
    <w:rsid w:val="00BA2196"/>
    <w:rsid w:val="00BA31BB"/>
    <w:rsid w:val="00BA3306"/>
    <w:rsid w:val="00BA3E62"/>
    <w:rsid w:val="00BA3E69"/>
    <w:rsid w:val="00BA4D46"/>
    <w:rsid w:val="00BA73EE"/>
    <w:rsid w:val="00BA7A31"/>
    <w:rsid w:val="00BB1532"/>
    <w:rsid w:val="00BB1A51"/>
    <w:rsid w:val="00BB4DF6"/>
    <w:rsid w:val="00BB5257"/>
    <w:rsid w:val="00BB572A"/>
    <w:rsid w:val="00BB5BEF"/>
    <w:rsid w:val="00BB6B1C"/>
    <w:rsid w:val="00BB7F49"/>
    <w:rsid w:val="00BC0718"/>
    <w:rsid w:val="00BC12B1"/>
    <w:rsid w:val="00BC1E74"/>
    <w:rsid w:val="00BC1F44"/>
    <w:rsid w:val="00BC21AB"/>
    <w:rsid w:val="00BC2396"/>
    <w:rsid w:val="00BC29CA"/>
    <w:rsid w:val="00BC43D6"/>
    <w:rsid w:val="00BC5A85"/>
    <w:rsid w:val="00BC607B"/>
    <w:rsid w:val="00BC7FCB"/>
    <w:rsid w:val="00BD03EC"/>
    <w:rsid w:val="00BD13E0"/>
    <w:rsid w:val="00BD189C"/>
    <w:rsid w:val="00BD23BD"/>
    <w:rsid w:val="00BD281D"/>
    <w:rsid w:val="00BD3038"/>
    <w:rsid w:val="00BD5602"/>
    <w:rsid w:val="00BD5B7A"/>
    <w:rsid w:val="00BD5BA6"/>
    <w:rsid w:val="00BD612D"/>
    <w:rsid w:val="00BD64B3"/>
    <w:rsid w:val="00BD68D1"/>
    <w:rsid w:val="00BD6A27"/>
    <w:rsid w:val="00BD7317"/>
    <w:rsid w:val="00BE0038"/>
    <w:rsid w:val="00BE0685"/>
    <w:rsid w:val="00BE23D0"/>
    <w:rsid w:val="00BE3614"/>
    <w:rsid w:val="00BE3C05"/>
    <w:rsid w:val="00BE3CAA"/>
    <w:rsid w:val="00BE3E5F"/>
    <w:rsid w:val="00BE4E42"/>
    <w:rsid w:val="00BE583A"/>
    <w:rsid w:val="00BE6A50"/>
    <w:rsid w:val="00BE77F9"/>
    <w:rsid w:val="00BE7E1F"/>
    <w:rsid w:val="00BF3A6D"/>
    <w:rsid w:val="00BF4BD6"/>
    <w:rsid w:val="00BF5E8F"/>
    <w:rsid w:val="00BF6430"/>
    <w:rsid w:val="00BF7593"/>
    <w:rsid w:val="00C00782"/>
    <w:rsid w:val="00C01451"/>
    <w:rsid w:val="00C03586"/>
    <w:rsid w:val="00C03B47"/>
    <w:rsid w:val="00C0579B"/>
    <w:rsid w:val="00C06418"/>
    <w:rsid w:val="00C06895"/>
    <w:rsid w:val="00C07417"/>
    <w:rsid w:val="00C07671"/>
    <w:rsid w:val="00C07BBA"/>
    <w:rsid w:val="00C07D18"/>
    <w:rsid w:val="00C07EED"/>
    <w:rsid w:val="00C104C2"/>
    <w:rsid w:val="00C108E0"/>
    <w:rsid w:val="00C11033"/>
    <w:rsid w:val="00C12C5F"/>
    <w:rsid w:val="00C13860"/>
    <w:rsid w:val="00C14E44"/>
    <w:rsid w:val="00C155FB"/>
    <w:rsid w:val="00C15AEA"/>
    <w:rsid w:val="00C20BB6"/>
    <w:rsid w:val="00C20D55"/>
    <w:rsid w:val="00C227B7"/>
    <w:rsid w:val="00C2373C"/>
    <w:rsid w:val="00C23FEA"/>
    <w:rsid w:val="00C25888"/>
    <w:rsid w:val="00C26001"/>
    <w:rsid w:val="00C26D3F"/>
    <w:rsid w:val="00C31173"/>
    <w:rsid w:val="00C317F3"/>
    <w:rsid w:val="00C32930"/>
    <w:rsid w:val="00C3362C"/>
    <w:rsid w:val="00C33753"/>
    <w:rsid w:val="00C33C73"/>
    <w:rsid w:val="00C37957"/>
    <w:rsid w:val="00C4069F"/>
    <w:rsid w:val="00C40722"/>
    <w:rsid w:val="00C41961"/>
    <w:rsid w:val="00C41C47"/>
    <w:rsid w:val="00C43B51"/>
    <w:rsid w:val="00C43F7D"/>
    <w:rsid w:val="00C444EB"/>
    <w:rsid w:val="00C44524"/>
    <w:rsid w:val="00C44C37"/>
    <w:rsid w:val="00C45785"/>
    <w:rsid w:val="00C45CA6"/>
    <w:rsid w:val="00C46195"/>
    <w:rsid w:val="00C468D9"/>
    <w:rsid w:val="00C46AE5"/>
    <w:rsid w:val="00C47654"/>
    <w:rsid w:val="00C51288"/>
    <w:rsid w:val="00C522D0"/>
    <w:rsid w:val="00C52506"/>
    <w:rsid w:val="00C5283C"/>
    <w:rsid w:val="00C52ACF"/>
    <w:rsid w:val="00C53AB0"/>
    <w:rsid w:val="00C54865"/>
    <w:rsid w:val="00C559E6"/>
    <w:rsid w:val="00C56BA8"/>
    <w:rsid w:val="00C5723E"/>
    <w:rsid w:val="00C575B8"/>
    <w:rsid w:val="00C57E4D"/>
    <w:rsid w:val="00C60400"/>
    <w:rsid w:val="00C626E2"/>
    <w:rsid w:val="00C628C8"/>
    <w:rsid w:val="00C62F3A"/>
    <w:rsid w:val="00C63FFD"/>
    <w:rsid w:val="00C64F9D"/>
    <w:rsid w:val="00C65805"/>
    <w:rsid w:val="00C65C36"/>
    <w:rsid w:val="00C70206"/>
    <w:rsid w:val="00C70516"/>
    <w:rsid w:val="00C7275C"/>
    <w:rsid w:val="00C72C90"/>
    <w:rsid w:val="00C72E7A"/>
    <w:rsid w:val="00C73029"/>
    <w:rsid w:val="00C732AA"/>
    <w:rsid w:val="00C735C0"/>
    <w:rsid w:val="00C74089"/>
    <w:rsid w:val="00C7519E"/>
    <w:rsid w:val="00C75AF4"/>
    <w:rsid w:val="00C75B4A"/>
    <w:rsid w:val="00C766E9"/>
    <w:rsid w:val="00C818D1"/>
    <w:rsid w:val="00C81A12"/>
    <w:rsid w:val="00C81B2C"/>
    <w:rsid w:val="00C83937"/>
    <w:rsid w:val="00C83BDD"/>
    <w:rsid w:val="00C846BE"/>
    <w:rsid w:val="00C84840"/>
    <w:rsid w:val="00C855C2"/>
    <w:rsid w:val="00C861B3"/>
    <w:rsid w:val="00C878BF"/>
    <w:rsid w:val="00C87E7D"/>
    <w:rsid w:val="00C902F7"/>
    <w:rsid w:val="00C90D74"/>
    <w:rsid w:val="00C928E3"/>
    <w:rsid w:val="00C929F0"/>
    <w:rsid w:val="00C9308B"/>
    <w:rsid w:val="00C93BA7"/>
    <w:rsid w:val="00C94E42"/>
    <w:rsid w:val="00C957BB"/>
    <w:rsid w:val="00C962A7"/>
    <w:rsid w:val="00C963DE"/>
    <w:rsid w:val="00CA0C26"/>
    <w:rsid w:val="00CA2BA5"/>
    <w:rsid w:val="00CA54F5"/>
    <w:rsid w:val="00CA6CE7"/>
    <w:rsid w:val="00CA7146"/>
    <w:rsid w:val="00CA7F60"/>
    <w:rsid w:val="00CB07A8"/>
    <w:rsid w:val="00CB14A1"/>
    <w:rsid w:val="00CB3B62"/>
    <w:rsid w:val="00CB43DD"/>
    <w:rsid w:val="00CB4B81"/>
    <w:rsid w:val="00CB5206"/>
    <w:rsid w:val="00CB5389"/>
    <w:rsid w:val="00CB584C"/>
    <w:rsid w:val="00CB6243"/>
    <w:rsid w:val="00CC10E1"/>
    <w:rsid w:val="00CC1BFE"/>
    <w:rsid w:val="00CC2FBD"/>
    <w:rsid w:val="00CC3E7B"/>
    <w:rsid w:val="00CC559D"/>
    <w:rsid w:val="00CC664E"/>
    <w:rsid w:val="00CC69C1"/>
    <w:rsid w:val="00CC7418"/>
    <w:rsid w:val="00CD12E3"/>
    <w:rsid w:val="00CD4335"/>
    <w:rsid w:val="00CD6327"/>
    <w:rsid w:val="00CE0C58"/>
    <w:rsid w:val="00CE295C"/>
    <w:rsid w:val="00CE2B78"/>
    <w:rsid w:val="00CE3548"/>
    <w:rsid w:val="00CE6176"/>
    <w:rsid w:val="00CE74A3"/>
    <w:rsid w:val="00CF0752"/>
    <w:rsid w:val="00CF42B6"/>
    <w:rsid w:val="00CF42B7"/>
    <w:rsid w:val="00CF6CF9"/>
    <w:rsid w:val="00CF7D9F"/>
    <w:rsid w:val="00D018CA"/>
    <w:rsid w:val="00D020E4"/>
    <w:rsid w:val="00D0253F"/>
    <w:rsid w:val="00D029A5"/>
    <w:rsid w:val="00D034DD"/>
    <w:rsid w:val="00D03D0C"/>
    <w:rsid w:val="00D03D22"/>
    <w:rsid w:val="00D04952"/>
    <w:rsid w:val="00D06759"/>
    <w:rsid w:val="00D06A16"/>
    <w:rsid w:val="00D06E2A"/>
    <w:rsid w:val="00D07B12"/>
    <w:rsid w:val="00D105F8"/>
    <w:rsid w:val="00D1078F"/>
    <w:rsid w:val="00D10E60"/>
    <w:rsid w:val="00D11D42"/>
    <w:rsid w:val="00D12CD2"/>
    <w:rsid w:val="00D13E83"/>
    <w:rsid w:val="00D14325"/>
    <w:rsid w:val="00D1465E"/>
    <w:rsid w:val="00D14D23"/>
    <w:rsid w:val="00D15389"/>
    <w:rsid w:val="00D1565B"/>
    <w:rsid w:val="00D15D8B"/>
    <w:rsid w:val="00D15F75"/>
    <w:rsid w:val="00D17282"/>
    <w:rsid w:val="00D17846"/>
    <w:rsid w:val="00D17984"/>
    <w:rsid w:val="00D20B65"/>
    <w:rsid w:val="00D2174C"/>
    <w:rsid w:val="00D21932"/>
    <w:rsid w:val="00D2195B"/>
    <w:rsid w:val="00D22703"/>
    <w:rsid w:val="00D2310B"/>
    <w:rsid w:val="00D231E8"/>
    <w:rsid w:val="00D2488A"/>
    <w:rsid w:val="00D24DAD"/>
    <w:rsid w:val="00D25916"/>
    <w:rsid w:val="00D259BA"/>
    <w:rsid w:val="00D25BA4"/>
    <w:rsid w:val="00D25DA8"/>
    <w:rsid w:val="00D26475"/>
    <w:rsid w:val="00D270C9"/>
    <w:rsid w:val="00D30CAE"/>
    <w:rsid w:val="00D32870"/>
    <w:rsid w:val="00D329E6"/>
    <w:rsid w:val="00D32A30"/>
    <w:rsid w:val="00D33A4D"/>
    <w:rsid w:val="00D358D6"/>
    <w:rsid w:val="00D35B8E"/>
    <w:rsid w:val="00D35F5F"/>
    <w:rsid w:val="00D36E3D"/>
    <w:rsid w:val="00D375A0"/>
    <w:rsid w:val="00D37972"/>
    <w:rsid w:val="00D40046"/>
    <w:rsid w:val="00D40395"/>
    <w:rsid w:val="00D4043D"/>
    <w:rsid w:val="00D406E5"/>
    <w:rsid w:val="00D40896"/>
    <w:rsid w:val="00D40B65"/>
    <w:rsid w:val="00D41534"/>
    <w:rsid w:val="00D41696"/>
    <w:rsid w:val="00D41797"/>
    <w:rsid w:val="00D42795"/>
    <w:rsid w:val="00D451FC"/>
    <w:rsid w:val="00D454A1"/>
    <w:rsid w:val="00D4562E"/>
    <w:rsid w:val="00D463F2"/>
    <w:rsid w:val="00D468F0"/>
    <w:rsid w:val="00D50A3F"/>
    <w:rsid w:val="00D50D56"/>
    <w:rsid w:val="00D514B7"/>
    <w:rsid w:val="00D51517"/>
    <w:rsid w:val="00D542D8"/>
    <w:rsid w:val="00D56151"/>
    <w:rsid w:val="00D56602"/>
    <w:rsid w:val="00D56DA0"/>
    <w:rsid w:val="00D5701D"/>
    <w:rsid w:val="00D57142"/>
    <w:rsid w:val="00D57391"/>
    <w:rsid w:val="00D57593"/>
    <w:rsid w:val="00D608B8"/>
    <w:rsid w:val="00D61444"/>
    <w:rsid w:val="00D6232C"/>
    <w:rsid w:val="00D62768"/>
    <w:rsid w:val="00D62B3E"/>
    <w:rsid w:val="00D62DB7"/>
    <w:rsid w:val="00D62F71"/>
    <w:rsid w:val="00D63C48"/>
    <w:rsid w:val="00D63C5C"/>
    <w:rsid w:val="00D64289"/>
    <w:rsid w:val="00D643DC"/>
    <w:rsid w:val="00D658B1"/>
    <w:rsid w:val="00D6667B"/>
    <w:rsid w:val="00D6688C"/>
    <w:rsid w:val="00D668BC"/>
    <w:rsid w:val="00D66E82"/>
    <w:rsid w:val="00D66F2E"/>
    <w:rsid w:val="00D676A8"/>
    <w:rsid w:val="00D67E68"/>
    <w:rsid w:val="00D71400"/>
    <w:rsid w:val="00D72C23"/>
    <w:rsid w:val="00D7363A"/>
    <w:rsid w:val="00D73ADF"/>
    <w:rsid w:val="00D73F5D"/>
    <w:rsid w:val="00D744F5"/>
    <w:rsid w:val="00D7579B"/>
    <w:rsid w:val="00D7582D"/>
    <w:rsid w:val="00D80000"/>
    <w:rsid w:val="00D80024"/>
    <w:rsid w:val="00D810A6"/>
    <w:rsid w:val="00D81620"/>
    <w:rsid w:val="00D820EB"/>
    <w:rsid w:val="00D83A68"/>
    <w:rsid w:val="00D8435D"/>
    <w:rsid w:val="00D8673C"/>
    <w:rsid w:val="00D92E0A"/>
    <w:rsid w:val="00D93168"/>
    <w:rsid w:val="00D94545"/>
    <w:rsid w:val="00D94C90"/>
    <w:rsid w:val="00D95394"/>
    <w:rsid w:val="00D96B6D"/>
    <w:rsid w:val="00D96C6C"/>
    <w:rsid w:val="00D970E7"/>
    <w:rsid w:val="00DA032B"/>
    <w:rsid w:val="00DA0456"/>
    <w:rsid w:val="00DA1C08"/>
    <w:rsid w:val="00DA1E81"/>
    <w:rsid w:val="00DA23E7"/>
    <w:rsid w:val="00DA39E0"/>
    <w:rsid w:val="00DA55BB"/>
    <w:rsid w:val="00DA5F18"/>
    <w:rsid w:val="00DA6D5C"/>
    <w:rsid w:val="00DA73EE"/>
    <w:rsid w:val="00DB079B"/>
    <w:rsid w:val="00DB2326"/>
    <w:rsid w:val="00DB3F03"/>
    <w:rsid w:val="00DB6562"/>
    <w:rsid w:val="00DC1317"/>
    <w:rsid w:val="00DC1743"/>
    <w:rsid w:val="00DC1F73"/>
    <w:rsid w:val="00DC34D0"/>
    <w:rsid w:val="00DC4250"/>
    <w:rsid w:val="00DC4CC9"/>
    <w:rsid w:val="00DC712B"/>
    <w:rsid w:val="00DC7746"/>
    <w:rsid w:val="00DD0B5D"/>
    <w:rsid w:val="00DD1897"/>
    <w:rsid w:val="00DD26B6"/>
    <w:rsid w:val="00DD2D7C"/>
    <w:rsid w:val="00DD2FEE"/>
    <w:rsid w:val="00DD3049"/>
    <w:rsid w:val="00DD4168"/>
    <w:rsid w:val="00DD4448"/>
    <w:rsid w:val="00DD4BA8"/>
    <w:rsid w:val="00DD5240"/>
    <w:rsid w:val="00DD67D1"/>
    <w:rsid w:val="00DD6F3D"/>
    <w:rsid w:val="00DE0881"/>
    <w:rsid w:val="00DE1AF2"/>
    <w:rsid w:val="00DE1F80"/>
    <w:rsid w:val="00DE30E2"/>
    <w:rsid w:val="00DE3A9A"/>
    <w:rsid w:val="00DE40C9"/>
    <w:rsid w:val="00DE4E0A"/>
    <w:rsid w:val="00DE4E78"/>
    <w:rsid w:val="00DE6421"/>
    <w:rsid w:val="00DE655C"/>
    <w:rsid w:val="00DE6ABC"/>
    <w:rsid w:val="00DE6E96"/>
    <w:rsid w:val="00DE7A3B"/>
    <w:rsid w:val="00DE7B2E"/>
    <w:rsid w:val="00DE7EA1"/>
    <w:rsid w:val="00DE7F1D"/>
    <w:rsid w:val="00DF0A5F"/>
    <w:rsid w:val="00DF16C0"/>
    <w:rsid w:val="00DF2693"/>
    <w:rsid w:val="00DF548B"/>
    <w:rsid w:val="00DF5965"/>
    <w:rsid w:val="00DF6729"/>
    <w:rsid w:val="00DF6EC9"/>
    <w:rsid w:val="00E00B4A"/>
    <w:rsid w:val="00E0241C"/>
    <w:rsid w:val="00E025BB"/>
    <w:rsid w:val="00E027D4"/>
    <w:rsid w:val="00E02C1C"/>
    <w:rsid w:val="00E02ED8"/>
    <w:rsid w:val="00E032AC"/>
    <w:rsid w:val="00E03A50"/>
    <w:rsid w:val="00E03B4A"/>
    <w:rsid w:val="00E0463A"/>
    <w:rsid w:val="00E056EC"/>
    <w:rsid w:val="00E05FBC"/>
    <w:rsid w:val="00E1055A"/>
    <w:rsid w:val="00E1068E"/>
    <w:rsid w:val="00E109CB"/>
    <w:rsid w:val="00E10B7D"/>
    <w:rsid w:val="00E10DCB"/>
    <w:rsid w:val="00E11150"/>
    <w:rsid w:val="00E1281B"/>
    <w:rsid w:val="00E1293D"/>
    <w:rsid w:val="00E142BF"/>
    <w:rsid w:val="00E15B9A"/>
    <w:rsid w:val="00E17782"/>
    <w:rsid w:val="00E215F8"/>
    <w:rsid w:val="00E21BF3"/>
    <w:rsid w:val="00E227EA"/>
    <w:rsid w:val="00E22ECE"/>
    <w:rsid w:val="00E23117"/>
    <w:rsid w:val="00E23660"/>
    <w:rsid w:val="00E24A4F"/>
    <w:rsid w:val="00E25552"/>
    <w:rsid w:val="00E25BEF"/>
    <w:rsid w:val="00E26176"/>
    <w:rsid w:val="00E26BDA"/>
    <w:rsid w:val="00E2761D"/>
    <w:rsid w:val="00E30084"/>
    <w:rsid w:val="00E30FC6"/>
    <w:rsid w:val="00E3150E"/>
    <w:rsid w:val="00E31A1E"/>
    <w:rsid w:val="00E31E99"/>
    <w:rsid w:val="00E31ECA"/>
    <w:rsid w:val="00E32C36"/>
    <w:rsid w:val="00E32E15"/>
    <w:rsid w:val="00E33013"/>
    <w:rsid w:val="00E3344C"/>
    <w:rsid w:val="00E3370C"/>
    <w:rsid w:val="00E34484"/>
    <w:rsid w:val="00E34701"/>
    <w:rsid w:val="00E3576B"/>
    <w:rsid w:val="00E362E9"/>
    <w:rsid w:val="00E37410"/>
    <w:rsid w:val="00E37424"/>
    <w:rsid w:val="00E4041E"/>
    <w:rsid w:val="00E41DDE"/>
    <w:rsid w:val="00E439CA"/>
    <w:rsid w:val="00E45180"/>
    <w:rsid w:val="00E45305"/>
    <w:rsid w:val="00E46038"/>
    <w:rsid w:val="00E4634C"/>
    <w:rsid w:val="00E46AC9"/>
    <w:rsid w:val="00E50194"/>
    <w:rsid w:val="00E51871"/>
    <w:rsid w:val="00E526FB"/>
    <w:rsid w:val="00E5279D"/>
    <w:rsid w:val="00E52A40"/>
    <w:rsid w:val="00E53DB6"/>
    <w:rsid w:val="00E54214"/>
    <w:rsid w:val="00E54D80"/>
    <w:rsid w:val="00E54FB3"/>
    <w:rsid w:val="00E553BC"/>
    <w:rsid w:val="00E55904"/>
    <w:rsid w:val="00E55E72"/>
    <w:rsid w:val="00E57121"/>
    <w:rsid w:val="00E57AA1"/>
    <w:rsid w:val="00E61088"/>
    <w:rsid w:val="00E62A62"/>
    <w:rsid w:val="00E636FA"/>
    <w:rsid w:val="00E63E16"/>
    <w:rsid w:val="00E64161"/>
    <w:rsid w:val="00E65B1D"/>
    <w:rsid w:val="00E65D2F"/>
    <w:rsid w:val="00E66614"/>
    <w:rsid w:val="00E66E23"/>
    <w:rsid w:val="00E7094B"/>
    <w:rsid w:val="00E727FC"/>
    <w:rsid w:val="00E72896"/>
    <w:rsid w:val="00E7390C"/>
    <w:rsid w:val="00E767CD"/>
    <w:rsid w:val="00E773DF"/>
    <w:rsid w:val="00E80773"/>
    <w:rsid w:val="00E812B0"/>
    <w:rsid w:val="00E8173D"/>
    <w:rsid w:val="00E81FDA"/>
    <w:rsid w:val="00E8269B"/>
    <w:rsid w:val="00E83329"/>
    <w:rsid w:val="00E83445"/>
    <w:rsid w:val="00E8376C"/>
    <w:rsid w:val="00E8391B"/>
    <w:rsid w:val="00E84EEA"/>
    <w:rsid w:val="00E85B74"/>
    <w:rsid w:val="00E8704F"/>
    <w:rsid w:val="00E920C3"/>
    <w:rsid w:val="00E92E40"/>
    <w:rsid w:val="00E930FA"/>
    <w:rsid w:val="00E94524"/>
    <w:rsid w:val="00E94E8A"/>
    <w:rsid w:val="00E96050"/>
    <w:rsid w:val="00E9658E"/>
    <w:rsid w:val="00E97BC0"/>
    <w:rsid w:val="00E97FCC"/>
    <w:rsid w:val="00EA1B29"/>
    <w:rsid w:val="00EA273A"/>
    <w:rsid w:val="00EA2C08"/>
    <w:rsid w:val="00EA3944"/>
    <w:rsid w:val="00EA5927"/>
    <w:rsid w:val="00EA5CCB"/>
    <w:rsid w:val="00EA66E6"/>
    <w:rsid w:val="00EA6E6F"/>
    <w:rsid w:val="00EA7A4B"/>
    <w:rsid w:val="00EB28A2"/>
    <w:rsid w:val="00EB3F3E"/>
    <w:rsid w:val="00EB426B"/>
    <w:rsid w:val="00EB5E6D"/>
    <w:rsid w:val="00EB6562"/>
    <w:rsid w:val="00EC2518"/>
    <w:rsid w:val="00EC26F1"/>
    <w:rsid w:val="00EC4BDB"/>
    <w:rsid w:val="00EC6BFC"/>
    <w:rsid w:val="00ED097E"/>
    <w:rsid w:val="00ED3AED"/>
    <w:rsid w:val="00ED5FD6"/>
    <w:rsid w:val="00ED6514"/>
    <w:rsid w:val="00ED67A5"/>
    <w:rsid w:val="00ED7487"/>
    <w:rsid w:val="00ED794D"/>
    <w:rsid w:val="00EE3154"/>
    <w:rsid w:val="00EE5CFA"/>
    <w:rsid w:val="00EE5E38"/>
    <w:rsid w:val="00EE6CC7"/>
    <w:rsid w:val="00EE6E0D"/>
    <w:rsid w:val="00EE6E36"/>
    <w:rsid w:val="00EF1187"/>
    <w:rsid w:val="00EF2C50"/>
    <w:rsid w:val="00EF3278"/>
    <w:rsid w:val="00EF4D3A"/>
    <w:rsid w:val="00EF4F7E"/>
    <w:rsid w:val="00EF6959"/>
    <w:rsid w:val="00F024E0"/>
    <w:rsid w:val="00F0278B"/>
    <w:rsid w:val="00F043F0"/>
    <w:rsid w:val="00F049EC"/>
    <w:rsid w:val="00F05667"/>
    <w:rsid w:val="00F05B79"/>
    <w:rsid w:val="00F05CC6"/>
    <w:rsid w:val="00F05F1D"/>
    <w:rsid w:val="00F067EF"/>
    <w:rsid w:val="00F07284"/>
    <w:rsid w:val="00F10CD4"/>
    <w:rsid w:val="00F10E5A"/>
    <w:rsid w:val="00F11403"/>
    <w:rsid w:val="00F1376B"/>
    <w:rsid w:val="00F1494C"/>
    <w:rsid w:val="00F15D66"/>
    <w:rsid w:val="00F165D8"/>
    <w:rsid w:val="00F16D8F"/>
    <w:rsid w:val="00F174A2"/>
    <w:rsid w:val="00F17E40"/>
    <w:rsid w:val="00F2055D"/>
    <w:rsid w:val="00F2109E"/>
    <w:rsid w:val="00F26B4B"/>
    <w:rsid w:val="00F2706C"/>
    <w:rsid w:val="00F270D5"/>
    <w:rsid w:val="00F2744C"/>
    <w:rsid w:val="00F30389"/>
    <w:rsid w:val="00F3094A"/>
    <w:rsid w:val="00F31681"/>
    <w:rsid w:val="00F32114"/>
    <w:rsid w:val="00F327E7"/>
    <w:rsid w:val="00F32D23"/>
    <w:rsid w:val="00F3307B"/>
    <w:rsid w:val="00F34960"/>
    <w:rsid w:val="00F3525C"/>
    <w:rsid w:val="00F37055"/>
    <w:rsid w:val="00F419C5"/>
    <w:rsid w:val="00F4223C"/>
    <w:rsid w:val="00F4394E"/>
    <w:rsid w:val="00F44EFB"/>
    <w:rsid w:val="00F46EA4"/>
    <w:rsid w:val="00F47067"/>
    <w:rsid w:val="00F4776B"/>
    <w:rsid w:val="00F479FE"/>
    <w:rsid w:val="00F50599"/>
    <w:rsid w:val="00F50739"/>
    <w:rsid w:val="00F51432"/>
    <w:rsid w:val="00F52ACC"/>
    <w:rsid w:val="00F5370F"/>
    <w:rsid w:val="00F53944"/>
    <w:rsid w:val="00F53A06"/>
    <w:rsid w:val="00F55475"/>
    <w:rsid w:val="00F56314"/>
    <w:rsid w:val="00F57045"/>
    <w:rsid w:val="00F604B6"/>
    <w:rsid w:val="00F60E15"/>
    <w:rsid w:val="00F6361B"/>
    <w:rsid w:val="00F6408A"/>
    <w:rsid w:val="00F644C6"/>
    <w:rsid w:val="00F64D5E"/>
    <w:rsid w:val="00F64DA0"/>
    <w:rsid w:val="00F65225"/>
    <w:rsid w:val="00F66FAA"/>
    <w:rsid w:val="00F71EA6"/>
    <w:rsid w:val="00F72B42"/>
    <w:rsid w:val="00F72CD0"/>
    <w:rsid w:val="00F733F3"/>
    <w:rsid w:val="00F73A39"/>
    <w:rsid w:val="00F73B60"/>
    <w:rsid w:val="00F75442"/>
    <w:rsid w:val="00F75D3A"/>
    <w:rsid w:val="00F76A55"/>
    <w:rsid w:val="00F80139"/>
    <w:rsid w:val="00F806D7"/>
    <w:rsid w:val="00F8285D"/>
    <w:rsid w:val="00F83B65"/>
    <w:rsid w:val="00F84ED9"/>
    <w:rsid w:val="00F8529C"/>
    <w:rsid w:val="00F85F23"/>
    <w:rsid w:val="00F86B98"/>
    <w:rsid w:val="00F8768E"/>
    <w:rsid w:val="00F87A24"/>
    <w:rsid w:val="00F87C31"/>
    <w:rsid w:val="00F87F5B"/>
    <w:rsid w:val="00F9001E"/>
    <w:rsid w:val="00F905E0"/>
    <w:rsid w:val="00F906F6"/>
    <w:rsid w:val="00F91D50"/>
    <w:rsid w:val="00F9212E"/>
    <w:rsid w:val="00F9387E"/>
    <w:rsid w:val="00F946DB"/>
    <w:rsid w:val="00F949DA"/>
    <w:rsid w:val="00F95126"/>
    <w:rsid w:val="00F95570"/>
    <w:rsid w:val="00F955AE"/>
    <w:rsid w:val="00F9783F"/>
    <w:rsid w:val="00FA0329"/>
    <w:rsid w:val="00FA0860"/>
    <w:rsid w:val="00FA1582"/>
    <w:rsid w:val="00FA1DBD"/>
    <w:rsid w:val="00FA21FE"/>
    <w:rsid w:val="00FA365A"/>
    <w:rsid w:val="00FA4417"/>
    <w:rsid w:val="00FA4E67"/>
    <w:rsid w:val="00FA4F27"/>
    <w:rsid w:val="00FA557B"/>
    <w:rsid w:val="00FA5EA6"/>
    <w:rsid w:val="00FB069B"/>
    <w:rsid w:val="00FB2B26"/>
    <w:rsid w:val="00FB2D58"/>
    <w:rsid w:val="00FB366A"/>
    <w:rsid w:val="00FB3B71"/>
    <w:rsid w:val="00FB3DCA"/>
    <w:rsid w:val="00FB4FD2"/>
    <w:rsid w:val="00FB54D4"/>
    <w:rsid w:val="00FB57DB"/>
    <w:rsid w:val="00FB5CED"/>
    <w:rsid w:val="00FB6238"/>
    <w:rsid w:val="00FB6B35"/>
    <w:rsid w:val="00FB6D0A"/>
    <w:rsid w:val="00FB7499"/>
    <w:rsid w:val="00FC06E3"/>
    <w:rsid w:val="00FC11D6"/>
    <w:rsid w:val="00FC22AB"/>
    <w:rsid w:val="00FC3082"/>
    <w:rsid w:val="00FC32C6"/>
    <w:rsid w:val="00FC3E7F"/>
    <w:rsid w:val="00FC4027"/>
    <w:rsid w:val="00FC4D60"/>
    <w:rsid w:val="00FC594B"/>
    <w:rsid w:val="00FC5F6B"/>
    <w:rsid w:val="00FC63DE"/>
    <w:rsid w:val="00FC697B"/>
    <w:rsid w:val="00FD0365"/>
    <w:rsid w:val="00FD0989"/>
    <w:rsid w:val="00FD0DA5"/>
    <w:rsid w:val="00FD1367"/>
    <w:rsid w:val="00FD38DC"/>
    <w:rsid w:val="00FD391B"/>
    <w:rsid w:val="00FD6611"/>
    <w:rsid w:val="00FD7841"/>
    <w:rsid w:val="00FE0B75"/>
    <w:rsid w:val="00FE12BE"/>
    <w:rsid w:val="00FE2431"/>
    <w:rsid w:val="00FE2CA8"/>
    <w:rsid w:val="00FE3696"/>
    <w:rsid w:val="00FE4412"/>
    <w:rsid w:val="00FE44B8"/>
    <w:rsid w:val="00FE4C58"/>
    <w:rsid w:val="00FE538B"/>
    <w:rsid w:val="00FE563D"/>
    <w:rsid w:val="00FE5B7C"/>
    <w:rsid w:val="00FE6102"/>
    <w:rsid w:val="00FE6746"/>
    <w:rsid w:val="00FE6DFB"/>
    <w:rsid w:val="00FE742B"/>
    <w:rsid w:val="00FE7474"/>
    <w:rsid w:val="00FF081E"/>
    <w:rsid w:val="00FF0B81"/>
    <w:rsid w:val="00FF0E71"/>
    <w:rsid w:val="00FF1480"/>
    <w:rsid w:val="00FF1CD6"/>
    <w:rsid w:val="00FF2550"/>
    <w:rsid w:val="00FF3280"/>
    <w:rsid w:val="00FF3318"/>
    <w:rsid w:val="00FF3719"/>
    <w:rsid w:val="00FF4035"/>
    <w:rsid w:val="00FF547C"/>
    <w:rsid w:val="00FF610D"/>
    <w:rsid w:val="00FF653B"/>
    <w:rsid w:val="00FF7067"/>
    <w:rsid w:val="00FF75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5"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605"/>
    <w:pPr>
      <w:jc w:val="both"/>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6D6B5A"/>
    <w:pPr>
      <w:keepNext/>
      <w:keepLines/>
      <w:spacing w:after="160"/>
      <w:outlineLvl w:val="2"/>
    </w:pPr>
    <w:rPr>
      <w:b/>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6D6B5A"/>
    <w:rPr>
      <w:b/>
      <w:sz w:val="24"/>
    </w:rPr>
  </w:style>
  <w:style w:type="paragraph" w:styleId="ListParagraph">
    <w:name w:val="List Paragraph"/>
    <w:aliases w:val="BulletPoints,Numbered para,List Paragraph1,Bullet point,List Paragraph11,Recommendation,Section heading,Footnote"/>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ind w:left="714" w:hanging="357"/>
    </w:pPr>
  </w:style>
  <w:style w:type="table" w:customStyle="1" w:styleId="TableGridLight1">
    <w:name w:val="Table Grid Light1"/>
    <w:basedOn w:val="TableNormal"/>
    <w:uiPriority w:val="40"/>
    <w:rsid w:val="00D666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DA1E81"/>
    <w:pPr>
      <w:keepNext/>
      <w:jc w:val="left"/>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E8704F"/>
    <w:pPr>
      <w:keepNext/>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E8704F"/>
    <w:pPr>
      <w:widowControl w:val="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8704F"/>
    <w:rPr>
      <w:rFonts w:ascii="Arial Narrow" w:eastAsia="Times New Roman" w:hAnsi="Arial Narrow" w:cs="Arial"/>
      <w:snapToGrid w:val="0"/>
      <w:sz w:val="18"/>
      <w:szCs w:val="20"/>
    </w:rPr>
  </w:style>
  <w:style w:type="paragraph" w:customStyle="1" w:styleId="TableNotes">
    <w:name w:val="TableNotes"/>
    <w:basedOn w:val="Normal"/>
    <w:qFormat/>
    <w:rsid w:val="00C317F3"/>
    <w:pPr>
      <w:spacing w:after="60"/>
    </w:pPr>
    <w:rPr>
      <w:sz w:val="20"/>
    </w:rPr>
  </w:style>
  <w:style w:type="paragraph" w:customStyle="1" w:styleId="oldTablefooter">
    <w:name w:val="old Table footer"/>
    <w:basedOn w:val="Normal"/>
    <w:link w:val="oldTablefooterChar"/>
    <w:qFormat/>
    <w:rsid w:val="00C317F3"/>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jc w:val="both"/>
    </w:pPr>
    <w:rPr>
      <w:rFonts w:ascii="Arial" w:eastAsia="Times New Roman" w:hAnsi="Arial" w:cs="Arial"/>
      <w:snapToGrid w:val="0"/>
      <w:szCs w:val="20"/>
    </w:rPr>
  </w:style>
  <w:style w:type="paragraph" w:customStyle="1" w:styleId="Tabletext0">
    <w:name w:val="Table text"/>
    <w:basedOn w:val="Normal"/>
    <w:link w:val="TabletextChar0"/>
    <w:qFormat/>
    <w:rsid w:val="00512237"/>
    <w:pPr>
      <w:framePr w:wrap="around" w:vAnchor="text" w:hAnchor="text" w:y="1"/>
      <w:jc w:val="center"/>
    </w:pPr>
    <w:rPr>
      <w:rFonts w:ascii="Arial Narrow" w:eastAsia="Times New Roman" w:hAnsi="Arial Narrow" w:cs="Times New Roman"/>
      <w:sz w:val="20"/>
      <w:szCs w:val="20"/>
    </w:rPr>
  </w:style>
  <w:style w:type="character" w:customStyle="1" w:styleId="TabletextChar0">
    <w:name w:val="Table text Char"/>
    <w:link w:val="Tabletext0"/>
    <w:rsid w:val="00512237"/>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1"/>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7"/>
      </w:numPr>
      <w:spacing w:before="200" w:after="120"/>
    </w:pPr>
    <w:rPr>
      <w:rFonts w:ascii="Arial" w:eastAsia="Times New Roman" w:hAnsi="Arial" w:cs="Arial"/>
      <w:b/>
      <w:snapToGrid w:val="0"/>
    </w:rPr>
  </w:style>
  <w:style w:type="paragraph" w:customStyle="1" w:styleId="Style1">
    <w:name w:val="Style1"/>
    <w:basedOn w:val="Normal"/>
    <w:rsid w:val="00C317F3"/>
    <w:pPr>
      <w:widowControl w:val="0"/>
    </w:pPr>
    <w:rPr>
      <w:rFonts w:ascii="Arial" w:eastAsia="Times New Roman" w:hAnsi="Arial" w:cs="Arial"/>
      <w:snapToGrid w:val="0"/>
      <w:sz w:val="22"/>
      <w:szCs w:val="20"/>
    </w:rPr>
  </w:style>
  <w:style w:type="paragraph" w:customStyle="1" w:styleId="PBACheading10">
    <w:name w:val="PBAC heading 1"/>
    <w:qFormat/>
    <w:rsid w:val="00C317F3"/>
    <w:pPr>
      <w:ind w:left="720" w:hanging="720"/>
    </w:pPr>
    <w:rPr>
      <w:rFonts w:ascii="Arial" w:eastAsia="Times New Roman" w:hAnsi="Arial" w:cs="Arial"/>
      <w:snapToGrid w:val="0"/>
    </w:rPr>
  </w:style>
  <w:style w:type="character" w:customStyle="1" w:styleId="ListParagraphChar">
    <w:name w:val="List Paragraph Char"/>
    <w:aliases w:val="BulletPoints Char,Numbered para Char,List Paragraph1 Char,Bullet point Char,List Paragraph11 Char,Recommendation Char,Section heading Char,Footnote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8"/>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4"/>
      </w:numPr>
      <w:spacing w:after="240"/>
      <w:ind w:left="357" w:hanging="357"/>
    </w:pPr>
    <w:rPr>
      <w:sz w:val="22"/>
    </w:rPr>
  </w:style>
  <w:style w:type="paragraph" w:customStyle="1" w:styleId="TableFigNote">
    <w:name w:val="TableFigNote"/>
    <w:basedOn w:val="Normal"/>
    <w:qFormat/>
    <w:rsid w:val="00576ADE"/>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after="120"/>
      <w:ind w:left="720" w:hanging="720"/>
    </w:pPr>
    <w:rPr>
      <w:rFonts w:ascii="Calibri" w:hAnsi="Calibri"/>
    </w:rPr>
  </w:style>
  <w:style w:type="paragraph" w:customStyle="1" w:styleId="Tabletextcentred">
    <w:name w:val="Table text centred"/>
    <w:basedOn w:val="Normal"/>
    <w:link w:val="TabletextcentredChar"/>
    <w:qFormat/>
    <w:rsid w:val="009C1972"/>
    <w:pPr>
      <w:keepNext/>
      <w:jc w:val="center"/>
    </w:pPr>
    <w:rPr>
      <w:rFonts w:ascii="Arial Narrow" w:eastAsia="Times New Roman" w:hAnsi="Arial Narrow" w:cs="Arial Narrow"/>
      <w:sz w:val="20"/>
      <w:szCs w:val="20"/>
    </w:rPr>
  </w:style>
  <w:style w:type="character" w:customStyle="1" w:styleId="TabletextcentredChar">
    <w:name w:val="Table text centred Char"/>
    <w:link w:val="Tabletextcentred"/>
    <w:rsid w:val="009C1972"/>
    <w:rPr>
      <w:rFonts w:ascii="Arial Narrow" w:eastAsia="Times New Roman" w:hAnsi="Arial Narrow" w:cs="Arial Narrow"/>
      <w:sz w:val="20"/>
      <w:szCs w:val="20"/>
    </w:rPr>
  </w:style>
  <w:style w:type="table" w:customStyle="1" w:styleId="Summarybox1">
    <w:name w:val="Summary box1"/>
    <w:basedOn w:val="TableNormal"/>
    <w:next w:val="TableGrid"/>
    <w:uiPriority w:val="59"/>
    <w:rsid w:val="00D25DA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2234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D15F7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8842D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32108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rsid w:val="00DA1E81"/>
    <w:rPr>
      <w:rFonts w:ascii="Arial Narrow" w:hAnsi="Arial Narrow"/>
      <w:sz w:val="20"/>
    </w:rPr>
  </w:style>
  <w:style w:type="paragraph" w:customStyle="1" w:styleId="TableNotes1">
    <w:name w:val="Table Notes"/>
    <w:basedOn w:val="Normal"/>
    <w:next w:val="Normal"/>
    <w:link w:val="TableNotesChar"/>
    <w:qFormat/>
    <w:rsid w:val="00176CFE"/>
    <w:pPr>
      <w:keepNext/>
      <w:keepLines/>
      <w:spacing w:before="60" w:after="240"/>
      <w:contextualSpacing/>
    </w:pPr>
    <w:rPr>
      <w:rFonts w:ascii="Arial" w:eastAsia="Times New Roman" w:hAnsi="Arial" w:cs="Times New Roman"/>
      <w:sz w:val="16"/>
      <w:szCs w:val="16"/>
      <w:lang w:eastAsia="en-AU"/>
    </w:rPr>
  </w:style>
  <w:style w:type="character" w:customStyle="1" w:styleId="TableNotesChar">
    <w:name w:val="Table Notes Char"/>
    <w:basedOn w:val="DefaultParagraphFont"/>
    <w:link w:val="TableNotes1"/>
    <w:locked/>
    <w:rsid w:val="00176CFE"/>
    <w:rPr>
      <w:rFonts w:ascii="Arial" w:eastAsia="Times New Roman" w:hAnsi="Arial" w:cs="Times New Roman"/>
      <w:sz w:val="16"/>
      <w:szCs w:val="16"/>
      <w:lang w:eastAsia="en-AU"/>
    </w:rPr>
  </w:style>
  <w:style w:type="character" w:customStyle="1" w:styleId="TableTextChar1">
    <w:name w:val="TableText Char"/>
    <w:link w:val="TableText1"/>
    <w:rsid w:val="007A2D27"/>
    <w:rPr>
      <w:rFonts w:ascii="Arial Narrow" w:eastAsia="Times New Roman" w:hAnsi="Arial Narrow" w:cs="Arial Narrow"/>
      <w:sz w:val="20"/>
      <w:szCs w:val="20"/>
    </w:rPr>
  </w:style>
  <w:style w:type="character" w:customStyle="1" w:styleId="st">
    <w:name w:val="st"/>
    <w:basedOn w:val="DefaultParagraphFont"/>
    <w:rsid w:val="00BC21AB"/>
  </w:style>
  <w:style w:type="table" w:customStyle="1" w:styleId="Summarybox8">
    <w:name w:val="Summary box8"/>
    <w:basedOn w:val="TableNormal"/>
    <w:next w:val="TableGrid"/>
    <w:uiPriority w:val="39"/>
    <w:rsid w:val="008F3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sid w:val="00F3038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496F8F"/>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6C1C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ing">
    <w:name w:val="Contents Heading"/>
    <w:basedOn w:val="Normal"/>
    <w:next w:val="Normal"/>
    <w:rsid w:val="00BA0470"/>
    <w:pPr>
      <w:ind w:left="-57"/>
      <w:jc w:val="left"/>
    </w:pPr>
    <w:rPr>
      <w:rFonts w:ascii="Arial" w:eastAsia="Times New Roman" w:hAnsi="Arial" w:cs="Times New Roman"/>
      <w:sz w:val="32"/>
      <w:szCs w:val="20"/>
      <w:lang w:eastAsia="en-AU"/>
    </w:rPr>
  </w:style>
  <w:style w:type="paragraph" w:customStyle="1" w:styleId="Default">
    <w:name w:val="Default"/>
    <w:rsid w:val="007A7E3E"/>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007">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3224988">
      <w:bodyDiv w:val="1"/>
      <w:marLeft w:val="0"/>
      <w:marRight w:val="0"/>
      <w:marTop w:val="0"/>
      <w:marBottom w:val="0"/>
      <w:divBdr>
        <w:top w:val="none" w:sz="0" w:space="0" w:color="auto"/>
        <w:left w:val="none" w:sz="0" w:space="0" w:color="auto"/>
        <w:bottom w:val="none" w:sz="0" w:space="0" w:color="auto"/>
        <w:right w:val="none" w:sz="0" w:space="0" w:color="auto"/>
      </w:divBdr>
      <w:divsChild>
        <w:div w:id="587420588">
          <w:marLeft w:val="446"/>
          <w:marRight w:val="0"/>
          <w:marTop w:val="0"/>
          <w:marBottom w:val="0"/>
          <w:divBdr>
            <w:top w:val="none" w:sz="0" w:space="0" w:color="auto"/>
            <w:left w:val="none" w:sz="0" w:space="0" w:color="auto"/>
            <w:bottom w:val="none" w:sz="0" w:space="0" w:color="auto"/>
            <w:right w:val="none" w:sz="0" w:space="0" w:color="auto"/>
          </w:divBdr>
        </w:div>
      </w:divsChild>
    </w:div>
    <w:div w:id="246693172">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555972469">
      <w:bodyDiv w:val="1"/>
      <w:marLeft w:val="0"/>
      <w:marRight w:val="0"/>
      <w:marTop w:val="0"/>
      <w:marBottom w:val="0"/>
      <w:divBdr>
        <w:top w:val="none" w:sz="0" w:space="0" w:color="auto"/>
        <w:left w:val="none" w:sz="0" w:space="0" w:color="auto"/>
        <w:bottom w:val="none" w:sz="0" w:space="0" w:color="auto"/>
        <w:right w:val="none" w:sz="0" w:space="0" w:color="auto"/>
      </w:divBdr>
    </w:div>
    <w:div w:id="606817001">
      <w:bodyDiv w:val="1"/>
      <w:marLeft w:val="0"/>
      <w:marRight w:val="0"/>
      <w:marTop w:val="0"/>
      <w:marBottom w:val="0"/>
      <w:divBdr>
        <w:top w:val="none" w:sz="0" w:space="0" w:color="auto"/>
        <w:left w:val="none" w:sz="0" w:space="0" w:color="auto"/>
        <w:bottom w:val="none" w:sz="0" w:space="0" w:color="auto"/>
        <w:right w:val="none" w:sz="0" w:space="0" w:color="auto"/>
      </w:divBdr>
    </w:div>
    <w:div w:id="756705168">
      <w:bodyDiv w:val="1"/>
      <w:marLeft w:val="0"/>
      <w:marRight w:val="0"/>
      <w:marTop w:val="0"/>
      <w:marBottom w:val="0"/>
      <w:divBdr>
        <w:top w:val="none" w:sz="0" w:space="0" w:color="auto"/>
        <w:left w:val="none" w:sz="0" w:space="0" w:color="auto"/>
        <w:bottom w:val="none" w:sz="0" w:space="0" w:color="auto"/>
        <w:right w:val="none" w:sz="0" w:space="0" w:color="auto"/>
      </w:divBdr>
    </w:div>
    <w:div w:id="834103708">
      <w:bodyDiv w:val="1"/>
      <w:marLeft w:val="0"/>
      <w:marRight w:val="0"/>
      <w:marTop w:val="0"/>
      <w:marBottom w:val="0"/>
      <w:divBdr>
        <w:top w:val="none" w:sz="0" w:space="0" w:color="auto"/>
        <w:left w:val="none" w:sz="0" w:space="0" w:color="auto"/>
        <w:bottom w:val="none" w:sz="0" w:space="0" w:color="auto"/>
        <w:right w:val="none" w:sz="0" w:space="0" w:color="auto"/>
      </w:divBdr>
      <w:divsChild>
        <w:div w:id="270013008">
          <w:marLeft w:val="446"/>
          <w:marRight w:val="0"/>
          <w:marTop w:val="0"/>
          <w:marBottom w:val="0"/>
          <w:divBdr>
            <w:top w:val="none" w:sz="0" w:space="0" w:color="auto"/>
            <w:left w:val="none" w:sz="0" w:space="0" w:color="auto"/>
            <w:bottom w:val="none" w:sz="0" w:space="0" w:color="auto"/>
            <w:right w:val="none" w:sz="0" w:space="0" w:color="auto"/>
          </w:divBdr>
        </w:div>
        <w:div w:id="1341393725">
          <w:marLeft w:val="446"/>
          <w:marRight w:val="0"/>
          <w:marTop w:val="0"/>
          <w:marBottom w:val="0"/>
          <w:divBdr>
            <w:top w:val="none" w:sz="0" w:space="0" w:color="auto"/>
            <w:left w:val="none" w:sz="0" w:space="0" w:color="auto"/>
            <w:bottom w:val="none" w:sz="0" w:space="0" w:color="auto"/>
            <w:right w:val="none" w:sz="0" w:space="0" w:color="auto"/>
          </w:divBdr>
        </w:div>
      </w:divsChild>
    </w:div>
    <w:div w:id="860628213">
      <w:bodyDiv w:val="1"/>
      <w:marLeft w:val="0"/>
      <w:marRight w:val="0"/>
      <w:marTop w:val="0"/>
      <w:marBottom w:val="0"/>
      <w:divBdr>
        <w:top w:val="none" w:sz="0" w:space="0" w:color="auto"/>
        <w:left w:val="none" w:sz="0" w:space="0" w:color="auto"/>
        <w:bottom w:val="none" w:sz="0" w:space="0" w:color="auto"/>
        <w:right w:val="none" w:sz="0" w:space="0" w:color="auto"/>
      </w:divBdr>
      <w:divsChild>
        <w:div w:id="697699987">
          <w:marLeft w:val="1080"/>
          <w:marRight w:val="0"/>
          <w:marTop w:val="100"/>
          <w:marBottom w:val="0"/>
          <w:divBdr>
            <w:top w:val="none" w:sz="0" w:space="0" w:color="auto"/>
            <w:left w:val="none" w:sz="0" w:space="0" w:color="auto"/>
            <w:bottom w:val="none" w:sz="0" w:space="0" w:color="auto"/>
            <w:right w:val="none" w:sz="0" w:space="0" w:color="auto"/>
          </w:divBdr>
        </w:div>
      </w:divsChild>
    </w:div>
    <w:div w:id="862673348">
      <w:bodyDiv w:val="1"/>
      <w:marLeft w:val="0"/>
      <w:marRight w:val="0"/>
      <w:marTop w:val="0"/>
      <w:marBottom w:val="0"/>
      <w:divBdr>
        <w:top w:val="none" w:sz="0" w:space="0" w:color="auto"/>
        <w:left w:val="none" w:sz="0" w:space="0" w:color="auto"/>
        <w:bottom w:val="none" w:sz="0" w:space="0" w:color="auto"/>
        <w:right w:val="none" w:sz="0" w:space="0" w:color="auto"/>
      </w:divBdr>
    </w:div>
    <w:div w:id="981811759">
      <w:bodyDiv w:val="1"/>
      <w:marLeft w:val="0"/>
      <w:marRight w:val="0"/>
      <w:marTop w:val="0"/>
      <w:marBottom w:val="0"/>
      <w:divBdr>
        <w:top w:val="none" w:sz="0" w:space="0" w:color="auto"/>
        <w:left w:val="none" w:sz="0" w:space="0" w:color="auto"/>
        <w:bottom w:val="none" w:sz="0" w:space="0" w:color="auto"/>
        <w:right w:val="none" w:sz="0" w:space="0" w:color="auto"/>
      </w:divBdr>
    </w:div>
    <w:div w:id="996960290">
      <w:bodyDiv w:val="1"/>
      <w:marLeft w:val="0"/>
      <w:marRight w:val="0"/>
      <w:marTop w:val="0"/>
      <w:marBottom w:val="0"/>
      <w:divBdr>
        <w:top w:val="none" w:sz="0" w:space="0" w:color="auto"/>
        <w:left w:val="none" w:sz="0" w:space="0" w:color="auto"/>
        <w:bottom w:val="none" w:sz="0" w:space="0" w:color="auto"/>
        <w:right w:val="none" w:sz="0" w:space="0" w:color="auto"/>
      </w:divBdr>
    </w:div>
    <w:div w:id="1060977664">
      <w:bodyDiv w:val="1"/>
      <w:marLeft w:val="0"/>
      <w:marRight w:val="0"/>
      <w:marTop w:val="0"/>
      <w:marBottom w:val="0"/>
      <w:divBdr>
        <w:top w:val="none" w:sz="0" w:space="0" w:color="auto"/>
        <w:left w:val="none" w:sz="0" w:space="0" w:color="auto"/>
        <w:bottom w:val="none" w:sz="0" w:space="0" w:color="auto"/>
        <w:right w:val="none" w:sz="0" w:space="0" w:color="auto"/>
      </w:divBdr>
      <w:divsChild>
        <w:div w:id="2104566767">
          <w:marLeft w:val="360"/>
          <w:marRight w:val="0"/>
          <w:marTop w:val="200"/>
          <w:marBottom w:val="0"/>
          <w:divBdr>
            <w:top w:val="none" w:sz="0" w:space="0" w:color="auto"/>
            <w:left w:val="none" w:sz="0" w:space="0" w:color="auto"/>
            <w:bottom w:val="none" w:sz="0" w:space="0" w:color="auto"/>
            <w:right w:val="none" w:sz="0" w:space="0" w:color="auto"/>
          </w:divBdr>
        </w:div>
        <w:div w:id="1086153333">
          <w:marLeft w:val="1080"/>
          <w:marRight w:val="0"/>
          <w:marTop w:val="100"/>
          <w:marBottom w:val="0"/>
          <w:divBdr>
            <w:top w:val="none" w:sz="0" w:space="0" w:color="auto"/>
            <w:left w:val="none" w:sz="0" w:space="0" w:color="auto"/>
            <w:bottom w:val="none" w:sz="0" w:space="0" w:color="auto"/>
            <w:right w:val="none" w:sz="0" w:space="0" w:color="auto"/>
          </w:divBdr>
        </w:div>
      </w:divsChild>
    </w:div>
    <w:div w:id="1067613140">
      <w:bodyDiv w:val="1"/>
      <w:marLeft w:val="0"/>
      <w:marRight w:val="0"/>
      <w:marTop w:val="0"/>
      <w:marBottom w:val="0"/>
      <w:divBdr>
        <w:top w:val="none" w:sz="0" w:space="0" w:color="auto"/>
        <w:left w:val="none" w:sz="0" w:space="0" w:color="auto"/>
        <w:bottom w:val="none" w:sz="0" w:space="0" w:color="auto"/>
        <w:right w:val="none" w:sz="0" w:space="0" w:color="auto"/>
      </w:divBdr>
      <w:divsChild>
        <w:div w:id="2017923571">
          <w:marLeft w:val="0"/>
          <w:marRight w:val="0"/>
          <w:marTop w:val="0"/>
          <w:marBottom w:val="0"/>
          <w:divBdr>
            <w:top w:val="none" w:sz="0" w:space="0" w:color="auto"/>
            <w:left w:val="none" w:sz="0" w:space="0" w:color="auto"/>
            <w:bottom w:val="none" w:sz="0" w:space="0" w:color="auto"/>
            <w:right w:val="none" w:sz="0" w:space="0" w:color="auto"/>
          </w:divBdr>
        </w:div>
        <w:div w:id="1356734528">
          <w:marLeft w:val="0"/>
          <w:marRight w:val="0"/>
          <w:marTop w:val="0"/>
          <w:marBottom w:val="0"/>
          <w:divBdr>
            <w:top w:val="none" w:sz="0" w:space="0" w:color="auto"/>
            <w:left w:val="none" w:sz="0" w:space="0" w:color="auto"/>
            <w:bottom w:val="none" w:sz="0" w:space="0" w:color="auto"/>
            <w:right w:val="none" w:sz="0" w:space="0" w:color="auto"/>
          </w:divBdr>
          <w:divsChild>
            <w:div w:id="4018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12699752">
      <w:bodyDiv w:val="1"/>
      <w:marLeft w:val="0"/>
      <w:marRight w:val="0"/>
      <w:marTop w:val="0"/>
      <w:marBottom w:val="0"/>
      <w:divBdr>
        <w:top w:val="none" w:sz="0" w:space="0" w:color="auto"/>
        <w:left w:val="none" w:sz="0" w:space="0" w:color="auto"/>
        <w:bottom w:val="none" w:sz="0" w:space="0" w:color="auto"/>
        <w:right w:val="none" w:sz="0" w:space="0" w:color="auto"/>
      </w:divBdr>
    </w:div>
    <w:div w:id="1148281968">
      <w:bodyDiv w:val="1"/>
      <w:marLeft w:val="0"/>
      <w:marRight w:val="0"/>
      <w:marTop w:val="0"/>
      <w:marBottom w:val="0"/>
      <w:divBdr>
        <w:top w:val="none" w:sz="0" w:space="0" w:color="auto"/>
        <w:left w:val="none" w:sz="0" w:space="0" w:color="auto"/>
        <w:bottom w:val="none" w:sz="0" w:space="0" w:color="auto"/>
        <w:right w:val="none" w:sz="0" w:space="0" w:color="auto"/>
      </w:divBdr>
    </w:div>
    <w:div w:id="1186559705">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79096261">
      <w:bodyDiv w:val="1"/>
      <w:marLeft w:val="0"/>
      <w:marRight w:val="0"/>
      <w:marTop w:val="0"/>
      <w:marBottom w:val="0"/>
      <w:divBdr>
        <w:top w:val="none" w:sz="0" w:space="0" w:color="auto"/>
        <w:left w:val="none" w:sz="0" w:space="0" w:color="auto"/>
        <w:bottom w:val="none" w:sz="0" w:space="0" w:color="auto"/>
        <w:right w:val="none" w:sz="0" w:space="0" w:color="auto"/>
      </w:divBdr>
      <w:divsChild>
        <w:div w:id="1183325287">
          <w:marLeft w:val="0"/>
          <w:marRight w:val="0"/>
          <w:marTop w:val="0"/>
          <w:marBottom w:val="0"/>
          <w:divBdr>
            <w:top w:val="none" w:sz="0" w:space="0" w:color="auto"/>
            <w:left w:val="none" w:sz="0" w:space="0" w:color="auto"/>
            <w:bottom w:val="none" w:sz="0" w:space="0" w:color="auto"/>
            <w:right w:val="none" w:sz="0" w:space="0" w:color="auto"/>
          </w:divBdr>
        </w:div>
        <w:div w:id="750935362">
          <w:marLeft w:val="0"/>
          <w:marRight w:val="0"/>
          <w:marTop w:val="0"/>
          <w:marBottom w:val="0"/>
          <w:divBdr>
            <w:top w:val="none" w:sz="0" w:space="0" w:color="auto"/>
            <w:left w:val="none" w:sz="0" w:space="0" w:color="auto"/>
            <w:bottom w:val="none" w:sz="0" w:space="0" w:color="auto"/>
            <w:right w:val="none" w:sz="0" w:space="0" w:color="auto"/>
          </w:divBdr>
        </w:div>
      </w:divsChild>
    </w:div>
    <w:div w:id="1404639230">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48770193">
      <w:bodyDiv w:val="1"/>
      <w:marLeft w:val="0"/>
      <w:marRight w:val="0"/>
      <w:marTop w:val="0"/>
      <w:marBottom w:val="0"/>
      <w:divBdr>
        <w:top w:val="none" w:sz="0" w:space="0" w:color="auto"/>
        <w:left w:val="none" w:sz="0" w:space="0" w:color="auto"/>
        <w:bottom w:val="none" w:sz="0" w:space="0" w:color="auto"/>
        <w:right w:val="none" w:sz="0" w:space="0" w:color="auto"/>
      </w:divBdr>
      <w:divsChild>
        <w:div w:id="370376348">
          <w:marLeft w:val="446"/>
          <w:marRight w:val="0"/>
          <w:marTop w:val="0"/>
          <w:marBottom w:val="0"/>
          <w:divBdr>
            <w:top w:val="none" w:sz="0" w:space="0" w:color="auto"/>
            <w:left w:val="none" w:sz="0" w:space="0" w:color="auto"/>
            <w:bottom w:val="none" w:sz="0" w:space="0" w:color="auto"/>
            <w:right w:val="none" w:sz="0" w:space="0" w:color="auto"/>
          </w:divBdr>
        </w:div>
      </w:divsChild>
    </w:div>
    <w:div w:id="1493522943">
      <w:bodyDiv w:val="1"/>
      <w:marLeft w:val="0"/>
      <w:marRight w:val="0"/>
      <w:marTop w:val="0"/>
      <w:marBottom w:val="0"/>
      <w:divBdr>
        <w:top w:val="none" w:sz="0" w:space="0" w:color="auto"/>
        <w:left w:val="none" w:sz="0" w:space="0" w:color="auto"/>
        <w:bottom w:val="none" w:sz="0" w:space="0" w:color="auto"/>
        <w:right w:val="none" w:sz="0" w:space="0" w:color="auto"/>
      </w:divBdr>
    </w:div>
    <w:div w:id="1597060150">
      <w:bodyDiv w:val="1"/>
      <w:marLeft w:val="0"/>
      <w:marRight w:val="0"/>
      <w:marTop w:val="0"/>
      <w:marBottom w:val="0"/>
      <w:divBdr>
        <w:top w:val="none" w:sz="0" w:space="0" w:color="auto"/>
        <w:left w:val="none" w:sz="0" w:space="0" w:color="auto"/>
        <w:bottom w:val="none" w:sz="0" w:space="0" w:color="auto"/>
        <w:right w:val="none" w:sz="0" w:space="0" w:color="auto"/>
      </w:divBdr>
    </w:div>
    <w:div w:id="1617982248">
      <w:bodyDiv w:val="1"/>
      <w:marLeft w:val="0"/>
      <w:marRight w:val="0"/>
      <w:marTop w:val="0"/>
      <w:marBottom w:val="0"/>
      <w:divBdr>
        <w:top w:val="none" w:sz="0" w:space="0" w:color="auto"/>
        <w:left w:val="none" w:sz="0" w:space="0" w:color="auto"/>
        <w:bottom w:val="none" w:sz="0" w:space="0" w:color="auto"/>
        <w:right w:val="none" w:sz="0" w:space="0" w:color="auto"/>
      </w:divBdr>
      <w:divsChild>
        <w:div w:id="997731528">
          <w:marLeft w:val="360"/>
          <w:marRight w:val="0"/>
          <w:marTop w:val="200"/>
          <w:marBottom w:val="0"/>
          <w:divBdr>
            <w:top w:val="none" w:sz="0" w:space="0" w:color="auto"/>
            <w:left w:val="none" w:sz="0" w:space="0" w:color="auto"/>
            <w:bottom w:val="none" w:sz="0" w:space="0" w:color="auto"/>
            <w:right w:val="none" w:sz="0" w:space="0" w:color="auto"/>
          </w:divBdr>
        </w:div>
        <w:div w:id="745227898">
          <w:marLeft w:val="360"/>
          <w:marRight w:val="0"/>
          <w:marTop w:val="200"/>
          <w:marBottom w:val="0"/>
          <w:divBdr>
            <w:top w:val="none" w:sz="0" w:space="0" w:color="auto"/>
            <w:left w:val="none" w:sz="0" w:space="0" w:color="auto"/>
            <w:bottom w:val="none" w:sz="0" w:space="0" w:color="auto"/>
            <w:right w:val="none" w:sz="0" w:space="0" w:color="auto"/>
          </w:divBdr>
        </w:div>
      </w:divsChild>
    </w:div>
    <w:div w:id="1654094329">
      <w:bodyDiv w:val="1"/>
      <w:marLeft w:val="0"/>
      <w:marRight w:val="0"/>
      <w:marTop w:val="0"/>
      <w:marBottom w:val="0"/>
      <w:divBdr>
        <w:top w:val="none" w:sz="0" w:space="0" w:color="auto"/>
        <w:left w:val="none" w:sz="0" w:space="0" w:color="auto"/>
        <w:bottom w:val="none" w:sz="0" w:space="0" w:color="auto"/>
        <w:right w:val="none" w:sz="0" w:space="0" w:color="auto"/>
      </w:divBdr>
    </w:div>
    <w:div w:id="1688677866">
      <w:bodyDiv w:val="1"/>
      <w:marLeft w:val="0"/>
      <w:marRight w:val="0"/>
      <w:marTop w:val="0"/>
      <w:marBottom w:val="0"/>
      <w:divBdr>
        <w:top w:val="none" w:sz="0" w:space="0" w:color="auto"/>
        <w:left w:val="none" w:sz="0" w:space="0" w:color="auto"/>
        <w:bottom w:val="none" w:sz="0" w:space="0" w:color="auto"/>
        <w:right w:val="none" w:sz="0" w:space="0" w:color="auto"/>
      </w:divBdr>
      <w:divsChild>
        <w:div w:id="798373926">
          <w:marLeft w:val="0"/>
          <w:marRight w:val="0"/>
          <w:marTop w:val="0"/>
          <w:marBottom w:val="0"/>
          <w:divBdr>
            <w:top w:val="none" w:sz="0" w:space="0" w:color="auto"/>
            <w:left w:val="none" w:sz="0" w:space="0" w:color="auto"/>
            <w:bottom w:val="none" w:sz="0" w:space="0" w:color="auto"/>
            <w:right w:val="none" w:sz="0" w:space="0" w:color="auto"/>
          </w:divBdr>
        </w:div>
        <w:div w:id="621572223">
          <w:marLeft w:val="0"/>
          <w:marRight w:val="0"/>
          <w:marTop w:val="0"/>
          <w:marBottom w:val="0"/>
          <w:divBdr>
            <w:top w:val="none" w:sz="0" w:space="0" w:color="auto"/>
            <w:left w:val="none" w:sz="0" w:space="0" w:color="auto"/>
            <w:bottom w:val="none" w:sz="0" w:space="0" w:color="auto"/>
            <w:right w:val="none" w:sz="0" w:space="0" w:color="auto"/>
          </w:divBdr>
        </w:div>
      </w:divsChild>
    </w:div>
    <w:div w:id="1696420667">
      <w:bodyDiv w:val="1"/>
      <w:marLeft w:val="0"/>
      <w:marRight w:val="0"/>
      <w:marTop w:val="0"/>
      <w:marBottom w:val="0"/>
      <w:divBdr>
        <w:top w:val="none" w:sz="0" w:space="0" w:color="auto"/>
        <w:left w:val="none" w:sz="0" w:space="0" w:color="auto"/>
        <w:bottom w:val="none" w:sz="0" w:space="0" w:color="auto"/>
        <w:right w:val="none" w:sz="0" w:space="0" w:color="auto"/>
      </w:divBdr>
    </w:div>
    <w:div w:id="1754617603">
      <w:bodyDiv w:val="1"/>
      <w:marLeft w:val="0"/>
      <w:marRight w:val="0"/>
      <w:marTop w:val="0"/>
      <w:marBottom w:val="0"/>
      <w:divBdr>
        <w:top w:val="none" w:sz="0" w:space="0" w:color="auto"/>
        <w:left w:val="none" w:sz="0" w:space="0" w:color="auto"/>
        <w:bottom w:val="none" w:sz="0" w:space="0" w:color="auto"/>
        <w:right w:val="none" w:sz="0" w:space="0" w:color="auto"/>
      </w:divBdr>
    </w:div>
    <w:div w:id="1766462290">
      <w:bodyDiv w:val="1"/>
      <w:marLeft w:val="0"/>
      <w:marRight w:val="0"/>
      <w:marTop w:val="0"/>
      <w:marBottom w:val="0"/>
      <w:divBdr>
        <w:top w:val="none" w:sz="0" w:space="0" w:color="auto"/>
        <w:left w:val="none" w:sz="0" w:space="0" w:color="auto"/>
        <w:bottom w:val="none" w:sz="0" w:space="0" w:color="auto"/>
        <w:right w:val="none" w:sz="0" w:space="0" w:color="auto"/>
      </w:divBdr>
      <w:divsChild>
        <w:div w:id="716780887">
          <w:marLeft w:val="0"/>
          <w:marRight w:val="0"/>
          <w:marTop w:val="0"/>
          <w:marBottom w:val="0"/>
          <w:divBdr>
            <w:top w:val="none" w:sz="0" w:space="0" w:color="auto"/>
            <w:left w:val="none" w:sz="0" w:space="0" w:color="auto"/>
            <w:bottom w:val="none" w:sz="0" w:space="0" w:color="auto"/>
            <w:right w:val="none" w:sz="0" w:space="0" w:color="auto"/>
          </w:divBdr>
        </w:div>
        <w:div w:id="1349333864">
          <w:marLeft w:val="0"/>
          <w:marRight w:val="0"/>
          <w:marTop w:val="0"/>
          <w:marBottom w:val="0"/>
          <w:divBdr>
            <w:top w:val="none" w:sz="0" w:space="0" w:color="auto"/>
            <w:left w:val="none" w:sz="0" w:space="0" w:color="auto"/>
            <w:bottom w:val="none" w:sz="0" w:space="0" w:color="auto"/>
            <w:right w:val="none" w:sz="0" w:space="0" w:color="auto"/>
          </w:divBdr>
        </w:div>
        <w:div w:id="600724946">
          <w:marLeft w:val="0"/>
          <w:marRight w:val="0"/>
          <w:marTop w:val="0"/>
          <w:marBottom w:val="0"/>
          <w:divBdr>
            <w:top w:val="none" w:sz="0" w:space="0" w:color="auto"/>
            <w:left w:val="none" w:sz="0" w:space="0" w:color="auto"/>
            <w:bottom w:val="none" w:sz="0" w:space="0" w:color="auto"/>
            <w:right w:val="none" w:sz="0" w:space="0" w:color="auto"/>
          </w:divBdr>
          <w:divsChild>
            <w:div w:id="1090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5719">
      <w:bodyDiv w:val="1"/>
      <w:marLeft w:val="0"/>
      <w:marRight w:val="0"/>
      <w:marTop w:val="0"/>
      <w:marBottom w:val="0"/>
      <w:divBdr>
        <w:top w:val="none" w:sz="0" w:space="0" w:color="auto"/>
        <w:left w:val="none" w:sz="0" w:space="0" w:color="auto"/>
        <w:bottom w:val="none" w:sz="0" w:space="0" w:color="auto"/>
        <w:right w:val="none" w:sz="0" w:space="0" w:color="auto"/>
      </w:divBdr>
    </w:div>
    <w:div w:id="1915356670">
      <w:bodyDiv w:val="1"/>
      <w:marLeft w:val="0"/>
      <w:marRight w:val="0"/>
      <w:marTop w:val="0"/>
      <w:marBottom w:val="0"/>
      <w:divBdr>
        <w:top w:val="none" w:sz="0" w:space="0" w:color="auto"/>
        <w:left w:val="none" w:sz="0" w:space="0" w:color="auto"/>
        <w:bottom w:val="none" w:sz="0" w:space="0" w:color="auto"/>
        <w:right w:val="none" w:sz="0" w:space="0" w:color="auto"/>
      </w:divBdr>
      <w:divsChild>
        <w:div w:id="1992247554">
          <w:marLeft w:val="446"/>
          <w:marRight w:val="0"/>
          <w:marTop w:val="0"/>
          <w:marBottom w:val="0"/>
          <w:divBdr>
            <w:top w:val="none" w:sz="0" w:space="0" w:color="auto"/>
            <w:left w:val="none" w:sz="0" w:space="0" w:color="auto"/>
            <w:bottom w:val="none" w:sz="0" w:space="0" w:color="auto"/>
            <w:right w:val="none" w:sz="0" w:space="0" w:color="auto"/>
          </w:divBdr>
        </w:div>
        <w:div w:id="388917205">
          <w:marLeft w:val="446"/>
          <w:marRight w:val="0"/>
          <w:marTop w:val="0"/>
          <w:marBottom w:val="0"/>
          <w:divBdr>
            <w:top w:val="none" w:sz="0" w:space="0" w:color="auto"/>
            <w:left w:val="none" w:sz="0" w:space="0" w:color="auto"/>
            <w:bottom w:val="none" w:sz="0" w:space="0" w:color="auto"/>
            <w:right w:val="none" w:sz="0" w:space="0" w:color="auto"/>
          </w:divBdr>
        </w:div>
      </w:divsChild>
    </w:div>
    <w:div w:id="2055883852">
      <w:bodyDiv w:val="1"/>
      <w:marLeft w:val="0"/>
      <w:marRight w:val="0"/>
      <w:marTop w:val="0"/>
      <w:marBottom w:val="0"/>
      <w:divBdr>
        <w:top w:val="none" w:sz="0" w:space="0" w:color="auto"/>
        <w:left w:val="none" w:sz="0" w:space="0" w:color="auto"/>
        <w:bottom w:val="none" w:sz="0" w:space="0" w:color="auto"/>
        <w:right w:val="none" w:sz="0" w:space="0" w:color="auto"/>
      </w:divBdr>
      <w:divsChild>
        <w:div w:id="397096888">
          <w:marLeft w:val="0"/>
          <w:marRight w:val="0"/>
          <w:marTop w:val="0"/>
          <w:marBottom w:val="0"/>
          <w:divBdr>
            <w:top w:val="none" w:sz="0" w:space="0" w:color="auto"/>
            <w:left w:val="none" w:sz="0" w:space="0" w:color="auto"/>
            <w:bottom w:val="none" w:sz="0" w:space="0" w:color="auto"/>
            <w:right w:val="none" w:sz="0" w:space="0" w:color="auto"/>
          </w:divBdr>
        </w:div>
        <w:div w:id="722565068">
          <w:marLeft w:val="0"/>
          <w:marRight w:val="0"/>
          <w:marTop w:val="0"/>
          <w:marBottom w:val="0"/>
          <w:divBdr>
            <w:top w:val="none" w:sz="0" w:space="0" w:color="auto"/>
            <w:left w:val="none" w:sz="0" w:space="0" w:color="auto"/>
            <w:bottom w:val="none" w:sz="0" w:space="0" w:color="auto"/>
            <w:right w:val="none" w:sz="0" w:space="0" w:color="auto"/>
          </w:divBdr>
        </w:div>
      </w:divsChild>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2985-6A62-4251-9059-5571792C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11474</Words>
  <Characters>65403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2019-02-25T00:16:00Z</dcterms:created>
  <dcterms:modified xsi:type="dcterms:W3CDTF">2019-02-25T02:57:00Z</dcterms:modified>
</cp:coreProperties>
</file>