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AE" w:rsidRPr="00AF0582" w:rsidRDefault="00653AAE" w:rsidP="00AF0582">
      <w:pPr>
        <w:pStyle w:val="Title"/>
        <w:widowControl/>
        <w:spacing w:before="120" w:after="120"/>
        <w:ind w:left="720" w:hanging="720"/>
        <w:contextualSpacing/>
        <w:jc w:val="left"/>
        <w:rPr>
          <w:rFonts w:asciiTheme="minorHAnsi" w:eastAsiaTheme="majorEastAsia" w:hAnsiTheme="minorHAnsi" w:cstheme="majorBidi"/>
          <w:bCs w:val="0"/>
          <w:snapToGrid/>
          <w:spacing w:val="5"/>
          <w:sz w:val="36"/>
          <w:szCs w:val="36"/>
          <w:lang w:eastAsia="en-AU"/>
        </w:rPr>
      </w:pPr>
      <w:bookmarkStart w:id="0" w:name="_GoBack"/>
      <w:bookmarkEnd w:id="0"/>
      <w:r w:rsidRPr="00AF0582">
        <w:rPr>
          <w:rFonts w:asciiTheme="minorHAnsi" w:eastAsiaTheme="majorEastAsia" w:hAnsiTheme="minorHAnsi" w:cstheme="majorBidi"/>
          <w:bCs w:val="0"/>
          <w:snapToGrid/>
          <w:spacing w:val="5"/>
          <w:sz w:val="36"/>
          <w:szCs w:val="36"/>
          <w:lang w:eastAsia="en-AU"/>
        </w:rPr>
        <w:t>6.01</w:t>
      </w:r>
      <w:r w:rsidRPr="00AF0582">
        <w:rPr>
          <w:rFonts w:asciiTheme="minorHAnsi" w:eastAsiaTheme="majorEastAsia" w:hAnsiTheme="minorHAnsi" w:cstheme="majorBidi"/>
          <w:bCs w:val="0"/>
          <w:snapToGrid/>
          <w:spacing w:val="5"/>
          <w:sz w:val="36"/>
          <w:szCs w:val="36"/>
          <w:lang w:eastAsia="en-AU"/>
        </w:rPr>
        <w:tab/>
        <w:t xml:space="preserve">ATEZOLIZUMAB, </w:t>
      </w:r>
      <w:r w:rsidRPr="00AF0582">
        <w:rPr>
          <w:rFonts w:asciiTheme="minorHAnsi" w:eastAsiaTheme="majorEastAsia" w:hAnsiTheme="minorHAnsi" w:cstheme="majorBidi"/>
          <w:bCs w:val="0"/>
          <w:snapToGrid/>
          <w:spacing w:val="5"/>
          <w:sz w:val="36"/>
          <w:szCs w:val="36"/>
          <w:lang w:eastAsia="en-AU"/>
        </w:rPr>
        <w:br/>
        <w:t xml:space="preserve">solution concentrate for I.V. infusion 1200 mg in 20 mL, </w:t>
      </w:r>
      <w:r w:rsidRPr="00AF0582">
        <w:rPr>
          <w:rFonts w:asciiTheme="minorHAnsi" w:eastAsiaTheme="majorEastAsia" w:hAnsiTheme="minorHAnsi" w:cstheme="majorBidi"/>
          <w:bCs w:val="0"/>
          <w:snapToGrid/>
          <w:spacing w:val="5"/>
          <w:sz w:val="36"/>
          <w:szCs w:val="36"/>
          <w:lang w:eastAsia="en-AU"/>
        </w:rPr>
        <w:br/>
        <w:t xml:space="preserve">Tecentriq®, </w:t>
      </w:r>
      <w:r w:rsidRPr="00AF0582">
        <w:rPr>
          <w:rFonts w:asciiTheme="minorHAnsi" w:eastAsiaTheme="majorEastAsia" w:hAnsiTheme="minorHAnsi" w:cstheme="majorBidi"/>
          <w:bCs w:val="0"/>
          <w:snapToGrid/>
          <w:spacing w:val="5"/>
          <w:sz w:val="36"/>
          <w:szCs w:val="36"/>
          <w:lang w:eastAsia="en-AU"/>
        </w:rPr>
        <w:br/>
        <w:t>plus</w:t>
      </w:r>
      <w:r w:rsidRPr="00AF0582">
        <w:rPr>
          <w:rFonts w:asciiTheme="minorHAnsi" w:eastAsiaTheme="majorEastAsia" w:hAnsiTheme="minorHAnsi" w:cstheme="majorBidi"/>
          <w:bCs w:val="0"/>
          <w:snapToGrid/>
          <w:spacing w:val="5"/>
          <w:sz w:val="36"/>
          <w:szCs w:val="36"/>
          <w:lang w:eastAsia="en-AU"/>
        </w:rPr>
        <w:br/>
        <w:t xml:space="preserve">BEVACIZUMAB, </w:t>
      </w:r>
      <w:r w:rsidRPr="00AF0582">
        <w:rPr>
          <w:rFonts w:asciiTheme="minorHAnsi" w:eastAsiaTheme="majorEastAsia" w:hAnsiTheme="minorHAnsi" w:cstheme="majorBidi"/>
          <w:bCs w:val="0"/>
          <w:snapToGrid/>
          <w:spacing w:val="5"/>
          <w:sz w:val="36"/>
          <w:szCs w:val="36"/>
          <w:lang w:eastAsia="en-AU"/>
        </w:rPr>
        <w:br/>
        <w:t xml:space="preserve">solution concentrate for I.V. infusion 100 mg in 4 mL, solution concentrate for I.V infusion 400 mg in 16 mL, </w:t>
      </w:r>
      <w:r w:rsidRPr="00AF0582">
        <w:rPr>
          <w:rFonts w:asciiTheme="minorHAnsi" w:eastAsiaTheme="majorEastAsia" w:hAnsiTheme="minorHAnsi" w:cstheme="majorBidi"/>
          <w:bCs w:val="0"/>
          <w:snapToGrid/>
          <w:spacing w:val="5"/>
          <w:sz w:val="36"/>
          <w:szCs w:val="36"/>
          <w:lang w:eastAsia="en-AU"/>
        </w:rPr>
        <w:br/>
        <w:t xml:space="preserve">Avastin®, </w:t>
      </w:r>
      <w:r w:rsidRPr="00AF0582">
        <w:rPr>
          <w:rFonts w:asciiTheme="minorHAnsi" w:eastAsiaTheme="majorEastAsia" w:hAnsiTheme="minorHAnsi" w:cstheme="majorBidi"/>
          <w:bCs w:val="0"/>
          <w:snapToGrid/>
          <w:spacing w:val="5"/>
          <w:sz w:val="36"/>
          <w:szCs w:val="36"/>
          <w:lang w:eastAsia="en-AU"/>
        </w:rPr>
        <w:br/>
        <w:t>Roche Products Pty Ltd.</w:t>
      </w:r>
    </w:p>
    <w:p w:rsidR="00B50DB8" w:rsidRPr="00B61251" w:rsidRDefault="00B50DB8" w:rsidP="00994839">
      <w:pPr>
        <w:pStyle w:val="PBACHeading1"/>
      </w:pPr>
      <w:bookmarkStart w:id="1" w:name="_Toc536010746"/>
      <w:r w:rsidRPr="00B61251">
        <w:t xml:space="preserve">Purpose of </w:t>
      </w:r>
      <w:r w:rsidR="00F13E25" w:rsidRPr="00B61251">
        <w:t>a</w:t>
      </w:r>
      <w:r w:rsidRPr="00B61251">
        <w:t>pplication</w:t>
      </w:r>
      <w:bookmarkEnd w:id="1"/>
    </w:p>
    <w:p w:rsidR="00353A19" w:rsidRPr="00B61251" w:rsidRDefault="008B1757" w:rsidP="00994839">
      <w:pPr>
        <w:pStyle w:val="ListParagraph"/>
        <w:widowControl/>
        <w:numPr>
          <w:ilvl w:val="1"/>
          <w:numId w:val="1"/>
        </w:numPr>
        <w:spacing w:after="120"/>
      </w:pPr>
      <w:r w:rsidRPr="00B61251">
        <w:t>Section 100</w:t>
      </w:r>
      <w:r w:rsidR="00353A19" w:rsidRPr="00B61251">
        <w:t xml:space="preserve"> (Efficient Funding of Chemotherapy)</w:t>
      </w:r>
      <w:r w:rsidRPr="00B61251">
        <w:t xml:space="preserve"> Authority Required</w:t>
      </w:r>
      <w:r w:rsidR="00353A19" w:rsidRPr="00B61251">
        <w:t xml:space="preserve"> (Streamlined)</w:t>
      </w:r>
      <w:r w:rsidRPr="00B61251">
        <w:t xml:space="preserve"> listing for </w:t>
      </w:r>
      <w:r w:rsidR="00353A19" w:rsidRPr="00B61251">
        <w:t xml:space="preserve">both atezolizumab and bevacizumab, for use in combination, in addition to platinum doublet chemotherapy (PDC), </w:t>
      </w:r>
      <w:r w:rsidRPr="00B61251">
        <w:t xml:space="preserve">for </w:t>
      </w:r>
      <w:r w:rsidR="00353A19" w:rsidRPr="00B61251">
        <w:t xml:space="preserve">the </w:t>
      </w:r>
      <w:r w:rsidRPr="00B61251">
        <w:t xml:space="preserve">treatment of </w:t>
      </w:r>
      <w:r w:rsidR="00353A19" w:rsidRPr="00B61251">
        <w:t xml:space="preserve">patients with metastatic non-squamous (NSQ) non-small cell lung cancer (NSCLC). </w:t>
      </w:r>
      <w:r w:rsidR="002168C4" w:rsidRPr="00B61251">
        <w:t>A</w:t>
      </w:r>
      <w:r w:rsidR="00353A19" w:rsidRPr="00B61251">
        <w:t xml:space="preserve">tezolizumab </w:t>
      </w:r>
      <w:r w:rsidR="00C93389" w:rsidRPr="00B61251">
        <w:t xml:space="preserve">in combination with </w:t>
      </w:r>
      <w:r w:rsidR="002168C4" w:rsidRPr="00B61251">
        <w:t xml:space="preserve">bevacizumab </w:t>
      </w:r>
      <w:r w:rsidR="00277678" w:rsidRPr="00B61251">
        <w:t xml:space="preserve">and PDC </w:t>
      </w:r>
      <w:r w:rsidR="002168C4" w:rsidRPr="00B61251">
        <w:t>ha</w:t>
      </w:r>
      <w:r w:rsidR="00C93389" w:rsidRPr="00B61251">
        <w:t xml:space="preserve">s </w:t>
      </w:r>
      <w:r w:rsidR="002168C4" w:rsidRPr="00B61251">
        <w:t xml:space="preserve">not </w:t>
      </w:r>
      <w:r w:rsidR="00353A19" w:rsidRPr="00B61251">
        <w:t>been considered by the PBAC for this indication previously.</w:t>
      </w:r>
    </w:p>
    <w:p w:rsidR="00C2778B" w:rsidRPr="00B61251" w:rsidRDefault="00CA6C1D" w:rsidP="00994839">
      <w:pPr>
        <w:pStyle w:val="ListParagraph"/>
        <w:widowControl/>
        <w:numPr>
          <w:ilvl w:val="1"/>
          <w:numId w:val="1"/>
        </w:numPr>
        <w:spacing w:after="120"/>
      </w:pPr>
      <w:r w:rsidRPr="00B61251">
        <w:t xml:space="preserve">The requested listing was based on a cost-utility analysis of </w:t>
      </w:r>
      <w:r w:rsidR="00026509" w:rsidRPr="00B61251">
        <w:t>atezolizumab + bevacizumab</w:t>
      </w:r>
      <w:r w:rsidRPr="00B61251">
        <w:t xml:space="preserve"> + </w:t>
      </w:r>
      <w:r w:rsidR="00C4418E" w:rsidRPr="00B61251">
        <w:t xml:space="preserve">PDC </w:t>
      </w:r>
      <w:r w:rsidRPr="00B61251">
        <w:t>compared with PDC</w:t>
      </w:r>
      <w:r w:rsidR="00861DF7" w:rsidRPr="00B61251">
        <w:t xml:space="preserve"> and a cost-minimisation analysis against pembrolizumab</w:t>
      </w:r>
      <w:r w:rsidRPr="00B61251">
        <w:t>. The key components of the clinical issue addressed by the s</w:t>
      </w:r>
      <w:r w:rsidR="0068672B">
        <w:t>ubmission are summarised below.</w:t>
      </w:r>
    </w:p>
    <w:p w:rsidR="00655D51" w:rsidRPr="00B61251" w:rsidRDefault="00655D51" w:rsidP="0079332B">
      <w:pPr>
        <w:pStyle w:val="Caption"/>
        <w:keepNext/>
        <w:widowControl/>
        <w:rPr>
          <w:rStyle w:val="CommentReference"/>
        </w:rPr>
      </w:pPr>
      <w:bookmarkStart w:id="2" w:name="_Ref533401106"/>
      <w:r w:rsidRPr="00B61251">
        <w:t xml:space="preserve">Table </w:t>
      </w:r>
      <w:r w:rsidR="00744BB1" w:rsidRPr="00B61251">
        <w:t>1</w:t>
      </w:r>
      <w:bookmarkEnd w:id="2"/>
      <w:r w:rsidRPr="00B61251">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668"/>
        <w:gridCol w:w="7488"/>
      </w:tblGrid>
      <w:tr w:rsidR="00E81C0F" w:rsidRPr="00B61251" w:rsidTr="00E81C0F">
        <w:tc>
          <w:tcPr>
            <w:tcW w:w="1668" w:type="dxa"/>
            <w:vAlign w:val="center"/>
          </w:tcPr>
          <w:p w:rsidR="00E81C0F" w:rsidRPr="00B61251" w:rsidRDefault="00E81C0F" w:rsidP="0079332B">
            <w:pPr>
              <w:pStyle w:val="Tabletext"/>
              <w:rPr>
                <w:b/>
              </w:rPr>
            </w:pPr>
            <w:r w:rsidRPr="00B61251">
              <w:rPr>
                <w:b/>
              </w:rPr>
              <w:t>Component</w:t>
            </w:r>
          </w:p>
        </w:tc>
        <w:tc>
          <w:tcPr>
            <w:tcW w:w="7488" w:type="dxa"/>
            <w:vAlign w:val="center"/>
          </w:tcPr>
          <w:p w:rsidR="00E81C0F" w:rsidRPr="00B61251" w:rsidRDefault="00E81C0F" w:rsidP="0079332B">
            <w:pPr>
              <w:pStyle w:val="Tabletext"/>
              <w:jc w:val="center"/>
              <w:rPr>
                <w:b/>
              </w:rPr>
            </w:pPr>
            <w:r w:rsidRPr="00B61251">
              <w:rPr>
                <w:b/>
              </w:rPr>
              <w:t>Description</w:t>
            </w:r>
          </w:p>
        </w:tc>
      </w:tr>
      <w:tr w:rsidR="00E81C0F" w:rsidRPr="00B61251" w:rsidTr="00E81C0F">
        <w:tc>
          <w:tcPr>
            <w:tcW w:w="1668" w:type="dxa"/>
            <w:vAlign w:val="center"/>
          </w:tcPr>
          <w:p w:rsidR="00E81C0F" w:rsidRPr="00B61251" w:rsidRDefault="00E81C0F" w:rsidP="0079332B">
            <w:pPr>
              <w:pStyle w:val="Tabletext"/>
            </w:pPr>
            <w:r w:rsidRPr="00B61251">
              <w:t>Population</w:t>
            </w:r>
          </w:p>
        </w:tc>
        <w:tc>
          <w:tcPr>
            <w:tcW w:w="7488" w:type="dxa"/>
            <w:vAlign w:val="center"/>
          </w:tcPr>
          <w:p w:rsidR="00E81C0F" w:rsidRPr="00B61251" w:rsidRDefault="00E81C0F" w:rsidP="0079332B">
            <w:pPr>
              <w:pStyle w:val="Tabletext"/>
            </w:pPr>
            <w:r w:rsidRPr="00B61251">
              <w:t>Patients with metastatic non-squamous NSCLC (with or without oncogenic drivers).</w:t>
            </w:r>
          </w:p>
        </w:tc>
      </w:tr>
      <w:tr w:rsidR="00E81C0F" w:rsidRPr="00B61251" w:rsidTr="00E81C0F">
        <w:tc>
          <w:tcPr>
            <w:tcW w:w="1668" w:type="dxa"/>
            <w:vAlign w:val="center"/>
          </w:tcPr>
          <w:p w:rsidR="00E81C0F" w:rsidRPr="00B61251" w:rsidRDefault="00E81C0F" w:rsidP="0079332B">
            <w:pPr>
              <w:pStyle w:val="Tabletext"/>
            </w:pPr>
            <w:r w:rsidRPr="00B61251">
              <w:t>Intervention</w:t>
            </w:r>
          </w:p>
        </w:tc>
        <w:tc>
          <w:tcPr>
            <w:tcW w:w="7488" w:type="dxa"/>
            <w:vAlign w:val="center"/>
          </w:tcPr>
          <w:p w:rsidR="00E81C0F" w:rsidRPr="00B61251" w:rsidRDefault="00E81C0F" w:rsidP="0079332B">
            <w:pPr>
              <w:pStyle w:val="Tabletext"/>
            </w:pPr>
            <w:r w:rsidRPr="00B61251">
              <w:rPr>
                <w:u w:val="single"/>
              </w:rPr>
              <w:t>Induction</w:t>
            </w:r>
            <w:r w:rsidRPr="00B61251">
              <w:t>: atezolizumab (1,200 mg) + bevacizumab (15 mg/kg) + platinum-doublet chemotherapy for 4-6</w:t>
            </w:r>
            <w:r w:rsidR="002168C4" w:rsidRPr="00B61251">
              <w:t>,</w:t>
            </w:r>
            <w:r w:rsidRPr="00B61251">
              <w:t xml:space="preserve"> 21 day cycles</w:t>
            </w:r>
            <w:r w:rsidR="002168C4" w:rsidRPr="00B61251">
              <w:t>.</w:t>
            </w:r>
          </w:p>
          <w:p w:rsidR="00461DA8" w:rsidRPr="00B61251" w:rsidRDefault="00E81C0F" w:rsidP="0079332B">
            <w:pPr>
              <w:pStyle w:val="Tabletext"/>
            </w:pPr>
            <w:r w:rsidRPr="00B61251">
              <w:rPr>
                <w:u w:val="single"/>
              </w:rPr>
              <w:t>Maintenance</w:t>
            </w:r>
            <w:r w:rsidRPr="00B61251">
              <w:t>: atezolizumab (1,200 mg) + bevacizumab (15 mg/kg) every 21 days until loss of clinical benefit</w:t>
            </w:r>
            <w:r w:rsidRPr="00B61251">
              <w:rPr>
                <w:vertAlign w:val="superscript"/>
              </w:rPr>
              <w:t>a</w:t>
            </w:r>
            <w:r w:rsidRPr="00B61251">
              <w:t xml:space="preserve"> (atezolizumab) a</w:t>
            </w:r>
            <w:r w:rsidR="00905958" w:rsidRPr="00B61251">
              <w:t>nd/or progression (bevacizumab)</w:t>
            </w:r>
          </w:p>
        </w:tc>
      </w:tr>
      <w:tr w:rsidR="00E81C0F" w:rsidRPr="00B61251" w:rsidTr="00E81C0F">
        <w:tc>
          <w:tcPr>
            <w:tcW w:w="1668" w:type="dxa"/>
            <w:vAlign w:val="center"/>
          </w:tcPr>
          <w:p w:rsidR="00E81C0F" w:rsidRPr="00B61251" w:rsidRDefault="00E81C0F" w:rsidP="0079332B">
            <w:pPr>
              <w:pStyle w:val="Tabletext"/>
            </w:pPr>
            <w:r w:rsidRPr="00B61251">
              <w:t>Comparator</w:t>
            </w:r>
          </w:p>
        </w:tc>
        <w:tc>
          <w:tcPr>
            <w:tcW w:w="7488" w:type="dxa"/>
            <w:vAlign w:val="center"/>
          </w:tcPr>
          <w:p w:rsidR="00E81C0F" w:rsidRPr="00B61251" w:rsidRDefault="00E81C0F" w:rsidP="0079332B">
            <w:pPr>
              <w:pStyle w:val="Tabletext"/>
            </w:pPr>
            <w:r w:rsidRPr="00B61251">
              <w:t xml:space="preserve">Main comparator: platinum-doublet chemotherapy. </w:t>
            </w:r>
          </w:p>
          <w:p w:rsidR="00E81C0F" w:rsidRPr="00B61251" w:rsidRDefault="00E81C0F" w:rsidP="0079332B">
            <w:pPr>
              <w:pStyle w:val="Tabletext"/>
            </w:pPr>
            <w:r w:rsidRPr="00B61251">
              <w:t xml:space="preserve">Supplementary comparator for EGFR wild type/ALK negative, PD-L1 high population: pembrolizumab monotherapy. </w:t>
            </w:r>
          </w:p>
        </w:tc>
      </w:tr>
      <w:tr w:rsidR="00E81C0F" w:rsidRPr="00B61251" w:rsidTr="00E81C0F">
        <w:tc>
          <w:tcPr>
            <w:tcW w:w="1668" w:type="dxa"/>
            <w:vAlign w:val="center"/>
          </w:tcPr>
          <w:p w:rsidR="00E81C0F" w:rsidRPr="00B61251" w:rsidRDefault="00E81C0F" w:rsidP="0079332B">
            <w:pPr>
              <w:pStyle w:val="Tabletext"/>
            </w:pPr>
            <w:r w:rsidRPr="00B61251">
              <w:t>Outcomes</w:t>
            </w:r>
          </w:p>
        </w:tc>
        <w:tc>
          <w:tcPr>
            <w:tcW w:w="7488" w:type="dxa"/>
            <w:vAlign w:val="center"/>
          </w:tcPr>
          <w:p w:rsidR="00E81C0F" w:rsidRPr="00B61251" w:rsidRDefault="00E81C0F" w:rsidP="0079332B">
            <w:pPr>
              <w:pStyle w:val="Tabletext"/>
            </w:pPr>
            <w:r w:rsidRPr="00B61251">
              <w:t>Overall survival, progression-free survival, objective response rate, duration of response, safety</w:t>
            </w:r>
          </w:p>
        </w:tc>
      </w:tr>
      <w:tr w:rsidR="00E81C0F" w:rsidRPr="00B61251" w:rsidTr="00E81C0F">
        <w:tc>
          <w:tcPr>
            <w:tcW w:w="1668" w:type="dxa"/>
            <w:vAlign w:val="center"/>
          </w:tcPr>
          <w:p w:rsidR="00E81C0F" w:rsidRPr="00B61251" w:rsidRDefault="00E81C0F" w:rsidP="0079332B">
            <w:pPr>
              <w:pStyle w:val="Tabletext"/>
            </w:pPr>
            <w:r w:rsidRPr="00B61251">
              <w:t>Clinical claim</w:t>
            </w:r>
          </w:p>
        </w:tc>
        <w:tc>
          <w:tcPr>
            <w:tcW w:w="7488" w:type="dxa"/>
            <w:vAlign w:val="center"/>
          </w:tcPr>
          <w:p w:rsidR="00E81C0F" w:rsidRPr="00B61251" w:rsidRDefault="00E81C0F" w:rsidP="0079332B">
            <w:pPr>
              <w:pStyle w:val="Tabletext"/>
            </w:pPr>
            <w:r w:rsidRPr="00B61251">
              <w:t>Atezolizumab + bevacizumab</w:t>
            </w:r>
            <w:r w:rsidR="000A6835" w:rsidRPr="00B61251">
              <w:rPr>
                <w:vertAlign w:val="superscript"/>
              </w:rPr>
              <w:t>b</w:t>
            </w:r>
            <w:r w:rsidRPr="00B61251">
              <w:t xml:space="preserve"> has superior efficacy and inferior safety to platinum-doublet chemotherapy. </w:t>
            </w:r>
          </w:p>
        </w:tc>
      </w:tr>
    </w:tbl>
    <w:p w:rsidR="00E81C0F" w:rsidRPr="00B61251" w:rsidRDefault="00E81C0F" w:rsidP="0079332B">
      <w:pPr>
        <w:pStyle w:val="TableFooter"/>
        <w:widowControl/>
      </w:pPr>
      <w:r w:rsidRPr="00B61251">
        <w:t>ALK anaplastic lymphoma kinase; EGFR = epidermal growth factor receptor; NSCLC = non-small cell lung cancer;</w:t>
      </w:r>
      <w:r w:rsidR="00BF39EA" w:rsidRPr="00B61251">
        <w:t xml:space="preserve"> PD-L1 = programmed cell death</w:t>
      </w:r>
      <w:r w:rsidRPr="00B61251">
        <w:t xml:space="preserve"> ligand 1.</w:t>
      </w:r>
    </w:p>
    <w:p w:rsidR="00E81C0F" w:rsidRPr="00B61251" w:rsidRDefault="00E81C0F" w:rsidP="0079332B">
      <w:pPr>
        <w:pStyle w:val="TableFooter"/>
        <w:widowControl/>
      </w:pPr>
      <w:r w:rsidRPr="00B61251">
        <w:rPr>
          <w:vertAlign w:val="superscript"/>
        </w:rPr>
        <w:t>a</w:t>
      </w:r>
      <w:r w:rsidRPr="00B61251">
        <w:t xml:space="preserve"> Defined in the proposed PBS restriction for atezolizumab as patients who no longer have stable or responding disease.</w:t>
      </w:r>
    </w:p>
    <w:p w:rsidR="000A6835" w:rsidRPr="00B61251" w:rsidRDefault="000A6835" w:rsidP="0079332B">
      <w:pPr>
        <w:pStyle w:val="TableFooter"/>
        <w:widowControl/>
      </w:pPr>
      <w:r w:rsidRPr="00B61251">
        <w:rPr>
          <w:vertAlign w:val="superscript"/>
        </w:rPr>
        <w:t>b</w:t>
      </w:r>
      <w:r w:rsidRPr="00B61251">
        <w:t xml:space="preserve"> Atezolizumab and bevacizumab in combination with platinum-doublet chemotherapy.</w:t>
      </w:r>
    </w:p>
    <w:p w:rsidR="00E81C0F" w:rsidRPr="00B61251" w:rsidRDefault="00E81C0F" w:rsidP="0079332B">
      <w:pPr>
        <w:pStyle w:val="TableFooter"/>
        <w:widowControl/>
      </w:pPr>
      <w:r w:rsidRPr="00B61251">
        <w:t>Source: Table ES.1, p2 of the submission</w:t>
      </w:r>
    </w:p>
    <w:p w:rsidR="004E43B2" w:rsidRPr="00B61251" w:rsidRDefault="004E43B2" w:rsidP="0079332B">
      <w:pPr>
        <w:widowControl/>
      </w:pPr>
    </w:p>
    <w:p w:rsidR="005863B5" w:rsidRPr="00B61251" w:rsidRDefault="005863B5" w:rsidP="00994839">
      <w:pPr>
        <w:pStyle w:val="ListParagraph"/>
        <w:widowControl/>
        <w:numPr>
          <w:ilvl w:val="1"/>
          <w:numId w:val="1"/>
        </w:numPr>
        <w:spacing w:after="120"/>
      </w:pPr>
      <w:r w:rsidRPr="00B61251">
        <w:t>The submission identified two sub-populations of patients with NSQ NSCLC:</w:t>
      </w:r>
    </w:p>
    <w:p w:rsidR="005863B5" w:rsidRPr="00B61251" w:rsidRDefault="005863B5" w:rsidP="00994839">
      <w:pPr>
        <w:pStyle w:val="ListParagraph"/>
        <w:widowControl/>
        <w:numPr>
          <w:ilvl w:val="0"/>
          <w:numId w:val="3"/>
        </w:numPr>
        <w:spacing w:after="120"/>
        <w:ind w:left="1134"/>
      </w:pPr>
      <w:r w:rsidRPr="00B61251">
        <w:t xml:space="preserve">Patients whose tumours demonstrate no evidence of either activating mutations of the </w:t>
      </w:r>
      <w:r w:rsidR="009A4E00" w:rsidRPr="00B61251">
        <w:t>epidermal growth factor receptor (</w:t>
      </w:r>
      <w:r w:rsidRPr="00B61251">
        <w:t>EGFR</w:t>
      </w:r>
      <w:r w:rsidR="009A4E00" w:rsidRPr="00B61251">
        <w:t>)</w:t>
      </w:r>
      <w:r w:rsidRPr="00B61251">
        <w:t xml:space="preserve"> gene </w:t>
      </w:r>
      <w:r w:rsidR="005A3C7C" w:rsidRPr="00B61251">
        <w:t>mutation</w:t>
      </w:r>
      <w:r w:rsidR="005A3C7C" w:rsidRPr="00B61251">
        <w:rPr>
          <w:i/>
        </w:rPr>
        <w:t xml:space="preserve"> </w:t>
      </w:r>
      <w:r w:rsidRPr="00B61251">
        <w:t xml:space="preserve">or </w:t>
      </w:r>
      <w:r w:rsidR="009A4E00" w:rsidRPr="00B61251">
        <w:t>an anaplastic lymphoma kinase (ALK) gene rearrangement</w:t>
      </w:r>
      <w:r w:rsidRPr="00B61251">
        <w:t xml:space="preserve"> (EGFR wildtype/ALK negative population), in whom atezolizumab + bevacizumab + PDC was proposed as a first-line treatment option, and</w:t>
      </w:r>
    </w:p>
    <w:p w:rsidR="00DD03B8" w:rsidRPr="00B61251" w:rsidRDefault="005863B5" w:rsidP="00994839">
      <w:pPr>
        <w:pStyle w:val="ListParagraph"/>
        <w:widowControl/>
        <w:numPr>
          <w:ilvl w:val="0"/>
          <w:numId w:val="3"/>
        </w:numPr>
        <w:spacing w:after="120"/>
        <w:ind w:left="1134"/>
        <w:rPr>
          <w:i/>
        </w:rPr>
      </w:pPr>
      <w:r w:rsidRPr="00B61251">
        <w:t xml:space="preserve">Patients whose tumours have evidence of either activating EGFR mutations or ALK gene rearrangements (EGFR mutant/ALK positive population), in whom atezolizumab + bevacizumab + PDC was proposed as a later-line treatment option, after targeted </w:t>
      </w:r>
      <w:r w:rsidR="00370F6F" w:rsidRPr="00B61251">
        <w:t>therapy with a</w:t>
      </w:r>
      <w:r w:rsidR="00651AD2" w:rsidRPr="00B61251">
        <w:t>t least one</w:t>
      </w:r>
      <w:r w:rsidR="00370F6F" w:rsidRPr="00B61251">
        <w:t xml:space="preserve"> </w:t>
      </w:r>
      <w:r w:rsidRPr="00B61251">
        <w:t>tyrosine kinase inhibitor</w:t>
      </w:r>
      <w:r w:rsidR="00370F6F" w:rsidRPr="00B61251">
        <w:t xml:space="preserve"> (TKI)</w:t>
      </w:r>
      <w:r w:rsidRPr="00B61251">
        <w:t xml:space="preserve">. </w:t>
      </w:r>
    </w:p>
    <w:p w:rsidR="00952886" w:rsidRPr="00B61251" w:rsidRDefault="00952886" w:rsidP="00994839">
      <w:pPr>
        <w:widowControl/>
        <w:spacing w:after="120"/>
        <w:ind w:firstLine="709"/>
        <w:rPr>
          <w:rFonts w:asciiTheme="minorHAnsi" w:hAnsiTheme="minorHAnsi"/>
          <w:i/>
        </w:rPr>
      </w:pPr>
      <w:r w:rsidRPr="00B61251">
        <w:rPr>
          <w:rFonts w:asciiTheme="minorHAnsi" w:hAnsiTheme="minorHAnsi"/>
          <w:i/>
        </w:rPr>
        <w:t>For more detail on PBAC’s view, see section 7 PBAC outcome.</w:t>
      </w:r>
    </w:p>
    <w:p w:rsidR="00B60939" w:rsidRPr="00B61251" w:rsidRDefault="00B50DB8" w:rsidP="00994839">
      <w:pPr>
        <w:pStyle w:val="PBACHeading1"/>
      </w:pPr>
      <w:bookmarkStart w:id="3" w:name="_Toc536010747"/>
      <w:r w:rsidRPr="00B61251">
        <w:t>Requested listing</w:t>
      </w:r>
      <w:r w:rsidR="005E5992" w:rsidRPr="00B61251">
        <w:t>s</w:t>
      </w:r>
      <w:bookmarkEnd w:id="3"/>
    </w:p>
    <w:p w:rsidR="009C2D24" w:rsidRPr="00B61251" w:rsidRDefault="009C2D24" w:rsidP="00994839">
      <w:pPr>
        <w:pStyle w:val="ListParagraph"/>
        <w:widowControl/>
        <w:numPr>
          <w:ilvl w:val="1"/>
          <w:numId w:val="1"/>
        </w:numPr>
        <w:spacing w:after="120"/>
      </w:pPr>
      <w:r w:rsidRPr="00B61251">
        <w:t xml:space="preserve">Suggestions and additions proposed by the Secretariat to the requested listing criteria are added in italics and suggested deletions are </w:t>
      </w:r>
      <w:r w:rsidR="0068672B">
        <w:t>crossed out with strikethrough.</w:t>
      </w:r>
    </w:p>
    <w:p w:rsidR="00FE066B" w:rsidRPr="00B61251" w:rsidRDefault="00FE066B" w:rsidP="00994839">
      <w:pPr>
        <w:pStyle w:val="ListParagraph"/>
        <w:widowControl/>
        <w:numPr>
          <w:ilvl w:val="1"/>
          <w:numId w:val="1"/>
        </w:numPr>
        <w:spacing w:after="120"/>
      </w:pPr>
      <w:r w:rsidRPr="00B61251">
        <w:t xml:space="preserve">The submission requested separate listings for </w:t>
      </w:r>
      <w:r w:rsidR="008671E9" w:rsidRPr="00B61251">
        <w:t>t</w:t>
      </w:r>
      <w:r w:rsidRPr="00B61251">
        <w:t>he EGFR wild type/ALK negative population</w:t>
      </w:r>
      <w:r w:rsidR="008671E9" w:rsidRPr="00B61251">
        <w:t xml:space="preserve"> </w:t>
      </w:r>
      <w:r w:rsidRPr="00B61251">
        <w:t>and the EGFR mutant/ALK positive population.</w:t>
      </w:r>
    </w:p>
    <w:p w:rsidR="00617E12" w:rsidRPr="00B61251" w:rsidRDefault="0068672B" w:rsidP="0079332B">
      <w:pPr>
        <w:widowControl/>
        <w:spacing w:after="120"/>
        <w:rPr>
          <w:b/>
        </w:rPr>
      </w:pPr>
      <w:r>
        <w:rPr>
          <w:b/>
        </w:rPr>
        <w:t>Atezolizumab</w:t>
      </w:r>
    </w:p>
    <w:tbl>
      <w:tblPr>
        <w:tblW w:w="9322" w:type="dxa"/>
        <w:tblBorders>
          <w:top w:val="single" w:sz="4" w:space="0" w:color="auto"/>
          <w:bottom w:val="single" w:sz="4" w:space="0" w:color="auto"/>
          <w:insideH w:val="single" w:sz="4" w:space="0" w:color="auto"/>
        </w:tblBorders>
        <w:tblLook w:val="04A0" w:firstRow="1" w:lastRow="0" w:firstColumn="1" w:lastColumn="0" w:noHBand="0" w:noVBand="1"/>
      </w:tblPr>
      <w:tblGrid>
        <w:gridCol w:w="2518"/>
        <w:gridCol w:w="1559"/>
        <w:gridCol w:w="1276"/>
        <w:gridCol w:w="2268"/>
        <w:gridCol w:w="1701"/>
      </w:tblGrid>
      <w:tr w:rsidR="000B1886" w:rsidRPr="00B61251" w:rsidTr="00627491">
        <w:trPr>
          <w:tblHeader/>
        </w:trPr>
        <w:tc>
          <w:tcPr>
            <w:tcW w:w="2518" w:type="dxa"/>
          </w:tcPr>
          <w:p w:rsidR="000B1886" w:rsidRPr="00B61251" w:rsidRDefault="000B1886" w:rsidP="0079332B">
            <w:pPr>
              <w:widowControl/>
              <w:jc w:val="left"/>
              <w:rPr>
                <w:rFonts w:ascii="Arial Narrow" w:hAnsi="Arial Narrow"/>
                <w:b/>
                <w:sz w:val="20"/>
                <w:szCs w:val="20"/>
              </w:rPr>
            </w:pPr>
            <w:r w:rsidRPr="00B61251">
              <w:rPr>
                <w:rFonts w:ascii="Arial Narrow" w:hAnsi="Arial Narrow"/>
                <w:b/>
                <w:sz w:val="20"/>
                <w:szCs w:val="20"/>
              </w:rPr>
              <w:t>Name, restriction, manner of administration, form</w:t>
            </w:r>
          </w:p>
        </w:tc>
        <w:tc>
          <w:tcPr>
            <w:tcW w:w="1559" w:type="dxa"/>
          </w:tcPr>
          <w:p w:rsidR="000B1886" w:rsidRPr="00B61251" w:rsidRDefault="000B1886" w:rsidP="0079332B">
            <w:pPr>
              <w:widowControl/>
              <w:jc w:val="center"/>
              <w:rPr>
                <w:rFonts w:ascii="Arial Narrow" w:hAnsi="Arial Narrow"/>
                <w:b/>
                <w:sz w:val="20"/>
                <w:szCs w:val="20"/>
              </w:rPr>
            </w:pPr>
            <w:r w:rsidRPr="00B61251">
              <w:rPr>
                <w:rFonts w:ascii="Arial Narrow" w:hAnsi="Arial Narrow"/>
                <w:b/>
                <w:sz w:val="20"/>
                <w:szCs w:val="20"/>
              </w:rPr>
              <w:t>Maximum amount</w:t>
            </w:r>
          </w:p>
        </w:tc>
        <w:tc>
          <w:tcPr>
            <w:tcW w:w="1276" w:type="dxa"/>
          </w:tcPr>
          <w:p w:rsidR="000B1886" w:rsidRPr="00B61251" w:rsidRDefault="000B1886" w:rsidP="0079332B">
            <w:pPr>
              <w:widowControl/>
              <w:jc w:val="center"/>
              <w:rPr>
                <w:rFonts w:ascii="Arial Narrow" w:hAnsi="Arial Narrow"/>
                <w:b/>
                <w:sz w:val="20"/>
                <w:szCs w:val="20"/>
              </w:rPr>
            </w:pPr>
            <w:r w:rsidRPr="00B61251">
              <w:rPr>
                <w:rFonts w:ascii="Arial Narrow" w:hAnsi="Arial Narrow"/>
                <w:b/>
                <w:sz w:val="20"/>
                <w:szCs w:val="20"/>
              </w:rPr>
              <w:t>No. of repeats</w:t>
            </w:r>
          </w:p>
        </w:tc>
        <w:tc>
          <w:tcPr>
            <w:tcW w:w="2268" w:type="dxa"/>
          </w:tcPr>
          <w:p w:rsidR="000B1886" w:rsidRPr="00B61251" w:rsidRDefault="000B1886" w:rsidP="0079332B">
            <w:pPr>
              <w:widowControl/>
              <w:jc w:val="center"/>
              <w:rPr>
                <w:rFonts w:ascii="Arial Narrow" w:hAnsi="Arial Narrow"/>
                <w:b/>
                <w:sz w:val="20"/>
                <w:szCs w:val="20"/>
              </w:rPr>
            </w:pPr>
            <w:r w:rsidRPr="00B61251">
              <w:rPr>
                <w:rFonts w:ascii="Arial Narrow" w:hAnsi="Arial Narrow"/>
                <w:b/>
                <w:sz w:val="20"/>
                <w:szCs w:val="20"/>
              </w:rPr>
              <w:t>Dispensed price for maximum amount</w:t>
            </w:r>
          </w:p>
        </w:tc>
        <w:tc>
          <w:tcPr>
            <w:tcW w:w="1701" w:type="dxa"/>
          </w:tcPr>
          <w:p w:rsidR="000B1886" w:rsidRPr="00B61251" w:rsidRDefault="000B1886" w:rsidP="0079332B">
            <w:pPr>
              <w:widowControl/>
              <w:jc w:val="center"/>
              <w:rPr>
                <w:rFonts w:ascii="Arial Narrow" w:hAnsi="Arial Narrow"/>
                <w:b/>
                <w:sz w:val="20"/>
                <w:szCs w:val="20"/>
              </w:rPr>
            </w:pPr>
            <w:r w:rsidRPr="00B61251">
              <w:rPr>
                <w:rFonts w:ascii="Arial Narrow" w:hAnsi="Arial Narrow"/>
                <w:b/>
                <w:sz w:val="20"/>
                <w:szCs w:val="20"/>
              </w:rPr>
              <w:t>Proprietary name and manufacturer</w:t>
            </w:r>
          </w:p>
        </w:tc>
      </w:tr>
      <w:tr w:rsidR="000B1886" w:rsidRPr="00B61251" w:rsidTr="00627491">
        <w:tc>
          <w:tcPr>
            <w:tcW w:w="2518" w:type="dxa"/>
          </w:tcPr>
          <w:p w:rsidR="000B1886" w:rsidRPr="00B61251" w:rsidRDefault="000B1886" w:rsidP="0079332B">
            <w:pPr>
              <w:pStyle w:val="Tabletext"/>
            </w:pPr>
            <w:r w:rsidRPr="00B61251">
              <w:t>ATEZOLIZUMAB</w:t>
            </w:r>
          </w:p>
          <w:p w:rsidR="000B1886" w:rsidRPr="00B61251" w:rsidRDefault="000B1886" w:rsidP="0079332B">
            <w:pPr>
              <w:pStyle w:val="Tabletext"/>
            </w:pPr>
            <w:r w:rsidRPr="00B61251">
              <w:t>1,200 mg/20 mL injection, 1 x 20 mL vial</w:t>
            </w:r>
          </w:p>
        </w:tc>
        <w:tc>
          <w:tcPr>
            <w:tcW w:w="1559" w:type="dxa"/>
          </w:tcPr>
          <w:p w:rsidR="000B1886" w:rsidRPr="00B61251" w:rsidRDefault="000B1886" w:rsidP="0079332B">
            <w:pPr>
              <w:pStyle w:val="Tabletext"/>
              <w:jc w:val="center"/>
            </w:pPr>
            <w:r w:rsidRPr="00B61251">
              <w:t>1,200 mg</w:t>
            </w:r>
          </w:p>
        </w:tc>
        <w:tc>
          <w:tcPr>
            <w:tcW w:w="1276" w:type="dxa"/>
          </w:tcPr>
          <w:p w:rsidR="000B1886" w:rsidRPr="00B61251" w:rsidRDefault="000B1886" w:rsidP="0079332B">
            <w:pPr>
              <w:pStyle w:val="Tabletext"/>
              <w:jc w:val="center"/>
            </w:pPr>
            <w:r w:rsidRPr="00B61251">
              <w:t>Initial: 5</w:t>
            </w:r>
          </w:p>
          <w:p w:rsidR="000B1886" w:rsidRPr="00B61251" w:rsidRDefault="000B1886" w:rsidP="0079332B">
            <w:pPr>
              <w:pStyle w:val="Tabletext"/>
              <w:jc w:val="center"/>
            </w:pPr>
            <w:r w:rsidRPr="00B61251">
              <w:t>Continuing:7</w:t>
            </w:r>
          </w:p>
        </w:tc>
        <w:tc>
          <w:tcPr>
            <w:tcW w:w="2268" w:type="dxa"/>
          </w:tcPr>
          <w:p w:rsidR="000B1886" w:rsidRPr="00B61251" w:rsidRDefault="000B1886" w:rsidP="0079332B">
            <w:pPr>
              <w:pStyle w:val="Tabletext"/>
              <w:ind w:left="317"/>
            </w:pPr>
            <w:r w:rsidRPr="00B61251">
              <w:t>Published price:</w:t>
            </w:r>
          </w:p>
          <w:p w:rsidR="000B1886" w:rsidRPr="00B61251" w:rsidRDefault="000B1886" w:rsidP="0079332B">
            <w:pPr>
              <w:pStyle w:val="Tabletext"/>
              <w:ind w:left="317"/>
            </w:pPr>
            <w:r w:rsidRPr="00B61251">
              <w:t>$7,704.63 (private)</w:t>
            </w:r>
          </w:p>
          <w:p w:rsidR="000B1886" w:rsidRPr="00B61251" w:rsidRDefault="000B1886" w:rsidP="0079332B">
            <w:pPr>
              <w:pStyle w:val="Tabletext"/>
              <w:ind w:left="317"/>
            </w:pPr>
            <w:r w:rsidRPr="00B61251">
              <w:t>$7,560.74 (public)</w:t>
            </w:r>
          </w:p>
          <w:p w:rsidR="000B1886" w:rsidRPr="00B61251" w:rsidRDefault="000B1886" w:rsidP="0079332B">
            <w:pPr>
              <w:pStyle w:val="Tabletext"/>
              <w:ind w:left="317"/>
            </w:pPr>
            <w:r w:rsidRPr="00B61251">
              <w:t>Effective price</w:t>
            </w:r>
          </w:p>
          <w:p w:rsidR="000B1886" w:rsidRPr="00B61251" w:rsidRDefault="000B1886" w:rsidP="0079332B">
            <w:pPr>
              <w:pStyle w:val="Tabletext"/>
              <w:ind w:left="317"/>
            </w:pPr>
            <w:r w:rsidRPr="00B61251">
              <w:t>$</w:t>
            </w:r>
            <w:r w:rsidR="00DD5455">
              <w:rPr>
                <w:noProof/>
                <w:color w:val="000000"/>
                <w:highlight w:val="black"/>
              </w:rPr>
              <w:t>''''''''''''''''''''</w:t>
            </w:r>
            <w:r w:rsidRPr="00B61251">
              <w:t xml:space="preserve"> (private)</w:t>
            </w:r>
          </w:p>
          <w:p w:rsidR="000B1886" w:rsidRPr="00B61251" w:rsidRDefault="000B1886" w:rsidP="0079332B">
            <w:pPr>
              <w:pStyle w:val="Tabletext"/>
              <w:ind w:left="317"/>
            </w:pPr>
            <w:r w:rsidRPr="00B61251">
              <w:t>$</w:t>
            </w:r>
            <w:r w:rsidR="00DD5455">
              <w:rPr>
                <w:noProof/>
                <w:color w:val="000000"/>
                <w:highlight w:val="black"/>
              </w:rPr>
              <w:t>'''''''''''''''''''</w:t>
            </w:r>
            <w:r w:rsidRPr="00B61251">
              <w:t xml:space="preserve"> (public)</w:t>
            </w:r>
          </w:p>
        </w:tc>
        <w:tc>
          <w:tcPr>
            <w:tcW w:w="1701" w:type="dxa"/>
          </w:tcPr>
          <w:p w:rsidR="000B1886" w:rsidRPr="00B61251" w:rsidRDefault="000B1886" w:rsidP="0079332B">
            <w:pPr>
              <w:pStyle w:val="Tabletext"/>
              <w:jc w:val="center"/>
            </w:pPr>
            <w:r w:rsidRPr="00B61251">
              <w:t>Tecentriq</w:t>
            </w:r>
          </w:p>
          <w:p w:rsidR="000B1886" w:rsidRPr="00B61251" w:rsidRDefault="000B1886" w:rsidP="0079332B">
            <w:pPr>
              <w:pStyle w:val="Tabletext"/>
              <w:jc w:val="center"/>
            </w:pPr>
            <w:r w:rsidRPr="00B61251">
              <w:t>Roche Products Pty Ltd</w:t>
            </w:r>
          </w:p>
        </w:tc>
      </w:tr>
    </w:tbl>
    <w:p w:rsidR="000B1886" w:rsidRPr="00B61251" w:rsidRDefault="000B1886" w:rsidP="0079332B">
      <w:pPr>
        <w:widowControl/>
      </w:pPr>
    </w:p>
    <w:p w:rsidR="00461DA8" w:rsidRPr="00B61251" w:rsidRDefault="00FE066B" w:rsidP="0079332B">
      <w:pPr>
        <w:pStyle w:val="TableHeadingRow"/>
      </w:pPr>
      <w:r w:rsidRPr="00B61251">
        <w:t>EGFR</w:t>
      </w:r>
      <w:r w:rsidR="00470369" w:rsidRPr="00B61251">
        <w:t xml:space="preserve"> wild type/ALK negative NSQ NSCLC</w:t>
      </w:r>
    </w:p>
    <w:p w:rsidR="009C2D24" w:rsidRPr="00B61251" w:rsidRDefault="009C2D24" w:rsidP="0079332B">
      <w:pPr>
        <w:pStyle w:val="TableHeadingRow"/>
      </w:pPr>
    </w:p>
    <w:tbl>
      <w:tblPr>
        <w:tblW w:w="9214" w:type="dxa"/>
        <w:tblInd w:w="108" w:type="dxa"/>
        <w:tblLayout w:type="fixed"/>
        <w:tblLook w:val="0000" w:firstRow="0" w:lastRow="0" w:firstColumn="0" w:lastColumn="0" w:noHBand="0" w:noVBand="0"/>
      </w:tblPr>
      <w:tblGrid>
        <w:gridCol w:w="2835"/>
        <w:gridCol w:w="6379"/>
      </w:tblGrid>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rPr>
                <w:rFonts w:cs="Calibri"/>
                <w:b/>
                <w:snapToGrid/>
                <w:sz w:val="20"/>
                <w:szCs w:val="20"/>
                <w:lang w:eastAsia="en-AU"/>
              </w:rPr>
            </w:pPr>
            <w:r w:rsidRPr="00B61251">
              <w:rPr>
                <w:rFonts w:cs="Calibri"/>
                <w:b/>
                <w:snapToGrid/>
                <w:sz w:val="20"/>
                <w:szCs w:val="20"/>
                <w:lang w:eastAsia="en-AU"/>
              </w:rPr>
              <w:t xml:space="preserve">Category / </w:t>
            </w:r>
          </w:p>
          <w:p w:rsidR="009C2D24" w:rsidRPr="00B61251" w:rsidRDefault="009C2D24" w:rsidP="0079332B">
            <w:pPr>
              <w:widowControl/>
              <w:rPr>
                <w:rFonts w:cs="Calibri"/>
                <w:b/>
                <w:snapToGrid/>
                <w:sz w:val="20"/>
                <w:szCs w:val="20"/>
                <w:lang w:eastAsia="en-AU"/>
              </w:rPr>
            </w:pPr>
            <w:r w:rsidRPr="00B61251">
              <w:rPr>
                <w:rFonts w:cs="Calibri"/>
                <w:b/>
                <w:snapToGrid/>
                <w:sz w:val="20"/>
                <w:szCs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t>Section 100 – Efficient funding of Chemotherapy</w:t>
            </w:r>
          </w:p>
          <w:p w:rsidR="009C2D24" w:rsidRPr="00B61251" w:rsidRDefault="009C2D24" w:rsidP="0079332B">
            <w:pPr>
              <w:widowControl/>
              <w:spacing w:before="20" w:after="20"/>
              <w:jc w:val="left"/>
              <w:rPr>
                <w:rFonts w:eastAsia="Calibri" w:cs="Calibri"/>
                <w:snapToGrid/>
                <w:sz w:val="20"/>
                <w:szCs w:val="20"/>
                <w:lang w:eastAsia="en-AU"/>
              </w:rPr>
            </w:pPr>
            <w:r w:rsidRPr="00B61251">
              <w:rPr>
                <w:rFonts w:eastAsia="Calibri" w:cs="Calibri"/>
                <w:snapToGrid/>
                <w:sz w:val="20"/>
                <w:szCs w:val="20"/>
                <w:lang w:eastAsia="en-AU"/>
              </w:rPr>
              <w:t>Private Hospital/Private Clinic Authority Required (STREAMLINED)</w:t>
            </w:r>
          </w:p>
          <w:p w:rsidR="009C2D24" w:rsidRPr="00B61251" w:rsidRDefault="009C2D24" w:rsidP="0079332B">
            <w:pPr>
              <w:widowControl/>
              <w:jc w:val="left"/>
              <w:rPr>
                <w:rFonts w:cs="Calibri"/>
                <w:snapToGrid/>
                <w:sz w:val="20"/>
                <w:szCs w:val="20"/>
                <w:lang w:eastAsia="en-AU"/>
              </w:rPr>
            </w:pPr>
            <w:r w:rsidRPr="00B61251">
              <w:rPr>
                <w:rFonts w:eastAsia="Calibri" w:cs="Calibri"/>
                <w:snapToGrid/>
                <w:sz w:val="20"/>
                <w:szCs w:val="20"/>
                <w:lang w:eastAsia="en-AU"/>
              </w:rPr>
              <w:t>Public Hospital Authority Required (STREAMLINED)</w:t>
            </w:r>
          </w:p>
        </w:tc>
      </w:tr>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rPr>
                <w:rFonts w:cs="Calibri"/>
                <w:b/>
                <w:snapToGrid/>
                <w:sz w:val="20"/>
                <w:szCs w:val="20"/>
                <w:lang w:eastAsia="en-AU"/>
              </w:rPr>
            </w:pPr>
            <w:r w:rsidRPr="00B61251">
              <w:rPr>
                <w:rFonts w:cs="Calibri"/>
                <w:b/>
                <w:snapToGrid/>
                <w:sz w:val="20"/>
                <w:szCs w:val="20"/>
                <w:lang w:eastAsia="en-AU"/>
              </w:rPr>
              <w:t>Prescriber type:</w:t>
            </w:r>
          </w:p>
          <w:p w:rsidR="009C2D24" w:rsidRPr="00B61251" w:rsidRDefault="009C2D24" w:rsidP="0079332B">
            <w:pPr>
              <w:widowControl/>
              <w:rPr>
                <w:rFonts w:cs="Calibri"/>
                <w:b/>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1"/>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Dental  </w:t>
            </w:r>
            <w:r w:rsidRPr="00B61251">
              <w:rPr>
                <w:rFonts w:cs="Calibri"/>
                <w:snapToGrid/>
                <w:sz w:val="20"/>
                <w:szCs w:val="20"/>
                <w:lang w:eastAsia="en-AU"/>
              </w:rPr>
              <w:fldChar w:fldCharType="begin">
                <w:ffData>
                  <w:name w:val=""/>
                  <w:enabled/>
                  <w:calcOnExit w:val="0"/>
                  <w:checkBox>
                    <w:sizeAuto/>
                    <w:default w:val="1"/>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Medical Practitioners  </w:t>
            </w:r>
            <w:r w:rsidRPr="00B61251">
              <w:rPr>
                <w:rFonts w:cs="Calibri"/>
                <w:snapToGrid/>
                <w:sz w:val="20"/>
                <w:szCs w:val="20"/>
                <w:lang w:eastAsia="en-AU"/>
              </w:rPr>
              <w:fldChar w:fldCharType="begin">
                <w:ffData>
                  <w:name w:val="Check3"/>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Nurse practitioners  </w:t>
            </w: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Optometrists</w:t>
            </w:r>
          </w:p>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5"/>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Midwives</w:t>
            </w:r>
          </w:p>
        </w:tc>
      </w:tr>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rPr>
                <w:rFonts w:cs="Calibri"/>
                <w:b/>
                <w:snapToGrid/>
                <w:sz w:val="20"/>
                <w:szCs w:val="20"/>
                <w:lang w:eastAsia="en-AU"/>
              </w:rPr>
            </w:pPr>
            <w:r w:rsidRPr="00B61251">
              <w:rPr>
                <w:rFonts w:cs="Calibri"/>
                <w:b/>
                <w:snapToGrid/>
                <w:sz w:val="20"/>
                <w:szCs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jc w:val="left"/>
              <w:rPr>
                <w:rFonts w:cs="Calibri"/>
                <w:snapToGrid/>
                <w:sz w:val="20"/>
                <w:szCs w:val="20"/>
                <w:lang w:eastAsia="en-AU"/>
              </w:rPr>
            </w:pPr>
            <w:r w:rsidRPr="00B61251">
              <w:rPr>
                <w:rFonts w:eastAsia="Calibri" w:cs="Calibri"/>
                <w:snapToGrid/>
                <w:sz w:val="20"/>
                <w:szCs w:val="20"/>
                <w:lang w:eastAsia="en-AU"/>
              </w:rPr>
              <w:t xml:space="preserve">Stage IV (metastatic) </w:t>
            </w:r>
            <w:r w:rsidRPr="00B61251">
              <w:rPr>
                <w:rFonts w:eastAsia="Calibri" w:cs="Calibri"/>
                <w:strike/>
                <w:snapToGrid/>
                <w:sz w:val="20"/>
                <w:szCs w:val="20"/>
                <w:lang w:eastAsia="en-AU"/>
              </w:rPr>
              <w:t>previously untreated</w:t>
            </w:r>
          </w:p>
        </w:tc>
      </w:tr>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rPr>
                <w:rFonts w:cs="Calibri"/>
                <w:b/>
                <w:snapToGrid/>
                <w:sz w:val="20"/>
                <w:szCs w:val="20"/>
                <w:lang w:eastAsia="en-AU"/>
              </w:rPr>
            </w:pPr>
            <w:r w:rsidRPr="00B61251">
              <w:rPr>
                <w:rFonts w:cs="Calibri"/>
                <w:b/>
                <w:snapToGrid/>
                <w:sz w:val="20"/>
                <w:szCs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t>Non-small cell lung cancer (NSCLC)</w:t>
            </w:r>
          </w:p>
        </w:tc>
      </w:tr>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rPr>
                <w:rFonts w:cs="Calibri"/>
                <w:i/>
                <w:snapToGrid/>
                <w:sz w:val="20"/>
                <w:szCs w:val="20"/>
                <w:lang w:eastAsia="en-AU"/>
              </w:rPr>
            </w:pPr>
            <w:r w:rsidRPr="00B61251">
              <w:rPr>
                <w:rFonts w:cs="Calibri"/>
                <w:b/>
                <w:snapToGrid/>
                <w:sz w:val="20"/>
                <w:szCs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jc w:val="left"/>
              <w:rPr>
                <w:rFonts w:cs="Calibri"/>
                <w:snapToGrid/>
                <w:sz w:val="20"/>
                <w:szCs w:val="20"/>
                <w:lang w:eastAsia="en-AU"/>
              </w:rPr>
            </w:pPr>
            <w:r w:rsidRPr="00B61251">
              <w:rPr>
                <w:rFonts w:eastAsia="Calibri" w:cs="Calibri"/>
                <w:snapToGrid/>
                <w:sz w:val="20"/>
                <w:szCs w:val="20"/>
                <w:lang w:eastAsia="en-AU"/>
              </w:rPr>
              <w:t xml:space="preserve">Stage IV (metastatic) </w:t>
            </w:r>
            <w:r w:rsidRPr="00B61251">
              <w:rPr>
                <w:rFonts w:eastAsia="Calibri" w:cs="Calibri"/>
                <w:strike/>
                <w:snapToGrid/>
                <w:sz w:val="20"/>
                <w:szCs w:val="20"/>
                <w:lang w:eastAsia="en-AU"/>
              </w:rPr>
              <w:t>previously untreated non-small cell lung cancer</w:t>
            </w:r>
            <w:r w:rsidRPr="00B61251">
              <w:rPr>
                <w:rFonts w:eastAsia="Calibri" w:cs="Calibri"/>
                <w:snapToGrid/>
                <w:sz w:val="20"/>
                <w:szCs w:val="20"/>
                <w:lang w:eastAsia="en-AU"/>
              </w:rPr>
              <w:t xml:space="preserve"> </w:t>
            </w:r>
            <w:r w:rsidRPr="00B61251">
              <w:rPr>
                <w:rFonts w:eastAsia="Calibri" w:cs="Calibri"/>
                <w:i/>
                <w:snapToGrid/>
                <w:sz w:val="20"/>
                <w:szCs w:val="20"/>
                <w:lang w:eastAsia="en-AU"/>
              </w:rPr>
              <w:t>NSCLC</w:t>
            </w:r>
          </w:p>
        </w:tc>
      </w:tr>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rPr>
                <w:rFonts w:cs="Calibri"/>
                <w:i/>
                <w:snapToGrid/>
                <w:sz w:val="20"/>
                <w:szCs w:val="20"/>
                <w:lang w:eastAsia="en-AU"/>
              </w:rPr>
            </w:pPr>
            <w:r w:rsidRPr="00B61251">
              <w:rPr>
                <w:rFonts w:cs="Calibri"/>
                <w:b/>
                <w:snapToGrid/>
                <w:sz w:val="20"/>
                <w:szCs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jc w:val="left"/>
              <w:rPr>
                <w:rFonts w:cs="Calibri"/>
                <w:snapToGrid/>
                <w:sz w:val="20"/>
                <w:szCs w:val="20"/>
                <w:lang w:eastAsia="en-AU"/>
              </w:rPr>
            </w:pPr>
            <w:r w:rsidRPr="00B61251">
              <w:rPr>
                <w:rFonts w:eastAsia="Calibri" w:cs="Calibri"/>
                <w:snapToGrid/>
                <w:sz w:val="20"/>
                <w:szCs w:val="20"/>
                <w:lang w:eastAsia="en-AU"/>
              </w:rPr>
              <w:t>Initial treatment</w:t>
            </w:r>
          </w:p>
        </w:tc>
      </w:tr>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rPr>
                <w:rFonts w:cs="Calibri"/>
                <w:b/>
                <w:snapToGrid/>
                <w:sz w:val="20"/>
                <w:szCs w:val="20"/>
                <w:lang w:eastAsia="en-AU"/>
              </w:rPr>
            </w:pPr>
            <w:r w:rsidRPr="00B61251">
              <w:rPr>
                <w:rFonts w:cs="Calibri"/>
                <w:b/>
                <w:snapToGrid/>
                <w:sz w:val="20"/>
                <w:szCs w:val="20"/>
                <w:lang w:eastAsia="en-AU"/>
              </w:rPr>
              <w:lastRenderedPageBreak/>
              <w:t>Restriction Level / Method:</w:t>
            </w:r>
          </w:p>
          <w:p w:rsidR="009C2D24" w:rsidRPr="00B61251" w:rsidRDefault="009C2D24" w:rsidP="0079332B">
            <w:pPr>
              <w:widowControl/>
              <w:jc w:val="left"/>
              <w:rPr>
                <w:rFonts w:cs="Calibri"/>
                <w:i/>
                <w:snapToGrid/>
                <w:sz w:val="20"/>
                <w:szCs w:val="20"/>
                <w:highlight w:val="yellow"/>
                <w:lang w:eastAsia="en-AU"/>
              </w:rPr>
            </w:pPr>
          </w:p>
          <w:p w:rsidR="009C2D24" w:rsidRPr="00B61251" w:rsidRDefault="009C2D24" w:rsidP="0079332B">
            <w:pPr>
              <w:widowControl/>
              <w:jc w:val="left"/>
              <w:rPr>
                <w:rFonts w:cs="Calibri"/>
                <w:i/>
                <w:snapToGrid/>
                <w:sz w:val="20"/>
                <w:szCs w:val="20"/>
                <w:lang w:eastAsia="en-AU"/>
              </w:rPr>
            </w:pPr>
          </w:p>
          <w:p w:rsidR="009C2D24" w:rsidRPr="00B61251" w:rsidRDefault="009C2D24" w:rsidP="0079332B">
            <w:pPr>
              <w:widowControl/>
              <w:jc w:val="left"/>
              <w:rPr>
                <w:rFonts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1"/>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Restricted benefit</w:t>
            </w:r>
          </w:p>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In Writing</w:t>
            </w:r>
          </w:p>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3"/>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Telephone</w:t>
            </w:r>
          </w:p>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Emergency</w:t>
            </w:r>
          </w:p>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5"/>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Electronic</w:t>
            </w:r>
          </w:p>
          <w:p w:rsidR="009C2D24" w:rsidRPr="00B61251" w:rsidRDefault="009C2D24"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1"/>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Streamlined</w:t>
            </w:r>
          </w:p>
        </w:tc>
      </w:tr>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jc w:val="left"/>
              <w:rPr>
                <w:rFonts w:cs="Calibri"/>
                <w:snapToGrid/>
                <w:sz w:val="20"/>
                <w:szCs w:val="20"/>
                <w:lang w:eastAsia="en-AU"/>
              </w:rPr>
            </w:pPr>
            <w:r w:rsidRPr="00B61251">
              <w:rPr>
                <w:rFonts w:cs="Calibri"/>
                <w:b/>
                <w:snapToGrid/>
                <w:sz w:val="20"/>
                <w:szCs w:val="20"/>
                <w:lang w:eastAsia="en-AU"/>
              </w:rPr>
              <w:t>Treatment criteria:</w:t>
            </w: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jc w:val="left"/>
              <w:rPr>
                <w:rFonts w:cs="Calibri"/>
                <w:snapToGrid/>
                <w:sz w:val="20"/>
                <w:szCs w:val="20"/>
                <w:lang w:eastAsia="en-AU"/>
              </w:rPr>
            </w:pPr>
            <w:r w:rsidRPr="00B61251">
              <w:rPr>
                <w:rFonts w:eastAsia="Calibri" w:cs="Calibri"/>
                <w:i/>
                <w:snapToGrid/>
                <w:sz w:val="20"/>
                <w:szCs w:val="20"/>
              </w:rPr>
              <w:t>Patient must be undergoing combination treatment with bevacizumab and platinum-doublet chemotherapy.</w:t>
            </w:r>
          </w:p>
        </w:tc>
      </w:tr>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rPr>
                <w:rFonts w:cs="Calibri"/>
                <w:b/>
                <w:snapToGrid/>
                <w:sz w:val="20"/>
                <w:szCs w:val="20"/>
                <w:lang w:eastAsia="en-AU"/>
              </w:rPr>
            </w:pPr>
            <w:r w:rsidRPr="00B61251">
              <w:rPr>
                <w:rFonts w:cs="Calibri"/>
                <w:b/>
                <w:snapToGrid/>
                <w:sz w:val="20"/>
                <w:szCs w:val="20"/>
                <w:lang w:eastAsia="en-AU"/>
              </w:rPr>
              <w:t>Clinical criteria:</w:t>
            </w:r>
          </w:p>
          <w:p w:rsidR="009C2D24" w:rsidRPr="00B61251" w:rsidRDefault="009C2D24" w:rsidP="0079332B">
            <w:pPr>
              <w:widowControl/>
              <w:rPr>
                <w:rFonts w:cs="Calibri"/>
                <w:i/>
                <w:snapToGrid/>
                <w:sz w:val="20"/>
                <w:szCs w:val="20"/>
                <w:lang w:eastAsia="en-AU"/>
              </w:rPr>
            </w:pPr>
          </w:p>
          <w:p w:rsidR="009C2D24" w:rsidRPr="00B61251" w:rsidRDefault="009C2D24" w:rsidP="0079332B">
            <w:pPr>
              <w:widowControl/>
              <w:rPr>
                <w:rFonts w:cs="Calibr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spacing w:before="20" w:after="20"/>
              <w:rPr>
                <w:rFonts w:eastAsia="Calibri" w:cs="Calibri"/>
                <w:snapToGrid/>
                <w:sz w:val="20"/>
                <w:szCs w:val="20"/>
              </w:rPr>
            </w:pPr>
            <w:r w:rsidRPr="00B61251">
              <w:rPr>
                <w:rFonts w:eastAsia="Calibri" w:cs="Calibri"/>
                <w:snapToGrid/>
                <w:sz w:val="20"/>
                <w:szCs w:val="20"/>
              </w:rPr>
              <w:t xml:space="preserve">The condition must be non-squamous type non-small cell lung cancer (NSCLC) </w:t>
            </w:r>
            <w:r w:rsidRPr="00B61251">
              <w:rPr>
                <w:rFonts w:eastAsia="Calibri" w:cs="Calibri"/>
                <w:strike/>
                <w:snapToGrid/>
                <w:sz w:val="20"/>
                <w:szCs w:val="20"/>
              </w:rPr>
              <w:t>or not otherwise specified type NSCLC</w:t>
            </w:r>
            <w:r w:rsidRPr="00B61251">
              <w:rPr>
                <w:rFonts w:eastAsia="Calibri" w:cs="Calibri"/>
                <w:snapToGrid/>
                <w:sz w:val="20"/>
                <w:szCs w:val="20"/>
              </w:rPr>
              <w:t xml:space="preserve">, </w:t>
            </w:r>
          </w:p>
          <w:p w:rsidR="009C2D24" w:rsidRPr="00B61251" w:rsidRDefault="009C2D24" w:rsidP="0079332B">
            <w:pPr>
              <w:widowControl/>
              <w:spacing w:before="20" w:after="20"/>
              <w:rPr>
                <w:rFonts w:eastAsia="Calibri" w:cs="Calibri"/>
                <w:snapToGrid/>
                <w:sz w:val="20"/>
                <w:szCs w:val="20"/>
              </w:rPr>
            </w:pPr>
            <w:r w:rsidRPr="00B61251">
              <w:rPr>
                <w:rFonts w:eastAsia="Calibri" w:cs="Calibri"/>
                <w:snapToGrid/>
                <w:sz w:val="20"/>
                <w:szCs w:val="20"/>
              </w:rPr>
              <w:t>AND</w:t>
            </w:r>
          </w:p>
          <w:p w:rsidR="009C2D24" w:rsidRPr="00B61251" w:rsidRDefault="009C2D24" w:rsidP="0079332B">
            <w:pPr>
              <w:widowControl/>
              <w:spacing w:before="20" w:after="20"/>
              <w:rPr>
                <w:rFonts w:eastAsia="Calibri" w:cs="Calibri"/>
                <w:snapToGrid/>
                <w:sz w:val="20"/>
                <w:szCs w:val="20"/>
              </w:rPr>
            </w:pPr>
            <w:r w:rsidRPr="00B61251">
              <w:rPr>
                <w:rFonts w:eastAsia="Calibri" w:cs="Calibri"/>
                <w:snapToGrid/>
                <w:sz w:val="20"/>
                <w:szCs w:val="20"/>
              </w:rPr>
              <w:t>Patient must not have been treated for this condition in the metastatic setting,</w:t>
            </w:r>
          </w:p>
          <w:p w:rsidR="009C2D24" w:rsidRPr="00B61251" w:rsidRDefault="009C2D24" w:rsidP="0079332B">
            <w:pPr>
              <w:widowControl/>
              <w:spacing w:before="20" w:after="20"/>
              <w:rPr>
                <w:rFonts w:eastAsia="Calibri" w:cs="Calibri"/>
                <w:snapToGrid/>
                <w:sz w:val="20"/>
                <w:szCs w:val="20"/>
              </w:rPr>
            </w:pPr>
            <w:r w:rsidRPr="00B61251">
              <w:rPr>
                <w:rFonts w:eastAsia="Calibri" w:cs="Calibri"/>
                <w:snapToGrid/>
                <w:sz w:val="20"/>
                <w:szCs w:val="20"/>
              </w:rPr>
              <w:t>AND</w:t>
            </w:r>
          </w:p>
          <w:p w:rsidR="009C2D24" w:rsidRPr="00B61251" w:rsidRDefault="009C2D24" w:rsidP="0079332B">
            <w:pPr>
              <w:widowControl/>
              <w:spacing w:before="20" w:after="20"/>
              <w:rPr>
                <w:rFonts w:eastAsia="Calibri" w:cs="Calibri"/>
                <w:snapToGrid/>
                <w:sz w:val="20"/>
                <w:szCs w:val="20"/>
              </w:rPr>
            </w:pPr>
            <w:r w:rsidRPr="00B61251">
              <w:rPr>
                <w:rFonts w:eastAsia="Calibri" w:cs="Calibri"/>
                <w:snapToGrid/>
                <w:sz w:val="20"/>
                <w:szCs w:val="20"/>
              </w:rPr>
              <w:t xml:space="preserve">Patient must have a WHO performance status of </w:t>
            </w:r>
            <w:r w:rsidRPr="00B61251">
              <w:rPr>
                <w:rFonts w:eastAsia="Calibri" w:cs="Calibri"/>
                <w:i/>
                <w:snapToGrid/>
                <w:sz w:val="20"/>
                <w:szCs w:val="20"/>
              </w:rPr>
              <w:t xml:space="preserve">0 or 1 </w:t>
            </w:r>
            <w:r w:rsidRPr="00B61251">
              <w:rPr>
                <w:rFonts w:eastAsia="Calibri" w:cs="Calibri"/>
                <w:strike/>
                <w:snapToGrid/>
                <w:sz w:val="20"/>
                <w:szCs w:val="20"/>
              </w:rPr>
              <w:t>1 or less</w:t>
            </w:r>
            <w:r w:rsidRPr="00B61251">
              <w:rPr>
                <w:rFonts w:eastAsia="Calibri" w:cs="Calibri"/>
                <w:snapToGrid/>
                <w:sz w:val="20"/>
                <w:szCs w:val="20"/>
              </w:rPr>
              <w:t xml:space="preserve">, </w:t>
            </w:r>
          </w:p>
          <w:p w:rsidR="009C2D24" w:rsidRPr="00B61251" w:rsidRDefault="009C2D24" w:rsidP="0079332B">
            <w:pPr>
              <w:widowControl/>
              <w:spacing w:before="20" w:after="20"/>
              <w:rPr>
                <w:rFonts w:eastAsia="Calibri" w:cs="Calibri"/>
                <w:snapToGrid/>
                <w:sz w:val="20"/>
                <w:szCs w:val="20"/>
              </w:rPr>
            </w:pPr>
            <w:r w:rsidRPr="00B61251">
              <w:rPr>
                <w:rFonts w:eastAsia="Calibri" w:cs="Calibri"/>
                <w:snapToGrid/>
                <w:sz w:val="20"/>
                <w:szCs w:val="20"/>
              </w:rPr>
              <w:t>AND</w:t>
            </w:r>
          </w:p>
          <w:p w:rsidR="009C2D24" w:rsidRPr="00B61251" w:rsidRDefault="009C2D24" w:rsidP="0079332B">
            <w:pPr>
              <w:widowControl/>
              <w:jc w:val="left"/>
              <w:rPr>
                <w:rFonts w:eastAsia="Calibri" w:cs="Calibri"/>
                <w:strike/>
                <w:snapToGrid/>
                <w:sz w:val="20"/>
                <w:szCs w:val="20"/>
              </w:rPr>
            </w:pPr>
            <w:r w:rsidRPr="00B61251">
              <w:rPr>
                <w:rFonts w:eastAsia="Calibri" w:cs="Calibri"/>
                <w:strike/>
                <w:snapToGrid/>
                <w:sz w:val="20"/>
                <w:szCs w:val="20"/>
              </w:rPr>
              <w:t xml:space="preserve">The treatment must be in combination with bevacizumab and platinum-doublet chemotherapy. </w:t>
            </w:r>
          </w:p>
          <w:p w:rsidR="009C2D24" w:rsidRPr="00B61251" w:rsidRDefault="009C2D24" w:rsidP="0079332B">
            <w:pPr>
              <w:widowControl/>
              <w:spacing w:before="20" w:after="20"/>
              <w:rPr>
                <w:rFonts w:eastAsia="Calibri" w:cs="Calibri"/>
                <w:snapToGrid/>
                <w:sz w:val="20"/>
                <w:szCs w:val="20"/>
              </w:rPr>
            </w:pPr>
            <w:r w:rsidRPr="00B61251">
              <w:rPr>
                <w:rFonts w:eastAsia="Calibri" w:cs="Calibri"/>
                <w:i/>
                <w:snapToGrid/>
                <w:sz w:val="20"/>
                <w:szCs w:val="20"/>
              </w:rPr>
              <w:t xml:space="preserve">The condition must not have evidence of an activating epidermal growth factor receptor (EGFR) gene mutation or an anaplastic lymphoma kinase (ALK) gene rearrangement in tumour material. </w:t>
            </w:r>
          </w:p>
        </w:tc>
      </w:tr>
      <w:tr w:rsidR="009C2D24" w:rsidRPr="00B61251" w:rsidTr="009C2D2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rPr>
                <w:rFonts w:cs="Calibri"/>
                <w:b/>
                <w:snapToGrid/>
                <w:sz w:val="20"/>
                <w:szCs w:val="20"/>
                <w:lang w:eastAsia="en-AU"/>
              </w:rPr>
            </w:pPr>
            <w:r w:rsidRPr="00B61251">
              <w:rPr>
                <w:rFonts w:cs="Calibri"/>
                <w:b/>
                <w:snapToGrid/>
                <w:sz w:val="20"/>
                <w:szCs w:val="20"/>
                <w:lang w:eastAsia="en-AU"/>
              </w:rPr>
              <w:t>Administrative Advice</w:t>
            </w:r>
          </w:p>
          <w:p w:rsidR="009C2D24" w:rsidRPr="00B61251" w:rsidRDefault="009C2D24" w:rsidP="0079332B">
            <w:pPr>
              <w:widowControl/>
              <w:rPr>
                <w:rFonts w:cs="Calibri"/>
                <w:i/>
                <w:snapToGrid/>
                <w:sz w:val="20"/>
                <w:szCs w:val="20"/>
                <w:lang w:eastAsia="en-AU"/>
              </w:rPr>
            </w:pPr>
          </w:p>
          <w:p w:rsidR="009C2D24" w:rsidRPr="00B61251" w:rsidRDefault="009C2D24" w:rsidP="0079332B">
            <w:pPr>
              <w:widowControl/>
              <w:rPr>
                <w:rFonts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9C2D24" w:rsidRPr="00B61251" w:rsidRDefault="009C2D24" w:rsidP="0079332B">
            <w:pPr>
              <w:widowControl/>
              <w:spacing w:before="20" w:after="20"/>
              <w:jc w:val="left"/>
              <w:rPr>
                <w:rFonts w:eastAsia="Calibri" w:cs="Calibri"/>
                <w:snapToGrid/>
                <w:sz w:val="20"/>
                <w:szCs w:val="20"/>
                <w:lang w:eastAsia="en-AU"/>
              </w:rPr>
            </w:pPr>
            <w:r w:rsidRPr="00B61251">
              <w:rPr>
                <w:rFonts w:eastAsia="Calibri" w:cs="Calibri"/>
                <w:snapToGrid/>
                <w:sz w:val="20"/>
                <w:szCs w:val="20"/>
                <w:lang w:eastAsia="en-AU"/>
              </w:rPr>
              <w:t>No increase in the maximum number of repeats may be authorised.</w:t>
            </w:r>
          </w:p>
          <w:p w:rsidR="009C2D24" w:rsidRPr="00B61251" w:rsidRDefault="009C2D24" w:rsidP="0079332B">
            <w:pPr>
              <w:widowControl/>
              <w:spacing w:before="20" w:after="20"/>
              <w:jc w:val="left"/>
              <w:rPr>
                <w:rFonts w:eastAsia="Calibri" w:cs="Calibri"/>
                <w:snapToGrid/>
                <w:sz w:val="20"/>
                <w:szCs w:val="20"/>
                <w:lang w:eastAsia="en-AU"/>
              </w:rPr>
            </w:pPr>
          </w:p>
          <w:p w:rsidR="009C2D24" w:rsidRPr="00B61251" w:rsidRDefault="009C2D24" w:rsidP="0079332B">
            <w:pPr>
              <w:widowControl/>
              <w:jc w:val="left"/>
              <w:rPr>
                <w:rFonts w:eastAsia="Calibri" w:cs="Calibri"/>
                <w:snapToGrid/>
                <w:sz w:val="20"/>
                <w:szCs w:val="20"/>
                <w:lang w:eastAsia="en-AU"/>
              </w:rPr>
            </w:pPr>
            <w:r w:rsidRPr="00B61251">
              <w:rPr>
                <w:rFonts w:eastAsia="Calibri" w:cs="Calibri"/>
                <w:snapToGrid/>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rsidR="009C2D24" w:rsidRPr="00B61251" w:rsidRDefault="009C2D24" w:rsidP="0079332B">
            <w:pPr>
              <w:widowControl/>
              <w:jc w:val="left"/>
              <w:rPr>
                <w:rFonts w:eastAsia="Calibri" w:cs="Calibri"/>
                <w:snapToGrid/>
                <w:sz w:val="20"/>
                <w:szCs w:val="20"/>
                <w:lang w:eastAsia="en-AU"/>
              </w:rPr>
            </w:pPr>
          </w:p>
          <w:p w:rsidR="009C2D24" w:rsidRPr="00B61251" w:rsidRDefault="009C2D24" w:rsidP="0079332B">
            <w:pPr>
              <w:widowControl/>
              <w:jc w:val="left"/>
              <w:rPr>
                <w:rFonts w:cs="Calibri"/>
                <w:snapToGrid/>
                <w:sz w:val="20"/>
                <w:szCs w:val="20"/>
                <w:lang w:eastAsia="en-AU"/>
              </w:rPr>
            </w:pPr>
            <w:r w:rsidRPr="00B61251">
              <w:rPr>
                <w:rFonts w:eastAsia="Calibri" w:cs="Calibri"/>
                <w:i/>
                <w:snapToGrid/>
                <w:sz w:val="20"/>
                <w:szCs w:val="20"/>
                <w:lang w:eastAsia="en-AU"/>
              </w:rPr>
              <w:t>Special pricing arrangements apply</w:t>
            </w:r>
          </w:p>
        </w:tc>
      </w:tr>
    </w:tbl>
    <w:p w:rsidR="005E5992" w:rsidRPr="00B61251" w:rsidRDefault="005E5992" w:rsidP="0079332B">
      <w:pPr>
        <w:pStyle w:val="TableHeadingRow"/>
      </w:pPr>
      <w:r w:rsidRPr="00B61251">
        <w:t>EGFR mutant type/ALK positive NSQ NSCLC</w:t>
      </w:r>
    </w:p>
    <w:p w:rsidR="008E7953" w:rsidRPr="00B61251" w:rsidRDefault="008E7953" w:rsidP="0079332B">
      <w:pPr>
        <w:pStyle w:val="TableHeadingRow"/>
      </w:pPr>
    </w:p>
    <w:tbl>
      <w:tblPr>
        <w:tblW w:w="9214" w:type="dxa"/>
        <w:tblInd w:w="108" w:type="dxa"/>
        <w:tblLayout w:type="fixed"/>
        <w:tblLook w:val="0000" w:firstRow="0" w:lastRow="0" w:firstColumn="0" w:lastColumn="0" w:noHBand="0" w:noVBand="0"/>
      </w:tblPr>
      <w:tblGrid>
        <w:gridCol w:w="2835"/>
        <w:gridCol w:w="6379"/>
      </w:tblGrid>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 xml:space="preserve">Category / </w:t>
            </w:r>
          </w:p>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t>Section 100 – Efficient funding of Chemotherapy</w:t>
            </w:r>
          </w:p>
          <w:p w:rsidR="008E7953" w:rsidRPr="00B61251" w:rsidRDefault="008E7953" w:rsidP="0079332B">
            <w:pPr>
              <w:widowControl/>
              <w:spacing w:before="20" w:after="20"/>
              <w:jc w:val="left"/>
              <w:rPr>
                <w:rFonts w:eastAsia="Calibri" w:cs="Calibri"/>
                <w:snapToGrid/>
                <w:sz w:val="20"/>
                <w:szCs w:val="20"/>
                <w:lang w:eastAsia="en-AU"/>
              </w:rPr>
            </w:pPr>
            <w:r w:rsidRPr="00B61251">
              <w:rPr>
                <w:rFonts w:eastAsia="Calibri" w:cs="Calibri"/>
                <w:snapToGrid/>
                <w:sz w:val="20"/>
                <w:szCs w:val="20"/>
                <w:lang w:eastAsia="en-AU"/>
              </w:rPr>
              <w:t>Private Hospital/Private Clinic Authority Required (STREAMLINED)</w:t>
            </w:r>
          </w:p>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Public Hospital Authority Required (STREAMLINED)</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Prescriber type:</w:t>
            </w:r>
          </w:p>
          <w:p w:rsidR="008E7953" w:rsidRPr="00B61251" w:rsidRDefault="008E7953" w:rsidP="0079332B">
            <w:pPr>
              <w:widowControl/>
              <w:rPr>
                <w:rFonts w:cs="Calibri"/>
                <w:b/>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1"/>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Dental  </w:t>
            </w:r>
            <w:r w:rsidRPr="00B61251">
              <w:rPr>
                <w:rFonts w:cs="Calibri"/>
                <w:snapToGrid/>
                <w:sz w:val="20"/>
                <w:szCs w:val="20"/>
                <w:lang w:eastAsia="en-AU"/>
              </w:rPr>
              <w:fldChar w:fldCharType="begin">
                <w:ffData>
                  <w:name w:val=""/>
                  <w:enabled/>
                  <w:calcOnExit w:val="0"/>
                  <w:checkBox>
                    <w:sizeAuto/>
                    <w:default w:val="1"/>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Medical Practitioners  </w:t>
            </w:r>
            <w:r w:rsidRPr="00B61251">
              <w:rPr>
                <w:rFonts w:cs="Calibri"/>
                <w:snapToGrid/>
                <w:sz w:val="20"/>
                <w:szCs w:val="20"/>
                <w:lang w:eastAsia="en-AU"/>
              </w:rPr>
              <w:fldChar w:fldCharType="begin">
                <w:ffData>
                  <w:name w:val="Check3"/>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Nurse practitioners  </w:t>
            </w: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Optometrists</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5"/>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Midwives</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 xml:space="preserve">Stage IV (metastatic) </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trike/>
                <w:snapToGrid/>
                <w:sz w:val="20"/>
                <w:szCs w:val="20"/>
                <w:lang w:eastAsia="en-AU"/>
              </w:rPr>
              <w:t>Non-squamous</w:t>
            </w:r>
            <w:r w:rsidRPr="00B61251">
              <w:rPr>
                <w:rFonts w:cs="Calibri"/>
                <w:snapToGrid/>
                <w:sz w:val="20"/>
                <w:szCs w:val="20"/>
                <w:lang w:eastAsia="en-AU"/>
              </w:rPr>
              <w:t xml:space="preserve"> Non-small cell lung cancer (NSCLC)</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i/>
                <w:snapToGrid/>
                <w:sz w:val="20"/>
                <w:szCs w:val="20"/>
                <w:lang w:eastAsia="en-AU"/>
              </w:rPr>
            </w:pPr>
            <w:r w:rsidRPr="00B61251">
              <w:rPr>
                <w:rFonts w:cs="Calibri"/>
                <w:b/>
                <w:snapToGrid/>
                <w:sz w:val="20"/>
                <w:szCs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 xml:space="preserve">Stage IV (metastatic) </w:t>
            </w:r>
            <w:r w:rsidRPr="00B61251">
              <w:rPr>
                <w:rFonts w:eastAsia="Calibri" w:cs="Calibri"/>
                <w:strike/>
                <w:snapToGrid/>
                <w:sz w:val="20"/>
                <w:szCs w:val="20"/>
                <w:lang w:eastAsia="en-AU"/>
              </w:rPr>
              <w:t xml:space="preserve">non-small cell lung cancer </w:t>
            </w:r>
            <w:r w:rsidRPr="00B61251">
              <w:rPr>
                <w:rFonts w:eastAsia="Calibri" w:cs="Calibri"/>
                <w:i/>
                <w:snapToGrid/>
                <w:sz w:val="20"/>
                <w:szCs w:val="20"/>
                <w:lang w:eastAsia="en-AU"/>
              </w:rPr>
              <w:t>NSCLC</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i/>
                <w:snapToGrid/>
                <w:sz w:val="20"/>
                <w:szCs w:val="20"/>
                <w:lang w:eastAsia="en-AU"/>
              </w:rPr>
            </w:pPr>
            <w:r w:rsidRPr="00B61251">
              <w:rPr>
                <w:rFonts w:cs="Calibri"/>
                <w:b/>
                <w:snapToGrid/>
                <w:sz w:val="20"/>
                <w:szCs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Initial treatment</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Restriction Level / Method:</w:t>
            </w:r>
          </w:p>
          <w:p w:rsidR="008E7953" w:rsidRPr="00B61251" w:rsidRDefault="008E7953" w:rsidP="0079332B">
            <w:pPr>
              <w:widowControl/>
              <w:jc w:val="left"/>
              <w:rPr>
                <w:rFonts w:cs="Calibri"/>
                <w:i/>
                <w:snapToGrid/>
                <w:sz w:val="20"/>
                <w:szCs w:val="20"/>
                <w:highlight w:val="yellow"/>
                <w:lang w:eastAsia="en-AU"/>
              </w:rPr>
            </w:pPr>
          </w:p>
          <w:p w:rsidR="008E7953" w:rsidRPr="00B61251" w:rsidRDefault="008E7953" w:rsidP="0079332B">
            <w:pPr>
              <w:widowControl/>
              <w:jc w:val="left"/>
              <w:rPr>
                <w:rFonts w:cs="Calibri"/>
                <w:i/>
                <w:snapToGrid/>
                <w:sz w:val="20"/>
                <w:szCs w:val="20"/>
                <w:lang w:eastAsia="en-AU"/>
              </w:rPr>
            </w:pPr>
          </w:p>
          <w:p w:rsidR="008E7953" w:rsidRPr="00B61251" w:rsidRDefault="008E7953" w:rsidP="0079332B">
            <w:pPr>
              <w:widowControl/>
              <w:jc w:val="left"/>
              <w:rPr>
                <w:rFonts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1"/>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Restricted benefit</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In Writing</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3"/>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Telephone</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Emergency</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5"/>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Electronic</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1"/>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Streamlined</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b/>
                <w:snapToGrid/>
                <w:sz w:val="20"/>
                <w:szCs w:val="20"/>
                <w:lang w:eastAsia="en-AU"/>
              </w:rPr>
            </w:pPr>
            <w:r w:rsidRPr="00B61251">
              <w:rPr>
                <w:rFonts w:cs="Calibri"/>
                <w:b/>
                <w:snapToGrid/>
                <w:sz w:val="20"/>
                <w:szCs w:val="20"/>
                <w:lang w:eastAsia="en-AU"/>
              </w:rPr>
              <w:t>Treatment criteria:</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eastAsia="Calibri" w:cs="Calibri"/>
                <w:i/>
                <w:snapToGrid/>
                <w:sz w:val="20"/>
                <w:szCs w:val="20"/>
              </w:rPr>
            </w:pPr>
            <w:r w:rsidRPr="00B61251">
              <w:rPr>
                <w:rFonts w:eastAsia="Calibri" w:cs="Calibri"/>
                <w:i/>
                <w:snapToGrid/>
                <w:sz w:val="20"/>
                <w:szCs w:val="20"/>
              </w:rPr>
              <w:t xml:space="preserve">Patient must be undergoing combination treatment with bevacizumab and platinum-doublet chemotherapy. </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lastRenderedPageBreak/>
              <w:t>Clinical criteria:</w:t>
            </w:r>
          </w:p>
          <w:p w:rsidR="008E7953" w:rsidRPr="00B61251" w:rsidRDefault="008E7953" w:rsidP="0079332B">
            <w:pPr>
              <w:widowControl/>
              <w:rPr>
                <w:rFonts w:cs="Calibr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 xml:space="preserve">The condition must be non-squamous type non-small cell lung cancer (NSCLC) </w:t>
            </w:r>
            <w:r w:rsidRPr="00B61251">
              <w:rPr>
                <w:rFonts w:eastAsia="Calibri" w:cs="Calibri"/>
                <w:strike/>
                <w:snapToGrid/>
                <w:sz w:val="20"/>
                <w:szCs w:val="20"/>
              </w:rPr>
              <w:t>or not otherwise specified type NSCLC</w:t>
            </w:r>
            <w:r w:rsidRPr="00B61251">
              <w:rPr>
                <w:rFonts w:eastAsia="Calibri" w:cs="Calibri"/>
                <w:snapToGrid/>
                <w:sz w:val="20"/>
                <w:szCs w:val="20"/>
              </w:rPr>
              <w:t xml:space="preserve">, </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AND</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 xml:space="preserve">Patient must have a WHO performance status of </w:t>
            </w:r>
            <w:r w:rsidRPr="00B61251">
              <w:rPr>
                <w:rFonts w:eastAsia="Calibri" w:cs="Calibri"/>
                <w:i/>
                <w:snapToGrid/>
                <w:sz w:val="20"/>
                <w:szCs w:val="20"/>
              </w:rPr>
              <w:t>0 or 1</w:t>
            </w:r>
            <w:r w:rsidRPr="00B61251">
              <w:rPr>
                <w:rFonts w:eastAsia="Calibri" w:cs="Calibri"/>
                <w:strike/>
                <w:snapToGrid/>
                <w:sz w:val="20"/>
                <w:szCs w:val="20"/>
              </w:rPr>
              <w:t>1 or less</w:t>
            </w:r>
            <w:r w:rsidRPr="00B61251">
              <w:rPr>
                <w:rFonts w:eastAsia="Calibri" w:cs="Calibri"/>
                <w:snapToGrid/>
                <w:sz w:val="20"/>
                <w:szCs w:val="20"/>
              </w:rPr>
              <w:t xml:space="preserve">, </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AND</w:t>
            </w:r>
          </w:p>
          <w:p w:rsidR="008E7953" w:rsidRPr="00B61251" w:rsidRDefault="008E7953" w:rsidP="0079332B">
            <w:pPr>
              <w:widowControl/>
              <w:spacing w:before="20" w:after="20"/>
              <w:jc w:val="left"/>
              <w:rPr>
                <w:rFonts w:eastAsia="Calibri" w:cs="Calibri"/>
                <w:i/>
                <w:snapToGrid/>
                <w:sz w:val="20"/>
                <w:szCs w:val="20"/>
                <w:lang w:eastAsia="en-AU"/>
              </w:rPr>
            </w:pPr>
            <w:r w:rsidRPr="00B61251">
              <w:rPr>
                <w:rFonts w:eastAsia="Calibri" w:cs="Calibri"/>
                <w:i/>
                <w:snapToGrid/>
                <w:sz w:val="20"/>
                <w:szCs w:val="20"/>
                <w:lang w:eastAsia="en-AU"/>
              </w:rPr>
              <w:t>Patient must have evidence of an activating epidermal growth factor receptor (EGFR) gene mutation or of an anaplastic lymphoma kinase (ALK) gene rearrangement in tumour material.</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AND</w:t>
            </w:r>
          </w:p>
          <w:p w:rsidR="008E7953" w:rsidRPr="00B61251" w:rsidRDefault="008E7953" w:rsidP="0079332B">
            <w:pPr>
              <w:widowControl/>
              <w:rPr>
                <w:rFonts w:eastAsia="Calibri" w:cs="Calibri"/>
                <w:strike/>
                <w:snapToGrid/>
                <w:sz w:val="20"/>
                <w:szCs w:val="20"/>
              </w:rPr>
            </w:pPr>
            <w:r w:rsidRPr="00B61251">
              <w:rPr>
                <w:rFonts w:eastAsia="Calibri" w:cs="Calibri"/>
                <w:strike/>
                <w:snapToGrid/>
                <w:sz w:val="20"/>
                <w:szCs w:val="20"/>
              </w:rPr>
              <w:t>The treatment must be in combination with bevacizumab and platinum-doublet chemotherapy</w:t>
            </w:r>
            <w:r w:rsidRPr="00B61251">
              <w:rPr>
                <w:rFonts w:eastAsia="Calibri" w:cs="Calibri"/>
                <w:i/>
                <w:strike/>
                <w:snapToGrid/>
                <w:sz w:val="20"/>
                <w:szCs w:val="20"/>
              </w:rPr>
              <w:t>,</w:t>
            </w:r>
            <w:r w:rsidRPr="00B61251">
              <w:rPr>
                <w:rFonts w:eastAsia="Calibri" w:cs="Calibri"/>
                <w:strike/>
                <w:snapToGrid/>
                <w:sz w:val="20"/>
                <w:szCs w:val="20"/>
              </w:rPr>
              <w:t xml:space="preserve"> </w:t>
            </w:r>
          </w:p>
          <w:p w:rsidR="008E7953" w:rsidRPr="00B61251" w:rsidRDefault="008E7953" w:rsidP="0079332B">
            <w:pPr>
              <w:widowControl/>
              <w:spacing w:before="20" w:after="20"/>
              <w:rPr>
                <w:rFonts w:eastAsia="Calibri" w:cs="Calibri"/>
                <w:strike/>
                <w:snapToGrid/>
                <w:sz w:val="20"/>
                <w:szCs w:val="20"/>
              </w:rPr>
            </w:pPr>
            <w:r w:rsidRPr="00B61251">
              <w:rPr>
                <w:rFonts w:eastAsia="Calibri" w:cs="Calibri"/>
                <w:strike/>
                <w:snapToGrid/>
                <w:sz w:val="20"/>
                <w:szCs w:val="20"/>
              </w:rPr>
              <w:t>AND</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Patient must have progressive disease following treatment</w:t>
            </w:r>
            <w:r w:rsidRPr="00B61251">
              <w:rPr>
                <w:rFonts w:eastAsia="Calibri" w:cs="Calibri"/>
                <w:i/>
                <w:snapToGrid/>
                <w:sz w:val="20"/>
                <w:szCs w:val="20"/>
              </w:rPr>
              <w:t xml:space="preserve"> </w:t>
            </w:r>
            <w:r w:rsidRPr="00B61251">
              <w:rPr>
                <w:rFonts w:eastAsia="Calibri" w:cs="Calibri"/>
                <w:snapToGrid/>
                <w:sz w:val="20"/>
                <w:szCs w:val="20"/>
              </w:rPr>
              <w:t xml:space="preserve">with </w:t>
            </w:r>
            <w:r w:rsidRPr="00B61251">
              <w:rPr>
                <w:rFonts w:eastAsia="Calibri" w:cs="Calibri"/>
                <w:strike/>
                <w:snapToGrid/>
                <w:sz w:val="20"/>
                <w:szCs w:val="20"/>
              </w:rPr>
              <w:t>an</w:t>
            </w:r>
            <w:r w:rsidRPr="00B61251">
              <w:rPr>
                <w:rFonts w:eastAsia="Calibri" w:cs="Calibri"/>
                <w:snapToGrid/>
                <w:sz w:val="20"/>
                <w:szCs w:val="20"/>
              </w:rPr>
              <w:t xml:space="preserve"> epidermal growth factor receptor</w:t>
            </w:r>
            <w:r w:rsidRPr="00B61251">
              <w:rPr>
                <w:rFonts w:eastAsia="Calibri" w:cs="Calibri"/>
                <w:i/>
                <w:snapToGrid/>
                <w:sz w:val="20"/>
                <w:szCs w:val="20"/>
              </w:rPr>
              <w:t>s</w:t>
            </w:r>
            <w:r w:rsidRPr="00B61251">
              <w:rPr>
                <w:rFonts w:eastAsia="Calibri" w:cs="Calibri"/>
                <w:snapToGrid/>
                <w:sz w:val="20"/>
                <w:szCs w:val="20"/>
              </w:rPr>
              <w:t xml:space="preserve"> (EGFR) OR anaplastic lymphoma kinase (ALK) tyrosine kinase inhibitor</w:t>
            </w:r>
            <w:r w:rsidRPr="00B61251">
              <w:rPr>
                <w:rFonts w:eastAsia="Calibri" w:cs="Calibri"/>
                <w:i/>
                <w:snapToGrid/>
                <w:sz w:val="20"/>
                <w:szCs w:val="20"/>
              </w:rPr>
              <w:t>s</w:t>
            </w:r>
            <w:r w:rsidRPr="00B61251">
              <w:rPr>
                <w:rFonts w:eastAsia="Calibri" w:cs="Calibri"/>
                <w:snapToGrid/>
                <w:sz w:val="20"/>
                <w:szCs w:val="20"/>
              </w:rPr>
              <w:t xml:space="preserve"> (TKI),</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AND</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t>Patient must not have received prior treatment with a programmed cell death-1 (PD-1) inhibitor or a programmed cell death ligand-1 (PD-L1) inhibitor for this condition.</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Administrative Advice</w:t>
            </w:r>
          </w:p>
          <w:p w:rsidR="008E7953" w:rsidRPr="00B61251" w:rsidRDefault="008E7953" w:rsidP="0079332B">
            <w:pPr>
              <w:widowControl/>
              <w:rPr>
                <w:rFonts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spacing w:before="20" w:after="20"/>
              <w:jc w:val="left"/>
              <w:rPr>
                <w:rFonts w:eastAsia="Calibri" w:cs="Calibri"/>
                <w:strike/>
                <w:snapToGrid/>
                <w:sz w:val="20"/>
                <w:szCs w:val="20"/>
                <w:lang w:eastAsia="en-AU"/>
              </w:rPr>
            </w:pPr>
            <w:r w:rsidRPr="00B61251">
              <w:rPr>
                <w:rFonts w:eastAsia="Calibri" w:cs="Calibri"/>
                <w:strike/>
                <w:snapToGrid/>
                <w:sz w:val="20"/>
                <w:szCs w:val="20"/>
                <w:lang w:eastAsia="en-AU"/>
              </w:rPr>
              <w:t xml:space="preserve">Patient must have evidence of an activating epidermal growth factor receptor (EGFR) gene </w:t>
            </w:r>
            <w:r w:rsidRPr="00B61251">
              <w:rPr>
                <w:rFonts w:eastAsia="Calibri" w:cs="Calibri"/>
                <w:i/>
                <w:strike/>
                <w:snapToGrid/>
                <w:sz w:val="20"/>
                <w:szCs w:val="20"/>
                <w:lang w:eastAsia="en-AU"/>
              </w:rPr>
              <w:t>mutation</w:t>
            </w:r>
            <w:r w:rsidRPr="00B61251">
              <w:rPr>
                <w:rFonts w:eastAsia="Calibri" w:cs="Calibri"/>
                <w:strike/>
                <w:snapToGrid/>
                <w:sz w:val="20"/>
                <w:szCs w:val="20"/>
                <w:lang w:eastAsia="en-AU"/>
              </w:rPr>
              <w:t xml:space="preserve"> or of an anaplastic lymphoma kinase (ALK) gene rearrangement in tumour material.</w:t>
            </w:r>
          </w:p>
          <w:p w:rsidR="008E7953" w:rsidRPr="00B61251" w:rsidRDefault="008E7953" w:rsidP="0079332B">
            <w:pPr>
              <w:widowControl/>
              <w:spacing w:before="20" w:after="20"/>
              <w:jc w:val="left"/>
              <w:rPr>
                <w:rFonts w:eastAsia="Calibri" w:cs="Calibri"/>
                <w:snapToGrid/>
                <w:sz w:val="20"/>
                <w:szCs w:val="20"/>
                <w:lang w:eastAsia="en-AU"/>
              </w:rPr>
            </w:pPr>
          </w:p>
          <w:p w:rsidR="008E7953" w:rsidRPr="00B61251" w:rsidRDefault="008E7953" w:rsidP="0079332B">
            <w:pPr>
              <w:widowControl/>
              <w:spacing w:before="20" w:after="20"/>
              <w:jc w:val="left"/>
              <w:rPr>
                <w:rFonts w:eastAsia="Calibri" w:cs="Calibri"/>
                <w:snapToGrid/>
                <w:sz w:val="20"/>
                <w:szCs w:val="20"/>
                <w:lang w:eastAsia="en-AU"/>
              </w:rPr>
            </w:pPr>
            <w:r w:rsidRPr="00B61251">
              <w:rPr>
                <w:rFonts w:eastAsia="Calibri" w:cs="Calibri"/>
                <w:snapToGrid/>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rsidR="008E7953" w:rsidRPr="00B61251" w:rsidRDefault="008E7953" w:rsidP="0079332B">
            <w:pPr>
              <w:widowControl/>
              <w:spacing w:before="20" w:after="20"/>
              <w:jc w:val="left"/>
              <w:rPr>
                <w:rFonts w:eastAsia="Calibri" w:cs="Calibri"/>
                <w:snapToGrid/>
                <w:sz w:val="20"/>
                <w:szCs w:val="20"/>
                <w:lang w:eastAsia="en-AU"/>
              </w:rPr>
            </w:pPr>
          </w:p>
          <w:p w:rsidR="008E7953" w:rsidRPr="00B61251" w:rsidRDefault="008E7953" w:rsidP="0079332B">
            <w:pPr>
              <w:widowControl/>
              <w:jc w:val="left"/>
              <w:rPr>
                <w:rFonts w:eastAsia="Calibri" w:cs="Calibri"/>
                <w:snapToGrid/>
                <w:sz w:val="20"/>
                <w:szCs w:val="20"/>
                <w:lang w:eastAsia="en-AU"/>
              </w:rPr>
            </w:pPr>
            <w:r w:rsidRPr="00B61251">
              <w:rPr>
                <w:rFonts w:eastAsia="Calibri" w:cs="Calibri"/>
                <w:snapToGrid/>
                <w:sz w:val="20"/>
                <w:szCs w:val="20"/>
                <w:lang w:eastAsia="en-AU"/>
              </w:rPr>
              <w:t>No increase in the maximum number of repeats may be authorised.</w:t>
            </w:r>
          </w:p>
          <w:p w:rsidR="008E7953" w:rsidRPr="00B61251" w:rsidRDefault="008E7953" w:rsidP="0079332B">
            <w:pPr>
              <w:widowControl/>
              <w:jc w:val="left"/>
              <w:rPr>
                <w:rFonts w:eastAsia="Calibri" w:cs="Calibri"/>
                <w:snapToGrid/>
                <w:sz w:val="20"/>
                <w:szCs w:val="20"/>
                <w:lang w:eastAsia="en-AU"/>
              </w:rPr>
            </w:pPr>
          </w:p>
          <w:p w:rsidR="008E7953" w:rsidRPr="00B61251" w:rsidRDefault="008E7953" w:rsidP="0079332B">
            <w:pPr>
              <w:widowControl/>
              <w:jc w:val="left"/>
              <w:rPr>
                <w:rFonts w:cs="Calibri"/>
                <w:b/>
                <w:snapToGrid/>
                <w:sz w:val="20"/>
                <w:szCs w:val="20"/>
                <w:lang w:eastAsia="en-AU"/>
              </w:rPr>
            </w:pPr>
            <w:r w:rsidRPr="00B61251">
              <w:rPr>
                <w:rFonts w:eastAsia="Calibri" w:cs="Calibri"/>
                <w:i/>
                <w:snapToGrid/>
                <w:sz w:val="20"/>
                <w:szCs w:val="20"/>
                <w:lang w:eastAsia="en-AU"/>
              </w:rPr>
              <w:t>Special pricing arrangements apply</w:t>
            </w:r>
          </w:p>
        </w:tc>
      </w:tr>
    </w:tbl>
    <w:p w:rsidR="008E7953" w:rsidRPr="00B61251" w:rsidRDefault="008E7953" w:rsidP="0079332B">
      <w:pPr>
        <w:pStyle w:val="TableHeadingRow"/>
      </w:pPr>
    </w:p>
    <w:p w:rsidR="005E5992" w:rsidRPr="00B61251" w:rsidRDefault="0068672B" w:rsidP="0079332B">
      <w:pPr>
        <w:widowControl/>
        <w:spacing w:after="120"/>
        <w:rPr>
          <w:b/>
        </w:rPr>
      </w:pPr>
      <w:r>
        <w:rPr>
          <w:b/>
        </w:rPr>
        <w:t>Bevacizumab</w:t>
      </w:r>
    </w:p>
    <w:tbl>
      <w:tblPr>
        <w:tblW w:w="9322" w:type="dxa"/>
        <w:tblBorders>
          <w:top w:val="single" w:sz="4" w:space="0" w:color="auto"/>
          <w:bottom w:val="single" w:sz="4" w:space="0" w:color="auto"/>
          <w:insideH w:val="single" w:sz="4" w:space="0" w:color="auto"/>
        </w:tblBorders>
        <w:tblLook w:val="04A0" w:firstRow="1" w:lastRow="0" w:firstColumn="1" w:lastColumn="0" w:noHBand="0" w:noVBand="1"/>
      </w:tblPr>
      <w:tblGrid>
        <w:gridCol w:w="2518"/>
        <w:gridCol w:w="1559"/>
        <w:gridCol w:w="1276"/>
        <w:gridCol w:w="2268"/>
        <w:gridCol w:w="1701"/>
      </w:tblGrid>
      <w:tr w:rsidR="005E5992" w:rsidRPr="00B61251" w:rsidTr="00627491">
        <w:trPr>
          <w:tblHeader/>
        </w:trPr>
        <w:tc>
          <w:tcPr>
            <w:tcW w:w="2518" w:type="dxa"/>
          </w:tcPr>
          <w:p w:rsidR="005E5992" w:rsidRPr="00B61251" w:rsidRDefault="005E5992" w:rsidP="0079332B">
            <w:pPr>
              <w:widowControl/>
              <w:jc w:val="left"/>
              <w:rPr>
                <w:rFonts w:ascii="Arial Narrow" w:hAnsi="Arial Narrow"/>
                <w:b/>
                <w:sz w:val="20"/>
                <w:szCs w:val="20"/>
              </w:rPr>
            </w:pPr>
            <w:r w:rsidRPr="00B61251">
              <w:rPr>
                <w:rFonts w:ascii="Arial Narrow" w:hAnsi="Arial Narrow"/>
                <w:b/>
                <w:sz w:val="20"/>
                <w:szCs w:val="20"/>
              </w:rPr>
              <w:t>Name, restriction, manner of administration, form</w:t>
            </w:r>
          </w:p>
        </w:tc>
        <w:tc>
          <w:tcPr>
            <w:tcW w:w="1559" w:type="dxa"/>
          </w:tcPr>
          <w:p w:rsidR="005E5992" w:rsidRPr="00B61251" w:rsidRDefault="005E5992" w:rsidP="0079332B">
            <w:pPr>
              <w:widowControl/>
              <w:jc w:val="center"/>
              <w:rPr>
                <w:rFonts w:ascii="Arial Narrow" w:hAnsi="Arial Narrow"/>
                <w:b/>
                <w:sz w:val="20"/>
                <w:szCs w:val="20"/>
              </w:rPr>
            </w:pPr>
            <w:r w:rsidRPr="00B61251">
              <w:rPr>
                <w:rFonts w:ascii="Arial Narrow" w:hAnsi="Arial Narrow"/>
                <w:b/>
                <w:sz w:val="20"/>
                <w:szCs w:val="20"/>
              </w:rPr>
              <w:t>Maximum amount</w:t>
            </w:r>
          </w:p>
        </w:tc>
        <w:tc>
          <w:tcPr>
            <w:tcW w:w="1276" w:type="dxa"/>
          </w:tcPr>
          <w:p w:rsidR="005E5992" w:rsidRPr="00B61251" w:rsidRDefault="005E5992" w:rsidP="0079332B">
            <w:pPr>
              <w:widowControl/>
              <w:jc w:val="center"/>
              <w:rPr>
                <w:rFonts w:ascii="Arial Narrow" w:hAnsi="Arial Narrow"/>
                <w:b/>
                <w:sz w:val="20"/>
                <w:szCs w:val="20"/>
              </w:rPr>
            </w:pPr>
            <w:r w:rsidRPr="00B61251">
              <w:rPr>
                <w:rFonts w:ascii="Arial Narrow" w:hAnsi="Arial Narrow"/>
                <w:b/>
                <w:sz w:val="20"/>
                <w:szCs w:val="20"/>
              </w:rPr>
              <w:t>No. of repeats</w:t>
            </w:r>
          </w:p>
        </w:tc>
        <w:tc>
          <w:tcPr>
            <w:tcW w:w="2268" w:type="dxa"/>
          </w:tcPr>
          <w:p w:rsidR="005E5992" w:rsidRPr="00B61251" w:rsidRDefault="005E5992" w:rsidP="0079332B">
            <w:pPr>
              <w:widowControl/>
              <w:jc w:val="center"/>
              <w:rPr>
                <w:rFonts w:ascii="Arial Narrow" w:hAnsi="Arial Narrow"/>
                <w:b/>
                <w:sz w:val="20"/>
                <w:szCs w:val="20"/>
              </w:rPr>
            </w:pPr>
            <w:r w:rsidRPr="00B61251">
              <w:rPr>
                <w:rFonts w:ascii="Arial Narrow" w:hAnsi="Arial Narrow"/>
                <w:b/>
                <w:sz w:val="20"/>
                <w:szCs w:val="20"/>
              </w:rPr>
              <w:t>Dispensed price for maximum amount</w:t>
            </w:r>
          </w:p>
        </w:tc>
        <w:tc>
          <w:tcPr>
            <w:tcW w:w="1701" w:type="dxa"/>
          </w:tcPr>
          <w:p w:rsidR="005E5992" w:rsidRPr="00B61251" w:rsidRDefault="005E5992" w:rsidP="0079332B">
            <w:pPr>
              <w:widowControl/>
              <w:rPr>
                <w:rFonts w:ascii="Arial Narrow" w:hAnsi="Arial Narrow"/>
                <w:b/>
                <w:sz w:val="20"/>
                <w:szCs w:val="20"/>
              </w:rPr>
            </w:pPr>
            <w:r w:rsidRPr="00B61251">
              <w:rPr>
                <w:rFonts w:ascii="Arial Narrow" w:hAnsi="Arial Narrow"/>
                <w:b/>
                <w:sz w:val="20"/>
                <w:szCs w:val="20"/>
              </w:rPr>
              <w:t>Proprietary name and manufacturer</w:t>
            </w:r>
          </w:p>
        </w:tc>
      </w:tr>
      <w:tr w:rsidR="005E5992" w:rsidRPr="00B61251" w:rsidTr="00627491">
        <w:tc>
          <w:tcPr>
            <w:tcW w:w="2518" w:type="dxa"/>
          </w:tcPr>
          <w:p w:rsidR="005E5992" w:rsidRPr="00B61251" w:rsidRDefault="005E5992" w:rsidP="0079332B">
            <w:pPr>
              <w:pStyle w:val="Tabletext"/>
            </w:pPr>
            <w:r w:rsidRPr="00B61251">
              <w:t>BEVACIZUMAB</w:t>
            </w:r>
          </w:p>
          <w:p w:rsidR="005E5992" w:rsidRPr="00B61251" w:rsidRDefault="005E5992" w:rsidP="0079332B">
            <w:pPr>
              <w:pStyle w:val="Tabletext"/>
            </w:pPr>
            <w:r w:rsidRPr="00B61251">
              <w:t>100 mg/4 mL injection</w:t>
            </w:r>
          </w:p>
          <w:p w:rsidR="005E5992" w:rsidRPr="00B61251" w:rsidRDefault="005E5992" w:rsidP="0079332B">
            <w:pPr>
              <w:pStyle w:val="Tabletext"/>
            </w:pPr>
            <w:r w:rsidRPr="00B61251">
              <w:t>400 mg/16 mL injection</w:t>
            </w:r>
          </w:p>
        </w:tc>
        <w:tc>
          <w:tcPr>
            <w:tcW w:w="1559" w:type="dxa"/>
          </w:tcPr>
          <w:p w:rsidR="005E5992" w:rsidRPr="00B61251" w:rsidRDefault="005E5992" w:rsidP="0079332B">
            <w:pPr>
              <w:pStyle w:val="Tabletext"/>
              <w:jc w:val="center"/>
            </w:pPr>
            <w:r w:rsidRPr="00B61251">
              <w:t>1,800 mg</w:t>
            </w:r>
          </w:p>
          <w:p w:rsidR="005E5992" w:rsidRPr="00B61251" w:rsidRDefault="005E5992" w:rsidP="0079332B">
            <w:pPr>
              <w:pStyle w:val="Tabletext"/>
              <w:jc w:val="center"/>
            </w:pPr>
          </w:p>
          <w:p w:rsidR="005E5992" w:rsidRPr="00B61251" w:rsidRDefault="005E5992" w:rsidP="0079332B">
            <w:pPr>
              <w:pStyle w:val="Tabletext"/>
              <w:jc w:val="center"/>
            </w:pPr>
            <w:r w:rsidRPr="00B61251">
              <w:t>2 x 100 mg vials,</w:t>
            </w:r>
          </w:p>
          <w:p w:rsidR="005E5992" w:rsidRPr="00B61251" w:rsidRDefault="005E5992" w:rsidP="0079332B">
            <w:pPr>
              <w:pStyle w:val="Tabletext"/>
              <w:jc w:val="center"/>
            </w:pPr>
            <w:r w:rsidRPr="00B61251">
              <w:t>4 x 400 mg vials</w:t>
            </w:r>
          </w:p>
        </w:tc>
        <w:tc>
          <w:tcPr>
            <w:tcW w:w="1276" w:type="dxa"/>
          </w:tcPr>
          <w:p w:rsidR="005E5992" w:rsidRPr="00B61251" w:rsidRDefault="005E5992" w:rsidP="0079332B">
            <w:pPr>
              <w:pStyle w:val="Tabletext"/>
              <w:jc w:val="center"/>
            </w:pPr>
            <w:r w:rsidRPr="00B61251">
              <w:t>Initial: 5</w:t>
            </w:r>
          </w:p>
          <w:p w:rsidR="005E5992" w:rsidRPr="00B61251" w:rsidRDefault="005E5992" w:rsidP="0079332B">
            <w:pPr>
              <w:pStyle w:val="Tabletext"/>
              <w:jc w:val="center"/>
            </w:pPr>
            <w:r w:rsidRPr="00B61251">
              <w:t>Continuing:7</w:t>
            </w:r>
          </w:p>
        </w:tc>
        <w:tc>
          <w:tcPr>
            <w:tcW w:w="2268" w:type="dxa"/>
          </w:tcPr>
          <w:p w:rsidR="005E5992" w:rsidRPr="00B61251" w:rsidRDefault="005E5992" w:rsidP="0079332B">
            <w:pPr>
              <w:pStyle w:val="Tabletext"/>
              <w:ind w:left="317"/>
            </w:pPr>
            <w:r w:rsidRPr="00B61251">
              <w:t>Published price:</w:t>
            </w:r>
          </w:p>
          <w:p w:rsidR="005E5992" w:rsidRPr="00B61251" w:rsidRDefault="005E5992" w:rsidP="0079332B">
            <w:pPr>
              <w:pStyle w:val="Tabletext"/>
              <w:ind w:left="317"/>
            </w:pPr>
            <w:r w:rsidRPr="00B61251">
              <w:t>$7,579.60 (private)</w:t>
            </w:r>
          </w:p>
          <w:p w:rsidR="005E5992" w:rsidRPr="00B61251" w:rsidRDefault="005E5992" w:rsidP="0079332B">
            <w:pPr>
              <w:pStyle w:val="Tabletext"/>
              <w:ind w:left="317"/>
            </w:pPr>
            <w:r w:rsidRPr="00B61251">
              <w:t>$7,437.44 (public)</w:t>
            </w:r>
          </w:p>
          <w:p w:rsidR="005E5992" w:rsidRPr="00B61251" w:rsidRDefault="005E5992" w:rsidP="0079332B">
            <w:pPr>
              <w:pStyle w:val="Tabletext"/>
              <w:ind w:left="317"/>
            </w:pPr>
            <w:r w:rsidRPr="00B61251">
              <w:t>Effective price*</w:t>
            </w:r>
          </w:p>
          <w:p w:rsidR="005E5992" w:rsidRPr="00B61251" w:rsidRDefault="005E5992" w:rsidP="0079332B">
            <w:pPr>
              <w:pStyle w:val="Tabletext"/>
              <w:ind w:left="317"/>
            </w:pPr>
            <w:r w:rsidRPr="00B61251">
              <w:t>$</w:t>
            </w:r>
            <w:r w:rsidR="00DD5455">
              <w:rPr>
                <w:noProof/>
                <w:color w:val="000000"/>
                <w:highlight w:val="black"/>
              </w:rPr>
              <w:t>''''''''''''''''</w:t>
            </w:r>
            <w:r w:rsidRPr="00B61251">
              <w:t xml:space="preserve"> (private)</w:t>
            </w:r>
          </w:p>
          <w:p w:rsidR="005E5992" w:rsidRPr="00B61251" w:rsidRDefault="005E5992" w:rsidP="0079332B">
            <w:pPr>
              <w:pStyle w:val="Tabletext"/>
              <w:ind w:left="317"/>
            </w:pPr>
            <w:r w:rsidRPr="00B61251">
              <w:t>$</w:t>
            </w:r>
            <w:r w:rsidR="00DD5455">
              <w:rPr>
                <w:noProof/>
                <w:color w:val="000000"/>
                <w:highlight w:val="black"/>
              </w:rPr>
              <w:t>''''''''''''''</w:t>
            </w:r>
            <w:r w:rsidRPr="00B61251">
              <w:t xml:space="preserve"> (public)</w:t>
            </w:r>
          </w:p>
        </w:tc>
        <w:tc>
          <w:tcPr>
            <w:tcW w:w="1701" w:type="dxa"/>
          </w:tcPr>
          <w:p w:rsidR="005E5992" w:rsidRPr="00B61251" w:rsidRDefault="005E5992" w:rsidP="0079332B">
            <w:pPr>
              <w:pStyle w:val="Tabletext"/>
              <w:jc w:val="center"/>
            </w:pPr>
            <w:r w:rsidRPr="00B61251">
              <w:t>Avastin</w:t>
            </w:r>
          </w:p>
          <w:p w:rsidR="005E5992" w:rsidRPr="00B61251" w:rsidRDefault="005E5992" w:rsidP="0079332B">
            <w:pPr>
              <w:pStyle w:val="Tabletext"/>
              <w:jc w:val="center"/>
            </w:pPr>
            <w:r w:rsidRPr="00B61251">
              <w:t>Roche Products Pty Ltd</w:t>
            </w:r>
          </w:p>
        </w:tc>
      </w:tr>
    </w:tbl>
    <w:p w:rsidR="005E5992" w:rsidRPr="00B61251" w:rsidRDefault="005E5992" w:rsidP="0079332B">
      <w:pPr>
        <w:widowControl/>
      </w:pPr>
    </w:p>
    <w:p w:rsidR="005E5992" w:rsidRPr="00B61251" w:rsidRDefault="005E5992" w:rsidP="0079332B">
      <w:pPr>
        <w:pStyle w:val="TableHeadingRow"/>
      </w:pPr>
      <w:r w:rsidRPr="00B61251">
        <w:t>EGFR wild type/ALK negative NSQ NSCLC</w:t>
      </w:r>
    </w:p>
    <w:p w:rsidR="008E7953" w:rsidRPr="00B61251" w:rsidRDefault="008E7953" w:rsidP="0079332B">
      <w:pPr>
        <w:pStyle w:val="TableHeadingRow"/>
      </w:pPr>
    </w:p>
    <w:tbl>
      <w:tblPr>
        <w:tblW w:w="9214" w:type="dxa"/>
        <w:tblInd w:w="108" w:type="dxa"/>
        <w:tblLayout w:type="fixed"/>
        <w:tblLook w:val="0000" w:firstRow="0" w:lastRow="0" w:firstColumn="0" w:lastColumn="0" w:noHBand="0" w:noVBand="0"/>
      </w:tblPr>
      <w:tblGrid>
        <w:gridCol w:w="2835"/>
        <w:gridCol w:w="6379"/>
      </w:tblGrid>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 xml:space="preserve">Category / </w:t>
            </w:r>
          </w:p>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t>Section 100 – Efficient funding of Chemotherapy</w:t>
            </w:r>
          </w:p>
          <w:p w:rsidR="008E7953" w:rsidRPr="00B61251" w:rsidRDefault="008E7953" w:rsidP="0079332B">
            <w:pPr>
              <w:widowControl/>
              <w:spacing w:before="20" w:after="20"/>
              <w:jc w:val="left"/>
              <w:rPr>
                <w:rFonts w:eastAsia="Calibri" w:cs="Calibri"/>
                <w:snapToGrid/>
                <w:sz w:val="20"/>
                <w:szCs w:val="20"/>
                <w:lang w:eastAsia="en-AU"/>
              </w:rPr>
            </w:pPr>
            <w:r w:rsidRPr="00B61251">
              <w:rPr>
                <w:rFonts w:eastAsia="Calibri" w:cs="Calibri"/>
                <w:snapToGrid/>
                <w:sz w:val="20"/>
                <w:szCs w:val="20"/>
                <w:lang w:eastAsia="en-AU"/>
              </w:rPr>
              <w:t>Private Hospital/Private Clinic Authority Required (STREAMLINED)</w:t>
            </w:r>
          </w:p>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Public Hospital Authority Required (STREAMLINED)</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Prescriber type:</w:t>
            </w:r>
          </w:p>
          <w:p w:rsidR="008E7953" w:rsidRPr="00B61251" w:rsidRDefault="008E7953" w:rsidP="0079332B">
            <w:pPr>
              <w:widowControl/>
              <w:rPr>
                <w:rFonts w:cs="Calibri"/>
                <w:b/>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1"/>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Dental  </w:t>
            </w:r>
            <w:r w:rsidRPr="00B61251">
              <w:rPr>
                <w:rFonts w:cs="Calibri"/>
                <w:snapToGrid/>
                <w:sz w:val="20"/>
                <w:szCs w:val="20"/>
                <w:lang w:eastAsia="en-AU"/>
              </w:rPr>
              <w:fldChar w:fldCharType="begin">
                <w:ffData>
                  <w:name w:val=""/>
                  <w:enabled/>
                  <w:calcOnExit w:val="0"/>
                  <w:checkBox>
                    <w:sizeAuto/>
                    <w:default w:val="1"/>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Medical Practitioners  </w:t>
            </w:r>
            <w:r w:rsidRPr="00B61251">
              <w:rPr>
                <w:rFonts w:cs="Calibri"/>
                <w:snapToGrid/>
                <w:sz w:val="20"/>
                <w:szCs w:val="20"/>
                <w:lang w:eastAsia="en-AU"/>
              </w:rPr>
              <w:fldChar w:fldCharType="begin">
                <w:ffData>
                  <w:name w:val="Check3"/>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Nurse practitioners  </w:t>
            </w: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Optometrists</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5"/>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Midwives</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lastRenderedPageBreak/>
              <w:t>Severity:</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 xml:space="preserve">Stage IV (metastatic) </w:t>
            </w:r>
            <w:r w:rsidRPr="00B61251">
              <w:rPr>
                <w:rFonts w:eastAsia="Calibri" w:cs="Calibri"/>
                <w:strike/>
                <w:snapToGrid/>
                <w:sz w:val="20"/>
                <w:szCs w:val="20"/>
                <w:lang w:eastAsia="en-AU"/>
              </w:rPr>
              <w:t>previously untreated</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t>Non-small cell lung cancer (NSCLC)</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i/>
                <w:snapToGrid/>
                <w:sz w:val="20"/>
                <w:szCs w:val="20"/>
                <w:lang w:eastAsia="en-AU"/>
              </w:rPr>
            </w:pPr>
            <w:r w:rsidRPr="00B61251">
              <w:rPr>
                <w:rFonts w:cs="Calibri"/>
                <w:b/>
                <w:snapToGrid/>
                <w:sz w:val="20"/>
                <w:szCs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 xml:space="preserve">Stage IV (metastatic) </w:t>
            </w:r>
            <w:r w:rsidRPr="00B61251">
              <w:rPr>
                <w:rFonts w:eastAsia="Calibri" w:cs="Calibri"/>
                <w:strike/>
                <w:snapToGrid/>
                <w:sz w:val="20"/>
                <w:szCs w:val="20"/>
                <w:lang w:eastAsia="en-AU"/>
              </w:rPr>
              <w:t>previously untreated</w:t>
            </w:r>
            <w:r w:rsidRPr="00B61251">
              <w:rPr>
                <w:rFonts w:eastAsia="Calibri" w:cs="Calibri"/>
                <w:snapToGrid/>
                <w:sz w:val="20"/>
                <w:szCs w:val="20"/>
                <w:lang w:eastAsia="en-AU"/>
              </w:rPr>
              <w:t xml:space="preserve"> </w:t>
            </w:r>
            <w:r w:rsidRPr="00B61251">
              <w:rPr>
                <w:rFonts w:eastAsia="Calibri" w:cs="Calibri"/>
                <w:strike/>
                <w:snapToGrid/>
                <w:sz w:val="20"/>
                <w:szCs w:val="20"/>
                <w:lang w:eastAsia="en-AU"/>
              </w:rPr>
              <w:t>non-small cell lung cancer</w:t>
            </w:r>
            <w:r w:rsidRPr="00B61251">
              <w:rPr>
                <w:rFonts w:eastAsia="Calibri" w:cs="Calibri"/>
                <w:snapToGrid/>
                <w:sz w:val="20"/>
                <w:szCs w:val="20"/>
                <w:lang w:eastAsia="en-AU"/>
              </w:rPr>
              <w:t xml:space="preserve"> </w:t>
            </w:r>
            <w:r w:rsidRPr="00B61251">
              <w:rPr>
                <w:rFonts w:eastAsia="Calibri" w:cs="Calibri"/>
                <w:i/>
                <w:snapToGrid/>
                <w:sz w:val="20"/>
                <w:szCs w:val="20"/>
                <w:lang w:eastAsia="en-AU"/>
              </w:rPr>
              <w:t>NSCLC</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i/>
                <w:snapToGrid/>
                <w:sz w:val="20"/>
                <w:szCs w:val="20"/>
                <w:lang w:eastAsia="en-AU"/>
              </w:rPr>
            </w:pPr>
            <w:r w:rsidRPr="00B61251">
              <w:rPr>
                <w:rFonts w:cs="Calibri"/>
                <w:b/>
                <w:snapToGrid/>
                <w:sz w:val="20"/>
                <w:szCs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Initial treatment</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Restriction Level / Method:</w:t>
            </w:r>
          </w:p>
          <w:p w:rsidR="008E7953" w:rsidRPr="00B61251" w:rsidRDefault="008E7953" w:rsidP="0079332B">
            <w:pPr>
              <w:widowControl/>
              <w:jc w:val="left"/>
              <w:rPr>
                <w:rFonts w:cs="Calibri"/>
                <w:i/>
                <w:snapToGrid/>
                <w:sz w:val="20"/>
                <w:szCs w:val="20"/>
                <w:highlight w:val="yellow"/>
                <w:lang w:eastAsia="en-AU"/>
              </w:rPr>
            </w:pPr>
          </w:p>
          <w:p w:rsidR="008E7953" w:rsidRPr="00B61251" w:rsidRDefault="008E7953" w:rsidP="0079332B">
            <w:pPr>
              <w:widowControl/>
              <w:jc w:val="left"/>
              <w:rPr>
                <w:rFonts w:cs="Calibri"/>
                <w:i/>
                <w:snapToGrid/>
                <w:sz w:val="20"/>
                <w:szCs w:val="20"/>
                <w:lang w:eastAsia="en-AU"/>
              </w:rPr>
            </w:pPr>
          </w:p>
          <w:p w:rsidR="008E7953" w:rsidRPr="00B61251" w:rsidRDefault="008E7953" w:rsidP="0079332B">
            <w:pPr>
              <w:widowControl/>
              <w:jc w:val="left"/>
              <w:rPr>
                <w:rFonts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1"/>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Restricted benefit</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In Writing</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3"/>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Telephone</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Emergency</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5"/>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Electronic</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1"/>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Streamlined</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b/>
                <w:snapToGrid/>
                <w:sz w:val="20"/>
                <w:szCs w:val="20"/>
                <w:lang w:eastAsia="en-AU"/>
              </w:rPr>
            </w:pPr>
            <w:r w:rsidRPr="00B61251">
              <w:rPr>
                <w:rFonts w:cs="Calibri"/>
                <w:b/>
                <w:snapToGrid/>
                <w:sz w:val="20"/>
                <w:szCs w:val="20"/>
                <w:lang w:eastAsia="en-AU"/>
              </w:rPr>
              <w:t>Treatment criteria:</w:t>
            </w:r>
          </w:p>
          <w:p w:rsidR="008E7953" w:rsidRPr="00B61251" w:rsidRDefault="008E7953" w:rsidP="0079332B">
            <w:pPr>
              <w:widowControl/>
              <w:jc w:val="left"/>
              <w:rPr>
                <w:rFonts w:cs="Calibr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ascii="Times New Roman" w:hAnsi="Times New Roman" w:cs="Times New Roman"/>
                <w:snapToGrid/>
                <w:szCs w:val="24"/>
                <w:lang w:eastAsia="en-AU"/>
              </w:rPr>
            </w:pPr>
            <w:r w:rsidRPr="00B61251">
              <w:rPr>
                <w:rFonts w:eastAsia="Calibri" w:cs="Calibri"/>
                <w:i/>
                <w:snapToGrid/>
                <w:sz w:val="20"/>
                <w:szCs w:val="20"/>
              </w:rPr>
              <w:t xml:space="preserve">Patient must be undergoing combination treatment </w:t>
            </w:r>
            <w:r w:rsidRPr="00B61251">
              <w:rPr>
                <w:rFonts w:eastAsia="Calibri" w:cs="Calibri"/>
                <w:snapToGrid/>
                <w:sz w:val="20"/>
                <w:szCs w:val="20"/>
                <w:lang w:eastAsia="en-AU"/>
              </w:rPr>
              <w:t>with atezolizumab and platinum-doublet chemotherapy</w:t>
            </w:r>
            <w:r w:rsidR="00B61251">
              <w:rPr>
                <w:rFonts w:eastAsia="Calibri" w:cs="Calibri"/>
                <w:snapToGrid/>
                <w:sz w:val="20"/>
                <w:szCs w:val="20"/>
                <w:lang w:eastAsia="en-AU"/>
              </w:rPr>
              <w:t xml:space="preserve">. </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Clinical criteria:</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 xml:space="preserve">The condition must be non-squamous type non-small cell lung cancer (NSCLC) </w:t>
            </w:r>
            <w:r w:rsidRPr="00B61251">
              <w:rPr>
                <w:rFonts w:eastAsia="Calibri" w:cs="Calibri"/>
                <w:strike/>
                <w:snapToGrid/>
                <w:sz w:val="20"/>
                <w:szCs w:val="20"/>
              </w:rPr>
              <w:t>or not otherwise specified type NSCLC</w:t>
            </w:r>
            <w:r w:rsidRPr="00B61251">
              <w:rPr>
                <w:rFonts w:eastAsia="Calibri" w:cs="Calibri"/>
                <w:snapToGrid/>
                <w:sz w:val="20"/>
                <w:szCs w:val="20"/>
              </w:rPr>
              <w:t xml:space="preserve">, </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AND</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Patient must not have been treated for this condition in the metastatic setting,</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AND</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 xml:space="preserve">Patient must have a WHO performance status of </w:t>
            </w:r>
            <w:r w:rsidRPr="00B61251">
              <w:rPr>
                <w:rFonts w:eastAsia="Calibri" w:cs="Calibri"/>
                <w:i/>
                <w:snapToGrid/>
                <w:sz w:val="20"/>
                <w:szCs w:val="20"/>
              </w:rPr>
              <w:t>0 or 1</w:t>
            </w:r>
            <w:r w:rsidRPr="00B61251">
              <w:rPr>
                <w:rFonts w:eastAsia="Calibri" w:cs="Calibri"/>
                <w:strike/>
                <w:snapToGrid/>
                <w:sz w:val="20"/>
                <w:szCs w:val="20"/>
              </w:rPr>
              <w:t xml:space="preserve"> 1 or less</w:t>
            </w:r>
            <w:r w:rsidRPr="00B61251">
              <w:rPr>
                <w:rFonts w:eastAsia="Calibri" w:cs="Calibri"/>
                <w:snapToGrid/>
                <w:sz w:val="20"/>
                <w:szCs w:val="20"/>
              </w:rPr>
              <w:t xml:space="preserve">, </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t>AND</w:t>
            </w:r>
          </w:p>
          <w:p w:rsidR="008E7953" w:rsidRPr="00B61251" w:rsidRDefault="008E7953" w:rsidP="0079332B">
            <w:pPr>
              <w:widowControl/>
              <w:rPr>
                <w:rFonts w:cs="Calibri"/>
                <w:snapToGrid/>
                <w:sz w:val="20"/>
                <w:szCs w:val="20"/>
                <w:lang w:eastAsia="en-AU"/>
              </w:rPr>
            </w:pPr>
            <w:r w:rsidRPr="00B61251">
              <w:rPr>
                <w:rFonts w:cs="Calibri"/>
                <w:i/>
                <w:snapToGrid/>
                <w:sz w:val="20"/>
                <w:szCs w:val="20"/>
                <w:lang w:eastAsia="en-AU"/>
              </w:rPr>
              <w:t>The condition must not have evidence of an activating epidermal growth factor receptor (EGFR) gene mutation or an anaplastic lymphoma kinase (ALK) gene rearrangement in tumour material.</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Administrative Advice</w:t>
            </w:r>
          </w:p>
          <w:p w:rsidR="008E7953" w:rsidRPr="00B61251" w:rsidRDefault="008E7953" w:rsidP="0079332B">
            <w:pPr>
              <w:widowControl/>
              <w:rPr>
                <w:rFonts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eastAsia="Calibri" w:cs="Calibri"/>
                <w:snapToGrid/>
                <w:sz w:val="20"/>
                <w:szCs w:val="20"/>
                <w:lang w:eastAsia="en-AU"/>
              </w:rPr>
            </w:pPr>
            <w:r w:rsidRPr="00B61251">
              <w:rPr>
                <w:rFonts w:eastAsia="Calibri" w:cs="Calibri"/>
                <w:snapToGrid/>
                <w:sz w:val="20"/>
                <w:szCs w:val="20"/>
                <w:lang w:eastAsia="en-AU"/>
              </w:rPr>
              <w:t>No increase in the maximum number of repeats may be authorised.</w:t>
            </w:r>
          </w:p>
          <w:p w:rsidR="008E7953" w:rsidRPr="00B61251" w:rsidRDefault="008E7953" w:rsidP="0079332B">
            <w:pPr>
              <w:widowControl/>
              <w:jc w:val="left"/>
              <w:rPr>
                <w:rFonts w:eastAsia="Calibri" w:cs="Calibri"/>
                <w:snapToGrid/>
                <w:sz w:val="20"/>
                <w:szCs w:val="20"/>
                <w:lang w:eastAsia="en-AU"/>
              </w:rPr>
            </w:pPr>
          </w:p>
          <w:p w:rsidR="008E7953" w:rsidRPr="00B61251" w:rsidRDefault="008E7953" w:rsidP="0079332B">
            <w:pPr>
              <w:widowControl/>
              <w:jc w:val="left"/>
              <w:rPr>
                <w:rFonts w:cs="Calibri"/>
                <w:snapToGrid/>
                <w:sz w:val="20"/>
                <w:szCs w:val="20"/>
                <w:lang w:eastAsia="en-AU"/>
              </w:rPr>
            </w:pPr>
            <w:r w:rsidRPr="00B61251">
              <w:rPr>
                <w:rFonts w:eastAsia="Calibri" w:cs="Calibri"/>
                <w:i/>
                <w:snapToGrid/>
                <w:sz w:val="20"/>
                <w:szCs w:val="20"/>
                <w:lang w:eastAsia="en-AU"/>
              </w:rPr>
              <w:t>Special pricing arrangements apply.</w:t>
            </w:r>
          </w:p>
        </w:tc>
      </w:tr>
    </w:tbl>
    <w:p w:rsidR="008E7953" w:rsidRPr="00B61251" w:rsidRDefault="008E7953" w:rsidP="0079332B">
      <w:pPr>
        <w:pStyle w:val="TableHeadingRow"/>
      </w:pPr>
    </w:p>
    <w:p w:rsidR="005E5992" w:rsidRPr="00B61251" w:rsidRDefault="005E5992" w:rsidP="0079332B">
      <w:pPr>
        <w:pStyle w:val="TableHeadingRow"/>
      </w:pPr>
      <w:r w:rsidRPr="00B61251">
        <w:t>EGFR mutant type/ALK positive NSQ NSCLC</w:t>
      </w:r>
    </w:p>
    <w:p w:rsidR="008E7953" w:rsidRPr="00B61251" w:rsidRDefault="008E7953" w:rsidP="0079332B">
      <w:pPr>
        <w:pStyle w:val="TableHeadingRow"/>
      </w:pPr>
    </w:p>
    <w:tbl>
      <w:tblPr>
        <w:tblW w:w="9214" w:type="dxa"/>
        <w:tblInd w:w="108" w:type="dxa"/>
        <w:tblLayout w:type="fixed"/>
        <w:tblLook w:val="0000" w:firstRow="0" w:lastRow="0" w:firstColumn="0" w:lastColumn="0" w:noHBand="0" w:noVBand="0"/>
      </w:tblPr>
      <w:tblGrid>
        <w:gridCol w:w="2835"/>
        <w:gridCol w:w="6379"/>
      </w:tblGrid>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 xml:space="preserve">Category / </w:t>
            </w:r>
          </w:p>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t>Section 100 – Efficient funding of Chemotherapy</w:t>
            </w:r>
          </w:p>
          <w:p w:rsidR="008E7953" w:rsidRPr="00B61251" w:rsidRDefault="008E7953" w:rsidP="0079332B">
            <w:pPr>
              <w:widowControl/>
              <w:spacing w:before="20" w:after="20"/>
              <w:jc w:val="left"/>
              <w:rPr>
                <w:rFonts w:eastAsia="Calibri" w:cs="Calibri"/>
                <w:snapToGrid/>
                <w:sz w:val="20"/>
                <w:szCs w:val="20"/>
                <w:lang w:eastAsia="en-AU"/>
              </w:rPr>
            </w:pPr>
            <w:r w:rsidRPr="00B61251">
              <w:rPr>
                <w:rFonts w:eastAsia="Calibri" w:cs="Calibri"/>
                <w:snapToGrid/>
                <w:sz w:val="20"/>
                <w:szCs w:val="20"/>
                <w:lang w:eastAsia="en-AU"/>
              </w:rPr>
              <w:t>Private Hospital/Private Clinic Authority Required (STREAMLINED)</w:t>
            </w:r>
          </w:p>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Public Hospital Authority Required (STREAMLINED)</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Prescriber type:</w:t>
            </w:r>
          </w:p>
          <w:p w:rsidR="008E7953" w:rsidRPr="00B61251" w:rsidRDefault="008E7953" w:rsidP="0079332B">
            <w:pPr>
              <w:widowControl/>
              <w:rPr>
                <w:rFonts w:cs="Calibri"/>
                <w:b/>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1"/>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Dental  </w:t>
            </w:r>
            <w:r w:rsidRPr="00B61251">
              <w:rPr>
                <w:rFonts w:cs="Calibri"/>
                <w:snapToGrid/>
                <w:sz w:val="20"/>
                <w:szCs w:val="20"/>
                <w:lang w:eastAsia="en-AU"/>
              </w:rPr>
              <w:fldChar w:fldCharType="begin">
                <w:ffData>
                  <w:name w:val=""/>
                  <w:enabled/>
                  <w:calcOnExit w:val="0"/>
                  <w:checkBox>
                    <w:sizeAuto/>
                    <w:default w:val="1"/>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Medical Practitioners  </w:t>
            </w:r>
            <w:r w:rsidRPr="00B61251">
              <w:rPr>
                <w:rFonts w:cs="Calibri"/>
                <w:snapToGrid/>
                <w:sz w:val="20"/>
                <w:szCs w:val="20"/>
                <w:lang w:eastAsia="en-AU"/>
              </w:rPr>
              <w:fldChar w:fldCharType="begin">
                <w:ffData>
                  <w:name w:val="Check3"/>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 xml:space="preserve">Nurse practitioners  </w:t>
            </w: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Optometrists</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5"/>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Midwives</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 xml:space="preserve">Stage IV (metastatic) </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trike/>
                <w:snapToGrid/>
                <w:sz w:val="20"/>
                <w:szCs w:val="20"/>
                <w:lang w:eastAsia="en-AU"/>
              </w:rPr>
              <w:t>Non squamous</w:t>
            </w:r>
            <w:r w:rsidRPr="00B61251">
              <w:rPr>
                <w:rFonts w:cs="Calibri"/>
                <w:snapToGrid/>
                <w:sz w:val="20"/>
                <w:szCs w:val="20"/>
                <w:lang w:eastAsia="en-AU"/>
              </w:rPr>
              <w:t xml:space="preserve"> Non-small cell lung cancer (NSCLC)</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i/>
                <w:snapToGrid/>
                <w:sz w:val="20"/>
                <w:szCs w:val="20"/>
                <w:lang w:eastAsia="en-AU"/>
              </w:rPr>
            </w:pPr>
            <w:r w:rsidRPr="00B61251">
              <w:rPr>
                <w:rFonts w:cs="Calibri"/>
                <w:b/>
                <w:snapToGrid/>
                <w:sz w:val="20"/>
                <w:szCs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 xml:space="preserve">Stage IV (metastatic) </w:t>
            </w:r>
            <w:r w:rsidRPr="00B61251">
              <w:rPr>
                <w:rFonts w:eastAsia="Calibri" w:cs="Calibri"/>
                <w:strike/>
                <w:snapToGrid/>
                <w:sz w:val="20"/>
                <w:szCs w:val="20"/>
                <w:lang w:eastAsia="en-AU"/>
              </w:rPr>
              <w:t xml:space="preserve">non-small cell lung cancer </w:t>
            </w:r>
            <w:r w:rsidRPr="00B61251">
              <w:rPr>
                <w:rFonts w:eastAsia="Calibri" w:cs="Calibri"/>
                <w:i/>
                <w:snapToGrid/>
                <w:sz w:val="20"/>
                <w:szCs w:val="20"/>
                <w:lang w:eastAsia="en-AU"/>
              </w:rPr>
              <w:t>NSCLC</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i/>
                <w:snapToGrid/>
                <w:sz w:val="20"/>
                <w:szCs w:val="20"/>
                <w:lang w:eastAsia="en-AU"/>
              </w:rPr>
            </w:pPr>
            <w:r w:rsidRPr="00B61251">
              <w:rPr>
                <w:rFonts w:cs="Calibri"/>
                <w:b/>
                <w:snapToGrid/>
                <w:sz w:val="20"/>
                <w:szCs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eastAsia="Calibri" w:cs="Calibri"/>
                <w:snapToGrid/>
                <w:sz w:val="20"/>
                <w:szCs w:val="20"/>
                <w:lang w:eastAsia="en-AU"/>
              </w:rPr>
              <w:t>Initial treatment</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Restriction Level / Method:</w:t>
            </w:r>
          </w:p>
          <w:p w:rsidR="008E7953" w:rsidRPr="00B61251" w:rsidRDefault="008E7953" w:rsidP="0079332B">
            <w:pPr>
              <w:widowControl/>
              <w:jc w:val="left"/>
              <w:rPr>
                <w:rFonts w:cs="Calibri"/>
                <w:i/>
                <w:snapToGrid/>
                <w:sz w:val="20"/>
                <w:szCs w:val="20"/>
                <w:highlight w:val="yellow"/>
                <w:lang w:eastAsia="en-AU"/>
              </w:rPr>
            </w:pPr>
          </w:p>
          <w:p w:rsidR="008E7953" w:rsidRPr="00B61251" w:rsidRDefault="008E7953" w:rsidP="0079332B">
            <w:pPr>
              <w:widowControl/>
              <w:jc w:val="left"/>
              <w:rPr>
                <w:rFonts w:cs="Calibri"/>
                <w:i/>
                <w:snapToGrid/>
                <w:sz w:val="20"/>
                <w:szCs w:val="20"/>
                <w:lang w:eastAsia="en-AU"/>
              </w:rPr>
            </w:pPr>
          </w:p>
          <w:p w:rsidR="008E7953" w:rsidRPr="00B61251" w:rsidRDefault="008E7953" w:rsidP="0079332B">
            <w:pPr>
              <w:widowControl/>
              <w:jc w:val="left"/>
              <w:rPr>
                <w:rFonts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1"/>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Restricted benefit</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In Writing</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3"/>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Telephone</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Emergency</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Check5"/>
                  <w:enabled/>
                  <w:calcOnExit w:val="0"/>
                  <w:checkBox>
                    <w:sizeAuto/>
                    <w:default w:val="0"/>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Authority Required - Electronic</w:t>
            </w:r>
          </w:p>
          <w:p w:rsidR="008E7953" w:rsidRPr="00B61251" w:rsidRDefault="008E7953" w:rsidP="0079332B">
            <w:pPr>
              <w:widowControl/>
              <w:jc w:val="left"/>
              <w:rPr>
                <w:rFonts w:cs="Calibri"/>
                <w:snapToGrid/>
                <w:sz w:val="20"/>
                <w:szCs w:val="20"/>
                <w:lang w:eastAsia="en-AU"/>
              </w:rPr>
            </w:pPr>
            <w:r w:rsidRPr="00B61251">
              <w:rPr>
                <w:rFonts w:cs="Calibri"/>
                <w:snapToGrid/>
                <w:sz w:val="20"/>
                <w:szCs w:val="20"/>
                <w:lang w:eastAsia="en-AU"/>
              </w:rPr>
              <w:fldChar w:fldCharType="begin">
                <w:ffData>
                  <w:name w:val=""/>
                  <w:enabled/>
                  <w:calcOnExit w:val="0"/>
                  <w:checkBox>
                    <w:sizeAuto/>
                    <w:default w:val="1"/>
                  </w:checkBox>
                </w:ffData>
              </w:fldChar>
            </w:r>
            <w:r w:rsidRPr="00B61251">
              <w:rPr>
                <w:rFonts w:cs="Calibri"/>
                <w:snapToGrid/>
                <w:sz w:val="20"/>
                <w:szCs w:val="20"/>
                <w:lang w:eastAsia="en-AU"/>
              </w:rPr>
              <w:instrText xml:space="preserve"> FORMCHECKBOX </w:instrText>
            </w:r>
            <w:r w:rsidR="00106C88">
              <w:rPr>
                <w:rFonts w:cs="Calibri"/>
                <w:snapToGrid/>
                <w:sz w:val="20"/>
                <w:szCs w:val="20"/>
                <w:lang w:eastAsia="en-AU"/>
              </w:rPr>
            </w:r>
            <w:r w:rsidR="00106C88">
              <w:rPr>
                <w:rFonts w:cs="Calibri"/>
                <w:snapToGrid/>
                <w:sz w:val="20"/>
                <w:szCs w:val="20"/>
                <w:lang w:eastAsia="en-AU"/>
              </w:rPr>
              <w:fldChar w:fldCharType="separate"/>
            </w:r>
            <w:r w:rsidRPr="00B61251">
              <w:rPr>
                <w:rFonts w:cs="Calibri"/>
                <w:snapToGrid/>
                <w:sz w:val="20"/>
                <w:szCs w:val="20"/>
                <w:lang w:eastAsia="en-AU"/>
              </w:rPr>
              <w:fldChar w:fldCharType="end"/>
            </w:r>
            <w:r w:rsidRPr="00B61251">
              <w:rPr>
                <w:rFonts w:cs="Calibri"/>
                <w:snapToGrid/>
                <w:sz w:val="20"/>
                <w:szCs w:val="20"/>
                <w:lang w:eastAsia="en-AU"/>
              </w:rPr>
              <w:t>Streamlined</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cs="Calibri"/>
                <w:b/>
                <w:snapToGrid/>
                <w:sz w:val="20"/>
                <w:szCs w:val="20"/>
                <w:lang w:eastAsia="en-AU"/>
              </w:rPr>
            </w:pPr>
            <w:r w:rsidRPr="00B61251">
              <w:rPr>
                <w:rFonts w:cs="Calibri"/>
                <w:b/>
                <w:snapToGrid/>
                <w:sz w:val="20"/>
                <w:szCs w:val="20"/>
                <w:lang w:eastAsia="en-AU"/>
              </w:rPr>
              <w:t>Treatment criteria:</w:t>
            </w:r>
          </w:p>
          <w:p w:rsidR="008E7953" w:rsidRPr="00B61251" w:rsidRDefault="008E7953" w:rsidP="0079332B">
            <w:pPr>
              <w:widowControl/>
              <w:jc w:val="left"/>
              <w:rPr>
                <w:rFonts w:cs="Calibr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spacing w:before="20" w:after="20"/>
              <w:rPr>
                <w:rFonts w:eastAsia="Calibri" w:cs="Calibri"/>
                <w:snapToGrid/>
                <w:sz w:val="20"/>
                <w:szCs w:val="20"/>
              </w:rPr>
            </w:pPr>
            <w:r w:rsidRPr="00B61251">
              <w:rPr>
                <w:rFonts w:eastAsia="Calibri" w:cs="Calibri"/>
                <w:i/>
                <w:snapToGrid/>
                <w:sz w:val="20"/>
                <w:szCs w:val="20"/>
              </w:rPr>
              <w:t xml:space="preserve">Patient must be undergoing combination treatment </w:t>
            </w:r>
            <w:r w:rsidRPr="00B61251">
              <w:rPr>
                <w:rFonts w:eastAsia="Calibri" w:cs="Calibri"/>
                <w:snapToGrid/>
                <w:sz w:val="20"/>
                <w:szCs w:val="20"/>
              </w:rPr>
              <w:t xml:space="preserve">with </w:t>
            </w:r>
            <w:r w:rsidR="00007784">
              <w:rPr>
                <w:rFonts w:eastAsia="Calibri" w:cs="Calibri"/>
                <w:snapToGrid/>
                <w:sz w:val="20"/>
                <w:szCs w:val="20"/>
              </w:rPr>
              <w:t>atezolizumab</w:t>
            </w:r>
            <w:r w:rsidR="00007784" w:rsidRPr="00B61251">
              <w:rPr>
                <w:rFonts w:eastAsia="Calibri" w:cs="Calibri"/>
                <w:snapToGrid/>
                <w:sz w:val="20"/>
                <w:szCs w:val="20"/>
              </w:rPr>
              <w:t xml:space="preserve"> </w:t>
            </w:r>
            <w:r w:rsidRPr="00B61251">
              <w:rPr>
                <w:rFonts w:eastAsia="Calibri" w:cs="Calibri"/>
                <w:snapToGrid/>
                <w:sz w:val="20"/>
                <w:szCs w:val="20"/>
              </w:rPr>
              <w:t>and platinum-doublet chemotherapy.</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lastRenderedPageBreak/>
              <w:t>Clinical criteria:</w:t>
            </w: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 xml:space="preserve">The condition must be non-squamous type non-small cell lung cancer (NSCLC) </w:t>
            </w:r>
            <w:r w:rsidRPr="00B61251">
              <w:rPr>
                <w:rFonts w:eastAsia="Calibri" w:cs="Calibri"/>
                <w:strike/>
                <w:snapToGrid/>
                <w:sz w:val="20"/>
                <w:szCs w:val="20"/>
              </w:rPr>
              <w:t>or not otherwise specified type NSCLC</w:t>
            </w:r>
            <w:r w:rsidRPr="00B61251">
              <w:rPr>
                <w:rFonts w:eastAsia="Calibri" w:cs="Calibri"/>
                <w:snapToGrid/>
                <w:sz w:val="20"/>
                <w:szCs w:val="20"/>
              </w:rPr>
              <w:t xml:space="preserve">, </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AND</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 xml:space="preserve">Patient must have a WHO performance status of </w:t>
            </w:r>
            <w:r w:rsidRPr="00B61251">
              <w:rPr>
                <w:rFonts w:eastAsia="Calibri" w:cs="Calibri"/>
                <w:i/>
                <w:snapToGrid/>
                <w:sz w:val="20"/>
                <w:szCs w:val="20"/>
              </w:rPr>
              <w:t>0 or 1</w:t>
            </w:r>
            <w:r w:rsidRPr="00B61251">
              <w:rPr>
                <w:rFonts w:eastAsia="Calibri" w:cs="Calibri"/>
                <w:strike/>
                <w:snapToGrid/>
                <w:sz w:val="20"/>
                <w:szCs w:val="20"/>
              </w:rPr>
              <w:t xml:space="preserve"> 1 or less</w:t>
            </w:r>
            <w:r w:rsidRPr="00B61251">
              <w:rPr>
                <w:rFonts w:eastAsia="Calibri" w:cs="Calibri"/>
                <w:snapToGrid/>
                <w:sz w:val="20"/>
                <w:szCs w:val="20"/>
              </w:rPr>
              <w:t xml:space="preserve">, </w:t>
            </w:r>
          </w:p>
          <w:p w:rsidR="008E7953" w:rsidRPr="00B61251" w:rsidRDefault="008E7953" w:rsidP="0079332B">
            <w:pPr>
              <w:widowControl/>
              <w:jc w:val="left"/>
              <w:rPr>
                <w:rFonts w:cs="Calibri"/>
                <w:i/>
                <w:snapToGrid/>
                <w:sz w:val="20"/>
                <w:szCs w:val="20"/>
                <w:lang w:eastAsia="en-AU"/>
              </w:rPr>
            </w:pPr>
            <w:r w:rsidRPr="00B61251">
              <w:rPr>
                <w:rFonts w:cs="Calibri"/>
                <w:i/>
                <w:snapToGrid/>
                <w:sz w:val="20"/>
                <w:szCs w:val="20"/>
                <w:lang w:eastAsia="en-AU"/>
              </w:rPr>
              <w:t>AND</w:t>
            </w:r>
          </w:p>
          <w:p w:rsidR="008E7953" w:rsidRPr="00B61251" w:rsidRDefault="008E7953" w:rsidP="0079332B">
            <w:pPr>
              <w:widowControl/>
              <w:spacing w:before="20" w:after="20"/>
              <w:jc w:val="left"/>
              <w:rPr>
                <w:rFonts w:eastAsia="Calibri" w:cs="Calibri"/>
                <w:i/>
                <w:snapToGrid/>
                <w:sz w:val="20"/>
                <w:szCs w:val="20"/>
                <w:lang w:eastAsia="en-AU"/>
              </w:rPr>
            </w:pPr>
            <w:r w:rsidRPr="00B61251">
              <w:rPr>
                <w:rFonts w:eastAsia="Calibri" w:cs="Calibri"/>
                <w:snapToGrid/>
                <w:sz w:val="20"/>
                <w:szCs w:val="20"/>
                <w:lang w:eastAsia="en-AU"/>
              </w:rPr>
              <w:t xml:space="preserve"> </w:t>
            </w:r>
            <w:r w:rsidRPr="00B61251">
              <w:rPr>
                <w:rFonts w:eastAsia="Calibri" w:cs="Calibri"/>
                <w:i/>
                <w:snapToGrid/>
                <w:sz w:val="20"/>
                <w:szCs w:val="20"/>
                <w:lang w:eastAsia="en-AU"/>
              </w:rPr>
              <w:t>Patient must have evidence of an activating epidermal growth factor receptor (EGFR) gene or of an anaplastic lymphoma kinase (ALK) gene rearrangement in tumour material.</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AND</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Patient must have progressive disease following treatment</w:t>
            </w:r>
            <w:r w:rsidRPr="00B61251">
              <w:rPr>
                <w:rFonts w:eastAsia="Calibri" w:cs="Calibri"/>
                <w:i/>
                <w:snapToGrid/>
                <w:sz w:val="20"/>
                <w:szCs w:val="20"/>
              </w:rPr>
              <w:t xml:space="preserve"> </w:t>
            </w:r>
            <w:r w:rsidRPr="00B61251">
              <w:rPr>
                <w:rFonts w:eastAsia="Calibri" w:cs="Calibri"/>
                <w:snapToGrid/>
                <w:sz w:val="20"/>
                <w:szCs w:val="20"/>
              </w:rPr>
              <w:t>with epidermal growth factor receptor</w:t>
            </w:r>
            <w:r w:rsidRPr="00B61251">
              <w:rPr>
                <w:rFonts w:eastAsia="Calibri" w:cs="Calibri"/>
                <w:i/>
                <w:snapToGrid/>
                <w:sz w:val="20"/>
                <w:szCs w:val="20"/>
              </w:rPr>
              <w:t>s</w:t>
            </w:r>
            <w:r w:rsidRPr="00B61251">
              <w:rPr>
                <w:rFonts w:eastAsia="Calibri" w:cs="Calibri"/>
                <w:snapToGrid/>
                <w:sz w:val="20"/>
                <w:szCs w:val="20"/>
              </w:rPr>
              <w:t xml:space="preserve"> (EGFR) OR anaplastic lymphoma kinase (ALK) tyrosine kinase inhibitor</w:t>
            </w:r>
            <w:r w:rsidRPr="00B61251">
              <w:rPr>
                <w:rFonts w:eastAsia="Calibri" w:cs="Calibri"/>
                <w:i/>
                <w:snapToGrid/>
                <w:sz w:val="20"/>
                <w:szCs w:val="20"/>
              </w:rPr>
              <w:t>s</w:t>
            </w:r>
            <w:r w:rsidRPr="00B61251">
              <w:rPr>
                <w:rFonts w:eastAsia="Calibri" w:cs="Calibri"/>
                <w:snapToGrid/>
                <w:sz w:val="20"/>
                <w:szCs w:val="20"/>
              </w:rPr>
              <w:t xml:space="preserve"> (TKI),</w:t>
            </w:r>
          </w:p>
          <w:p w:rsidR="008E7953" w:rsidRPr="00B61251" w:rsidRDefault="008E7953" w:rsidP="0079332B">
            <w:pPr>
              <w:widowControl/>
              <w:spacing w:before="20" w:after="20"/>
              <w:rPr>
                <w:rFonts w:eastAsia="Calibri" w:cs="Calibri"/>
                <w:snapToGrid/>
                <w:sz w:val="20"/>
                <w:szCs w:val="20"/>
              </w:rPr>
            </w:pPr>
            <w:r w:rsidRPr="00B61251">
              <w:rPr>
                <w:rFonts w:eastAsia="Calibri" w:cs="Calibri"/>
                <w:snapToGrid/>
                <w:sz w:val="20"/>
                <w:szCs w:val="20"/>
              </w:rPr>
              <w:t>AND</w:t>
            </w:r>
          </w:p>
          <w:p w:rsidR="008E7953" w:rsidRPr="00B61251" w:rsidRDefault="008E7953" w:rsidP="0079332B">
            <w:pPr>
              <w:widowControl/>
              <w:rPr>
                <w:rFonts w:cs="Calibri"/>
                <w:snapToGrid/>
                <w:sz w:val="20"/>
                <w:szCs w:val="20"/>
                <w:lang w:eastAsia="en-AU"/>
              </w:rPr>
            </w:pPr>
            <w:r w:rsidRPr="00B61251">
              <w:rPr>
                <w:rFonts w:cs="Calibri"/>
                <w:snapToGrid/>
                <w:sz w:val="20"/>
                <w:szCs w:val="20"/>
                <w:lang w:eastAsia="en-AU"/>
              </w:rPr>
              <w:t>Patient must not have received prior treatment with a programmed cell death-1 (PD-1) inhibitor or a programmed cell death ligand-1 (PD-L1) inhibitor for this condition</w:t>
            </w:r>
          </w:p>
        </w:tc>
      </w:tr>
      <w:tr w:rsidR="008E7953" w:rsidRPr="00B61251" w:rsidTr="008B216B">
        <w:trPr>
          <w:cantSplit/>
          <w:trHeight w:val="360"/>
        </w:trPr>
        <w:tc>
          <w:tcPr>
            <w:tcW w:w="2835"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rPr>
                <w:rFonts w:cs="Calibri"/>
                <w:b/>
                <w:snapToGrid/>
                <w:sz w:val="20"/>
                <w:szCs w:val="20"/>
                <w:lang w:eastAsia="en-AU"/>
              </w:rPr>
            </w:pPr>
            <w:r w:rsidRPr="00B61251">
              <w:rPr>
                <w:rFonts w:cs="Calibri"/>
                <w:b/>
                <w:snapToGrid/>
                <w:sz w:val="20"/>
                <w:szCs w:val="20"/>
                <w:lang w:eastAsia="en-AU"/>
              </w:rPr>
              <w:t>Administrative Advice</w:t>
            </w:r>
          </w:p>
          <w:p w:rsidR="008E7953" w:rsidRPr="00B61251" w:rsidRDefault="008E7953" w:rsidP="0079332B">
            <w:pPr>
              <w:widowControl/>
              <w:rPr>
                <w:rFonts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8E7953" w:rsidRPr="00B61251" w:rsidRDefault="008E7953" w:rsidP="0079332B">
            <w:pPr>
              <w:widowControl/>
              <w:jc w:val="left"/>
              <w:rPr>
                <w:rFonts w:eastAsia="Calibri" w:cs="Calibri"/>
                <w:snapToGrid/>
                <w:sz w:val="20"/>
                <w:szCs w:val="20"/>
                <w:lang w:eastAsia="en-AU"/>
              </w:rPr>
            </w:pPr>
            <w:r w:rsidRPr="00B61251">
              <w:rPr>
                <w:rFonts w:eastAsia="Calibri" w:cs="Calibri"/>
                <w:snapToGrid/>
                <w:sz w:val="20"/>
                <w:szCs w:val="20"/>
                <w:lang w:eastAsia="en-AU"/>
              </w:rPr>
              <w:t>No increase in the maximum number of repeats may be authorised.</w:t>
            </w:r>
          </w:p>
          <w:p w:rsidR="008E7953" w:rsidRPr="00B61251" w:rsidRDefault="008E7953" w:rsidP="0079332B">
            <w:pPr>
              <w:widowControl/>
              <w:jc w:val="left"/>
              <w:rPr>
                <w:rFonts w:eastAsia="Calibri" w:cs="Calibri"/>
                <w:snapToGrid/>
                <w:sz w:val="20"/>
                <w:szCs w:val="20"/>
                <w:lang w:eastAsia="en-AU"/>
              </w:rPr>
            </w:pPr>
          </w:p>
          <w:p w:rsidR="008E7953" w:rsidRPr="00B61251" w:rsidRDefault="008E7953" w:rsidP="0079332B">
            <w:pPr>
              <w:widowControl/>
              <w:jc w:val="left"/>
              <w:rPr>
                <w:rFonts w:cs="Calibri"/>
                <w:snapToGrid/>
                <w:sz w:val="20"/>
                <w:szCs w:val="20"/>
                <w:lang w:eastAsia="en-AU"/>
              </w:rPr>
            </w:pPr>
            <w:r w:rsidRPr="00B61251">
              <w:rPr>
                <w:rFonts w:eastAsia="Calibri" w:cs="Calibri"/>
                <w:i/>
                <w:snapToGrid/>
                <w:sz w:val="20"/>
                <w:szCs w:val="20"/>
                <w:lang w:eastAsia="en-AU"/>
              </w:rPr>
              <w:t>Special pricing arrangements apply</w:t>
            </w:r>
          </w:p>
        </w:tc>
      </w:tr>
    </w:tbl>
    <w:p w:rsidR="00591957" w:rsidRPr="00B61251" w:rsidRDefault="00723BCD" w:rsidP="00271553">
      <w:pPr>
        <w:pStyle w:val="ListParagraph"/>
        <w:widowControl/>
        <w:numPr>
          <w:ilvl w:val="1"/>
          <w:numId w:val="1"/>
        </w:numPr>
        <w:spacing w:before="120" w:after="120"/>
      </w:pPr>
      <w:r w:rsidRPr="00B61251">
        <w:t xml:space="preserve">The submission proposed a special pricing arrangement (SPA), with a </w:t>
      </w:r>
      <w:r w:rsidR="00DD5455">
        <w:rPr>
          <w:noProof/>
          <w:color w:val="000000"/>
          <w:highlight w:val="black"/>
        </w:rPr>
        <w:t>'''''</w:t>
      </w:r>
      <w:r w:rsidRPr="00B61251">
        <w:t xml:space="preserve">% </w:t>
      </w:r>
      <w:r w:rsidR="0079332B">
        <w:t>rebate</w:t>
      </w:r>
      <w:r w:rsidR="00E7182F">
        <w:t xml:space="preserve"> </w:t>
      </w:r>
      <w:r w:rsidRPr="00B61251">
        <w:t xml:space="preserve">on the ex-manufacturer price for atezolizumab, and a </w:t>
      </w:r>
      <w:r w:rsidR="00DD5455">
        <w:rPr>
          <w:noProof/>
          <w:color w:val="000000"/>
          <w:highlight w:val="black"/>
        </w:rPr>
        <w:t>'''''''''''</w:t>
      </w:r>
      <w:r w:rsidRPr="00B61251">
        <w:t xml:space="preserve"> rebate on the ex-manufacturer price of bevacizumab when used in combination with atezolizumab for the treatment of metastatic NSCLC. </w:t>
      </w:r>
      <w:r w:rsidR="00317734" w:rsidRPr="00B61251">
        <w:t xml:space="preserve">The Pre-PBAC response offered a revised </w:t>
      </w:r>
      <w:r w:rsidR="00DD5455">
        <w:rPr>
          <w:noProof/>
          <w:color w:val="000000"/>
          <w:highlight w:val="black"/>
        </w:rPr>
        <w:t>'''''''''</w:t>
      </w:r>
      <w:r w:rsidR="00237D8E">
        <w:t xml:space="preserve">% </w:t>
      </w:r>
      <w:r w:rsidR="00317734" w:rsidRPr="00B61251">
        <w:t>rebate on the ex-manufacturer price of atezolizumab</w:t>
      </w:r>
      <w:r w:rsidR="00237D8E" w:rsidDel="00237D8E">
        <w:t xml:space="preserve"> </w:t>
      </w:r>
      <w:r w:rsidR="0068672B">
        <w:t>via a SPA.</w:t>
      </w:r>
      <w:r w:rsidR="00237D8E">
        <w:t xml:space="preserve"> </w:t>
      </w:r>
    </w:p>
    <w:p w:rsidR="00F25A81" w:rsidRPr="00B61251" w:rsidRDefault="005E32DC" w:rsidP="00271553">
      <w:pPr>
        <w:pStyle w:val="ListParagraph"/>
        <w:widowControl/>
        <w:numPr>
          <w:ilvl w:val="1"/>
          <w:numId w:val="1"/>
        </w:numPr>
        <w:spacing w:before="120" w:after="120"/>
      </w:pPr>
      <w:r w:rsidRPr="00B61251">
        <w:t>The requested restrictions allow the use of atezolizumab and bevacizumab in combination with any PDC regimen</w:t>
      </w:r>
      <w:r w:rsidR="003803AF" w:rsidRPr="00B61251">
        <w:t>.</w:t>
      </w:r>
    </w:p>
    <w:p w:rsidR="00952886" w:rsidRPr="00B61251" w:rsidRDefault="00952886" w:rsidP="00271553">
      <w:pPr>
        <w:pStyle w:val="ListParagraph"/>
        <w:widowControl/>
        <w:spacing w:before="120" w:after="120"/>
        <w:ind w:left="709"/>
        <w:rPr>
          <w:rFonts w:asciiTheme="minorHAnsi" w:hAnsiTheme="minorHAnsi"/>
          <w:i/>
        </w:rPr>
      </w:pPr>
      <w:r w:rsidRPr="00B61251">
        <w:rPr>
          <w:rFonts w:asciiTheme="minorHAnsi" w:hAnsiTheme="minorHAnsi"/>
          <w:i/>
        </w:rPr>
        <w:t>For more detail on PBAC’s view, see section 7 PBAC outcome.</w:t>
      </w:r>
    </w:p>
    <w:p w:rsidR="00B50DB8" w:rsidRPr="00B61251" w:rsidRDefault="00B50DB8" w:rsidP="00994839">
      <w:pPr>
        <w:pStyle w:val="PBACHeading1"/>
      </w:pPr>
      <w:bookmarkStart w:id="4" w:name="_Toc536010748"/>
      <w:r w:rsidRPr="00B61251">
        <w:t>Background</w:t>
      </w:r>
      <w:bookmarkEnd w:id="4"/>
    </w:p>
    <w:p w:rsidR="00B60939" w:rsidRPr="003E5902" w:rsidRDefault="00591957" w:rsidP="00994839">
      <w:pPr>
        <w:pStyle w:val="Heading2"/>
        <w:widowControl/>
      </w:pPr>
      <w:r w:rsidRPr="003E5902">
        <w:t>Registration status</w:t>
      </w:r>
    </w:p>
    <w:p w:rsidR="006D2F1C" w:rsidRPr="00B61251" w:rsidRDefault="006D2F1C" w:rsidP="00994839">
      <w:pPr>
        <w:pStyle w:val="ListParagraph"/>
        <w:widowControl/>
        <w:numPr>
          <w:ilvl w:val="1"/>
          <w:numId w:val="1"/>
        </w:numPr>
        <w:spacing w:after="120"/>
      </w:pPr>
      <w:r w:rsidRPr="00B61251">
        <w:rPr>
          <w:rFonts w:eastAsia="Calibri"/>
          <w:b/>
        </w:rPr>
        <w:t xml:space="preserve">TGA status at time of </w:t>
      </w:r>
      <w:r w:rsidR="006F6967" w:rsidRPr="00B61251">
        <w:rPr>
          <w:rFonts w:eastAsia="Calibri"/>
          <w:b/>
        </w:rPr>
        <w:t>PBAC consideration</w:t>
      </w:r>
      <w:r w:rsidRPr="00B61251">
        <w:t>:</w:t>
      </w:r>
      <w:r w:rsidR="00634383" w:rsidRPr="00B61251">
        <w:t xml:space="preserve"> </w:t>
      </w:r>
      <w:r w:rsidR="00B14199" w:rsidRPr="00B61251">
        <w:t>The submission was made under the TGA/PBAC Parallel Process</w:t>
      </w:r>
      <w:r w:rsidR="00B61251">
        <w:t xml:space="preserve">. </w:t>
      </w:r>
      <w:r w:rsidR="006F6967" w:rsidRPr="00B61251">
        <w:t xml:space="preserve">At the time of PBAC consideration, </w:t>
      </w:r>
      <w:r w:rsidR="00634383" w:rsidRPr="00B61251">
        <w:t>the TGA Delegate’s Overview was</w:t>
      </w:r>
      <w:r w:rsidR="006F6967" w:rsidRPr="00B61251">
        <w:t xml:space="preserve"> available.</w:t>
      </w:r>
    </w:p>
    <w:p w:rsidR="009F02EF" w:rsidRPr="00B61251" w:rsidRDefault="00246E1A" w:rsidP="00994839">
      <w:pPr>
        <w:pStyle w:val="ListParagraph"/>
        <w:widowControl/>
        <w:numPr>
          <w:ilvl w:val="1"/>
          <w:numId w:val="1"/>
        </w:numPr>
        <w:spacing w:after="120"/>
      </w:pPr>
      <w:r w:rsidRPr="00B61251">
        <w:t>T</w:t>
      </w:r>
      <w:r w:rsidR="005859F0" w:rsidRPr="00B61251">
        <w:t xml:space="preserve">he </w:t>
      </w:r>
      <w:r w:rsidR="00F10E28" w:rsidRPr="00B61251">
        <w:t xml:space="preserve">TGA Delegate’s Overview </w:t>
      </w:r>
      <w:r w:rsidR="004D2C5C" w:rsidRPr="00B61251">
        <w:t>was supportive of approving</w:t>
      </w:r>
      <w:r w:rsidR="00DA06D1" w:rsidRPr="00B61251">
        <w:t xml:space="preserve"> </w:t>
      </w:r>
      <w:r w:rsidR="00F10E28" w:rsidRPr="00B61251">
        <w:t>atezolizumab in combination</w:t>
      </w:r>
      <w:r w:rsidR="00DA06D1" w:rsidRPr="00B61251">
        <w:t xml:space="preserve"> with paclitaxel and carboplatin and bevacizumab for </w:t>
      </w:r>
      <w:r w:rsidR="004D2C5C" w:rsidRPr="00B61251">
        <w:t>the first</w:t>
      </w:r>
      <w:r w:rsidR="00DA06D1" w:rsidRPr="00B61251">
        <w:t>-line treatment of patients with metastatic NSQ NSCLC.</w:t>
      </w:r>
    </w:p>
    <w:p w:rsidR="00B60939" w:rsidRPr="00B61251" w:rsidRDefault="00775535" w:rsidP="00994839">
      <w:pPr>
        <w:pStyle w:val="ListParagraph"/>
        <w:widowControl/>
        <w:numPr>
          <w:ilvl w:val="1"/>
          <w:numId w:val="1"/>
        </w:numPr>
        <w:spacing w:after="120"/>
      </w:pPr>
      <w:r w:rsidRPr="00B61251">
        <w:t xml:space="preserve">Bevacizumab is TGA registered for the following indication: </w:t>
      </w:r>
      <w:r w:rsidR="009F02EF" w:rsidRPr="00B61251">
        <w:t>bevacizumab, in combination with carboplatin and paclitaxel, is indicated for first-line treatment of patients with unresectable advanced, metastatic or recurrent, non-squamous NSCLC. Bevacizumab is not specifically registered for use in</w:t>
      </w:r>
      <w:r w:rsidR="0068672B">
        <w:t xml:space="preserve"> combination with atezolizumab.</w:t>
      </w:r>
    </w:p>
    <w:p w:rsidR="00B033E5" w:rsidRPr="003E5902" w:rsidRDefault="00B033E5" w:rsidP="00994839">
      <w:pPr>
        <w:pStyle w:val="Heading2"/>
        <w:keepNext/>
        <w:keepLines/>
        <w:widowControl/>
      </w:pPr>
      <w:r w:rsidRPr="003E5902">
        <w:lastRenderedPageBreak/>
        <w:t>Previous PBAC consideration</w:t>
      </w:r>
    </w:p>
    <w:p w:rsidR="00E55BB5" w:rsidRPr="00B61251" w:rsidRDefault="00CA6C1D" w:rsidP="00994839">
      <w:pPr>
        <w:pStyle w:val="ListParagraph"/>
        <w:keepNext/>
        <w:keepLines/>
        <w:widowControl/>
        <w:numPr>
          <w:ilvl w:val="1"/>
          <w:numId w:val="1"/>
        </w:numPr>
        <w:spacing w:after="120"/>
      </w:pPr>
      <w:r w:rsidRPr="00B61251">
        <w:rPr>
          <w:rFonts w:cs="Calibri"/>
          <w:snapToGrid/>
          <w:szCs w:val="24"/>
          <w:lang w:eastAsia="en-AU"/>
        </w:rPr>
        <w:t>The PBAC has not previously considered atezolizumab and bevacizumab for use in combination, in addit</w:t>
      </w:r>
      <w:r w:rsidR="0068672B">
        <w:rPr>
          <w:rFonts w:cs="Calibri"/>
          <w:snapToGrid/>
          <w:szCs w:val="24"/>
          <w:lang w:eastAsia="en-AU"/>
        </w:rPr>
        <w:t>ion to PDC, for this condition.</w:t>
      </w:r>
    </w:p>
    <w:p w:rsidR="00B50DB8" w:rsidRPr="00B61251" w:rsidRDefault="00203181" w:rsidP="00994839">
      <w:pPr>
        <w:pStyle w:val="PBACHeading1"/>
      </w:pPr>
      <w:bookmarkStart w:id="5" w:name="_Toc536010749"/>
      <w:r w:rsidRPr="00B61251">
        <w:t xml:space="preserve">Population and </w:t>
      </w:r>
      <w:r w:rsidR="008E0D3C" w:rsidRPr="00B61251">
        <w:t>d</w:t>
      </w:r>
      <w:r w:rsidRPr="00B61251">
        <w:t>isease</w:t>
      </w:r>
      <w:bookmarkEnd w:id="5"/>
    </w:p>
    <w:p w:rsidR="00894489" w:rsidRPr="00B61251" w:rsidRDefault="002C6B92" w:rsidP="00994839">
      <w:pPr>
        <w:pStyle w:val="ListParagraph"/>
        <w:widowControl/>
        <w:numPr>
          <w:ilvl w:val="1"/>
          <w:numId w:val="1"/>
        </w:numPr>
        <w:spacing w:after="120"/>
      </w:pPr>
      <w:r w:rsidRPr="00B61251">
        <w:t>In Australia, lung cancer is th</w:t>
      </w:r>
      <w:r w:rsidR="00466C2D" w:rsidRPr="00B61251">
        <w:t>e leading cause of cancer death</w:t>
      </w:r>
      <w:r w:rsidRPr="00B61251">
        <w:t xml:space="preserve">, representing 18.8% of all cancer deaths in 2016 (8,839 deaths). NSCLC represents the main histological type of lung cancer, accounting for approximately 85% of lung cancer cases, and can be categorised into two histologic subtypes: squamous and non-squamous. Due to early-stage lung cancer being largely insidious, it is estimated that greater than 50% of patients have metastatic (Stage IV) disease at diagnosis, with the most common metastatic sites being bone, lungs, brain, liver and adrenal glands. </w:t>
      </w:r>
      <w:r w:rsidR="004D2C5C" w:rsidRPr="00B61251">
        <w:t>The overall five-</w:t>
      </w:r>
      <w:r w:rsidRPr="00B61251">
        <w:t>year survival rate is 14.3%.</w:t>
      </w:r>
      <w:r w:rsidR="00F97A78" w:rsidRPr="00B61251">
        <w:rPr>
          <w:color w:val="3366FF"/>
        </w:rPr>
        <w:t xml:space="preserve"> </w:t>
      </w:r>
      <w:r w:rsidR="006F489C" w:rsidRPr="00B61251">
        <w:t xml:space="preserve">The </w:t>
      </w:r>
      <w:r w:rsidR="00F12C84">
        <w:t>Pre-Sub-Committee Response (</w:t>
      </w:r>
      <w:r w:rsidR="000975AF" w:rsidRPr="00B61251">
        <w:t>PSCR</w:t>
      </w:r>
      <w:r w:rsidR="006F489C" w:rsidRPr="00B61251">
        <w:t xml:space="preserve">) stated that enrolment of </w:t>
      </w:r>
      <w:r w:rsidR="00DD5455">
        <w:rPr>
          <w:noProof/>
          <w:color w:val="000000"/>
          <w:highlight w:val="black"/>
        </w:rPr>
        <w:t>'''''</w:t>
      </w:r>
      <w:r w:rsidR="006F489C" w:rsidRPr="00B61251">
        <w:t xml:space="preserve"> patients </w:t>
      </w:r>
      <w:r w:rsidR="00C80E7B" w:rsidRPr="00B61251">
        <w:t xml:space="preserve">in the medicines assistance access program </w:t>
      </w:r>
      <w:r w:rsidR="006F489C" w:rsidRPr="00B61251">
        <w:t>since July</w:t>
      </w:r>
      <w:r w:rsidR="00C80E7B" w:rsidRPr="00B61251">
        <w:t xml:space="preserve"> 2018</w:t>
      </w:r>
      <w:r w:rsidR="006F489C" w:rsidRPr="00B61251">
        <w:t xml:space="preserve"> </w:t>
      </w:r>
      <w:r w:rsidR="00C80E7B" w:rsidRPr="00B61251">
        <w:t>indicated</w:t>
      </w:r>
      <w:r w:rsidR="006F489C" w:rsidRPr="00B61251">
        <w:t xml:space="preserve"> the unmet need and clinician </w:t>
      </w:r>
      <w:r w:rsidR="00DA26C9" w:rsidRPr="00B61251">
        <w:t xml:space="preserve">support </w:t>
      </w:r>
      <w:r w:rsidR="006F489C" w:rsidRPr="00B61251">
        <w:t>for th</w:t>
      </w:r>
      <w:r w:rsidR="00C80E7B" w:rsidRPr="00B61251">
        <w:t>is</w:t>
      </w:r>
      <w:r w:rsidR="006F489C" w:rsidRPr="00B61251">
        <w:t xml:space="preserve"> treatment in these populations, noting enrolment is approximately 50% across the two patient sub-populations</w:t>
      </w:r>
      <w:r w:rsidR="006B1761" w:rsidRPr="00B61251">
        <w:t xml:space="preserve"> (with and without oncogenic drivers)</w:t>
      </w:r>
      <w:r w:rsidR="006F489C" w:rsidRPr="00B61251">
        <w:t>.</w:t>
      </w:r>
    </w:p>
    <w:p w:rsidR="00DA26C9" w:rsidRPr="00B61251" w:rsidRDefault="00026509" w:rsidP="00994839">
      <w:pPr>
        <w:pStyle w:val="ListParagraph"/>
        <w:widowControl/>
        <w:numPr>
          <w:ilvl w:val="1"/>
          <w:numId w:val="1"/>
        </w:numPr>
        <w:spacing w:after="120"/>
      </w:pPr>
      <w:r w:rsidRPr="00B61251">
        <w:t>Atezolizumab + bevacizumab</w:t>
      </w:r>
      <w:r w:rsidR="002C6B92" w:rsidRPr="00B61251">
        <w:t xml:space="preserve"> + PDC was proposed as an alternative first line treatment option in patients with EGFR wild type/ALK negative Stage IV NSQ NSCLC, and as a later-line treatment option following </w:t>
      </w:r>
      <w:r w:rsidR="00D90554" w:rsidRPr="00B61251">
        <w:t xml:space="preserve">one or more </w:t>
      </w:r>
      <w:r w:rsidR="002C6B92" w:rsidRPr="00B61251">
        <w:t>targeted therapies in patients with EGFR mutant/ALK positive Stage IV NSCLC.</w:t>
      </w:r>
    </w:p>
    <w:p w:rsidR="00952886" w:rsidRPr="00B61251" w:rsidRDefault="00952886" w:rsidP="00994839">
      <w:pPr>
        <w:pStyle w:val="ListParagraph"/>
        <w:widowControl/>
        <w:spacing w:after="120"/>
        <w:ind w:left="709"/>
        <w:rPr>
          <w:rFonts w:asciiTheme="minorHAnsi" w:hAnsiTheme="minorHAnsi"/>
          <w:i/>
        </w:rPr>
      </w:pPr>
      <w:bookmarkStart w:id="6" w:name="_Toc536010750"/>
      <w:r w:rsidRPr="00B61251">
        <w:rPr>
          <w:rFonts w:asciiTheme="minorHAnsi" w:hAnsiTheme="minorHAnsi"/>
          <w:i/>
        </w:rPr>
        <w:t>For more detail on PBAC’s view, see section 7 PBAC outcome.</w:t>
      </w:r>
    </w:p>
    <w:p w:rsidR="00B50DB8" w:rsidRPr="00B61251" w:rsidRDefault="00B50DB8" w:rsidP="00994839">
      <w:pPr>
        <w:pStyle w:val="PBACHeading1"/>
      </w:pPr>
      <w:r w:rsidRPr="00B61251">
        <w:t>Comparator</w:t>
      </w:r>
      <w:bookmarkEnd w:id="6"/>
    </w:p>
    <w:p w:rsidR="00AA0372" w:rsidRPr="00B61251" w:rsidRDefault="00323DB1" w:rsidP="00994839">
      <w:pPr>
        <w:pStyle w:val="ListParagraph"/>
        <w:widowControl/>
        <w:numPr>
          <w:ilvl w:val="1"/>
          <w:numId w:val="1"/>
        </w:numPr>
        <w:spacing w:after="120"/>
        <w:rPr>
          <w:rFonts w:cs="Calibri"/>
          <w:snapToGrid/>
          <w:szCs w:val="24"/>
          <w:lang w:eastAsia="en-AU"/>
        </w:rPr>
      </w:pPr>
      <w:r w:rsidRPr="00B61251">
        <w:rPr>
          <w:rFonts w:cs="Calibri"/>
          <w:snapToGrid/>
          <w:szCs w:val="24"/>
          <w:lang w:eastAsia="en-AU"/>
        </w:rPr>
        <w:t xml:space="preserve">The submission nominated </w:t>
      </w:r>
      <w:r w:rsidR="00736126" w:rsidRPr="00B61251">
        <w:rPr>
          <w:rFonts w:cs="Calibri"/>
          <w:snapToGrid/>
          <w:szCs w:val="24"/>
          <w:lang w:eastAsia="en-AU"/>
        </w:rPr>
        <w:t>PDC</w:t>
      </w:r>
      <w:r w:rsidR="00466C2D" w:rsidRPr="00B61251">
        <w:rPr>
          <w:rFonts w:cs="Calibri"/>
          <w:snapToGrid/>
          <w:szCs w:val="24"/>
          <w:lang w:eastAsia="en-AU"/>
        </w:rPr>
        <w:t xml:space="preserve"> </w:t>
      </w:r>
      <w:r w:rsidRPr="00B61251">
        <w:rPr>
          <w:rFonts w:cs="Calibri"/>
          <w:snapToGrid/>
          <w:szCs w:val="24"/>
          <w:lang w:eastAsia="en-AU"/>
        </w:rPr>
        <w:t>as the main comparator</w:t>
      </w:r>
      <w:r w:rsidR="007450DB" w:rsidRPr="00B61251">
        <w:rPr>
          <w:rFonts w:cs="Calibri"/>
          <w:snapToGrid/>
          <w:szCs w:val="24"/>
          <w:lang w:eastAsia="en-AU"/>
        </w:rPr>
        <w:t xml:space="preserve"> but </w:t>
      </w:r>
      <w:r w:rsidR="00F11128" w:rsidRPr="00B61251">
        <w:rPr>
          <w:rFonts w:cs="Calibri"/>
          <w:snapToGrid/>
          <w:szCs w:val="24"/>
          <w:lang w:eastAsia="en-AU"/>
        </w:rPr>
        <w:t xml:space="preserve">acknowledged that the combination of </w:t>
      </w:r>
      <w:r w:rsidR="00026509" w:rsidRPr="00B61251">
        <w:rPr>
          <w:rFonts w:cs="Calibri"/>
          <w:snapToGrid/>
          <w:szCs w:val="24"/>
          <w:lang w:eastAsia="en-AU"/>
        </w:rPr>
        <w:t>atezolizumab + bevacizumab</w:t>
      </w:r>
      <w:r w:rsidR="00F11128" w:rsidRPr="00B61251">
        <w:rPr>
          <w:rFonts w:cs="Calibri"/>
          <w:snapToGrid/>
          <w:szCs w:val="24"/>
          <w:lang w:eastAsia="en-AU"/>
        </w:rPr>
        <w:t xml:space="preserve"> + PDC would replace the sequential use of PDC followed by cancer immunotherapy. </w:t>
      </w:r>
      <w:r w:rsidR="005F2BC2" w:rsidRPr="00B61251">
        <w:rPr>
          <w:rFonts w:cs="Calibri"/>
          <w:snapToGrid/>
          <w:szCs w:val="24"/>
          <w:lang w:eastAsia="en-AU"/>
        </w:rPr>
        <w:t>The PSCR stated that the submission appropriately considered the main comparator to be PDC followed by subsequent cancer immunotherapy, which was presented in the economic and financial models, the relevant algorithm and the best available data for comparison of atezolizumab + bevacizumab + PDC to sequential use of PDC fo</w:t>
      </w:r>
      <w:r w:rsidR="0068672B">
        <w:rPr>
          <w:rFonts w:cs="Calibri"/>
          <w:snapToGrid/>
          <w:szCs w:val="24"/>
          <w:lang w:eastAsia="en-AU"/>
        </w:rPr>
        <w:t>llowed by cancer immunotherapy.</w:t>
      </w:r>
    </w:p>
    <w:p w:rsidR="005F2BC2" w:rsidRPr="00B61251" w:rsidRDefault="00AA0372" w:rsidP="00994839">
      <w:pPr>
        <w:pStyle w:val="ListParagraph"/>
        <w:widowControl/>
        <w:numPr>
          <w:ilvl w:val="1"/>
          <w:numId w:val="1"/>
        </w:numPr>
        <w:spacing w:after="120"/>
        <w:rPr>
          <w:rFonts w:cs="Calibri"/>
          <w:snapToGrid/>
          <w:szCs w:val="24"/>
          <w:lang w:eastAsia="en-AU"/>
        </w:rPr>
      </w:pPr>
      <w:r w:rsidRPr="00B61251">
        <w:rPr>
          <w:rFonts w:cs="Calibri"/>
          <w:snapToGrid/>
          <w:szCs w:val="24"/>
          <w:lang w:eastAsia="en-AU"/>
        </w:rPr>
        <w:t>The ESC considered the sequential use of PDC followed by a PD-(L)1 inhibitor may be the most appropriate comparator in the majority of patients, with the exception of those with EFGR wild type/ALK negative NSQ NSCLC with high PD-L1 expression.</w:t>
      </w:r>
      <w:r w:rsidR="004057F2" w:rsidRPr="00B61251">
        <w:rPr>
          <w:rFonts w:cs="Calibri"/>
          <w:snapToGrid/>
          <w:szCs w:val="24"/>
          <w:lang w:eastAsia="en-AU"/>
        </w:rPr>
        <w:t xml:space="preserve"> The ESC noted that </w:t>
      </w:r>
      <w:r w:rsidR="00626018" w:rsidRPr="00B61251">
        <w:rPr>
          <w:rFonts w:cs="Calibri"/>
          <w:snapToGrid/>
          <w:szCs w:val="24"/>
          <w:lang w:eastAsia="en-AU"/>
        </w:rPr>
        <w:t>while there is limited data on the use of PD-(L)1 inhibitors post TKI treatment, nivolumab and atezolizumab can be used in patients who have progressed on or after treatment with targeted therapies</w:t>
      </w:r>
      <w:r w:rsidR="004057F2" w:rsidRPr="00B61251">
        <w:rPr>
          <w:rFonts w:cs="Calibri"/>
          <w:snapToGrid/>
          <w:szCs w:val="24"/>
          <w:lang w:eastAsia="en-AU"/>
        </w:rPr>
        <w:t xml:space="preserve"> and </w:t>
      </w:r>
      <w:r w:rsidR="00364AE4" w:rsidRPr="00B61251">
        <w:rPr>
          <w:rFonts w:cs="Calibri"/>
          <w:snapToGrid/>
          <w:szCs w:val="24"/>
          <w:lang w:eastAsia="en-AU"/>
        </w:rPr>
        <w:t xml:space="preserve">sequential use of PDC followed by cancer immunotherapy </w:t>
      </w:r>
      <w:r w:rsidR="004057F2" w:rsidRPr="00B61251">
        <w:rPr>
          <w:rFonts w:cs="Calibri"/>
          <w:snapToGrid/>
          <w:szCs w:val="24"/>
          <w:lang w:eastAsia="en-AU"/>
        </w:rPr>
        <w:t>could also be considered an appropriate comparator.</w:t>
      </w:r>
    </w:p>
    <w:p w:rsidR="003E18AB" w:rsidRPr="00B61251" w:rsidRDefault="00AA0372" w:rsidP="00994839">
      <w:pPr>
        <w:pStyle w:val="ListParagraph"/>
        <w:widowControl/>
        <w:numPr>
          <w:ilvl w:val="1"/>
          <w:numId w:val="1"/>
        </w:numPr>
        <w:spacing w:after="120"/>
        <w:rPr>
          <w:rFonts w:cs="Calibri"/>
          <w:snapToGrid/>
          <w:szCs w:val="24"/>
          <w:lang w:eastAsia="en-AU"/>
        </w:rPr>
      </w:pPr>
      <w:r w:rsidRPr="00B61251">
        <w:t>P</w:t>
      </w:r>
      <w:r w:rsidR="003E18AB" w:rsidRPr="00B61251">
        <w:t xml:space="preserve">embrolizumab monotherapy was nominated as a supplementary comparator in patients with EGFR wild type/ALK negative NSQ NSCLC with </w:t>
      </w:r>
      <w:r w:rsidR="00173E28" w:rsidRPr="00B61251">
        <w:t xml:space="preserve">high </w:t>
      </w:r>
      <w:r w:rsidR="003E18AB" w:rsidRPr="00B61251">
        <w:t xml:space="preserve">PD-L1 expression. </w:t>
      </w:r>
      <w:r w:rsidR="005F2BC2" w:rsidRPr="00B61251">
        <w:lastRenderedPageBreak/>
        <w:t xml:space="preserve">The ESC considered that pembrolizumab monotherapy, the only </w:t>
      </w:r>
      <w:r w:rsidR="00280690" w:rsidRPr="00B61251">
        <w:t>PD-</w:t>
      </w:r>
      <w:r w:rsidR="00A4420A" w:rsidRPr="00B61251">
        <w:t>(</w:t>
      </w:r>
      <w:r w:rsidR="00280690" w:rsidRPr="00B61251">
        <w:t>L</w:t>
      </w:r>
      <w:r w:rsidR="00A4420A" w:rsidRPr="00B61251">
        <w:t>)</w:t>
      </w:r>
      <w:r w:rsidR="00280690" w:rsidRPr="00B61251">
        <w:t>1</w:t>
      </w:r>
      <w:r w:rsidR="005F2BC2" w:rsidRPr="00B61251">
        <w:t xml:space="preserve"> currently PBS listed for this indication, followed by PDC was the appropriate main comparator in this patient subgroup.</w:t>
      </w:r>
    </w:p>
    <w:p w:rsidR="00952886" w:rsidRPr="00B61251" w:rsidRDefault="00952886" w:rsidP="00994839">
      <w:pPr>
        <w:pStyle w:val="ListParagraph"/>
        <w:widowControl/>
        <w:spacing w:after="120"/>
        <w:ind w:left="709"/>
        <w:rPr>
          <w:rFonts w:asciiTheme="minorHAnsi" w:hAnsiTheme="minorHAnsi"/>
          <w:i/>
        </w:rPr>
      </w:pPr>
      <w:r w:rsidRPr="00B61251">
        <w:rPr>
          <w:rFonts w:asciiTheme="minorHAnsi" w:hAnsiTheme="minorHAnsi"/>
          <w:i/>
        </w:rPr>
        <w:t>For more detail on PBAC’s view, see section 7 PBAC outcome.</w:t>
      </w:r>
    </w:p>
    <w:p w:rsidR="00B50DB8" w:rsidRPr="00B61251" w:rsidRDefault="00BD6CF3" w:rsidP="00994839">
      <w:pPr>
        <w:pStyle w:val="PBACHeading1"/>
        <w:keepNext/>
      </w:pPr>
      <w:bookmarkStart w:id="7" w:name="_Toc536010751"/>
      <w:r w:rsidRPr="00B61251">
        <w:t>C</w:t>
      </w:r>
      <w:r w:rsidR="00B50DB8" w:rsidRPr="00B61251">
        <w:t>onsideration of the evidence</w:t>
      </w:r>
      <w:bookmarkEnd w:id="7"/>
    </w:p>
    <w:p w:rsidR="00952886" w:rsidRPr="003E5902" w:rsidRDefault="00952886" w:rsidP="00994839">
      <w:pPr>
        <w:pStyle w:val="Heading2"/>
        <w:widowControl/>
      </w:pPr>
      <w:bookmarkStart w:id="8" w:name="_Toc536010752"/>
      <w:r w:rsidRPr="003E5902">
        <w:t>Sponsor hearing</w:t>
      </w:r>
    </w:p>
    <w:p w:rsidR="00952886" w:rsidRPr="00B61251" w:rsidRDefault="00952886" w:rsidP="00994839">
      <w:pPr>
        <w:widowControl/>
        <w:numPr>
          <w:ilvl w:val="1"/>
          <w:numId w:val="1"/>
        </w:numPr>
        <w:spacing w:after="120"/>
        <w:rPr>
          <w:rFonts w:asciiTheme="minorHAnsi" w:hAnsiTheme="minorHAnsi"/>
          <w:bCs/>
        </w:rPr>
      </w:pPr>
      <w:r w:rsidRPr="00B61251">
        <w:rPr>
          <w:rFonts w:asciiTheme="minorHAnsi" w:hAnsiTheme="minorHAnsi"/>
          <w:bCs/>
        </w:rPr>
        <w:t>There was no hearing for this item.</w:t>
      </w:r>
    </w:p>
    <w:p w:rsidR="00952886" w:rsidRPr="003E5902" w:rsidRDefault="00952886" w:rsidP="00994839">
      <w:pPr>
        <w:pStyle w:val="Heading2"/>
        <w:widowControl/>
      </w:pPr>
      <w:r w:rsidRPr="003E5902">
        <w:t>Consumer comments</w:t>
      </w:r>
    </w:p>
    <w:p w:rsidR="00FB7894" w:rsidRPr="00B61251" w:rsidRDefault="00952886" w:rsidP="00994839">
      <w:pPr>
        <w:widowControl/>
        <w:numPr>
          <w:ilvl w:val="1"/>
          <w:numId w:val="1"/>
        </w:numPr>
        <w:spacing w:after="120"/>
        <w:rPr>
          <w:rFonts w:asciiTheme="minorHAnsi" w:hAnsiTheme="minorHAnsi"/>
          <w:bCs/>
        </w:rPr>
      </w:pPr>
      <w:r w:rsidRPr="00B61251">
        <w:rPr>
          <w:rFonts w:asciiTheme="minorHAnsi" w:hAnsiTheme="minorHAnsi"/>
          <w:bCs/>
        </w:rPr>
        <w:t>The PBAC noted and welcomed the input from individuals (4</w:t>
      </w:r>
      <w:r w:rsidR="00222FB1" w:rsidRPr="00B61251">
        <w:rPr>
          <w:rFonts w:asciiTheme="minorHAnsi" w:hAnsiTheme="minorHAnsi"/>
          <w:bCs/>
        </w:rPr>
        <w:t>4</w:t>
      </w:r>
      <w:r w:rsidRPr="00B61251">
        <w:rPr>
          <w:rFonts w:asciiTheme="minorHAnsi" w:hAnsiTheme="minorHAnsi"/>
          <w:bCs/>
        </w:rPr>
        <w:t>), health care professionals (</w:t>
      </w:r>
      <w:r w:rsidR="00222FB1" w:rsidRPr="00B61251">
        <w:rPr>
          <w:rFonts w:asciiTheme="minorHAnsi" w:hAnsiTheme="minorHAnsi"/>
          <w:bCs/>
        </w:rPr>
        <w:t>6</w:t>
      </w:r>
      <w:r w:rsidRPr="00B61251">
        <w:rPr>
          <w:rFonts w:asciiTheme="minorHAnsi" w:hAnsiTheme="minorHAnsi"/>
          <w:bCs/>
        </w:rPr>
        <w:t>) and organisations (</w:t>
      </w:r>
      <w:r w:rsidR="00222FB1" w:rsidRPr="00B61251">
        <w:rPr>
          <w:rFonts w:asciiTheme="minorHAnsi" w:hAnsiTheme="minorHAnsi"/>
          <w:bCs/>
        </w:rPr>
        <w:t>2</w:t>
      </w:r>
      <w:r w:rsidRPr="00B61251">
        <w:rPr>
          <w:rFonts w:asciiTheme="minorHAnsi" w:hAnsiTheme="minorHAnsi"/>
          <w:bCs/>
        </w:rPr>
        <w:t xml:space="preserve">) via the Consumer Comments facility on the PBS website. The comments described </w:t>
      </w:r>
      <w:r w:rsidR="006B2528" w:rsidRPr="00B61251">
        <w:rPr>
          <w:rFonts w:asciiTheme="minorHAnsi" w:hAnsiTheme="minorHAnsi"/>
          <w:bCs/>
        </w:rPr>
        <w:t>a range of perceived benefits of treatment with atezolizumab</w:t>
      </w:r>
      <w:r w:rsidR="009218A8" w:rsidRPr="00B61251">
        <w:rPr>
          <w:rFonts w:asciiTheme="minorHAnsi" w:hAnsiTheme="minorHAnsi"/>
          <w:bCs/>
        </w:rPr>
        <w:t xml:space="preserve"> </w:t>
      </w:r>
      <w:r w:rsidR="006B2528" w:rsidRPr="00B61251">
        <w:rPr>
          <w:rFonts w:asciiTheme="minorHAnsi" w:hAnsiTheme="minorHAnsi"/>
          <w:bCs/>
        </w:rPr>
        <w:t>+</w:t>
      </w:r>
      <w:r w:rsidR="009218A8" w:rsidRPr="00B61251">
        <w:rPr>
          <w:rFonts w:asciiTheme="minorHAnsi" w:hAnsiTheme="minorHAnsi"/>
          <w:bCs/>
        </w:rPr>
        <w:t xml:space="preserve"> </w:t>
      </w:r>
      <w:r w:rsidR="006B2528" w:rsidRPr="00B61251">
        <w:rPr>
          <w:rFonts w:asciiTheme="minorHAnsi" w:hAnsiTheme="minorHAnsi"/>
          <w:bCs/>
        </w:rPr>
        <w:t>bevacizumab</w:t>
      </w:r>
      <w:r w:rsidR="009218A8" w:rsidRPr="00B61251">
        <w:rPr>
          <w:rFonts w:asciiTheme="minorHAnsi" w:hAnsiTheme="minorHAnsi"/>
          <w:bCs/>
        </w:rPr>
        <w:t xml:space="preserve"> </w:t>
      </w:r>
      <w:r w:rsidR="009D559C" w:rsidRPr="00B61251">
        <w:rPr>
          <w:rFonts w:asciiTheme="minorHAnsi" w:hAnsiTheme="minorHAnsi"/>
          <w:bCs/>
        </w:rPr>
        <w:t>with</w:t>
      </w:r>
      <w:r w:rsidR="009218A8" w:rsidRPr="00B61251">
        <w:rPr>
          <w:rFonts w:asciiTheme="minorHAnsi" w:hAnsiTheme="minorHAnsi"/>
          <w:bCs/>
        </w:rPr>
        <w:t xml:space="preserve"> </w:t>
      </w:r>
      <w:r w:rsidR="006B2528" w:rsidRPr="00B61251">
        <w:rPr>
          <w:rFonts w:asciiTheme="minorHAnsi" w:hAnsiTheme="minorHAnsi"/>
          <w:bCs/>
        </w:rPr>
        <w:t xml:space="preserve">PDC, </w:t>
      </w:r>
      <w:r w:rsidR="00A833C0" w:rsidRPr="00B61251">
        <w:rPr>
          <w:rFonts w:asciiTheme="minorHAnsi" w:hAnsiTheme="minorHAnsi"/>
          <w:bCs/>
        </w:rPr>
        <w:t xml:space="preserve">included providing treatment options for those who are PDL-1 negative and those post-progression on TKI therapies, providing a range of treatment choices, overall survival benefits, hope, </w:t>
      </w:r>
      <w:r w:rsidR="00EB01AF" w:rsidRPr="00B61251">
        <w:rPr>
          <w:rFonts w:asciiTheme="minorHAnsi" w:hAnsiTheme="minorHAnsi"/>
          <w:bCs/>
        </w:rPr>
        <w:t xml:space="preserve">a </w:t>
      </w:r>
      <w:r w:rsidR="00A833C0" w:rsidRPr="00B61251">
        <w:rPr>
          <w:rFonts w:asciiTheme="minorHAnsi" w:hAnsiTheme="minorHAnsi"/>
          <w:bCs/>
        </w:rPr>
        <w:t>perceived understanding of reduced side effects and increased quality of life (QoL) compared to</w:t>
      </w:r>
      <w:r w:rsidR="003D026D" w:rsidRPr="00B61251">
        <w:rPr>
          <w:rFonts w:asciiTheme="minorHAnsi" w:hAnsiTheme="minorHAnsi"/>
          <w:bCs/>
        </w:rPr>
        <w:t xml:space="preserve"> other treatment options</w:t>
      </w:r>
      <w:r w:rsidR="00EB01AF" w:rsidRPr="00B61251">
        <w:rPr>
          <w:rFonts w:asciiTheme="minorHAnsi" w:hAnsiTheme="minorHAnsi"/>
          <w:bCs/>
        </w:rPr>
        <w:t>,</w:t>
      </w:r>
      <w:r w:rsidR="003D026D" w:rsidRPr="00B61251">
        <w:rPr>
          <w:rFonts w:asciiTheme="minorHAnsi" w:hAnsiTheme="minorHAnsi"/>
          <w:bCs/>
        </w:rPr>
        <w:t xml:space="preserve"> </w:t>
      </w:r>
      <w:r w:rsidR="00A833C0" w:rsidRPr="00B61251">
        <w:rPr>
          <w:rFonts w:asciiTheme="minorHAnsi" w:hAnsiTheme="minorHAnsi"/>
          <w:bCs/>
        </w:rPr>
        <w:t xml:space="preserve">and extension of life. A majority of input </w:t>
      </w:r>
      <w:r w:rsidR="003D026D" w:rsidRPr="00B61251">
        <w:rPr>
          <w:rFonts w:asciiTheme="minorHAnsi" w:hAnsiTheme="minorHAnsi"/>
          <w:bCs/>
        </w:rPr>
        <w:t xml:space="preserve">was from </w:t>
      </w:r>
      <w:r w:rsidR="00A833C0" w:rsidRPr="00B61251">
        <w:rPr>
          <w:rFonts w:asciiTheme="minorHAnsi" w:hAnsiTheme="minorHAnsi"/>
          <w:bCs/>
        </w:rPr>
        <w:t xml:space="preserve">patients </w:t>
      </w:r>
      <w:r w:rsidR="003D026D" w:rsidRPr="00B61251">
        <w:rPr>
          <w:rFonts w:asciiTheme="minorHAnsi" w:hAnsiTheme="minorHAnsi"/>
          <w:bCs/>
        </w:rPr>
        <w:t xml:space="preserve">on </w:t>
      </w:r>
      <w:r w:rsidR="00A833C0" w:rsidRPr="00B61251">
        <w:rPr>
          <w:rFonts w:asciiTheme="minorHAnsi" w:hAnsiTheme="minorHAnsi"/>
          <w:bCs/>
        </w:rPr>
        <w:t>TKI therapy</w:t>
      </w:r>
      <w:r w:rsidR="00CA5DF4" w:rsidRPr="00B61251">
        <w:rPr>
          <w:rFonts w:asciiTheme="minorHAnsi" w:hAnsiTheme="minorHAnsi"/>
          <w:bCs/>
        </w:rPr>
        <w:t>, or their carers,</w:t>
      </w:r>
      <w:r w:rsidR="00A833C0" w:rsidRPr="00B61251">
        <w:rPr>
          <w:rFonts w:asciiTheme="minorHAnsi" w:hAnsiTheme="minorHAnsi"/>
          <w:bCs/>
        </w:rPr>
        <w:t xml:space="preserve"> </w:t>
      </w:r>
      <w:r w:rsidR="003D026D" w:rsidRPr="00B61251">
        <w:rPr>
          <w:rFonts w:asciiTheme="minorHAnsi" w:hAnsiTheme="minorHAnsi"/>
          <w:bCs/>
        </w:rPr>
        <w:t xml:space="preserve">who were concerned about treatment options when their </w:t>
      </w:r>
      <w:r w:rsidR="00CA5DF4" w:rsidRPr="00B61251">
        <w:rPr>
          <w:rFonts w:asciiTheme="minorHAnsi" w:hAnsiTheme="minorHAnsi"/>
          <w:bCs/>
        </w:rPr>
        <w:t xml:space="preserve">current </w:t>
      </w:r>
      <w:r w:rsidR="003D026D" w:rsidRPr="00B61251">
        <w:rPr>
          <w:rFonts w:asciiTheme="minorHAnsi" w:hAnsiTheme="minorHAnsi"/>
          <w:bCs/>
        </w:rPr>
        <w:t>therapies stopped working.</w:t>
      </w:r>
      <w:r w:rsidR="006B2528" w:rsidRPr="00B61251">
        <w:rPr>
          <w:rFonts w:asciiTheme="minorHAnsi" w:hAnsiTheme="minorHAnsi"/>
          <w:bCs/>
        </w:rPr>
        <w:t xml:space="preserve"> Affordability </w:t>
      </w:r>
      <w:r w:rsidR="003D026D" w:rsidRPr="00B61251">
        <w:rPr>
          <w:rFonts w:asciiTheme="minorHAnsi" w:hAnsiTheme="minorHAnsi"/>
          <w:bCs/>
        </w:rPr>
        <w:t xml:space="preserve">of the treatment if it wasn’t listed on the PBS </w:t>
      </w:r>
      <w:r w:rsidR="006B2528" w:rsidRPr="00B61251">
        <w:rPr>
          <w:rFonts w:asciiTheme="minorHAnsi" w:hAnsiTheme="minorHAnsi"/>
          <w:bCs/>
        </w:rPr>
        <w:t>was also identified as an issue.</w:t>
      </w:r>
    </w:p>
    <w:p w:rsidR="00952886" w:rsidRPr="00B61251" w:rsidRDefault="00952886" w:rsidP="00994839">
      <w:pPr>
        <w:widowControl/>
        <w:numPr>
          <w:ilvl w:val="1"/>
          <w:numId w:val="1"/>
        </w:numPr>
        <w:spacing w:after="120"/>
        <w:rPr>
          <w:rFonts w:asciiTheme="minorHAnsi" w:hAnsiTheme="minorHAnsi"/>
          <w:bCs/>
        </w:rPr>
      </w:pPr>
      <w:r w:rsidRPr="00B61251">
        <w:rPr>
          <w:rFonts w:asciiTheme="minorHAnsi" w:hAnsiTheme="minorHAnsi"/>
          <w:bCs/>
        </w:rPr>
        <w:t xml:space="preserve">The PBAC noted the advice received from </w:t>
      </w:r>
      <w:r w:rsidR="00CD6461" w:rsidRPr="00B61251">
        <w:rPr>
          <w:rFonts w:asciiTheme="minorHAnsi" w:hAnsiTheme="minorHAnsi"/>
          <w:bCs/>
        </w:rPr>
        <w:t xml:space="preserve">Lung Foundation Australia </w:t>
      </w:r>
      <w:r w:rsidRPr="00B61251">
        <w:rPr>
          <w:rFonts w:asciiTheme="minorHAnsi" w:hAnsiTheme="minorHAnsi"/>
          <w:bCs/>
        </w:rPr>
        <w:t xml:space="preserve">that the use of </w:t>
      </w:r>
      <w:r w:rsidR="00CD6461" w:rsidRPr="00B61251">
        <w:rPr>
          <w:rFonts w:asciiTheme="minorHAnsi" w:hAnsiTheme="minorHAnsi"/>
          <w:bCs/>
        </w:rPr>
        <w:t xml:space="preserve">atezolizumab + bevacizumab </w:t>
      </w:r>
      <w:r w:rsidR="009D559C" w:rsidRPr="00B61251">
        <w:rPr>
          <w:rFonts w:asciiTheme="minorHAnsi" w:hAnsiTheme="minorHAnsi"/>
          <w:bCs/>
        </w:rPr>
        <w:t xml:space="preserve">+ </w:t>
      </w:r>
      <w:r w:rsidR="00CD6461" w:rsidRPr="00B61251">
        <w:rPr>
          <w:rFonts w:asciiTheme="minorHAnsi" w:hAnsiTheme="minorHAnsi"/>
          <w:bCs/>
        </w:rPr>
        <w:t>PDC may extend</w:t>
      </w:r>
      <w:r w:rsidR="002903F3" w:rsidRPr="00B61251">
        <w:rPr>
          <w:rFonts w:asciiTheme="minorHAnsi" w:hAnsiTheme="minorHAnsi"/>
          <w:bCs/>
        </w:rPr>
        <w:t xml:space="preserve"> the time that people with lung</w:t>
      </w:r>
      <w:r w:rsidR="00CD6461" w:rsidRPr="00B61251">
        <w:rPr>
          <w:rFonts w:asciiTheme="minorHAnsi" w:hAnsiTheme="minorHAnsi"/>
          <w:bCs/>
        </w:rPr>
        <w:t xml:space="preserve"> cancer have with loved ones and allow them to reach additional mil</w:t>
      </w:r>
      <w:r w:rsidR="002903F3" w:rsidRPr="00B61251">
        <w:rPr>
          <w:rFonts w:asciiTheme="minorHAnsi" w:hAnsiTheme="minorHAnsi"/>
          <w:bCs/>
        </w:rPr>
        <w:t>e</w:t>
      </w:r>
      <w:r w:rsidR="00CD6461" w:rsidRPr="00B61251">
        <w:rPr>
          <w:rFonts w:asciiTheme="minorHAnsi" w:hAnsiTheme="minorHAnsi"/>
          <w:bCs/>
        </w:rPr>
        <w:t xml:space="preserve">stones, </w:t>
      </w:r>
      <w:r w:rsidR="00EB01AF" w:rsidRPr="00B61251">
        <w:rPr>
          <w:rFonts w:asciiTheme="minorHAnsi" w:hAnsiTheme="minorHAnsi"/>
          <w:bCs/>
        </w:rPr>
        <w:t xml:space="preserve">and </w:t>
      </w:r>
      <w:r w:rsidR="00CD6461" w:rsidRPr="00B61251">
        <w:rPr>
          <w:rFonts w:asciiTheme="minorHAnsi" w:hAnsiTheme="minorHAnsi"/>
          <w:bCs/>
        </w:rPr>
        <w:t>that the side effects of this combination therapy can be managed.</w:t>
      </w:r>
    </w:p>
    <w:p w:rsidR="008B19D5" w:rsidRPr="00B61251" w:rsidRDefault="00952886" w:rsidP="00994839">
      <w:pPr>
        <w:widowControl/>
        <w:numPr>
          <w:ilvl w:val="1"/>
          <w:numId w:val="1"/>
        </w:numPr>
        <w:spacing w:after="120"/>
        <w:rPr>
          <w:rFonts w:asciiTheme="minorHAnsi" w:hAnsiTheme="minorHAnsi"/>
          <w:bCs/>
        </w:rPr>
      </w:pPr>
      <w:r w:rsidRPr="00B61251">
        <w:rPr>
          <w:rFonts w:asciiTheme="minorHAnsi" w:hAnsiTheme="minorHAnsi"/>
          <w:bCs/>
        </w:rPr>
        <w:t xml:space="preserve">The Medical Oncology Group of Australia (MOGA) also expressed its </w:t>
      </w:r>
      <w:r w:rsidR="00222FB1" w:rsidRPr="00B61251">
        <w:rPr>
          <w:rFonts w:asciiTheme="minorHAnsi" w:hAnsiTheme="minorHAnsi"/>
          <w:bCs/>
        </w:rPr>
        <w:t xml:space="preserve">strong </w:t>
      </w:r>
      <w:r w:rsidRPr="00B61251">
        <w:rPr>
          <w:rFonts w:asciiTheme="minorHAnsi" w:hAnsiTheme="minorHAnsi"/>
          <w:bCs/>
        </w:rPr>
        <w:t xml:space="preserve">support for </w:t>
      </w:r>
      <w:r w:rsidR="00222FB1" w:rsidRPr="00B61251">
        <w:rPr>
          <w:rFonts w:asciiTheme="minorHAnsi" w:hAnsiTheme="minorHAnsi"/>
          <w:bCs/>
        </w:rPr>
        <w:t xml:space="preserve">atezolizumab + bevacizumab </w:t>
      </w:r>
      <w:r w:rsidR="009D559C" w:rsidRPr="00B61251">
        <w:rPr>
          <w:rFonts w:asciiTheme="minorHAnsi" w:hAnsiTheme="minorHAnsi"/>
          <w:bCs/>
        </w:rPr>
        <w:t xml:space="preserve">+ </w:t>
      </w:r>
      <w:r w:rsidR="00222FB1" w:rsidRPr="00B61251">
        <w:rPr>
          <w:rFonts w:asciiTheme="minorHAnsi" w:hAnsiTheme="minorHAnsi"/>
          <w:bCs/>
        </w:rPr>
        <w:t>PDC for the EGFR/ALK wild type subgroup</w:t>
      </w:r>
      <w:r w:rsidR="008B19D5" w:rsidRPr="00B61251">
        <w:rPr>
          <w:rFonts w:asciiTheme="minorHAnsi" w:hAnsiTheme="minorHAnsi"/>
          <w:bCs/>
        </w:rPr>
        <w:t xml:space="preserve">, </w:t>
      </w:r>
      <w:r w:rsidR="004C4AE7" w:rsidRPr="00B61251">
        <w:rPr>
          <w:rFonts w:asciiTheme="minorHAnsi" w:hAnsiTheme="minorHAnsi"/>
          <w:bCs/>
        </w:rPr>
        <w:t xml:space="preserve">referring to this population as a high priority </w:t>
      </w:r>
      <w:r w:rsidR="00222FB1" w:rsidRPr="00B61251">
        <w:rPr>
          <w:rFonts w:asciiTheme="minorHAnsi" w:hAnsiTheme="minorHAnsi"/>
          <w:bCs/>
        </w:rPr>
        <w:t xml:space="preserve">and </w:t>
      </w:r>
      <w:r w:rsidR="002903F3" w:rsidRPr="00B61251">
        <w:rPr>
          <w:rFonts w:asciiTheme="minorHAnsi" w:hAnsiTheme="minorHAnsi"/>
          <w:bCs/>
        </w:rPr>
        <w:t xml:space="preserve">expressing </w:t>
      </w:r>
      <w:r w:rsidR="00222FB1" w:rsidRPr="00B61251">
        <w:rPr>
          <w:rFonts w:asciiTheme="minorHAnsi" w:hAnsiTheme="minorHAnsi"/>
          <w:bCs/>
        </w:rPr>
        <w:t xml:space="preserve">its support for the EGFR/ALK mutation positive sub-group in the </w:t>
      </w:r>
      <w:r w:rsidRPr="00B61251">
        <w:rPr>
          <w:rFonts w:asciiTheme="minorHAnsi" w:hAnsiTheme="minorHAnsi"/>
          <w:bCs/>
        </w:rPr>
        <w:t xml:space="preserve">submission. The PBAC noted that the MOGA presented the European Society for Medical Oncology Magnitude of Clinical Benefit Scale (ESMO-MCBS), which was limited to </w:t>
      </w:r>
      <w:r w:rsidR="008B19D5" w:rsidRPr="00B61251">
        <w:rPr>
          <w:rFonts w:asciiTheme="minorHAnsi" w:hAnsiTheme="minorHAnsi"/>
          <w:bCs/>
        </w:rPr>
        <w:t>3</w:t>
      </w:r>
      <w:r w:rsidRPr="00B61251">
        <w:rPr>
          <w:rFonts w:asciiTheme="minorHAnsi" w:hAnsiTheme="minorHAnsi"/>
          <w:bCs/>
        </w:rPr>
        <w:t xml:space="preserve"> (out of a maximum of 5, where 5 and 4 represent the grades with substantial improvement)</w:t>
      </w:r>
      <w:r w:rsidR="008B19D5" w:rsidRPr="00B61251">
        <w:rPr>
          <w:rStyle w:val="FootnoteReference"/>
          <w:rFonts w:asciiTheme="minorHAnsi" w:hAnsiTheme="minorHAnsi"/>
          <w:bCs/>
        </w:rPr>
        <w:footnoteReference w:id="1"/>
      </w:r>
      <w:r w:rsidR="008B19D5" w:rsidRPr="00B61251">
        <w:rPr>
          <w:rFonts w:asciiTheme="minorHAnsi" w:hAnsiTheme="minorHAnsi"/>
          <w:bCs/>
          <w:vertAlign w:val="superscript"/>
        </w:rPr>
        <w:t xml:space="preserve"> </w:t>
      </w:r>
      <w:r w:rsidR="008B19D5" w:rsidRPr="00B61251">
        <w:rPr>
          <w:rFonts w:asciiTheme="minorHAnsi" w:hAnsiTheme="minorHAnsi"/>
          <w:bCs/>
        </w:rPr>
        <w:t xml:space="preserve">for the EGFR/ALK wild type subgroup and </w:t>
      </w:r>
      <w:r w:rsidR="002903F3" w:rsidRPr="00B61251">
        <w:rPr>
          <w:rFonts w:asciiTheme="minorHAnsi" w:hAnsiTheme="minorHAnsi"/>
          <w:bCs/>
        </w:rPr>
        <w:t xml:space="preserve">this </w:t>
      </w:r>
      <w:r w:rsidR="008B19D5" w:rsidRPr="00B61251">
        <w:rPr>
          <w:rFonts w:asciiTheme="minorHAnsi" w:hAnsiTheme="minorHAnsi"/>
          <w:bCs/>
        </w:rPr>
        <w:t xml:space="preserve">could not be scored for the EGFR/ALK mutation </w:t>
      </w:r>
      <w:r w:rsidR="00F34667" w:rsidRPr="00B61251">
        <w:rPr>
          <w:rFonts w:asciiTheme="minorHAnsi" w:hAnsiTheme="minorHAnsi"/>
          <w:bCs/>
        </w:rPr>
        <w:t xml:space="preserve">positive </w:t>
      </w:r>
      <w:r w:rsidR="008B19D5" w:rsidRPr="00B61251">
        <w:rPr>
          <w:rFonts w:asciiTheme="minorHAnsi" w:hAnsiTheme="minorHAnsi"/>
          <w:bCs/>
        </w:rPr>
        <w:t>sub group due to the exploratory nature of the analysis of this subgroup in the trial</w:t>
      </w:r>
      <w:r w:rsidR="004C4AE7" w:rsidRPr="00B61251">
        <w:rPr>
          <w:rFonts w:asciiTheme="minorHAnsi" w:hAnsiTheme="minorHAnsi"/>
          <w:bCs/>
        </w:rPr>
        <w:t xml:space="preserve">. This support and the ESMO-MCBS </w:t>
      </w:r>
      <w:r w:rsidR="008B19D5" w:rsidRPr="00B61251">
        <w:rPr>
          <w:rFonts w:asciiTheme="minorHAnsi" w:hAnsiTheme="minorHAnsi"/>
          <w:bCs/>
        </w:rPr>
        <w:t xml:space="preserve">scores were both </w:t>
      </w:r>
      <w:r w:rsidRPr="00B61251">
        <w:rPr>
          <w:rFonts w:asciiTheme="minorHAnsi" w:hAnsiTheme="minorHAnsi"/>
          <w:bCs/>
        </w:rPr>
        <w:t>based on</w:t>
      </w:r>
      <w:r w:rsidR="004C4AE7" w:rsidRPr="00B61251">
        <w:rPr>
          <w:rFonts w:asciiTheme="minorHAnsi" w:hAnsiTheme="minorHAnsi"/>
          <w:bCs/>
        </w:rPr>
        <w:t xml:space="preserve"> the clinical e</w:t>
      </w:r>
      <w:r w:rsidR="002903F3" w:rsidRPr="00B61251">
        <w:rPr>
          <w:rFonts w:asciiTheme="minorHAnsi" w:hAnsiTheme="minorHAnsi"/>
          <w:bCs/>
        </w:rPr>
        <w:t>vidence provided by the IMpower</w:t>
      </w:r>
      <w:r w:rsidR="004C4AE7" w:rsidRPr="00B61251">
        <w:rPr>
          <w:rFonts w:asciiTheme="minorHAnsi" w:hAnsiTheme="minorHAnsi"/>
          <w:bCs/>
        </w:rPr>
        <w:t>150 trial and the</w:t>
      </w:r>
      <w:r w:rsidRPr="00B61251">
        <w:rPr>
          <w:rFonts w:asciiTheme="minorHAnsi" w:hAnsiTheme="minorHAnsi"/>
          <w:bCs/>
        </w:rPr>
        <w:t xml:space="preserve"> comparison with </w:t>
      </w:r>
      <w:r w:rsidR="008B19D5" w:rsidRPr="00B61251">
        <w:rPr>
          <w:rFonts w:asciiTheme="minorHAnsi" w:hAnsiTheme="minorHAnsi"/>
          <w:bCs/>
        </w:rPr>
        <w:t xml:space="preserve">bevacizumab </w:t>
      </w:r>
      <w:r w:rsidR="004C4AE7" w:rsidRPr="00B61251">
        <w:rPr>
          <w:rFonts w:asciiTheme="minorHAnsi" w:hAnsiTheme="minorHAnsi"/>
          <w:bCs/>
        </w:rPr>
        <w:t>+</w:t>
      </w:r>
      <w:r w:rsidR="008B19D5" w:rsidRPr="00B61251">
        <w:rPr>
          <w:rFonts w:asciiTheme="minorHAnsi" w:hAnsiTheme="minorHAnsi"/>
          <w:bCs/>
        </w:rPr>
        <w:t xml:space="preserve"> PDC</w:t>
      </w:r>
      <w:r w:rsidR="002903F3" w:rsidRPr="00B61251">
        <w:rPr>
          <w:rFonts w:asciiTheme="minorHAnsi" w:hAnsiTheme="minorHAnsi"/>
          <w:bCs/>
        </w:rPr>
        <w:t xml:space="preserve"> in that</w:t>
      </w:r>
      <w:r w:rsidR="004C4AE7" w:rsidRPr="00B61251">
        <w:rPr>
          <w:rFonts w:asciiTheme="minorHAnsi" w:hAnsiTheme="minorHAnsi"/>
          <w:bCs/>
        </w:rPr>
        <w:t xml:space="preserve"> trial</w:t>
      </w:r>
      <w:r w:rsidRPr="00B61251">
        <w:rPr>
          <w:rFonts w:asciiTheme="minorHAnsi" w:hAnsiTheme="minorHAnsi"/>
          <w:bCs/>
        </w:rPr>
        <w:t>.</w:t>
      </w:r>
    </w:p>
    <w:p w:rsidR="00B60939" w:rsidRPr="003E5902" w:rsidRDefault="00B60939" w:rsidP="00994839">
      <w:pPr>
        <w:pStyle w:val="Heading2"/>
        <w:widowControl/>
      </w:pPr>
      <w:r w:rsidRPr="003E5902">
        <w:t>Clinical trials</w:t>
      </w:r>
      <w:bookmarkEnd w:id="8"/>
    </w:p>
    <w:p w:rsidR="00077351" w:rsidRPr="00B61251" w:rsidRDefault="000F5FCA" w:rsidP="00994839">
      <w:pPr>
        <w:pStyle w:val="ListParagraph"/>
        <w:keepNext/>
        <w:widowControl/>
        <w:numPr>
          <w:ilvl w:val="1"/>
          <w:numId w:val="1"/>
        </w:numPr>
        <w:spacing w:after="120"/>
      </w:pPr>
      <w:r w:rsidRPr="00B61251">
        <w:rPr>
          <w:rFonts w:cs="Calibri"/>
          <w:snapToGrid/>
          <w:szCs w:val="24"/>
          <w:lang w:eastAsia="en-AU"/>
        </w:rPr>
        <w:lastRenderedPageBreak/>
        <w:t>Two indirect comparisons were presented</w:t>
      </w:r>
      <w:r w:rsidR="0068672B">
        <w:rPr>
          <w:rFonts w:cs="Calibri"/>
          <w:snapToGrid/>
          <w:szCs w:val="24"/>
          <w:lang w:eastAsia="en-AU"/>
        </w:rPr>
        <w:t>.</w:t>
      </w:r>
    </w:p>
    <w:p w:rsidR="000F073D" w:rsidRPr="00B61251" w:rsidRDefault="00077351" w:rsidP="00994839">
      <w:pPr>
        <w:pStyle w:val="ListParagraph"/>
        <w:keepNext/>
        <w:widowControl/>
        <w:numPr>
          <w:ilvl w:val="1"/>
          <w:numId w:val="1"/>
        </w:numPr>
        <w:spacing w:after="120"/>
      </w:pPr>
      <w:r w:rsidRPr="00B61251">
        <w:rPr>
          <w:rFonts w:cs="Calibri"/>
          <w:snapToGrid/>
          <w:szCs w:val="24"/>
          <w:lang w:eastAsia="en-AU"/>
        </w:rPr>
        <w:t>T</w:t>
      </w:r>
      <w:r w:rsidR="001362CE" w:rsidRPr="00B61251">
        <w:rPr>
          <w:rFonts w:cs="Calibri"/>
          <w:snapToGrid/>
          <w:szCs w:val="24"/>
          <w:lang w:eastAsia="en-AU"/>
        </w:rPr>
        <w:t xml:space="preserve">he submission </w:t>
      </w:r>
      <w:r w:rsidR="000F073D" w:rsidRPr="00B61251">
        <w:rPr>
          <w:rFonts w:cs="Calibri"/>
          <w:snapToGrid/>
          <w:szCs w:val="24"/>
          <w:lang w:eastAsia="en-AU"/>
        </w:rPr>
        <w:t>presented</w:t>
      </w:r>
      <w:r w:rsidR="001362CE" w:rsidRPr="00B61251">
        <w:rPr>
          <w:rFonts w:cs="Calibri"/>
          <w:snapToGrid/>
          <w:szCs w:val="24"/>
          <w:lang w:eastAsia="en-AU"/>
        </w:rPr>
        <w:t xml:space="preserve"> an indirect comparison of atezolizumab+ bevacizumab + CP and</w:t>
      </w:r>
      <w:r w:rsidR="000F073D" w:rsidRPr="00B61251">
        <w:rPr>
          <w:rFonts w:cs="Calibri"/>
          <w:snapToGrid/>
          <w:szCs w:val="24"/>
          <w:lang w:eastAsia="en-AU"/>
        </w:rPr>
        <w:t xml:space="preserve"> CP alone, with bevacizumab + CP as the common reference, based on</w:t>
      </w:r>
      <w:r w:rsidR="001D67CA" w:rsidRPr="00B61251">
        <w:rPr>
          <w:rFonts w:cs="Calibri"/>
          <w:snapToGrid/>
          <w:szCs w:val="24"/>
          <w:lang w:eastAsia="en-AU"/>
        </w:rPr>
        <w:t xml:space="preserve"> three randomised controlled trials (RCTs)</w:t>
      </w:r>
      <w:r w:rsidR="000F073D" w:rsidRPr="00B61251">
        <w:rPr>
          <w:rFonts w:cs="Calibri"/>
          <w:snapToGrid/>
          <w:szCs w:val="24"/>
          <w:lang w:eastAsia="en-AU"/>
        </w:rPr>
        <w:t>:</w:t>
      </w:r>
    </w:p>
    <w:p w:rsidR="000F073D" w:rsidRPr="00B61251" w:rsidRDefault="000F073D" w:rsidP="00994839">
      <w:pPr>
        <w:pStyle w:val="ListParagraph"/>
        <w:widowControl/>
        <w:numPr>
          <w:ilvl w:val="0"/>
          <w:numId w:val="4"/>
        </w:numPr>
        <w:spacing w:after="120"/>
        <w:ind w:left="1134"/>
      </w:pPr>
      <w:r w:rsidRPr="00B61251">
        <w:t xml:space="preserve">IMpower150: a three-armed, open-label, </w:t>
      </w:r>
      <w:r w:rsidR="00451D10" w:rsidRPr="00B61251">
        <w:t>RCT</w:t>
      </w:r>
      <w:r w:rsidRPr="00B61251">
        <w:t xml:space="preserve"> comparing </w:t>
      </w:r>
      <w:r w:rsidR="00026509" w:rsidRPr="00B61251">
        <w:t>atezolizumab + bevacizumab</w:t>
      </w:r>
      <w:r w:rsidRPr="00B61251">
        <w:t xml:space="preserve"> + CP</w:t>
      </w:r>
      <w:r w:rsidR="001D67CA" w:rsidRPr="00B61251">
        <w:t xml:space="preserve"> (N=400)</w:t>
      </w:r>
      <w:r w:rsidRPr="00B61251">
        <w:t xml:space="preserve"> and atezolizumab + CP </w:t>
      </w:r>
      <w:r w:rsidR="001D67CA" w:rsidRPr="00B61251">
        <w:t xml:space="preserve">(N=402) </w:t>
      </w:r>
      <w:r w:rsidRPr="00B61251">
        <w:t>with bevacizumab + CP</w:t>
      </w:r>
      <w:r w:rsidR="001D67CA" w:rsidRPr="00B61251">
        <w:t xml:space="preserve"> (N=400)</w:t>
      </w:r>
      <w:r w:rsidRPr="00B61251">
        <w:t xml:space="preserve"> in chemotherapy-naïve patients with Stage IV NSQ NSCLC</w:t>
      </w:r>
      <w:r w:rsidR="001D67CA" w:rsidRPr="00B61251">
        <w:t>;</w:t>
      </w:r>
    </w:p>
    <w:p w:rsidR="000F073D" w:rsidRPr="00B61251" w:rsidRDefault="001D67CA" w:rsidP="00994839">
      <w:pPr>
        <w:pStyle w:val="ListParagraph"/>
        <w:widowControl/>
        <w:numPr>
          <w:ilvl w:val="0"/>
          <w:numId w:val="4"/>
        </w:numPr>
        <w:spacing w:after="120"/>
        <w:ind w:left="1134"/>
      </w:pPr>
      <w:r w:rsidRPr="00B61251">
        <w:t>Sandler 2006: an open-label RCT comparing bevacizumab + CP (n=417) with CP alone (n=433) in chemotherapy-naïve patients with advanced (Stage IIIB or IV) or recurrent NSQ NSCLC; and</w:t>
      </w:r>
    </w:p>
    <w:p w:rsidR="001D67CA" w:rsidRPr="00B61251" w:rsidRDefault="001D67CA" w:rsidP="00994839">
      <w:pPr>
        <w:pStyle w:val="ListParagraph"/>
        <w:widowControl/>
        <w:numPr>
          <w:ilvl w:val="0"/>
          <w:numId w:val="4"/>
        </w:numPr>
        <w:spacing w:after="120"/>
        <w:ind w:left="1134"/>
      </w:pPr>
      <w:r w:rsidRPr="00B61251">
        <w:t>Zhou 2015: a randomised, double-blind, placebo-controlled trial comparing first-line bevacizumab + CP (n=138) with placebo + CP (n=138) in Chinese patients with locally advanced, metastatic or recurrent NSQ NSCLC.</w:t>
      </w:r>
    </w:p>
    <w:p w:rsidR="000F5FCA" w:rsidRPr="00B61251" w:rsidRDefault="000F5FCA" w:rsidP="00994839">
      <w:pPr>
        <w:pStyle w:val="ListParagraph"/>
        <w:widowControl/>
        <w:numPr>
          <w:ilvl w:val="1"/>
          <w:numId w:val="1"/>
        </w:numPr>
        <w:spacing w:after="120"/>
      </w:pPr>
      <w:r w:rsidRPr="00B61251">
        <w:t>The submission also presented a two-step indirect comparison of atezolizumab + bevacizumab + CP with pembrolizumab monotherapy (</w:t>
      </w:r>
      <w:r w:rsidR="00744BB1" w:rsidRPr="00B61251">
        <w:t>Figure 1</w:t>
      </w:r>
      <w:r w:rsidRPr="00B61251">
        <w:t>) for patients with EGFR wild type/ALK negative NSQ NSCLC with high PD-L1 expression. A subgroup analysis of patients with EGFR wild type/ALK negative NSQ NSCLC with high PD-L1 expression in IMpower150 (N=136) was used, along with the full analysis sets from Sandler 2006 and Zhou 2015 (unselected by EGFR/ALK mutation status and PD-L1 expression), and Keynote-024. Keynote-024 was an open-label RCT comparing pembrolizumab monotherapy (N=154) with P</w:t>
      </w:r>
      <w:r w:rsidR="004116A3" w:rsidRPr="00B61251">
        <w:t>DC</w:t>
      </w:r>
      <w:r w:rsidRPr="00B61251">
        <w:t xml:space="preserve"> (N=151) in patients with previously untreated advanced NSCLC with </w:t>
      </w:r>
      <w:r w:rsidR="00077351" w:rsidRPr="00B61251">
        <w:t xml:space="preserve">PD-L1 </w:t>
      </w:r>
      <w:r w:rsidR="00736126" w:rsidRPr="00B61251">
        <w:t>tumour proportion score (</w:t>
      </w:r>
      <w:r w:rsidRPr="00B61251">
        <w:t>TPS</w:t>
      </w:r>
      <w:r w:rsidR="00736126" w:rsidRPr="00B61251">
        <w:t>)</w:t>
      </w:r>
      <w:r w:rsidRPr="00B61251">
        <w:t xml:space="preserve"> ≥50% and no sensitising mutation of the EGFR gene or ALK gene translocation.</w:t>
      </w:r>
    </w:p>
    <w:p w:rsidR="000F5FCA" w:rsidRPr="00B61251" w:rsidRDefault="00EE6396" w:rsidP="0079332B">
      <w:pPr>
        <w:pStyle w:val="Caption"/>
        <w:keepNext/>
        <w:widowControl/>
        <w:rPr>
          <w:b w:val="0"/>
          <w:sz w:val="24"/>
        </w:rPr>
      </w:pPr>
      <w:bookmarkStart w:id="9" w:name="_Ref534376060"/>
      <w:r w:rsidRPr="00B61251">
        <w:lastRenderedPageBreak/>
        <w:t xml:space="preserve">Figure </w:t>
      </w:r>
      <w:r w:rsidR="00744BB1" w:rsidRPr="00B61251">
        <w:t>1</w:t>
      </w:r>
      <w:bookmarkEnd w:id="9"/>
      <w:r w:rsidRPr="00B61251">
        <w:t>: Network diagram for the indirect comparison of atezolizumab + bevacizumab + CP with pembrolizumab monotherapy presented in the submission.</w:t>
      </w:r>
    </w:p>
    <w:p w:rsidR="000F5FCA" w:rsidRPr="00B61251" w:rsidRDefault="000F5FCA" w:rsidP="0079332B">
      <w:pPr>
        <w:widowControl/>
      </w:pPr>
      <w:r w:rsidRPr="00B61251">
        <w:rPr>
          <w:noProof/>
          <w:lang w:eastAsia="en-AU"/>
        </w:rPr>
        <w:drawing>
          <wp:inline distT="0" distB="0" distL="0" distR="0" wp14:anchorId="06F9310D" wp14:editId="20DB7A65">
            <wp:extent cx="5732145" cy="3303905"/>
            <wp:effectExtent l="0" t="0" r="1905" b="0"/>
            <wp:docPr id="34" name="Picture 34" title="Network diagram for the indirect comparison of atezolizumab + bevacizumab + CP with pembrolizumab monotherapy presented in th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3303905"/>
                    </a:xfrm>
                    <a:prstGeom prst="rect">
                      <a:avLst/>
                    </a:prstGeom>
                  </pic:spPr>
                </pic:pic>
              </a:graphicData>
            </a:graphic>
          </wp:inline>
        </w:drawing>
      </w:r>
    </w:p>
    <w:p w:rsidR="000F5FCA" w:rsidRPr="00B61251" w:rsidRDefault="000F5FCA" w:rsidP="0079332B">
      <w:pPr>
        <w:pStyle w:val="TableFooter"/>
        <w:widowControl/>
        <w:rPr>
          <w:b/>
        </w:rPr>
      </w:pPr>
      <w:r w:rsidRPr="00B61251">
        <w:t xml:space="preserve">Note: Only 136/800 of the patients in the relevant treatment arms in IMpower150 were included in this analysis (ITT-WT population with PD-L1 expression TC3 or IC3). </w:t>
      </w:r>
    </w:p>
    <w:p w:rsidR="000F5FCA" w:rsidRPr="00B61251" w:rsidRDefault="000F5FCA" w:rsidP="0079332B">
      <w:pPr>
        <w:pStyle w:val="TableFooter"/>
        <w:widowControl/>
        <w:rPr>
          <w:b/>
        </w:rPr>
      </w:pPr>
      <w:r w:rsidRPr="00B61251">
        <w:t>Source: Figure 2.3, p10 ‘Tecentriq + Avastin PBAC Section 2_Appendix’ Attachment 2 to the submission.</w:t>
      </w:r>
    </w:p>
    <w:p w:rsidR="00370A48" w:rsidRPr="00B61251" w:rsidRDefault="00370A48" w:rsidP="0079332B">
      <w:pPr>
        <w:widowControl/>
      </w:pPr>
    </w:p>
    <w:p w:rsidR="00862502" w:rsidRPr="00B61251" w:rsidRDefault="00A73134" w:rsidP="0079332B">
      <w:pPr>
        <w:pStyle w:val="ListParagraph"/>
        <w:widowControl/>
        <w:numPr>
          <w:ilvl w:val="1"/>
          <w:numId w:val="1"/>
        </w:numPr>
      </w:pPr>
      <w:r w:rsidRPr="00B61251">
        <w:rPr>
          <w:rFonts w:cs="Calibri"/>
          <w:snapToGrid/>
          <w:szCs w:val="24"/>
          <w:lang w:eastAsia="en-AU"/>
        </w:rPr>
        <w:t xml:space="preserve">Details of the trials presented in the submission are provided in </w:t>
      </w:r>
      <w:r w:rsidR="009D559C" w:rsidRPr="00B61251">
        <w:t>Table 2</w:t>
      </w:r>
      <w:r w:rsidRPr="00B61251">
        <w:rPr>
          <w:rFonts w:cs="Calibri"/>
          <w:snapToGrid/>
          <w:szCs w:val="24"/>
          <w:lang w:eastAsia="en-AU"/>
        </w:rPr>
        <w:t>.</w:t>
      </w:r>
    </w:p>
    <w:p w:rsidR="00655D51" w:rsidRPr="00B61251" w:rsidRDefault="00655D51" w:rsidP="0079332B">
      <w:pPr>
        <w:pStyle w:val="Caption"/>
        <w:keepNext/>
        <w:widowControl/>
      </w:pPr>
      <w:bookmarkStart w:id="10" w:name="_Ref4591840"/>
      <w:r w:rsidRPr="00B61251">
        <w:lastRenderedPageBreak/>
        <w:t xml:space="preserve">Table </w:t>
      </w:r>
      <w:r w:rsidR="00744BB1" w:rsidRPr="00B61251">
        <w:t>2</w:t>
      </w:r>
      <w:bookmarkEnd w:id="10"/>
      <w:r w:rsidRPr="00B61251">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435"/>
        <w:gridCol w:w="5459"/>
        <w:gridCol w:w="2123"/>
      </w:tblGrid>
      <w:tr w:rsidR="00F86209" w:rsidRPr="00B61251" w:rsidTr="00655D51">
        <w:trPr>
          <w:tblHeader/>
        </w:trPr>
        <w:tc>
          <w:tcPr>
            <w:tcW w:w="796" w:type="pct"/>
            <w:tcBorders>
              <w:bottom w:val="single" w:sz="4" w:space="0" w:color="auto"/>
            </w:tcBorders>
            <w:vAlign w:val="center"/>
          </w:tcPr>
          <w:p w:rsidR="00F86209" w:rsidRPr="00B61251" w:rsidRDefault="00F86209" w:rsidP="0079332B">
            <w:pPr>
              <w:pStyle w:val="Tabletext"/>
              <w:keepNext/>
              <w:rPr>
                <w:b/>
              </w:rPr>
            </w:pPr>
            <w:r w:rsidRPr="00B61251">
              <w:rPr>
                <w:b/>
              </w:rPr>
              <w:t>Trial ID</w:t>
            </w:r>
          </w:p>
        </w:tc>
        <w:tc>
          <w:tcPr>
            <w:tcW w:w="3027" w:type="pct"/>
            <w:tcBorders>
              <w:bottom w:val="single" w:sz="4" w:space="0" w:color="auto"/>
            </w:tcBorders>
            <w:vAlign w:val="center"/>
          </w:tcPr>
          <w:p w:rsidR="00F86209" w:rsidRPr="00B61251" w:rsidRDefault="00F86209" w:rsidP="0079332B">
            <w:pPr>
              <w:pStyle w:val="Tabletext"/>
              <w:keepNext/>
              <w:jc w:val="center"/>
              <w:rPr>
                <w:b/>
              </w:rPr>
            </w:pPr>
            <w:r w:rsidRPr="00B61251">
              <w:rPr>
                <w:b/>
              </w:rPr>
              <w:t>Protocol title/ Publication title</w:t>
            </w:r>
          </w:p>
        </w:tc>
        <w:tc>
          <w:tcPr>
            <w:tcW w:w="1177" w:type="pct"/>
            <w:tcBorders>
              <w:bottom w:val="single" w:sz="4" w:space="0" w:color="auto"/>
            </w:tcBorders>
            <w:vAlign w:val="center"/>
          </w:tcPr>
          <w:p w:rsidR="00F86209" w:rsidRPr="00B61251" w:rsidRDefault="00F86209" w:rsidP="0079332B">
            <w:pPr>
              <w:pStyle w:val="Tabletext"/>
              <w:keepNext/>
              <w:jc w:val="center"/>
              <w:rPr>
                <w:b/>
              </w:rPr>
            </w:pPr>
            <w:r w:rsidRPr="00B61251">
              <w:rPr>
                <w:b/>
              </w:rPr>
              <w:t>Publication citation</w:t>
            </w:r>
          </w:p>
        </w:tc>
      </w:tr>
      <w:tr w:rsidR="00F86209" w:rsidRPr="00B61251" w:rsidTr="00655D51">
        <w:tc>
          <w:tcPr>
            <w:tcW w:w="796" w:type="pct"/>
            <w:vMerge w:val="restart"/>
            <w:vAlign w:val="center"/>
          </w:tcPr>
          <w:p w:rsidR="00F86209" w:rsidRPr="00B61251" w:rsidRDefault="00311308" w:rsidP="0079332B">
            <w:pPr>
              <w:pStyle w:val="Tabletext"/>
              <w:keepNext/>
              <w:rPr>
                <w:szCs w:val="20"/>
              </w:rPr>
            </w:pPr>
            <w:r w:rsidRPr="00B61251">
              <w:rPr>
                <w:szCs w:val="20"/>
              </w:rPr>
              <w:t>IM</w:t>
            </w:r>
            <w:r w:rsidR="00235371" w:rsidRPr="00B61251">
              <w:rPr>
                <w:szCs w:val="20"/>
              </w:rPr>
              <w:t>power</w:t>
            </w:r>
            <w:r w:rsidR="00F86209" w:rsidRPr="00B61251">
              <w:rPr>
                <w:szCs w:val="20"/>
              </w:rPr>
              <w:t>150</w:t>
            </w:r>
          </w:p>
        </w:tc>
        <w:tc>
          <w:tcPr>
            <w:tcW w:w="3027" w:type="pct"/>
            <w:tcBorders>
              <w:bottom w:val="nil"/>
            </w:tcBorders>
            <w:vAlign w:val="center"/>
          </w:tcPr>
          <w:p w:rsidR="00F86209" w:rsidRPr="00B61251" w:rsidRDefault="00F86209" w:rsidP="0079332B">
            <w:pPr>
              <w:pStyle w:val="Tabletext"/>
              <w:keepNext/>
              <w:spacing w:after="120"/>
              <w:rPr>
                <w:szCs w:val="20"/>
              </w:rPr>
            </w:pPr>
            <w:r w:rsidRPr="00B61251">
              <w:rPr>
                <w:szCs w:val="20"/>
              </w:rPr>
              <w:t xml:space="preserve">Primary CSR: A phase III, open-label, randomized study of MPDL3280A (anti-PDL-1 antibody) in combination with CP with or without Bevacizumab compared with CP + bevacizumab in chemotherapy-pemetrexed patients with stage IV non-squamous non-small cell lung cancer. </w:t>
            </w:r>
          </w:p>
        </w:tc>
        <w:tc>
          <w:tcPr>
            <w:tcW w:w="1177" w:type="pct"/>
            <w:tcBorders>
              <w:bottom w:val="nil"/>
            </w:tcBorders>
            <w:vAlign w:val="center"/>
          </w:tcPr>
          <w:p w:rsidR="00F86209" w:rsidRPr="00B61251" w:rsidRDefault="00F86209" w:rsidP="0079332B">
            <w:pPr>
              <w:pStyle w:val="Tabletext"/>
              <w:keepNext/>
              <w:rPr>
                <w:szCs w:val="20"/>
              </w:rPr>
            </w:pPr>
            <w:r w:rsidRPr="00B61251">
              <w:rPr>
                <w:szCs w:val="20"/>
              </w:rPr>
              <w:t>January 2018</w:t>
            </w:r>
          </w:p>
        </w:tc>
      </w:tr>
      <w:tr w:rsidR="00F86209" w:rsidRPr="00B61251" w:rsidTr="00655D51">
        <w:tc>
          <w:tcPr>
            <w:tcW w:w="796" w:type="pct"/>
            <w:vMerge/>
            <w:vAlign w:val="center"/>
          </w:tcPr>
          <w:p w:rsidR="00F86209" w:rsidRPr="00B61251" w:rsidRDefault="00F86209" w:rsidP="0079332B">
            <w:pPr>
              <w:pStyle w:val="Tabletext"/>
              <w:keepNext/>
              <w:rPr>
                <w:szCs w:val="20"/>
              </w:rPr>
            </w:pPr>
          </w:p>
        </w:tc>
        <w:tc>
          <w:tcPr>
            <w:tcW w:w="3027" w:type="pct"/>
            <w:tcBorders>
              <w:top w:val="nil"/>
              <w:bottom w:val="nil"/>
            </w:tcBorders>
            <w:vAlign w:val="center"/>
          </w:tcPr>
          <w:p w:rsidR="00F86209" w:rsidRPr="00B61251" w:rsidRDefault="00F86209" w:rsidP="0079332B">
            <w:pPr>
              <w:pStyle w:val="Tabletext"/>
              <w:keepNext/>
              <w:rPr>
                <w:szCs w:val="20"/>
              </w:rPr>
            </w:pPr>
            <w:r w:rsidRPr="00B61251">
              <w:rPr>
                <w:szCs w:val="20"/>
              </w:rPr>
              <w:t>Update CSR Study GO29436, (I</w:t>
            </w:r>
            <w:r w:rsidR="004E2814" w:rsidRPr="00B61251">
              <w:rPr>
                <w:szCs w:val="20"/>
              </w:rPr>
              <w:t>M</w:t>
            </w:r>
            <w:r w:rsidRPr="00B61251">
              <w:rPr>
                <w:szCs w:val="20"/>
              </w:rPr>
              <w:t xml:space="preserve">power150) Report No. 1085182 </w:t>
            </w:r>
          </w:p>
        </w:tc>
        <w:tc>
          <w:tcPr>
            <w:tcW w:w="1177" w:type="pct"/>
            <w:tcBorders>
              <w:top w:val="nil"/>
              <w:bottom w:val="nil"/>
            </w:tcBorders>
            <w:vAlign w:val="center"/>
          </w:tcPr>
          <w:p w:rsidR="00F86209" w:rsidRPr="00B61251" w:rsidRDefault="00F86209" w:rsidP="0079332B">
            <w:pPr>
              <w:pStyle w:val="Tabletext"/>
              <w:keepNext/>
              <w:spacing w:after="120"/>
              <w:rPr>
                <w:szCs w:val="20"/>
              </w:rPr>
            </w:pPr>
            <w:r w:rsidRPr="00B61251">
              <w:rPr>
                <w:szCs w:val="20"/>
              </w:rPr>
              <w:t>May 2018</w:t>
            </w:r>
          </w:p>
        </w:tc>
      </w:tr>
      <w:tr w:rsidR="00F86209" w:rsidRPr="00B61251" w:rsidTr="00655D51">
        <w:tc>
          <w:tcPr>
            <w:tcW w:w="796" w:type="pct"/>
            <w:vMerge/>
            <w:tcBorders>
              <w:bottom w:val="nil"/>
            </w:tcBorders>
            <w:vAlign w:val="center"/>
          </w:tcPr>
          <w:p w:rsidR="00F86209" w:rsidRPr="00B61251" w:rsidRDefault="00F86209" w:rsidP="0079332B">
            <w:pPr>
              <w:pStyle w:val="Tabletext"/>
              <w:keepNext/>
              <w:rPr>
                <w:szCs w:val="20"/>
              </w:rPr>
            </w:pPr>
          </w:p>
        </w:tc>
        <w:tc>
          <w:tcPr>
            <w:tcW w:w="3027" w:type="pct"/>
            <w:tcBorders>
              <w:top w:val="nil"/>
              <w:bottom w:val="nil"/>
            </w:tcBorders>
            <w:vAlign w:val="center"/>
          </w:tcPr>
          <w:p w:rsidR="00F86209" w:rsidRPr="00B61251" w:rsidRDefault="00F86209" w:rsidP="0079332B">
            <w:pPr>
              <w:pStyle w:val="Tabletext"/>
              <w:keepNext/>
              <w:rPr>
                <w:szCs w:val="20"/>
              </w:rPr>
            </w:pPr>
            <w:r w:rsidRPr="00B61251">
              <w:rPr>
                <w:szCs w:val="20"/>
              </w:rPr>
              <w:t>Socinski MA, Jotte RM, et al. Atezolizumab for first-line treatment of metastatic nonsquamous NSCLC.</w:t>
            </w:r>
          </w:p>
        </w:tc>
        <w:tc>
          <w:tcPr>
            <w:tcW w:w="1177" w:type="pct"/>
            <w:tcBorders>
              <w:top w:val="nil"/>
              <w:bottom w:val="nil"/>
            </w:tcBorders>
            <w:vAlign w:val="center"/>
          </w:tcPr>
          <w:p w:rsidR="00F86209" w:rsidRPr="00B61251" w:rsidRDefault="00F86209" w:rsidP="0079332B">
            <w:pPr>
              <w:pStyle w:val="Tabletext"/>
              <w:keepNext/>
              <w:rPr>
                <w:szCs w:val="20"/>
                <w:lang w:eastAsia="en-AU"/>
              </w:rPr>
            </w:pPr>
            <w:r w:rsidRPr="00B61251">
              <w:rPr>
                <w:szCs w:val="20"/>
                <w:lang w:eastAsia="en-AU"/>
              </w:rPr>
              <w:t>New England Journal of Medicine 2018; 378(24): 2288-2301.</w:t>
            </w:r>
          </w:p>
        </w:tc>
      </w:tr>
      <w:tr w:rsidR="00F86209" w:rsidRPr="00B61251" w:rsidTr="00655D51">
        <w:tc>
          <w:tcPr>
            <w:tcW w:w="796" w:type="pct"/>
            <w:tcBorders>
              <w:bottom w:val="single" w:sz="4" w:space="0" w:color="auto"/>
            </w:tcBorders>
            <w:vAlign w:val="center"/>
          </w:tcPr>
          <w:p w:rsidR="00F86209" w:rsidRPr="00B61251" w:rsidRDefault="00F86209" w:rsidP="0079332B">
            <w:pPr>
              <w:pStyle w:val="Tabletext"/>
              <w:keepNext/>
              <w:rPr>
                <w:szCs w:val="20"/>
              </w:rPr>
            </w:pPr>
            <w:r w:rsidRPr="00B61251">
              <w:rPr>
                <w:szCs w:val="20"/>
              </w:rPr>
              <w:t>Zhou 2015</w:t>
            </w:r>
          </w:p>
        </w:tc>
        <w:tc>
          <w:tcPr>
            <w:tcW w:w="3027" w:type="pct"/>
            <w:tcBorders>
              <w:bottom w:val="single" w:sz="4" w:space="0" w:color="auto"/>
            </w:tcBorders>
            <w:vAlign w:val="center"/>
          </w:tcPr>
          <w:p w:rsidR="00F86209" w:rsidRPr="00B61251" w:rsidRDefault="00F86209" w:rsidP="0079332B">
            <w:pPr>
              <w:pStyle w:val="Tabletext"/>
              <w:keepNext/>
              <w:rPr>
                <w:szCs w:val="20"/>
              </w:rPr>
            </w:pPr>
            <w:r w:rsidRPr="00B61251">
              <w:rPr>
                <w:szCs w:val="20"/>
              </w:rPr>
              <w:t>Zhou C, Wu YL, Chen G, et al. BEYOND: a randomized double-blind, placebo-controlled, multicentre, phase III study of first-line carboplatin/paclitaxel plus bevacizumab or placebo in Chinese patients with advanced or recurrent nonsquamous non-small-cell lung cancer.</w:t>
            </w:r>
          </w:p>
        </w:tc>
        <w:tc>
          <w:tcPr>
            <w:tcW w:w="1177" w:type="pct"/>
            <w:tcBorders>
              <w:bottom w:val="single" w:sz="4" w:space="0" w:color="auto"/>
            </w:tcBorders>
            <w:vAlign w:val="center"/>
          </w:tcPr>
          <w:p w:rsidR="00F86209" w:rsidRPr="00B61251" w:rsidRDefault="00F86209" w:rsidP="0079332B">
            <w:pPr>
              <w:pStyle w:val="Tabletext"/>
              <w:keepNext/>
              <w:rPr>
                <w:szCs w:val="20"/>
              </w:rPr>
            </w:pPr>
            <w:r w:rsidRPr="00B61251">
              <w:rPr>
                <w:szCs w:val="20"/>
              </w:rPr>
              <w:t>Journal of Clinical Oncology 2015; 33(19): 2197-204.</w:t>
            </w:r>
          </w:p>
        </w:tc>
      </w:tr>
      <w:tr w:rsidR="00F86209" w:rsidRPr="00B61251" w:rsidTr="00655D51">
        <w:tc>
          <w:tcPr>
            <w:tcW w:w="796" w:type="pct"/>
            <w:vMerge w:val="restart"/>
            <w:tcBorders>
              <w:top w:val="single" w:sz="4" w:space="0" w:color="auto"/>
            </w:tcBorders>
            <w:vAlign w:val="center"/>
          </w:tcPr>
          <w:p w:rsidR="00F86209" w:rsidRPr="00B61251" w:rsidRDefault="00F86209" w:rsidP="0079332B">
            <w:pPr>
              <w:pStyle w:val="Tabletext"/>
              <w:keepNext/>
              <w:rPr>
                <w:szCs w:val="20"/>
              </w:rPr>
            </w:pPr>
            <w:r w:rsidRPr="00B61251">
              <w:rPr>
                <w:szCs w:val="20"/>
              </w:rPr>
              <w:t>Sandler 2006</w:t>
            </w:r>
          </w:p>
        </w:tc>
        <w:tc>
          <w:tcPr>
            <w:tcW w:w="3027" w:type="pct"/>
            <w:tcBorders>
              <w:top w:val="single" w:sz="4" w:space="0" w:color="auto"/>
              <w:bottom w:val="nil"/>
            </w:tcBorders>
            <w:vAlign w:val="center"/>
          </w:tcPr>
          <w:p w:rsidR="00F86209" w:rsidRPr="00B61251" w:rsidRDefault="00F86209" w:rsidP="0079332B">
            <w:pPr>
              <w:pStyle w:val="Tabletext"/>
              <w:keepNext/>
              <w:rPr>
                <w:szCs w:val="20"/>
              </w:rPr>
            </w:pPr>
            <w:r w:rsidRPr="00B61251">
              <w:rPr>
                <w:szCs w:val="20"/>
              </w:rPr>
              <w:t>Sandler A, Gray R, Perry MC, et al. Paclitaxel-carboplatin alone or with bevacizumab for non-small-cell lung cancer.</w:t>
            </w:r>
          </w:p>
        </w:tc>
        <w:tc>
          <w:tcPr>
            <w:tcW w:w="1177" w:type="pct"/>
            <w:tcBorders>
              <w:top w:val="single" w:sz="4" w:space="0" w:color="auto"/>
              <w:bottom w:val="nil"/>
            </w:tcBorders>
            <w:vAlign w:val="center"/>
          </w:tcPr>
          <w:p w:rsidR="00F86209" w:rsidRPr="00B61251" w:rsidRDefault="00F86209" w:rsidP="0079332B">
            <w:pPr>
              <w:pStyle w:val="Tabletext"/>
              <w:keepNext/>
              <w:rPr>
                <w:szCs w:val="20"/>
                <w:lang w:eastAsia="en-AU"/>
              </w:rPr>
            </w:pPr>
            <w:r w:rsidRPr="00B61251">
              <w:rPr>
                <w:szCs w:val="20"/>
                <w:lang w:eastAsia="en-AU"/>
              </w:rPr>
              <w:t>New England Journal of Medicine 2006; 355(24): 2542-50.</w:t>
            </w:r>
          </w:p>
        </w:tc>
      </w:tr>
      <w:tr w:rsidR="00F86209" w:rsidRPr="00B61251" w:rsidTr="00655D51">
        <w:tc>
          <w:tcPr>
            <w:tcW w:w="796" w:type="pct"/>
            <w:vMerge/>
            <w:vAlign w:val="center"/>
          </w:tcPr>
          <w:p w:rsidR="00F86209" w:rsidRPr="00B61251" w:rsidRDefault="00F86209" w:rsidP="0079332B">
            <w:pPr>
              <w:pStyle w:val="Tabletext"/>
              <w:keepNext/>
              <w:rPr>
                <w:szCs w:val="20"/>
              </w:rPr>
            </w:pPr>
          </w:p>
        </w:tc>
        <w:tc>
          <w:tcPr>
            <w:tcW w:w="3027" w:type="pct"/>
            <w:tcBorders>
              <w:top w:val="nil"/>
              <w:bottom w:val="nil"/>
            </w:tcBorders>
            <w:vAlign w:val="center"/>
          </w:tcPr>
          <w:p w:rsidR="00F86209" w:rsidRPr="00B61251" w:rsidRDefault="00F86209" w:rsidP="0079332B">
            <w:pPr>
              <w:pStyle w:val="Tabletext"/>
              <w:keepNext/>
              <w:rPr>
                <w:szCs w:val="20"/>
              </w:rPr>
            </w:pPr>
            <w:r w:rsidRPr="00B61251">
              <w:rPr>
                <w:szCs w:val="20"/>
              </w:rPr>
              <w:t>Sandler A, Yi J, Dahlberg S, et al. Treatment outcomes by tumour histology in Eastern Cooperative Group Study E4599 of bevacizumab with paclitaxel/carboplatin for advanced non-small cell lung cancer.</w:t>
            </w:r>
          </w:p>
        </w:tc>
        <w:tc>
          <w:tcPr>
            <w:tcW w:w="1177" w:type="pct"/>
            <w:tcBorders>
              <w:top w:val="nil"/>
              <w:bottom w:val="nil"/>
            </w:tcBorders>
            <w:vAlign w:val="center"/>
          </w:tcPr>
          <w:p w:rsidR="00F86209" w:rsidRPr="00B61251" w:rsidRDefault="00F86209" w:rsidP="0079332B">
            <w:pPr>
              <w:pStyle w:val="Tabletext"/>
              <w:keepNext/>
              <w:rPr>
                <w:szCs w:val="20"/>
                <w:lang w:eastAsia="en-AU"/>
              </w:rPr>
            </w:pPr>
            <w:r w:rsidRPr="00B61251">
              <w:rPr>
                <w:szCs w:val="20"/>
                <w:lang w:eastAsia="en-AU"/>
              </w:rPr>
              <w:t>Journal of Thoracic Oncology 2010; 5(9): 1416-23.</w:t>
            </w:r>
          </w:p>
        </w:tc>
      </w:tr>
      <w:tr w:rsidR="00F86209" w:rsidRPr="00B61251" w:rsidTr="00655D51">
        <w:tc>
          <w:tcPr>
            <w:tcW w:w="796" w:type="pct"/>
            <w:vMerge/>
            <w:tcBorders>
              <w:bottom w:val="single" w:sz="4" w:space="0" w:color="auto"/>
            </w:tcBorders>
            <w:vAlign w:val="center"/>
          </w:tcPr>
          <w:p w:rsidR="00F86209" w:rsidRPr="00B61251" w:rsidRDefault="00F86209" w:rsidP="0079332B">
            <w:pPr>
              <w:pStyle w:val="Tabletext"/>
              <w:keepNext/>
              <w:rPr>
                <w:szCs w:val="20"/>
              </w:rPr>
            </w:pPr>
          </w:p>
        </w:tc>
        <w:tc>
          <w:tcPr>
            <w:tcW w:w="3027" w:type="pct"/>
            <w:tcBorders>
              <w:top w:val="nil"/>
              <w:bottom w:val="single" w:sz="4" w:space="0" w:color="auto"/>
            </w:tcBorders>
            <w:vAlign w:val="center"/>
          </w:tcPr>
          <w:p w:rsidR="00F86209" w:rsidRPr="00B61251" w:rsidRDefault="00F86209" w:rsidP="0079332B">
            <w:pPr>
              <w:pStyle w:val="Tabletext"/>
              <w:keepNext/>
              <w:rPr>
                <w:szCs w:val="20"/>
              </w:rPr>
            </w:pPr>
            <w:r w:rsidRPr="00B61251">
              <w:rPr>
                <w:szCs w:val="20"/>
              </w:rPr>
              <w:t>Dahlberg SE, Sandler AB, Brahmer JR, et al. Clinical course of advanced non-small-cell lung cancer patients experiencing hypertension during treatment with bevacizumab in combination with carboplatin and paclitaxel in ECOG 4599.</w:t>
            </w:r>
          </w:p>
        </w:tc>
        <w:tc>
          <w:tcPr>
            <w:tcW w:w="1177" w:type="pct"/>
            <w:tcBorders>
              <w:top w:val="nil"/>
              <w:bottom w:val="single" w:sz="4" w:space="0" w:color="auto"/>
            </w:tcBorders>
            <w:vAlign w:val="center"/>
          </w:tcPr>
          <w:p w:rsidR="00F86209" w:rsidRPr="00B61251" w:rsidRDefault="00F86209" w:rsidP="0079332B">
            <w:pPr>
              <w:pStyle w:val="Tabletext"/>
              <w:keepNext/>
              <w:rPr>
                <w:szCs w:val="20"/>
                <w:lang w:eastAsia="en-AU"/>
              </w:rPr>
            </w:pPr>
            <w:r w:rsidRPr="00B61251">
              <w:rPr>
                <w:szCs w:val="20"/>
                <w:lang w:eastAsia="en-AU"/>
              </w:rPr>
              <w:t>Journal of Clinical Oncology 2010; 28(6): 949-954.</w:t>
            </w:r>
          </w:p>
        </w:tc>
      </w:tr>
      <w:tr w:rsidR="00F86209" w:rsidRPr="00B61251" w:rsidTr="00655D51">
        <w:tc>
          <w:tcPr>
            <w:tcW w:w="796" w:type="pct"/>
            <w:tcBorders>
              <w:top w:val="single" w:sz="4" w:space="0" w:color="auto"/>
              <w:bottom w:val="single" w:sz="4" w:space="0" w:color="auto"/>
            </w:tcBorders>
            <w:vAlign w:val="center"/>
          </w:tcPr>
          <w:p w:rsidR="00F86209" w:rsidRPr="00B61251" w:rsidRDefault="00F86209" w:rsidP="0079332B">
            <w:pPr>
              <w:pStyle w:val="Tabletext"/>
              <w:keepNext/>
              <w:rPr>
                <w:szCs w:val="20"/>
              </w:rPr>
            </w:pPr>
            <w:r w:rsidRPr="00B61251">
              <w:rPr>
                <w:szCs w:val="20"/>
              </w:rPr>
              <w:t>Keynote-024</w:t>
            </w:r>
          </w:p>
        </w:tc>
        <w:tc>
          <w:tcPr>
            <w:tcW w:w="3027" w:type="pct"/>
            <w:tcBorders>
              <w:top w:val="single" w:sz="4" w:space="0" w:color="auto"/>
              <w:bottom w:val="single" w:sz="4" w:space="0" w:color="auto"/>
            </w:tcBorders>
            <w:vAlign w:val="center"/>
          </w:tcPr>
          <w:p w:rsidR="00F86209" w:rsidRPr="00B61251" w:rsidRDefault="00F86209" w:rsidP="0079332B">
            <w:pPr>
              <w:pStyle w:val="Tabletext"/>
              <w:keepNext/>
              <w:rPr>
                <w:szCs w:val="20"/>
              </w:rPr>
            </w:pPr>
            <w:r w:rsidRPr="00B61251">
              <w:rPr>
                <w:szCs w:val="20"/>
              </w:rPr>
              <w:t>Reck M, Rodriguez-Abreu D, Robinson AG, et al. Pe</w:t>
            </w:r>
            <w:r w:rsidR="00757949" w:rsidRPr="00B61251">
              <w:rPr>
                <w:szCs w:val="20"/>
              </w:rPr>
              <w:t>m</w:t>
            </w:r>
            <w:r w:rsidRPr="00B61251">
              <w:rPr>
                <w:szCs w:val="20"/>
              </w:rPr>
              <w:t>brolizumab versus chemotherapy for PD-L1-positive non-small-cell lung cancer.</w:t>
            </w:r>
          </w:p>
        </w:tc>
        <w:tc>
          <w:tcPr>
            <w:tcW w:w="1177" w:type="pct"/>
            <w:tcBorders>
              <w:top w:val="single" w:sz="4" w:space="0" w:color="auto"/>
              <w:bottom w:val="single" w:sz="4" w:space="0" w:color="auto"/>
            </w:tcBorders>
            <w:vAlign w:val="center"/>
          </w:tcPr>
          <w:p w:rsidR="00F86209" w:rsidRPr="00B61251" w:rsidRDefault="00F86209" w:rsidP="0079332B">
            <w:pPr>
              <w:pStyle w:val="Tabletext"/>
              <w:keepNext/>
              <w:rPr>
                <w:szCs w:val="20"/>
                <w:lang w:eastAsia="en-AU"/>
              </w:rPr>
            </w:pPr>
            <w:r w:rsidRPr="00B61251">
              <w:rPr>
                <w:szCs w:val="20"/>
                <w:lang w:eastAsia="en-AU"/>
              </w:rPr>
              <w:t>New England Journal of Medicine 2016; 375(19): 1823-33.</w:t>
            </w:r>
          </w:p>
        </w:tc>
      </w:tr>
    </w:tbl>
    <w:p w:rsidR="00370A48" w:rsidRPr="00B61251" w:rsidRDefault="00370A48" w:rsidP="0079332B">
      <w:pPr>
        <w:pStyle w:val="TableFooter"/>
        <w:widowControl/>
      </w:pPr>
      <w:r w:rsidRPr="00B61251">
        <w:t>CSR = clinical study report; CP = carboplatin + paclitaxel; NSCLC = non-small cell lung cancer.</w:t>
      </w:r>
    </w:p>
    <w:p w:rsidR="00F86209" w:rsidRPr="00B61251" w:rsidRDefault="00F86209" w:rsidP="0079332B">
      <w:pPr>
        <w:pStyle w:val="TableFooter"/>
        <w:widowControl/>
      </w:pPr>
      <w:r w:rsidRPr="00B61251">
        <w:t>Source: Table 2.2.1, p81, Table 2.2.2, p82-83 of the submission; Table 2.2, p9 ‘Tecentriq + Avastin PBAC Section 2_Appendix’ Attachment 2 to the submission.</w:t>
      </w:r>
    </w:p>
    <w:p w:rsidR="00451D10" w:rsidRPr="00B61251" w:rsidRDefault="001D67CA" w:rsidP="00104FA8">
      <w:pPr>
        <w:pStyle w:val="ListParagraph"/>
        <w:widowControl/>
        <w:numPr>
          <w:ilvl w:val="1"/>
          <w:numId w:val="1"/>
        </w:numPr>
        <w:spacing w:before="120" w:after="120"/>
      </w:pPr>
      <w:r w:rsidRPr="00B61251">
        <w:t xml:space="preserve">The literature search for trials that would allow an indirect comparison of </w:t>
      </w:r>
      <w:r w:rsidR="00026509" w:rsidRPr="00B61251">
        <w:t>atezolizumab + bevacizumab</w:t>
      </w:r>
      <w:r w:rsidR="00451D10" w:rsidRPr="00B61251">
        <w:t xml:space="preserve"> + CP with PDC was restricted to identifying trials specifically comparing bevacizumab + CP with CP a</w:t>
      </w:r>
      <w:r w:rsidR="0068672B">
        <w:t>lone.</w:t>
      </w:r>
    </w:p>
    <w:p w:rsidR="005F2BC2" w:rsidRPr="00B61251" w:rsidRDefault="00370A48" w:rsidP="00104FA8">
      <w:pPr>
        <w:pStyle w:val="ListParagraph"/>
        <w:widowControl/>
        <w:numPr>
          <w:ilvl w:val="1"/>
          <w:numId w:val="1"/>
        </w:numPr>
        <w:spacing w:before="120" w:after="120"/>
      </w:pPr>
      <w:r w:rsidRPr="00B61251">
        <w:t xml:space="preserve">The submission did not include four RCTs comparing bevacizumab + PDC versus PDC (Table 3). These </w:t>
      </w:r>
      <w:r w:rsidR="00EB01AF" w:rsidRPr="00B61251">
        <w:t xml:space="preserve">were </w:t>
      </w:r>
      <w:r w:rsidRPr="00B61251">
        <w:t>included in the evaluation.</w:t>
      </w:r>
      <w:r w:rsidR="005F2BC2" w:rsidRPr="00B61251">
        <w:t xml:space="preserve"> The PSCR stated that the entire range of possible trials were not incorporated into a complex set of comparisons, instead CP was used as a proxy for all PDC combinations, simplifying the evidence base for decision making. The PSCR also noted that the results of the expanded </w:t>
      </w:r>
      <w:r w:rsidR="00987C9D">
        <w:t>indirect treatment comparison (</w:t>
      </w:r>
      <w:r w:rsidR="005F2BC2" w:rsidRPr="00B61251">
        <w:t>ITC</w:t>
      </w:r>
      <w:r w:rsidR="00987C9D">
        <w:t>)</w:t>
      </w:r>
      <w:r w:rsidR="005F2BC2" w:rsidRPr="00B61251">
        <w:t xml:space="preserve"> were not materially different </w:t>
      </w:r>
      <w:r w:rsidR="00EB01AF" w:rsidRPr="00B61251">
        <w:t xml:space="preserve">to the comparison presented </w:t>
      </w:r>
      <w:r w:rsidR="005F2BC2" w:rsidRPr="00B61251">
        <w:t>in the submission</w:t>
      </w:r>
      <w:r w:rsidR="00113C73" w:rsidRPr="00B61251">
        <w:t>.</w:t>
      </w:r>
      <w:r w:rsidR="005F2BC2" w:rsidRPr="00B61251">
        <w:t xml:space="preserve"> </w:t>
      </w:r>
      <w:r w:rsidR="00E37D20" w:rsidRPr="00B61251">
        <w:t>The ESC considered the literature search strategy should have identified all trials of bevacizumab + PDC versus PDC and the submission should have used all these trials in the ITC.</w:t>
      </w:r>
    </w:p>
    <w:p w:rsidR="006E0316" w:rsidRPr="00B61251" w:rsidRDefault="006E0316" w:rsidP="0079332B">
      <w:pPr>
        <w:pStyle w:val="Caption"/>
        <w:keepNext/>
        <w:widowControl/>
        <w:rPr>
          <w:i/>
        </w:rPr>
      </w:pPr>
      <w:r w:rsidRPr="00B61251">
        <w:lastRenderedPageBreak/>
        <w:t xml:space="preserve">Table </w:t>
      </w:r>
      <w:r w:rsidR="00744BB1" w:rsidRPr="00B61251">
        <w:t>3</w:t>
      </w:r>
      <w:r w:rsidRPr="00B61251">
        <w:t xml:space="preserve">: Additional trials presented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Additional trials presented "/>
      </w:tblPr>
      <w:tblGrid>
        <w:gridCol w:w="1161"/>
        <w:gridCol w:w="4418"/>
        <w:gridCol w:w="1719"/>
        <w:gridCol w:w="1719"/>
      </w:tblGrid>
      <w:tr w:rsidR="00FC3101" w:rsidRPr="00B61251" w:rsidTr="00686034">
        <w:trPr>
          <w:tblHeader/>
        </w:trPr>
        <w:tc>
          <w:tcPr>
            <w:tcW w:w="644" w:type="pct"/>
            <w:tcBorders>
              <w:bottom w:val="single" w:sz="4" w:space="0" w:color="auto"/>
            </w:tcBorders>
            <w:vAlign w:val="center"/>
          </w:tcPr>
          <w:p w:rsidR="00FC3101" w:rsidRPr="00B61251" w:rsidRDefault="00FC3101" w:rsidP="0079332B">
            <w:pPr>
              <w:pStyle w:val="Tabletext"/>
              <w:keepNext/>
              <w:rPr>
                <w:b/>
              </w:rPr>
            </w:pPr>
            <w:r w:rsidRPr="00B61251">
              <w:rPr>
                <w:b/>
              </w:rPr>
              <w:t>Trial ID</w:t>
            </w:r>
          </w:p>
        </w:tc>
        <w:tc>
          <w:tcPr>
            <w:tcW w:w="2450" w:type="pct"/>
            <w:tcBorders>
              <w:bottom w:val="single" w:sz="4" w:space="0" w:color="auto"/>
            </w:tcBorders>
            <w:vAlign w:val="center"/>
          </w:tcPr>
          <w:p w:rsidR="00FC3101" w:rsidRPr="00B61251" w:rsidRDefault="00FC3101" w:rsidP="0079332B">
            <w:pPr>
              <w:pStyle w:val="Tabletext"/>
              <w:keepNext/>
              <w:jc w:val="center"/>
              <w:rPr>
                <w:b/>
              </w:rPr>
            </w:pPr>
            <w:r w:rsidRPr="00B61251">
              <w:rPr>
                <w:b/>
              </w:rPr>
              <w:t>Protocol title/ Publication title</w:t>
            </w:r>
          </w:p>
        </w:tc>
        <w:tc>
          <w:tcPr>
            <w:tcW w:w="953" w:type="pct"/>
            <w:tcBorders>
              <w:bottom w:val="single" w:sz="4" w:space="0" w:color="auto"/>
            </w:tcBorders>
            <w:vAlign w:val="center"/>
          </w:tcPr>
          <w:p w:rsidR="00FC3101" w:rsidRPr="00B61251" w:rsidRDefault="00FC3101" w:rsidP="0079332B">
            <w:pPr>
              <w:pStyle w:val="Tabletext"/>
              <w:keepNext/>
              <w:jc w:val="center"/>
              <w:rPr>
                <w:b/>
              </w:rPr>
            </w:pPr>
            <w:r w:rsidRPr="00B61251">
              <w:rPr>
                <w:b/>
              </w:rPr>
              <w:t>Publication citation</w:t>
            </w:r>
          </w:p>
        </w:tc>
        <w:tc>
          <w:tcPr>
            <w:tcW w:w="953" w:type="pct"/>
            <w:tcBorders>
              <w:bottom w:val="single" w:sz="4" w:space="0" w:color="auto"/>
            </w:tcBorders>
          </w:tcPr>
          <w:p w:rsidR="00FC3101" w:rsidRPr="00B61251" w:rsidRDefault="00FC3101" w:rsidP="0079332B">
            <w:pPr>
              <w:pStyle w:val="Tabletext"/>
              <w:keepNext/>
              <w:jc w:val="center"/>
              <w:rPr>
                <w:b/>
              </w:rPr>
            </w:pPr>
            <w:r w:rsidRPr="00B61251">
              <w:rPr>
                <w:b/>
              </w:rPr>
              <w:t>Reason for exclusion from submission*</w:t>
            </w:r>
          </w:p>
        </w:tc>
      </w:tr>
      <w:tr w:rsidR="00FC3101" w:rsidRPr="00B61251" w:rsidTr="00686034">
        <w:tc>
          <w:tcPr>
            <w:tcW w:w="644" w:type="pct"/>
            <w:tcBorders>
              <w:bottom w:val="single" w:sz="4" w:space="0" w:color="auto"/>
            </w:tcBorders>
            <w:vAlign w:val="center"/>
          </w:tcPr>
          <w:p w:rsidR="00FC3101" w:rsidRPr="00B61251" w:rsidRDefault="00FC3101" w:rsidP="0079332B">
            <w:pPr>
              <w:pStyle w:val="Tabletext"/>
              <w:keepNext/>
              <w:rPr>
                <w:szCs w:val="20"/>
              </w:rPr>
            </w:pPr>
            <w:r w:rsidRPr="00B61251">
              <w:rPr>
                <w:szCs w:val="20"/>
              </w:rPr>
              <w:t>Niho 2012</w:t>
            </w:r>
          </w:p>
        </w:tc>
        <w:tc>
          <w:tcPr>
            <w:tcW w:w="2450" w:type="pct"/>
            <w:tcBorders>
              <w:top w:val="single" w:sz="4" w:space="0" w:color="auto"/>
              <w:bottom w:val="single" w:sz="4" w:space="0" w:color="auto"/>
            </w:tcBorders>
            <w:vAlign w:val="center"/>
          </w:tcPr>
          <w:p w:rsidR="00FC3101" w:rsidRPr="00B61251" w:rsidRDefault="00FC3101" w:rsidP="0079332B">
            <w:pPr>
              <w:pStyle w:val="Tabletext"/>
              <w:keepNext/>
              <w:rPr>
                <w:szCs w:val="20"/>
              </w:rPr>
            </w:pPr>
            <w:r w:rsidRPr="00B61251">
              <w:rPr>
                <w:szCs w:val="20"/>
              </w:rPr>
              <w:t>Niho S, Kunitoh H, Nokihara H, et al. Randomized phase II study of first-line carboplatin-paclitaxel with or without bevacizumab in Japanese patients with advanced non-squamous non-small-cell lung cancer.</w:t>
            </w:r>
          </w:p>
        </w:tc>
        <w:tc>
          <w:tcPr>
            <w:tcW w:w="953" w:type="pct"/>
            <w:tcBorders>
              <w:top w:val="single" w:sz="4" w:space="0" w:color="auto"/>
              <w:bottom w:val="single" w:sz="4" w:space="0" w:color="auto"/>
            </w:tcBorders>
            <w:vAlign w:val="center"/>
          </w:tcPr>
          <w:p w:rsidR="00FC3101" w:rsidRPr="00B61251" w:rsidRDefault="00FC3101" w:rsidP="0079332B">
            <w:pPr>
              <w:pStyle w:val="Tabletext"/>
              <w:keepNext/>
              <w:rPr>
                <w:szCs w:val="20"/>
                <w:lang w:eastAsia="en-AU"/>
              </w:rPr>
            </w:pPr>
            <w:r w:rsidRPr="00B61251">
              <w:rPr>
                <w:szCs w:val="20"/>
                <w:lang w:eastAsia="en-AU"/>
              </w:rPr>
              <w:t>Lung Cancer 2012; 76(3): 362-367.</w:t>
            </w:r>
          </w:p>
        </w:tc>
        <w:tc>
          <w:tcPr>
            <w:tcW w:w="953" w:type="pct"/>
            <w:tcBorders>
              <w:top w:val="single" w:sz="4" w:space="0" w:color="auto"/>
              <w:bottom w:val="single" w:sz="4" w:space="0" w:color="auto"/>
            </w:tcBorders>
            <w:vAlign w:val="center"/>
          </w:tcPr>
          <w:p w:rsidR="00FC3101" w:rsidRPr="00B61251" w:rsidRDefault="00FC3101" w:rsidP="0079332B">
            <w:pPr>
              <w:pStyle w:val="Tabletext"/>
              <w:keepNext/>
              <w:rPr>
                <w:szCs w:val="20"/>
                <w:lang w:eastAsia="en-AU"/>
              </w:rPr>
            </w:pPr>
            <w:r w:rsidRPr="00B61251">
              <w:rPr>
                <w:szCs w:val="20"/>
                <w:lang w:eastAsia="en-AU"/>
              </w:rPr>
              <w:t>Results not reported/ other: phase II.**</w:t>
            </w:r>
          </w:p>
        </w:tc>
      </w:tr>
      <w:tr w:rsidR="00FC3101" w:rsidRPr="00B61251" w:rsidTr="00686034">
        <w:tc>
          <w:tcPr>
            <w:tcW w:w="644" w:type="pct"/>
            <w:tcBorders>
              <w:bottom w:val="single" w:sz="4" w:space="0" w:color="auto"/>
            </w:tcBorders>
            <w:vAlign w:val="center"/>
          </w:tcPr>
          <w:p w:rsidR="00FC3101" w:rsidRPr="00B61251" w:rsidRDefault="00FC3101" w:rsidP="0079332B">
            <w:pPr>
              <w:pStyle w:val="Tabletext"/>
              <w:keepNext/>
              <w:rPr>
                <w:szCs w:val="20"/>
              </w:rPr>
            </w:pPr>
            <w:r w:rsidRPr="00B61251">
              <w:rPr>
                <w:szCs w:val="20"/>
              </w:rPr>
              <w:t>Zinner 2015</w:t>
            </w:r>
          </w:p>
        </w:tc>
        <w:tc>
          <w:tcPr>
            <w:tcW w:w="2450" w:type="pct"/>
            <w:tcBorders>
              <w:top w:val="single" w:sz="4" w:space="0" w:color="auto"/>
              <w:bottom w:val="single" w:sz="4" w:space="0" w:color="auto"/>
            </w:tcBorders>
            <w:vAlign w:val="center"/>
          </w:tcPr>
          <w:p w:rsidR="00FC3101" w:rsidRPr="00B61251" w:rsidRDefault="00FC3101" w:rsidP="0079332B">
            <w:pPr>
              <w:pStyle w:val="Tabletext"/>
              <w:keepNext/>
              <w:rPr>
                <w:szCs w:val="20"/>
              </w:rPr>
            </w:pPr>
            <w:r w:rsidRPr="00B61251">
              <w:rPr>
                <w:szCs w:val="20"/>
              </w:rPr>
              <w:t>Zinner RG, Obasaju CK, Spigel DR, et al. PRONOUNCE: randomized, open-label, phase III study of first-line pemetrexed + carboplatin followed by maintenance pemetrexed versus paclitaxel + carboplatin + be followed by maintenance bevacizumab in patients with advanced nonsquamous non-small-cell lung cancer.</w:t>
            </w:r>
          </w:p>
        </w:tc>
        <w:tc>
          <w:tcPr>
            <w:tcW w:w="953" w:type="pct"/>
            <w:tcBorders>
              <w:top w:val="single" w:sz="4" w:space="0" w:color="auto"/>
              <w:bottom w:val="single" w:sz="4" w:space="0" w:color="auto"/>
            </w:tcBorders>
            <w:vAlign w:val="center"/>
          </w:tcPr>
          <w:p w:rsidR="00FC3101" w:rsidRPr="00B61251" w:rsidRDefault="00FC3101" w:rsidP="0079332B">
            <w:pPr>
              <w:pStyle w:val="Tabletext"/>
              <w:keepNext/>
              <w:rPr>
                <w:szCs w:val="20"/>
                <w:lang w:eastAsia="en-AU"/>
              </w:rPr>
            </w:pPr>
            <w:r w:rsidRPr="00B61251">
              <w:rPr>
                <w:szCs w:val="20"/>
                <w:lang w:eastAsia="en-AU"/>
              </w:rPr>
              <w:t>Journal of thoracic Oncology 2015; 10(1); 134-142.</w:t>
            </w:r>
          </w:p>
        </w:tc>
        <w:tc>
          <w:tcPr>
            <w:tcW w:w="953" w:type="pct"/>
            <w:tcBorders>
              <w:top w:val="single" w:sz="4" w:space="0" w:color="auto"/>
              <w:bottom w:val="single" w:sz="4" w:space="0" w:color="auto"/>
            </w:tcBorders>
            <w:vAlign w:val="center"/>
          </w:tcPr>
          <w:p w:rsidR="00FC3101" w:rsidRPr="00B61251" w:rsidRDefault="00FC3101" w:rsidP="0079332B">
            <w:pPr>
              <w:pStyle w:val="Tabletext"/>
              <w:keepNext/>
              <w:rPr>
                <w:szCs w:val="20"/>
                <w:lang w:eastAsia="en-AU"/>
              </w:rPr>
            </w:pPr>
            <w:r w:rsidRPr="00B61251">
              <w:rPr>
                <w:szCs w:val="20"/>
                <w:lang w:eastAsia="en-AU"/>
              </w:rPr>
              <w:t>Incorrect comparator.: no carboplatin + paclitaxel arm</w:t>
            </w:r>
          </w:p>
        </w:tc>
      </w:tr>
      <w:tr w:rsidR="00FC3101" w:rsidRPr="00B61251" w:rsidTr="00686034">
        <w:tc>
          <w:tcPr>
            <w:tcW w:w="644" w:type="pct"/>
            <w:tcBorders>
              <w:bottom w:val="single" w:sz="4" w:space="0" w:color="auto"/>
            </w:tcBorders>
            <w:vAlign w:val="center"/>
          </w:tcPr>
          <w:p w:rsidR="00FC3101" w:rsidRPr="00B61251" w:rsidRDefault="00FC3101" w:rsidP="0079332B">
            <w:pPr>
              <w:pStyle w:val="Tabletext"/>
              <w:keepNext/>
              <w:rPr>
                <w:szCs w:val="20"/>
              </w:rPr>
            </w:pPr>
            <w:r w:rsidRPr="00B61251">
              <w:rPr>
                <w:szCs w:val="20"/>
              </w:rPr>
              <w:t>Galetta 2015</w:t>
            </w:r>
          </w:p>
        </w:tc>
        <w:tc>
          <w:tcPr>
            <w:tcW w:w="2450" w:type="pct"/>
            <w:tcBorders>
              <w:top w:val="single" w:sz="4" w:space="0" w:color="auto"/>
              <w:bottom w:val="single" w:sz="4" w:space="0" w:color="auto"/>
            </w:tcBorders>
            <w:vAlign w:val="center"/>
          </w:tcPr>
          <w:p w:rsidR="00FC3101" w:rsidRPr="00B61251" w:rsidRDefault="00FC3101" w:rsidP="0079332B">
            <w:pPr>
              <w:pStyle w:val="Tabletext"/>
              <w:keepNext/>
              <w:rPr>
                <w:szCs w:val="20"/>
              </w:rPr>
            </w:pPr>
            <w:r w:rsidRPr="00B61251">
              <w:rPr>
                <w:szCs w:val="20"/>
              </w:rPr>
              <w:t>Galetta D, Cinieri S, Pisconti S, et al. Cisplatin/pemetrexed followed by maintenance pemetrexed versus carboplatin/paclitaxel/bevacizumab in advanced nonsquamous lung cancer: the GOIM (Gruppo Oncologico Italia Meridionale) ERACLE phase III randomized trial.</w:t>
            </w:r>
          </w:p>
        </w:tc>
        <w:tc>
          <w:tcPr>
            <w:tcW w:w="953" w:type="pct"/>
            <w:tcBorders>
              <w:top w:val="single" w:sz="4" w:space="0" w:color="auto"/>
              <w:bottom w:val="single" w:sz="4" w:space="0" w:color="auto"/>
            </w:tcBorders>
            <w:vAlign w:val="center"/>
          </w:tcPr>
          <w:p w:rsidR="00FC3101" w:rsidRPr="00B61251" w:rsidRDefault="00FC3101" w:rsidP="0079332B">
            <w:pPr>
              <w:pStyle w:val="Tabletext"/>
              <w:keepNext/>
              <w:rPr>
                <w:szCs w:val="20"/>
                <w:lang w:eastAsia="en-AU"/>
              </w:rPr>
            </w:pPr>
            <w:r w:rsidRPr="00B61251">
              <w:rPr>
                <w:szCs w:val="20"/>
                <w:lang w:eastAsia="en-AU"/>
              </w:rPr>
              <w:t>Clinical Lung Cancer 2015; 16(4): 262-273.</w:t>
            </w:r>
          </w:p>
        </w:tc>
        <w:tc>
          <w:tcPr>
            <w:tcW w:w="953" w:type="pct"/>
            <w:tcBorders>
              <w:top w:val="single" w:sz="4" w:space="0" w:color="auto"/>
              <w:bottom w:val="single" w:sz="4" w:space="0" w:color="auto"/>
            </w:tcBorders>
            <w:vAlign w:val="center"/>
          </w:tcPr>
          <w:p w:rsidR="00FC3101" w:rsidRPr="00B61251" w:rsidRDefault="00FC3101" w:rsidP="0079332B">
            <w:pPr>
              <w:pStyle w:val="Tabletext"/>
              <w:keepNext/>
              <w:rPr>
                <w:szCs w:val="20"/>
                <w:lang w:eastAsia="en-AU"/>
              </w:rPr>
            </w:pPr>
            <w:r w:rsidRPr="00B61251">
              <w:rPr>
                <w:szCs w:val="20"/>
                <w:lang w:eastAsia="en-AU"/>
              </w:rPr>
              <w:t>Incorrect comparator.: no carboplatin + paclitaxel arm</w:t>
            </w:r>
          </w:p>
        </w:tc>
      </w:tr>
      <w:tr w:rsidR="00FC3101" w:rsidRPr="00B61251" w:rsidTr="00686034">
        <w:tc>
          <w:tcPr>
            <w:tcW w:w="644" w:type="pct"/>
            <w:vMerge w:val="restart"/>
            <w:vAlign w:val="center"/>
          </w:tcPr>
          <w:p w:rsidR="00FC3101" w:rsidRPr="00B61251" w:rsidRDefault="00FC3101" w:rsidP="0079332B">
            <w:pPr>
              <w:pStyle w:val="Tabletext"/>
              <w:keepNext/>
              <w:rPr>
                <w:szCs w:val="20"/>
              </w:rPr>
            </w:pPr>
            <w:r w:rsidRPr="00B61251">
              <w:rPr>
                <w:szCs w:val="20"/>
              </w:rPr>
              <w:t>Reck 2009</w:t>
            </w:r>
          </w:p>
        </w:tc>
        <w:tc>
          <w:tcPr>
            <w:tcW w:w="2450" w:type="pct"/>
            <w:tcBorders>
              <w:top w:val="single" w:sz="4" w:space="0" w:color="auto"/>
              <w:bottom w:val="nil"/>
            </w:tcBorders>
            <w:vAlign w:val="center"/>
          </w:tcPr>
          <w:p w:rsidR="00FC3101" w:rsidRPr="00B61251" w:rsidRDefault="00FC3101" w:rsidP="0079332B">
            <w:pPr>
              <w:pStyle w:val="Tabletext"/>
              <w:keepNext/>
              <w:rPr>
                <w:szCs w:val="20"/>
              </w:rPr>
            </w:pPr>
            <w:r w:rsidRPr="00B61251">
              <w:rPr>
                <w:szCs w:val="20"/>
              </w:rPr>
              <w:t>Reck M, von Pawel J, Zatloukal P, et al. Phase III trial of cisplatin plus gemcitabine with either placebo or bevacizumab as first-line therapy for nonsquamous non-small-cell lung cancer: AVAiL.</w:t>
            </w:r>
          </w:p>
        </w:tc>
        <w:tc>
          <w:tcPr>
            <w:tcW w:w="953" w:type="pct"/>
            <w:tcBorders>
              <w:top w:val="single" w:sz="4" w:space="0" w:color="auto"/>
              <w:bottom w:val="nil"/>
            </w:tcBorders>
            <w:vAlign w:val="center"/>
          </w:tcPr>
          <w:p w:rsidR="00FC3101" w:rsidRPr="00B61251" w:rsidRDefault="00FC3101" w:rsidP="0079332B">
            <w:pPr>
              <w:pStyle w:val="Tabletext"/>
              <w:keepNext/>
              <w:rPr>
                <w:szCs w:val="20"/>
                <w:lang w:eastAsia="en-AU"/>
              </w:rPr>
            </w:pPr>
            <w:r w:rsidRPr="00B61251">
              <w:rPr>
                <w:szCs w:val="20"/>
                <w:lang w:eastAsia="en-AU"/>
              </w:rPr>
              <w:t>Journal of Clinical Oncology 2009; 27(8); 1227-1234.</w:t>
            </w:r>
          </w:p>
        </w:tc>
        <w:tc>
          <w:tcPr>
            <w:tcW w:w="953" w:type="pct"/>
            <w:vMerge w:val="restart"/>
            <w:tcBorders>
              <w:top w:val="single" w:sz="4" w:space="0" w:color="auto"/>
            </w:tcBorders>
            <w:vAlign w:val="center"/>
          </w:tcPr>
          <w:p w:rsidR="00FC3101" w:rsidRPr="00B61251" w:rsidRDefault="00FC3101" w:rsidP="0079332B">
            <w:pPr>
              <w:pStyle w:val="Tabletext"/>
              <w:keepNext/>
              <w:rPr>
                <w:szCs w:val="20"/>
                <w:lang w:eastAsia="en-AU"/>
              </w:rPr>
            </w:pPr>
            <w:r w:rsidRPr="00B61251">
              <w:rPr>
                <w:szCs w:val="20"/>
                <w:lang w:eastAsia="en-AU"/>
              </w:rPr>
              <w:t>Incorrect intervention: no carboplatin + paclitaxel + bevacizumab arm.</w:t>
            </w:r>
          </w:p>
        </w:tc>
      </w:tr>
      <w:tr w:rsidR="00FC3101" w:rsidRPr="00B61251" w:rsidTr="00686034">
        <w:tc>
          <w:tcPr>
            <w:tcW w:w="644" w:type="pct"/>
            <w:vMerge/>
            <w:vAlign w:val="center"/>
          </w:tcPr>
          <w:p w:rsidR="00FC3101" w:rsidRPr="00B61251" w:rsidRDefault="00FC3101" w:rsidP="0079332B">
            <w:pPr>
              <w:pStyle w:val="Tabletext"/>
              <w:keepNext/>
              <w:rPr>
                <w:szCs w:val="20"/>
              </w:rPr>
            </w:pPr>
          </w:p>
        </w:tc>
        <w:tc>
          <w:tcPr>
            <w:tcW w:w="2450" w:type="pct"/>
            <w:tcBorders>
              <w:top w:val="nil"/>
              <w:bottom w:val="single" w:sz="4" w:space="0" w:color="auto"/>
            </w:tcBorders>
            <w:vAlign w:val="center"/>
          </w:tcPr>
          <w:p w:rsidR="00FC3101" w:rsidRPr="00B61251" w:rsidRDefault="00FC3101" w:rsidP="0079332B">
            <w:pPr>
              <w:pStyle w:val="Tabletext"/>
              <w:keepNext/>
              <w:rPr>
                <w:szCs w:val="20"/>
              </w:rPr>
            </w:pPr>
            <w:r w:rsidRPr="00B61251">
              <w:rPr>
                <w:szCs w:val="20"/>
              </w:rPr>
              <w:t>Reck M, von Pawel J, Zatloukal P, et al.</w:t>
            </w:r>
            <w:r w:rsidR="0069788A" w:rsidRPr="00B61251">
              <w:rPr>
                <w:szCs w:val="20"/>
              </w:rPr>
              <w:t xml:space="preserve"> </w:t>
            </w:r>
            <w:r w:rsidRPr="00B61251">
              <w:rPr>
                <w:szCs w:val="20"/>
              </w:rPr>
              <w:t>Overall survival with cisplatin-gemcitabine and bevacizumab or placebo as first-line therapy for nonsquamous non-small-cell lung cancer: results form a randomised phase III trial (AVAiL).</w:t>
            </w:r>
          </w:p>
        </w:tc>
        <w:tc>
          <w:tcPr>
            <w:tcW w:w="953" w:type="pct"/>
            <w:tcBorders>
              <w:top w:val="nil"/>
              <w:bottom w:val="single" w:sz="4" w:space="0" w:color="auto"/>
            </w:tcBorders>
            <w:vAlign w:val="center"/>
          </w:tcPr>
          <w:p w:rsidR="00FC3101" w:rsidRPr="00B61251" w:rsidRDefault="00FC3101" w:rsidP="0079332B">
            <w:pPr>
              <w:pStyle w:val="Tabletext"/>
              <w:keepNext/>
              <w:rPr>
                <w:szCs w:val="20"/>
                <w:lang w:eastAsia="en-AU"/>
              </w:rPr>
            </w:pPr>
            <w:r w:rsidRPr="00B61251">
              <w:rPr>
                <w:szCs w:val="20"/>
                <w:lang w:eastAsia="en-AU"/>
              </w:rPr>
              <w:t>Annals of Oncology 2010; 21(9): 1804-1809.</w:t>
            </w:r>
          </w:p>
        </w:tc>
        <w:tc>
          <w:tcPr>
            <w:tcW w:w="953" w:type="pct"/>
            <w:vMerge/>
            <w:tcBorders>
              <w:bottom w:val="single" w:sz="4" w:space="0" w:color="auto"/>
            </w:tcBorders>
          </w:tcPr>
          <w:p w:rsidR="00FC3101" w:rsidRPr="00B61251" w:rsidRDefault="00FC3101" w:rsidP="0079332B">
            <w:pPr>
              <w:pStyle w:val="Tabletext"/>
              <w:keepNext/>
              <w:rPr>
                <w:i/>
                <w:szCs w:val="20"/>
                <w:lang w:eastAsia="en-AU"/>
              </w:rPr>
            </w:pPr>
          </w:p>
        </w:tc>
      </w:tr>
    </w:tbl>
    <w:p w:rsidR="00FC3101" w:rsidRPr="00B61251" w:rsidRDefault="00FC3101" w:rsidP="0079332B">
      <w:pPr>
        <w:pStyle w:val="TableFooter"/>
        <w:keepNext/>
        <w:widowControl/>
      </w:pPr>
      <w:r w:rsidRPr="00B61251">
        <w:t>* Source: Excel workbook ‘2.Avastin + CarboPac Literature Review’, 2.Randomised trials, Attachment 1 to the submission.</w:t>
      </w:r>
    </w:p>
    <w:p w:rsidR="00FC3101" w:rsidRPr="00B61251" w:rsidRDefault="00FC3101" w:rsidP="0079332B">
      <w:pPr>
        <w:pStyle w:val="TableFooter"/>
        <w:widowControl/>
        <w:ind w:left="142" w:hanging="142"/>
      </w:pPr>
      <w:r w:rsidRPr="00B61251">
        <w:t>** This trial could have been excluded on the basis that it only enrolled Japanese patients. However, Zhou 2015, which was included in the submission, only enrolled Chinese patients.</w:t>
      </w:r>
    </w:p>
    <w:p w:rsidR="00FC3101" w:rsidRPr="00B61251" w:rsidRDefault="00370A48" w:rsidP="0079332B">
      <w:pPr>
        <w:pStyle w:val="TableFooter"/>
        <w:widowControl/>
      </w:pPr>
      <w:r w:rsidRPr="00B61251">
        <w:t>Source: Compil</w:t>
      </w:r>
      <w:r w:rsidR="00FC3101" w:rsidRPr="00B61251">
        <w:t>ed during the evaluation, based on results of an independent literature search.</w:t>
      </w:r>
    </w:p>
    <w:p w:rsidR="0062346F" w:rsidRPr="00B61251" w:rsidRDefault="0062346F" w:rsidP="00783BFD">
      <w:pPr>
        <w:pStyle w:val="ListParagraph"/>
        <w:widowControl/>
        <w:numPr>
          <w:ilvl w:val="1"/>
          <w:numId w:val="1"/>
        </w:numPr>
        <w:spacing w:before="120" w:after="120"/>
      </w:pPr>
      <w:r w:rsidRPr="00B61251">
        <w:t>A search of ClinicalTrials.gov, conducted during the evaluation, also located two RCTs comparing atezolizumab +</w:t>
      </w:r>
      <w:r w:rsidR="00AD6885" w:rsidRPr="00B61251">
        <w:t xml:space="preserve"> </w:t>
      </w:r>
      <w:r w:rsidRPr="00B61251">
        <w:t xml:space="preserve">PDC with PDC alone in chemotherapy naïve patients with Stage IV NSQ NSCLC, which would have allowed an indirect comparison of </w:t>
      </w:r>
      <w:r w:rsidR="00026509" w:rsidRPr="00B61251">
        <w:t>atezolizumab + bevacizumab</w:t>
      </w:r>
      <w:r w:rsidRPr="00B61251">
        <w:t xml:space="preserve"> + CP vs PDC</w:t>
      </w:r>
      <w:r w:rsidR="00370A48" w:rsidRPr="00B61251">
        <w:t>,</w:t>
      </w:r>
      <w:r w:rsidRPr="00B61251">
        <w:t xml:space="preserve"> with atezolizumab + PDC as the common reference</w:t>
      </w:r>
      <w:r w:rsidR="00370A48" w:rsidRPr="00B61251">
        <w:t>. P</w:t>
      </w:r>
      <w:r w:rsidRPr="00B61251">
        <w:t xml:space="preserve">reliminary results have been </w:t>
      </w:r>
      <w:r w:rsidR="0068672B">
        <w:t>published:</w:t>
      </w:r>
    </w:p>
    <w:p w:rsidR="0062346F" w:rsidRPr="00B61251" w:rsidRDefault="0062346F" w:rsidP="00783BFD">
      <w:pPr>
        <w:pStyle w:val="ListParagraph"/>
        <w:widowControl/>
        <w:numPr>
          <w:ilvl w:val="0"/>
          <w:numId w:val="5"/>
        </w:numPr>
        <w:spacing w:before="120" w:after="120"/>
        <w:ind w:left="1077" w:hanging="357"/>
      </w:pPr>
      <w:r w:rsidRPr="00B61251">
        <w:t xml:space="preserve">IMpower132: atezolizumab + carboplatin or cisplatin + pemetrexed </w:t>
      </w:r>
      <w:r w:rsidR="00370A48" w:rsidRPr="00B61251">
        <w:t>versus</w:t>
      </w:r>
      <w:r w:rsidRPr="00B61251">
        <w:t xml:space="preserve"> carboplatin or cisplatin + pemetrexed (estimated study completion date November 2019); and</w:t>
      </w:r>
    </w:p>
    <w:p w:rsidR="0062346F" w:rsidRPr="00B61251" w:rsidRDefault="0062346F" w:rsidP="00783BFD">
      <w:pPr>
        <w:pStyle w:val="ListParagraph"/>
        <w:widowControl/>
        <w:numPr>
          <w:ilvl w:val="0"/>
          <w:numId w:val="5"/>
        </w:numPr>
        <w:spacing w:before="120" w:after="120"/>
        <w:ind w:left="1077" w:hanging="357"/>
      </w:pPr>
      <w:r w:rsidRPr="00B61251">
        <w:t xml:space="preserve">IMpower130: atezolizumab + carboplatin + nanoparticle albumin-bound (nab) paclitaxel </w:t>
      </w:r>
      <w:r w:rsidR="00370A48" w:rsidRPr="00B61251">
        <w:t>versus</w:t>
      </w:r>
      <w:r w:rsidRPr="00B61251">
        <w:t xml:space="preserve"> carboplatin + nab-paclitaxel (estimated study completion date December 2019).</w:t>
      </w:r>
    </w:p>
    <w:p w:rsidR="007F1017" w:rsidRPr="00B61251" w:rsidRDefault="008F120A" w:rsidP="00783BFD">
      <w:pPr>
        <w:pStyle w:val="ListParagraph"/>
        <w:widowControl/>
        <w:numPr>
          <w:ilvl w:val="1"/>
          <w:numId w:val="1"/>
        </w:numPr>
        <w:spacing w:before="120" w:after="120"/>
      </w:pPr>
      <w:r w:rsidRPr="00B61251">
        <w:t>The key features</w:t>
      </w:r>
      <w:r w:rsidR="00E41A4C" w:rsidRPr="00B61251">
        <w:t xml:space="preserve"> of the direct randomised trials</w:t>
      </w:r>
      <w:r w:rsidRPr="00B61251">
        <w:t xml:space="preserve"> are summarised in the table below</w:t>
      </w:r>
      <w:r w:rsidR="00B61251">
        <w:t>.</w:t>
      </w:r>
    </w:p>
    <w:p w:rsidR="00E41A4C" w:rsidRPr="00B61251" w:rsidRDefault="00E41A4C" w:rsidP="0079332B">
      <w:pPr>
        <w:pStyle w:val="Caption"/>
        <w:keepNext/>
        <w:widowControl/>
      </w:pPr>
      <w:r w:rsidRPr="00B61251">
        <w:lastRenderedPageBreak/>
        <w:t xml:space="preserve">Table </w:t>
      </w:r>
      <w:r w:rsidR="00744BB1" w:rsidRPr="00B61251">
        <w:t>4</w:t>
      </w:r>
      <w:r w:rsidRPr="00B61251">
        <w:t>: Key features of the included evidence</w:t>
      </w:r>
      <w:r w:rsidR="00AD03C0" w:rsidRPr="00B61251">
        <w:t xml:space="preserve"> – indirect comparison</w:t>
      </w:r>
      <w:r w:rsidR="00370A48" w:rsidRPr="00B61251">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indirect comparisons"/>
      </w:tblPr>
      <w:tblGrid>
        <w:gridCol w:w="1018"/>
        <w:gridCol w:w="824"/>
        <w:gridCol w:w="1383"/>
        <w:gridCol w:w="1610"/>
        <w:gridCol w:w="1809"/>
        <w:gridCol w:w="979"/>
        <w:gridCol w:w="1394"/>
      </w:tblGrid>
      <w:tr w:rsidR="00DC123B" w:rsidRPr="00B61251" w:rsidTr="00817980">
        <w:trPr>
          <w:tblHeader/>
        </w:trPr>
        <w:tc>
          <w:tcPr>
            <w:tcW w:w="564" w:type="pct"/>
            <w:shd w:val="clear" w:color="auto" w:fill="auto"/>
            <w:vAlign w:val="center"/>
          </w:tcPr>
          <w:p w:rsidR="00E41A4C" w:rsidRPr="00B61251" w:rsidRDefault="00E41A4C" w:rsidP="0079332B">
            <w:pPr>
              <w:pStyle w:val="Tabletext"/>
              <w:keepNext/>
              <w:rPr>
                <w:b/>
              </w:rPr>
            </w:pPr>
            <w:r w:rsidRPr="00B61251">
              <w:rPr>
                <w:b/>
              </w:rPr>
              <w:t>Trial</w:t>
            </w:r>
          </w:p>
        </w:tc>
        <w:tc>
          <w:tcPr>
            <w:tcW w:w="457" w:type="pct"/>
            <w:shd w:val="clear" w:color="auto" w:fill="auto"/>
            <w:vAlign w:val="center"/>
          </w:tcPr>
          <w:p w:rsidR="00E41A4C" w:rsidRPr="00B61251" w:rsidRDefault="00E41A4C" w:rsidP="0079332B">
            <w:pPr>
              <w:pStyle w:val="Tabletext"/>
              <w:keepNext/>
              <w:jc w:val="center"/>
              <w:rPr>
                <w:b/>
              </w:rPr>
            </w:pPr>
            <w:r w:rsidRPr="00B61251">
              <w:rPr>
                <w:b/>
              </w:rPr>
              <w:t>N</w:t>
            </w:r>
          </w:p>
        </w:tc>
        <w:tc>
          <w:tcPr>
            <w:tcW w:w="767" w:type="pct"/>
            <w:shd w:val="clear" w:color="auto" w:fill="auto"/>
            <w:vAlign w:val="center"/>
          </w:tcPr>
          <w:p w:rsidR="00E41A4C" w:rsidRPr="00B61251" w:rsidRDefault="00E41A4C" w:rsidP="0079332B">
            <w:pPr>
              <w:pStyle w:val="Tabletext"/>
              <w:keepNext/>
              <w:jc w:val="center"/>
              <w:rPr>
                <w:b/>
              </w:rPr>
            </w:pPr>
            <w:r w:rsidRPr="00B61251">
              <w:rPr>
                <w:b/>
              </w:rPr>
              <w:t>Design/ duration</w:t>
            </w:r>
          </w:p>
        </w:tc>
        <w:tc>
          <w:tcPr>
            <w:tcW w:w="893" w:type="pct"/>
            <w:shd w:val="clear" w:color="auto" w:fill="auto"/>
            <w:vAlign w:val="center"/>
          </w:tcPr>
          <w:p w:rsidR="00E41A4C" w:rsidRPr="00B61251" w:rsidRDefault="00E41A4C" w:rsidP="0079332B">
            <w:pPr>
              <w:pStyle w:val="Tabletext"/>
              <w:keepNext/>
              <w:jc w:val="center"/>
              <w:rPr>
                <w:b/>
              </w:rPr>
            </w:pPr>
            <w:r w:rsidRPr="00B61251">
              <w:rPr>
                <w:b/>
              </w:rPr>
              <w:t>Risk of bias</w:t>
            </w:r>
          </w:p>
        </w:tc>
        <w:tc>
          <w:tcPr>
            <w:tcW w:w="1003" w:type="pct"/>
            <w:shd w:val="clear" w:color="auto" w:fill="auto"/>
            <w:vAlign w:val="center"/>
          </w:tcPr>
          <w:p w:rsidR="00E41A4C" w:rsidRPr="00B61251" w:rsidRDefault="00E41A4C" w:rsidP="0079332B">
            <w:pPr>
              <w:pStyle w:val="Tabletext"/>
              <w:keepNext/>
              <w:jc w:val="center"/>
              <w:rPr>
                <w:b/>
              </w:rPr>
            </w:pPr>
            <w:r w:rsidRPr="00B61251">
              <w:rPr>
                <w:b/>
              </w:rPr>
              <w:t>Patient population</w:t>
            </w:r>
          </w:p>
        </w:tc>
        <w:tc>
          <w:tcPr>
            <w:tcW w:w="543" w:type="pct"/>
            <w:shd w:val="clear" w:color="auto" w:fill="auto"/>
            <w:vAlign w:val="center"/>
          </w:tcPr>
          <w:p w:rsidR="00E41A4C" w:rsidRPr="00B61251" w:rsidRDefault="00E41A4C" w:rsidP="0079332B">
            <w:pPr>
              <w:pStyle w:val="Tabletext"/>
              <w:keepNext/>
              <w:jc w:val="center"/>
              <w:rPr>
                <w:b/>
              </w:rPr>
            </w:pPr>
            <w:r w:rsidRPr="00B61251">
              <w:rPr>
                <w:b/>
              </w:rPr>
              <w:t>Outcome</w:t>
            </w:r>
            <w:r w:rsidR="00DC123B" w:rsidRPr="00B61251">
              <w:rPr>
                <w:b/>
              </w:rPr>
              <w:t>s</w:t>
            </w:r>
          </w:p>
        </w:tc>
        <w:tc>
          <w:tcPr>
            <w:tcW w:w="773" w:type="pct"/>
            <w:shd w:val="clear" w:color="auto" w:fill="auto"/>
            <w:vAlign w:val="center"/>
          </w:tcPr>
          <w:p w:rsidR="00E41A4C" w:rsidRPr="00B61251" w:rsidRDefault="00E41A4C" w:rsidP="0079332B">
            <w:pPr>
              <w:pStyle w:val="Tabletext"/>
              <w:keepNext/>
              <w:jc w:val="center"/>
              <w:rPr>
                <w:b/>
              </w:rPr>
            </w:pPr>
            <w:r w:rsidRPr="00B61251">
              <w:rPr>
                <w:b/>
              </w:rPr>
              <w:t>Use in modelled evaluation</w:t>
            </w:r>
          </w:p>
        </w:tc>
      </w:tr>
      <w:tr w:rsidR="00E41A4C" w:rsidRPr="00B61251" w:rsidTr="00EF4167">
        <w:tc>
          <w:tcPr>
            <w:tcW w:w="5000" w:type="pct"/>
            <w:gridSpan w:val="7"/>
            <w:shd w:val="clear" w:color="auto" w:fill="auto"/>
            <w:vAlign w:val="center"/>
          </w:tcPr>
          <w:p w:rsidR="00E41A4C" w:rsidRPr="00B61251" w:rsidRDefault="00E41A4C" w:rsidP="0079332B">
            <w:pPr>
              <w:pStyle w:val="Tabletext"/>
              <w:keepNext/>
              <w:rPr>
                <w:b/>
              </w:rPr>
            </w:pPr>
            <w:r w:rsidRPr="00B61251">
              <w:rPr>
                <w:b/>
              </w:rPr>
              <w:t>Atezolizumab + bevacizumab + CP versus bevacizumab + CP</w:t>
            </w:r>
          </w:p>
        </w:tc>
      </w:tr>
      <w:tr w:rsidR="00443366" w:rsidRPr="00B61251" w:rsidTr="00EF4167">
        <w:tc>
          <w:tcPr>
            <w:tcW w:w="564" w:type="pct"/>
            <w:vMerge w:val="restart"/>
            <w:shd w:val="clear" w:color="auto" w:fill="auto"/>
            <w:vAlign w:val="center"/>
          </w:tcPr>
          <w:p w:rsidR="00443366" w:rsidRPr="00B61251" w:rsidRDefault="00443366" w:rsidP="0079332B">
            <w:pPr>
              <w:pStyle w:val="Tabletext"/>
              <w:keepNext/>
            </w:pPr>
            <w:r w:rsidRPr="00B61251">
              <w:t>IMpower150</w:t>
            </w:r>
          </w:p>
        </w:tc>
        <w:tc>
          <w:tcPr>
            <w:tcW w:w="457" w:type="pct"/>
            <w:tcBorders>
              <w:bottom w:val="nil"/>
            </w:tcBorders>
            <w:shd w:val="clear" w:color="auto" w:fill="auto"/>
            <w:vAlign w:val="center"/>
          </w:tcPr>
          <w:p w:rsidR="00443366" w:rsidRPr="00B61251" w:rsidRDefault="00443366" w:rsidP="0079332B">
            <w:pPr>
              <w:pStyle w:val="Tabletext"/>
              <w:keepNext/>
              <w:jc w:val="center"/>
            </w:pPr>
            <w:r w:rsidRPr="00B61251">
              <w:t>ITT: 800</w:t>
            </w:r>
            <w:r w:rsidRPr="00B61251">
              <w:rPr>
                <w:vertAlign w:val="superscript"/>
              </w:rPr>
              <w:t>a</w:t>
            </w:r>
          </w:p>
        </w:tc>
        <w:tc>
          <w:tcPr>
            <w:tcW w:w="767" w:type="pct"/>
            <w:vMerge w:val="restart"/>
            <w:shd w:val="clear" w:color="auto" w:fill="auto"/>
            <w:vAlign w:val="center"/>
          </w:tcPr>
          <w:p w:rsidR="00443366" w:rsidRPr="00B61251" w:rsidRDefault="00443366" w:rsidP="0079332B">
            <w:pPr>
              <w:pStyle w:val="Tabletext"/>
              <w:keepNext/>
              <w:jc w:val="center"/>
            </w:pPr>
            <w:r w:rsidRPr="00B61251">
              <w:t>R, OL</w:t>
            </w:r>
          </w:p>
          <w:p w:rsidR="00443366" w:rsidRPr="00B61251" w:rsidRDefault="00443366" w:rsidP="0079332B">
            <w:pPr>
              <w:pStyle w:val="Tabletext"/>
              <w:keepNext/>
              <w:jc w:val="center"/>
            </w:pPr>
            <w:r w:rsidRPr="00B61251">
              <w:t>Median 19.6mths</w:t>
            </w:r>
          </w:p>
        </w:tc>
        <w:tc>
          <w:tcPr>
            <w:tcW w:w="893" w:type="pct"/>
            <w:tcBorders>
              <w:bottom w:val="nil"/>
            </w:tcBorders>
            <w:shd w:val="clear" w:color="auto" w:fill="auto"/>
            <w:vAlign w:val="center"/>
          </w:tcPr>
          <w:p w:rsidR="00F07624" w:rsidRPr="00B61251" w:rsidRDefault="00443366" w:rsidP="0079332B">
            <w:pPr>
              <w:pStyle w:val="Tabletext"/>
              <w:keepNext/>
              <w:jc w:val="center"/>
            </w:pPr>
            <w:r w:rsidRPr="00B61251">
              <w:rPr>
                <w:u w:val="single"/>
              </w:rPr>
              <w:t>ITT</w:t>
            </w:r>
            <w:r w:rsidRPr="00B61251">
              <w:t xml:space="preserve">: </w:t>
            </w:r>
          </w:p>
          <w:p w:rsidR="00F07624" w:rsidRPr="00B61251" w:rsidRDefault="00F07624" w:rsidP="0079332B">
            <w:pPr>
              <w:pStyle w:val="Tabletext"/>
              <w:keepNext/>
              <w:jc w:val="center"/>
            </w:pPr>
            <w:r w:rsidRPr="00B61251">
              <w:t>OS l</w:t>
            </w:r>
            <w:r w:rsidR="00443366" w:rsidRPr="00B61251">
              <w:t>ow</w:t>
            </w:r>
            <w:r w:rsidR="000B1F0D" w:rsidRPr="00B61251">
              <w:t>,</w:t>
            </w:r>
            <w:r w:rsidR="00EF4167" w:rsidRPr="00B61251">
              <w:t xml:space="preserve"> </w:t>
            </w:r>
            <w:r w:rsidRPr="00B61251">
              <w:t>PFS unclear</w:t>
            </w:r>
          </w:p>
        </w:tc>
        <w:tc>
          <w:tcPr>
            <w:tcW w:w="1003" w:type="pct"/>
            <w:vMerge w:val="restart"/>
            <w:shd w:val="clear" w:color="auto" w:fill="auto"/>
            <w:vAlign w:val="center"/>
          </w:tcPr>
          <w:p w:rsidR="00443366" w:rsidRPr="00B61251" w:rsidRDefault="00443366" w:rsidP="0079332B">
            <w:pPr>
              <w:pStyle w:val="Tabletext"/>
              <w:keepNext/>
              <w:jc w:val="center"/>
            </w:pPr>
            <w:r w:rsidRPr="00B61251">
              <w:t>Stage IV NSQ NSCLC</w:t>
            </w:r>
          </w:p>
          <w:p w:rsidR="00443366" w:rsidRPr="00B61251" w:rsidRDefault="00443366" w:rsidP="0079332B">
            <w:pPr>
              <w:pStyle w:val="Tabletext"/>
              <w:keepNext/>
              <w:jc w:val="center"/>
            </w:pPr>
            <w:r w:rsidRPr="00B61251">
              <w:t>No prior treatment for metastatic disease</w:t>
            </w:r>
          </w:p>
        </w:tc>
        <w:tc>
          <w:tcPr>
            <w:tcW w:w="543" w:type="pct"/>
            <w:vMerge w:val="restart"/>
            <w:shd w:val="clear" w:color="auto" w:fill="auto"/>
            <w:vAlign w:val="center"/>
          </w:tcPr>
          <w:p w:rsidR="00443366" w:rsidRPr="00B61251" w:rsidRDefault="00443366" w:rsidP="0079332B">
            <w:pPr>
              <w:pStyle w:val="Tabletext"/>
              <w:keepNext/>
              <w:jc w:val="center"/>
            </w:pPr>
            <w:r w:rsidRPr="00B61251">
              <w:t>OS, PFS</w:t>
            </w:r>
          </w:p>
        </w:tc>
        <w:tc>
          <w:tcPr>
            <w:tcW w:w="773" w:type="pct"/>
            <w:vMerge w:val="restart"/>
            <w:shd w:val="clear" w:color="auto" w:fill="auto"/>
            <w:vAlign w:val="center"/>
          </w:tcPr>
          <w:p w:rsidR="00443366" w:rsidRPr="00B61251" w:rsidRDefault="00443366" w:rsidP="0079332B">
            <w:pPr>
              <w:pStyle w:val="Tabletext"/>
              <w:keepNext/>
              <w:jc w:val="center"/>
            </w:pPr>
            <w:r w:rsidRPr="00B61251">
              <w:t>Used</w:t>
            </w:r>
          </w:p>
        </w:tc>
      </w:tr>
      <w:tr w:rsidR="00443366" w:rsidRPr="00B61251" w:rsidTr="00EF4167">
        <w:tc>
          <w:tcPr>
            <w:tcW w:w="564" w:type="pct"/>
            <w:vMerge/>
            <w:shd w:val="clear" w:color="auto" w:fill="auto"/>
            <w:vAlign w:val="center"/>
          </w:tcPr>
          <w:p w:rsidR="00443366" w:rsidRPr="00B61251" w:rsidRDefault="00443366" w:rsidP="0079332B">
            <w:pPr>
              <w:pStyle w:val="Tabletext"/>
              <w:keepNext/>
            </w:pPr>
          </w:p>
        </w:tc>
        <w:tc>
          <w:tcPr>
            <w:tcW w:w="457" w:type="pct"/>
            <w:tcBorders>
              <w:top w:val="nil"/>
            </w:tcBorders>
            <w:shd w:val="clear" w:color="auto" w:fill="auto"/>
            <w:vAlign w:val="center"/>
          </w:tcPr>
          <w:p w:rsidR="00443366" w:rsidRPr="00B61251" w:rsidRDefault="00443366" w:rsidP="0079332B">
            <w:pPr>
              <w:pStyle w:val="Tabletext"/>
              <w:keepNext/>
              <w:jc w:val="center"/>
            </w:pPr>
            <w:r w:rsidRPr="00B61251">
              <w:t>ITT-WT</w:t>
            </w:r>
            <w:r w:rsidRPr="00B61251">
              <w:rPr>
                <w:vertAlign w:val="superscript"/>
              </w:rPr>
              <w:t>b</w:t>
            </w:r>
          </w:p>
          <w:p w:rsidR="00443366" w:rsidRPr="00B61251" w:rsidRDefault="00443366" w:rsidP="0079332B">
            <w:pPr>
              <w:pStyle w:val="Tabletext"/>
              <w:keepNext/>
              <w:jc w:val="center"/>
            </w:pPr>
            <w:r w:rsidRPr="00B61251">
              <w:t>696</w:t>
            </w:r>
          </w:p>
        </w:tc>
        <w:tc>
          <w:tcPr>
            <w:tcW w:w="767" w:type="pct"/>
            <w:vMerge/>
            <w:shd w:val="clear" w:color="auto" w:fill="auto"/>
            <w:vAlign w:val="center"/>
          </w:tcPr>
          <w:p w:rsidR="00443366" w:rsidRPr="00B61251" w:rsidRDefault="00443366" w:rsidP="0079332B">
            <w:pPr>
              <w:pStyle w:val="Tabletext"/>
              <w:keepNext/>
              <w:jc w:val="center"/>
            </w:pPr>
          </w:p>
        </w:tc>
        <w:tc>
          <w:tcPr>
            <w:tcW w:w="893" w:type="pct"/>
            <w:tcBorders>
              <w:top w:val="nil"/>
            </w:tcBorders>
            <w:shd w:val="clear" w:color="auto" w:fill="auto"/>
            <w:vAlign w:val="center"/>
          </w:tcPr>
          <w:p w:rsidR="00F07624" w:rsidRPr="00B61251" w:rsidRDefault="00370A48" w:rsidP="0079332B">
            <w:pPr>
              <w:pStyle w:val="Tabletext"/>
              <w:keepNext/>
              <w:jc w:val="center"/>
            </w:pPr>
            <w:r w:rsidRPr="00B61251">
              <w:rPr>
                <w:u w:val="single"/>
              </w:rPr>
              <w:t>ITT-WT</w:t>
            </w:r>
            <w:r w:rsidR="00C050B6" w:rsidRPr="00B61251">
              <w:rPr>
                <w:u w:val="single"/>
                <w:vertAlign w:val="superscript"/>
              </w:rPr>
              <w:t>c</w:t>
            </w:r>
            <w:r w:rsidR="00443366" w:rsidRPr="00B61251">
              <w:t xml:space="preserve">: </w:t>
            </w:r>
          </w:p>
          <w:p w:rsidR="00443366" w:rsidRPr="00B61251" w:rsidRDefault="00F07624" w:rsidP="0079332B">
            <w:pPr>
              <w:pStyle w:val="Tabletext"/>
              <w:keepNext/>
              <w:jc w:val="center"/>
              <w:rPr>
                <w:vertAlign w:val="superscript"/>
              </w:rPr>
            </w:pPr>
            <w:r w:rsidRPr="00B61251">
              <w:t>OS and PFS: h</w:t>
            </w:r>
            <w:r w:rsidR="00443366" w:rsidRPr="00B61251">
              <w:t>igh</w:t>
            </w:r>
            <w:r w:rsidRPr="00B61251">
              <w:rPr>
                <w:vertAlign w:val="superscript"/>
              </w:rPr>
              <w:t>b</w:t>
            </w:r>
          </w:p>
        </w:tc>
        <w:tc>
          <w:tcPr>
            <w:tcW w:w="1003" w:type="pct"/>
            <w:vMerge/>
            <w:shd w:val="clear" w:color="auto" w:fill="auto"/>
            <w:vAlign w:val="center"/>
          </w:tcPr>
          <w:p w:rsidR="00443366" w:rsidRPr="00B61251" w:rsidRDefault="00443366" w:rsidP="0079332B">
            <w:pPr>
              <w:pStyle w:val="Tabletext"/>
              <w:keepNext/>
              <w:jc w:val="center"/>
            </w:pPr>
          </w:p>
        </w:tc>
        <w:tc>
          <w:tcPr>
            <w:tcW w:w="543" w:type="pct"/>
            <w:vMerge/>
            <w:shd w:val="clear" w:color="auto" w:fill="auto"/>
            <w:vAlign w:val="center"/>
          </w:tcPr>
          <w:p w:rsidR="00443366" w:rsidRPr="00B61251" w:rsidRDefault="00443366" w:rsidP="0079332B">
            <w:pPr>
              <w:pStyle w:val="Tabletext"/>
              <w:keepNext/>
              <w:jc w:val="center"/>
            </w:pPr>
          </w:p>
        </w:tc>
        <w:tc>
          <w:tcPr>
            <w:tcW w:w="773" w:type="pct"/>
            <w:vMerge/>
            <w:shd w:val="clear" w:color="auto" w:fill="auto"/>
            <w:vAlign w:val="center"/>
          </w:tcPr>
          <w:p w:rsidR="00443366" w:rsidRPr="00B61251" w:rsidRDefault="00443366" w:rsidP="0079332B">
            <w:pPr>
              <w:pStyle w:val="Tabletext"/>
              <w:keepNext/>
              <w:jc w:val="center"/>
            </w:pPr>
          </w:p>
        </w:tc>
      </w:tr>
      <w:tr w:rsidR="00E41A4C" w:rsidRPr="00B61251" w:rsidTr="00EF4167">
        <w:tc>
          <w:tcPr>
            <w:tcW w:w="5000" w:type="pct"/>
            <w:gridSpan w:val="7"/>
            <w:shd w:val="clear" w:color="auto" w:fill="auto"/>
            <w:vAlign w:val="center"/>
          </w:tcPr>
          <w:p w:rsidR="00E41A4C" w:rsidRPr="00B61251" w:rsidRDefault="00370A48" w:rsidP="0079332B">
            <w:pPr>
              <w:pStyle w:val="Tabletext"/>
              <w:keepNext/>
              <w:rPr>
                <w:b/>
              </w:rPr>
            </w:pPr>
            <w:r w:rsidRPr="00B61251">
              <w:rPr>
                <w:b/>
              </w:rPr>
              <w:t>B</w:t>
            </w:r>
            <w:r w:rsidR="00472071" w:rsidRPr="00B61251">
              <w:rPr>
                <w:b/>
              </w:rPr>
              <w:t xml:space="preserve">evacizumab + PDC </w:t>
            </w:r>
            <w:r w:rsidRPr="00B61251">
              <w:rPr>
                <w:b/>
              </w:rPr>
              <w:t>versus PDC (1 step indirect comparison)</w:t>
            </w:r>
          </w:p>
        </w:tc>
      </w:tr>
      <w:tr w:rsidR="00DC123B" w:rsidRPr="00B61251" w:rsidTr="00EF4167">
        <w:tc>
          <w:tcPr>
            <w:tcW w:w="564" w:type="pct"/>
            <w:shd w:val="clear" w:color="auto" w:fill="auto"/>
            <w:vAlign w:val="center"/>
          </w:tcPr>
          <w:p w:rsidR="001A4C82" w:rsidRPr="00B61251" w:rsidRDefault="001A4C82" w:rsidP="0079332B">
            <w:pPr>
              <w:pStyle w:val="Tabletext"/>
              <w:keepNext/>
            </w:pPr>
            <w:r w:rsidRPr="00B61251">
              <w:t>Sandler 2006</w:t>
            </w:r>
          </w:p>
        </w:tc>
        <w:tc>
          <w:tcPr>
            <w:tcW w:w="457" w:type="pct"/>
            <w:shd w:val="clear" w:color="auto" w:fill="auto"/>
            <w:vAlign w:val="center"/>
          </w:tcPr>
          <w:p w:rsidR="001A4C82" w:rsidRPr="00B61251" w:rsidRDefault="00532A36" w:rsidP="0079332B">
            <w:pPr>
              <w:pStyle w:val="Tabletext"/>
              <w:keepNext/>
              <w:jc w:val="center"/>
            </w:pPr>
            <w:r w:rsidRPr="00B61251">
              <w:t>878</w:t>
            </w:r>
          </w:p>
        </w:tc>
        <w:tc>
          <w:tcPr>
            <w:tcW w:w="767" w:type="pct"/>
            <w:shd w:val="clear" w:color="auto" w:fill="auto"/>
            <w:vAlign w:val="center"/>
          </w:tcPr>
          <w:p w:rsidR="001A4C82" w:rsidRPr="00B61251" w:rsidRDefault="00532A36" w:rsidP="0079332B">
            <w:pPr>
              <w:pStyle w:val="Tabletext"/>
              <w:keepNext/>
              <w:jc w:val="center"/>
            </w:pPr>
            <w:r w:rsidRPr="00B61251">
              <w:t>R, OL</w:t>
            </w:r>
          </w:p>
          <w:p w:rsidR="000E4ED5" w:rsidRPr="00B61251" w:rsidRDefault="000E4ED5" w:rsidP="0079332B">
            <w:pPr>
              <w:pStyle w:val="Tabletext"/>
              <w:keepNext/>
              <w:jc w:val="center"/>
            </w:pPr>
            <w:r w:rsidRPr="00B61251">
              <w:t>Median 19 mths</w:t>
            </w:r>
          </w:p>
        </w:tc>
        <w:tc>
          <w:tcPr>
            <w:tcW w:w="893" w:type="pct"/>
            <w:shd w:val="clear" w:color="auto" w:fill="auto"/>
            <w:vAlign w:val="center"/>
          </w:tcPr>
          <w:p w:rsidR="001A4C82" w:rsidRPr="00B61251" w:rsidRDefault="00F07624" w:rsidP="0079332B">
            <w:pPr>
              <w:pStyle w:val="Tabletext"/>
              <w:keepNext/>
              <w:jc w:val="center"/>
            </w:pPr>
            <w:r w:rsidRPr="00B61251">
              <w:t>OS: low</w:t>
            </w:r>
          </w:p>
          <w:p w:rsidR="00F07624" w:rsidRPr="00B61251" w:rsidRDefault="00F07624" w:rsidP="0079332B">
            <w:pPr>
              <w:pStyle w:val="Tabletext"/>
              <w:keepNext/>
              <w:jc w:val="center"/>
            </w:pPr>
            <w:r w:rsidRPr="00B61251">
              <w:t>PFS: unclear</w:t>
            </w:r>
          </w:p>
        </w:tc>
        <w:tc>
          <w:tcPr>
            <w:tcW w:w="1003" w:type="pct"/>
            <w:shd w:val="clear" w:color="auto" w:fill="auto"/>
            <w:vAlign w:val="center"/>
          </w:tcPr>
          <w:p w:rsidR="001A4C82" w:rsidRPr="00B61251" w:rsidRDefault="00AD03C0" w:rsidP="0079332B">
            <w:pPr>
              <w:pStyle w:val="Tabletext"/>
              <w:keepNext/>
              <w:jc w:val="center"/>
            </w:pPr>
            <w:r w:rsidRPr="00B61251">
              <w:t xml:space="preserve">Newly diagnosed Stage IIIB, Stage IV or chemotherapy naïve recurrent NSQ NSCLC </w:t>
            </w:r>
          </w:p>
        </w:tc>
        <w:tc>
          <w:tcPr>
            <w:tcW w:w="543" w:type="pct"/>
            <w:shd w:val="clear" w:color="auto" w:fill="auto"/>
            <w:vAlign w:val="center"/>
          </w:tcPr>
          <w:p w:rsidR="001A4C82" w:rsidRPr="00B61251" w:rsidRDefault="00AD03C0" w:rsidP="0079332B">
            <w:pPr>
              <w:pStyle w:val="Tabletext"/>
              <w:keepNext/>
              <w:jc w:val="center"/>
            </w:pPr>
            <w:r w:rsidRPr="00B61251">
              <w:t>OS, PFS</w:t>
            </w:r>
          </w:p>
        </w:tc>
        <w:tc>
          <w:tcPr>
            <w:tcW w:w="773" w:type="pct"/>
            <w:shd w:val="clear" w:color="auto" w:fill="auto"/>
            <w:vAlign w:val="center"/>
          </w:tcPr>
          <w:p w:rsidR="001A4C82" w:rsidRPr="00B61251" w:rsidRDefault="00AD03C0" w:rsidP="0079332B">
            <w:pPr>
              <w:pStyle w:val="Tabletext"/>
              <w:keepNext/>
              <w:jc w:val="center"/>
            </w:pPr>
            <w:r w:rsidRPr="00B61251">
              <w:t>Used</w:t>
            </w:r>
          </w:p>
        </w:tc>
      </w:tr>
      <w:tr w:rsidR="00DC123B" w:rsidRPr="00B61251" w:rsidTr="00EF4167">
        <w:tc>
          <w:tcPr>
            <w:tcW w:w="564" w:type="pct"/>
            <w:shd w:val="clear" w:color="auto" w:fill="auto"/>
            <w:vAlign w:val="center"/>
          </w:tcPr>
          <w:p w:rsidR="001A4C82" w:rsidRPr="00B61251" w:rsidRDefault="001A4C82" w:rsidP="0079332B">
            <w:pPr>
              <w:pStyle w:val="Tabletext"/>
              <w:keepNext/>
            </w:pPr>
            <w:r w:rsidRPr="00B61251">
              <w:t>Zhou 2015</w:t>
            </w:r>
          </w:p>
        </w:tc>
        <w:tc>
          <w:tcPr>
            <w:tcW w:w="457" w:type="pct"/>
            <w:shd w:val="clear" w:color="auto" w:fill="auto"/>
            <w:vAlign w:val="center"/>
          </w:tcPr>
          <w:p w:rsidR="001A4C82" w:rsidRPr="00B61251" w:rsidRDefault="00532A36" w:rsidP="0079332B">
            <w:pPr>
              <w:pStyle w:val="Tabletext"/>
              <w:keepNext/>
              <w:jc w:val="center"/>
            </w:pPr>
            <w:r w:rsidRPr="00B61251">
              <w:t>276</w:t>
            </w:r>
          </w:p>
        </w:tc>
        <w:tc>
          <w:tcPr>
            <w:tcW w:w="767" w:type="pct"/>
            <w:shd w:val="clear" w:color="auto" w:fill="auto"/>
            <w:vAlign w:val="center"/>
          </w:tcPr>
          <w:p w:rsidR="001A4C82" w:rsidRPr="00B61251" w:rsidRDefault="0041199D" w:rsidP="0079332B">
            <w:pPr>
              <w:pStyle w:val="Tabletext"/>
              <w:keepNext/>
              <w:jc w:val="center"/>
            </w:pPr>
            <w:r w:rsidRPr="00B61251">
              <w:t>R, DB</w:t>
            </w:r>
          </w:p>
          <w:p w:rsidR="000E4ED5" w:rsidRPr="00B61251" w:rsidRDefault="00290BE4" w:rsidP="0079332B">
            <w:pPr>
              <w:pStyle w:val="Tabletext"/>
              <w:keepNext/>
              <w:jc w:val="center"/>
            </w:pPr>
            <w:r w:rsidRPr="00B61251">
              <w:t>Median 26.9-28.1 mths across arms</w:t>
            </w:r>
          </w:p>
        </w:tc>
        <w:tc>
          <w:tcPr>
            <w:tcW w:w="893" w:type="pct"/>
            <w:shd w:val="clear" w:color="auto" w:fill="auto"/>
            <w:vAlign w:val="center"/>
          </w:tcPr>
          <w:p w:rsidR="001A4C82" w:rsidRPr="00B61251" w:rsidRDefault="00F07624" w:rsidP="0079332B">
            <w:pPr>
              <w:pStyle w:val="Tabletext"/>
              <w:keepNext/>
              <w:jc w:val="center"/>
            </w:pPr>
            <w:r w:rsidRPr="00B61251">
              <w:t>OS: low</w:t>
            </w:r>
          </w:p>
          <w:p w:rsidR="001426EE" w:rsidRPr="00B61251" w:rsidRDefault="001426EE" w:rsidP="0079332B">
            <w:pPr>
              <w:pStyle w:val="Tabletext"/>
              <w:keepNext/>
              <w:jc w:val="center"/>
              <w:rPr>
                <w:vertAlign w:val="superscript"/>
              </w:rPr>
            </w:pPr>
            <w:r w:rsidRPr="00B61251">
              <w:t>PFS: unclear</w:t>
            </w:r>
            <w:r w:rsidR="00C050B6" w:rsidRPr="00B61251">
              <w:rPr>
                <w:vertAlign w:val="superscript"/>
              </w:rPr>
              <w:t>d</w:t>
            </w:r>
          </w:p>
        </w:tc>
        <w:tc>
          <w:tcPr>
            <w:tcW w:w="1003" w:type="pct"/>
            <w:shd w:val="clear" w:color="auto" w:fill="auto"/>
            <w:vAlign w:val="center"/>
          </w:tcPr>
          <w:p w:rsidR="001A4C82" w:rsidRPr="00B61251" w:rsidRDefault="00DC123B" w:rsidP="0079332B">
            <w:pPr>
              <w:pStyle w:val="Tabletext"/>
              <w:keepNext/>
              <w:jc w:val="center"/>
            </w:pPr>
            <w:r w:rsidRPr="00B61251">
              <w:t>Stage IIIB, Stage IV or recurrent NSQ NSCLC</w:t>
            </w:r>
          </w:p>
          <w:p w:rsidR="00DC123B" w:rsidRPr="00B61251" w:rsidRDefault="00DC123B" w:rsidP="0079332B">
            <w:pPr>
              <w:pStyle w:val="Tabletext"/>
              <w:keepNext/>
              <w:jc w:val="center"/>
            </w:pPr>
            <w:r w:rsidRPr="00B61251">
              <w:t>Chinese population</w:t>
            </w:r>
          </w:p>
        </w:tc>
        <w:tc>
          <w:tcPr>
            <w:tcW w:w="543" w:type="pct"/>
            <w:shd w:val="clear" w:color="auto" w:fill="auto"/>
            <w:vAlign w:val="center"/>
          </w:tcPr>
          <w:p w:rsidR="001A4C82" w:rsidRPr="00B61251" w:rsidRDefault="00DC123B" w:rsidP="0079332B">
            <w:pPr>
              <w:pStyle w:val="Tabletext"/>
              <w:keepNext/>
              <w:jc w:val="center"/>
            </w:pPr>
            <w:r w:rsidRPr="00B61251">
              <w:t>OS, PFS</w:t>
            </w:r>
          </w:p>
        </w:tc>
        <w:tc>
          <w:tcPr>
            <w:tcW w:w="773" w:type="pct"/>
            <w:shd w:val="clear" w:color="auto" w:fill="auto"/>
            <w:vAlign w:val="center"/>
          </w:tcPr>
          <w:p w:rsidR="001A4C82" w:rsidRPr="00B61251" w:rsidRDefault="00DC123B" w:rsidP="0079332B">
            <w:pPr>
              <w:pStyle w:val="Tabletext"/>
              <w:keepNext/>
              <w:jc w:val="center"/>
            </w:pPr>
            <w:r w:rsidRPr="00B61251">
              <w:t>Used</w:t>
            </w:r>
          </w:p>
        </w:tc>
      </w:tr>
      <w:tr w:rsidR="00DC123B" w:rsidRPr="00B61251" w:rsidTr="00EF4167">
        <w:tc>
          <w:tcPr>
            <w:tcW w:w="564" w:type="pct"/>
            <w:shd w:val="clear" w:color="auto" w:fill="auto"/>
            <w:vAlign w:val="center"/>
          </w:tcPr>
          <w:p w:rsidR="001A4C82" w:rsidRPr="00B61251" w:rsidRDefault="00532A36" w:rsidP="0079332B">
            <w:pPr>
              <w:pStyle w:val="Tabletext"/>
              <w:keepNext/>
            </w:pPr>
            <w:r w:rsidRPr="00B61251">
              <w:t>Niho</w:t>
            </w:r>
            <w:r w:rsidR="001A4C82" w:rsidRPr="00B61251">
              <w:t xml:space="preserve"> 2012</w:t>
            </w:r>
          </w:p>
        </w:tc>
        <w:tc>
          <w:tcPr>
            <w:tcW w:w="457" w:type="pct"/>
            <w:shd w:val="clear" w:color="auto" w:fill="auto"/>
            <w:vAlign w:val="center"/>
          </w:tcPr>
          <w:p w:rsidR="001A4C82" w:rsidRPr="00B61251" w:rsidRDefault="00532A36" w:rsidP="0079332B">
            <w:pPr>
              <w:pStyle w:val="Tabletext"/>
              <w:keepNext/>
              <w:jc w:val="center"/>
            </w:pPr>
            <w:r w:rsidRPr="00B61251">
              <w:t>180</w:t>
            </w:r>
          </w:p>
        </w:tc>
        <w:tc>
          <w:tcPr>
            <w:tcW w:w="767" w:type="pct"/>
            <w:shd w:val="clear" w:color="auto" w:fill="auto"/>
            <w:vAlign w:val="center"/>
          </w:tcPr>
          <w:p w:rsidR="001A4C82" w:rsidRPr="00B61251" w:rsidRDefault="00816F1D" w:rsidP="0079332B">
            <w:pPr>
              <w:pStyle w:val="Tabletext"/>
              <w:keepNext/>
              <w:jc w:val="center"/>
            </w:pPr>
            <w:r w:rsidRPr="00B61251">
              <w:t>R, OL</w:t>
            </w:r>
          </w:p>
          <w:p w:rsidR="00290BE4" w:rsidRPr="00B61251" w:rsidRDefault="00290BE4" w:rsidP="0079332B">
            <w:pPr>
              <w:pStyle w:val="Tabletext"/>
              <w:keepNext/>
              <w:jc w:val="center"/>
            </w:pPr>
            <w:r w:rsidRPr="00B61251">
              <w:t>Median duration not reported</w:t>
            </w:r>
          </w:p>
        </w:tc>
        <w:tc>
          <w:tcPr>
            <w:tcW w:w="893" w:type="pct"/>
            <w:shd w:val="clear" w:color="auto" w:fill="auto"/>
            <w:vAlign w:val="center"/>
          </w:tcPr>
          <w:p w:rsidR="001426EE" w:rsidRPr="00B61251" w:rsidRDefault="001426EE" w:rsidP="0079332B">
            <w:pPr>
              <w:pStyle w:val="Tabletext"/>
              <w:keepNext/>
              <w:jc w:val="center"/>
            </w:pPr>
            <w:r w:rsidRPr="00B61251">
              <w:t>OS: low</w:t>
            </w:r>
          </w:p>
          <w:p w:rsidR="001A4C82" w:rsidRPr="00B61251" w:rsidRDefault="001426EE" w:rsidP="0079332B">
            <w:pPr>
              <w:pStyle w:val="Tabletext"/>
              <w:keepNext/>
              <w:jc w:val="center"/>
            </w:pPr>
            <w:r w:rsidRPr="00B61251">
              <w:t>PFS: unclear</w:t>
            </w:r>
          </w:p>
        </w:tc>
        <w:tc>
          <w:tcPr>
            <w:tcW w:w="1003" w:type="pct"/>
            <w:shd w:val="clear" w:color="auto" w:fill="auto"/>
            <w:vAlign w:val="center"/>
          </w:tcPr>
          <w:p w:rsidR="00B20FFA" w:rsidRPr="00B61251" w:rsidRDefault="00B20FFA" w:rsidP="0079332B">
            <w:pPr>
              <w:pStyle w:val="Tabletext"/>
              <w:keepNext/>
              <w:jc w:val="center"/>
            </w:pPr>
            <w:r w:rsidRPr="00B61251">
              <w:t>Stage IIIB, Stage IV or recurrent NSQ NSCLC</w:t>
            </w:r>
          </w:p>
          <w:p w:rsidR="00443366" w:rsidRPr="00B61251" w:rsidRDefault="00443366" w:rsidP="0079332B">
            <w:pPr>
              <w:pStyle w:val="Tabletext"/>
              <w:keepNext/>
              <w:jc w:val="center"/>
            </w:pPr>
            <w:r w:rsidRPr="00B61251">
              <w:t>Chemotherapy naive</w:t>
            </w:r>
          </w:p>
          <w:p w:rsidR="001A4C82" w:rsidRPr="00B61251" w:rsidRDefault="00B20FFA" w:rsidP="0079332B">
            <w:pPr>
              <w:pStyle w:val="Tabletext"/>
              <w:keepNext/>
              <w:jc w:val="center"/>
            </w:pPr>
            <w:r w:rsidRPr="00B61251">
              <w:t>Japanese population</w:t>
            </w:r>
          </w:p>
        </w:tc>
        <w:tc>
          <w:tcPr>
            <w:tcW w:w="543" w:type="pct"/>
            <w:shd w:val="clear" w:color="auto" w:fill="auto"/>
            <w:vAlign w:val="center"/>
          </w:tcPr>
          <w:p w:rsidR="001A4C82" w:rsidRPr="00B61251" w:rsidRDefault="00B20FFA" w:rsidP="0079332B">
            <w:pPr>
              <w:pStyle w:val="Tabletext"/>
              <w:keepNext/>
              <w:jc w:val="center"/>
            </w:pPr>
            <w:r w:rsidRPr="00B61251">
              <w:t>OS, PFS</w:t>
            </w:r>
          </w:p>
        </w:tc>
        <w:tc>
          <w:tcPr>
            <w:tcW w:w="773" w:type="pct"/>
            <w:shd w:val="clear" w:color="auto" w:fill="auto"/>
            <w:vAlign w:val="center"/>
          </w:tcPr>
          <w:p w:rsidR="001A4C82" w:rsidRPr="00B61251" w:rsidRDefault="00443366" w:rsidP="0079332B">
            <w:pPr>
              <w:pStyle w:val="Tabletext"/>
              <w:keepNext/>
              <w:jc w:val="center"/>
            </w:pPr>
            <w:r w:rsidRPr="00B61251">
              <w:t>Not used</w:t>
            </w:r>
          </w:p>
        </w:tc>
      </w:tr>
      <w:tr w:rsidR="00443366" w:rsidRPr="00B61251" w:rsidTr="00EF4167">
        <w:tc>
          <w:tcPr>
            <w:tcW w:w="564" w:type="pct"/>
            <w:shd w:val="clear" w:color="auto" w:fill="auto"/>
            <w:vAlign w:val="center"/>
          </w:tcPr>
          <w:p w:rsidR="00443366" w:rsidRPr="00B61251" w:rsidRDefault="00443366" w:rsidP="0079332B">
            <w:pPr>
              <w:pStyle w:val="Tabletext"/>
              <w:keepNext/>
            </w:pPr>
            <w:r w:rsidRPr="00B61251">
              <w:t>Zinner 2015</w:t>
            </w:r>
          </w:p>
        </w:tc>
        <w:tc>
          <w:tcPr>
            <w:tcW w:w="457" w:type="pct"/>
            <w:shd w:val="clear" w:color="auto" w:fill="auto"/>
            <w:vAlign w:val="center"/>
          </w:tcPr>
          <w:p w:rsidR="00443366" w:rsidRPr="00B61251" w:rsidRDefault="00443366" w:rsidP="0079332B">
            <w:pPr>
              <w:pStyle w:val="Tabletext"/>
              <w:keepNext/>
              <w:jc w:val="center"/>
            </w:pPr>
            <w:r w:rsidRPr="00B61251">
              <w:t>361</w:t>
            </w:r>
          </w:p>
        </w:tc>
        <w:tc>
          <w:tcPr>
            <w:tcW w:w="767" w:type="pct"/>
            <w:shd w:val="clear" w:color="auto" w:fill="auto"/>
            <w:vAlign w:val="center"/>
          </w:tcPr>
          <w:p w:rsidR="00443366" w:rsidRPr="00B61251" w:rsidRDefault="00443366" w:rsidP="0079332B">
            <w:pPr>
              <w:pStyle w:val="Tabletext"/>
              <w:keepNext/>
              <w:jc w:val="center"/>
            </w:pPr>
            <w:r w:rsidRPr="00B61251">
              <w:t>R, OL</w:t>
            </w:r>
          </w:p>
          <w:p w:rsidR="00290BE4" w:rsidRPr="00B61251" w:rsidRDefault="00290BE4" w:rsidP="0079332B">
            <w:pPr>
              <w:pStyle w:val="Tabletext"/>
              <w:keepNext/>
              <w:jc w:val="center"/>
            </w:pPr>
            <w:r w:rsidRPr="00B61251">
              <w:t>Median duration not reported</w:t>
            </w:r>
          </w:p>
        </w:tc>
        <w:tc>
          <w:tcPr>
            <w:tcW w:w="893" w:type="pct"/>
            <w:shd w:val="clear" w:color="auto" w:fill="auto"/>
            <w:vAlign w:val="center"/>
          </w:tcPr>
          <w:p w:rsidR="00443366" w:rsidRPr="00B61251" w:rsidRDefault="001426EE" w:rsidP="0079332B">
            <w:pPr>
              <w:pStyle w:val="Tabletext"/>
              <w:keepNext/>
              <w:jc w:val="center"/>
            </w:pPr>
            <w:r w:rsidRPr="00B61251">
              <w:t>OS</w:t>
            </w:r>
            <w:r w:rsidR="00D02DA7" w:rsidRPr="00B61251">
              <w:t xml:space="preserve"> and PFS: high</w:t>
            </w:r>
          </w:p>
        </w:tc>
        <w:tc>
          <w:tcPr>
            <w:tcW w:w="1003" w:type="pct"/>
            <w:shd w:val="clear" w:color="auto" w:fill="auto"/>
            <w:vAlign w:val="center"/>
          </w:tcPr>
          <w:p w:rsidR="00443366" w:rsidRPr="00B61251" w:rsidRDefault="00443366" w:rsidP="0079332B">
            <w:pPr>
              <w:pStyle w:val="Tabletext"/>
              <w:keepNext/>
              <w:jc w:val="center"/>
            </w:pPr>
            <w:r w:rsidRPr="00B61251">
              <w:t xml:space="preserve">Stage IV NSQ NSCLC </w:t>
            </w:r>
          </w:p>
          <w:p w:rsidR="00443366" w:rsidRPr="00B61251" w:rsidRDefault="00443366" w:rsidP="0079332B">
            <w:pPr>
              <w:pStyle w:val="Tabletext"/>
              <w:keepNext/>
              <w:jc w:val="center"/>
            </w:pPr>
            <w:r w:rsidRPr="00B61251">
              <w:t>Chemotherapy naive</w:t>
            </w:r>
          </w:p>
        </w:tc>
        <w:tc>
          <w:tcPr>
            <w:tcW w:w="543" w:type="pct"/>
            <w:shd w:val="clear" w:color="auto" w:fill="auto"/>
            <w:vAlign w:val="center"/>
          </w:tcPr>
          <w:p w:rsidR="00443366" w:rsidRPr="00B61251" w:rsidRDefault="00443366" w:rsidP="0079332B">
            <w:pPr>
              <w:pStyle w:val="Tabletext"/>
              <w:keepNext/>
              <w:jc w:val="center"/>
            </w:pPr>
            <w:r w:rsidRPr="00B61251">
              <w:t>OS, PFS</w:t>
            </w:r>
          </w:p>
        </w:tc>
        <w:tc>
          <w:tcPr>
            <w:tcW w:w="773" w:type="pct"/>
            <w:shd w:val="clear" w:color="auto" w:fill="auto"/>
            <w:vAlign w:val="center"/>
          </w:tcPr>
          <w:p w:rsidR="00443366" w:rsidRPr="00B61251" w:rsidRDefault="00443366" w:rsidP="0079332B">
            <w:pPr>
              <w:pStyle w:val="Tabletext"/>
              <w:keepNext/>
              <w:jc w:val="center"/>
            </w:pPr>
            <w:r w:rsidRPr="00B61251">
              <w:t>Not used</w:t>
            </w:r>
          </w:p>
        </w:tc>
      </w:tr>
      <w:tr w:rsidR="00443366" w:rsidRPr="00B61251" w:rsidTr="00EF4167">
        <w:tc>
          <w:tcPr>
            <w:tcW w:w="564" w:type="pct"/>
            <w:shd w:val="clear" w:color="auto" w:fill="auto"/>
            <w:vAlign w:val="center"/>
          </w:tcPr>
          <w:p w:rsidR="00443366" w:rsidRPr="00B61251" w:rsidRDefault="00443366" w:rsidP="0079332B">
            <w:pPr>
              <w:pStyle w:val="Tabletext"/>
              <w:keepNext/>
            </w:pPr>
            <w:r w:rsidRPr="00B61251">
              <w:t>Galetta 2015</w:t>
            </w:r>
          </w:p>
        </w:tc>
        <w:tc>
          <w:tcPr>
            <w:tcW w:w="457" w:type="pct"/>
            <w:shd w:val="clear" w:color="auto" w:fill="auto"/>
            <w:vAlign w:val="center"/>
          </w:tcPr>
          <w:p w:rsidR="00443366" w:rsidRPr="00B61251" w:rsidRDefault="00443366" w:rsidP="0079332B">
            <w:pPr>
              <w:pStyle w:val="Tabletext"/>
              <w:keepNext/>
              <w:jc w:val="center"/>
            </w:pPr>
            <w:r w:rsidRPr="00B61251">
              <w:t>118</w:t>
            </w:r>
          </w:p>
        </w:tc>
        <w:tc>
          <w:tcPr>
            <w:tcW w:w="767" w:type="pct"/>
            <w:shd w:val="clear" w:color="auto" w:fill="auto"/>
            <w:vAlign w:val="center"/>
          </w:tcPr>
          <w:p w:rsidR="00443366" w:rsidRPr="00B61251" w:rsidRDefault="00443366" w:rsidP="0079332B">
            <w:pPr>
              <w:pStyle w:val="Tabletext"/>
              <w:keepNext/>
              <w:jc w:val="center"/>
            </w:pPr>
            <w:r w:rsidRPr="00B61251">
              <w:t>R, OL</w:t>
            </w:r>
          </w:p>
          <w:p w:rsidR="00290BE4" w:rsidRPr="00B61251" w:rsidRDefault="00290BE4" w:rsidP="0079332B">
            <w:pPr>
              <w:pStyle w:val="Tabletext"/>
              <w:keepNext/>
              <w:jc w:val="center"/>
            </w:pPr>
            <w:r w:rsidRPr="00B61251">
              <w:t>Median 27.0 mths</w:t>
            </w:r>
          </w:p>
        </w:tc>
        <w:tc>
          <w:tcPr>
            <w:tcW w:w="893" w:type="pct"/>
            <w:shd w:val="clear" w:color="auto" w:fill="auto"/>
            <w:vAlign w:val="center"/>
          </w:tcPr>
          <w:p w:rsidR="001426EE" w:rsidRPr="00B61251" w:rsidRDefault="001426EE" w:rsidP="0079332B">
            <w:pPr>
              <w:pStyle w:val="Tabletext"/>
              <w:keepNext/>
              <w:jc w:val="center"/>
            </w:pPr>
            <w:r w:rsidRPr="00B61251">
              <w:t>OS: low</w:t>
            </w:r>
          </w:p>
          <w:p w:rsidR="00443366" w:rsidRPr="00B61251" w:rsidRDefault="001426EE" w:rsidP="0079332B">
            <w:pPr>
              <w:pStyle w:val="Tabletext"/>
              <w:keepNext/>
              <w:jc w:val="center"/>
            </w:pPr>
            <w:r w:rsidRPr="00B61251">
              <w:t>PFS: unclear</w:t>
            </w:r>
          </w:p>
        </w:tc>
        <w:tc>
          <w:tcPr>
            <w:tcW w:w="1003" w:type="pct"/>
            <w:shd w:val="clear" w:color="auto" w:fill="auto"/>
            <w:vAlign w:val="center"/>
          </w:tcPr>
          <w:p w:rsidR="00443366" w:rsidRPr="00B61251" w:rsidRDefault="00443366" w:rsidP="0079332B">
            <w:pPr>
              <w:pStyle w:val="Tabletext"/>
              <w:keepNext/>
              <w:jc w:val="center"/>
            </w:pPr>
            <w:r w:rsidRPr="00B61251">
              <w:t>Stage IIIB or Stage IV NSQ NSCLC</w:t>
            </w:r>
          </w:p>
          <w:p w:rsidR="00443366" w:rsidRPr="00B61251" w:rsidRDefault="00443366" w:rsidP="0079332B">
            <w:pPr>
              <w:pStyle w:val="Tabletext"/>
              <w:keepNext/>
              <w:jc w:val="center"/>
            </w:pPr>
            <w:r w:rsidRPr="00B61251">
              <w:t>Chemotherapy naive</w:t>
            </w:r>
          </w:p>
        </w:tc>
        <w:tc>
          <w:tcPr>
            <w:tcW w:w="543" w:type="pct"/>
            <w:shd w:val="clear" w:color="auto" w:fill="auto"/>
            <w:vAlign w:val="center"/>
          </w:tcPr>
          <w:p w:rsidR="00443366" w:rsidRPr="00B61251" w:rsidRDefault="00443366" w:rsidP="0079332B">
            <w:pPr>
              <w:pStyle w:val="Tabletext"/>
              <w:keepNext/>
              <w:jc w:val="center"/>
            </w:pPr>
            <w:r w:rsidRPr="00B61251">
              <w:t>OS, PFS</w:t>
            </w:r>
          </w:p>
        </w:tc>
        <w:tc>
          <w:tcPr>
            <w:tcW w:w="773" w:type="pct"/>
            <w:shd w:val="clear" w:color="auto" w:fill="auto"/>
            <w:vAlign w:val="center"/>
          </w:tcPr>
          <w:p w:rsidR="00443366" w:rsidRPr="00B61251" w:rsidRDefault="00443366" w:rsidP="0079332B">
            <w:pPr>
              <w:pStyle w:val="Tabletext"/>
              <w:keepNext/>
              <w:jc w:val="center"/>
            </w:pPr>
            <w:r w:rsidRPr="00B61251">
              <w:t>Not used</w:t>
            </w:r>
          </w:p>
        </w:tc>
      </w:tr>
      <w:tr w:rsidR="00443366" w:rsidRPr="00B61251" w:rsidTr="00EF4167">
        <w:tc>
          <w:tcPr>
            <w:tcW w:w="564" w:type="pct"/>
            <w:shd w:val="clear" w:color="auto" w:fill="auto"/>
            <w:vAlign w:val="center"/>
          </w:tcPr>
          <w:p w:rsidR="00443366" w:rsidRPr="00B61251" w:rsidRDefault="00443366" w:rsidP="0079332B">
            <w:pPr>
              <w:pStyle w:val="Tabletext"/>
              <w:keepNext/>
            </w:pPr>
            <w:r w:rsidRPr="00B61251">
              <w:t>Reck 2009</w:t>
            </w:r>
          </w:p>
        </w:tc>
        <w:tc>
          <w:tcPr>
            <w:tcW w:w="457" w:type="pct"/>
            <w:shd w:val="clear" w:color="auto" w:fill="auto"/>
            <w:vAlign w:val="center"/>
          </w:tcPr>
          <w:p w:rsidR="00443366" w:rsidRPr="00B61251" w:rsidRDefault="00443366" w:rsidP="0079332B">
            <w:pPr>
              <w:pStyle w:val="Tabletext"/>
              <w:keepNext/>
              <w:jc w:val="center"/>
            </w:pPr>
            <w:r w:rsidRPr="00B61251">
              <w:t>698</w:t>
            </w:r>
          </w:p>
        </w:tc>
        <w:tc>
          <w:tcPr>
            <w:tcW w:w="767" w:type="pct"/>
            <w:shd w:val="clear" w:color="auto" w:fill="auto"/>
            <w:vAlign w:val="center"/>
          </w:tcPr>
          <w:p w:rsidR="00443366" w:rsidRPr="00B61251" w:rsidRDefault="00443366" w:rsidP="0079332B">
            <w:pPr>
              <w:pStyle w:val="Tabletext"/>
              <w:keepNext/>
              <w:jc w:val="center"/>
              <w:rPr>
                <w:vertAlign w:val="superscript"/>
              </w:rPr>
            </w:pPr>
            <w:r w:rsidRPr="00B61251">
              <w:t>R, DB</w:t>
            </w:r>
            <w:r w:rsidR="00C050B6" w:rsidRPr="00B61251">
              <w:rPr>
                <w:vertAlign w:val="superscript"/>
              </w:rPr>
              <w:t>e</w:t>
            </w:r>
          </w:p>
          <w:p w:rsidR="00290BE4" w:rsidRPr="00B61251" w:rsidRDefault="00290BE4" w:rsidP="0079332B">
            <w:pPr>
              <w:pStyle w:val="Tabletext"/>
              <w:keepNext/>
              <w:jc w:val="center"/>
            </w:pPr>
            <w:r w:rsidRPr="00B61251">
              <w:t>Median 12.5-12.9 mths across arms</w:t>
            </w:r>
          </w:p>
        </w:tc>
        <w:tc>
          <w:tcPr>
            <w:tcW w:w="893" w:type="pct"/>
            <w:shd w:val="clear" w:color="auto" w:fill="auto"/>
            <w:vAlign w:val="center"/>
          </w:tcPr>
          <w:p w:rsidR="001426EE" w:rsidRPr="00B61251" w:rsidRDefault="001426EE" w:rsidP="0079332B">
            <w:pPr>
              <w:pStyle w:val="Tabletext"/>
              <w:keepNext/>
              <w:jc w:val="center"/>
            </w:pPr>
            <w:r w:rsidRPr="00B61251">
              <w:t>OS: low</w:t>
            </w:r>
          </w:p>
          <w:p w:rsidR="00443366" w:rsidRPr="00B61251" w:rsidRDefault="001426EE" w:rsidP="0079332B">
            <w:pPr>
              <w:pStyle w:val="Tabletext"/>
              <w:keepNext/>
              <w:jc w:val="center"/>
            </w:pPr>
            <w:r w:rsidRPr="00B61251">
              <w:t>PFS: unclear</w:t>
            </w:r>
          </w:p>
        </w:tc>
        <w:tc>
          <w:tcPr>
            <w:tcW w:w="1003" w:type="pct"/>
            <w:shd w:val="clear" w:color="auto" w:fill="auto"/>
            <w:vAlign w:val="center"/>
          </w:tcPr>
          <w:p w:rsidR="00443366" w:rsidRPr="00B61251" w:rsidRDefault="00443366" w:rsidP="0079332B">
            <w:pPr>
              <w:pStyle w:val="Tabletext"/>
              <w:keepNext/>
              <w:jc w:val="center"/>
            </w:pPr>
            <w:r w:rsidRPr="00B61251">
              <w:t>Untreated (first-line) Stage IIIB, Stage IV or recurrent NSQ NSCLC</w:t>
            </w:r>
          </w:p>
        </w:tc>
        <w:tc>
          <w:tcPr>
            <w:tcW w:w="543" w:type="pct"/>
            <w:shd w:val="clear" w:color="auto" w:fill="auto"/>
            <w:vAlign w:val="center"/>
          </w:tcPr>
          <w:p w:rsidR="00443366" w:rsidRPr="00B61251" w:rsidRDefault="00443366" w:rsidP="0079332B">
            <w:pPr>
              <w:pStyle w:val="Tabletext"/>
              <w:keepNext/>
              <w:jc w:val="center"/>
            </w:pPr>
            <w:r w:rsidRPr="00B61251">
              <w:t>OS, PFS</w:t>
            </w:r>
          </w:p>
        </w:tc>
        <w:tc>
          <w:tcPr>
            <w:tcW w:w="773" w:type="pct"/>
            <w:shd w:val="clear" w:color="auto" w:fill="auto"/>
            <w:vAlign w:val="center"/>
          </w:tcPr>
          <w:p w:rsidR="00443366" w:rsidRPr="00B61251" w:rsidRDefault="00443366" w:rsidP="0079332B">
            <w:pPr>
              <w:pStyle w:val="Tabletext"/>
              <w:keepNext/>
              <w:jc w:val="center"/>
            </w:pPr>
            <w:r w:rsidRPr="00B61251">
              <w:t>Not used</w:t>
            </w:r>
          </w:p>
        </w:tc>
      </w:tr>
      <w:tr w:rsidR="00532A36" w:rsidRPr="00B61251" w:rsidTr="00EF4167">
        <w:tc>
          <w:tcPr>
            <w:tcW w:w="5000" w:type="pct"/>
            <w:gridSpan w:val="7"/>
            <w:shd w:val="clear" w:color="auto" w:fill="auto"/>
            <w:vAlign w:val="center"/>
          </w:tcPr>
          <w:p w:rsidR="00532A36" w:rsidRPr="00B61251" w:rsidRDefault="00532A36" w:rsidP="0079332B">
            <w:pPr>
              <w:pStyle w:val="Tabletext"/>
              <w:keepNext/>
              <w:rPr>
                <w:b/>
              </w:rPr>
            </w:pPr>
            <w:r w:rsidRPr="00B61251">
              <w:rPr>
                <w:b/>
              </w:rPr>
              <w:t>Pembrolizumab versus PDC</w:t>
            </w:r>
            <w:r w:rsidR="00370A48" w:rsidRPr="00B61251">
              <w:rPr>
                <w:b/>
              </w:rPr>
              <w:t xml:space="preserve"> (2 step indirect comparison)</w:t>
            </w:r>
          </w:p>
        </w:tc>
      </w:tr>
      <w:tr w:rsidR="00DC123B" w:rsidRPr="00B61251" w:rsidTr="00EF4167">
        <w:tc>
          <w:tcPr>
            <w:tcW w:w="564" w:type="pct"/>
            <w:shd w:val="clear" w:color="auto" w:fill="auto"/>
            <w:vAlign w:val="center"/>
          </w:tcPr>
          <w:p w:rsidR="00532A36" w:rsidRPr="00B61251" w:rsidRDefault="00532A36" w:rsidP="0079332B">
            <w:pPr>
              <w:pStyle w:val="Tabletext"/>
              <w:keepNext/>
            </w:pPr>
            <w:r w:rsidRPr="00B61251">
              <w:t>Keynote-024</w:t>
            </w:r>
          </w:p>
        </w:tc>
        <w:tc>
          <w:tcPr>
            <w:tcW w:w="457" w:type="pct"/>
            <w:shd w:val="clear" w:color="auto" w:fill="auto"/>
            <w:vAlign w:val="center"/>
          </w:tcPr>
          <w:p w:rsidR="00532A36" w:rsidRPr="00B61251" w:rsidRDefault="00532A36" w:rsidP="0079332B">
            <w:pPr>
              <w:pStyle w:val="Tabletext"/>
              <w:keepNext/>
              <w:jc w:val="center"/>
            </w:pPr>
            <w:r w:rsidRPr="00B61251">
              <w:t>305</w:t>
            </w:r>
          </w:p>
        </w:tc>
        <w:tc>
          <w:tcPr>
            <w:tcW w:w="767" w:type="pct"/>
            <w:shd w:val="clear" w:color="auto" w:fill="auto"/>
            <w:vAlign w:val="center"/>
          </w:tcPr>
          <w:p w:rsidR="00532A36" w:rsidRPr="00B61251" w:rsidRDefault="00AD03C0" w:rsidP="0079332B">
            <w:pPr>
              <w:pStyle w:val="Tabletext"/>
              <w:keepNext/>
              <w:jc w:val="center"/>
            </w:pPr>
            <w:r w:rsidRPr="00B61251">
              <w:t>R, OL</w:t>
            </w:r>
          </w:p>
          <w:p w:rsidR="00290BE4" w:rsidRPr="00B61251" w:rsidRDefault="00290BE4" w:rsidP="0079332B">
            <w:pPr>
              <w:pStyle w:val="Tabletext"/>
              <w:keepNext/>
              <w:jc w:val="center"/>
            </w:pPr>
            <w:r w:rsidRPr="00B61251">
              <w:t>Median 11.2 mths</w:t>
            </w:r>
          </w:p>
        </w:tc>
        <w:tc>
          <w:tcPr>
            <w:tcW w:w="893" w:type="pct"/>
            <w:shd w:val="clear" w:color="auto" w:fill="auto"/>
            <w:vAlign w:val="center"/>
          </w:tcPr>
          <w:p w:rsidR="001426EE" w:rsidRPr="00B61251" w:rsidRDefault="001426EE" w:rsidP="0079332B">
            <w:pPr>
              <w:pStyle w:val="Tabletext"/>
              <w:keepNext/>
              <w:jc w:val="center"/>
            </w:pPr>
            <w:r w:rsidRPr="00B61251">
              <w:t>OS: low</w:t>
            </w:r>
          </w:p>
          <w:p w:rsidR="00532A36" w:rsidRPr="00B61251" w:rsidRDefault="001426EE" w:rsidP="0079332B">
            <w:pPr>
              <w:pStyle w:val="Tabletext"/>
              <w:keepNext/>
              <w:jc w:val="center"/>
            </w:pPr>
            <w:r w:rsidRPr="00B61251">
              <w:t>PFS: unclear</w:t>
            </w:r>
          </w:p>
        </w:tc>
        <w:tc>
          <w:tcPr>
            <w:tcW w:w="1003" w:type="pct"/>
            <w:shd w:val="clear" w:color="auto" w:fill="auto"/>
            <w:vAlign w:val="center"/>
          </w:tcPr>
          <w:p w:rsidR="00532A36" w:rsidRPr="00B61251" w:rsidRDefault="00AD03C0" w:rsidP="0079332B">
            <w:pPr>
              <w:pStyle w:val="Tabletext"/>
              <w:keepNext/>
              <w:jc w:val="center"/>
            </w:pPr>
            <w:r w:rsidRPr="00B61251">
              <w:t xml:space="preserve">Untreated (first-line) </w:t>
            </w:r>
            <w:r w:rsidR="00443366" w:rsidRPr="00B61251">
              <w:t xml:space="preserve">NSQ or squamous </w:t>
            </w:r>
            <w:r w:rsidRPr="00B61251">
              <w:t>NSCLC, EGFR and ALK negative and TPS ≥50%</w:t>
            </w:r>
          </w:p>
        </w:tc>
        <w:tc>
          <w:tcPr>
            <w:tcW w:w="543" w:type="pct"/>
            <w:shd w:val="clear" w:color="auto" w:fill="auto"/>
            <w:vAlign w:val="center"/>
          </w:tcPr>
          <w:p w:rsidR="00532A36" w:rsidRPr="00B61251" w:rsidRDefault="00443366" w:rsidP="0079332B">
            <w:pPr>
              <w:pStyle w:val="Tabletext"/>
              <w:keepNext/>
              <w:jc w:val="center"/>
            </w:pPr>
            <w:r w:rsidRPr="00B61251">
              <w:t>OS, PFS</w:t>
            </w:r>
          </w:p>
        </w:tc>
        <w:tc>
          <w:tcPr>
            <w:tcW w:w="773" w:type="pct"/>
            <w:shd w:val="clear" w:color="auto" w:fill="auto"/>
            <w:vAlign w:val="center"/>
          </w:tcPr>
          <w:p w:rsidR="00532A36" w:rsidRPr="00B61251" w:rsidRDefault="00443366" w:rsidP="0079332B">
            <w:pPr>
              <w:pStyle w:val="Tabletext"/>
              <w:keepNext/>
              <w:jc w:val="center"/>
            </w:pPr>
            <w:r w:rsidRPr="00B61251">
              <w:t>Not used</w:t>
            </w:r>
          </w:p>
        </w:tc>
      </w:tr>
    </w:tbl>
    <w:p w:rsidR="00E41A4C" w:rsidRPr="00B61251" w:rsidRDefault="00892D1C" w:rsidP="0079332B">
      <w:pPr>
        <w:pStyle w:val="TableFooter"/>
        <w:widowControl/>
      </w:pPr>
      <w:r w:rsidRPr="00B61251">
        <w:t xml:space="preserve">ALK = anaplastic lymphoma kinase; CP = carboplatin/paclitaxel; </w:t>
      </w:r>
      <w:r w:rsidR="00E41A4C" w:rsidRPr="00B61251">
        <w:t>DB</w:t>
      </w:r>
      <w:r w:rsidR="00726AD7" w:rsidRPr="00B61251">
        <w:t xml:space="preserve"> </w:t>
      </w:r>
      <w:r w:rsidR="00E41A4C" w:rsidRPr="00B61251">
        <w:t>=</w:t>
      </w:r>
      <w:r w:rsidR="00726AD7" w:rsidRPr="00B61251">
        <w:t xml:space="preserve"> </w:t>
      </w:r>
      <w:r w:rsidR="00E41A4C" w:rsidRPr="00B61251">
        <w:t xml:space="preserve">double blind; </w:t>
      </w:r>
      <w:r w:rsidRPr="00B61251">
        <w:t xml:space="preserve">EGFR = epidermal growth factor receptor; ITT = intention to treat; </w:t>
      </w:r>
      <w:r w:rsidR="004A070E" w:rsidRPr="00B61251">
        <w:t xml:space="preserve">ITT-WT = intention to treat wild type; </w:t>
      </w:r>
      <w:r w:rsidRPr="00B61251">
        <w:t xml:space="preserve">NSCLC = non-small cell lung cancer; NSQ = non-squamous; </w:t>
      </w:r>
      <w:r w:rsidR="00E41A4C" w:rsidRPr="00B61251">
        <w:t>OL</w:t>
      </w:r>
      <w:r w:rsidR="00726AD7" w:rsidRPr="00B61251">
        <w:t xml:space="preserve"> </w:t>
      </w:r>
      <w:r w:rsidR="00E41A4C" w:rsidRPr="00B61251">
        <w:t>=</w:t>
      </w:r>
      <w:r w:rsidR="00726AD7" w:rsidRPr="00B61251">
        <w:t xml:space="preserve"> </w:t>
      </w:r>
      <w:r w:rsidR="00E41A4C" w:rsidRPr="00B61251">
        <w:t>open label; OS</w:t>
      </w:r>
      <w:r w:rsidR="00726AD7" w:rsidRPr="00B61251">
        <w:t xml:space="preserve"> </w:t>
      </w:r>
      <w:r w:rsidR="00E41A4C" w:rsidRPr="00B61251">
        <w:t>=</w:t>
      </w:r>
      <w:r w:rsidR="00726AD7" w:rsidRPr="00B61251">
        <w:t xml:space="preserve"> </w:t>
      </w:r>
      <w:r w:rsidR="00E41A4C" w:rsidRPr="00B61251">
        <w:t>overall survival;</w:t>
      </w:r>
      <w:r w:rsidRPr="00B61251">
        <w:t xml:space="preserve"> PDC = platinum doublet chemotherapy;</w:t>
      </w:r>
      <w:r w:rsidR="00E41A4C" w:rsidRPr="00B61251">
        <w:t xml:space="preserve"> PFS=progression-free survival; R=randomised</w:t>
      </w:r>
      <w:r w:rsidRPr="00B61251">
        <w:t>; TPS = tumour proportion score</w:t>
      </w:r>
      <w:r w:rsidR="00E41A4C" w:rsidRPr="00B61251">
        <w:t>.</w:t>
      </w:r>
    </w:p>
    <w:p w:rsidR="00311308" w:rsidRPr="00B61251" w:rsidRDefault="00311308" w:rsidP="0079332B">
      <w:pPr>
        <w:pStyle w:val="TableFooter"/>
        <w:widowControl/>
        <w:ind w:left="142" w:hanging="142"/>
      </w:pPr>
      <w:r w:rsidRPr="00B61251">
        <w:rPr>
          <w:vertAlign w:val="superscript"/>
        </w:rPr>
        <w:t>a</w:t>
      </w:r>
      <w:r w:rsidRPr="00B61251">
        <w:t xml:space="preserve"> ITT population in the </w:t>
      </w:r>
      <w:r w:rsidR="00026509" w:rsidRPr="00B61251">
        <w:t>atezolizumab + bevacizumab</w:t>
      </w:r>
      <w:r w:rsidRPr="00B61251">
        <w:t xml:space="preserve"> + CP and the bevacizumab + CP arms. An additional 402 patients were included in the atezolizumab + CP arm. </w:t>
      </w:r>
    </w:p>
    <w:p w:rsidR="00331B7A" w:rsidRPr="00B61251" w:rsidRDefault="00331B7A" w:rsidP="0079332B">
      <w:pPr>
        <w:pStyle w:val="TableFooter"/>
        <w:widowControl/>
        <w:ind w:left="142" w:hanging="142"/>
      </w:pPr>
      <w:r w:rsidRPr="00B61251">
        <w:rPr>
          <w:vertAlign w:val="superscript"/>
        </w:rPr>
        <w:t>b</w:t>
      </w:r>
      <w:r w:rsidRPr="00B61251">
        <w:t xml:space="preserve"> A protocol amendment in version 6 of the protocol (March 2017) changed the primary analysis population from the ITT population to the ITT-WT population, which excluded patients </w:t>
      </w:r>
      <w:r w:rsidR="00370A48" w:rsidRPr="00B61251">
        <w:t xml:space="preserve">in both arms </w:t>
      </w:r>
      <w:r w:rsidRPr="00B61251">
        <w:t>with known sensitising EGFR mutation or ALK translocations</w:t>
      </w:r>
      <w:r w:rsidR="00370A48" w:rsidRPr="00B61251">
        <w:t xml:space="preserve"> and potentially introduced imbalances between treatment arms in unmeasured confounders</w:t>
      </w:r>
      <w:r w:rsidR="001A4C82" w:rsidRPr="00B61251">
        <w:t>.</w:t>
      </w:r>
    </w:p>
    <w:p w:rsidR="00C050B6" w:rsidRPr="00B61251" w:rsidRDefault="00C050B6" w:rsidP="0079332B">
      <w:pPr>
        <w:pStyle w:val="TableFooter"/>
        <w:widowControl/>
        <w:ind w:left="142" w:hanging="142"/>
      </w:pPr>
      <w:r w:rsidRPr="00B61251">
        <w:rPr>
          <w:vertAlign w:val="superscript"/>
        </w:rPr>
        <w:t>c</w:t>
      </w:r>
      <w:r w:rsidRPr="00B61251">
        <w:t xml:space="preserve"> The ITT-WT analysis population was used in the 2-step indirect comparison of atezolizumab + bevacizumab + CP versus pembrolizumab monotherapy.</w:t>
      </w:r>
    </w:p>
    <w:p w:rsidR="001426EE" w:rsidRPr="00B61251" w:rsidRDefault="00C050B6" w:rsidP="0079332B">
      <w:pPr>
        <w:pStyle w:val="TableFooter"/>
        <w:widowControl/>
        <w:ind w:left="142" w:hanging="142"/>
      </w:pPr>
      <w:r w:rsidRPr="00B61251">
        <w:rPr>
          <w:vertAlign w:val="superscript"/>
        </w:rPr>
        <w:t>d</w:t>
      </w:r>
      <w:r w:rsidR="00816F1D" w:rsidRPr="00B61251">
        <w:t> </w:t>
      </w:r>
      <w:r w:rsidR="001426EE" w:rsidRPr="00B61251">
        <w:t>PFS was calculated after censoring for non-protocol therapy. The extent of censoring was not reported.</w:t>
      </w:r>
    </w:p>
    <w:p w:rsidR="00816F1D" w:rsidRPr="00B61251" w:rsidRDefault="00C050B6" w:rsidP="0079332B">
      <w:pPr>
        <w:pStyle w:val="TableFooter"/>
        <w:widowControl/>
        <w:ind w:left="142" w:hanging="142"/>
      </w:pPr>
      <w:r w:rsidRPr="00B61251">
        <w:rPr>
          <w:vertAlign w:val="superscript"/>
        </w:rPr>
        <w:t>e</w:t>
      </w:r>
      <w:r w:rsidR="001426EE" w:rsidRPr="00B61251">
        <w:rPr>
          <w:vertAlign w:val="superscript"/>
        </w:rPr>
        <w:t xml:space="preserve"> </w:t>
      </w:r>
      <w:r w:rsidR="00816F1D" w:rsidRPr="00B61251">
        <w:t>While Reck 2009 was double-blind, in the original protocol, patients who completed six cycles of PDC had the option to of unblinding and patients assigned to bevacizumab were permitted to continue with single-agent bevacizumab. A protocol amendment eliminated the optional unblinding but the proportion of patients whose treatment assignment was unblinded during the treatment phase was not reported.</w:t>
      </w:r>
    </w:p>
    <w:p w:rsidR="00E41A4C" w:rsidRPr="00B61251" w:rsidRDefault="00E41A4C" w:rsidP="0079332B">
      <w:pPr>
        <w:pStyle w:val="TableFooter"/>
        <w:widowControl/>
        <w:rPr>
          <w:sz w:val="20"/>
        </w:rPr>
      </w:pPr>
      <w:r w:rsidRPr="00B61251">
        <w:t xml:space="preserve">Source: </w:t>
      </w:r>
      <w:r w:rsidR="004A070E" w:rsidRPr="00B61251">
        <w:t>Compiled during the evaluation, based on Table 2.3.2, pp91-93, Table 2.3.3, p95 and Table 2.3.4, p97 of the submission; Niho 2012, Zinner 2015; Galetta 2015; Reck 2009; Reck 2016.</w:t>
      </w:r>
    </w:p>
    <w:p w:rsidR="004A070E" w:rsidRPr="00B61251" w:rsidRDefault="004A070E" w:rsidP="00E71B52">
      <w:pPr>
        <w:pStyle w:val="Caption"/>
        <w:widowControl/>
        <w:spacing w:before="120" w:after="120"/>
        <w:rPr>
          <w:rStyle w:val="CommentReference"/>
          <w:b/>
          <w:szCs w:val="18"/>
        </w:rPr>
      </w:pPr>
    </w:p>
    <w:p w:rsidR="00472071" w:rsidRPr="00B61251" w:rsidRDefault="00B250E0" w:rsidP="00E71B52">
      <w:pPr>
        <w:pStyle w:val="ListParagraph"/>
        <w:widowControl/>
        <w:numPr>
          <w:ilvl w:val="1"/>
          <w:numId w:val="1"/>
        </w:numPr>
        <w:spacing w:before="120" w:after="120"/>
      </w:pPr>
      <w:r w:rsidRPr="00B61251">
        <w:t>Given the open-label design of the majority of the trials, the</w:t>
      </w:r>
      <w:r w:rsidR="00E37D20" w:rsidRPr="00B61251">
        <w:t xml:space="preserve"> evaluation considered there</w:t>
      </w:r>
      <w:r w:rsidRPr="00B61251">
        <w:t xml:space="preserve"> was potential for both performance and detection bias, especially for outcomes </w:t>
      </w:r>
      <w:r w:rsidRPr="00B61251">
        <w:lastRenderedPageBreak/>
        <w:t xml:space="preserve">with some degree of subjectivity. However, with the exception of </w:t>
      </w:r>
      <w:r w:rsidR="00370A48" w:rsidRPr="00B61251">
        <w:t>Zinner 2015</w:t>
      </w:r>
      <w:r w:rsidR="00A831F1" w:rsidRPr="00B61251">
        <w:t xml:space="preserve"> and the </w:t>
      </w:r>
      <w:r w:rsidR="00736126" w:rsidRPr="00B61251">
        <w:t xml:space="preserve">intention to treat wild type </w:t>
      </w:r>
      <w:r w:rsidR="006E217B" w:rsidRPr="00B61251">
        <w:t xml:space="preserve">population </w:t>
      </w:r>
      <w:r w:rsidR="00736126" w:rsidRPr="00B61251">
        <w:t>(</w:t>
      </w:r>
      <w:r w:rsidRPr="00B61251">
        <w:t>ITT-WT</w:t>
      </w:r>
      <w:r w:rsidR="00736126" w:rsidRPr="00B61251">
        <w:t>)</w:t>
      </w:r>
      <w:r w:rsidRPr="00B61251">
        <w:t xml:space="preserve"> analysis in </w:t>
      </w:r>
      <w:r w:rsidR="00A831F1" w:rsidRPr="00B61251">
        <w:t>IMpower150</w:t>
      </w:r>
      <w:r w:rsidR="00736126" w:rsidRPr="00B61251">
        <w:rPr>
          <w:rStyle w:val="FootnoteReference"/>
        </w:rPr>
        <w:footnoteReference w:id="2"/>
      </w:r>
      <w:r w:rsidRPr="00B61251">
        <w:t xml:space="preserve">, the risk of bias </w:t>
      </w:r>
      <w:r w:rsidR="00A831F1" w:rsidRPr="00B61251">
        <w:t xml:space="preserve">was relatively low for </w:t>
      </w:r>
      <w:r w:rsidRPr="00B61251">
        <w:t xml:space="preserve">the most patient-relevant outcome of </w:t>
      </w:r>
      <w:r w:rsidR="000B1F0D" w:rsidRPr="00B61251">
        <w:t>overall survival (</w:t>
      </w:r>
      <w:r w:rsidRPr="00B61251">
        <w:t>OS</w:t>
      </w:r>
      <w:r w:rsidR="000B1F0D" w:rsidRPr="00B61251">
        <w:t>)</w:t>
      </w:r>
      <w:r w:rsidRPr="00B61251">
        <w:t xml:space="preserve"> </w:t>
      </w:r>
      <w:r w:rsidR="00A831F1" w:rsidRPr="00B61251">
        <w:t>in each trial</w:t>
      </w:r>
      <w:r w:rsidR="0068672B">
        <w:t>.</w:t>
      </w:r>
    </w:p>
    <w:p w:rsidR="00472071" w:rsidRPr="00B61251" w:rsidRDefault="00DB7E6B" w:rsidP="00E71B52">
      <w:pPr>
        <w:pStyle w:val="ListParagraph"/>
        <w:widowControl/>
        <w:numPr>
          <w:ilvl w:val="1"/>
          <w:numId w:val="1"/>
        </w:numPr>
        <w:spacing w:before="120" w:after="120"/>
      </w:pPr>
      <w:r w:rsidRPr="00B61251">
        <w:t xml:space="preserve">None of the patients in the </w:t>
      </w:r>
      <w:r w:rsidR="00472071" w:rsidRPr="00B61251">
        <w:t>trials compa</w:t>
      </w:r>
      <w:r w:rsidRPr="00B61251">
        <w:t>ring bevacizumab + PDC with PDC received immunotherapy following progression. In addition,</w:t>
      </w:r>
      <w:r w:rsidR="00472071" w:rsidRPr="00B61251">
        <w:t xml:space="preserve"> only Zinner 2015 and Galetta 2015 allowed maintenance therapy with pemetrexed following completion of PDC.</w:t>
      </w:r>
    </w:p>
    <w:p w:rsidR="00B60939" w:rsidRPr="00B61251" w:rsidRDefault="00B60939" w:rsidP="00E71B52">
      <w:pPr>
        <w:pStyle w:val="Heading2"/>
        <w:widowControl/>
        <w:spacing w:before="120"/>
      </w:pPr>
      <w:bookmarkStart w:id="11" w:name="_Toc536010753"/>
      <w:r w:rsidRPr="00B61251">
        <w:t>Comparative effectiveness</w:t>
      </w:r>
      <w:bookmarkEnd w:id="11"/>
    </w:p>
    <w:p w:rsidR="00B60939" w:rsidRPr="003E5902" w:rsidRDefault="00F5560F" w:rsidP="00E71B52">
      <w:pPr>
        <w:widowControl/>
        <w:spacing w:before="120" w:after="120"/>
        <w:rPr>
          <w:u w:val="single"/>
        </w:rPr>
      </w:pPr>
      <w:r w:rsidRPr="00B61251">
        <w:rPr>
          <w:u w:val="single"/>
        </w:rPr>
        <w:t>Direct comparison: atezolizumab + bevacizumab + CP vs bevacizumab + CP</w:t>
      </w:r>
    </w:p>
    <w:p w:rsidR="000756C6" w:rsidRPr="00B61251" w:rsidRDefault="000756C6" w:rsidP="00E71B52">
      <w:pPr>
        <w:pStyle w:val="ListParagraph"/>
        <w:widowControl/>
        <w:numPr>
          <w:ilvl w:val="1"/>
          <w:numId w:val="1"/>
        </w:numPr>
        <w:spacing w:before="120" w:after="120"/>
      </w:pPr>
      <w:r w:rsidRPr="00B61251">
        <w:rPr>
          <w:color w:val="000000" w:themeColor="text1"/>
        </w:rPr>
        <w:t xml:space="preserve">The Kaplan-Meier curves of OS and progression free survival (PFS) for the </w:t>
      </w:r>
      <w:r w:rsidR="006B61C1" w:rsidRPr="00B61251">
        <w:rPr>
          <w:color w:val="000000" w:themeColor="text1"/>
        </w:rPr>
        <w:t>intention to treat (</w:t>
      </w:r>
      <w:r w:rsidRPr="00B61251">
        <w:rPr>
          <w:color w:val="000000" w:themeColor="text1"/>
        </w:rPr>
        <w:t>ITT</w:t>
      </w:r>
      <w:r w:rsidR="006B61C1" w:rsidRPr="00B61251">
        <w:rPr>
          <w:color w:val="000000" w:themeColor="text1"/>
        </w:rPr>
        <w:t>)</w:t>
      </w:r>
      <w:r w:rsidRPr="00B61251">
        <w:rPr>
          <w:color w:val="000000" w:themeColor="text1"/>
        </w:rPr>
        <w:t xml:space="preserve"> population in IMpower150 are presented in </w:t>
      </w:r>
      <w:r w:rsidR="00744BB1" w:rsidRPr="00B61251">
        <w:t>Figure 2</w:t>
      </w:r>
      <w:r w:rsidRPr="00B61251">
        <w:rPr>
          <w:color w:val="000000" w:themeColor="text1"/>
        </w:rPr>
        <w:t xml:space="preserve"> and </w:t>
      </w:r>
      <w:r w:rsidR="00744BB1" w:rsidRPr="00B61251">
        <w:t>Figure 3</w:t>
      </w:r>
      <w:r w:rsidRPr="00B61251">
        <w:rPr>
          <w:color w:val="000000" w:themeColor="text1"/>
        </w:rPr>
        <w:t>, respectively.</w:t>
      </w:r>
    </w:p>
    <w:p w:rsidR="000756C6" w:rsidRPr="00B61251" w:rsidRDefault="000756C6" w:rsidP="0079332B">
      <w:pPr>
        <w:pStyle w:val="Caption"/>
        <w:keepNext/>
        <w:widowControl/>
        <w:rPr>
          <w:color w:val="000000" w:themeColor="text1"/>
        </w:rPr>
      </w:pPr>
      <w:bookmarkStart w:id="12" w:name="_Ref532892723"/>
      <w:r w:rsidRPr="00B61251">
        <w:t xml:space="preserve">Figure </w:t>
      </w:r>
      <w:r w:rsidR="00744BB1" w:rsidRPr="00B61251">
        <w:t>2</w:t>
      </w:r>
      <w:bookmarkEnd w:id="12"/>
      <w:r w:rsidRPr="00B61251">
        <w:t>: Kaplan-Meier plot of overall survival, IMpower150 (ITT population)</w:t>
      </w:r>
    </w:p>
    <w:p w:rsidR="000756C6" w:rsidRPr="00B61251" w:rsidRDefault="000756C6" w:rsidP="0079332B">
      <w:pPr>
        <w:widowControl/>
      </w:pPr>
      <w:r w:rsidRPr="00B61251">
        <w:rPr>
          <w:noProof/>
          <w:lang w:eastAsia="en-AU"/>
        </w:rPr>
        <w:drawing>
          <wp:inline distT="0" distB="0" distL="0" distR="0" wp14:anchorId="1EF330C9" wp14:editId="72A35C6B">
            <wp:extent cx="5732145" cy="3228975"/>
            <wp:effectExtent l="0" t="0" r="1905" b="9525"/>
            <wp:docPr id="4" name="Picture 4" title="Kaplan-Meier plot of overall survival, IMpower150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3228975"/>
                    </a:xfrm>
                    <a:prstGeom prst="rect">
                      <a:avLst/>
                    </a:prstGeom>
                  </pic:spPr>
                </pic:pic>
              </a:graphicData>
            </a:graphic>
          </wp:inline>
        </w:drawing>
      </w:r>
    </w:p>
    <w:p w:rsidR="000756C6" w:rsidRPr="00B61251" w:rsidRDefault="000756C6" w:rsidP="0079332B">
      <w:pPr>
        <w:pStyle w:val="TableFooter"/>
        <w:widowControl/>
      </w:pPr>
      <w:r w:rsidRPr="00B61251">
        <w:t xml:space="preserve">Atezo = atezolizumab; Bev = bevacizumab; CI = confidence interval; CP = carboplatin + paclitaxel; ITT = intention to treat </w:t>
      </w:r>
    </w:p>
    <w:p w:rsidR="000756C6" w:rsidRPr="00B61251" w:rsidRDefault="000756C6" w:rsidP="0079332B">
      <w:pPr>
        <w:pStyle w:val="TableFooter"/>
        <w:widowControl/>
      </w:pPr>
      <w:r w:rsidRPr="00B61251">
        <w:t>Source: Figure 8, p85 of the IMpower150 Updated CSR (May 2018).</w:t>
      </w:r>
    </w:p>
    <w:p w:rsidR="000756C6" w:rsidRPr="00B61251" w:rsidRDefault="000756C6" w:rsidP="0079332B">
      <w:pPr>
        <w:widowControl/>
        <w:rPr>
          <w:color w:val="000000" w:themeColor="text1"/>
        </w:rPr>
      </w:pPr>
    </w:p>
    <w:p w:rsidR="000756C6" w:rsidRPr="00B61251" w:rsidRDefault="000756C6" w:rsidP="0079332B">
      <w:pPr>
        <w:pStyle w:val="Caption"/>
        <w:keepNext/>
        <w:widowControl/>
        <w:rPr>
          <w:color w:val="000000" w:themeColor="text1"/>
        </w:rPr>
      </w:pPr>
      <w:bookmarkStart w:id="13" w:name="_Ref532892725"/>
      <w:r w:rsidRPr="00B61251">
        <w:lastRenderedPageBreak/>
        <w:t xml:space="preserve">Figure </w:t>
      </w:r>
      <w:r w:rsidR="00744BB1" w:rsidRPr="00B61251">
        <w:t>3</w:t>
      </w:r>
      <w:bookmarkEnd w:id="13"/>
      <w:r w:rsidRPr="00B61251">
        <w:t>: Kaplan-Meier plot of investigator assessed progression free survival, IMpower150 (ITT population)</w:t>
      </w:r>
    </w:p>
    <w:p w:rsidR="000756C6" w:rsidRPr="00B61251" w:rsidRDefault="000756C6" w:rsidP="0079332B">
      <w:pPr>
        <w:widowControl/>
      </w:pPr>
      <w:r w:rsidRPr="00B61251">
        <w:rPr>
          <w:noProof/>
          <w:lang w:eastAsia="en-AU"/>
        </w:rPr>
        <w:drawing>
          <wp:inline distT="0" distB="0" distL="0" distR="0" wp14:anchorId="001D6711" wp14:editId="0307A3C3">
            <wp:extent cx="5732145" cy="3752850"/>
            <wp:effectExtent l="0" t="0" r="1905" b="0"/>
            <wp:docPr id="6" name="Picture 6" title="Kaplan-Meier plot of investigator assessed progression free survival, IMpower150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3752850"/>
                    </a:xfrm>
                    <a:prstGeom prst="rect">
                      <a:avLst/>
                    </a:prstGeom>
                  </pic:spPr>
                </pic:pic>
              </a:graphicData>
            </a:graphic>
          </wp:inline>
        </w:drawing>
      </w:r>
    </w:p>
    <w:p w:rsidR="000756C6" w:rsidRPr="00B61251" w:rsidRDefault="000756C6" w:rsidP="0079332B">
      <w:pPr>
        <w:pStyle w:val="TableFooter"/>
        <w:widowControl/>
      </w:pPr>
      <w:r w:rsidRPr="00B61251">
        <w:t xml:space="preserve">Atezo = atezolizumab; Bev = bevacizumab; CI = confidence interval; CP = carboplatin + paclitaxel; ITT = intention to treat </w:t>
      </w:r>
    </w:p>
    <w:p w:rsidR="000756C6" w:rsidRPr="00B61251" w:rsidRDefault="000756C6" w:rsidP="0079332B">
      <w:pPr>
        <w:pStyle w:val="TableFooter"/>
        <w:widowControl/>
      </w:pPr>
      <w:r w:rsidRPr="00B61251">
        <w:t>Source: Figure 10, p147 IMpower150 CSR (January 2018)</w:t>
      </w:r>
    </w:p>
    <w:p w:rsidR="000756C6" w:rsidRPr="00B61251" w:rsidRDefault="000756C6" w:rsidP="00E71B52">
      <w:pPr>
        <w:pStyle w:val="ListParagraph"/>
        <w:widowControl/>
        <w:numPr>
          <w:ilvl w:val="1"/>
          <w:numId w:val="1"/>
        </w:numPr>
        <w:spacing w:before="120" w:after="120"/>
      </w:pPr>
      <w:r w:rsidRPr="00B61251">
        <w:t xml:space="preserve">There was a statistically significant improvement in both OS and PFS with atezolizumab + bevacizumab + CP compared with bevacizumab + CP in the ITT population. The observed improvement </w:t>
      </w:r>
      <w:r w:rsidR="0047146F" w:rsidRPr="00B61251">
        <w:t xml:space="preserve">in </w:t>
      </w:r>
      <w:r w:rsidRPr="00B61251">
        <w:t>OS met the American Soc</w:t>
      </w:r>
      <w:r w:rsidR="006B61C1" w:rsidRPr="00B61251">
        <w:t>iety of Clinical Oncology</w:t>
      </w:r>
      <w:r w:rsidRPr="00B61251">
        <w:t xml:space="preserve"> lung cancer working group’s recommended targets for meaningful clinical trial goals for NSQ NSCLC</w:t>
      </w:r>
      <w:r w:rsidRPr="00B61251">
        <w:rPr>
          <w:vertAlign w:val="superscript"/>
        </w:rPr>
        <w:footnoteReference w:id="3"/>
      </w:r>
      <w:r w:rsidRPr="00B61251">
        <w:t>.</w:t>
      </w:r>
      <w:r w:rsidR="00F36FE3" w:rsidRPr="00B61251">
        <w:t xml:space="preserve"> </w:t>
      </w:r>
      <w:r w:rsidR="005F2BC2" w:rsidRPr="00B61251">
        <w:t>The ESC noted that there was</w:t>
      </w:r>
      <w:r w:rsidR="00067EED" w:rsidRPr="00B61251">
        <w:t xml:space="preserve"> negligible</w:t>
      </w:r>
      <w:r w:rsidR="005F2BC2" w:rsidRPr="00B61251">
        <w:t xml:space="preserve"> difference in median OS between atezolizumab + bevacizumab + CP (19.8 months) versus atezolizumab + CP (19.5 months).</w:t>
      </w:r>
    </w:p>
    <w:p w:rsidR="00094668" w:rsidRPr="00B61251" w:rsidRDefault="00234CF8" w:rsidP="00E71B52">
      <w:pPr>
        <w:pStyle w:val="ListParagraph"/>
        <w:widowControl/>
        <w:numPr>
          <w:ilvl w:val="1"/>
          <w:numId w:val="1"/>
        </w:numPr>
        <w:spacing w:before="120" w:after="120"/>
        <w:rPr>
          <w:color w:val="000000" w:themeColor="text1"/>
        </w:rPr>
      </w:pPr>
      <w:r w:rsidRPr="00B61251">
        <w:t>T</w:t>
      </w:r>
      <w:r w:rsidR="00CE7E4D" w:rsidRPr="00B61251">
        <w:t xml:space="preserve">he evaluation and </w:t>
      </w:r>
      <w:r w:rsidR="00517929" w:rsidRPr="00B61251">
        <w:t xml:space="preserve">ESC </w:t>
      </w:r>
      <w:r w:rsidR="00CE7E4D" w:rsidRPr="00B61251">
        <w:t>noted that t</w:t>
      </w:r>
      <w:r w:rsidRPr="00B61251">
        <w:t xml:space="preserve">here was minimal difference in the OS rate between the three treatment arms over the first 8 months of treatment, with separation of the survival curves evident beyond this time point. </w:t>
      </w:r>
      <w:r w:rsidR="00396AB6" w:rsidRPr="00B61251">
        <w:t xml:space="preserve">The ESC considered that this </w:t>
      </w:r>
      <w:r w:rsidRPr="00B61251">
        <w:t>suggest</w:t>
      </w:r>
      <w:r w:rsidR="00396AB6" w:rsidRPr="00B61251">
        <w:t>ed</w:t>
      </w:r>
      <w:r w:rsidRPr="00B61251">
        <w:t xml:space="preserve"> the proportional hazards assumption </w:t>
      </w:r>
      <w:r w:rsidR="00396AB6" w:rsidRPr="00B61251">
        <w:t xml:space="preserve">may </w:t>
      </w:r>
      <w:r w:rsidRPr="00B61251">
        <w:t xml:space="preserve">not </w:t>
      </w:r>
      <w:r w:rsidR="00396AB6" w:rsidRPr="00B61251">
        <w:t xml:space="preserve">be </w:t>
      </w:r>
      <w:r w:rsidRPr="00B61251">
        <w:t xml:space="preserve">valid and, therefore, the estimated </w:t>
      </w:r>
      <w:r w:rsidR="006E217B" w:rsidRPr="00B61251">
        <w:t>hazard ratio</w:t>
      </w:r>
      <w:r w:rsidR="00E41607" w:rsidRPr="00B61251">
        <w:t xml:space="preserve"> (</w:t>
      </w:r>
      <w:r w:rsidRPr="00B61251">
        <w:t>HR</w:t>
      </w:r>
      <w:r w:rsidR="00E41607" w:rsidRPr="00B61251">
        <w:t>)</w:t>
      </w:r>
      <w:r w:rsidRPr="00B61251">
        <w:t xml:space="preserve"> should be interpreted with cautio</w:t>
      </w:r>
      <w:r w:rsidR="0068672B">
        <w:t>n.</w:t>
      </w:r>
    </w:p>
    <w:p w:rsidR="00F1413D" w:rsidRPr="00B61251" w:rsidRDefault="00F1413D" w:rsidP="00E71B52">
      <w:pPr>
        <w:pStyle w:val="ListParagraph"/>
        <w:widowControl/>
        <w:numPr>
          <w:ilvl w:val="1"/>
          <w:numId w:val="1"/>
        </w:numPr>
        <w:spacing w:before="120" w:after="120"/>
      </w:pPr>
      <w:r w:rsidRPr="00B61251">
        <w:t xml:space="preserve">In IMpower150, health related quality of life and treatment burden/tolerability were assessed using the European Organisation for the Research and Treatment of Cancer (EORTC) Quality of Life Questionnaire (QLQ) Core (C30) and lung cancer (LC13) </w:t>
      </w:r>
      <w:r w:rsidRPr="00B61251">
        <w:lastRenderedPageBreak/>
        <w:t>modules. Completion rates were high (&gt;80%) for both the EORTC QLQ-C30 and LC13 across treatment arms throughout the course of treatment. The submission stated that the EuroQol five dimensions 3-level (EQ-5D</w:t>
      </w:r>
      <w:r w:rsidR="00B14341" w:rsidRPr="00B61251">
        <w:t>-3L</w:t>
      </w:r>
      <w:r w:rsidRPr="00B61251">
        <w:t>) questionnaire was also completed. The EQ-5D scores from IMpower150 were used to derive the utility values for the health states in the modelled economic evaluation.</w:t>
      </w:r>
    </w:p>
    <w:p w:rsidR="00F1413D" w:rsidRPr="00B61251" w:rsidRDefault="00F1413D" w:rsidP="00E71B52">
      <w:pPr>
        <w:pStyle w:val="ListParagraph"/>
        <w:widowControl/>
        <w:numPr>
          <w:ilvl w:val="1"/>
          <w:numId w:val="1"/>
        </w:numPr>
        <w:spacing w:before="120" w:after="120"/>
      </w:pPr>
      <w:r w:rsidRPr="00B61251">
        <w:t>The submission stated that the change in scores over time suggested that the EORTC QLQ-C30 global health status and physical function mean scores in each arm returned to baseline scores following the completion of chemotherapy and numerically improved thereafter. It also claimed that patients in all arms, on average, did not report clinically meaningful worsening at any point on treatment for multiple treatment-related symptoms, including fatigue, constipation, diarrhoea, nausea/vomiting, haemoptysis, dysphagia, and sore mouth. A clinically meaningful worsening was initially observed in both patient-reported neuropathy and alopecia in all treatment arms</w:t>
      </w:r>
      <w:r w:rsidR="00D20B8C" w:rsidRPr="00B61251">
        <w:t xml:space="preserve">. This </w:t>
      </w:r>
      <w:r w:rsidRPr="00B61251">
        <w:t xml:space="preserve">attenuated over time. As the questionnaires were completed prior to administration of study drug, </w:t>
      </w:r>
      <w:r w:rsidR="00D20B8C" w:rsidRPr="00B61251">
        <w:t xml:space="preserve">the evaluation considered </w:t>
      </w:r>
      <w:r w:rsidRPr="00B61251">
        <w:t xml:space="preserve">it is likely that they failed to capture the full impact of drug-related adverse events </w:t>
      </w:r>
      <w:r w:rsidR="00067EED" w:rsidRPr="00B61251">
        <w:t xml:space="preserve">(AEs) </w:t>
      </w:r>
      <w:r w:rsidRPr="00B61251">
        <w:t xml:space="preserve">on </w:t>
      </w:r>
      <w:r w:rsidR="00067EED" w:rsidRPr="00B61251">
        <w:t>QoL</w:t>
      </w:r>
      <w:r w:rsidR="00B61251">
        <w:t xml:space="preserve">. </w:t>
      </w:r>
      <w:r w:rsidR="005F2BC2" w:rsidRPr="00B61251">
        <w:t>The PSCR disagreed that drug-related outcomes were not fully captured and quoted FDA guidance recommending that patient reported outcome measures be administered before other assessments or procedures. The ESC considered that the timing of conduct of the EORTC QLQ-C30, prior to administration of treatment</w:t>
      </w:r>
      <w:r w:rsidR="00237F9C" w:rsidRPr="00B61251">
        <w:t xml:space="preserve"> and </w:t>
      </w:r>
      <w:r w:rsidR="005F2BC2" w:rsidRPr="00B61251">
        <w:t xml:space="preserve">reflecting back upon only one week prior </w:t>
      </w:r>
      <w:r w:rsidR="00237F9C" w:rsidRPr="00B61251">
        <w:t xml:space="preserve">to </w:t>
      </w:r>
      <w:r w:rsidR="005F2BC2" w:rsidRPr="00B61251">
        <w:t>the conduct of the questionnaire, missed the first two weeks post administration of each treatment dose of the three week administration schedule, which was a gap in the reporting of outcomes, particularly those evident soon after administration</w:t>
      </w:r>
      <w:r w:rsidR="00B61251">
        <w:t xml:space="preserve">. </w:t>
      </w:r>
      <w:r w:rsidR="00067EED" w:rsidRPr="00B61251">
        <w:t xml:space="preserve">The ESC </w:t>
      </w:r>
      <w:r w:rsidR="00D20B8C" w:rsidRPr="00B61251">
        <w:t xml:space="preserve">considered </w:t>
      </w:r>
      <w:r w:rsidR="00067EED" w:rsidRPr="00B61251">
        <w:t>that QoL data collected in IM</w:t>
      </w:r>
      <w:r w:rsidR="00805B2C" w:rsidRPr="00B61251">
        <w:t>p</w:t>
      </w:r>
      <w:r w:rsidR="00067EED" w:rsidRPr="00B61251">
        <w:t>ower1</w:t>
      </w:r>
      <w:r w:rsidR="00280690" w:rsidRPr="00B61251">
        <w:t>5</w:t>
      </w:r>
      <w:r w:rsidR="00067EED" w:rsidRPr="00B61251">
        <w:t xml:space="preserve">0 would not capture the full impact </w:t>
      </w:r>
      <w:r w:rsidR="00EA5C98" w:rsidRPr="00B61251">
        <w:t xml:space="preserve">of </w:t>
      </w:r>
      <w:r w:rsidR="00067EED" w:rsidRPr="00B61251">
        <w:t xml:space="preserve">drug-related </w:t>
      </w:r>
      <w:r w:rsidR="004D7AA2" w:rsidRPr="00B61251">
        <w:t>AEs</w:t>
      </w:r>
      <w:r w:rsidR="00067EED" w:rsidRPr="00B61251">
        <w:t xml:space="preserve"> of adding atezolizumab and bevacizumab to PDC.</w:t>
      </w:r>
    </w:p>
    <w:p w:rsidR="006E641F" w:rsidRPr="003E5902" w:rsidRDefault="006E641F" w:rsidP="00E71B52">
      <w:pPr>
        <w:widowControl/>
        <w:spacing w:before="120" w:after="120"/>
        <w:rPr>
          <w:u w:val="single"/>
        </w:rPr>
      </w:pPr>
      <w:r w:rsidRPr="003E5902">
        <w:rPr>
          <w:u w:val="single"/>
        </w:rPr>
        <w:t>Indirect treatment comparison</w:t>
      </w:r>
      <w:r w:rsidR="00487D9F" w:rsidRPr="003E5902">
        <w:rPr>
          <w:u w:val="single"/>
        </w:rPr>
        <w:t>: atezolizumab + bevacizumab + PDC vs PDC</w:t>
      </w:r>
    </w:p>
    <w:p w:rsidR="00A831F1" w:rsidRPr="00B61251" w:rsidRDefault="00A831F1" w:rsidP="00E71B52">
      <w:pPr>
        <w:pStyle w:val="ListParagraph"/>
        <w:widowControl/>
        <w:numPr>
          <w:ilvl w:val="1"/>
          <w:numId w:val="1"/>
        </w:numPr>
        <w:spacing w:before="120" w:after="120"/>
      </w:pPr>
      <w:r w:rsidRPr="00B61251">
        <w:t>The results for the indirect comparison of atezolizumab + bevacizumab + CP vs CP, based on the results from IMpower150, Sandler 2006 and Zhou 2015, as presented in the submission, as well as the additional analyses performed during the evaluation, are presented in</w:t>
      </w:r>
      <w:r w:rsidR="00A2184F" w:rsidRPr="00B61251">
        <w:t xml:space="preserve"> </w:t>
      </w:r>
      <w:r w:rsidR="00744BB1" w:rsidRPr="00B61251">
        <w:t>Table 5</w:t>
      </w:r>
      <w:r w:rsidRPr="00B61251">
        <w:t>.</w:t>
      </w:r>
    </w:p>
    <w:p w:rsidR="00A831F1" w:rsidRPr="00B61251" w:rsidRDefault="00A831F1" w:rsidP="0079332B">
      <w:pPr>
        <w:pStyle w:val="Caption"/>
        <w:keepNext/>
        <w:widowControl/>
      </w:pPr>
      <w:bookmarkStart w:id="14" w:name="_Ref534632037"/>
      <w:r w:rsidRPr="00B61251">
        <w:lastRenderedPageBreak/>
        <w:t xml:space="preserve">Table </w:t>
      </w:r>
      <w:r w:rsidR="00744BB1" w:rsidRPr="00B61251">
        <w:t>5</w:t>
      </w:r>
      <w:bookmarkEnd w:id="14"/>
      <w:r w:rsidRPr="00B61251">
        <w:t>: OS and PFS results for the indirect comparison of atezolizumab + bevacizumab + CP vs PDC</w:t>
      </w:r>
    </w:p>
    <w:tbl>
      <w:tblPr>
        <w:tblStyle w:val="TableGrid"/>
        <w:tblW w:w="5000" w:type="pct"/>
        <w:tblLook w:val="0620" w:firstRow="1" w:lastRow="0" w:firstColumn="0" w:lastColumn="0" w:noHBand="1" w:noVBand="1"/>
        <w:tblCaption w:val="OS and PFS results for the indirect comparison of atezolizumab + bevacizumab + CP vs PDC"/>
      </w:tblPr>
      <w:tblGrid>
        <w:gridCol w:w="2545"/>
        <w:gridCol w:w="1859"/>
        <w:gridCol w:w="1861"/>
        <w:gridCol w:w="1861"/>
        <w:gridCol w:w="891"/>
      </w:tblGrid>
      <w:tr w:rsidR="00A831F1" w:rsidRPr="00B61251" w:rsidTr="00FE178E">
        <w:trPr>
          <w:tblHeader/>
        </w:trPr>
        <w:tc>
          <w:tcPr>
            <w:tcW w:w="1411" w:type="pct"/>
            <w:vAlign w:val="center"/>
          </w:tcPr>
          <w:p w:rsidR="00A831F1" w:rsidRPr="00B61251" w:rsidRDefault="00A831F1" w:rsidP="0079332B">
            <w:pPr>
              <w:pStyle w:val="Tabletext"/>
              <w:keepNext/>
              <w:rPr>
                <w:b/>
              </w:rPr>
            </w:pPr>
            <w:r w:rsidRPr="00B61251">
              <w:rPr>
                <w:b/>
              </w:rPr>
              <w:t>Analysis population</w:t>
            </w:r>
          </w:p>
        </w:tc>
        <w:tc>
          <w:tcPr>
            <w:tcW w:w="1031" w:type="pct"/>
            <w:vAlign w:val="center"/>
          </w:tcPr>
          <w:p w:rsidR="00A831F1" w:rsidRPr="00B61251" w:rsidRDefault="00A831F1" w:rsidP="0079332B">
            <w:pPr>
              <w:pStyle w:val="Tabletext"/>
              <w:keepNext/>
              <w:jc w:val="center"/>
              <w:rPr>
                <w:b/>
              </w:rPr>
            </w:pPr>
            <w:r w:rsidRPr="00B61251">
              <w:rPr>
                <w:b/>
              </w:rPr>
              <w:t>ATEZO + BEV + CP vs bevacizumab + CP</w:t>
            </w:r>
          </w:p>
        </w:tc>
        <w:tc>
          <w:tcPr>
            <w:tcW w:w="1032" w:type="pct"/>
            <w:vAlign w:val="center"/>
          </w:tcPr>
          <w:p w:rsidR="00A831F1" w:rsidRPr="00B61251" w:rsidRDefault="00A831F1" w:rsidP="0079332B">
            <w:pPr>
              <w:pStyle w:val="Tabletext"/>
              <w:keepNext/>
              <w:jc w:val="center"/>
              <w:rPr>
                <w:b/>
              </w:rPr>
            </w:pPr>
            <w:r w:rsidRPr="00B61251">
              <w:rPr>
                <w:b/>
              </w:rPr>
              <w:t xml:space="preserve">PDC vs </w:t>
            </w:r>
            <w:r w:rsidRPr="00B61251">
              <w:rPr>
                <w:b/>
              </w:rPr>
              <w:br/>
              <w:t>bevacizumab + PDC</w:t>
            </w:r>
          </w:p>
        </w:tc>
        <w:tc>
          <w:tcPr>
            <w:tcW w:w="1032" w:type="pct"/>
            <w:vAlign w:val="center"/>
          </w:tcPr>
          <w:p w:rsidR="00A831F1" w:rsidRPr="00B61251" w:rsidRDefault="00A831F1" w:rsidP="0079332B">
            <w:pPr>
              <w:pStyle w:val="Tabletext"/>
              <w:keepNext/>
              <w:jc w:val="center"/>
              <w:rPr>
                <w:b/>
              </w:rPr>
            </w:pPr>
            <w:r w:rsidRPr="00B61251">
              <w:rPr>
                <w:b/>
              </w:rPr>
              <w:t xml:space="preserve">Indirect HR </w:t>
            </w:r>
            <w:r w:rsidRPr="00B61251">
              <w:rPr>
                <w:b/>
              </w:rPr>
              <w:br/>
              <w:t>(95% CI)</w:t>
            </w:r>
          </w:p>
        </w:tc>
        <w:tc>
          <w:tcPr>
            <w:tcW w:w="495" w:type="pct"/>
            <w:vAlign w:val="center"/>
          </w:tcPr>
          <w:p w:rsidR="00A831F1" w:rsidRPr="00B61251" w:rsidRDefault="00A831F1" w:rsidP="0079332B">
            <w:pPr>
              <w:pStyle w:val="Tabletext"/>
              <w:keepNext/>
              <w:jc w:val="center"/>
              <w:rPr>
                <w:b/>
              </w:rPr>
            </w:pPr>
            <w:r w:rsidRPr="00B61251">
              <w:rPr>
                <w:b/>
              </w:rPr>
              <w:t>p-value</w:t>
            </w:r>
          </w:p>
        </w:tc>
      </w:tr>
      <w:tr w:rsidR="00A831F1" w:rsidRPr="00B61251" w:rsidTr="00FE178E">
        <w:trPr>
          <w:tblHeader/>
        </w:trPr>
        <w:tc>
          <w:tcPr>
            <w:tcW w:w="5000" w:type="pct"/>
            <w:gridSpan w:val="5"/>
            <w:vAlign w:val="center"/>
          </w:tcPr>
          <w:p w:rsidR="00A831F1" w:rsidRPr="00B61251" w:rsidRDefault="00A831F1" w:rsidP="0079332B">
            <w:pPr>
              <w:pStyle w:val="Tabletext"/>
              <w:keepNext/>
            </w:pPr>
            <w:r w:rsidRPr="00B61251">
              <w:rPr>
                <w:b/>
              </w:rPr>
              <w:t>Overall survival</w:t>
            </w:r>
          </w:p>
        </w:tc>
      </w:tr>
      <w:tr w:rsidR="00A831F1" w:rsidRPr="00B61251" w:rsidTr="00FE178E">
        <w:tc>
          <w:tcPr>
            <w:tcW w:w="1411" w:type="pct"/>
            <w:vAlign w:val="center"/>
          </w:tcPr>
          <w:p w:rsidR="00A831F1" w:rsidRPr="00B61251" w:rsidRDefault="00A831F1" w:rsidP="0079332B">
            <w:pPr>
              <w:pStyle w:val="Tabletext"/>
              <w:keepNext/>
              <w:rPr>
                <w:vertAlign w:val="superscript"/>
              </w:rPr>
            </w:pPr>
            <w:r w:rsidRPr="00B61251">
              <w:t>Submission analysis</w:t>
            </w:r>
            <w:r w:rsidR="00D10BB4" w:rsidRPr="00B61251">
              <w:rPr>
                <w:vertAlign w:val="superscript"/>
              </w:rPr>
              <w:t>a</w:t>
            </w:r>
          </w:p>
        </w:tc>
        <w:tc>
          <w:tcPr>
            <w:tcW w:w="1031" w:type="pct"/>
            <w:vAlign w:val="center"/>
          </w:tcPr>
          <w:p w:rsidR="00A831F1" w:rsidRPr="00B61251" w:rsidRDefault="00A831F1" w:rsidP="0079332B">
            <w:pPr>
              <w:pStyle w:val="Tabletext"/>
              <w:keepNext/>
              <w:jc w:val="center"/>
            </w:pPr>
            <w:r w:rsidRPr="00B61251">
              <w:t>0.76 (0.63, 0.93)</w:t>
            </w:r>
          </w:p>
        </w:tc>
        <w:tc>
          <w:tcPr>
            <w:tcW w:w="1032" w:type="pct"/>
            <w:vAlign w:val="center"/>
          </w:tcPr>
          <w:p w:rsidR="00A831F1" w:rsidRPr="00263693" w:rsidRDefault="00A831F1" w:rsidP="0079332B">
            <w:pPr>
              <w:pStyle w:val="Tabletext"/>
              <w:keepNext/>
              <w:jc w:val="center"/>
            </w:pPr>
            <w:r w:rsidRPr="00263693">
              <w:t>1.31 (1.13, 1.50)</w:t>
            </w:r>
            <w:r w:rsidRPr="00263693">
              <w:rPr>
                <w:vertAlign w:val="superscript"/>
              </w:rPr>
              <w:t>a</w:t>
            </w:r>
          </w:p>
        </w:tc>
        <w:tc>
          <w:tcPr>
            <w:tcW w:w="1032" w:type="pct"/>
            <w:vAlign w:val="center"/>
          </w:tcPr>
          <w:p w:rsidR="00A831F1" w:rsidRPr="00263693" w:rsidRDefault="001B5E4B" w:rsidP="0079332B">
            <w:pPr>
              <w:pStyle w:val="Tabletext"/>
              <w:keepNext/>
              <w:jc w:val="center"/>
              <w:rPr>
                <w:b/>
              </w:rPr>
            </w:pPr>
            <w:r w:rsidRPr="00263693">
              <w:rPr>
                <w:b/>
              </w:rPr>
              <w:t>0.58 (0.46, 0.74)</w:t>
            </w:r>
          </w:p>
        </w:tc>
        <w:tc>
          <w:tcPr>
            <w:tcW w:w="495" w:type="pct"/>
            <w:vAlign w:val="center"/>
          </w:tcPr>
          <w:p w:rsidR="00A831F1" w:rsidRPr="00B61251" w:rsidRDefault="00A831F1" w:rsidP="0079332B">
            <w:pPr>
              <w:pStyle w:val="Tabletext"/>
              <w:keepNext/>
              <w:jc w:val="center"/>
            </w:pPr>
            <w:r w:rsidRPr="00B61251">
              <w:t>0.000</w:t>
            </w:r>
          </w:p>
        </w:tc>
      </w:tr>
      <w:tr w:rsidR="00A831F1" w:rsidRPr="00B61251" w:rsidTr="00FE178E">
        <w:tc>
          <w:tcPr>
            <w:tcW w:w="1411" w:type="pct"/>
            <w:vAlign w:val="center"/>
          </w:tcPr>
          <w:p w:rsidR="00A831F1" w:rsidRPr="00B61251" w:rsidRDefault="00A831F1" w:rsidP="0079332B">
            <w:pPr>
              <w:pStyle w:val="Tabletext"/>
              <w:keepNext/>
              <w:rPr>
                <w:vertAlign w:val="superscript"/>
              </w:rPr>
            </w:pPr>
            <w:r w:rsidRPr="00B61251">
              <w:t>All 6 BEV + PDC vs PDC trials</w:t>
            </w:r>
            <w:r w:rsidR="00D10BB4" w:rsidRPr="00B61251">
              <w:rPr>
                <w:vertAlign w:val="superscript"/>
              </w:rPr>
              <w:t>b</w:t>
            </w:r>
          </w:p>
        </w:tc>
        <w:tc>
          <w:tcPr>
            <w:tcW w:w="1031" w:type="pct"/>
            <w:vAlign w:val="center"/>
          </w:tcPr>
          <w:p w:rsidR="00A831F1" w:rsidRPr="00B61251" w:rsidRDefault="00A831F1" w:rsidP="0079332B">
            <w:pPr>
              <w:pStyle w:val="Tabletext"/>
              <w:keepNext/>
              <w:jc w:val="center"/>
            </w:pPr>
            <w:r w:rsidRPr="00B61251">
              <w:t>0.76 (0.63, 0.93)</w:t>
            </w:r>
          </w:p>
        </w:tc>
        <w:tc>
          <w:tcPr>
            <w:tcW w:w="1032" w:type="pct"/>
            <w:vAlign w:val="center"/>
          </w:tcPr>
          <w:p w:rsidR="00A831F1" w:rsidRPr="00263693" w:rsidRDefault="00A831F1" w:rsidP="0079332B">
            <w:pPr>
              <w:pStyle w:val="Tabletext"/>
              <w:keepNext/>
              <w:jc w:val="center"/>
              <w:rPr>
                <w:vertAlign w:val="superscript"/>
              </w:rPr>
            </w:pPr>
            <w:r w:rsidRPr="00263693">
              <w:t>1.10 (0.96, 1.25)</w:t>
            </w:r>
            <w:r w:rsidRPr="00263693">
              <w:rPr>
                <w:vertAlign w:val="superscript"/>
              </w:rPr>
              <w:t>b</w:t>
            </w:r>
          </w:p>
        </w:tc>
        <w:tc>
          <w:tcPr>
            <w:tcW w:w="1032" w:type="pct"/>
            <w:vAlign w:val="center"/>
          </w:tcPr>
          <w:p w:rsidR="00A831F1" w:rsidRPr="00263693" w:rsidRDefault="00A831F1" w:rsidP="0079332B">
            <w:pPr>
              <w:pStyle w:val="Tabletext"/>
              <w:keepNext/>
              <w:jc w:val="center"/>
              <w:rPr>
                <w:b/>
              </w:rPr>
            </w:pPr>
            <w:r w:rsidRPr="00263693">
              <w:rPr>
                <w:b/>
              </w:rPr>
              <w:t>0.69 (0.54, 0.87)</w:t>
            </w:r>
          </w:p>
        </w:tc>
        <w:tc>
          <w:tcPr>
            <w:tcW w:w="495" w:type="pct"/>
            <w:vAlign w:val="center"/>
          </w:tcPr>
          <w:p w:rsidR="00A831F1" w:rsidRPr="00B61251" w:rsidRDefault="00A831F1" w:rsidP="0079332B">
            <w:pPr>
              <w:pStyle w:val="Tabletext"/>
              <w:keepNext/>
              <w:jc w:val="center"/>
            </w:pPr>
            <w:r w:rsidRPr="00B61251">
              <w:t>0.002</w:t>
            </w:r>
          </w:p>
        </w:tc>
      </w:tr>
      <w:tr w:rsidR="00A831F1" w:rsidRPr="00B61251" w:rsidTr="00FE178E">
        <w:tc>
          <w:tcPr>
            <w:tcW w:w="1411" w:type="pct"/>
            <w:vAlign w:val="center"/>
          </w:tcPr>
          <w:p w:rsidR="00A831F1" w:rsidRPr="00B61251" w:rsidRDefault="00A831F1" w:rsidP="0079332B">
            <w:pPr>
              <w:pStyle w:val="Tabletext"/>
              <w:keepNext/>
              <w:rPr>
                <w:vertAlign w:val="superscript"/>
              </w:rPr>
            </w:pPr>
            <w:r w:rsidRPr="00B61251">
              <w:t>Excluding Asian trials</w:t>
            </w:r>
            <w:r w:rsidR="00D10BB4" w:rsidRPr="00B61251">
              <w:rPr>
                <w:vertAlign w:val="superscript"/>
              </w:rPr>
              <w:t>c</w:t>
            </w:r>
          </w:p>
        </w:tc>
        <w:tc>
          <w:tcPr>
            <w:tcW w:w="1031" w:type="pct"/>
            <w:vAlign w:val="center"/>
          </w:tcPr>
          <w:p w:rsidR="00A831F1" w:rsidRPr="00B61251" w:rsidRDefault="00A831F1" w:rsidP="0079332B">
            <w:pPr>
              <w:pStyle w:val="Tabletext"/>
              <w:keepNext/>
              <w:jc w:val="center"/>
            </w:pPr>
            <w:r w:rsidRPr="00B61251">
              <w:t>0.76 (0.63, 0.93)</w:t>
            </w:r>
          </w:p>
        </w:tc>
        <w:tc>
          <w:tcPr>
            <w:tcW w:w="1032" w:type="pct"/>
            <w:vAlign w:val="center"/>
          </w:tcPr>
          <w:p w:rsidR="00A831F1" w:rsidRPr="00263693" w:rsidRDefault="00A831F1" w:rsidP="0079332B">
            <w:pPr>
              <w:pStyle w:val="Tabletext"/>
              <w:keepNext/>
              <w:jc w:val="center"/>
              <w:rPr>
                <w:vertAlign w:val="superscript"/>
              </w:rPr>
            </w:pPr>
            <w:r w:rsidRPr="00263693">
              <w:t>1.08 (0.92, 1.23)</w:t>
            </w:r>
            <w:r w:rsidRPr="00263693">
              <w:rPr>
                <w:vertAlign w:val="superscript"/>
              </w:rPr>
              <w:t>c</w:t>
            </w:r>
          </w:p>
        </w:tc>
        <w:tc>
          <w:tcPr>
            <w:tcW w:w="1032" w:type="pct"/>
            <w:vAlign w:val="center"/>
          </w:tcPr>
          <w:p w:rsidR="00A831F1" w:rsidRPr="00263693" w:rsidRDefault="00A831F1" w:rsidP="0079332B">
            <w:pPr>
              <w:pStyle w:val="Tabletext"/>
              <w:keepNext/>
              <w:jc w:val="center"/>
              <w:rPr>
                <w:b/>
              </w:rPr>
            </w:pPr>
            <w:r w:rsidRPr="00263693">
              <w:rPr>
                <w:b/>
              </w:rPr>
              <w:t>0.71 (0.55, 0.90)</w:t>
            </w:r>
          </w:p>
        </w:tc>
        <w:tc>
          <w:tcPr>
            <w:tcW w:w="495" w:type="pct"/>
            <w:vAlign w:val="center"/>
          </w:tcPr>
          <w:p w:rsidR="00A831F1" w:rsidRPr="00B61251" w:rsidRDefault="00A831F1" w:rsidP="0079332B">
            <w:pPr>
              <w:pStyle w:val="Tabletext"/>
              <w:keepNext/>
              <w:jc w:val="center"/>
            </w:pPr>
            <w:r w:rsidRPr="00B61251">
              <w:t>0.005</w:t>
            </w:r>
          </w:p>
        </w:tc>
      </w:tr>
      <w:tr w:rsidR="00A831F1" w:rsidRPr="00B61251" w:rsidTr="00FE178E">
        <w:tc>
          <w:tcPr>
            <w:tcW w:w="1411" w:type="pct"/>
            <w:vAlign w:val="center"/>
          </w:tcPr>
          <w:p w:rsidR="00A831F1" w:rsidRPr="00B61251" w:rsidRDefault="00A831F1" w:rsidP="0079332B">
            <w:pPr>
              <w:pStyle w:val="Tabletext"/>
              <w:keepNext/>
              <w:rPr>
                <w:b/>
              </w:rPr>
            </w:pPr>
            <w:r w:rsidRPr="00B61251">
              <w:rPr>
                <w:b/>
              </w:rPr>
              <w:t>Progression free survival</w:t>
            </w:r>
          </w:p>
        </w:tc>
        <w:tc>
          <w:tcPr>
            <w:tcW w:w="1031" w:type="pct"/>
            <w:vAlign w:val="center"/>
          </w:tcPr>
          <w:p w:rsidR="00A831F1" w:rsidRPr="00B61251" w:rsidRDefault="00A831F1" w:rsidP="0079332B">
            <w:pPr>
              <w:pStyle w:val="Tabletext"/>
              <w:keepNext/>
              <w:jc w:val="center"/>
            </w:pPr>
          </w:p>
        </w:tc>
        <w:tc>
          <w:tcPr>
            <w:tcW w:w="1032" w:type="pct"/>
            <w:vAlign w:val="center"/>
          </w:tcPr>
          <w:p w:rsidR="00A831F1" w:rsidRPr="00263693" w:rsidRDefault="00A831F1" w:rsidP="0079332B">
            <w:pPr>
              <w:pStyle w:val="Tabletext"/>
              <w:keepNext/>
              <w:jc w:val="center"/>
            </w:pPr>
          </w:p>
        </w:tc>
        <w:tc>
          <w:tcPr>
            <w:tcW w:w="1032" w:type="pct"/>
            <w:vAlign w:val="center"/>
          </w:tcPr>
          <w:p w:rsidR="00A831F1" w:rsidRPr="00263693" w:rsidRDefault="00A831F1" w:rsidP="0079332B">
            <w:pPr>
              <w:pStyle w:val="Tabletext"/>
              <w:keepNext/>
              <w:jc w:val="center"/>
              <w:rPr>
                <w:b/>
              </w:rPr>
            </w:pPr>
          </w:p>
        </w:tc>
        <w:tc>
          <w:tcPr>
            <w:tcW w:w="495" w:type="pct"/>
            <w:vAlign w:val="center"/>
          </w:tcPr>
          <w:p w:rsidR="00A831F1" w:rsidRPr="00B61251" w:rsidRDefault="00A831F1" w:rsidP="0079332B">
            <w:pPr>
              <w:pStyle w:val="Tabletext"/>
              <w:keepNext/>
              <w:jc w:val="center"/>
            </w:pPr>
          </w:p>
        </w:tc>
      </w:tr>
      <w:tr w:rsidR="00D10BB4" w:rsidRPr="00B61251" w:rsidTr="00FE178E">
        <w:tc>
          <w:tcPr>
            <w:tcW w:w="1411" w:type="pct"/>
            <w:vAlign w:val="center"/>
          </w:tcPr>
          <w:p w:rsidR="00D10BB4" w:rsidRPr="00B61251" w:rsidRDefault="00D10BB4" w:rsidP="0079332B">
            <w:pPr>
              <w:pStyle w:val="Tabletext"/>
              <w:keepNext/>
              <w:rPr>
                <w:b/>
              </w:rPr>
            </w:pPr>
            <w:r w:rsidRPr="00B61251">
              <w:t>Submission analysis</w:t>
            </w:r>
            <w:r w:rsidRPr="00B61251">
              <w:rPr>
                <w:vertAlign w:val="superscript"/>
              </w:rPr>
              <w:t>a</w:t>
            </w:r>
          </w:p>
        </w:tc>
        <w:tc>
          <w:tcPr>
            <w:tcW w:w="1031" w:type="pct"/>
            <w:vAlign w:val="center"/>
          </w:tcPr>
          <w:p w:rsidR="00D10BB4" w:rsidRPr="00B61251" w:rsidRDefault="00D10BB4" w:rsidP="0079332B">
            <w:pPr>
              <w:pStyle w:val="Tabletext"/>
              <w:keepNext/>
              <w:jc w:val="center"/>
            </w:pPr>
            <w:r w:rsidRPr="00B61251">
              <w:t>0.59 (0.50, 0.69)</w:t>
            </w:r>
          </w:p>
        </w:tc>
        <w:tc>
          <w:tcPr>
            <w:tcW w:w="1032" w:type="pct"/>
            <w:vAlign w:val="center"/>
          </w:tcPr>
          <w:p w:rsidR="00D10BB4" w:rsidRPr="00263693" w:rsidRDefault="00D10BB4" w:rsidP="0079332B">
            <w:pPr>
              <w:pStyle w:val="Tabletext"/>
              <w:keepNext/>
              <w:jc w:val="center"/>
            </w:pPr>
            <w:r w:rsidRPr="00263693">
              <w:t>1.91 (1.17, 3.11)</w:t>
            </w:r>
            <w:r w:rsidRPr="00263693">
              <w:rPr>
                <w:vertAlign w:val="superscript"/>
              </w:rPr>
              <w:t>a</w:t>
            </w:r>
          </w:p>
        </w:tc>
        <w:tc>
          <w:tcPr>
            <w:tcW w:w="1032" w:type="pct"/>
            <w:vAlign w:val="center"/>
          </w:tcPr>
          <w:p w:rsidR="00D10BB4" w:rsidRPr="00263693" w:rsidRDefault="00D10BB4" w:rsidP="0079332B">
            <w:pPr>
              <w:pStyle w:val="Tabletext"/>
              <w:keepNext/>
              <w:jc w:val="center"/>
              <w:rPr>
                <w:b/>
              </w:rPr>
            </w:pPr>
            <w:r w:rsidRPr="00263693">
              <w:rPr>
                <w:b/>
              </w:rPr>
              <w:t>0.31 (0.18, 0.51)</w:t>
            </w:r>
          </w:p>
        </w:tc>
        <w:tc>
          <w:tcPr>
            <w:tcW w:w="495" w:type="pct"/>
            <w:vAlign w:val="center"/>
          </w:tcPr>
          <w:p w:rsidR="00D10BB4" w:rsidRPr="00B61251" w:rsidRDefault="00D10BB4" w:rsidP="0079332B">
            <w:pPr>
              <w:pStyle w:val="Tabletext"/>
              <w:keepNext/>
              <w:jc w:val="center"/>
            </w:pPr>
            <w:r w:rsidRPr="00B61251">
              <w:t>0.000</w:t>
            </w:r>
          </w:p>
        </w:tc>
      </w:tr>
      <w:tr w:rsidR="00D10BB4" w:rsidRPr="00B61251" w:rsidTr="00FE178E">
        <w:tc>
          <w:tcPr>
            <w:tcW w:w="1411" w:type="pct"/>
            <w:vAlign w:val="center"/>
          </w:tcPr>
          <w:p w:rsidR="00D10BB4" w:rsidRPr="00B61251" w:rsidRDefault="00D10BB4" w:rsidP="0079332B">
            <w:pPr>
              <w:pStyle w:val="Tabletext"/>
              <w:keepNext/>
            </w:pPr>
            <w:r w:rsidRPr="00B61251">
              <w:t>All 6 BEV + PDC vs PDC trials</w:t>
            </w:r>
            <w:r w:rsidRPr="00B61251">
              <w:rPr>
                <w:vertAlign w:val="superscript"/>
              </w:rPr>
              <w:t>b</w:t>
            </w:r>
          </w:p>
        </w:tc>
        <w:tc>
          <w:tcPr>
            <w:tcW w:w="1031" w:type="pct"/>
            <w:vAlign w:val="center"/>
          </w:tcPr>
          <w:p w:rsidR="00D10BB4" w:rsidRPr="00B61251" w:rsidRDefault="00D10BB4" w:rsidP="0079332B">
            <w:pPr>
              <w:pStyle w:val="Tabletext"/>
              <w:keepNext/>
              <w:jc w:val="center"/>
            </w:pPr>
            <w:r w:rsidRPr="00B61251">
              <w:t>0.59 (0.50, 0.69)</w:t>
            </w:r>
          </w:p>
        </w:tc>
        <w:tc>
          <w:tcPr>
            <w:tcW w:w="1032" w:type="pct"/>
            <w:vAlign w:val="center"/>
          </w:tcPr>
          <w:p w:rsidR="00D10BB4" w:rsidRPr="00263693" w:rsidRDefault="00D10BB4" w:rsidP="0079332B">
            <w:pPr>
              <w:pStyle w:val="Tabletext"/>
              <w:keepNext/>
              <w:jc w:val="center"/>
              <w:rPr>
                <w:vertAlign w:val="superscript"/>
              </w:rPr>
            </w:pPr>
            <w:r w:rsidRPr="00263693">
              <w:t>1.32 (1.02, 1.62)</w:t>
            </w:r>
            <w:r w:rsidRPr="00263693">
              <w:rPr>
                <w:vertAlign w:val="superscript"/>
              </w:rPr>
              <w:t>b</w:t>
            </w:r>
          </w:p>
        </w:tc>
        <w:tc>
          <w:tcPr>
            <w:tcW w:w="1032" w:type="pct"/>
            <w:vAlign w:val="center"/>
          </w:tcPr>
          <w:p w:rsidR="00D10BB4" w:rsidRPr="00263693" w:rsidRDefault="00D10BB4" w:rsidP="0079332B">
            <w:pPr>
              <w:pStyle w:val="Tabletext"/>
              <w:keepNext/>
              <w:jc w:val="center"/>
              <w:rPr>
                <w:b/>
              </w:rPr>
            </w:pPr>
            <w:r w:rsidRPr="00263693">
              <w:rPr>
                <w:b/>
              </w:rPr>
              <w:t>0.44 (0.34, 0.59)</w:t>
            </w:r>
          </w:p>
        </w:tc>
        <w:tc>
          <w:tcPr>
            <w:tcW w:w="495" w:type="pct"/>
            <w:vAlign w:val="center"/>
          </w:tcPr>
          <w:p w:rsidR="00D10BB4" w:rsidRPr="00B61251" w:rsidRDefault="00D10BB4" w:rsidP="0079332B">
            <w:pPr>
              <w:pStyle w:val="Tabletext"/>
              <w:keepNext/>
              <w:jc w:val="center"/>
            </w:pPr>
            <w:r w:rsidRPr="00B61251">
              <w:t>0.000</w:t>
            </w:r>
          </w:p>
        </w:tc>
      </w:tr>
      <w:tr w:rsidR="00D10BB4" w:rsidRPr="00B61251" w:rsidTr="00FE178E">
        <w:tc>
          <w:tcPr>
            <w:tcW w:w="1411" w:type="pct"/>
            <w:vAlign w:val="center"/>
          </w:tcPr>
          <w:p w:rsidR="00D10BB4" w:rsidRPr="00B61251" w:rsidRDefault="00D10BB4" w:rsidP="0079332B">
            <w:pPr>
              <w:pStyle w:val="Tabletext"/>
              <w:keepNext/>
            </w:pPr>
            <w:r w:rsidRPr="00B61251">
              <w:t>Excluding Asian trials</w:t>
            </w:r>
            <w:r w:rsidRPr="00B61251">
              <w:rPr>
                <w:vertAlign w:val="superscript"/>
              </w:rPr>
              <w:t>c</w:t>
            </w:r>
          </w:p>
        </w:tc>
        <w:tc>
          <w:tcPr>
            <w:tcW w:w="1031" w:type="pct"/>
            <w:vAlign w:val="center"/>
          </w:tcPr>
          <w:p w:rsidR="00D10BB4" w:rsidRPr="00B61251" w:rsidRDefault="00D10BB4" w:rsidP="0079332B">
            <w:pPr>
              <w:pStyle w:val="Tabletext"/>
              <w:keepNext/>
              <w:jc w:val="center"/>
            </w:pPr>
            <w:r w:rsidRPr="00B61251">
              <w:t>0.59 (0.50, 0.69)</w:t>
            </w:r>
          </w:p>
        </w:tc>
        <w:tc>
          <w:tcPr>
            <w:tcW w:w="1032" w:type="pct"/>
            <w:vAlign w:val="center"/>
          </w:tcPr>
          <w:p w:rsidR="00D10BB4" w:rsidRPr="00263693" w:rsidRDefault="00D10BB4" w:rsidP="0079332B">
            <w:pPr>
              <w:pStyle w:val="Tabletext"/>
              <w:keepNext/>
              <w:jc w:val="center"/>
              <w:rPr>
                <w:vertAlign w:val="superscript"/>
              </w:rPr>
            </w:pPr>
            <w:r w:rsidRPr="00263693">
              <w:t>1.15 (0.88, 1.42)</w:t>
            </w:r>
            <w:r w:rsidRPr="00263693">
              <w:rPr>
                <w:vertAlign w:val="superscript"/>
              </w:rPr>
              <w:t>c</w:t>
            </w:r>
          </w:p>
        </w:tc>
        <w:tc>
          <w:tcPr>
            <w:tcW w:w="1032" w:type="pct"/>
            <w:vAlign w:val="center"/>
          </w:tcPr>
          <w:p w:rsidR="00D10BB4" w:rsidRPr="00263693" w:rsidRDefault="00D10BB4" w:rsidP="0079332B">
            <w:pPr>
              <w:pStyle w:val="Tabletext"/>
              <w:keepNext/>
              <w:jc w:val="center"/>
              <w:rPr>
                <w:b/>
              </w:rPr>
            </w:pPr>
            <w:r w:rsidRPr="00263693">
              <w:rPr>
                <w:b/>
              </w:rPr>
              <w:t>0.51 (0.38, 0.68)</w:t>
            </w:r>
          </w:p>
        </w:tc>
        <w:tc>
          <w:tcPr>
            <w:tcW w:w="495" w:type="pct"/>
            <w:vAlign w:val="center"/>
          </w:tcPr>
          <w:p w:rsidR="00D10BB4" w:rsidRPr="00B61251" w:rsidRDefault="00D10BB4" w:rsidP="0079332B">
            <w:pPr>
              <w:pStyle w:val="Tabletext"/>
              <w:keepNext/>
              <w:jc w:val="center"/>
            </w:pPr>
            <w:r w:rsidRPr="00B61251">
              <w:t>0.000</w:t>
            </w:r>
          </w:p>
        </w:tc>
      </w:tr>
    </w:tbl>
    <w:p w:rsidR="00A831F1" w:rsidRPr="00B61251" w:rsidRDefault="00A831F1" w:rsidP="0079332B">
      <w:pPr>
        <w:pStyle w:val="TableFooter"/>
        <w:widowControl/>
      </w:pPr>
      <w:r w:rsidRPr="00B61251">
        <w:t>ATEZO = atezolizumab; BEV = bevacizumab; CI = confidence interval; CP = carboplatin/paclitaxel; HR = hazard ratio; OS = overall survival; PDC = platinum doublet chemotherapy; PFS = progression free survival.</w:t>
      </w:r>
    </w:p>
    <w:p w:rsidR="00A831F1" w:rsidRPr="00B61251" w:rsidRDefault="00A831F1" w:rsidP="0079332B">
      <w:pPr>
        <w:pStyle w:val="TableFooter"/>
        <w:widowControl/>
      </w:pPr>
      <w:r w:rsidRPr="00B61251">
        <w:rPr>
          <w:vertAlign w:val="superscript"/>
        </w:rPr>
        <w:t>a</w:t>
      </w:r>
      <w:r w:rsidRPr="00B61251">
        <w:t xml:space="preserve"> PDC vs bevacizumab + CP HR from meta-analysis of Sandler 2006 and Zhou 2015</w:t>
      </w:r>
    </w:p>
    <w:p w:rsidR="00A831F1" w:rsidRPr="00B61251" w:rsidRDefault="00A831F1" w:rsidP="0079332B">
      <w:pPr>
        <w:pStyle w:val="TableFooter"/>
        <w:widowControl/>
      </w:pPr>
      <w:r w:rsidRPr="00B61251">
        <w:rPr>
          <w:vertAlign w:val="superscript"/>
        </w:rPr>
        <w:t>b</w:t>
      </w:r>
      <w:r w:rsidRPr="00B61251">
        <w:t xml:space="preserve"> PDC vs bevacizumab + CP HR from meta-analyses of Sandler 2006, Zhou 2015, Niho 2012, Zinner 2015, Galetta 2015 and Reck 2009.</w:t>
      </w:r>
    </w:p>
    <w:p w:rsidR="00A831F1" w:rsidRPr="00B61251" w:rsidRDefault="00A831F1" w:rsidP="0079332B">
      <w:pPr>
        <w:pStyle w:val="TableFooter"/>
        <w:widowControl/>
      </w:pPr>
      <w:r w:rsidRPr="00B61251">
        <w:rPr>
          <w:vertAlign w:val="superscript"/>
        </w:rPr>
        <w:t>c</w:t>
      </w:r>
      <w:r w:rsidRPr="00B61251">
        <w:t xml:space="preserve"> PDC vs bevacizumab + CP HR from meta-analyses of Sandler 2006, Zinner 2015, Galetta 2015 and Reck 2009.</w:t>
      </w:r>
    </w:p>
    <w:p w:rsidR="00A831F1" w:rsidRPr="00B61251" w:rsidRDefault="00A831F1" w:rsidP="0079332B">
      <w:pPr>
        <w:pStyle w:val="TableFooter"/>
        <w:widowControl/>
        <w:rPr>
          <w:b/>
        </w:rPr>
      </w:pPr>
      <w:r w:rsidRPr="00B61251">
        <w:rPr>
          <w:b/>
        </w:rPr>
        <w:t>Statistically significant results are presented in bold type</w:t>
      </w:r>
    </w:p>
    <w:p w:rsidR="00A831F1" w:rsidRPr="00B61251" w:rsidRDefault="00A831F1" w:rsidP="0079332B">
      <w:pPr>
        <w:pStyle w:val="TableFooter"/>
        <w:widowControl/>
      </w:pPr>
      <w:r w:rsidRPr="00B61251">
        <w:t>Figures in italics were calculated during the evaluation.</w:t>
      </w:r>
    </w:p>
    <w:p w:rsidR="00A831F1" w:rsidRPr="00B61251" w:rsidRDefault="00A831F1" w:rsidP="0079332B">
      <w:pPr>
        <w:pStyle w:val="TableFooter"/>
        <w:widowControl/>
      </w:pPr>
      <w:r w:rsidRPr="00B61251">
        <w:t>Source: Table 2.6.3 p162 and Table 2.6.4 p163 of the submission; Excel workbook ‘ITC’, Folder ‘Section 2 Spreadsheets’ supplied with the submission. Figures in italics were calculated during the evaluation using the ‘ITC’ Excel workbook supplied in the evaluation.</w:t>
      </w:r>
    </w:p>
    <w:p w:rsidR="008048E8" w:rsidRPr="00B61251" w:rsidRDefault="008048E8" w:rsidP="00E71B52">
      <w:pPr>
        <w:pStyle w:val="ListParagraph"/>
        <w:widowControl/>
        <w:numPr>
          <w:ilvl w:val="1"/>
          <w:numId w:val="1"/>
        </w:numPr>
        <w:spacing w:before="120" w:after="120"/>
      </w:pPr>
      <w:r w:rsidRPr="00B61251">
        <w:t>The ESC considered were a number of transitivity issues across the trials including the duration of follow up, baseline populations, time period over which the trials were conducted</w:t>
      </w:r>
      <w:r w:rsidR="00E534C3" w:rsidRPr="00B61251">
        <w:t>, subsequent therapies</w:t>
      </w:r>
      <w:r w:rsidRPr="00B61251">
        <w:t xml:space="preserve"> and treatment protocols.</w:t>
      </w:r>
    </w:p>
    <w:p w:rsidR="00C5787E" w:rsidRPr="00B61251" w:rsidRDefault="00D91ECD" w:rsidP="00E71B52">
      <w:pPr>
        <w:pStyle w:val="ListParagraph"/>
        <w:widowControl/>
        <w:numPr>
          <w:ilvl w:val="1"/>
          <w:numId w:val="1"/>
        </w:numPr>
        <w:spacing w:before="120" w:after="120"/>
      </w:pPr>
      <w:r w:rsidRPr="00B61251">
        <w:t xml:space="preserve">In IMpower150, 35.5% of </w:t>
      </w:r>
      <w:r w:rsidR="001F511E" w:rsidRPr="00B61251">
        <w:t xml:space="preserve">all </w:t>
      </w:r>
      <w:r w:rsidRPr="00B61251">
        <w:t xml:space="preserve">patients in the common reference arm (bevacizumab + CP) of IMpower150 received immunotherapy while </w:t>
      </w:r>
      <w:r w:rsidR="00E22803" w:rsidRPr="00B61251">
        <w:t>n</w:t>
      </w:r>
      <w:r w:rsidRPr="00B61251">
        <w:t xml:space="preserve">one of the patients in </w:t>
      </w:r>
      <w:r w:rsidR="003C7001" w:rsidRPr="00B61251">
        <w:t>either arm</w:t>
      </w:r>
      <w:r w:rsidRPr="00B61251">
        <w:t xml:space="preserve"> </w:t>
      </w:r>
      <w:r w:rsidR="0065005D" w:rsidRPr="00B61251">
        <w:t xml:space="preserve">of </w:t>
      </w:r>
      <w:r w:rsidRPr="00B61251">
        <w:t xml:space="preserve">the comparator trials received immunotherapy at any subsequent line of therapy. </w:t>
      </w:r>
      <w:r w:rsidR="004D7AA2" w:rsidRPr="00B61251">
        <w:t xml:space="preserve">The </w:t>
      </w:r>
      <w:r w:rsidR="00E534C3" w:rsidRPr="00B61251">
        <w:t>ESC</w:t>
      </w:r>
      <w:r w:rsidR="004D7AA2" w:rsidRPr="00B61251">
        <w:t xml:space="preserve"> considered it was </w:t>
      </w:r>
      <w:r w:rsidR="003C7001" w:rsidRPr="00B61251">
        <w:t xml:space="preserve">not possible to predict </w:t>
      </w:r>
      <w:r w:rsidR="00765471" w:rsidRPr="00B61251">
        <w:t xml:space="preserve">either the magnitude or the direction of </w:t>
      </w:r>
      <w:r w:rsidR="00E22803" w:rsidRPr="00B61251">
        <w:t>any</w:t>
      </w:r>
      <w:r w:rsidR="00765471" w:rsidRPr="00B61251">
        <w:t xml:space="preserve"> effect on the observed HR for OS for bevacizumab + PDC v</w:t>
      </w:r>
      <w:r w:rsidR="00E22803" w:rsidRPr="00B61251">
        <w:t>ersu</w:t>
      </w:r>
      <w:r w:rsidR="00765471" w:rsidRPr="00B61251">
        <w:t xml:space="preserve">s PDC </w:t>
      </w:r>
      <w:r w:rsidR="00722F9A" w:rsidRPr="00B61251">
        <w:t xml:space="preserve">resulting from </w:t>
      </w:r>
      <w:r w:rsidR="00765471" w:rsidRPr="00B61251">
        <w:t xml:space="preserve">patients </w:t>
      </w:r>
      <w:r w:rsidR="00722F9A" w:rsidRPr="00B61251">
        <w:t xml:space="preserve">in both treatment arms </w:t>
      </w:r>
      <w:r w:rsidR="00D20B8C" w:rsidRPr="00B61251">
        <w:t>not</w:t>
      </w:r>
      <w:r w:rsidR="00765471" w:rsidRPr="00B61251">
        <w:t xml:space="preserve"> r</w:t>
      </w:r>
      <w:r w:rsidR="00722F9A" w:rsidRPr="00B61251">
        <w:t>eceiv</w:t>
      </w:r>
      <w:r w:rsidR="00D20B8C" w:rsidRPr="00B61251">
        <w:t>ing</w:t>
      </w:r>
      <w:r w:rsidR="00722F9A" w:rsidRPr="00B61251">
        <w:t xml:space="preserve"> later line immunotherapy, </w:t>
      </w:r>
      <w:r w:rsidR="00E22803" w:rsidRPr="00B61251">
        <w:t>and, consequently, on</w:t>
      </w:r>
      <w:r w:rsidR="00722F9A" w:rsidRPr="00B61251">
        <w:t xml:space="preserve"> the </w:t>
      </w:r>
      <w:r w:rsidR="00E22803" w:rsidRPr="00B61251">
        <w:t>results of the indirect comparison of OS.</w:t>
      </w:r>
    </w:p>
    <w:p w:rsidR="0017481A" w:rsidRPr="00B61251" w:rsidRDefault="00C5787E" w:rsidP="00E71B52">
      <w:pPr>
        <w:pStyle w:val="ListParagraph"/>
        <w:widowControl/>
        <w:numPr>
          <w:ilvl w:val="1"/>
          <w:numId w:val="1"/>
        </w:numPr>
        <w:spacing w:before="120" w:after="120"/>
      </w:pPr>
      <w:r w:rsidRPr="00B61251">
        <w:t>T</w:t>
      </w:r>
      <w:r w:rsidR="0017481A" w:rsidRPr="00B61251">
        <w:t xml:space="preserve">he ESC considered the ITC </w:t>
      </w:r>
      <w:r w:rsidR="00A562A4" w:rsidRPr="00B61251">
        <w:t xml:space="preserve">supported </w:t>
      </w:r>
      <w:r w:rsidR="0017481A" w:rsidRPr="00B61251">
        <w:t>an efficacy benefit in OS and PFS for treatment with</w:t>
      </w:r>
      <w:r w:rsidR="00035FCB" w:rsidRPr="00B61251">
        <w:t xml:space="preserve"> atezolizumab + bevacizumab + PDC</w:t>
      </w:r>
      <w:r w:rsidR="0017481A" w:rsidRPr="00B61251">
        <w:t xml:space="preserve"> versus PDC. However, the magnitude of the benefit was uncertain given the significant transitivity issues</w:t>
      </w:r>
      <w:r w:rsidR="00E534C3" w:rsidRPr="00B61251">
        <w:t xml:space="preserve"> identified</w:t>
      </w:r>
      <w:r w:rsidR="0068672B">
        <w:t>.</w:t>
      </w:r>
    </w:p>
    <w:p w:rsidR="00A4420A" w:rsidRPr="003E5902" w:rsidRDefault="00487D9F" w:rsidP="00E71B52">
      <w:pPr>
        <w:widowControl/>
        <w:spacing w:before="120" w:after="120"/>
        <w:rPr>
          <w:u w:val="single"/>
        </w:rPr>
      </w:pPr>
      <w:r w:rsidRPr="003E5902">
        <w:rPr>
          <w:u w:val="single"/>
        </w:rPr>
        <w:t xml:space="preserve">Indirect treatment comparison: atezolizumab + bevacizumab + </w:t>
      </w:r>
      <w:r w:rsidR="002C043E" w:rsidRPr="003E5902">
        <w:rPr>
          <w:u w:val="single"/>
        </w:rPr>
        <w:t xml:space="preserve">PDC </w:t>
      </w:r>
      <w:r w:rsidRPr="003E5902">
        <w:rPr>
          <w:u w:val="single"/>
        </w:rPr>
        <w:t>vs pembrolizumab</w:t>
      </w:r>
    </w:p>
    <w:p w:rsidR="00400EFF" w:rsidRPr="00B61251" w:rsidRDefault="008B3E3F" w:rsidP="00E71B52">
      <w:pPr>
        <w:pStyle w:val="ListParagraph"/>
        <w:widowControl/>
        <w:numPr>
          <w:ilvl w:val="1"/>
          <w:numId w:val="1"/>
        </w:numPr>
        <w:spacing w:before="120" w:after="120"/>
      </w:pPr>
      <w:r w:rsidRPr="00B61251">
        <w:t xml:space="preserve">The results of the </w:t>
      </w:r>
      <w:r w:rsidR="00DD5D62" w:rsidRPr="00B61251">
        <w:t>2-step</w:t>
      </w:r>
      <w:r w:rsidR="004C1E71" w:rsidRPr="00B61251">
        <w:t xml:space="preserve"> </w:t>
      </w:r>
      <w:r w:rsidRPr="00B61251">
        <w:t xml:space="preserve">indirect comparison of </w:t>
      </w:r>
      <w:r w:rsidR="00026509" w:rsidRPr="00B61251">
        <w:t>atezolizumab + bevacizumab</w:t>
      </w:r>
      <w:r w:rsidR="00280690" w:rsidRPr="00B61251">
        <w:t xml:space="preserve"> + CP </w:t>
      </w:r>
      <w:r w:rsidRPr="00B61251">
        <w:t>with pembrolizumab monotherapy in patients with EGFR wild</w:t>
      </w:r>
      <w:r w:rsidR="0079332B">
        <w:t xml:space="preserve"> type/ALK positive, high PD</w:t>
      </w:r>
      <w:r w:rsidR="0079332B">
        <w:noBreakHyphen/>
      </w:r>
      <w:r w:rsidRPr="00B61251">
        <w:t xml:space="preserve">L1 expression NSCLC are presented in </w:t>
      </w:r>
      <w:r w:rsidR="00744BB1" w:rsidRPr="00B61251">
        <w:t>Table 6</w:t>
      </w:r>
      <w:r w:rsidRPr="00B61251">
        <w:t>.</w:t>
      </w:r>
    </w:p>
    <w:p w:rsidR="004F4FA3" w:rsidRPr="00B61251" w:rsidRDefault="00A92B04" w:rsidP="0079332B">
      <w:pPr>
        <w:pStyle w:val="Caption"/>
        <w:keepNext/>
        <w:widowControl/>
      </w:pPr>
      <w:bookmarkStart w:id="15" w:name="_Ref532902034"/>
      <w:r w:rsidRPr="00B61251">
        <w:lastRenderedPageBreak/>
        <w:t xml:space="preserve">Table </w:t>
      </w:r>
      <w:r w:rsidR="008B216B" w:rsidRPr="00B61251">
        <w:t>6</w:t>
      </w:r>
      <w:bookmarkEnd w:id="15"/>
      <w:r w:rsidRPr="00B61251">
        <w:t xml:space="preserve">: Results for the </w:t>
      </w:r>
      <w:r w:rsidR="00DD5D62" w:rsidRPr="00B61251">
        <w:t xml:space="preserve">2-step </w:t>
      </w:r>
      <w:r w:rsidRPr="00B61251">
        <w:t xml:space="preserve">indirect comparison of </w:t>
      </w:r>
      <w:r w:rsidR="00026509" w:rsidRPr="00B61251">
        <w:t>atezolizumab + bevacizumab</w:t>
      </w:r>
      <w:r w:rsidRPr="00B61251">
        <w:t>+ CP vs pembrolizumab monotherapy in patients with EGFR wild type/ALK negative high PD-L1 expression NSCLC</w:t>
      </w:r>
    </w:p>
    <w:tbl>
      <w:tblPr>
        <w:tblStyle w:val="TableGrid"/>
        <w:tblW w:w="5000" w:type="pct"/>
        <w:tblLook w:val="04A0" w:firstRow="1" w:lastRow="0" w:firstColumn="1" w:lastColumn="0" w:noHBand="0" w:noVBand="1"/>
        <w:tblCaption w:val="Results for the 2-step indirect comparison of atezolizumab + bevacizumab+ CP vs pembrolizumab monotherapy in patients with EGFR wild type/ALK negative high PD-L1 expression NSCLC"/>
      </w:tblPr>
      <w:tblGrid>
        <w:gridCol w:w="1906"/>
        <w:gridCol w:w="1906"/>
        <w:gridCol w:w="2186"/>
        <w:gridCol w:w="1906"/>
        <w:gridCol w:w="1113"/>
      </w:tblGrid>
      <w:tr w:rsidR="004F4FA3" w:rsidRPr="00B61251" w:rsidTr="00FE178E">
        <w:trPr>
          <w:tblHeader/>
        </w:trPr>
        <w:tc>
          <w:tcPr>
            <w:tcW w:w="5000" w:type="pct"/>
            <w:gridSpan w:val="5"/>
            <w:vAlign w:val="center"/>
          </w:tcPr>
          <w:p w:rsidR="004F4FA3" w:rsidRPr="00B61251" w:rsidRDefault="004F4FA3" w:rsidP="0079332B">
            <w:pPr>
              <w:pStyle w:val="Tabletext"/>
              <w:keepNext/>
              <w:rPr>
                <w:b/>
              </w:rPr>
            </w:pPr>
            <w:r w:rsidRPr="00B61251">
              <w:rPr>
                <w:b/>
              </w:rPr>
              <w:t xml:space="preserve">Step 1: Indirect comparison of </w:t>
            </w:r>
            <w:r w:rsidR="00026509" w:rsidRPr="00B61251">
              <w:rPr>
                <w:b/>
              </w:rPr>
              <w:t>atezolizumab + bevacizumab</w:t>
            </w:r>
            <w:r w:rsidRPr="00B61251">
              <w:rPr>
                <w:b/>
              </w:rPr>
              <w:t xml:space="preserve"> + CP in the PD-L1 high WT population (IMpower150) with CP in the ITT/FAS population unselected by PD-L1 status (Sandler 2006 and Zhou 2015)</w:t>
            </w:r>
          </w:p>
        </w:tc>
      </w:tr>
      <w:tr w:rsidR="00B835F3" w:rsidRPr="00B61251" w:rsidTr="00B835F3">
        <w:tc>
          <w:tcPr>
            <w:tcW w:w="1057" w:type="pct"/>
            <w:vAlign w:val="center"/>
          </w:tcPr>
          <w:p w:rsidR="00B835F3" w:rsidRPr="00B61251" w:rsidRDefault="00B835F3" w:rsidP="0079332B">
            <w:pPr>
              <w:pStyle w:val="Tabletext"/>
              <w:keepNext/>
              <w:rPr>
                <w:b/>
              </w:rPr>
            </w:pPr>
          </w:p>
        </w:tc>
        <w:tc>
          <w:tcPr>
            <w:tcW w:w="1057" w:type="pct"/>
            <w:vAlign w:val="center"/>
          </w:tcPr>
          <w:p w:rsidR="00B835F3" w:rsidRPr="00B61251" w:rsidRDefault="00476DDB" w:rsidP="0079332B">
            <w:pPr>
              <w:pStyle w:val="Tabletext"/>
              <w:keepNext/>
              <w:jc w:val="center"/>
              <w:rPr>
                <w:b/>
              </w:rPr>
            </w:pPr>
            <w:r w:rsidRPr="00B61251">
              <w:rPr>
                <w:b/>
              </w:rPr>
              <w:t xml:space="preserve">ATEZO </w:t>
            </w:r>
            <w:r w:rsidR="00B835F3" w:rsidRPr="00B61251">
              <w:rPr>
                <w:b/>
              </w:rPr>
              <w:t xml:space="preserve">+ </w:t>
            </w:r>
            <w:r w:rsidRPr="00B61251">
              <w:rPr>
                <w:b/>
              </w:rPr>
              <w:t xml:space="preserve">BEV </w:t>
            </w:r>
            <w:r w:rsidR="00B835F3" w:rsidRPr="00B61251">
              <w:rPr>
                <w:b/>
              </w:rPr>
              <w:t>+ CP vs bevacizumab + CP</w:t>
            </w:r>
          </w:p>
        </w:tc>
        <w:tc>
          <w:tcPr>
            <w:tcW w:w="1212" w:type="pct"/>
            <w:vAlign w:val="center"/>
          </w:tcPr>
          <w:p w:rsidR="00B835F3" w:rsidRPr="00B61251" w:rsidRDefault="00B835F3" w:rsidP="0079332B">
            <w:pPr>
              <w:pStyle w:val="Tabletext"/>
              <w:keepNext/>
              <w:jc w:val="center"/>
              <w:rPr>
                <w:b/>
              </w:rPr>
            </w:pPr>
            <w:r w:rsidRPr="00B61251">
              <w:rPr>
                <w:b/>
              </w:rPr>
              <w:t xml:space="preserve">CP vs </w:t>
            </w:r>
            <w:r w:rsidRPr="00B61251">
              <w:rPr>
                <w:b/>
              </w:rPr>
              <w:br/>
              <w:t>bevacizumab + CP</w:t>
            </w:r>
          </w:p>
        </w:tc>
        <w:tc>
          <w:tcPr>
            <w:tcW w:w="1057" w:type="pct"/>
            <w:vAlign w:val="center"/>
          </w:tcPr>
          <w:p w:rsidR="00B835F3" w:rsidRPr="00B61251" w:rsidRDefault="00B835F3" w:rsidP="0079332B">
            <w:pPr>
              <w:pStyle w:val="Tabletext"/>
              <w:keepNext/>
              <w:jc w:val="center"/>
              <w:rPr>
                <w:b/>
              </w:rPr>
            </w:pPr>
            <w:r w:rsidRPr="00B61251">
              <w:rPr>
                <w:b/>
              </w:rPr>
              <w:t xml:space="preserve">Indirect HR </w:t>
            </w:r>
            <w:r w:rsidRPr="00B61251">
              <w:rPr>
                <w:b/>
              </w:rPr>
              <w:br/>
              <w:t>(95% CI)</w:t>
            </w:r>
          </w:p>
        </w:tc>
        <w:tc>
          <w:tcPr>
            <w:tcW w:w="617" w:type="pct"/>
            <w:vAlign w:val="center"/>
          </w:tcPr>
          <w:p w:rsidR="00B835F3" w:rsidRPr="00B61251" w:rsidRDefault="00B835F3" w:rsidP="0079332B">
            <w:pPr>
              <w:pStyle w:val="Tabletext"/>
              <w:keepNext/>
              <w:jc w:val="center"/>
              <w:rPr>
                <w:b/>
              </w:rPr>
            </w:pPr>
            <w:r w:rsidRPr="00B61251">
              <w:rPr>
                <w:b/>
              </w:rPr>
              <w:t>p-value</w:t>
            </w:r>
          </w:p>
        </w:tc>
      </w:tr>
      <w:tr w:rsidR="004F4FA3" w:rsidRPr="00B61251" w:rsidTr="00B835F3">
        <w:tc>
          <w:tcPr>
            <w:tcW w:w="1057" w:type="pct"/>
            <w:vAlign w:val="center"/>
          </w:tcPr>
          <w:p w:rsidR="004F4FA3" w:rsidRPr="00B61251" w:rsidRDefault="00A92B04" w:rsidP="0079332B">
            <w:pPr>
              <w:pStyle w:val="Tabletext"/>
              <w:keepNext/>
            </w:pPr>
            <w:r w:rsidRPr="00B61251">
              <w:t>OS</w:t>
            </w:r>
          </w:p>
        </w:tc>
        <w:tc>
          <w:tcPr>
            <w:tcW w:w="1057" w:type="pct"/>
            <w:vAlign w:val="center"/>
          </w:tcPr>
          <w:p w:rsidR="004F4FA3" w:rsidRPr="00B61251" w:rsidRDefault="004F4FA3" w:rsidP="0079332B">
            <w:pPr>
              <w:pStyle w:val="Tabletext"/>
              <w:keepNext/>
              <w:jc w:val="center"/>
            </w:pPr>
            <w:r w:rsidRPr="00B61251">
              <w:t>0.70 (0.43, 1.13)</w:t>
            </w:r>
          </w:p>
        </w:tc>
        <w:tc>
          <w:tcPr>
            <w:tcW w:w="1212" w:type="pct"/>
            <w:vAlign w:val="center"/>
          </w:tcPr>
          <w:p w:rsidR="004F4FA3" w:rsidRPr="00263693" w:rsidRDefault="001B5E4B" w:rsidP="0079332B">
            <w:pPr>
              <w:pStyle w:val="Tabletext"/>
              <w:keepNext/>
              <w:jc w:val="center"/>
              <w:rPr>
                <w:vertAlign w:val="superscript"/>
              </w:rPr>
            </w:pPr>
            <w:r w:rsidRPr="00263693">
              <w:t>1.31 (1.13, 1.50)</w:t>
            </w:r>
            <w:r w:rsidRPr="00263693">
              <w:rPr>
                <w:vertAlign w:val="superscript"/>
              </w:rPr>
              <w:t>a</w:t>
            </w:r>
          </w:p>
        </w:tc>
        <w:tc>
          <w:tcPr>
            <w:tcW w:w="1057" w:type="pct"/>
            <w:vAlign w:val="center"/>
          </w:tcPr>
          <w:p w:rsidR="004F4FA3" w:rsidRPr="00263693" w:rsidRDefault="004F4FA3" w:rsidP="0079332B">
            <w:pPr>
              <w:pStyle w:val="Tabletext"/>
              <w:keepNext/>
              <w:jc w:val="center"/>
              <w:rPr>
                <w:b/>
              </w:rPr>
            </w:pPr>
            <w:r w:rsidRPr="00263693">
              <w:rPr>
                <w:b/>
              </w:rPr>
              <w:t>0.53 (0.32, 0.88)</w:t>
            </w:r>
          </w:p>
        </w:tc>
        <w:tc>
          <w:tcPr>
            <w:tcW w:w="617" w:type="pct"/>
            <w:vAlign w:val="center"/>
          </w:tcPr>
          <w:p w:rsidR="004F4FA3" w:rsidRPr="00B61251" w:rsidRDefault="004F4FA3" w:rsidP="0079332B">
            <w:pPr>
              <w:pStyle w:val="Tabletext"/>
              <w:keepNext/>
              <w:jc w:val="center"/>
            </w:pPr>
            <w:r w:rsidRPr="00B61251">
              <w:t>0.015</w:t>
            </w:r>
          </w:p>
        </w:tc>
      </w:tr>
      <w:tr w:rsidR="004F4FA3" w:rsidRPr="00B61251" w:rsidTr="00B835F3">
        <w:tc>
          <w:tcPr>
            <w:tcW w:w="1057" w:type="pct"/>
            <w:vAlign w:val="center"/>
          </w:tcPr>
          <w:p w:rsidR="004F4FA3" w:rsidRPr="00B61251" w:rsidRDefault="00A92B04" w:rsidP="0079332B">
            <w:pPr>
              <w:pStyle w:val="Tabletext"/>
              <w:keepNext/>
            </w:pPr>
            <w:r w:rsidRPr="00B61251">
              <w:t>PFS</w:t>
            </w:r>
          </w:p>
        </w:tc>
        <w:tc>
          <w:tcPr>
            <w:tcW w:w="1057" w:type="pct"/>
            <w:vAlign w:val="center"/>
          </w:tcPr>
          <w:p w:rsidR="004F4FA3" w:rsidRPr="00B61251" w:rsidRDefault="004F4FA3" w:rsidP="0079332B">
            <w:pPr>
              <w:pStyle w:val="Tabletext"/>
              <w:keepNext/>
              <w:jc w:val="center"/>
              <w:rPr>
                <w:vertAlign w:val="superscript"/>
              </w:rPr>
            </w:pPr>
            <w:r w:rsidRPr="00B61251">
              <w:t>0.34 (0.22, 0.52)</w:t>
            </w:r>
          </w:p>
        </w:tc>
        <w:tc>
          <w:tcPr>
            <w:tcW w:w="1212" w:type="pct"/>
            <w:vAlign w:val="center"/>
          </w:tcPr>
          <w:p w:rsidR="004F4FA3" w:rsidRPr="00263693" w:rsidRDefault="004F4FA3" w:rsidP="0079332B">
            <w:pPr>
              <w:pStyle w:val="Tabletext"/>
              <w:keepNext/>
              <w:jc w:val="center"/>
              <w:rPr>
                <w:vertAlign w:val="superscript"/>
              </w:rPr>
            </w:pPr>
            <w:r w:rsidRPr="00263693">
              <w:t>1.91 (1.17, 3.11)</w:t>
            </w:r>
            <w:r w:rsidRPr="00263693">
              <w:rPr>
                <w:vertAlign w:val="superscript"/>
              </w:rPr>
              <w:t>a</w:t>
            </w:r>
          </w:p>
        </w:tc>
        <w:tc>
          <w:tcPr>
            <w:tcW w:w="1057" w:type="pct"/>
            <w:vAlign w:val="center"/>
          </w:tcPr>
          <w:p w:rsidR="004F4FA3" w:rsidRPr="00263693" w:rsidRDefault="004F4FA3" w:rsidP="0079332B">
            <w:pPr>
              <w:pStyle w:val="Tabletext"/>
              <w:keepNext/>
              <w:jc w:val="center"/>
              <w:rPr>
                <w:b/>
              </w:rPr>
            </w:pPr>
            <w:r w:rsidRPr="00263693">
              <w:rPr>
                <w:b/>
              </w:rPr>
              <w:t>0.18 (0.09, 0.34)</w:t>
            </w:r>
          </w:p>
        </w:tc>
        <w:tc>
          <w:tcPr>
            <w:tcW w:w="617" w:type="pct"/>
            <w:vAlign w:val="center"/>
          </w:tcPr>
          <w:p w:rsidR="004F4FA3" w:rsidRPr="00B61251" w:rsidRDefault="004F4FA3" w:rsidP="0079332B">
            <w:pPr>
              <w:pStyle w:val="Tabletext"/>
              <w:keepNext/>
              <w:jc w:val="center"/>
            </w:pPr>
            <w:r w:rsidRPr="00B61251">
              <w:t>0.000</w:t>
            </w:r>
          </w:p>
        </w:tc>
      </w:tr>
      <w:tr w:rsidR="004F4FA3" w:rsidRPr="00B61251" w:rsidTr="00B835F3">
        <w:tc>
          <w:tcPr>
            <w:tcW w:w="5000" w:type="pct"/>
            <w:gridSpan w:val="5"/>
            <w:vAlign w:val="center"/>
          </w:tcPr>
          <w:p w:rsidR="004F4FA3" w:rsidRPr="00B61251" w:rsidRDefault="004F4FA3" w:rsidP="0079332B">
            <w:pPr>
              <w:pStyle w:val="Tabletext"/>
              <w:keepNext/>
              <w:rPr>
                <w:b/>
              </w:rPr>
            </w:pPr>
            <w:r w:rsidRPr="00B61251">
              <w:rPr>
                <w:b/>
              </w:rPr>
              <w:t xml:space="preserve">Step 2: Indirect comparison of results from Step 1 with the ITT population and the NSQ subgroup in Keynote-024 </w:t>
            </w:r>
          </w:p>
        </w:tc>
      </w:tr>
      <w:tr w:rsidR="00B835F3" w:rsidRPr="00B61251" w:rsidTr="00B835F3">
        <w:tc>
          <w:tcPr>
            <w:tcW w:w="1057" w:type="pct"/>
            <w:vAlign w:val="center"/>
          </w:tcPr>
          <w:p w:rsidR="00B835F3" w:rsidRPr="00B61251" w:rsidRDefault="00B835F3" w:rsidP="0079332B">
            <w:pPr>
              <w:pStyle w:val="Tabletext"/>
              <w:keepNext/>
              <w:ind w:left="142"/>
            </w:pPr>
          </w:p>
        </w:tc>
        <w:tc>
          <w:tcPr>
            <w:tcW w:w="1057" w:type="pct"/>
            <w:vAlign w:val="center"/>
          </w:tcPr>
          <w:p w:rsidR="00B835F3" w:rsidRPr="00B61251" w:rsidRDefault="00476DDB" w:rsidP="0079332B">
            <w:pPr>
              <w:pStyle w:val="Tabletext"/>
              <w:keepNext/>
              <w:jc w:val="center"/>
            </w:pPr>
            <w:r w:rsidRPr="00B61251">
              <w:rPr>
                <w:b/>
              </w:rPr>
              <w:t xml:space="preserve">ATEZO </w:t>
            </w:r>
            <w:r w:rsidR="00B835F3" w:rsidRPr="00B61251">
              <w:rPr>
                <w:b/>
              </w:rPr>
              <w:t xml:space="preserve">+ </w:t>
            </w:r>
            <w:r w:rsidRPr="00B61251">
              <w:rPr>
                <w:b/>
              </w:rPr>
              <w:t xml:space="preserve">BEV </w:t>
            </w:r>
            <w:r w:rsidR="00B835F3" w:rsidRPr="00B61251">
              <w:rPr>
                <w:b/>
              </w:rPr>
              <w:t>+ CP vs CP (from step 1)</w:t>
            </w:r>
          </w:p>
        </w:tc>
        <w:tc>
          <w:tcPr>
            <w:tcW w:w="1212" w:type="pct"/>
            <w:vAlign w:val="center"/>
          </w:tcPr>
          <w:p w:rsidR="00B835F3" w:rsidRPr="00B61251" w:rsidRDefault="00B835F3" w:rsidP="0079332B">
            <w:pPr>
              <w:pStyle w:val="Tabletext"/>
              <w:keepNext/>
              <w:jc w:val="center"/>
              <w:rPr>
                <w:b/>
              </w:rPr>
            </w:pPr>
            <w:r w:rsidRPr="00B61251">
              <w:rPr>
                <w:b/>
              </w:rPr>
              <w:t>Keynote-024</w:t>
            </w:r>
          </w:p>
          <w:p w:rsidR="00B835F3" w:rsidRPr="00B61251" w:rsidRDefault="00B835F3" w:rsidP="0079332B">
            <w:pPr>
              <w:pStyle w:val="Tabletext"/>
              <w:keepNext/>
              <w:jc w:val="center"/>
            </w:pPr>
            <w:r w:rsidRPr="00B61251">
              <w:rPr>
                <w:b/>
              </w:rPr>
              <w:t xml:space="preserve">pembrolizumab vs PDC </w:t>
            </w:r>
          </w:p>
        </w:tc>
        <w:tc>
          <w:tcPr>
            <w:tcW w:w="1057" w:type="pct"/>
            <w:vAlign w:val="center"/>
          </w:tcPr>
          <w:p w:rsidR="00B835F3" w:rsidRPr="00B61251" w:rsidRDefault="00B835F3" w:rsidP="0079332B">
            <w:pPr>
              <w:pStyle w:val="Tabletext"/>
              <w:keepNext/>
              <w:jc w:val="center"/>
            </w:pPr>
            <w:r w:rsidRPr="00B61251">
              <w:rPr>
                <w:b/>
              </w:rPr>
              <w:t xml:space="preserve">Indirect HR </w:t>
            </w:r>
            <w:r w:rsidRPr="00B61251">
              <w:rPr>
                <w:b/>
              </w:rPr>
              <w:br/>
              <w:t>(95% CI)</w:t>
            </w:r>
          </w:p>
        </w:tc>
        <w:tc>
          <w:tcPr>
            <w:tcW w:w="617" w:type="pct"/>
            <w:vAlign w:val="center"/>
          </w:tcPr>
          <w:p w:rsidR="00B835F3" w:rsidRPr="00B61251" w:rsidRDefault="00B835F3" w:rsidP="0079332B">
            <w:pPr>
              <w:pStyle w:val="Tabletext"/>
              <w:keepNext/>
              <w:jc w:val="center"/>
            </w:pPr>
            <w:r w:rsidRPr="00B61251">
              <w:rPr>
                <w:b/>
              </w:rPr>
              <w:t>p-value</w:t>
            </w:r>
          </w:p>
        </w:tc>
      </w:tr>
      <w:tr w:rsidR="00B835F3" w:rsidRPr="00B61251" w:rsidTr="00B835F3">
        <w:tc>
          <w:tcPr>
            <w:tcW w:w="5000" w:type="pct"/>
            <w:gridSpan w:val="5"/>
            <w:vAlign w:val="center"/>
          </w:tcPr>
          <w:p w:rsidR="00B835F3" w:rsidRPr="00B61251" w:rsidRDefault="008B3E3F" w:rsidP="0079332B">
            <w:pPr>
              <w:pStyle w:val="Tabletext"/>
              <w:keepNext/>
            </w:pPr>
            <w:r w:rsidRPr="00B61251">
              <w:t>OS</w:t>
            </w:r>
          </w:p>
        </w:tc>
      </w:tr>
      <w:tr w:rsidR="004F4FA3" w:rsidRPr="00B61251" w:rsidTr="00B835F3">
        <w:tc>
          <w:tcPr>
            <w:tcW w:w="1057" w:type="pct"/>
            <w:vAlign w:val="center"/>
          </w:tcPr>
          <w:p w:rsidR="004F4FA3" w:rsidRPr="00B61251" w:rsidRDefault="004F4FA3" w:rsidP="0079332B">
            <w:pPr>
              <w:pStyle w:val="Tabletext"/>
              <w:keepNext/>
              <w:ind w:left="142"/>
            </w:pPr>
            <w:r w:rsidRPr="00B61251">
              <w:t>Keynote-024 ITT</w:t>
            </w:r>
          </w:p>
        </w:tc>
        <w:tc>
          <w:tcPr>
            <w:tcW w:w="1057" w:type="pct"/>
            <w:vAlign w:val="center"/>
          </w:tcPr>
          <w:p w:rsidR="004F4FA3" w:rsidRPr="00B61251" w:rsidRDefault="004F4FA3" w:rsidP="0079332B">
            <w:pPr>
              <w:pStyle w:val="Tabletext"/>
              <w:keepNext/>
              <w:jc w:val="center"/>
            </w:pPr>
            <w:r w:rsidRPr="00B61251">
              <w:t>0.53 (0.32, 0.88)</w:t>
            </w:r>
          </w:p>
        </w:tc>
        <w:tc>
          <w:tcPr>
            <w:tcW w:w="1212" w:type="pct"/>
            <w:vAlign w:val="center"/>
          </w:tcPr>
          <w:p w:rsidR="004F4FA3" w:rsidRPr="00B61251" w:rsidRDefault="004F4FA3" w:rsidP="0079332B">
            <w:pPr>
              <w:pStyle w:val="Tabletext"/>
              <w:keepNext/>
              <w:jc w:val="center"/>
              <w:rPr>
                <w:vertAlign w:val="superscript"/>
              </w:rPr>
            </w:pPr>
            <w:r w:rsidRPr="00B61251">
              <w:t>0.60 (0.41, 0.89)</w:t>
            </w:r>
          </w:p>
        </w:tc>
        <w:tc>
          <w:tcPr>
            <w:tcW w:w="1057" w:type="pct"/>
            <w:vAlign w:val="center"/>
          </w:tcPr>
          <w:p w:rsidR="004F4FA3" w:rsidRPr="00263693" w:rsidRDefault="004F4FA3" w:rsidP="0079332B">
            <w:pPr>
              <w:pStyle w:val="Tabletext"/>
              <w:keepNext/>
              <w:jc w:val="center"/>
              <w:rPr>
                <w:b/>
              </w:rPr>
            </w:pPr>
            <w:r w:rsidRPr="00263693">
              <w:t>0.89 (0.48, 1.65)</w:t>
            </w:r>
          </w:p>
        </w:tc>
        <w:tc>
          <w:tcPr>
            <w:tcW w:w="617" w:type="pct"/>
            <w:vAlign w:val="center"/>
          </w:tcPr>
          <w:p w:rsidR="004F4FA3" w:rsidRPr="00B61251" w:rsidRDefault="004F4FA3" w:rsidP="0079332B">
            <w:pPr>
              <w:pStyle w:val="Tabletext"/>
              <w:keepNext/>
              <w:jc w:val="center"/>
            </w:pPr>
            <w:r w:rsidRPr="00B61251">
              <w:t>0.714</w:t>
            </w:r>
          </w:p>
        </w:tc>
      </w:tr>
      <w:tr w:rsidR="004F4FA3" w:rsidRPr="00B61251" w:rsidTr="00B835F3">
        <w:tc>
          <w:tcPr>
            <w:tcW w:w="5000" w:type="pct"/>
            <w:gridSpan w:val="5"/>
            <w:vAlign w:val="center"/>
          </w:tcPr>
          <w:p w:rsidR="004F4FA3" w:rsidRPr="00263693" w:rsidRDefault="008B3E3F" w:rsidP="0079332B">
            <w:pPr>
              <w:pStyle w:val="Tabletext"/>
              <w:keepNext/>
            </w:pPr>
            <w:r w:rsidRPr="00263693">
              <w:t>PFS</w:t>
            </w:r>
          </w:p>
        </w:tc>
      </w:tr>
      <w:tr w:rsidR="004F4FA3" w:rsidRPr="00B61251" w:rsidTr="00B835F3">
        <w:tc>
          <w:tcPr>
            <w:tcW w:w="1057" w:type="pct"/>
            <w:vAlign w:val="center"/>
          </w:tcPr>
          <w:p w:rsidR="004F4FA3" w:rsidRPr="00B61251" w:rsidRDefault="004F4FA3" w:rsidP="0079332B">
            <w:pPr>
              <w:pStyle w:val="Tabletext"/>
              <w:keepNext/>
              <w:ind w:left="142"/>
            </w:pPr>
            <w:r w:rsidRPr="00B61251">
              <w:t>Keynote-024 ITT</w:t>
            </w:r>
          </w:p>
        </w:tc>
        <w:tc>
          <w:tcPr>
            <w:tcW w:w="1057" w:type="pct"/>
            <w:vAlign w:val="center"/>
          </w:tcPr>
          <w:p w:rsidR="004F4FA3" w:rsidRPr="00B61251" w:rsidRDefault="004F4FA3" w:rsidP="0079332B">
            <w:pPr>
              <w:pStyle w:val="Tabletext"/>
              <w:keepNext/>
              <w:jc w:val="center"/>
              <w:rPr>
                <w:vertAlign w:val="superscript"/>
              </w:rPr>
            </w:pPr>
            <w:r w:rsidRPr="00B61251">
              <w:t>0.18 (0.09, 0.34)</w:t>
            </w:r>
          </w:p>
        </w:tc>
        <w:tc>
          <w:tcPr>
            <w:tcW w:w="1212" w:type="pct"/>
            <w:vAlign w:val="center"/>
          </w:tcPr>
          <w:p w:rsidR="004F4FA3" w:rsidRPr="00B61251" w:rsidRDefault="004F4FA3" w:rsidP="0079332B">
            <w:pPr>
              <w:pStyle w:val="Tabletext"/>
              <w:keepNext/>
              <w:jc w:val="center"/>
              <w:rPr>
                <w:vertAlign w:val="superscript"/>
              </w:rPr>
            </w:pPr>
            <w:r w:rsidRPr="00B61251">
              <w:t>0.50 (0.37, 0.68)</w:t>
            </w:r>
          </w:p>
        </w:tc>
        <w:tc>
          <w:tcPr>
            <w:tcW w:w="1057" w:type="pct"/>
            <w:vAlign w:val="center"/>
          </w:tcPr>
          <w:p w:rsidR="004F4FA3" w:rsidRPr="00263693" w:rsidRDefault="004F4FA3" w:rsidP="0079332B">
            <w:pPr>
              <w:pStyle w:val="Tabletext"/>
              <w:keepNext/>
              <w:jc w:val="center"/>
              <w:rPr>
                <w:b/>
              </w:rPr>
            </w:pPr>
            <w:r w:rsidRPr="00263693">
              <w:rPr>
                <w:b/>
              </w:rPr>
              <w:t>0.36 (0.21, 0.60)</w:t>
            </w:r>
          </w:p>
        </w:tc>
        <w:tc>
          <w:tcPr>
            <w:tcW w:w="617" w:type="pct"/>
            <w:vAlign w:val="center"/>
          </w:tcPr>
          <w:p w:rsidR="004F4FA3" w:rsidRPr="00B61251" w:rsidRDefault="004F4FA3" w:rsidP="0079332B">
            <w:pPr>
              <w:pStyle w:val="Tabletext"/>
              <w:keepNext/>
              <w:jc w:val="center"/>
            </w:pPr>
            <w:r w:rsidRPr="00B61251">
              <w:t>0.000</w:t>
            </w:r>
          </w:p>
        </w:tc>
      </w:tr>
      <w:tr w:rsidR="004F4FA3" w:rsidRPr="00B61251" w:rsidTr="00B835F3">
        <w:tc>
          <w:tcPr>
            <w:tcW w:w="1057" w:type="pct"/>
            <w:vAlign w:val="center"/>
          </w:tcPr>
          <w:p w:rsidR="004F4FA3" w:rsidRPr="00B61251" w:rsidRDefault="004F4FA3" w:rsidP="0079332B">
            <w:pPr>
              <w:pStyle w:val="Tabletext"/>
              <w:keepNext/>
              <w:ind w:left="142"/>
            </w:pPr>
            <w:r w:rsidRPr="00B61251">
              <w:t>Keynote-024 NSQ subgroup</w:t>
            </w:r>
          </w:p>
        </w:tc>
        <w:tc>
          <w:tcPr>
            <w:tcW w:w="1057" w:type="pct"/>
            <w:vAlign w:val="center"/>
          </w:tcPr>
          <w:p w:rsidR="004F4FA3" w:rsidRPr="00B61251" w:rsidRDefault="004F4FA3" w:rsidP="0079332B">
            <w:pPr>
              <w:pStyle w:val="Tabletext"/>
              <w:keepNext/>
              <w:jc w:val="center"/>
            </w:pPr>
            <w:r w:rsidRPr="00B61251">
              <w:t>0.18 (0.09, 0.34)</w:t>
            </w:r>
          </w:p>
        </w:tc>
        <w:tc>
          <w:tcPr>
            <w:tcW w:w="1212" w:type="pct"/>
            <w:vAlign w:val="center"/>
          </w:tcPr>
          <w:p w:rsidR="004F4FA3" w:rsidRPr="00B61251" w:rsidRDefault="004F4FA3" w:rsidP="0079332B">
            <w:pPr>
              <w:pStyle w:val="Tabletext"/>
              <w:keepNext/>
              <w:jc w:val="center"/>
            </w:pPr>
            <w:r w:rsidRPr="00B61251">
              <w:t>0.55 (0.39, 0.76)</w:t>
            </w:r>
          </w:p>
        </w:tc>
        <w:tc>
          <w:tcPr>
            <w:tcW w:w="1057" w:type="pct"/>
            <w:vAlign w:val="center"/>
          </w:tcPr>
          <w:p w:rsidR="004F4FA3" w:rsidRPr="00263693" w:rsidRDefault="004F4FA3" w:rsidP="0079332B">
            <w:pPr>
              <w:pStyle w:val="Tabletext"/>
              <w:keepNext/>
              <w:jc w:val="center"/>
              <w:rPr>
                <w:b/>
              </w:rPr>
            </w:pPr>
            <w:r w:rsidRPr="00263693">
              <w:rPr>
                <w:b/>
              </w:rPr>
              <w:t>0.32 (0.23, 0.45)</w:t>
            </w:r>
          </w:p>
        </w:tc>
        <w:tc>
          <w:tcPr>
            <w:tcW w:w="617" w:type="pct"/>
            <w:vAlign w:val="center"/>
          </w:tcPr>
          <w:p w:rsidR="004F4FA3" w:rsidRPr="00B61251" w:rsidRDefault="004F4FA3" w:rsidP="0079332B">
            <w:pPr>
              <w:pStyle w:val="Tabletext"/>
              <w:keepNext/>
              <w:jc w:val="center"/>
            </w:pPr>
            <w:r w:rsidRPr="00B61251">
              <w:t>0.000</w:t>
            </w:r>
          </w:p>
        </w:tc>
      </w:tr>
    </w:tbl>
    <w:p w:rsidR="00A92B04" w:rsidRPr="00B61251" w:rsidRDefault="00A40343" w:rsidP="0079332B">
      <w:pPr>
        <w:pStyle w:val="TableFooter"/>
        <w:keepNext/>
        <w:widowControl/>
      </w:pPr>
      <w:r w:rsidRPr="00B61251">
        <w:t xml:space="preserve">ALK = anaplastic lymphoma kinase; </w:t>
      </w:r>
      <w:r w:rsidR="00476DDB" w:rsidRPr="00B61251">
        <w:t xml:space="preserve">ATEZO </w:t>
      </w:r>
      <w:r w:rsidR="00A92B04" w:rsidRPr="00B61251">
        <w:t xml:space="preserve">= atezolizumab; </w:t>
      </w:r>
      <w:r w:rsidR="00476DDB" w:rsidRPr="00B61251">
        <w:t xml:space="preserve">BEV </w:t>
      </w:r>
      <w:r w:rsidR="00A92B04" w:rsidRPr="00B61251">
        <w:t xml:space="preserve">= bevacizumab; CI = confidence interval; CP = carboplatin/paclitaxel; </w:t>
      </w:r>
      <w:r w:rsidRPr="00B61251">
        <w:t xml:space="preserve">EGFR = epidermal growth factor receptor; FAS = full analysis set; </w:t>
      </w:r>
      <w:r w:rsidR="00A92B04" w:rsidRPr="00B61251">
        <w:t xml:space="preserve">HR = hazard ratio; </w:t>
      </w:r>
      <w:r w:rsidRPr="00B61251">
        <w:t xml:space="preserve">ITT = intention to treat; </w:t>
      </w:r>
      <w:r w:rsidR="00A92B04" w:rsidRPr="00B61251">
        <w:t xml:space="preserve">PD-L1 = programmed cell death </w:t>
      </w:r>
      <w:r w:rsidR="007F5274" w:rsidRPr="00B61251">
        <w:t>ligand 1</w:t>
      </w:r>
      <w:r w:rsidR="00A92B04" w:rsidRPr="00B61251">
        <w:t xml:space="preserve">; </w:t>
      </w:r>
      <w:r w:rsidR="00B835F3" w:rsidRPr="00B61251">
        <w:t xml:space="preserve">NSQ = non-squamous; </w:t>
      </w:r>
      <w:r w:rsidR="008B3E3F" w:rsidRPr="00B61251">
        <w:t xml:space="preserve">OS = overall survival; PDC = platinum doublet chemotherapy; PFS = progression free survival; </w:t>
      </w:r>
      <w:r w:rsidR="00A92B04" w:rsidRPr="00B61251">
        <w:t>WT = wild type</w:t>
      </w:r>
    </w:p>
    <w:p w:rsidR="00A92B04" w:rsidRPr="00B61251" w:rsidRDefault="008B3E3F" w:rsidP="0079332B">
      <w:pPr>
        <w:pStyle w:val="TableFooter"/>
        <w:widowControl/>
      </w:pPr>
      <w:r w:rsidRPr="00B61251">
        <w:t xml:space="preserve">Source: Table 2.14, p32, </w:t>
      </w:r>
      <w:r w:rsidR="00A92B04" w:rsidRPr="00B61251">
        <w:t>Table 2.16, p33</w:t>
      </w:r>
      <w:r w:rsidRPr="00B61251">
        <w:t>,</w:t>
      </w:r>
      <w:r w:rsidR="00A92B04" w:rsidRPr="00B61251">
        <w:t xml:space="preserve"> </w:t>
      </w:r>
      <w:r w:rsidRPr="00B61251">
        <w:t xml:space="preserve">Table 2.25, p41 and Table 2.26, p 42 </w:t>
      </w:r>
      <w:r w:rsidR="00A92B04" w:rsidRPr="00B61251">
        <w:t>Attachment 2 to the submission; Spreadsheet</w:t>
      </w:r>
      <w:r w:rsidRPr="00B61251">
        <w:t>s ‘Pembro Keynote-024’, ‘ITC 1 ABCP vs CP’</w:t>
      </w:r>
      <w:r w:rsidR="00A92B04" w:rsidRPr="00B61251">
        <w:t xml:space="preserve"> </w:t>
      </w:r>
      <w:r w:rsidRPr="00B61251">
        <w:t xml:space="preserve">and ‘ITC 2 ABCP vs Pembro’ </w:t>
      </w:r>
      <w:r w:rsidR="00A92B04" w:rsidRPr="00B61251">
        <w:t>Excel workbook ‘ITC’, Section 2 spreadsheets, supplied with the submission.</w:t>
      </w:r>
    </w:p>
    <w:p w:rsidR="008B3E3F" w:rsidRPr="00B61251" w:rsidRDefault="008B3E3F" w:rsidP="00E71B52">
      <w:pPr>
        <w:pStyle w:val="ListParagraph"/>
        <w:widowControl/>
        <w:numPr>
          <w:ilvl w:val="1"/>
          <w:numId w:val="1"/>
        </w:numPr>
        <w:spacing w:before="120" w:after="120"/>
      </w:pPr>
      <w:r w:rsidRPr="00B61251">
        <w:t>In each step of</w:t>
      </w:r>
      <w:r w:rsidR="009C1FDC" w:rsidRPr="00B61251">
        <w:t xml:space="preserve"> the</w:t>
      </w:r>
      <w:r w:rsidRPr="00B61251">
        <w:t xml:space="preserve"> indirect comparison, the patient populations in the common reference arm differed in terms of both EGFR/ALK mutation status and PD-L1 expression status. </w:t>
      </w:r>
      <w:r w:rsidR="000F2687" w:rsidRPr="00B61251">
        <w:t xml:space="preserve">In addition to the transitivity issues outlined above for the indirect comparison of </w:t>
      </w:r>
      <w:r w:rsidR="00026509" w:rsidRPr="00B61251">
        <w:t>atezolizumab + bevacizumab</w:t>
      </w:r>
      <w:r w:rsidR="000F2687" w:rsidRPr="00B61251">
        <w:t xml:space="preserve"> + CP with PDC,</w:t>
      </w:r>
      <w:r w:rsidRPr="00B61251">
        <w:t xml:space="preserve"> this comparison relied on a subgroup analysis from IMpower150</w:t>
      </w:r>
      <w:r w:rsidR="000F2687" w:rsidRPr="00B61251">
        <w:t>,</w:t>
      </w:r>
      <w:r w:rsidRPr="00B61251">
        <w:t xml:space="preserve"> and the OS results from Keynote-024 were only reported for the ITT population, in which approximately 18% of patients ha</w:t>
      </w:r>
      <w:r w:rsidR="0068672B">
        <w:t>d predominantly squamous NSCLC.</w:t>
      </w:r>
    </w:p>
    <w:p w:rsidR="00B60939" w:rsidRPr="00B61251" w:rsidRDefault="00B60939" w:rsidP="00E71B52">
      <w:pPr>
        <w:pStyle w:val="Heading2"/>
        <w:widowControl/>
        <w:spacing w:before="120"/>
      </w:pPr>
      <w:bookmarkStart w:id="16" w:name="_Toc536010754"/>
      <w:r w:rsidRPr="00B61251">
        <w:t>Comparative harms</w:t>
      </w:r>
      <w:bookmarkEnd w:id="16"/>
    </w:p>
    <w:p w:rsidR="00B60939" w:rsidRPr="00B61251" w:rsidRDefault="0057291F" w:rsidP="00E71B52">
      <w:pPr>
        <w:pStyle w:val="ListParagraph"/>
        <w:widowControl/>
        <w:numPr>
          <w:ilvl w:val="1"/>
          <w:numId w:val="1"/>
        </w:numPr>
        <w:spacing w:before="120" w:after="120"/>
      </w:pPr>
      <w:r w:rsidRPr="00B61251">
        <w:rPr>
          <w:color w:val="000000" w:themeColor="text1"/>
        </w:rPr>
        <w:t xml:space="preserve">The key adverse events in IMpower150 are summarised in </w:t>
      </w:r>
      <w:r w:rsidR="00744BB1" w:rsidRPr="00B61251">
        <w:t>Table 7</w:t>
      </w:r>
      <w:r w:rsidRPr="00B61251">
        <w:rPr>
          <w:color w:val="000000" w:themeColor="text1"/>
        </w:rPr>
        <w:t>.</w:t>
      </w:r>
    </w:p>
    <w:p w:rsidR="0057291F" w:rsidRPr="00B61251" w:rsidRDefault="0057291F" w:rsidP="0079332B">
      <w:pPr>
        <w:pStyle w:val="Caption"/>
        <w:keepNext/>
        <w:widowControl/>
      </w:pPr>
      <w:bookmarkStart w:id="17" w:name="_Ref532903776"/>
      <w:r w:rsidRPr="00B61251">
        <w:lastRenderedPageBreak/>
        <w:t xml:space="preserve">Table </w:t>
      </w:r>
      <w:r w:rsidR="00396AB6" w:rsidRPr="00B61251">
        <w:t>7</w:t>
      </w:r>
      <w:bookmarkEnd w:id="17"/>
      <w:r w:rsidRPr="00B61251">
        <w:t xml:space="preserve">: </w:t>
      </w:r>
      <w:r w:rsidR="00DD5D62" w:rsidRPr="00B61251">
        <w:t>S</w:t>
      </w:r>
      <w:r w:rsidRPr="00B61251">
        <w:t>ummary of key</w:t>
      </w:r>
      <w:r w:rsidR="00930B18" w:rsidRPr="00B61251">
        <w:t xml:space="preserve"> adverse events in IMpower150 (s</w:t>
      </w:r>
      <w:r w:rsidRPr="00B61251">
        <w:t>afety population)</w:t>
      </w:r>
    </w:p>
    <w:tbl>
      <w:tblPr>
        <w:tblW w:w="5000" w:type="pct"/>
        <w:tblLook w:val="04A0" w:firstRow="1" w:lastRow="0" w:firstColumn="1" w:lastColumn="0" w:noHBand="0" w:noVBand="1"/>
        <w:tblCaption w:val="Summary of key adverse events in IMpower150 (safety population)"/>
      </w:tblPr>
      <w:tblGrid>
        <w:gridCol w:w="4034"/>
        <w:gridCol w:w="1663"/>
        <w:gridCol w:w="1663"/>
        <w:gridCol w:w="1657"/>
      </w:tblGrid>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pP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4242CA" w:rsidRPr="00B61251" w:rsidRDefault="00476DDB" w:rsidP="0079332B">
            <w:pPr>
              <w:pStyle w:val="Tabletext"/>
              <w:keepNext/>
              <w:jc w:val="center"/>
              <w:rPr>
                <w:b/>
              </w:rPr>
            </w:pPr>
            <w:r w:rsidRPr="00B61251">
              <w:rPr>
                <w:b/>
              </w:rPr>
              <w:t>ATEZO+BEV+</w:t>
            </w:r>
            <w:r w:rsidR="004242CA" w:rsidRPr="00B61251">
              <w:rPr>
                <w:b/>
              </w:rPr>
              <w:t>CP</w:t>
            </w:r>
          </w:p>
          <w:p w:rsidR="004242CA" w:rsidRPr="00B61251" w:rsidRDefault="004242CA" w:rsidP="0079332B">
            <w:pPr>
              <w:pStyle w:val="Tabletext"/>
              <w:keepNext/>
              <w:jc w:val="center"/>
              <w:rPr>
                <w:b/>
              </w:rPr>
            </w:pPr>
            <w:r w:rsidRPr="00B61251">
              <w:rPr>
                <w:b/>
              </w:rPr>
              <w:t>N=393</w:t>
            </w:r>
          </w:p>
          <w:p w:rsidR="004242CA" w:rsidRPr="00B61251" w:rsidRDefault="004242CA" w:rsidP="0079332B">
            <w:pPr>
              <w:pStyle w:val="Tabletext"/>
              <w:keepNext/>
              <w:jc w:val="center"/>
              <w:rPr>
                <w:b/>
              </w:rPr>
            </w:pPr>
            <w:r w:rsidRPr="00B61251">
              <w:rPr>
                <w:b/>
              </w:rPr>
              <w:t>n (%)</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4242CA" w:rsidRPr="00B61251" w:rsidRDefault="004242CA" w:rsidP="0079332B">
            <w:pPr>
              <w:pStyle w:val="Tabletext"/>
              <w:keepNext/>
              <w:jc w:val="center"/>
              <w:rPr>
                <w:b/>
              </w:rPr>
            </w:pPr>
            <w:r w:rsidRPr="00B61251">
              <w:rPr>
                <w:b/>
              </w:rPr>
              <w:t>A</w:t>
            </w:r>
            <w:r w:rsidR="00476DDB" w:rsidRPr="00B61251">
              <w:rPr>
                <w:b/>
              </w:rPr>
              <w:t>TEZO+</w:t>
            </w:r>
            <w:r w:rsidRPr="00B61251">
              <w:rPr>
                <w:b/>
              </w:rPr>
              <w:t>CP arm</w:t>
            </w:r>
          </w:p>
          <w:p w:rsidR="004242CA" w:rsidRPr="00B61251" w:rsidRDefault="004242CA" w:rsidP="0079332B">
            <w:pPr>
              <w:pStyle w:val="Tabletext"/>
              <w:keepNext/>
              <w:jc w:val="center"/>
              <w:rPr>
                <w:b/>
              </w:rPr>
            </w:pPr>
            <w:r w:rsidRPr="00B61251">
              <w:rPr>
                <w:b/>
              </w:rPr>
              <w:t>N=400</w:t>
            </w:r>
          </w:p>
          <w:p w:rsidR="004242CA" w:rsidRPr="00B61251" w:rsidRDefault="004242CA" w:rsidP="0079332B">
            <w:pPr>
              <w:pStyle w:val="Tabletext"/>
              <w:keepNext/>
              <w:jc w:val="center"/>
              <w:rPr>
                <w:b/>
              </w:rPr>
            </w:pPr>
            <w:r w:rsidRPr="00B61251">
              <w:rPr>
                <w:b/>
              </w:rPr>
              <w:t>n (%)</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76DDB" w:rsidP="0079332B">
            <w:pPr>
              <w:pStyle w:val="Tabletext"/>
              <w:keepNext/>
              <w:jc w:val="center"/>
              <w:rPr>
                <w:b/>
              </w:rPr>
            </w:pPr>
            <w:r w:rsidRPr="00B61251">
              <w:rPr>
                <w:b/>
              </w:rPr>
              <w:t>BEV+</w:t>
            </w:r>
            <w:r w:rsidR="004242CA" w:rsidRPr="00B61251">
              <w:rPr>
                <w:b/>
              </w:rPr>
              <w:t>CP arm</w:t>
            </w:r>
          </w:p>
          <w:p w:rsidR="004242CA" w:rsidRPr="00B61251" w:rsidRDefault="004242CA" w:rsidP="0079332B">
            <w:pPr>
              <w:pStyle w:val="Tabletext"/>
              <w:keepNext/>
              <w:jc w:val="center"/>
              <w:rPr>
                <w:b/>
              </w:rPr>
            </w:pPr>
            <w:r w:rsidRPr="00B61251">
              <w:rPr>
                <w:b/>
              </w:rPr>
              <w:t>N=394</w:t>
            </w:r>
          </w:p>
          <w:p w:rsidR="004242CA" w:rsidRPr="00B61251" w:rsidRDefault="004242CA" w:rsidP="0079332B">
            <w:pPr>
              <w:pStyle w:val="Tabletext"/>
              <w:keepNext/>
              <w:jc w:val="center"/>
              <w:rPr>
                <w:b/>
              </w:rPr>
            </w:pPr>
            <w:r w:rsidRPr="00B61251">
              <w:rPr>
                <w:b/>
              </w:rPr>
              <w:t>n (%)</w:t>
            </w:r>
          </w:p>
        </w:tc>
      </w:tr>
      <w:tr w:rsidR="004242CA" w:rsidRPr="00B61251" w:rsidTr="00724796">
        <w:tc>
          <w:tcPr>
            <w:tcW w:w="2237" w:type="pct"/>
            <w:tcBorders>
              <w:top w:val="single" w:sz="4" w:space="0" w:color="000000" w:themeColor="text1"/>
              <w:left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pPr>
            <w:r w:rsidRPr="00B61251">
              <w:t>Median duration of treatment, months</w:t>
            </w:r>
          </w:p>
        </w:tc>
        <w:tc>
          <w:tcPr>
            <w:tcW w:w="922" w:type="pct"/>
            <w:tcBorders>
              <w:top w:val="single" w:sz="4" w:space="0" w:color="000000" w:themeColor="text1"/>
              <w:left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jc w:val="center"/>
            </w:pPr>
          </w:p>
        </w:tc>
        <w:tc>
          <w:tcPr>
            <w:tcW w:w="922" w:type="pct"/>
            <w:tcBorders>
              <w:top w:val="single" w:sz="4" w:space="0" w:color="000000" w:themeColor="text1"/>
              <w:left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jc w:val="center"/>
            </w:pPr>
          </w:p>
        </w:tc>
        <w:tc>
          <w:tcPr>
            <w:tcW w:w="919" w:type="pct"/>
            <w:tcBorders>
              <w:top w:val="single" w:sz="4" w:space="0" w:color="000000" w:themeColor="text1"/>
              <w:left w:val="single" w:sz="4" w:space="0" w:color="000000" w:themeColor="text1"/>
              <w:right w:val="single" w:sz="4" w:space="0" w:color="000000" w:themeColor="text1"/>
            </w:tcBorders>
            <w:vAlign w:val="center"/>
          </w:tcPr>
          <w:p w:rsidR="004242CA" w:rsidRPr="00B61251" w:rsidRDefault="004242CA" w:rsidP="0079332B">
            <w:pPr>
              <w:pStyle w:val="Tabletext"/>
              <w:keepNext/>
              <w:jc w:val="center"/>
            </w:pPr>
          </w:p>
        </w:tc>
      </w:tr>
      <w:tr w:rsidR="004242CA" w:rsidRPr="00B61251" w:rsidTr="00724796">
        <w:tc>
          <w:tcPr>
            <w:tcW w:w="2237" w:type="pct"/>
            <w:tcBorders>
              <w:left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ind w:left="284"/>
            </w:pPr>
            <w:r w:rsidRPr="00B61251">
              <w:t>Atezolizumab</w:t>
            </w:r>
          </w:p>
        </w:tc>
        <w:tc>
          <w:tcPr>
            <w:tcW w:w="922" w:type="pct"/>
            <w:tcBorders>
              <w:left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jc w:val="center"/>
            </w:pPr>
            <w:r w:rsidRPr="00B61251">
              <w:t>8.3 months</w:t>
            </w:r>
          </w:p>
        </w:tc>
        <w:tc>
          <w:tcPr>
            <w:tcW w:w="922" w:type="pct"/>
            <w:tcBorders>
              <w:left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jc w:val="center"/>
            </w:pPr>
            <w:r w:rsidRPr="00B61251">
              <w:t>6.4 months</w:t>
            </w:r>
          </w:p>
        </w:tc>
        <w:tc>
          <w:tcPr>
            <w:tcW w:w="919" w:type="pct"/>
            <w:tcBorders>
              <w:left w:val="single" w:sz="4" w:space="0" w:color="000000" w:themeColor="text1"/>
              <w:right w:val="single" w:sz="4" w:space="0" w:color="000000" w:themeColor="text1"/>
            </w:tcBorders>
            <w:vAlign w:val="center"/>
          </w:tcPr>
          <w:p w:rsidR="004242CA" w:rsidRPr="00B61251" w:rsidRDefault="004242CA" w:rsidP="0079332B">
            <w:pPr>
              <w:pStyle w:val="Tabletext"/>
              <w:keepNext/>
              <w:jc w:val="center"/>
            </w:pPr>
            <w:r w:rsidRPr="00B61251">
              <w:t>-</w:t>
            </w:r>
          </w:p>
        </w:tc>
      </w:tr>
      <w:tr w:rsidR="004242CA" w:rsidRPr="00B61251" w:rsidTr="00724796">
        <w:tc>
          <w:tcPr>
            <w:tcW w:w="2237"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ind w:left="284"/>
            </w:pPr>
            <w:r w:rsidRPr="00B61251">
              <w:t>Bevacizumab</w:t>
            </w:r>
          </w:p>
        </w:tc>
        <w:tc>
          <w:tcPr>
            <w:tcW w:w="922"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jc w:val="center"/>
            </w:pPr>
            <w:r w:rsidRPr="00B61251">
              <w:t>6.7 months</w:t>
            </w:r>
          </w:p>
        </w:tc>
        <w:tc>
          <w:tcPr>
            <w:tcW w:w="922"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4242CA" w:rsidRPr="00B61251" w:rsidRDefault="004242CA" w:rsidP="0079332B">
            <w:pPr>
              <w:pStyle w:val="Tabletext"/>
              <w:keepNext/>
              <w:jc w:val="center"/>
            </w:pPr>
            <w:r w:rsidRPr="00B61251">
              <w:t>-</w:t>
            </w:r>
          </w:p>
        </w:tc>
        <w:tc>
          <w:tcPr>
            <w:tcW w:w="919" w:type="pct"/>
            <w:tcBorders>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pPr>
            <w:r w:rsidRPr="00B61251">
              <w:t>5.1 months</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pPr>
            <w:r w:rsidRPr="00B61251">
              <w:t>Total number of patients with at least one AE</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t>386 (98.2%)</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t>391 (97.8%)</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pPr>
            <w:r w:rsidRPr="00B61251">
              <w:t>390 (99.0%)</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pPr>
            <w:r w:rsidRPr="00B61251">
              <w:t>Total number of events</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t>6419</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t>4851</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pPr>
            <w:r w:rsidRPr="00B61251">
              <w:t>4630</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2CA" w:rsidRPr="00B61251" w:rsidRDefault="004242CA" w:rsidP="0079332B">
            <w:pPr>
              <w:pStyle w:val="Tabletext"/>
              <w:keepNext/>
            </w:pPr>
            <w:r w:rsidRPr="00B61251">
              <w:t>Total number of patients with at least one:</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pP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pP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pP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ind w:left="142"/>
            </w:pPr>
            <w:r w:rsidRPr="00B61251">
              <w:t>Treatment-related AE</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370 (94.1%)</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377 (94.3%)</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377 (95.7%)</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ind w:left="142"/>
            </w:pPr>
            <w:r w:rsidRPr="00B61251">
              <w:t>Deaths due to AE (Grade 5 AE)</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rPr>
                <w:vertAlign w:val="superscript"/>
              </w:rPr>
            </w:pPr>
            <w:r w:rsidRPr="00B61251">
              <w:rPr>
                <w:rFonts w:cs="CourierNew"/>
              </w:rPr>
              <w:t>24 (6.1%)</w:t>
            </w:r>
            <w:r w:rsidRPr="00B61251">
              <w:rPr>
                <w:rFonts w:cs="CourierNew"/>
                <w:vertAlign w:val="superscript"/>
              </w:rPr>
              <w:t>a</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10 (2.5%)</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vertAlign w:val="superscript"/>
              </w:rPr>
            </w:pPr>
            <w:r w:rsidRPr="00B61251">
              <w:rPr>
                <w:rFonts w:cs="CourierNew"/>
              </w:rPr>
              <w:t>21 (5.3%)</w:t>
            </w:r>
            <w:r w:rsidRPr="00B61251">
              <w:rPr>
                <w:rFonts w:cs="CourierNew"/>
                <w:vertAlign w:val="superscript"/>
              </w:rPr>
              <w:t>b</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ind w:left="142"/>
            </w:pPr>
            <w:r w:rsidRPr="00B61251">
              <w:rPr>
                <w:rFonts w:cs="CourierNew"/>
              </w:rPr>
              <w:t>Treatment-related Grade 5 AE</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11 (2.8%)</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4 (1.0%)</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9 (2.3%)</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2CA" w:rsidRPr="00B61251" w:rsidRDefault="004242CA" w:rsidP="0079332B">
            <w:pPr>
              <w:pStyle w:val="Tabletext"/>
              <w:keepNext/>
              <w:ind w:left="426"/>
              <w:rPr>
                <w:rFonts w:cs="CourierNew"/>
              </w:rPr>
            </w:pPr>
            <w:r w:rsidRPr="00B61251">
              <w:rPr>
                <w:rFonts w:cs="CourierNew"/>
              </w:rPr>
              <w:t>Related to atezolizumab treatment</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1</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3</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2CA" w:rsidRPr="00B61251" w:rsidRDefault="004242CA" w:rsidP="0079332B">
            <w:pPr>
              <w:pStyle w:val="Tabletext"/>
              <w:keepNext/>
              <w:ind w:left="426"/>
              <w:rPr>
                <w:rFonts w:cs="CourierNew"/>
              </w:rPr>
            </w:pPr>
            <w:r w:rsidRPr="00B61251">
              <w:rPr>
                <w:rFonts w:cs="CourierNew"/>
              </w:rPr>
              <w:t xml:space="preserve">Related to bevacizumab treatment </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4</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8</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2CA" w:rsidRPr="00B61251" w:rsidRDefault="004242CA" w:rsidP="0079332B">
            <w:pPr>
              <w:pStyle w:val="Tabletext"/>
              <w:keepNext/>
              <w:ind w:left="426"/>
              <w:rPr>
                <w:rFonts w:cs="CourierNew"/>
              </w:rPr>
            </w:pPr>
            <w:r w:rsidRPr="00B61251">
              <w:rPr>
                <w:rFonts w:cs="CourierNew"/>
              </w:rPr>
              <w:t>Related to both atezolizumab and bevacizumab</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4</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ind w:left="142"/>
            </w:pPr>
            <w:r w:rsidRPr="00B61251">
              <w:rPr>
                <w:rFonts w:cs="CourierNew"/>
              </w:rPr>
              <w:t>AE leading to withdrawal from any treatment</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rPr>
                <w:vertAlign w:val="superscript"/>
              </w:rPr>
            </w:pPr>
            <w:r w:rsidRPr="00B61251">
              <w:rPr>
                <w:rFonts w:cs="CourierNew"/>
              </w:rPr>
              <w:t>133 (33.8%)</w:t>
            </w:r>
            <w:r w:rsidRPr="00B61251">
              <w:rPr>
                <w:rFonts w:cs="CourierNew"/>
                <w:vertAlign w:val="superscript"/>
              </w:rPr>
              <w:t>c, d</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rPr>
                <w:vertAlign w:val="superscript"/>
              </w:rPr>
            </w:pPr>
            <w:r w:rsidRPr="00B61251">
              <w:rPr>
                <w:rFonts w:cs="CourierNew"/>
              </w:rPr>
              <w:t>53 (13.3%)</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vertAlign w:val="superscript"/>
              </w:rPr>
            </w:pPr>
            <w:r w:rsidRPr="00B61251">
              <w:rPr>
                <w:rFonts w:cs="CourierNew"/>
              </w:rPr>
              <w:t>98 (24.9%)</w:t>
            </w:r>
            <w:r w:rsidRPr="00B61251">
              <w:rPr>
                <w:rFonts w:cs="CourierNew"/>
                <w:vertAlign w:val="superscript"/>
              </w:rPr>
              <w:t>e</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ind w:left="142"/>
            </w:pPr>
            <w:r w:rsidRPr="00B61251">
              <w:rPr>
                <w:rFonts w:cs="CourierNew"/>
              </w:rPr>
              <w:t>AE leading to any dose modification/ interruption</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246 (62.6%)</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207 (51.8%)</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188 (47.7%)</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ind w:left="142"/>
            </w:pPr>
            <w:r w:rsidRPr="00B61251">
              <w:rPr>
                <w:rFonts w:cs="CourierNew"/>
              </w:rPr>
              <w:t>Serious Adverse Event</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174 (44.3%)</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157 (39.3%)</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135 (34.3%)</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ind w:left="284"/>
            </w:pPr>
            <w:r w:rsidRPr="00B61251">
              <w:rPr>
                <w:rFonts w:cs="CourierNew"/>
              </w:rPr>
              <w:t xml:space="preserve">Treatment-Related Serious Adverse Event </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rPr>
                <w:vertAlign w:val="superscript"/>
              </w:rPr>
            </w:pPr>
            <w:r w:rsidRPr="00B61251">
              <w:rPr>
                <w:rFonts w:cs="CourierNew"/>
              </w:rPr>
              <w:t>103 (26.2%)</w:t>
            </w:r>
            <w:r w:rsidRPr="00B61251">
              <w:rPr>
                <w:rFonts w:cs="CourierNew"/>
                <w:vertAlign w:val="superscript"/>
              </w:rPr>
              <w:t>f</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78 (19.5%)</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78 (19.8%)</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ind w:left="142"/>
            </w:pPr>
            <w:r w:rsidRPr="00B61251">
              <w:rPr>
                <w:rFonts w:cs="CourierNew"/>
              </w:rPr>
              <w:t>Grade 3-4 AE</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250 (63.6%)</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230 (57.5%)</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230 (58.4%)</w:t>
            </w:r>
          </w:p>
        </w:tc>
      </w:tr>
      <w:tr w:rsidR="004242CA" w:rsidRPr="00B61251" w:rsidTr="00724796">
        <w:tc>
          <w:tcPr>
            <w:tcW w:w="2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2CA" w:rsidRPr="00B61251" w:rsidRDefault="004242CA" w:rsidP="0079332B">
            <w:pPr>
              <w:pStyle w:val="Tabletext"/>
              <w:keepNext/>
              <w:ind w:left="284"/>
            </w:pPr>
            <w:r w:rsidRPr="00B61251">
              <w:rPr>
                <w:rFonts w:cs="CourierNew"/>
              </w:rPr>
              <w:t>Treatment-related Grade 3-4 AE</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rPr>
                <w:vertAlign w:val="superscript"/>
              </w:rPr>
            </w:pPr>
            <w:r w:rsidRPr="00B61251">
              <w:rPr>
                <w:rFonts w:cs="CourierNew"/>
              </w:rPr>
              <w:t>223 (56.7%)</w:t>
            </w:r>
            <w:r w:rsidRPr="00B61251">
              <w:rPr>
                <w:rFonts w:cs="CourierNew"/>
                <w:vertAlign w:val="superscript"/>
              </w:rPr>
              <w:t>g</w:t>
            </w:r>
          </w:p>
        </w:tc>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2CA" w:rsidRPr="00B61251" w:rsidRDefault="004242CA" w:rsidP="0079332B">
            <w:pPr>
              <w:pStyle w:val="Tabletext"/>
              <w:keepNext/>
              <w:jc w:val="center"/>
            </w:pPr>
            <w:r w:rsidRPr="00B61251">
              <w:rPr>
                <w:rFonts w:cs="CourierNew"/>
              </w:rPr>
              <w:t>172 (43.0%)</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42CA" w:rsidRPr="00B61251" w:rsidRDefault="004242CA" w:rsidP="0079332B">
            <w:pPr>
              <w:pStyle w:val="Tabletext"/>
              <w:keepNext/>
              <w:jc w:val="center"/>
              <w:rPr>
                <w:rFonts w:cs="CourierNew"/>
              </w:rPr>
            </w:pPr>
            <w:r w:rsidRPr="00B61251">
              <w:rPr>
                <w:rFonts w:cs="CourierNew"/>
              </w:rPr>
              <w:t>191 (48.5%)</w:t>
            </w:r>
          </w:p>
        </w:tc>
      </w:tr>
    </w:tbl>
    <w:p w:rsidR="004242CA" w:rsidRPr="00B61251" w:rsidRDefault="004242CA" w:rsidP="0079332B">
      <w:pPr>
        <w:pStyle w:val="TableFooter"/>
        <w:keepNext/>
        <w:widowControl/>
      </w:pPr>
      <w:r w:rsidRPr="00B61251">
        <w:t xml:space="preserve">AE = adverse event; </w:t>
      </w:r>
      <w:r w:rsidR="00476DDB" w:rsidRPr="00B61251">
        <w:t xml:space="preserve">ATEZO </w:t>
      </w:r>
      <w:r w:rsidRPr="00B61251">
        <w:t xml:space="preserve">= atezolizumab; </w:t>
      </w:r>
      <w:r w:rsidR="00476DDB" w:rsidRPr="00B61251">
        <w:t xml:space="preserve">BEV </w:t>
      </w:r>
      <w:r w:rsidRPr="00B61251">
        <w:t>= bevacizumab; CP = carboplatin/paclitaxel</w:t>
      </w:r>
    </w:p>
    <w:p w:rsidR="004242CA" w:rsidRPr="00B61251" w:rsidRDefault="004242CA" w:rsidP="0079332B">
      <w:pPr>
        <w:pStyle w:val="TableFooter"/>
        <w:widowControl/>
      </w:pPr>
      <w:r w:rsidRPr="00B61251">
        <w:rPr>
          <w:vertAlign w:val="superscript"/>
        </w:rPr>
        <w:t xml:space="preserve">a </w:t>
      </w:r>
      <w:r w:rsidRPr="00B61251">
        <w:t>Relative risk (RR) of death due to AE vs atezolizumab + CP: 2.4 (95% CI: 1.2, 5.0)</w:t>
      </w:r>
    </w:p>
    <w:p w:rsidR="004242CA" w:rsidRPr="00B61251" w:rsidRDefault="004242CA" w:rsidP="0079332B">
      <w:pPr>
        <w:pStyle w:val="TableFooter"/>
        <w:widowControl/>
      </w:pPr>
      <w:r w:rsidRPr="00B61251">
        <w:rPr>
          <w:vertAlign w:val="superscript"/>
        </w:rPr>
        <w:t>b</w:t>
      </w:r>
      <w:r w:rsidRPr="00B61251">
        <w:t xml:space="preserve"> RR of death due to AE vs atezolizumab + CP: 2.1 (95% CI: 1.0, 4.5)</w:t>
      </w:r>
    </w:p>
    <w:p w:rsidR="004242CA" w:rsidRPr="00B61251" w:rsidRDefault="004242CA" w:rsidP="0079332B">
      <w:pPr>
        <w:pStyle w:val="TableFooter"/>
        <w:widowControl/>
      </w:pPr>
      <w:r w:rsidRPr="00B61251">
        <w:rPr>
          <w:vertAlign w:val="superscript"/>
        </w:rPr>
        <w:t>c</w:t>
      </w:r>
      <w:r w:rsidRPr="00B61251">
        <w:t xml:space="preserve"> RR of AE leading to withdrawal vs bevacizumab + CP: 1.4 (95% CI: 1.1, 1.7)</w:t>
      </w:r>
    </w:p>
    <w:p w:rsidR="004242CA" w:rsidRPr="00B61251" w:rsidRDefault="004242CA" w:rsidP="0079332B">
      <w:pPr>
        <w:pStyle w:val="TableFooter"/>
        <w:widowControl/>
      </w:pPr>
      <w:r w:rsidRPr="00B61251">
        <w:rPr>
          <w:vertAlign w:val="superscript"/>
        </w:rPr>
        <w:t>d</w:t>
      </w:r>
      <w:r w:rsidRPr="00B61251">
        <w:t xml:space="preserve"> RR of AE leading to withdrawal vs atezolizumab + CP: 2.6 (95% CI: 1.9, 3.4)</w:t>
      </w:r>
    </w:p>
    <w:p w:rsidR="004242CA" w:rsidRPr="00B61251" w:rsidRDefault="004242CA" w:rsidP="0079332B">
      <w:pPr>
        <w:pStyle w:val="TableFooter"/>
        <w:widowControl/>
      </w:pPr>
      <w:r w:rsidRPr="00B61251">
        <w:rPr>
          <w:vertAlign w:val="superscript"/>
        </w:rPr>
        <w:t>e</w:t>
      </w:r>
      <w:r w:rsidRPr="00B61251">
        <w:t xml:space="preserve"> RR of AE leading to withdrawal vs atezolizumab + CP: 1.9 (95% CI: 1.4, 2.5)</w:t>
      </w:r>
    </w:p>
    <w:p w:rsidR="004242CA" w:rsidRPr="00B61251" w:rsidRDefault="004242CA" w:rsidP="0079332B">
      <w:pPr>
        <w:pStyle w:val="TableFooter"/>
        <w:widowControl/>
      </w:pPr>
      <w:r w:rsidRPr="00B61251">
        <w:rPr>
          <w:vertAlign w:val="superscript"/>
        </w:rPr>
        <w:t>f</w:t>
      </w:r>
      <w:r w:rsidRPr="00B61251">
        <w:t xml:space="preserve"> RR treatment related severe AE, vs bevacizumab + CP: 1.3 (95% CI; 1.0, 1.7), vs atezolizumab + CP: 1.3 (95% CI: 1.0, 1.7)</w:t>
      </w:r>
    </w:p>
    <w:p w:rsidR="004242CA" w:rsidRPr="00B61251" w:rsidRDefault="004242CA" w:rsidP="0079332B">
      <w:pPr>
        <w:pStyle w:val="TableFooter"/>
        <w:widowControl/>
      </w:pPr>
      <w:r w:rsidRPr="00B61251">
        <w:rPr>
          <w:vertAlign w:val="superscript"/>
        </w:rPr>
        <w:t>g</w:t>
      </w:r>
      <w:r w:rsidRPr="00B61251">
        <w:t xml:space="preserve"> RR treatment related Grad 3-4 AE, vs bevacizumab + CP: 1.2 (95% CI: 1.0, 1.3), vs atezolizumab + CP: 1.3 (95% CI: 1.1, 1.5)</w:t>
      </w:r>
    </w:p>
    <w:p w:rsidR="004242CA" w:rsidRPr="00B61251" w:rsidRDefault="004242CA" w:rsidP="0079332B">
      <w:pPr>
        <w:pStyle w:val="TableFooter"/>
        <w:widowControl/>
      </w:pPr>
      <w:r w:rsidRPr="00B61251">
        <w:t>Relative risks were calculated during the evaluation.</w:t>
      </w:r>
    </w:p>
    <w:p w:rsidR="004242CA" w:rsidRPr="00B61251" w:rsidRDefault="004242CA" w:rsidP="0079332B">
      <w:pPr>
        <w:pStyle w:val="TableFooter"/>
        <w:widowControl/>
      </w:pPr>
      <w:r w:rsidRPr="00B61251">
        <w:t>* January 2018 data cut (IMpower150 CSR Update, May 2018)</w:t>
      </w:r>
    </w:p>
    <w:p w:rsidR="004242CA" w:rsidRPr="00B61251" w:rsidRDefault="004242CA" w:rsidP="0079332B">
      <w:pPr>
        <w:pStyle w:val="TableFooter"/>
        <w:widowControl/>
      </w:pPr>
      <w:r w:rsidRPr="00B61251">
        <w:t>Source: Table 2.5.14, p139 of the submission.</w:t>
      </w:r>
    </w:p>
    <w:p w:rsidR="0057291F" w:rsidRPr="00B61251" w:rsidRDefault="0057291F" w:rsidP="00E71B52">
      <w:pPr>
        <w:pStyle w:val="ListParagraph"/>
        <w:widowControl/>
        <w:numPr>
          <w:ilvl w:val="1"/>
          <w:numId w:val="1"/>
        </w:numPr>
        <w:spacing w:before="120" w:after="120"/>
      </w:pPr>
      <w:r w:rsidRPr="00B61251">
        <w:t xml:space="preserve">The safety data indicated that both </w:t>
      </w:r>
      <w:r w:rsidR="00026509" w:rsidRPr="00B61251">
        <w:t>atezolizumab + bevacizumab</w:t>
      </w:r>
      <w:r w:rsidRPr="00B61251">
        <w:t xml:space="preserve"> + CP and bevacizumab + CP were associated with </w:t>
      </w:r>
      <w:r w:rsidR="00DC26FE" w:rsidRPr="00B61251">
        <w:t xml:space="preserve">significantly </w:t>
      </w:r>
      <w:r w:rsidRPr="00B61251">
        <w:t xml:space="preserve">more deaths due to AEs and AEs leading to withdrawal from treatment compared with atezolizumab + CP. The addition of atezolizumab to bevacizumab + CP was associated with </w:t>
      </w:r>
      <w:r w:rsidR="007C7B59" w:rsidRPr="00B61251">
        <w:t xml:space="preserve">significantly </w:t>
      </w:r>
      <w:r w:rsidRPr="00B61251">
        <w:t>higher incidence of AEs leading to treatment discontinuation, treatment related serious AEs and treatment-related Grade 3-4 AEs.</w:t>
      </w:r>
    </w:p>
    <w:p w:rsidR="00446A6A" w:rsidRPr="00B61251" w:rsidRDefault="00F352B6" w:rsidP="00E71B52">
      <w:pPr>
        <w:pStyle w:val="ListParagraph"/>
        <w:widowControl/>
        <w:numPr>
          <w:ilvl w:val="1"/>
          <w:numId w:val="1"/>
        </w:numPr>
        <w:spacing w:before="120" w:after="120"/>
      </w:pPr>
      <w:r w:rsidRPr="00B61251">
        <w:t>The submission did not perform an indirect comparison of safety due to the limited data reported in both Sandler 2006 and Zhou 2015. In addition, comparison of safety event rates across the trials were confounded by the d</w:t>
      </w:r>
      <w:r w:rsidR="0079332B">
        <w:t>ifference in duration of follow</w:t>
      </w:r>
      <w:r w:rsidR="0079332B">
        <w:noBreakHyphen/>
      </w:r>
      <w:r w:rsidRPr="00B61251">
        <w:t>up and extent of exposure to study drugs. Due to this, the magnitude of the increase in harms associated with the addition of atezolizumab and bevacizumab to PDC could not be reliably determined.</w:t>
      </w:r>
    </w:p>
    <w:p w:rsidR="007F1017" w:rsidRPr="00B61251" w:rsidRDefault="007F1017" w:rsidP="00E71B52">
      <w:pPr>
        <w:pStyle w:val="Heading2"/>
        <w:keepNext/>
        <w:widowControl/>
        <w:spacing w:before="120"/>
      </w:pPr>
      <w:bookmarkStart w:id="18" w:name="_Toc536010755"/>
      <w:r w:rsidRPr="00B61251">
        <w:t>Benefits/harms</w:t>
      </w:r>
      <w:bookmarkEnd w:id="18"/>
    </w:p>
    <w:p w:rsidR="007F2EFF" w:rsidRPr="00B61251" w:rsidRDefault="004116A3" w:rsidP="00E71B52">
      <w:pPr>
        <w:pStyle w:val="ListParagraph"/>
        <w:widowControl/>
        <w:numPr>
          <w:ilvl w:val="1"/>
          <w:numId w:val="1"/>
        </w:numPr>
        <w:spacing w:before="120" w:after="120"/>
      </w:pPr>
      <w:r w:rsidRPr="00B61251">
        <w:t xml:space="preserve">Based on the results of IMpower150, atezolizumab + bevacizumab + CP was found to result in </w:t>
      </w:r>
      <w:r w:rsidR="00C539D2" w:rsidRPr="00B61251">
        <w:t xml:space="preserve">a </w:t>
      </w:r>
      <w:r w:rsidRPr="00B61251">
        <w:t xml:space="preserve">median increase in progression free survival of approximately 1.6 months </w:t>
      </w:r>
      <w:r w:rsidRPr="00B61251">
        <w:lastRenderedPageBreak/>
        <w:t xml:space="preserve">compared to bevacizumab + CP and </w:t>
      </w:r>
      <w:r w:rsidR="00C539D2" w:rsidRPr="00B61251">
        <w:t>a median increase in</w:t>
      </w:r>
      <w:r w:rsidRPr="00B61251">
        <w:t xml:space="preserve"> overall survival </w:t>
      </w:r>
      <w:r w:rsidR="00C539D2" w:rsidRPr="00B61251">
        <w:t xml:space="preserve">of 4.9 months </w:t>
      </w:r>
      <w:r w:rsidRPr="00B61251">
        <w:t>compared to bevacizumab + CP</w:t>
      </w:r>
      <w:r w:rsidR="008F0600" w:rsidRPr="00B61251">
        <w:t>.</w:t>
      </w:r>
    </w:p>
    <w:p w:rsidR="00B60939" w:rsidRPr="00B61251" w:rsidRDefault="00B60939" w:rsidP="00E71B52">
      <w:pPr>
        <w:pStyle w:val="Heading2"/>
        <w:widowControl/>
        <w:spacing w:before="120"/>
      </w:pPr>
      <w:bookmarkStart w:id="19" w:name="_Toc536010756"/>
      <w:r w:rsidRPr="00B61251">
        <w:t>Clinical claim</w:t>
      </w:r>
      <w:bookmarkEnd w:id="19"/>
    </w:p>
    <w:p w:rsidR="00703816" w:rsidRPr="00B61251" w:rsidRDefault="00FA4E62" w:rsidP="00E71B52">
      <w:pPr>
        <w:pStyle w:val="ListParagraph"/>
        <w:widowControl/>
        <w:numPr>
          <w:ilvl w:val="1"/>
          <w:numId w:val="1"/>
        </w:numPr>
        <w:spacing w:before="120" w:after="120"/>
      </w:pPr>
      <w:r w:rsidRPr="00B61251">
        <w:t xml:space="preserve">The submission described </w:t>
      </w:r>
      <w:r w:rsidR="00026509" w:rsidRPr="00B61251">
        <w:t>atezolizumab + bevacizumab</w:t>
      </w:r>
      <w:r w:rsidRPr="00B61251">
        <w:t xml:space="preserve"> + PDC as superior in terms of effectiveness and inferior in terms of safety compared with PDC alone for both EGFR wild type/ALK negative patients, and for EGFR mutant/ALK positive patients after TKI therapy. The submission claimed that the safety profile of </w:t>
      </w:r>
      <w:r w:rsidR="00026509" w:rsidRPr="00B61251">
        <w:t>atezolizumab + bevacizumab</w:t>
      </w:r>
      <w:r w:rsidRPr="00B61251">
        <w:t xml:space="preserve"> + PDC remained acceptable and manageable.</w:t>
      </w:r>
    </w:p>
    <w:p w:rsidR="00CC18FC" w:rsidRPr="00B61251" w:rsidRDefault="00CC18FC" w:rsidP="00E71B52">
      <w:pPr>
        <w:pStyle w:val="ListParagraph"/>
        <w:widowControl/>
        <w:numPr>
          <w:ilvl w:val="1"/>
          <w:numId w:val="1"/>
        </w:numPr>
        <w:spacing w:before="120" w:after="120"/>
      </w:pPr>
      <w:r w:rsidRPr="00B61251">
        <w:t xml:space="preserve">The submission described </w:t>
      </w:r>
      <w:r w:rsidR="00026509" w:rsidRPr="00B61251">
        <w:t>atezolizumab + bevacizumab</w:t>
      </w:r>
      <w:r w:rsidRPr="00B61251">
        <w:t xml:space="preserve"> + PDC as non-inferior in terms of effectiveness and inferior in terms of safety compared with pembrolizumab monotherapy in patients with EGFR wild type/ALK negative NSQ NS</w:t>
      </w:r>
      <w:r w:rsidR="0079332B">
        <w:t>CLC with high PD</w:t>
      </w:r>
      <w:r w:rsidR="0079332B">
        <w:noBreakHyphen/>
      </w:r>
      <w:r w:rsidR="0068672B">
        <w:t>L1 expression.</w:t>
      </w:r>
    </w:p>
    <w:p w:rsidR="00952886" w:rsidRPr="00B61251" w:rsidRDefault="00952886" w:rsidP="00E71B52">
      <w:pPr>
        <w:pStyle w:val="ListParagraph"/>
        <w:widowControl/>
        <w:numPr>
          <w:ilvl w:val="1"/>
          <w:numId w:val="1"/>
        </w:numPr>
        <w:spacing w:before="120" w:after="120"/>
        <w:ind w:left="709" w:hanging="709"/>
      </w:pPr>
      <w:r w:rsidRPr="00B61251">
        <w:t xml:space="preserve">The PBAC considered that the claim of superior comparative effectiveness </w:t>
      </w:r>
      <w:r w:rsidR="00C15D32" w:rsidRPr="00B61251">
        <w:t xml:space="preserve">to PDC </w:t>
      </w:r>
      <w:r w:rsidR="009263F8" w:rsidRPr="00B61251">
        <w:t xml:space="preserve">in </w:t>
      </w:r>
      <w:r w:rsidR="0042620E" w:rsidRPr="00B61251">
        <w:t xml:space="preserve">EGFR wild type/ALK negative patients </w:t>
      </w:r>
      <w:r w:rsidRPr="00B61251">
        <w:t>was reasonable</w:t>
      </w:r>
      <w:r w:rsidR="00C15D32" w:rsidRPr="00B61251">
        <w:t>, however the incremental benefit of the inclusion of bevacizumab was uncertain.</w:t>
      </w:r>
    </w:p>
    <w:p w:rsidR="00C76D68" w:rsidRPr="00B61251" w:rsidRDefault="00C76D68" w:rsidP="00E71B52">
      <w:pPr>
        <w:pStyle w:val="ListParagraph"/>
        <w:widowControl/>
        <w:numPr>
          <w:ilvl w:val="1"/>
          <w:numId w:val="1"/>
        </w:numPr>
        <w:spacing w:before="120" w:after="120"/>
        <w:ind w:left="709" w:hanging="709"/>
      </w:pPr>
      <w:r w:rsidRPr="00B61251">
        <w:t xml:space="preserve">The PBAC considered that the claim of inferior comparative safety </w:t>
      </w:r>
      <w:r w:rsidR="0040761D" w:rsidRPr="00B61251">
        <w:t xml:space="preserve">to PDC </w:t>
      </w:r>
      <w:r w:rsidR="0070224B">
        <w:t>in EGFR wild type/ ALK negative patients</w:t>
      </w:r>
      <w:r w:rsidR="0070224B" w:rsidRPr="00B61251">
        <w:t xml:space="preserve"> </w:t>
      </w:r>
      <w:r w:rsidRPr="00B61251">
        <w:t>was reasonable</w:t>
      </w:r>
      <w:r w:rsidR="006075F8">
        <w:t>,</w:t>
      </w:r>
      <w:r w:rsidRPr="00B61251">
        <w:t xml:space="preserve"> and that the toxicities were known and likely manageable in practice.</w:t>
      </w:r>
    </w:p>
    <w:p w:rsidR="00237D8E" w:rsidRPr="00B61251" w:rsidRDefault="00237D8E" w:rsidP="00E71B52">
      <w:pPr>
        <w:pStyle w:val="ListParagraph"/>
        <w:widowControl/>
        <w:numPr>
          <w:ilvl w:val="1"/>
          <w:numId w:val="1"/>
        </w:numPr>
        <w:spacing w:before="120" w:after="120"/>
        <w:ind w:left="709" w:hanging="709"/>
      </w:pPr>
      <w:r w:rsidRPr="00B61251">
        <w:t xml:space="preserve">The PBAC considered that the claim </w:t>
      </w:r>
      <w:r>
        <w:t xml:space="preserve">of superior comparative </w:t>
      </w:r>
      <w:r w:rsidRPr="00B61251">
        <w:t xml:space="preserve">effectiveness </w:t>
      </w:r>
      <w:r>
        <w:t xml:space="preserve">to PDC </w:t>
      </w:r>
      <w:r w:rsidRPr="00B61251">
        <w:t>in EGFR mutant/ALK positive patients after TKI therapy</w:t>
      </w:r>
      <w:r>
        <w:t xml:space="preserve"> was reasonable</w:t>
      </w:r>
      <w:r w:rsidRPr="00B61251">
        <w:t xml:space="preserve">, but noted that this was based on an ITC of a small subgroup and so the magnitude of </w:t>
      </w:r>
      <w:r w:rsidR="0070224B">
        <w:t>the benefit remained</w:t>
      </w:r>
      <w:r w:rsidRPr="00B61251">
        <w:t xml:space="preserve"> highly uncertain.</w:t>
      </w:r>
    </w:p>
    <w:p w:rsidR="00237D8E" w:rsidRPr="00B61251" w:rsidRDefault="00237D8E" w:rsidP="00E71B52">
      <w:pPr>
        <w:pStyle w:val="ListParagraph"/>
        <w:widowControl/>
        <w:numPr>
          <w:ilvl w:val="1"/>
          <w:numId w:val="1"/>
        </w:numPr>
        <w:spacing w:before="120" w:after="120"/>
        <w:ind w:left="709" w:hanging="709"/>
      </w:pPr>
      <w:r w:rsidRPr="00B61251">
        <w:t xml:space="preserve">The PBAC considered that the claim </w:t>
      </w:r>
      <w:r>
        <w:t>of inferior comparative safety to</w:t>
      </w:r>
      <w:r w:rsidRPr="00B61251">
        <w:t xml:space="preserve"> PDC in EGFR mutant/ALK positive patients after TKI therapy was reasonable</w:t>
      </w:r>
      <w:r w:rsidR="0070224B">
        <w:t xml:space="preserve">, and </w:t>
      </w:r>
      <w:r w:rsidRPr="00B61251">
        <w:t>that the toxicities were known and likely manageable in practice.</w:t>
      </w:r>
    </w:p>
    <w:p w:rsidR="005B2896" w:rsidRPr="00B61251" w:rsidRDefault="005B2896" w:rsidP="00E71B52">
      <w:pPr>
        <w:pStyle w:val="ListParagraph"/>
        <w:widowControl/>
        <w:numPr>
          <w:ilvl w:val="1"/>
          <w:numId w:val="1"/>
        </w:numPr>
        <w:spacing w:before="120" w:after="120"/>
        <w:ind w:left="709" w:hanging="709"/>
      </w:pPr>
      <w:r w:rsidRPr="00B61251">
        <w:t>The PBAC considered the claim that atezolizu</w:t>
      </w:r>
      <w:r w:rsidR="0079332B">
        <w:t>mab + bevacizumab + PDC has non</w:t>
      </w:r>
      <w:r w:rsidR="0079332B">
        <w:noBreakHyphen/>
      </w:r>
      <w:r w:rsidRPr="00B61251">
        <w:t xml:space="preserve">inferior effectiveness and inferior safety compared with pembrolizumab monotherapy in patients with EGFR wild type/ALK </w:t>
      </w:r>
      <w:r w:rsidR="0079332B">
        <w:t>negative NSQ NSCLC with high PD</w:t>
      </w:r>
      <w:r w:rsidR="0079332B">
        <w:noBreakHyphen/>
      </w:r>
      <w:r w:rsidRPr="00B61251">
        <w:t>L1 expression</w:t>
      </w:r>
      <w:r w:rsidR="00C76D68" w:rsidRPr="00B61251">
        <w:t xml:space="preserve"> to be </w:t>
      </w:r>
      <w:r w:rsidR="004628FB" w:rsidRPr="00B61251">
        <w:t>u</w:t>
      </w:r>
      <w:r w:rsidRPr="00B61251">
        <w:t>ncertain but</w:t>
      </w:r>
      <w:r w:rsidR="003E6D62" w:rsidRPr="00B61251">
        <w:t xml:space="preserve"> reasonable</w:t>
      </w:r>
      <w:r w:rsidR="00E143FB" w:rsidRPr="00B61251">
        <w:t xml:space="preserve">, and that </w:t>
      </w:r>
      <w:r w:rsidR="00EA22C8" w:rsidRPr="00B61251">
        <w:t>the</w:t>
      </w:r>
      <w:r w:rsidR="00E143FB" w:rsidRPr="00B61251">
        <w:t xml:space="preserve"> toxicities were known and</w:t>
      </w:r>
      <w:r w:rsidR="00987C9D">
        <w:t xml:space="preserve"> likely manageable in practice.</w:t>
      </w:r>
    </w:p>
    <w:p w:rsidR="00197601" w:rsidRPr="00B61251" w:rsidRDefault="00197601" w:rsidP="00E71B52">
      <w:pPr>
        <w:pStyle w:val="Heading2"/>
        <w:keepNext/>
        <w:widowControl/>
        <w:spacing w:before="120"/>
      </w:pPr>
      <w:bookmarkStart w:id="20" w:name="_Toc371170710"/>
      <w:bookmarkStart w:id="21" w:name="_Toc536010757"/>
      <w:r w:rsidRPr="00B61251">
        <w:t>Economic analysis</w:t>
      </w:r>
      <w:bookmarkEnd w:id="20"/>
      <w:bookmarkEnd w:id="21"/>
    </w:p>
    <w:p w:rsidR="005A2046" w:rsidRPr="00B61251" w:rsidRDefault="005A2046" w:rsidP="00E71B52">
      <w:pPr>
        <w:keepNext/>
        <w:widowControl/>
        <w:spacing w:before="120" w:after="120"/>
        <w:ind w:left="720" w:hanging="720"/>
        <w:rPr>
          <w:u w:val="single"/>
        </w:rPr>
      </w:pPr>
      <w:r w:rsidRPr="00B61251">
        <w:rPr>
          <w:u w:val="single"/>
        </w:rPr>
        <w:t>Cost effectiveness analysis</w:t>
      </w:r>
    </w:p>
    <w:p w:rsidR="00197601" w:rsidRPr="00B61251" w:rsidRDefault="00197601" w:rsidP="00E71B52">
      <w:pPr>
        <w:pStyle w:val="ListParagraph"/>
        <w:widowControl/>
        <w:numPr>
          <w:ilvl w:val="1"/>
          <w:numId w:val="1"/>
        </w:numPr>
        <w:spacing w:before="120" w:after="120"/>
      </w:pPr>
      <w:r w:rsidRPr="00B61251">
        <w:t>The submission presented a modelled economic evaluation based on the indirect comparison of randomised trials, which ha</w:t>
      </w:r>
      <w:r w:rsidR="008C419A" w:rsidRPr="00B61251">
        <w:t>s</w:t>
      </w:r>
      <w:r w:rsidRPr="00B61251">
        <w:t xml:space="preserve"> been presented above. The type of economic evaluation was a cost-utility analysis. The key components of the economic evaluation are summarised below.</w:t>
      </w:r>
    </w:p>
    <w:p w:rsidR="00197601" w:rsidRPr="00B61251" w:rsidRDefault="00197601" w:rsidP="0079332B">
      <w:pPr>
        <w:pStyle w:val="Caption"/>
        <w:keepNext/>
        <w:widowControl/>
      </w:pPr>
      <w:r w:rsidRPr="00B61251">
        <w:lastRenderedPageBreak/>
        <w:t xml:space="preserve">Table </w:t>
      </w:r>
      <w:r w:rsidR="00744BB1" w:rsidRPr="00B61251">
        <w:t>8</w:t>
      </w:r>
      <w:r w:rsidRPr="00B61251">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model structure and rationale"/>
      </w:tblPr>
      <w:tblGrid>
        <w:gridCol w:w="3028"/>
        <w:gridCol w:w="5989"/>
      </w:tblGrid>
      <w:tr w:rsidR="00197601" w:rsidRPr="00B61251" w:rsidTr="00CF755B">
        <w:trPr>
          <w:tblHeader/>
        </w:trPr>
        <w:tc>
          <w:tcPr>
            <w:tcW w:w="1679" w:type="pct"/>
          </w:tcPr>
          <w:p w:rsidR="00197601" w:rsidRPr="00B61251" w:rsidRDefault="00197601" w:rsidP="0079332B">
            <w:pPr>
              <w:keepNext/>
              <w:widowControl/>
              <w:spacing w:before="20" w:after="20"/>
              <w:rPr>
                <w:rFonts w:ascii="Arial Narrow" w:hAnsi="Arial Narrow" w:cstheme="minorHAnsi"/>
                <w:b/>
                <w:snapToGrid/>
                <w:sz w:val="20"/>
                <w:szCs w:val="20"/>
              </w:rPr>
            </w:pPr>
            <w:r w:rsidRPr="00B61251">
              <w:rPr>
                <w:rFonts w:ascii="Arial Narrow" w:hAnsi="Arial Narrow" w:cstheme="minorHAnsi"/>
                <w:b/>
                <w:snapToGrid/>
                <w:sz w:val="20"/>
                <w:szCs w:val="20"/>
              </w:rPr>
              <w:t>Component</w:t>
            </w:r>
          </w:p>
        </w:tc>
        <w:tc>
          <w:tcPr>
            <w:tcW w:w="3321" w:type="pct"/>
          </w:tcPr>
          <w:p w:rsidR="00197601" w:rsidRPr="00B61251" w:rsidRDefault="00197601" w:rsidP="0079332B">
            <w:pPr>
              <w:keepNext/>
              <w:widowControl/>
              <w:spacing w:before="20" w:after="20"/>
              <w:rPr>
                <w:rFonts w:ascii="Arial Narrow" w:hAnsi="Arial Narrow" w:cstheme="minorHAnsi"/>
                <w:b/>
                <w:snapToGrid/>
                <w:sz w:val="20"/>
                <w:szCs w:val="20"/>
              </w:rPr>
            </w:pPr>
            <w:r w:rsidRPr="00B61251">
              <w:rPr>
                <w:rFonts w:ascii="Arial Narrow" w:hAnsi="Arial Narrow" w:cstheme="minorHAnsi"/>
                <w:b/>
                <w:snapToGrid/>
                <w:sz w:val="20"/>
                <w:szCs w:val="20"/>
              </w:rPr>
              <w:t>Description</w:t>
            </w:r>
          </w:p>
        </w:tc>
      </w:tr>
      <w:tr w:rsidR="00197601" w:rsidRPr="00B61251" w:rsidTr="00CF755B">
        <w:tc>
          <w:tcPr>
            <w:tcW w:w="1679"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Type of analysis</w:t>
            </w:r>
          </w:p>
        </w:tc>
        <w:tc>
          <w:tcPr>
            <w:tcW w:w="3321" w:type="pct"/>
          </w:tcPr>
          <w:p w:rsidR="00197601" w:rsidRPr="00B61251" w:rsidRDefault="00197601" w:rsidP="0079332B">
            <w:pPr>
              <w:keepNext/>
              <w:widowControl/>
              <w:spacing w:before="40" w:after="40"/>
              <w:rPr>
                <w:rFonts w:ascii="Arial Narrow" w:hAnsi="Arial Narrow" w:cstheme="minorHAnsi"/>
                <w:bCs/>
                <w:snapToGrid/>
                <w:sz w:val="20"/>
                <w:szCs w:val="20"/>
              </w:rPr>
            </w:pPr>
            <w:r w:rsidRPr="00B61251">
              <w:rPr>
                <w:rFonts w:ascii="Arial Narrow" w:hAnsi="Arial Narrow" w:cstheme="minorHAnsi"/>
                <w:bCs/>
                <w:snapToGrid/>
                <w:sz w:val="20"/>
                <w:szCs w:val="20"/>
              </w:rPr>
              <w:t>Cost-utility analysis (CUA)</w:t>
            </w:r>
          </w:p>
        </w:tc>
      </w:tr>
      <w:tr w:rsidR="00197601" w:rsidRPr="00B61251" w:rsidTr="00CF755B">
        <w:tc>
          <w:tcPr>
            <w:tcW w:w="1679"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Outcomes</w:t>
            </w:r>
          </w:p>
        </w:tc>
        <w:tc>
          <w:tcPr>
            <w:tcW w:w="3321"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 xml:space="preserve">Life-years </w:t>
            </w:r>
            <w:r w:rsidR="005701B1" w:rsidRPr="00B61251">
              <w:rPr>
                <w:rFonts w:ascii="Arial Narrow" w:hAnsi="Arial Narrow" w:cstheme="minorHAnsi"/>
                <w:bCs/>
                <w:snapToGrid/>
                <w:sz w:val="20"/>
                <w:szCs w:val="20"/>
              </w:rPr>
              <w:t xml:space="preserve">(LY) </w:t>
            </w:r>
            <w:r w:rsidRPr="00B61251">
              <w:rPr>
                <w:rFonts w:ascii="Arial Narrow" w:hAnsi="Arial Narrow" w:cstheme="minorHAnsi"/>
                <w:bCs/>
                <w:snapToGrid/>
                <w:sz w:val="20"/>
                <w:szCs w:val="20"/>
              </w:rPr>
              <w:t>gained</w:t>
            </w:r>
            <w:r w:rsidR="005701B1" w:rsidRPr="00B61251">
              <w:rPr>
                <w:rFonts w:ascii="Arial Narrow" w:hAnsi="Arial Narrow" w:cstheme="minorHAnsi"/>
                <w:bCs/>
                <w:snapToGrid/>
                <w:sz w:val="20"/>
                <w:szCs w:val="20"/>
              </w:rPr>
              <w:t xml:space="preserve"> </w:t>
            </w:r>
            <w:r w:rsidRPr="00B61251">
              <w:rPr>
                <w:rFonts w:ascii="Arial Narrow" w:hAnsi="Arial Narrow" w:cstheme="minorHAnsi"/>
                <w:bCs/>
                <w:snapToGrid/>
                <w:sz w:val="20"/>
                <w:szCs w:val="20"/>
              </w:rPr>
              <w:t xml:space="preserve"> and quality-adjusted life-years </w:t>
            </w:r>
            <w:r w:rsidR="005701B1" w:rsidRPr="00B61251">
              <w:rPr>
                <w:rFonts w:ascii="Arial Narrow" w:hAnsi="Arial Narrow" w:cstheme="minorHAnsi"/>
                <w:bCs/>
                <w:snapToGrid/>
                <w:sz w:val="20"/>
                <w:szCs w:val="20"/>
              </w:rPr>
              <w:t xml:space="preserve">(QALY) </w:t>
            </w:r>
            <w:r w:rsidRPr="00B61251">
              <w:rPr>
                <w:rFonts w:ascii="Arial Narrow" w:hAnsi="Arial Narrow" w:cstheme="minorHAnsi"/>
                <w:bCs/>
                <w:snapToGrid/>
                <w:sz w:val="20"/>
                <w:szCs w:val="20"/>
              </w:rPr>
              <w:t xml:space="preserve">gained </w:t>
            </w:r>
          </w:p>
        </w:tc>
      </w:tr>
      <w:tr w:rsidR="00197601" w:rsidRPr="00B61251" w:rsidTr="00CF755B">
        <w:tc>
          <w:tcPr>
            <w:tcW w:w="1679"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Time horizon</w:t>
            </w:r>
          </w:p>
        </w:tc>
        <w:tc>
          <w:tcPr>
            <w:tcW w:w="3321"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7.5 years in the model base case vs ~20 months median follow-up in the IMpower150 trial</w:t>
            </w:r>
          </w:p>
        </w:tc>
      </w:tr>
      <w:tr w:rsidR="00197601" w:rsidRPr="00B61251" w:rsidTr="00CF755B">
        <w:tc>
          <w:tcPr>
            <w:tcW w:w="1679"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Method/s used to generate results</w:t>
            </w:r>
          </w:p>
        </w:tc>
        <w:tc>
          <w:tcPr>
            <w:tcW w:w="3321"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Partitioned survival cohort analysis</w:t>
            </w:r>
          </w:p>
        </w:tc>
      </w:tr>
      <w:tr w:rsidR="00197601" w:rsidRPr="00B61251" w:rsidTr="00CF755B">
        <w:tc>
          <w:tcPr>
            <w:tcW w:w="1679"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Health states</w:t>
            </w:r>
          </w:p>
        </w:tc>
        <w:tc>
          <w:tcPr>
            <w:tcW w:w="3321"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Three: progression-free disease, progressed disease and death</w:t>
            </w:r>
          </w:p>
        </w:tc>
      </w:tr>
      <w:tr w:rsidR="00197601" w:rsidRPr="00B61251" w:rsidTr="00CF755B">
        <w:tc>
          <w:tcPr>
            <w:tcW w:w="1679"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Cycle length</w:t>
            </w:r>
          </w:p>
        </w:tc>
        <w:tc>
          <w:tcPr>
            <w:tcW w:w="3321"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1 week</w:t>
            </w:r>
          </w:p>
        </w:tc>
      </w:tr>
      <w:tr w:rsidR="00197601" w:rsidRPr="00B61251" w:rsidTr="00CF755B">
        <w:tc>
          <w:tcPr>
            <w:tcW w:w="1679"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Transition probabilities</w:t>
            </w:r>
          </w:p>
        </w:tc>
        <w:tc>
          <w:tcPr>
            <w:tcW w:w="3321" w:type="pct"/>
          </w:tcPr>
          <w:p w:rsidR="00197601" w:rsidRPr="00B61251" w:rsidRDefault="00197601" w:rsidP="0079332B">
            <w:pPr>
              <w:widowControl/>
              <w:spacing w:before="20" w:after="20"/>
              <w:jc w:val="left"/>
              <w:rPr>
                <w:rFonts w:ascii="Arial Narrow" w:eastAsiaTheme="minorHAnsi" w:hAnsi="Arial Narrow" w:cstheme="minorBidi"/>
                <w:snapToGrid/>
                <w:sz w:val="20"/>
                <w:szCs w:val="20"/>
              </w:rPr>
            </w:pPr>
            <w:r w:rsidRPr="00B61251">
              <w:rPr>
                <w:rFonts w:ascii="Arial Narrow" w:eastAsiaTheme="minorHAnsi" w:hAnsi="Arial Narrow" w:cstheme="minorBidi"/>
                <w:snapToGrid/>
                <w:sz w:val="20"/>
                <w:szCs w:val="20"/>
              </w:rPr>
              <w:t>Health state allocation over time in the atezolizumab + bevacizumab + PDC arm was determined by PFS and OS curves from IMpower150 at 22 January 2018 clinical cut-off until the median duration of follow-up of 20 months. Beyond 20 months, parametric extrapolations of both PFS and OS curves were applied.</w:t>
            </w:r>
          </w:p>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PDC outcomes were estimated by adjusting the survival curves of bevacizumab + CP observed from IMpower150 with the hazard ratios estimated from the comparator trials (Sandler 2006 and Zhou 2015) for bevacizumab+ CP vs CP until 20 months and extrapolated using parametric functions beyond then.</w:t>
            </w:r>
          </w:p>
        </w:tc>
      </w:tr>
      <w:tr w:rsidR="00197601" w:rsidRPr="00B61251" w:rsidTr="00CF755B">
        <w:tc>
          <w:tcPr>
            <w:tcW w:w="1679"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Software</w:t>
            </w:r>
          </w:p>
        </w:tc>
        <w:tc>
          <w:tcPr>
            <w:tcW w:w="3321" w:type="pct"/>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Microsoft Excel</w:t>
            </w:r>
          </w:p>
        </w:tc>
      </w:tr>
    </w:tbl>
    <w:p w:rsidR="00197601" w:rsidRPr="00B61251" w:rsidRDefault="00197601" w:rsidP="0079332B">
      <w:pPr>
        <w:pStyle w:val="TableFooter"/>
        <w:widowControl/>
        <w:rPr>
          <w:rStyle w:val="CommentReference"/>
          <w:b w:val="0"/>
          <w:sz w:val="18"/>
          <w:szCs w:val="22"/>
        </w:rPr>
      </w:pPr>
      <w:r w:rsidRPr="00B61251">
        <w:rPr>
          <w:rStyle w:val="CommentReference"/>
          <w:b w:val="0"/>
          <w:sz w:val="18"/>
          <w:szCs w:val="22"/>
        </w:rPr>
        <w:t>PDC = platinum doublet chemotherapy; PFS = progression-free survival; OS = overall survival; CP = carboplatin and paclitaxel.</w:t>
      </w:r>
    </w:p>
    <w:p w:rsidR="00197601" w:rsidRPr="00B61251" w:rsidRDefault="00197601" w:rsidP="0079332B">
      <w:pPr>
        <w:pStyle w:val="TableFooter"/>
        <w:widowControl/>
        <w:rPr>
          <w:rStyle w:val="CommentReference"/>
          <w:b w:val="0"/>
          <w:sz w:val="18"/>
          <w:szCs w:val="22"/>
        </w:rPr>
      </w:pPr>
      <w:r w:rsidRPr="00B61251">
        <w:rPr>
          <w:rStyle w:val="CommentReference"/>
          <w:b w:val="0"/>
          <w:sz w:val="18"/>
          <w:szCs w:val="22"/>
        </w:rPr>
        <w:t>Source: Table 3.1.1, p184 of the submission.</w:t>
      </w:r>
    </w:p>
    <w:p w:rsidR="00197601" w:rsidRPr="00B61251" w:rsidRDefault="00197601" w:rsidP="00E71B52">
      <w:pPr>
        <w:pStyle w:val="ListParagraph"/>
        <w:widowControl/>
        <w:numPr>
          <w:ilvl w:val="1"/>
          <w:numId w:val="1"/>
        </w:numPr>
        <w:spacing w:before="120" w:after="120"/>
      </w:pPr>
      <w:r w:rsidRPr="00B61251">
        <w:t>The submission presented a stepped economic evaluation. During the evaluation, it was not</w:t>
      </w:r>
      <w:r w:rsidR="00E74217" w:rsidRPr="00B61251">
        <w:t>e</w:t>
      </w:r>
      <w:r w:rsidRPr="00B61251">
        <w:t xml:space="preserve">d that the costs of subsequent therapies post-progression had been included from Step 1 in the submission’s stepped analysis, and the proposed effective prices for atezolizumab and bevacizumab were applied only to the last step. In order to enable a clear demonstration of the impact of each key modelling step during the evaluation, costs of subsequent therapies post-progression were removed until Step 5. In addition, effective prices for atezolizumab and bevacizumab were applied from Step 1. The revised stepped economic evaluation </w:t>
      </w:r>
      <w:r w:rsidR="0001030C" w:rsidRPr="00B61251">
        <w:t>is</w:t>
      </w:r>
      <w:r w:rsidRPr="00B61251">
        <w:t xml:space="preserve"> presented below.</w:t>
      </w:r>
    </w:p>
    <w:p w:rsidR="00197601" w:rsidRPr="00B61251" w:rsidRDefault="00197601" w:rsidP="0079332B">
      <w:pPr>
        <w:pStyle w:val="Caption"/>
        <w:keepNext/>
        <w:widowControl/>
        <w:rPr>
          <w:b w:val="0"/>
        </w:rPr>
      </w:pPr>
      <w:r w:rsidRPr="00B61251">
        <w:t xml:space="preserve">Table </w:t>
      </w:r>
      <w:r w:rsidR="00744BB1" w:rsidRPr="00B61251">
        <w:t>9</w:t>
      </w:r>
      <w:r w:rsidRPr="00B61251">
        <w:t>: Revised steps during the evaluation for the economic modelling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Revised steps during the evaluation for the economic modelling"/>
      </w:tblPr>
      <w:tblGrid>
        <w:gridCol w:w="4643"/>
        <w:gridCol w:w="2655"/>
        <w:gridCol w:w="1719"/>
      </w:tblGrid>
      <w:tr w:rsidR="00197601" w:rsidRPr="00B61251" w:rsidTr="00CF755B">
        <w:trPr>
          <w:cantSplit/>
          <w:tblHeader/>
        </w:trPr>
        <w:tc>
          <w:tcPr>
            <w:tcW w:w="2575" w:type="pct"/>
            <w:shd w:val="clear" w:color="auto" w:fill="auto"/>
            <w:tcMar>
              <w:left w:w="57" w:type="dxa"/>
              <w:right w:w="57" w:type="dxa"/>
            </w:tcMar>
            <w:vAlign w:val="center"/>
          </w:tcPr>
          <w:p w:rsidR="00197601" w:rsidRPr="00B61251" w:rsidRDefault="00197601" w:rsidP="0079332B">
            <w:pPr>
              <w:keepNext/>
              <w:widowControl/>
              <w:spacing w:before="20" w:after="20"/>
              <w:rPr>
                <w:rFonts w:ascii="Arial Narrow" w:hAnsi="Arial Narrow" w:cstheme="minorHAnsi"/>
                <w:snapToGrid/>
                <w:sz w:val="20"/>
                <w:szCs w:val="20"/>
              </w:rPr>
            </w:pPr>
            <w:r w:rsidRPr="00B61251">
              <w:rPr>
                <w:rFonts w:ascii="Arial Narrow" w:hAnsi="Arial Narrow" w:cstheme="minorHAnsi"/>
                <w:snapToGrid/>
                <w:sz w:val="20"/>
                <w:szCs w:val="20"/>
              </w:rPr>
              <w:t>Step</w:t>
            </w:r>
          </w:p>
        </w:tc>
        <w:tc>
          <w:tcPr>
            <w:tcW w:w="1472" w:type="pct"/>
            <w:shd w:val="clear" w:color="auto" w:fill="auto"/>
            <w:vAlign w:val="center"/>
          </w:tcPr>
          <w:p w:rsidR="00197601" w:rsidRPr="00B61251" w:rsidRDefault="00197601" w:rsidP="0079332B">
            <w:pPr>
              <w:keepNext/>
              <w:widowControl/>
              <w:spacing w:before="20" w:after="20"/>
              <w:rPr>
                <w:rFonts w:ascii="Arial Narrow" w:hAnsi="Arial Narrow" w:cstheme="minorHAnsi"/>
                <w:snapToGrid/>
                <w:sz w:val="20"/>
                <w:szCs w:val="20"/>
              </w:rPr>
            </w:pPr>
            <w:r w:rsidRPr="00B61251">
              <w:rPr>
                <w:rFonts w:ascii="Arial Narrow" w:hAnsi="Arial Narrow" w:cstheme="minorHAnsi"/>
                <w:snapToGrid/>
                <w:sz w:val="20"/>
                <w:szCs w:val="20"/>
              </w:rPr>
              <w:t>Costs</w:t>
            </w:r>
          </w:p>
        </w:tc>
        <w:tc>
          <w:tcPr>
            <w:tcW w:w="953" w:type="pct"/>
            <w:shd w:val="clear" w:color="auto" w:fill="auto"/>
            <w:vAlign w:val="center"/>
          </w:tcPr>
          <w:p w:rsidR="00197601" w:rsidRPr="00B61251" w:rsidRDefault="00197601" w:rsidP="0079332B">
            <w:pPr>
              <w:keepNext/>
              <w:widowControl/>
              <w:spacing w:before="20" w:after="20"/>
              <w:rPr>
                <w:rFonts w:ascii="Arial Narrow" w:hAnsi="Arial Narrow" w:cstheme="minorHAnsi"/>
                <w:snapToGrid/>
                <w:sz w:val="20"/>
                <w:szCs w:val="20"/>
              </w:rPr>
            </w:pPr>
            <w:r w:rsidRPr="00B61251">
              <w:rPr>
                <w:rFonts w:ascii="Arial Narrow" w:hAnsi="Arial Narrow" w:cstheme="minorHAnsi"/>
                <w:snapToGrid/>
                <w:sz w:val="20"/>
                <w:szCs w:val="20"/>
              </w:rPr>
              <w:t>Outcomes</w:t>
            </w:r>
          </w:p>
        </w:tc>
      </w:tr>
      <w:tr w:rsidR="00197601" w:rsidRPr="00B61251" w:rsidTr="00CF755B">
        <w:trPr>
          <w:cantSplit/>
        </w:trPr>
        <w:tc>
          <w:tcPr>
            <w:tcW w:w="2575" w:type="pct"/>
            <w:shd w:val="clear" w:color="auto" w:fill="auto"/>
            <w:tcMar>
              <w:left w:w="57" w:type="dxa"/>
              <w:right w:w="57" w:type="dxa"/>
            </w:tcMar>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Step 1  trial-based, 20 months of median trial follow-up, incorporation of trial-based utility values to determine QALYs</w:t>
            </w:r>
          </w:p>
        </w:tc>
        <w:tc>
          <w:tcPr>
            <w:tcW w:w="1472"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Medicine costs</w:t>
            </w:r>
          </w:p>
        </w:tc>
        <w:tc>
          <w:tcPr>
            <w:tcW w:w="953"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LYG</w:t>
            </w:r>
          </w:p>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QALYs</w:t>
            </w:r>
          </w:p>
        </w:tc>
      </w:tr>
      <w:tr w:rsidR="00197601" w:rsidRPr="00B61251" w:rsidTr="00CF755B">
        <w:trPr>
          <w:cantSplit/>
        </w:trPr>
        <w:tc>
          <w:tcPr>
            <w:tcW w:w="2575" w:type="pct"/>
            <w:shd w:val="clear" w:color="auto" w:fill="auto"/>
            <w:tcMar>
              <w:left w:w="57" w:type="dxa"/>
              <w:right w:w="57" w:type="dxa"/>
            </w:tcMar>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Step 2  modelled evaluation across 7.5 year time horizon, extrapolation from the trial median follow-up</w:t>
            </w:r>
          </w:p>
        </w:tc>
        <w:tc>
          <w:tcPr>
            <w:tcW w:w="1472"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1</w:t>
            </w:r>
          </w:p>
        </w:tc>
        <w:tc>
          <w:tcPr>
            <w:tcW w:w="953"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1</w:t>
            </w:r>
          </w:p>
        </w:tc>
      </w:tr>
      <w:tr w:rsidR="00197601" w:rsidRPr="00B61251" w:rsidTr="00CF755B">
        <w:trPr>
          <w:cantSplit/>
        </w:trPr>
        <w:tc>
          <w:tcPr>
            <w:tcW w:w="2575" w:type="pct"/>
            <w:shd w:val="clear" w:color="auto" w:fill="auto"/>
            <w:tcMar>
              <w:left w:w="57" w:type="dxa"/>
              <w:right w:w="57" w:type="dxa"/>
            </w:tcMar>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Step 3  incorporation of administration and MRU costs</w:t>
            </w:r>
          </w:p>
        </w:tc>
        <w:tc>
          <w:tcPr>
            <w:tcW w:w="1472"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1 + costs of administration and MRU</w:t>
            </w:r>
          </w:p>
        </w:tc>
        <w:tc>
          <w:tcPr>
            <w:tcW w:w="953"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1</w:t>
            </w:r>
          </w:p>
        </w:tc>
      </w:tr>
      <w:tr w:rsidR="00197601" w:rsidRPr="00B61251" w:rsidTr="00CF755B">
        <w:trPr>
          <w:cantSplit/>
        </w:trPr>
        <w:tc>
          <w:tcPr>
            <w:tcW w:w="2575" w:type="pct"/>
            <w:shd w:val="clear" w:color="auto" w:fill="auto"/>
            <w:tcMar>
              <w:left w:w="57" w:type="dxa"/>
              <w:right w:w="57" w:type="dxa"/>
            </w:tcMar>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Step 4 incorporation of AE related costs</w:t>
            </w:r>
          </w:p>
        </w:tc>
        <w:tc>
          <w:tcPr>
            <w:tcW w:w="1472"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3 + costs of AEs</w:t>
            </w:r>
          </w:p>
        </w:tc>
        <w:tc>
          <w:tcPr>
            <w:tcW w:w="953"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1</w:t>
            </w:r>
          </w:p>
        </w:tc>
      </w:tr>
      <w:tr w:rsidR="00197601" w:rsidRPr="00B61251" w:rsidTr="00CF755B">
        <w:trPr>
          <w:cantSplit/>
        </w:trPr>
        <w:tc>
          <w:tcPr>
            <w:tcW w:w="2575" w:type="pct"/>
            <w:shd w:val="clear" w:color="auto" w:fill="auto"/>
            <w:tcMar>
              <w:left w:w="57" w:type="dxa"/>
              <w:right w:w="57" w:type="dxa"/>
            </w:tcMar>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Step 5 inclusion of the costs of subsequent therapies post-progression</w:t>
            </w:r>
          </w:p>
        </w:tc>
        <w:tc>
          <w:tcPr>
            <w:tcW w:w="1472"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4 + cost of subsequent therapies</w:t>
            </w:r>
          </w:p>
        </w:tc>
        <w:tc>
          <w:tcPr>
            <w:tcW w:w="953"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1</w:t>
            </w:r>
          </w:p>
        </w:tc>
      </w:tr>
      <w:tr w:rsidR="00197601" w:rsidRPr="00B61251" w:rsidTr="00CF755B">
        <w:trPr>
          <w:cantSplit/>
        </w:trPr>
        <w:tc>
          <w:tcPr>
            <w:tcW w:w="2575" w:type="pct"/>
            <w:shd w:val="clear" w:color="auto" w:fill="auto"/>
            <w:tcMar>
              <w:left w:w="57" w:type="dxa"/>
              <w:right w:w="57" w:type="dxa"/>
            </w:tcMar>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Step 6 inclusion of end of life costs</w:t>
            </w:r>
          </w:p>
        </w:tc>
        <w:tc>
          <w:tcPr>
            <w:tcW w:w="1472"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5 + end of life costs</w:t>
            </w:r>
          </w:p>
        </w:tc>
        <w:tc>
          <w:tcPr>
            <w:tcW w:w="953" w:type="pct"/>
            <w:shd w:val="clear" w:color="auto" w:fill="auto"/>
          </w:tcPr>
          <w:p w:rsidR="00197601" w:rsidRPr="00B61251" w:rsidRDefault="00197601" w:rsidP="0079332B">
            <w:pPr>
              <w:keepNext/>
              <w:widowControl/>
              <w:spacing w:before="40" w:after="40"/>
              <w:jc w:val="left"/>
              <w:rPr>
                <w:rFonts w:ascii="Arial Narrow" w:hAnsi="Arial Narrow" w:cstheme="minorHAnsi"/>
                <w:bCs/>
                <w:snapToGrid/>
                <w:sz w:val="20"/>
                <w:szCs w:val="20"/>
              </w:rPr>
            </w:pPr>
            <w:r w:rsidRPr="00B61251">
              <w:rPr>
                <w:rFonts w:ascii="Arial Narrow" w:hAnsi="Arial Narrow" w:cstheme="minorHAnsi"/>
                <w:bCs/>
                <w:snapToGrid/>
                <w:sz w:val="20"/>
                <w:szCs w:val="20"/>
              </w:rPr>
              <w:t>As in Step 1</w:t>
            </w:r>
          </w:p>
        </w:tc>
      </w:tr>
    </w:tbl>
    <w:p w:rsidR="00197601" w:rsidRPr="00B61251" w:rsidRDefault="00197601" w:rsidP="0079332B">
      <w:pPr>
        <w:pStyle w:val="TableFooter"/>
        <w:widowControl/>
      </w:pPr>
      <w:r w:rsidRPr="00B61251">
        <w:t>LYG = life year gained; QALY = quality adjusted life year; MRU = medical resource use; AE = adverse event.</w:t>
      </w:r>
    </w:p>
    <w:p w:rsidR="00197601" w:rsidRPr="00B61251" w:rsidRDefault="00197601" w:rsidP="0079332B">
      <w:pPr>
        <w:pStyle w:val="TableFooter"/>
        <w:widowControl/>
      </w:pPr>
      <w:r w:rsidRPr="00B61251">
        <w:t>Effective prices for atezolizumab and bevacizumab have been applied throughout the steps of the model.</w:t>
      </w:r>
    </w:p>
    <w:p w:rsidR="00197601" w:rsidRPr="00B61251" w:rsidRDefault="00197601" w:rsidP="0079332B">
      <w:pPr>
        <w:pStyle w:val="TableFooter"/>
        <w:widowControl/>
      </w:pPr>
      <w:r w:rsidRPr="00B61251">
        <w:t>Source: Compiled during the evaluation based on Table 3.1.2, p186 of the submission.</w:t>
      </w:r>
    </w:p>
    <w:p w:rsidR="00197601" w:rsidRPr="00B61251" w:rsidRDefault="00197601" w:rsidP="00E71B52">
      <w:pPr>
        <w:widowControl/>
        <w:spacing w:before="120" w:after="120"/>
      </w:pPr>
    </w:p>
    <w:p w:rsidR="00197601" w:rsidRPr="00B61251" w:rsidRDefault="00197601" w:rsidP="00E71B52">
      <w:pPr>
        <w:pStyle w:val="ListParagraph"/>
        <w:widowControl/>
        <w:numPr>
          <w:ilvl w:val="1"/>
          <w:numId w:val="1"/>
        </w:numPr>
        <w:spacing w:before="120" w:after="120"/>
        <w:rPr>
          <w:rFonts w:asciiTheme="minorHAnsi" w:eastAsiaTheme="minorHAnsi" w:hAnsiTheme="minorHAnsi" w:cstheme="minorBidi"/>
          <w:snapToGrid/>
          <w:szCs w:val="24"/>
        </w:rPr>
      </w:pPr>
      <w:r w:rsidRPr="00B61251">
        <w:rPr>
          <w:rFonts w:asciiTheme="minorHAnsi" w:eastAsiaTheme="minorHAnsi" w:hAnsiTheme="minorHAnsi" w:cstheme="minorBidi"/>
          <w:snapToGrid/>
          <w:szCs w:val="24"/>
        </w:rPr>
        <w:lastRenderedPageBreak/>
        <w:t>The submission presented the modelled economic evaluation for three populations:</w:t>
      </w:r>
    </w:p>
    <w:p w:rsidR="00197601" w:rsidRPr="00B61251" w:rsidRDefault="00987C9D" w:rsidP="00E71B52">
      <w:pPr>
        <w:widowControl/>
        <w:numPr>
          <w:ilvl w:val="0"/>
          <w:numId w:val="6"/>
        </w:numPr>
        <w:tabs>
          <w:tab w:val="clear" w:pos="360"/>
          <w:tab w:val="num" w:pos="993"/>
        </w:tabs>
        <w:spacing w:before="120" w:after="120"/>
        <w:ind w:left="993" w:hanging="284"/>
        <w:contextualSpacing/>
        <w:rPr>
          <w:rFonts w:eastAsiaTheme="minorEastAsia" w:cstheme="minorBidi"/>
          <w:snapToGrid/>
          <w:szCs w:val="24"/>
          <w:lang w:eastAsia="zh-CN"/>
        </w:rPr>
      </w:pPr>
      <w:r>
        <w:rPr>
          <w:rFonts w:eastAsiaTheme="minorEastAsia" w:cstheme="minorBidi"/>
          <w:snapToGrid/>
          <w:szCs w:val="24"/>
          <w:lang w:eastAsia="zh-CN"/>
        </w:rPr>
        <w:t>t</w:t>
      </w:r>
      <w:r w:rsidR="00197601" w:rsidRPr="00B61251">
        <w:rPr>
          <w:rFonts w:eastAsiaTheme="minorEastAsia" w:cstheme="minorBidi"/>
          <w:snapToGrid/>
          <w:szCs w:val="24"/>
          <w:lang w:eastAsia="zh-CN"/>
        </w:rPr>
        <w:t>he EGFR wild type/ALK negative (ITT-WT) population; and</w:t>
      </w:r>
    </w:p>
    <w:p w:rsidR="00197601" w:rsidRPr="00B61251" w:rsidRDefault="00987C9D" w:rsidP="00E71B52">
      <w:pPr>
        <w:widowControl/>
        <w:numPr>
          <w:ilvl w:val="0"/>
          <w:numId w:val="6"/>
        </w:numPr>
        <w:tabs>
          <w:tab w:val="clear" w:pos="360"/>
          <w:tab w:val="num" w:pos="993"/>
        </w:tabs>
        <w:spacing w:before="120" w:after="120"/>
        <w:ind w:left="993" w:hanging="284"/>
        <w:contextualSpacing/>
        <w:rPr>
          <w:rFonts w:eastAsiaTheme="minorEastAsia" w:cstheme="minorBidi"/>
          <w:snapToGrid/>
          <w:szCs w:val="24"/>
          <w:lang w:eastAsia="zh-CN"/>
        </w:rPr>
      </w:pPr>
      <w:r>
        <w:rPr>
          <w:rFonts w:eastAsiaTheme="minorEastAsia" w:cstheme="minorBidi"/>
          <w:snapToGrid/>
          <w:szCs w:val="24"/>
          <w:lang w:eastAsia="zh-CN"/>
        </w:rPr>
        <w:t xml:space="preserve">the </w:t>
      </w:r>
      <w:r w:rsidR="00197601" w:rsidRPr="00B61251">
        <w:rPr>
          <w:rFonts w:eastAsiaTheme="minorEastAsia" w:cstheme="minorBidi"/>
          <w:snapToGrid/>
          <w:szCs w:val="24"/>
          <w:lang w:eastAsia="zh-CN"/>
        </w:rPr>
        <w:t>EGFR mutant/ALK positive population; and</w:t>
      </w:r>
    </w:p>
    <w:p w:rsidR="00197601" w:rsidRPr="0079332B" w:rsidRDefault="00987C9D" w:rsidP="00E71B52">
      <w:pPr>
        <w:widowControl/>
        <w:numPr>
          <w:ilvl w:val="0"/>
          <w:numId w:val="6"/>
        </w:numPr>
        <w:tabs>
          <w:tab w:val="clear" w:pos="360"/>
          <w:tab w:val="num" w:pos="993"/>
        </w:tabs>
        <w:spacing w:before="120" w:after="120"/>
        <w:ind w:left="993" w:hanging="284"/>
        <w:contextualSpacing/>
        <w:rPr>
          <w:rFonts w:eastAsiaTheme="minorEastAsia" w:cstheme="minorBidi"/>
          <w:snapToGrid/>
          <w:szCs w:val="24"/>
          <w:lang w:eastAsia="zh-CN"/>
        </w:rPr>
      </w:pPr>
      <w:r>
        <w:rPr>
          <w:rFonts w:eastAsiaTheme="minorEastAsia" w:cstheme="minorBidi"/>
          <w:snapToGrid/>
          <w:szCs w:val="24"/>
          <w:lang w:eastAsia="zh-CN"/>
        </w:rPr>
        <w:t>t</w:t>
      </w:r>
      <w:r w:rsidR="00197601" w:rsidRPr="00B61251">
        <w:rPr>
          <w:rFonts w:eastAsiaTheme="minorEastAsia" w:cstheme="minorBidi"/>
          <w:snapToGrid/>
          <w:szCs w:val="24"/>
          <w:lang w:eastAsia="zh-CN"/>
        </w:rPr>
        <w:t>he ITT population which incorporated both populations above and reflected the ITT population in IMpower150.</w:t>
      </w:r>
    </w:p>
    <w:p w:rsidR="00197601" w:rsidRPr="00B61251" w:rsidRDefault="00197601" w:rsidP="00E71B52">
      <w:pPr>
        <w:pStyle w:val="ListParagraph"/>
        <w:widowControl/>
        <w:numPr>
          <w:ilvl w:val="1"/>
          <w:numId w:val="1"/>
        </w:numPr>
        <w:spacing w:before="120" w:after="120"/>
      </w:pPr>
      <w:r w:rsidRPr="00B61251">
        <w:t xml:space="preserve">The </w:t>
      </w:r>
      <w:r w:rsidR="00DA49B0" w:rsidRPr="00B61251">
        <w:t xml:space="preserve">ESC considered that the </w:t>
      </w:r>
      <w:r w:rsidRPr="00B61251">
        <w:t xml:space="preserve">results of the subgroup analyses should be treated as exploratory, given the low number of patients in the EGFR mutant/ALK positive subgroup </w:t>
      </w:r>
      <w:r w:rsidR="00D37297" w:rsidRPr="00B61251">
        <w:t xml:space="preserve">(13%) </w:t>
      </w:r>
      <w:r w:rsidRPr="00B61251">
        <w:t xml:space="preserve">in IMpower150 and in both subgroups in Zhou 2015, and the fact that randomisation was not stratified by tumour mutation status in either trial. These issues are in addition to the uncertainties introduced by the indirect comparison for the ITT population using trials with substantial transitivity concerns. </w:t>
      </w:r>
      <w:r w:rsidR="007F54BB" w:rsidRPr="00B61251">
        <w:t>The PSCR  state</w:t>
      </w:r>
      <w:r w:rsidR="004E3A16" w:rsidRPr="00B61251">
        <w:t>d</w:t>
      </w:r>
      <w:r w:rsidR="007F54BB" w:rsidRPr="00B61251">
        <w:t xml:space="preserve"> that the subgroup was pre-specified in the analysis plan</w:t>
      </w:r>
      <w:r w:rsidR="00502DA2" w:rsidRPr="00B61251">
        <w:t xml:space="preserve"> and </w:t>
      </w:r>
      <w:r w:rsidR="008169FB" w:rsidRPr="00B61251">
        <w:t>stated</w:t>
      </w:r>
      <w:r w:rsidR="004E3A16" w:rsidRPr="00B61251">
        <w:t xml:space="preserve"> that IM</w:t>
      </w:r>
      <w:r w:rsidR="00502DA2" w:rsidRPr="00B61251">
        <w:t>power150 is the only immunotherapy trial to have demonstrate</w:t>
      </w:r>
      <w:r w:rsidR="004E3A16" w:rsidRPr="00B61251">
        <w:t>d</w:t>
      </w:r>
      <w:r w:rsidR="00502DA2" w:rsidRPr="00B61251">
        <w:t xml:space="preserve"> a</w:t>
      </w:r>
      <w:r w:rsidR="00744862" w:rsidRPr="00B61251">
        <w:t xml:space="preserve"> </w:t>
      </w:r>
      <w:r w:rsidR="00502DA2" w:rsidRPr="00B61251">
        <w:t>benefit for the post TKI treatment population</w:t>
      </w:r>
      <w:r w:rsidR="007F54BB" w:rsidRPr="00B61251">
        <w:t>.</w:t>
      </w:r>
    </w:p>
    <w:p w:rsidR="00197601" w:rsidRPr="00B61251" w:rsidRDefault="00197601" w:rsidP="00E71B52">
      <w:pPr>
        <w:pStyle w:val="ListParagraph"/>
        <w:widowControl/>
        <w:numPr>
          <w:ilvl w:val="1"/>
          <w:numId w:val="1"/>
        </w:numPr>
        <w:spacing w:before="120" w:after="120"/>
      </w:pPr>
      <w:r w:rsidRPr="00B61251">
        <w:t xml:space="preserve">The submission acknowledged that standard of care in Australia for chemotherapy naïve Stage IV </w:t>
      </w:r>
      <w:r w:rsidR="0001030C" w:rsidRPr="00B61251">
        <w:t xml:space="preserve">NSQ </w:t>
      </w:r>
      <w:r w:rsidRPr="00B61251">
        <w:t xml:space="preserve">NSCLC was PDC, which was not a treatment option for patients in the IMpower150 trial. </w:t>
      </w:r>
      <w:r w:rsidR="00817980" w:rsidRPr="00B61251">
        <w:t>Therefore,</w:t>
      </w:r>
      <w:r w:rsidRPr="00B61251">
        <w:t xml:space="preserve"> the treatment effect of PDC relied on data from Sandler 2006 and Zhou 2015. The HRs of bevacizumab + CP vs CP observed from these two trials were applied to the survival curves of bevacizumab + CP in IMpower150 to estimate the survival curves of PDC in the model. The</w:t>
      </w:r>
      <w:r w:rsidR="00E74217" w:rsidRPr="00B61251">
        <w:t xml:space="preserve"> evaluation noted</w:t>
      </w:r>
      <w:r w:rsidRPr="00B61251">
        <w:t xml:space="preserve"> </w:t>
      </w:r>
      <w:r w:rsidR="0001030C" w:rsidRPr="00B61251">
        <w:t xml:space="preserve">there </w:t>
      </w:r>
      <w:r w:rsidRPr="00B61251">
        <w:t xml:space="preserve">were substantial transitivity concerns among the trials </w:t>
      </w:r>
      <w:r w:rsidR="00987C9D">
        <w:t>in the indirect comparison.</w:t>
      </w:r>
    </w:p>
    <w:p w:rsidR="00197601" w:rsidRPr="00B61251" w:rsidRDefault="00197601" w:rsidP="00E71B52">
      <w:pPr>
        <w:pStyle w:val="ListParagraph"/>
        <w:widowControl/>
        <w:numPr>
          <w:ilvl w:val="1"/>
          <w:numId w:val="1"/>
        </w:numPr>
        <w:spacing w:before="120" w:after="120"/>
      </w:pPr>
      <w:r w:rsidRPr="00B61251">
        <w:t xml:space="preserve">In addition, as noted above, other potentially relevant comparator trials were excluded from the submission. The HRs for bevacizumab + PDC versus PDC obtained from the meta-analysis of all the relevant comparator trials were examined in sensitivity </w:t>
      </w:r>
      <w:r w:rsidR="00987C9D">
        <w:t>analyses during the evaluation.</w:t>
      </w:r>
    </w:p>
    <w:p w:rsidR="009052DC" w:rsidRPr="00B61251" w:rsidRDefault="004A66EA" w:rsidP="00E71B52">
      <w:pPr>
        <w:pStyle w:val="ListParagraph"/>
        <w:widowControl/>
        <w:numPr>
          <w:ilvl w:val="1"/>
          <w:numId w:val="1"/>
        </w:numPr>
        <w:spacing w:before="120" w:after="120"/>
      </w:pPr>
      <w:r w:rsidRPr="00B61251">
        <w:t>Th</w:t>
      </w:r>
      <w:r w:rsidR="00197601" w:rsidRPr="00B61251">
        <w:t>e submission extrapolated the PFS and OS curves for both the atezolizumab + bevacizumab + PDC arm and the PDC arm from the m</w:t>
      </w:r>
      <w:r w:rsidR="0079332B">
        <w:t>edian duration of follow-up (20 </w:t>
      </w:r>
      <w:r w:rsidR="00197601" w:rsidRPr="00B61251">
        <w:t>month</w:t>
      </w:r>
      <w:r w:rsidRPr="00B61251">
        <w:t>s</w:t>
      </w:r>
      <w:r w:rsidR="00197601" w:rsidRPr="00B61251">
        <w:t>) in IMpower150 to 7.5 years in the base case.</w:t>
      </w:r>
      <w:r w:rsidR="00E06CDA" w:rsidRPr="00B61251">
        <w:t xml:space="preserve"> A Weibull function was used to extrapolate PFS and an exponential function was used to extrapolate OS in both treatment arms.</w:t>
      </w:r>
      <w:r w:rsidR="00EC1928" w:rsidRPr="00B61251">
        <w:rPr>
          <w:snapToGrid/>
          <w:lang w:eastAsia="en-AU"/>
        </w:rPr>
        <w:t xml:space="preserve"> </w:t>
      </w:r>
      <w:r w:rsidR="00B16DE7" w:rsidRPr="00B61251">
        <w:rPr>
          <w:snapToGrid/>
          <w:lang w:eastAsia="en-AU"/>
        </w:rPr>
        <w:t xml:space="preserve">The ESC </w:t>
      </w:r>
      <w:r w:rsidR="00DF0EA7" w:rsidRPr="00B61251">
        <w:rPr>
          <w:snapToGrid/>
          <w:lang w:eastAsia="en-AU"/>
        </w:rPr>
        <w:t xml:space="preserve">noted the model was sensitive to the function used to extrapolate OS but </w:t>
      </w:r>
      <w:r w:rsidR="00B16DE7" w:rsidRPr="00B61251">
        <w:rPr>
          <w:snapToGrid/>
          <w:lang w:eastAsia="en-AU"/>
        </w:rPr>
        <w:t>considered the use of an exponential functio</w:t>
      </w:r>
      <w:r w:rsidR="00D17DEE" w:rsidRPr="00B61251">
        <w:rPr>
          <w:snapToGrid/>
          <w:lang w:eastAsia="en-AU"/>
        </w:rPr>
        <w:t>n</w:t>
      </w:r>
      <w:r w:rsidR="00DF0EA7" w:rsidRPr="00B61251">
        <w:rPr>
          <w:snapToGrid/>
          <w:lang w:eastAsia="en-AU"/>
        </w:rPr>
        <w:t xml:space="preserve"> was</w:t>
      </w:r>
      <w:r w:rsidR="00D17DEE" w:rsidRPr="00B61251">
        <w:rPr>
          <w:snapToGrid/>
          <w:lang w:eastAsia="en-AU"/>
        </w:rPr>
        <w:t xml:space="preserve"> reasonable</w:t>
      </w:r>
      <w:r w:rsidR="00280690" w:rsidRPr="00B61251">
        <w:rPr>
          <w:snapToGrid/>
          <w:lang w:eastAsia="en-AU"/>
        </w:rPr>
        <w:t>.</w:t>
      </w:r>
    </w:p>
    <w:p w:rsidR="005A52D2" w:rsidRPr="005A52D2" w:rsidRDefault="00197601" w:rsidP="00E71B52">
      <w:pPr>
        <w:pStyle w:val="ListParagraph"/>
        <w:widowControl/>
        <w:numPr>
          <w:ilvl w:val="1"/>
          <w:numId w:val="1"/>
        </w:numPr>
        <w:spacing w:before="120" w:after="120"/>
      </w:pPr>
      <w:r w:rsidRPr="00B61251">
        <w:rPr>
          <w:snapToGrid/>
          <w:lang w:eastAsia="en-AU"/>
        </w:rPr>
        <w:t>For both the extrapolations of PFS and OS, a continued treatment effect was implicitly assumed by applying the chosen parametric functions beyond trial duration until the end of the modelled time horizon</w:t>
      </w:r>
      <w:r w:rsidR="00F57906" w:rsidRPr="00B61251">
        <w:rPr>
          <w:snapToGrid/>
          <w:lang w:eastAsia="en-AU"/>
        </w:rPr>
        <w:t>.</w:t>
      </w:r>
      <w:r w:rsidRPr="00B61251">
        <w:rPr>
          <w:snapToGrid/>
          <w:lang w:eastAsia="en-AU"/>
        </w:rPr>
        <w:t xml:space="preserve"> The OS curve for </w:t>
      </w:r>
      <w:r w:rsidR="004A66EA" w:rsidRPr="00B61251">
        <w:rPr>
          <w:snapToGrid/>
          <w:lang w:eastAsia="en-AU"/>
        </w:rPr>
        <w:t xml:space="preserve">the </w:t>
      </w:r>
      <w:r w:rsidRPr="00B61251">
        <w:rPr>
          <w:snapToGrid/>
          <w:lang w:eastAsia="en-AU"/>
        </w:rPr>
        <w:t xml:space="preserve">atezolizumab + bevacizumab + PDC arm did not converge with the OS curve for the PDC arm within the base case time horizon of 7.5 years. When considering pembrolizumab for the first-line treatment of patients with metastatic (Stage IV) NSCLC, the PBAC advised that “the base case of the economic model would need to converge the extrapolation curves to the base case time horizon of 7.5 years” (paragraph 7.13, Item 7.07, Pembrolizumab </w:t>
      </w:r>
      <w:r w:rsidR="00F12C84">
        <w:rPr>
          <w:snapToGrid/>
          <w:lang w:eastAsia="en-AU"/>
        </w:rPr>
        <w:lastRenderedPageBreak/>
        <w:t>Public Summary Document (</w:t>
      </w:r>
      <w:r w:rsidRPr="00B61251">
        <w:rPr>
          <w:snapToGrid/>
          <w:lang w:eastAsia="en-AU"/>
        </w:rPr>
        <w:t>PSD</w:t>
      </w:r>
      <w:r w:rsidR="00F12C84">
        <w:rPr>
          <w:snapToGrid/>
          <w:lang w:eastAsia="en-AU"/>
        </w:rPr>
        <w:t>)</w:t>
      </w:r>
      <w:r w:rsidRPr="00B61251">
        <w:rPr>
          <w:snapToGrid/>
          <w:lang w:eastAsia="en-AU"/>
        </w:rPr>
        <w:t>, November 2017 PBAC meeting).</w:t>
      </w:r>
      <w:r w:rsidR="0015712A" w:rsidRPr="00B61251">
        <w:rPr>
          <w:snapToGrid/>
          <w:lang w:eastAsia="en-AU"/>
        </w:rPr>
        <w:t xml:space="preserve"> </w:t>
      </w:r>
      <w:r w:rsidR="00E83794" w:rsidRPr="00B61251">
        <w:rPr>
          <w:snapToGrid/>
          <w:lang w:eastAsia="en-AU"/>
        </w:rPr>
        <w:t>The ESC recalled the curves for the pembrolizumab model converged from 5 years</w:t>
      </w:r>
      <w:r w:rsidR="00013256" w:rsidRPr="00B61251">
        <w:rPr>
          <w:rStyle w:val="FootnoteReference"/>
          <w:snapToGrid/>
          <w:lang w:eastAsia="en-AU"/>
        </w:rPr>
        <w:footnoteReference w:id="4"/>
      </w:r>
      <w:r w:rsidR="00987C9D">
        <w:rPr>
          <w:snapToGrid/>
          <w:lang w:eastAsia="en-AU"/>
        </w:rPr>
        <w:t>.</w:t>
      </w:r>
    </w:p>
    <w:p w:rsidR="00197601" w:rsidRPr="00B61251" w:rsidRDefault="00197601" w:rsidP="00E71B52">
      <w:pPr>
        <w:pStyle w:val="ListParagraph"/>
        <w:widowControl/>
        <w:numPr>
          <w:ilvl w:val="1"/>
          <w:numId w:val="1"/>
        </w:numPr>
        <w:spacing w:before="120" w:after="120"/>
      </w:pPr>
      <w:r w:rsidRPr="003A4B04">
        <w:t>In IMpower150, atezolizumab was</w:t>
      </w:r>
      <w:r w:rsidR="007D783D" w:rsidRPr="003A4B04">
        <w:t xml:space="preserve"> </w:t>
      </w:r>
      <w:r w:rsidRPr="003A4B04">
        <w:t>administered until loss of clinical benefit whereas bevacizumab was until progression. Therefore, time to treatment discontinuation (TTD) was analysed separately for each individual treatment within the intervention arm. The submission considered an</w:t>
      </w:r>
      <w:r w:rsidRPr="00B61251">
        <w:t xml:space="preserve"> exponential function to be the best fit to TTD of the intervention arm in all modelled populations for both atezolizumab and bevacizumab. Th</w:t>
      </w:r>
      <w:r w:rsidR="004A26B3" w:rsidRPr="00B61251">
        <w:t xml:space="preserve">e ESC considered the </w:t>
      </w:r>
      <w:r w:rsidRPr="00B61251">
        <w:t>exponential function appeared to provide the best fit to the within-trial TTD data among all the distribution functions provided in the submission.</w:t>
      </w:r>
    </w:p>
    <w:p w:rsidR="004444BE" w:rsidRPr="00B61251" w:rsidRDefault="00B92084" w:rsidP="00E71B52">
      <w:pPr>
        <w:pStyle w:val="ListParagraph"/>
        <w:widowControl/>
        <w:numPr>
          <w:ilvl w:val="1"/>
          <w:numId w:val="1"/>
        </w:numPr>
        <w:spacing w:before="120" w:after="120"/>
      </w:pPr>
      <w:r w:rsidRPr="00B61251">
        <w:t>The evaluation noted that d</w:t>
      </w:r>
      <w:r w:rsidR="00197601" w:rsidRPr="00B61251">
        <w:t>isutility associated with the AEs from atezolizumab and bevacizumab additional to those from PDC was not considered in the submission</w:t>
      </w:r>
      <w:r w:rsidR="004C75C6" w:rsidRPr="00B61251">
        <w:t xml:space="preserve"> and, given the harms associated with the atezolizumab + bevacizumab + PDC over PDC alone, </w:t>
      </w:r>
      <w:r w:rsidRPr="00B61251">
        <w:t xml:space="preserve">had the potential to </w:t>
      </w:r>
      <w:r w:rsidR="004C75C6" w:rsidRPr="00B61251">
        <w:t>bias the result to favour the intervention arm</w:t>
      </w:r>
      <w:r w:rsidR="00197601" w:rsidRPr="00B61251">
        <w:t>.</w:t>
      </w:r>
      <w:r w:rsidR="003B7C06" w:rsidRPr="00B61251">
        <w:t xml:space="preserve"> </w:t>
      </w:r>
      <w:r w:rsidR="00D45FA7" w:rsidRPr="00B61251">
        <w:t xml:space="preserve">The additional intravenous infusions with the atezolizumab + bevacizumab + PDC may also have adversely impacted the patients’ </w:t>
      </w:r>
      <w:r w:rsidR="0048067C" w:rsidRPr="00B61251">
        <w:t>QoL</w:t>
      </w:r>
      <w:r w:rsidR="00D45FA7" w:rsidRPr="00B61251">
        <w:t xml:space="preserve">. The cost to manage AEs in the intervention arm was included in the submission’s model. </w:t>
      </w:r>
      <w:r w:rsidR="004444BE" w:rsidRPr="00B61251">
        <w:t>The PSCR stated that no disutilities were applied in the model and</w:t>
      </w:r>
      <w:r w:rsidR="00B14341" w:rsidRPr="00B61251">
        <w:t xml:space="preserve"> rather these were</w:t>
      </w:r>
      <w:r w:rsidR="004444BE" w:rsidRPr="00B61251">
        <w:t xml:space="preserve"> assumed to have been captured within the utility weights used in the economic evaluation.</w:t>
      </w:r>
      <w:r w:rsidR="00E115E8" w:rsidRPr="00B61251">
        <w:t xml:space="preserve"> The PSCR state</w:t>
      </w:r>
      <w:r w:rsidR="009B6EF4" w:rsidRPr="00B61251">
        <w:t>d</w:t>
      </w:r>
      <w:r w:rsidR="00E115E8" w:rsidRPr="00B61251">
        <w:t xml:space="preserve"> an “extreme disutility” approach was</w:t>
      </w:r>
      <w:r w:rsidR="007D783D" w:rsidRPr="00B61251">
        <w:t xml:space="preserve"> </w:t>
      </w:r>
      <w:r w:rsidR="00E115E8" w:rsidRPr="00B61251">
        <w:t xml:space="preserve">explored and had a marginal impact on the </w:t>
      </w:r>
      <w:r w:rsidR="0048067C" w:rsidRPr="00B61251">
        <w:t>incremental cost effectiveness ratio (</w:t>
      </w:r>
      <w:r w:rsidR="00E115E8" w:rsidRPr="00B61251">
        <w:t>ICER</w:t>
      </w:r>
      <w:r w:rsidR="0048067C" w:rsidRPr="00B61251">
        <w:t>)</w:t>
      </w:r>
      <w:r w:rsidR="00E115E8" w:rsidRPr="00B61251">
        <w:t xml:space="preserve">. </w:t>
      </w:r>
      <w:r w:rsidR="003B7C06" w:rsidRPr="00B61251">
        <w:t>The ESC noted that</w:t>
      </w:r>
      <w:r w:rsidR="00E115E8" w:rsidRPr="00B61251">
        <w:t xml:space="preserve"> </w:t>
      </w:r>
      <w:r w:rsidR="003B7C06" w:rsidRPr="00B61251">
        <w:t xml:space="preserve">mean utilities were calculated for the PFS and Progression health states using pooled utility scores from patients in the atezolizumab + bevacizumab + CP arm and bevacizumab + CP arms in the ITT population of IMpower150. </w:t>
      </w:r>
      <w:r w:rsidR="00E115E8" w:rsidRPr="00B61251">
        <w:t>The ESC considered the m</w:t>
      </w:r>
      <w:r w:rsidR="00CA7639">
        <w:t>odel structure did</w:t>
      </w:r>
      <w:r w:rsidR="00E115E8" w:rsidRPr="00B61251">
        <w:t xml:space="preserve"> not account for the disutility of adding atezolizumab and bevacizumab to PDC as utilities were applied according to health state. Further, the ESC considered the reduction in Q</w:t>
      </w:r>
      <w:r w:rsidRPr="00B61251">
        <w:t>o</w:t>
      </w:r>
      <w:r w:rsidR="00E115E8" w:rsidRPr="00B61251">
        <w:t>L associated with treatment may not have been captured in the clinical trial due to how</w:t>
      </w:r>
      <w:r w:rsidR="00B14341" w:rsidRPr="00B61251">
        <w:t xml:space="preserve"> and when</w:t>
      </w:r>
      <w:r w:rsidR="00E115E8" w:rsidRPr="00B61251">
        <w:t xml:space="preserve"> the data </w:t>
      </w:r>
      <w:r w:rsidR="00B14341" w:rsidRPr="00B61251">
        <w:t xml:space="preserve">were </w:t>
      </w:r>
      <w:r w:rsidR="00E115E8" w:rsidRPr="00B61251">
        <w:t xml:space="preserve">collected (see </w:t>
      </w:r>
      <w:r w:rsidR="0076427E" w:rsidRPr="00B61251">
        <w:t>p</w:t>
      </w:r>
      <w:r w:rsidR="005A2046" w:rsidRPr="00B61251">
        <w:t>aragraph</w:t>
      </w:r>
      <w:r w:rsidR="0076427E" w:rsidRPr="00B61251">
        <w:t xml:space="preserve"> 6.1</w:t>
      </w:r>
      <w:r w:rsidR="00CA7639">
        <w:t>9</w:t>
      </w:r>
      <w:r w:rsidR="00987C9D">
        <w:t>).</w:t>
      </w:r>
    </w:p>
    <w:p w:rsidR="00197601" w:rsidRPr="00B61251" w:rsidRDefault="00197601" w:rsidP="00E71B52">
      <w:pPr>
        <w:pStyle w:val="ListParagraph"/>
        <w:widowControl/>
        <w:numPr>
          <w:ilvl w:val="1"/>
          <w:numId w:val="1"/>
        </w:numPr>
        <w:spacing w:before="120" w:after="120"/>
      </w:pPr>
      <w:r w:rsidRPr="00B61251">
        <w:t>The key drivers of the model are summarised below.</w:t>
      </w:r>
    </w:p>
    <w:p w:rsidR="00197601" w:rsidRPr="00B61251" w:rsidRDefault="00197601" w:rsidP="00263693">
      <w:pPr>
        <w:pStyle w:val="Caption"/>
        <w:keepNext/>
        <w:keepLines/>
        <w:widowControl/>
        <w:rPr>
          <w:rStyle w:val="CommentReference"/>
        </w:rPr>
      </w:pPr>
      <w:r w:rsidRPr="00B61251">
        <w:lastRenderedPageBreak/>
        <w:t xml:space="preserve">Table </w:t>
      </w:r>
      <w:r w:rsidR="00744BB1" w:rsidRPr="00B61251">
        <w:t>10</w:t>
      </w:r>
      <w:r w:rsidRPr="00B61251">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model"/>
      </w:tblPr>
      <w:tblGrid>
        <w:gridCol w:w="1713"/>
        <w:gridCol w:w="4619"/>
        <w:gridCol w:w="2685"/>
      </w:tblGrid>
      <w:tr w:rsidR="00197601" w:rsidRPr="00B61251" w:rsidTr="00CF755B">
        <w:trPr>
          <w:tblHeader/>
        </w:trPr>
        <w:tc>
          <w:tcPr>
            <w:tcW w:w="950" w:type="pct"/>
            <w:shd w:val="clear" w:color="auto" w:fill="auto"/>
            <w:vAlign w:val="center"/>
          </w:tcPr>
          <w:p w:rsidR="00197601" w:rsidRPr="003A4B04" w:rsidRDefault="00197601" w:rsidP="00263693">
            <w:pPr>
              <w:pStyle w:val="Tabletext"/>
              <w:keepNext/>
              <w:keepLines/>
              <w:rPr>
                <w:rFonts w:cs="Arial"/>
                <w:b/>
                <w:snapToGrid w:val="0"/>
                <w:szCs w:val="20"/>
              </w:rPr>
            </w:pPr>
            <w:r w:rsidRPr="003A4B04">
              <w:rPr>
                <w:rFonts w:cs="Arial"/>
                <w:b/>
                <w:snapToGrid w:val="0"/>
                <w:szCs w:val="20"/>
              </w:rPr>
              <w:t>Description</w:t>
            </w:r>
          </w:p>
        </w:tc>
        <w:tc>
          <w:tcPr>
            <w:tcW w:w="2561" w:type="pct"/>
            <w:shd w:val="clear" w:color="auto" w:fill="auto"/>
            <w:vAlign w:val="center"/>
          </w:tcPr>
          <w:p w:rsidR="00197601" w:rsidRPr="003A4B04" w:rsidRDefault="00197601" w:rsidP="00263693">
            <w:pPr>
              <w:pStyle w:val="Tabletext"/>
              <w:keepNext/>
              <w:keepLines/>
              <w:jc w:val="center"/>
              <w:rPr>
                <w:rFonts w:cs="Arial"/>
                <w:b/>
                <w:snapToGrid w:val="0"/>
                <w:szCs w:val="20"/>
              </w:rPr>
            </w:pPr>
            <w:r w:rsidRPr="003A4B04">
              <w:rPr>
                <w:rFonts w:cs="Arial"/>
                <w:b/>
                <w:snapToGrid w:val="0"/>
                <w:szCs w:val="20"/>
              </w:rPr>
              <w:t>Method/Value</w:t>
            </w:r>
          </w:p>
        </w:tc>
        <w:tc>
          <w:tcPr>
            <w:tcW w:w="1489" w:type="pct"/>
            <w:shd w:val="clear" w:color="auto" w:fill="auto"/>
            <w:vAlign w:val="center"/>
          </w:tcPr>
          <w:p w:rsidR="00197601" w:rsidRPr="003A4B04" w:rsidRDefault="00197601" w:rsidP="00263693">
            <w:pPr>
              <w:pStyle w:val="Tabletext"/>
              <w:keepNext/>
              <w:keepLines/>
              <w:jc w:val="center"/>
              <w:rPr>
                <w:rFonts w:cs="Arial"/>
                <w:b/>
                <w:snapToGrid w:val="0"/>
                <w:szCs w:val="20"/>
              </w:rPr>
            </w:pPr>
            <w:r w:rsidRPr="003A4B04">
              <w:rPr>
                <w:rFonts w:cs="Arial"/>
                <w:b/>
                <w:snapToGrid w:val="0"/>
                <w:szCs w:val="20"/>
              </w:rPr>
              <w:t>Impact</w:t>
            </w:r>
          </w:p>
        </w:tc>
      </w:tr>
      <w:tr w:rsidR="00197601" w:rsidRPr="00B61251" w:rsidTr="00CF755B">
        <w:tc>
          <w:tcPr>
            <w:tcW w:w="950" w:type="pct"/>
            <w:shd w:val="clear" w:color="auto" w:fill="auto"/>
            <w:vAlign w:val="center"/>
          </w:tcPr>
          <w:p w:rsidR="00197601" w:rsidRPr="00B61251" w:rsidRDefault="00197601" w:rsidP="00263693">
            <w:pPr>
              <w:pStyle w:val="Tabletext"/>
              <w:keepNext/>
              <w:keepLines/>
            </w:pPr>
            <w:r w:rsidRPr="00B61251">
              <w:t>Treatment effect of atezolizumab + bevacizumab + PDC versus PDC</w:t>
            </w:r>
          </w:p>
        </w:tc>
        <w:tc>
          <w:tcPr>
            <w:tcW w:w="2561" w:type="pct"/>
            <w:shd w:val="clear" w:color="auto" w:fill="auto"/>
            <w:vAlign w:val="center"/>
          </w:tcPr>
          <w:p w:rsidR="00197601" w:rsidRPr="00B61251" w:rsidRDefault="00197601" w:rsidP="00263693">
            <w:pPr>
              <w:pStyle w:val="Tabletext"/>
              <w:keepNext/>
              <w:keepLines/>
            </w:pPr>
            <w:r w:rsidRPr="00B61251">
              <w:t>OS curve for the PDC arm was derived by adjusting the OS curve of the bevacizumab + CP arm in IMpower150 with the HR observed from Sandler 2006 and Zhou 2015</w:t>
            </w:r>
          </w:p>
        </w:tc>
        <w:tc>
          <w:tcPr>
            <w:tcW w:w="1489" w:type="pct"/>
            <w:shd w:val="clear" w:color="auto" w:fill="auto"/>
            <w:vAlign w:val="center"/>
          </w:tcPr>
          <w:p w:rsidR="00197601" w:rsidRPr="00B61251" w:rsidRDefault="00197601" w:rsidP="00263693">
            <w:pPr>
              <w:pStyle w:val="Tabletext"/>
              <w:keepNext/>
              <w:keepLines/>
            </w:pPr>
            <w:r w:rsidRPr="00B61251">
              <w:t>High, favours atezolizumab + bevacizumab + PDC</w:t>
            </w:r>
          </w:p>
        </w:tc>
      </w:tr>
      <w:tr w:rsidR="00120367" w:rsidRPr="00B61251" w:rsidTr="00CF755B">
        <w:tc>
          <w:tcPr>
            <w:tcW w:w="950" w:type="pct"/>
            <w:vMerge w:val="restart"/>
            <w:shd w:val="clear" w:color="auto" w:fill="auto"/>
            <w:vAlign w:val="center"/>
          </w:tcPr>
          <w:p w:rsidR="00120367" w:rsidRPr="00B61251" w:rsidRDefault="00120367" w:rsidP="00263693">
            <w:pPr>
              <w:pStyle w:val="Tabletext"/>
              <w:keepNext/>
              <w:keepLines/>
            </w:pPr>
            <w:r w:rsidRPr="00B61251">
              <w:t>Extrapolation</w:t>
            </w:r>
          </w:p>
        </w:tc>
        <w:tc>
          <w:tcPr>
            <w:tcW w:w="2561" w:type="pct"/>
            <w:shd w:val="clear" w:color="auto" w:fill="auto"/>
            <w:vAlign w:val="center"/>
          </w:tcPr>
          <w:p w:rsidR="00120367" w:rsidRPr="00B61251" w:rsidRDefault="00B0031D" w:rsidP="00263693">
            <w:pPr>
              <w:pStyle w:val="Tabletext"/>
              <w:keepNext/>
              <w:keepLines/>
            </w:pPr>
            <w:r w:rsidRPr="00B61251">
              <w:t>E</w:t>
            </w:r>
            <w:r w:rsidR="00120367" w:rsidRPr="00B61251">
              <w:t xml:space="preserve">xponential </w:t>
            </w:r>
            <w:r w:rsidR="00A4420A" w:rsidRPr="00B61251">
              <w:t>distributions for</w:t>
            </w:r>
            <w:r w:rsidR="00120367" w:rsidRPr="00B61251">
              <w:t xml:space="preserve"> OS extrapolation for both of the IMpower150 trial arms were applied in the base case.</w:t>
            </w:r>
          </w:p>
        </w:tc>
        <w:tc>
          <w:tcPr>
            <w:tcW w:w="1489" w:type="pct"/>
            <w:shd w:val="clear" w:color="auto" w:fill="auto"/>
            <w:vAlign w:val="center"/>
          </w:tcPr>
          <w:p w:rsidR="00120367" w:rsidRPr="00B61251" w:rsidRDefault="00120367" w:rsidP="00263693">
            <w:pPr>
              <w:pStyle w:val="Tabletext"/>
              <w:keepNext/>
              <w:keepLines/>
            </w:pPr>
            <w:r w:rsidRPr="00B61251">
              <w:t>Moderate – High, favours atezolizumab + bevacizumab + PDC</w:t>
            </w:r>
          </w:p>
        </w:tc>
      </w:tr>
      <w:tr w:rsidR="00120367" w:rsidRPr="00B61251" w:rsidTr="00120367">
        <w:trPr>
          <w:trHeight w:val="480"/>
        </w:trPr>
        <w:tc>
          <w:tcPr>
            <w:tcW w:w="950" w:type="pct"/>
            <w:vMerge/>
            <w:shd w:val="clear" w:color="auto" w:fill="auto"/>
            <w:vAlign w:val="center"/>
          </w:tcPr>
          <w:p w:rsidR="00120367" w:rsidRPr="00B61251" w:rsidRDefault="00120367" w:rsidP="00263693">
            <w:pPr>
              <w:pStyle w:val="Tabletext"/>
              <w:keepNext/>
              <w:keepLines/>
            </w:pPr>
          </w:p>
        </w:tc>
        <w:tc>
          <w:tcPr>
            <w:tcW w:w="2561" w:type="pct"/>
            <w:shd w:val="clear" w:color="auto" w:fill="auto"/>
            <w:vAlign w:val="center"/>
          </w:tcPr>
          <w:p w:rsidR="00120367" w:rsidRPr="00B61251" w:rsidRDefault="00120367" w:rsidP="00263693">
            <w:pPr>
              <w:pStyle w:val="Tabletext"/>
              <w:keepNext/>
              <w:keepLines/>
            </w:pPr>
            <w:r w:rsidRPr="00B61251">
              <w:t>Assumed continuing treatment effect through application of PFS and OS HRs estimated from bevacizumab + PDC vs. PDC trials.</w:t>
            </w:r>
          </w:p>
        </w:tc>
        <w:tc>
          <w:tcPr>
            <w:tcW w:w="1489" w:type="pct"/>
            <w:shd w:val="clear" w:color="auto" w:fill="auto"/>
            <w:vAlign w:val="center"/>
          </w:tcPr>
          <w:p w:rsidR="00120367" w:rsidRPr="00B61251" w:rsidRDefault="00F61FA9" w:rsidP="00263693">
            <w:pPr>
              <w:pStyle w:val="Tabletext"/>
              <w:keepNext/>
              <w:keepLines/>
            </w:pPr>
            <w:r w:rsidRPr="00B61251">
              <w:t xml:space="preserve">Moderate  - High </w:t>
            </w:r>
            <w:r w:rsidR="00120367" w:rsidRPr="00B61251">
              <w:t>, favours atezolizumab + bevacizumab + PDC</w:t>
            </w:r>
          </w:p>
        </w:tc>
      </w:tr>
      <w:tr w:rsidR="00120367" w:rsidRPr="00B61251" w:rsidTr="00CF755B">
        <w:trPr>
          <w:trHeight w:val="480"/>
        </w:trPr>
        <w:tc>
          <w:tcPr>
            <w:tcW w:w="950" w:type="pct"/>
            <w:vMerge/>
            <w:shd w:val="clear" w:color="auto" w:fill="auto"/>
            <w:vAlign w:val="center"/>
          </w:tcPr>
          <w:p w:rsidR="00120367" w:rsidRPr="00B61251" w:rsidRDefault="00120367" w:rsidP="00263693">
            <w:pPr>
              <w:pStyle w:val="Tabletext"/>
              <w:keepNext/>
              <w:keepLines/>
            </w:pPr>
          </w:p>
        </w:tc>
        <w:tc>
          <w:tcPr>
            <w:tcW w:w="2561" w:type="pct"/>
            <w:shd w:val="clear" w:color="auto" w:fill="auto"/>
            <w:vAlign w:val="center"/>
          </w:tcPr>
          <w:p w:rsidR="00120367" w:rsidRPr="00B61251" w:rsidRDefault="00120367" w:rsidP="00263693">
            <w:pPr>
              <w:pStyle w:val="Tabletext"/>
              <w:keepNext/>
              <w:keepLines/>
            </w:pPr>
            <w:r w:rsidRPr="00B61251">
              <w:t>OS curves for the two comparative arms did not converge within the base case time horizon of 7.5 years.</w:t>
            </w:r>
          </w:p>
        </w:tc>
        <w:tc>
          <w:tcPr>
            <w:tcW w:w="1489" w:type="pct"/>
            <w:shd w:val="clear" w:color="auto" w:fill="auto"/>
            <w:vAlign w:val="center"/>
          </w:tcPr>
          <w:p w:rsidR="00120367" w:rsidRPr="00B61251" w:rsidDel="007D6BEB" w:rsidRDefault="00F233E4" w:rsidP="00263693">
            <w:pPr>
              <w:pStyle w:val="Tabletext"/>
              <w:keepNext/>
              <w:keepLines/>
            </w:pPr>
            <w:r w:rsidRPr="00B61251">
              <w:t>High, favours atezolizumab + bevacizumab + PDC</w:t>
            </w:r>
          </w:p>
        </w:tc>
      </w:tr>
      <w:tr w:rsidR="00197601" w:rsidRPr="00B61251" w:rsidTr="00CF755B">
        <w:tc>
          <w:tcPr>
            <w:tcW w:w="950" w:type="pct"/>
            <w:shd w:val="clear" w:color="auto" w:fill="auto"/>
            <w:vAlign w:val="center"/>
          </w:tcPr>
          <w:p w:rsidR="00197601" w:rsidRPr="00B61251" w:rsidRDefault="00197601" w:rsidP="00263693">
            <w:pPr>
              <w:pStyle w:val="Tabletext"/>
              <w:keepNext/>
              <w:keepLines/>
            </w:pPr>
            <w:r w:rsidRPr="00B61251">
              <w:t>Subsequent CIT post-progression in the comparator arm</w:t>
            </w:r>
          </w:p>
        </w:tc>
        <w:tc>
          <w:tcPr>
            <w:tcW w:w="2561" w:type="pct"/>
            <w:shd w:val="clear" w:color="auto" w:fill="auto"/>
            <w:vAlign w:val="center"/>
          </w:tcPr>
          <w:p w:rsidR="00197601" w:rsidRPr="00B61251" w:rsidRDefault="00197601" w:rsidP="00263693">
            <w:pPr>
              <w:pStyle w:val="Tabletext"/>
              <w:keepNext/>
              <w:keepLines/>
            </w:pPr>
            <w:r w:rsidRPr="0009160F">
              <w:t xml:space="preserve">Inclusion of the costs of </w:t>
            </w:r>
            <w:r w:rsidR="00120367" w:rsidRPr="0009160F">
              <w:t xml:space="preserve">immunotherapy </w:t>
            </w:r>
            <w:r w:rsidRPr="0009160F">
              <w:t xml:space="preserve">post-progression in </w:t>
            </w:r>
            <w:r w:rsidR="00DD5455">
              <w:rPr>
                <w:noProof/>
                <w:color w:val="000000"/>
                <w:highlight w:val="black"/>
              </w:rPr>
              <w:t>''''''</w:t>
            </w:r>
            <w:r w:rsidR="001B5E4B" w:rsidRPr="0009160F">
              <w:t xml:space="preserve">% </w:t>
            </w:r>
            <w:r w:rsidR="007D6BEB" w:rsidRPr="0009160F">
              <w:t xml:space="preserve">of </w:t>
            </w:r>
            <w:r w:rsidRPr="0009160F">
              <w:t>the c</w:t>
            </w:r>
            <w:r w:rsidRPr="00B61251">
              <w:t>omparator arm</w:t>
            </w:r>
            <w:r w:rsidR="007D6BEB" w:rsidRPr="00B61251">
              <w:t xml:space="preserve"> (compared to 35% in the IMpower</w:t>
            </w:r>
            <w:r w:rsidR="00D14D9B" w:rsidRPr="00B61251">
              <w:t>150</w:t>
            </w:r>
            <w:r w:rsidR="007D6BEB" w:rsidRPr="00B61251">
              <w:t xml:space="preserve"> trial)</w:t>
            </w:r>
            <w:r w:rsidR="00076D0D" w:rsidRPr="00B61251">
              <w:t xml:space="preserve"> with no change in OS</w:t>
            </w:r>
            <w:r w:rsidRPr="00B61251">
              <w:t>.</w:t>
            </w:r>
          </w:p>
        </w:tc>
        <w:tc>
          <w:tcPr>
            <w:tcW w:w="1489" w:type="pct"/>
            <w:shd w:val="clear" w:color="auto" w:fill="auto"/>
            <w:vAlign w:val="center"/>
          </w:tcPr>
          <w:p w:rsidR="00197601" w:rsidRPr="00B61251" w:rsidRDefault="007D6BEB" w:rsidP="00263693">
            <w:pPr>
              <w:pStyle w:val="Tabletext"/>
              <w:keepNext/>
              <w:keepLines/>
            </w:pPr>
            <w:r w:rsidRPr="00B61251">
              <w:t>High</w:t>
            </w:r>
            <w:r w:rsidR="00197601" w:rsidRPr="00B61251">
              <w:t>, favours atezolizumab + bevacizumab + PDC</w:t>
            </w:r>
          </w:p>
        </w:tc>
      </w:tr>
      <w:tr w:rsidR="00197601" w:rsidRPr="00B61251" w:rsidTr="00CF755B">
        <w:tc>
          <w:tcPr>
            <w:tcW w:w="950" w:type="pct"/>
            <w:shd w:val="clear" w:color="auto" w:fill="auto"/>
            <w:vAlign w:val="center"/>
          </w:tcPr>
          <w:p w:rsidR="00197601" w:rsidRPr="00B61251" w:rsidRDefault="00197601" w:rsidP="00263693">
            <w:pPr>
              <w:pStyle w:val="Tabletext"/>
              <w:keepNext/>
              <w:keepLines/>
            </w:pPr>
            <w:r w:rsidRPr="00B61251">
              <w:t>Utility</w:t>
            </w:r>
          </w:p>
        </w:tc>
        <w:tc>
          <w:tcPr>
            <w:tcW w:w="2561" w:type="pct"/>
            <w:shd w:val="clear" w:color="auto" w:fill="auto"/>
            <w:vAlign w:val="center"/>
          </w:tcPr>
          <w:p w:rsidR="00197601" w:rsidRPr="00B61251" w:rsidRDefault="00197601" w:rsidP="00263693">
            <w:pPr>
              <w:pStyle w:val="Tabletext"/>
              <w:keepNext/>
              <w:keepLines/>
            </w:pPr>
            <w:r w:rsidRPr="00B61251">
              <w:t>No disutility assumed for the additional AEs or IV infusions in the intervention arm</w:t>
            </w:r>
          </w:p>
        </w:tc>
        <w:tc>
          <w:tcPr>
            <w:tcW w:w="1489" w:type="pct"/>
            <w:shd w:val="clear" w:color="auto" w:fill="auto"/>
            <w:vAlign w:val="center"/>
          </w:tcPr>
          <w:p w:rsidR="00197601" w:rsidRPr="00B61251" w:rsidRDefault="00197601" w:rsidP="00263693">
            <w:pPr>
              <w:pStyle w:val="Tabletext"/>
              <w:keepNext/>
              <w:keepLines/>
            </w:pPr>
            <w:r w:rsidRPr="00B61251">
              <w:t>Uncertain of the size of the impact, favours atezolizumab + bevacizumab + PDC</w:t>
            </w:r>
          </w:p>
        </w:tc>
      </w:tr>
    </w:tbl>
    <w:p w:rsidR="00197601" w:rsidRPr="00B61251" w:rsidRDefault="00197601" w:rsidP="00263693">
      <w:pPr>
        <w:pStyle w:val="TableFooter"/>
        <w:keepNext/>
        <w:keepLines/>
        <w:widowControl/>
      </w:pPr>
      <w:r w:rsidRPr="00B61251">
        <w:t>PDC = platinum doublet chemotherapy; CIT = cancer immunotherapy; AE = adverse event; IV = intravenous.</w:t>
      </w:r>
    </w:p>
    <w:p w:rsidR="00197601" w:rsidRPr="00B61251" w:rsidRDefault="00197601" w:rsidP="00263693">
      <w:pPr>
        <w:pStyle w:val="TableFooter"/>
        <w:keepNext/>
        <w:keepLines/>
        <w:widowControl/>
      </w:pPr>
      <w:r w:rsidRPr="00B61251">
        <w:t>Source: Compiled based on sensitivity analyses performed during the evaluation.</w:t>
      </w:r>
    </w:p>
    <w:p w:rsidR="00197601" w:rsidRPr="00B61251" w:rsidRDefault="00197601" w:rsidP="00E71B52">
      <w:pPr>
        <w:widowControl/>
        <w:spacing w:before="120" w:after="120"/>
      </w:pPr>
    </w:p>
    <w:p w:rsidR="00197601" w:rsidRPr="00B61251" w:rsidRDefault="00197601" w:rsidP="00E71B52">
      <w:pPr>
        <w:pStyle w:val="ListParagraph"/>
        <w:widowControl/>
        <w:numPr>
          <w:ilvl w:val="1"/>
          <w:numId w:val="1"/>
        </w:numPr>
        <w:spacing w:before="120" w:after="120"/>
      </w:pPr>
      <w:r w:rsidRPr="00B61251">
        <w:t>The results of the revised stepped analyses for the ITT population are presented below.</w:t>
      </w:r>
    </w:p>
    <w:p w:rsidR="00197601" w:rsidRPr="00B61251" w:rsidRDefault="00197601" w:rsidP="0079332B">
      <w:pPr>
        <w:keepNext/>
        <w:widowControl/>
        <w:rPr>
          <w:rStyle w:val="CommentReference"/>
          <w:szCs w:val="20"/>
        </w:rPr>
      </w:pPr>
      <w:r w:rsidRPr="0079332B">
        <w:rPr>
          <w:rFonts w:ascii="Arial Narrow" w:hAnsi="Arial Narrow"/>
          <w:b/>
          <w:sz w:val="20"/>
          <w:szCs w:val="20"/>
        </w:rPr>
        <w:lastRenderedPageBreak/>
        <w:t xml:space="preserve">Table </w:t>
      </w:r>
      <w:r w:rsidR="00744BB1" w:rsidRPr="0079332B">
        <w:rPr>
          <w:rFonts w:ascii="Arial Narrow" w:hAnsi="Arial Narrow"/>
          <w:b/>
          <w:sz w:val="20"/>
          <w:szCs w:val="20"/>
        </w:rPr>
        <w:t>11</w:t>
      </w:r>
      <w:r w:rsidRPr="0079332B">
        <w:rPr>
          <w:rFonts w:ascii="Arial Narrow" w:hAnsi="Arial Narrow"/>
          <w:b/>
          <w:sz w:val="20"/>
          <w:szCs w:val="20"/>
        </w:rPr>
        <w:t>:</w:t>
      </w:r>
      <w:r w:rsidRPr="00B61251">
        <w:rPr>
          <w:rFonts w:ascii="Arial Narrow" w:hAnsi="Arial Narrow"/>
          <w:sz w:val="20"/>
          <w:szCs w:val="20"/>
        </w:rPr>
        <w:t xml:space="preserve"> </w:t>
      </w:r>
      <w:r w:rsidRPr="00B61251">
        <w:rPr>
          <w:rStyle w:val="CommentReference"/>
          <w:szCs w:val="20"/>
        </w:rPr>
        <w:t>Results of the revised stepped economic evaluation for the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revised stepped economic evaluation for the ITT population"/>
      </w:tblPr>
      <w:tblGrid>
        <w:gridCol w:w="2757"/>
        <w:gridCol w:w="2451"/>
        <w:gridCol w:w="2298"/>
        <w:gridCol w:w="1511"/>
      </w:tblGrid>
      <w:tr w:rsidR="00197601" w:rsidRPr="00B61251" w:rsidTr="00CF755B">
        <w:trPr>
          <w:tblHeader/>
        </w:trPr>
        <w:tc>
          <w:tcPr>
            <w:tcW w:w="1529" w:type="pct"/>
            <w:vAlign w:val="center"/>
          </w:tcPr>
          <w:p w:rsidR="00197601" w:rsidRPr="00B61251" w:rsidRDefault="00197601" w:rsidP="0079332B">
            <w:pPr>
              <w:pStyle w:val="Tabletext"/>
              <w:keepNext/>
              <w:rPr>
                <w:b/>
                <w:szCs w:val="20"/>
              </w:rPr>
            </w:pPr>
            <w:r w:rsidRPr="00B61251">
              <w:rPr>
                <w:b/>
                <w:szCs w:val="20"/>
              </w:rPr>
              <w:t>Step and component</w:t>
            </w:r>
          </w:p>
        </w:tc>
        <w:tc>
          <w:tcPr>
            <w:tcW w:w="1359" w:type="pct"/>
            <w:vAlign w:val="center"/>
          </w:tcPr>
          <w:p w:rsidR="00197601" w:rsidRPr="00B61251" w:rsidRDefault="00197601" w:rsidP="0079332B">
            <w:pPr>
              <w:pStyle w:val="Tabletext"/>
              <w:keepNext/>
              <w:jc w:val="center"/>
              <w:rPr>
                <w:b/>
                <w:szCs w:val="20"/>
              </w:rPr>
            </w:pPr>
            <w:r w:rsidRPr="00B61251">
              <w:rPr>
                <w:b/>
                <w:szCs w:val="20"/>
              </w:rPr>
              <w:t>ATEZO + BEV + PDC</w:t>
            </w:r>
          </w:p>
        </w:tc>
        <w:tc>
          <w:tcPr>
            <w:tcW w:w="1274" w:type="pct"/>
            <w:vAlign w:val="center"/>
          </w:tcPr>
          <w:p w:rsidR="00197601" w:rsidRPr="00B61251" w:rsidRDefault="00197601" w:rsidP="0079332B">
            <w:pPr>
              <w:pStyle w:val="Tabletext"/>
              <w:keepNext/>
              <w:jc w:val="center"/>
              <w:rPr>
                <w:b/>
                <w:szCs w:val="20"/>
              </w:rPr>
            </w:pPr>
            <w:r w:rsidRPr="00B61251">
              <w:rPr>
                <w:b/>
                <w:szCs w:val="20"/>
              </w:rPr>
              <w:t>PDC</w:t>
            </w:r>
          </w:p>
        </w:tc>
        <w:tc>
          <w:tcPr>
            <w:tcW w:w="838" w:type="pct"/>
            <w:vAlign w:val="center"/>
          </w:tcPr>
          <w:p w:rsidR="00197601" w:rsidRPr="00B61251" w:rsidRDefault="00197601" w:rsidP="0079332B">
            <w:pPr>
              <w:pStyle w:val="Tabletext"/>
              <w:keepNext/>
              <w:jc w:val="center"/>
              <w:rPr>
                <w:b/>
                <w:szCs w:val="20"/>
              </w:rPr>
            </w:pPr>
            <w:r w:rsidRPr="00B61251">
              <w:rPr>
                <w:b/>
                <w:szCs w:val="20"/>
              </w:rPr>
              <w:t>Increment</w:t>
            </w:r>
          </w:p>
        </w:tc>
      </w:tr>
      <w:tr w:rsidR="00197601" w:rsidRPr="00B61251" w:rsidTr="00CF755B">
        <w:tc>
          <w:tcPr>
            <w:tcW w:w="5000" w:type="pct"/>
            <w:gridSpan w:val="4"/>
            <w:vAlign w:val="center"/>
          </w:tcPr>
          <w:p w:rsidR="00197601" w:rsidRPr="00B61251" w:rsidRDefault="00197601" w:rsidP="0079332B">
            <w:pPr>
              <w:pStyle w:val="Tabletext"/>
              <w:keepNext/>
              <w:rPr>
                <w:b/>
                <w:snapToGrid w:val="0"/>
                <w:szCs w:val="20"/>
              </w:rPr>
            </w:pPr>
            <w:r w:rsidRPr="00B61251">
              <w:rPr>
                <w:b/>
                <w:snapToGrid w:val="0"/>
                <w:szCs w:val="20"/>
              </w:rPr>
              <w:t>Step 1: trial-based costs and outcomes</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Costs</w:t>
            </w:r>
          </w:p>
        </w:tc>
        <w:tc>
          <w:tcPr>
            <w:tcW w:w="1359"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1274"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LYG</w:t>
            </w:r>
          </w:p>
        </w:tc>
        <w:tc>
          <w:tcPr>
            <w:tcW w:w="1359" w:type="pct"/>
            <w:vAlign w:val="center"/>
          </w:tcPr>
          <w:p w:rsidR="00197601" w:rsidRPr="00B61251" w:rsidRDefault="00197601" w:rsidP="0079332B">
            <w:pPr>
              <w:pStyle w:val="Tabletext"/>
              <w:keepNext/>
              <w:jc w:val="center"/>
              <w:rPr>
                <w:szCs w:val="20"/>
              </w:rPr>
            </w:pPr>
            <w:r w:rsidRPr="00B61251">
              <w:rPr>
                <w:szCs w:val="20"/>
              </w:rPr>
              <w:t>1.205</w:t>
            </w:r>
          </w:p>
        </w:tc>
        <w:tc>
          <w:tcPr>
            <w:tcW w:w="1274" w:type="pct"/>
            <w:vAlign w:val="center"/>
          </w:tcPr>
          <w:p w:rsidR="00197601" w:rsidRPr="00B61251" w:rsidRDefault="00197601" w:rsidP="0079332B">
            <w:pPr>
              <w:pStyle w:val="Tabletext"/>
              <w:keepNext/>
              <w:jc w:val="center"/>
              <w:rPr>
                <w:szCs w:val="20"/>
              </w:rPr>
            </w:pPr>
            <w:r w:rsidRPr="00B61251">
              <w:rPr>
                <w:szCs w:val="20"/>
              </w:rPr>
              <w:t>1.006</w:t>
            </w:r>
          </w:p>
        </w:tc>
        <w:tc>
          <w:tcPr>
            <w:tcW w:w="838" w:type="pct"/>
            <w:vAlign w:val="center"/>
          </w:tcPr>
          <w:p w:rsidR="00197601" w:rsidRPr="00B61251" w:rsidRDefault="00197601" w:rsidP="0079332B">
            <w:pPr>
              <w:pStyle w:val="Tabletext"/>
              <w:keepNext/>
              <w:jc w:val="center"/>
              <w:rPr>
                <w:szCs w:val="20"/>
              </w:rPr>
            </w:pPr>
            <w:r w:rsidRPr="00B61251">
              <w:rPr>
                <w:szCs w:val="20"/>
              </w:rPr>
              <w:t>0.199</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QALYs</w:t>
            </w:r>
          </w:p>
        </w:tc>
        <w:tc>
          <w:tcPr>
            <w:tcW w:w="1359" w:type="pct"/>
            <w:vAlign w:val="center"/>
          </w:tcPr>
          <w:p w:rsidR="00197601" w:rsidRPr="00B61251" w:rsidRDefault="00197601" w:rsidP="0079332B">
            <w:pPr>
              <w:pStyle w:val="Tabletext"/>
              <w:keepNext/>
              <w:jc w:val="center"/>
              <w:rPr>
                <w:szCs w:val="20"/>
              </w:rPr>
            </w:pPr>
            <w:r w:rsidRPr="00B61251">
              <w:rPr>
                <w:szCs w:val="20"/>
              </w:rPr>
              <w:t>0.864</w:t>
            </w:r>
          </w:p>
        </w:tc>
        <w:tc>
          <w:tcPr>
            <w:tcW w:w="1274" w:type="pct"/>
            <w:vAlign w:val="center"/>
          </w:tcPr>
          <w:p w:rsidR="00197601" w:rsidRPr="00B61251" w:rsidRDefault="00197601" w:rsidP="0079332B">
            <w:pPr>
              <w:pStyle w:val="Tabletext"/>
              <w:keepNext/>
              <w:jc w:val="center"/>
              <w:rPr>
                <w:szCs w:val="20"/>
              </w:rPr>
            </w:pPr>
            <w:r w:rsidRPr="00B61251">
              <w:rPr>
                <w:szCs w:val="20"/>
              </w:rPr>
              <w:t>0.715</w:t>
            </w:r>
          </w:p>
        </w:tc>
        <w:tc>
          <w:tcPr>
            <w:tcW w:w="838" w:type="pct"/>
            <w:vAlign w:val="center"/>
          </w:tcPr>
          <w:p w:rsidR="00197601" w:rsidRPr="00B61251" w:rsidRDefault="00197601" w:rsidP="0079332B">
            <w:pPr>
              <w:pStyle w:val="Tabletext"/>
              <w:keepNext/>
              <w:jc w:val="center"/>
              <w:rPr>
                <w:szCs w:val="20"/>
              </w:rPr>
            </w:pPr>
            <w:r w:rsidRPr="00B61251">
              <w:rPr>
                <w:szCs w:val="20"/>
              </w:rPr>
              <w:t>0.149</w:t>
            </w:r>
          </w:p>
        </w:tc>
      </w:tr>
      <w:tr w:rsidR="00197601" w:rsidRPr="00B61251" w:rsidTr="00CF755B">
        <w:tc>
          <w:tcPr>
            <w:tcW w:w="4162" w:type="pct"/>
            <w:gridSpan w:val="3"/>
            <w:vAlign w:val="center"/>
          </w:tcPr>
          <w:p w:rsidR="00197601" w:rsidRPr="00B61251" w:rsidRDefault="00197601" w:rsidP="0079332B">
            <w:pPr>
              <w:pStyle w:val="Tabletext"/>
              <w:keepNext/>
              <w:rPr>
                <w:snapToGrid w:val="0"/>
                <w:szCs w:val="20"/>
              </w:rPr>
            </w:pPr>
            <w:r w:rsidRPr="00B61251">
              <w:rPr>
                <w:szCs w:val="20"/>
              </w:rPr>
              <w:t>Incremental cost/extra LYG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4162" w:type="pct"/>
            <w:gridSpan w:val="3"/>
            <w:vAlign w:val="center"/>
          </w:tcPr>
          <w:p w:rsidR="00197601" w:rsidRPr="00B61251" w:rsidRDefault="00197601" w:rsidP="0079332B">
            <w:pPr>
              <w:pStyle w:val="Tabletext"/>
              <w:keepNext/>
              <w:rPr>
                <w:szCs w:val="20"/>
              </w:rPr>
            </w:pPr>
            <w:r w:rsidRPr="00B61251">
              <w:rPr>
                <w:szCs w:val="20"/>
              </w:rPr>
              <w:t>Incremental cost/extra QALY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5000" w:type="pct"/>
            <w:gridSpan w:val="4"/>
            <w:vAlign w:val="center"/>
          </w:tcPr>
          <w:p w:rsidR="00197601" w:rsidRPr="00B61251" w:rsidRDefault="00197601" w:rsidP="0079332B">
            <w:pPr>
              <w:pStyle w:val="Tabletext"/>
              <w:keepNext/>
              <w:rPr>
                <w:b/>
                <w:snapToGrid w:val="0"/>
                <w:szCs w:val="20"/>
              </w:rPr>
            </w:pPr>
            <w:r w:rsidRPr="00B61251">
              <w:rPr>
                <w:b/>
                <w:snapToGrid w:val="0"/>
                <w:szCs w:val="20"/>
              </w:rPr>
              <w:t xml:space="preserve">Step 2: extension of time horizon to </w:t>
            </w:r>
            <w:r w:rsidRPr="00B61251">
              <w:rPr>
                <w:b/>
                <w:szCs w:val="20"/>
              </w:rPr>
              <w:t>7.5 years</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Costs</w:t>
            </w:r>
          </w:p>
        </w:tc>
        <w:tc>
          <w:tcPr>
            <w:tcW w:w="1359"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1274"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LYG</w:t>
            </w:r>
          </w:p>
        </w:tc>
        <w:tc>
          <w:tcPr>
            <w:tcW w:w="1359" w:type="pct"/>
            <w:vAlign w:val="center"/>
          </w:tcPr>
          <w:p w:rsidR="00197601" w:rsidRPr="00B61251" w:rsidRDefault="00197601" w:rsidP="0079332B">
            <w:pPr>
              <w:pStyle w:val="Tabletext"/>
              <w:keepNext/>
              <w:jc w:val="center"/>
              <w:rPr>
                <w:szCs w:val="20"/>
              </w:rPr>
            </w:pPr>
            <w:r w:rsidRPr="00B61251">
              <w:rPr>
                <w:szCs w:val="20"/>
              </w:rPr>
              <w:t>2.175</w:t>
            </w:r>
          </w:p>
        </w:tc>
        <w:tc>
          <w:tcPr>
            <w:tcW w:w="1274" w:type="pct"/>
            <w:vAlign w:val="center"/>
          </w:tcPr>
          <w:p w:rsidR="00197601" w:rsidRPr="00B61251" w:rsidRDefault="00197601" w:rsidP="0079332B">
            <w:pPr>
              <w:pStyle w:val="Tabletext"/>
              <w:keepNext/>
              <w:jc w:val="center"/>
              <w:rPr>
                <w:szCs w:val="20"/>
              </w:rPr>
            </w:pPr>
            <w:r w:rsidRPr="00B61251">
              <w:rPr>
                <w:szCs w:val="20"/>
              </w:rPr>
              <w:t>1.390</w:t>
            </w:r>
          </w:p>
        </w:tc>
        <w:tc>
          <w:tcPr>
            <w:tcW w:w="838" w:type="pct"/>
            <w:vAlign w:val="center"/>
          </w:tcPr>
          <w:p w:rsidR="00197601" w:rsidRPr="00B61251" w:rsidRDefault="00197601" w:rsidP="0079332B">
            <w:pPr>
              <w:pStyle w:val="Tabletext"/>
              <w:keepNext/>
              <w:jc w:val="center"/>
              <w:rPr>
                <w:szCs w:val="20"/>
              </w:rPr>
            </w:pPr>
            <w:r w:rsidRPr="00B61251">
              <w:rPr>
                <w:szCs w:val="20"/>
              </w:rPr>
              <w:t>0.785</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QALYs</w:t>
            </w:r>
          </w:p>
        </w:tc>
        <w:tc>
          <w:tcPr>
            <w:tcW w:w="1359" w:type="pct"/>
            <w:vAlign w:val="center"/>
          </w:tcPr>
          <w:p w:rsidR="00197601" w:rsidRPr="00B61251" w:rsidRDefault="00197601" w:rsidP="0079332B">
            <w:pPr>
              <w:pStyle w:val="Tabletext"/>
              <w:keepNext/>
              <w:jc w:val="center"/>
              <w:rPr>
                <w:szCs w:val="20"/>
              </w:rPr>
            </w:pPr>
            <w:r w:rsidRPr="00B61251">
              <w:rPr>
                <w:szCs w:val="20"/>
              </w:rPr>
              <w:t>1.549</w:t>
            </w:r>
          </w:p>
        </w:tc>
        <w:tc>
          <w:tcPr>
            <w:tcW w:w="1274" w:type="pct"/>
            <w:vAlign w:val="center"/>
          </w:tcPr>
          <w:p w:rsidR="00197601" w:rsidRPr="00B61251" w:rsidRDefault="00197601" w:rsidP="0079332B">
            <w:pPr>
              <w:pStyle w:val="Tabletext"/>
              <w:keepNext/>
              <w:jc w:val="center"/>
              <w:rPr>
                <w:szCs w:val="20"/>
              </w:rPr>
            </w:pPr>
            <w:r w:rsidRPr="00B61251">
              <w:rPr>
                <w:szCs w:val="20"/>
              </w:rPr>
              <w:t>0.984</w:t>
            </w:r>
          </w:p>
        </w:tc>
        <w:tc>
          <w:tcPr>
            <w:tcW w:w="838" w:type="pct"/>
            <w:vAlign w:val="center"/>
          </w:tcPr>
          <w:p w:rsidR="00197601" w:rsidRPr="00B61251" w:rsidRDefault="00197601" w:rsidP="0079332B">
            <w:pPr>
              <w:pStyle w:val="Tabletext"/>
              <w:keepNext/>
              <w:jc w:val="center"/>
              <w:rPr>
                <w:szCs w:val="20"/>
              </w:rPr>
            </w:pPr>
            <w:r w:rsidRPr="00B61251">
              <w:rPr>
                <w:szCs w:val="20"/>
              </w:rPr>
              <w:t>0.565</w:t>
            </w:r>
          </w:p>
        </w:tc>
      </w:tr>
      <w:tr w:rsidR="00197601" w:rsidRPr="00B61251" w:rsidTr="00CF755B">
        <w:tc>
          <w:tcPr>
            <w:tcW w:w="4162" w:type="pct"/>
            <w:gridSpan w:val="3"/>
            <w:vAlign w:val="center"/>
          </w:tcPr>
          <w:p w:rsidR="00197601" w:rsidRPr="00B61251" w:rsidRDefault="00197601" w:rsidP="0079332B">
            <w:pPr>
              <w:pStyle w:val="Tabletext"/>
              <w:keepNext/>
              <w:rPr>
                <w:snapToGrid w:val="0"/>
                <w:szCs w:val="20"/>
              </w:rPr>
            </w:pPr>
            <w:r w:rsidRPr="00B61251">
              <w:rPr>
                <w:szCs w:val="20"/>
              </w:rPr>
              <w:t>Incremental cost/extra LYG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4162" w:type="pct"/>
            <w:gridSpan w:val="3"/>
            <w:vAlign w:val="center"/>
          </w:tcPr>
          <w:p w:rsidR="00197601" w:rsidRPr="00B61251" w:rsidRDefault="00197601" w:rsidP="0079332B">
            <w:pPr>
              <w:pStyle w:val="Tabletext"/>
              <w:keepNext/>
              <w:rPr>
                <w:szCs w:val="20"/>
              </w:rPr>
            </w:pPr>
            <w:r w:rsidRPr="00B61251">
              <w:rPr>
                <w:szCs w:val="20"/>
              </w:rPr>
              <w:t>Incremental cost/extra QALY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5000" w:type="pct"/>
            <w:gridSpan w:val="4"/>
            <w:vAlign w:val="center"/>
          </w:tcPr>
          <w:p w:rsidR="00197601" w:rsidRPr="00B61251" w:rsidRDefault="00197601" w:rsidP="0079332B">
            <w:pPr>
              <w:pStyle w:val="Tabletext"/>
              <w:keepNext/>
              <w:rPr>
                <w:b/>
                <w:snapToGrid w:val="0"/>
                <w:szCs w:val="20"/>
              </w:rPr>
            </w:pPr>
            <w:r w:rsidRPr="00B61251">
              <w:rPr>
                <w:b/>
                <w:snapToGrid w:val="0"/>
                <w:szCs w:val="20"/>
              </w:rPr>
              <w:t>Step 3: incorporation of administration and MRU costs</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Costs</w:t>
            </w:r>
          </w:p>
        </w:tc>
        <w:tc>
          <w:tcPr>
            <w:tcW w:w="1359"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1274"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LYG</w:t>
            </w:r>
          </w:p>
        </w:tc>
        <w:tc>
          <w:tcPr>
            <w:tcW w:w="1359" w:type="pct"/>
            <w:vAlign w:val="center"/>
          </w:tcPr>
          <w:p w:rsidR="00197601" w:rsidRPr="00B61251" w:rsidRDefault="00197601" w:rsidP="0079332B">
            <w:pPr>
              <w:pStyle w:val="Tabletext"/>
              <w:keepNext/>
              <w:jc w:val="center"/>
              <w:rPr>
                <w:szCs w:val="20"/>
              </w:rPr>
            </w:pPr>
            <w:r w:rsidRPr="00B61251">
              <w:rPr>
                <w:szCs w:val="20"/>
              </w:rPr>
              <w:t>2.175</w:t>
            </w:r>
          </w:p>
        </w:tc>
        <w:tc>
          <w:tcPr>
            <w:tcW w:w="1274" w:type="pct"/>
            <w:vAlign w:val="center"/>
          </w:tcPr>
          <w:p w:rsidR="00197601" w:rsidRPr="00B61251" w:rsidRDefault="00197601" w:rsidP="0079332B">
            <w:pPr>
              <w:pStyle w:val="Tabletext"/>
              <w:keepNext/>
              <w:jc w:val="center"/>
              <w:rPr>
                <w:szCs w:val="20"/>
              </w:rPr>
            </w:pPr>
            <w:r w:rsidRPr="00B61251">
              <w:rPr>
                <w:szCs w:val="20"/>
              </w:rPr>
              <w:t>1.390</w:t>
            </w:r>
          </w:p>
        </w:tc>
        <w:tc>
          <w:tcPr>
            <w:tcW w:w="838" w:type="pct"/>
            <w:vAlign w:val="center"/>
          </w:tcPr>
          <w:p w:rsidR="00197601" w:rsidRPr="00B61251" w:rsidRDefault="00197601" w:rsidP="0079332B">
            <w:pPr>
              <w:pStyle w:val="Tabletext"/>
              <w:keepNext/>
              <w:jc w:val="center"/>
              <w:rPr>
                <w:szCs w:val="20"/>
              </w:rPr>
            </w:pPr>
            <w:r w:rsidRPr="00B61251">
              <w:rPr>
                <w:szCs w:val="20"/>
              </w:rPr>
              <w:t>0.785</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QALYs</w:t>
            </w:r>
          </w:p>
        </w:tc>
        <w:tc>
          <w:tcPr>
            <w:tcW w:w="1359" w:type="pct"/>
            <w:vAlign w:val="center"/>
          </w:tcPr>
          <w:p w:rsidR="00197601" w:rsidRPr="00B61251" w:rsidRDefault="00197601" w:rsidP="0079332B">
            <w:pPr>
              <w:pStyle w:val="Tabletext"/>
              <w:keepNext/>
              <w:jc w:val="center"/>
              <w:rPr>
                <w:szCs w:val="20"/>
              </w:rPr>
            </w:pPr>
            <w:r w:rsidRPr="00B61251">
              <w:rPr>
                <w:szCs w:val="20"/>
              </w:rPr>
              <w:t>1.549</w:t>
            </w:r>
          </w:p>
        </w:tc>
        <w:tc>
          <w:tcPr>
            <w:tcW w:w="1274" w:type="pct"/>
            <w:vAlign w:val="center"/>
          </w:tcPr>
          <w:p w:rsidR="00197601" w:rsidRPr="00B61251" w:rsidRDefault="00197601" w:rsidP="0079332B">
            <w:pPr>
              <w:pStyle w:val="Tabletext"/>
              <w:keepNext/>
              <w:jc w:val="center"/>
              <w:rPr>
                <w:szCs w:val="20"/>
              </w:rPr>
            </w:pPr>
            <w:r w:rsidRPr="00B61251">
              <w:rPr>
                <w:szCs w:val="20"/>
              </w:rPr>
              <w:t>0.984</w:t>
            </w:r>
          </w:p>
        </w:tc>
        <w:tc>
          <w:tcPr>
            <w:tcW w:w="838" w:type="pct"/>
            <w:vAlign w:val="center"/>
          </w:tcPr>
          <w:p w:rsidR="00197601" w:rsidRPr="00B61251" w:rsidRDefault="00197601" w:rsidP="0079332B">
            <w:pPr>
              <w:pStyle w:val="Tabletext"/>
              <w:keepNext/>
              <w:jc w:val="center"/>
              <w:rPr>
                <w:szCs w:val="20"/>
              </w:rPr>
            </w:pPr>
            <w:r w:rsidRPr="00B61251">
              <w:rPr>
                <w:szCs w:val="20"/>
              </w:rPr>
              <w:t>0.565</w:t>
            </w:r>
          </w:p>
        </w:tc>
      </w:tr>
      <w:tr w:rsidR="00197601" w:rsidRPr="00B61251" w:rsidTr="00CF755B">
        <w:tc>
          <w:tcPr>
            <w:tcW w:w="4162" w:type="pct"/>
            <w:gridSpan w:val="3"/>
            <w:vAlign w:val="center"/>
          </w:tcPr>
          <w:p w:rsidR="00197601" w:rsidRPr="00B61251" w:rsidRDefault="00197601" w:rsidP="0079332B">
            <w:pPr>
              <w:pStyle w:val="Tabletext"/>
              <w:keepNext/>
              <w:rPr>
                <w:szCs w:val="20"/>
              </w:rPr>
            </w:pPr>
            <w:r w:rsidRPr="00B61251">
              <w:rPr>
                <w:szCs w:val="20"/>
              </w:rPr>
              <w:t>Incremental cost/extra LYG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4162" w:type="pct"/>
            <w:gridSpan w:val="3"/>
            <w:vAlign w:val="center"/>
          </w:tcPr>
          <w:p w:rsidR="00197601" w:rsidRPr="00B61251" w:rsidRDefault="00197601" w:rsidP="0079332B">
            <w:pPr>
              <w:pStyle w:val="Tabletext"/>
              <w:keepNext/>
              <w:rPr>
                <w:szCs w:val="20"/>
              </w:rPr>
            </w:pPr>
            <w:r w:rsidRPr="00B61251">
              <w:rPr>
                <w:szCs w:val="20"/>
              </w:rPr>
              <w:t>Incremental cost/extra QALY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5000" w:type="pct"/>
            <w:gridSpan w:val="4"/>
            <w:vAlign w:val="center"/>
          </w:tcPr>
          <w:p w:rsidR="00197601" w:rsidRPr="00B61251" w:rsidRDefault="00197601" w:rsidP="0079332B">
            <w:pPr>
              <w:pStyle w:val="Tabletext"/>
              <w:keepNext/>
              <w:rPr>
                <w:b/>
                <w:snapToGrid w:val="0"/>
                <w:szCs w:val="20"/>
              </w:rPr>
            </w:pPr>
            <w:r w:rsidRPr="00B61251">
              <w:rPr>
                <w:b/>
                <w:snapToGrid w:val="0"/>
                <w:szCs w:val="20"/>
              </w:rPr>
              <w:t>Step 4: incorporation of AE costs</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Costs</w:t>
            </w:r>
          </w:p>
        </w:tc>
        <w:tc>
          <w:tcPr>
            <w:tcW w:w="1359"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1274"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LYG</w:t>
            </w:r>
          </w:p>
        </w:tc>
        <w:tc>
          <w:tcPr>
            <w:tcW w:w="1359" w:type="pct"/>
            <w:vAlign w:val="center"/>
          </w:tcPr>
          <w:p w:rsidR="00197601" w:rsidRPr="00B61251" w:rsidRDefault="00197601" w:rsidP="0079332B">
            <w:pPr>
              <w:pStyle w:val="Tabletext"/>
              <w:keepNext/>
              <w:jc w:val="center"/>
              <w:rPr>
                <w:szCs w:val="20"/>
              </w:rPr>
            </w:pPr>
            <w:r w:rsidRPr="00B61251">
              <w:rPr>
                <w:szCs w:val="20"/>
              </w:rPr>
              <w:t>2.175</w:t>
            </w:r>
          </w:p>
        </w:tc>
        <w:tc>
          <w:tcPr>
            <w:tcW w:w="1274" w:type="pct"/>
            <w:vAlign w:val="center"/>
          </w:tcPr>
          <w:p w:rsidR="00197601" w:rsidRPr="00B61251" w:rsidRDefault="00197601" w:rsidP="0079332B">
            <w:pPr>
              <w:pStyle w:val="Tabletext"/>
              <w:keepNext/>
              <w:jc w:val="center"/>
              <w:rPr>
                <w:szCs w:val="20"/>
              </w:rPr>
            </w:pPr>
            <w:r w:rsidRPr="00B61251">
              <w:rPr>
                <w:szCs w:val="20"/>
              </w:rPr>
              <w:t>1.390</w:t>
            </w:r>
          </w:p>
        </w:tc>
        <w:tc>
          <w:tcPr>
            <w:tcW w:w="838" w:type="pct"/>
            <w:vAlign w:val="center"/>
          </w:tcPr>
          <w:p w:rsidR="00197601" w:rsidRPr="00B61251" w:rsidRDefault="00197601" w:rsidP="0079332B">
            <w:pPr>
              <w:pStyle w:val="Tabletext"/>
              <w:keepNext/>
              <w:jc w:val="center"/>
              <w:rPr>
                <w:szCs w:val="20"/>
              </w:rPr>
            </w:pPr>
            <w:r w:rsidRPr="00B61251">
              <w:rPr>
                <w:szCs w:val="20"/>
              </w:rPr>
              <w:t>0.785</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QALYs</w:t>
            </w:r>
          </w:p>
        </w:tc>
        <w:tc>
          <w:tcPr>
            <w:tcW w:w="1359" w:type="pct"/>
            <w:vAlign w:val="center"/>
          </w:tcPr>
          <w:p w:rsidR="00197601" w:rsidRPr="00B61251" w:rsidRDefault="00197601" w:rsidP="0079332B">
            <w:pPr>
              <w:pStyle w:val="Tabletext"/>
              <w:keepNext/>
              <w:jc w:val="center"/>
              <w:rPr>
                <w:szCs w:val="20"/>
              </w:rPr>
            </w:pPr>
            <w:r w:rsidRPr="00B61251">
              <w:rPr>
                <w:szCs w:val="20"/>
              </w:rPr>
              <w:t>1.549</w:t>
            </w:r>
          </w:p>
        </w:tc>
        <w:tc>
          <w:tcPr>
            <w:tcW w:w="1274" w:type="pct"/>
            <w:vAlign w:val="center"/>
          </w:tcPr>
          <w:p w:rsidR="00197601" w:rsidRPr="00B61251" w:rsidRDefault="00197601" w:rsidP="0079332B">
            <w:pPr>
              <w:pStyle w:val="Tabletext"/>
              <w:keepNext/>
              <w:jc w:val="center"/>
              <w:rPr>
                <w:szCs w:val="20"/>
              </w:rPr>
            </w:pPr>
            <w:r w:rsidRPr="00B61251">
              <w:rPr>
                <w:szCs w:val="20"/>
              </w:rPr>
              <w:t>0.984</w:t>
            </w:r>
          </w:p>
        </w:tc>
        <w:tc>
          <w:tcPr>
            <w:tcW w:w="838" w:type="pct"/>
            <w:vAlign w:val="center"/>
          </w:tcPr>
          <w:p w:rsidR="00197601" w:rsidRPr="00B61251" w:rsidRDefault="00197601" w:rsidP="0079332B">
            <w:pPr>
              <w:pStyle w:val="Tabletext"/>
              <w:keepNext/>
              <w:jc w:val="center"/>
              <w:rPr>
                <w:szCs w:val="20"/>
              </w:rPr>
            </w:pPr>
            <w:r w:rsidRPr="00B61251">
              <w:rPr>
                <w:szCs w:val="20"/>
              </w:rPr>
              <w:t>0.565</w:t>
            </w:r>
          </w:p>
        </w:tc>
      </w:tr>
      <w:tr w:rsidR="00197601" w:rsidRPr="00B61251" w:rsidTr="00CF755B">
        <w:tc>
          <w:tcPr>
            <w:tcW w:w="4162" w:type="pct"/>
            <w:gridSpan w:val="3"/>
            <w:vAlign w:val="center"/>
          </w:tcPr>
          <w:p w:rsidR="00197601" w:rsidRPr="00B61251" w:rsidRDefault="00197601" w:rsidP="0079332B">
            <w:pPr>
              <w:pStyle w:val="Tabletext"/>
              <w:keepNext/>
              <w:rPr>
                <w:szCs w:val="20"/>
              </w:rPr>
            </w:pPr>
            <w:r w:rsidRPr="00B61251">
              <w:rPr>
                <w:szCs w:val="20"/>
              </w:rPr>
              <w:t>Incremental cost/extra LYG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4162" w:type="pct"/>
            <w:gridSpan w:val="3"/>
            <w:vAlign w:val="center"/>
          </w:tcPr>
          <w:p w:rsidR="00197601" w:rsidRPr="00B61251" w:rsidRDefault="00197601" w:rsidP="0079332B">
            <w:pPr>
              <w:pStyle w:val="Tabletext"/>
              <w:keepNext/>
              <w:rPr>
                <w:szCs w:val="20"/>
              </w:rPr>
            </w:pPr>
            <w:r w:rsidRPr="00B61251">
              <w:rPr>
                <w:szCs w:val="20"/>
              </w:rPr>
              <w:t>Incremental cost/extra QALY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5000" w:type="pct"/>
            <w:gridSpan w:val="4"/>
            <w:vAlign w:val="center"/>
          </w:tcPr>
          <w:p w:rsidR="00197601" w:rsidRPr="00B61251" w:rsidRDefault="00197601" w:rsidP="0079332B">
            <w:pPr>
              <w:pStyle w:val="Tabletext"/>
              <w:keepNext/>
              <w:rPr>
                <w:b/>
                <w:snapToGrid w:val="0"/>
                <w:szCs w:val="20"/>
              </w:rPr>
            </w:pPr>
            <w:r w:rsidRPr="00B61251">
              <w:rPr>
                <w:b/>
                <w:snapToGrid w:val="0"/>
                <w:szCs w:val="20"/>
              </w:rPr>
              <w:t>Step 5: inclusion of the costs of subsequent therapies post progression</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Costs</w:t>
            </w:r>
          </w:p>
        </w:tc>
        <w:tc>
          <w:tcPr>
            <w:tcW w:w="1359"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1274"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LYG</w:t>
            </w:r>
          </w:p>
        </w:tc>
        <w:tc>
          <w:tcPr>
            <w:tcW w:w="1359" w:type="pct"/>
            <w:vAlign w:val="center"/>
          </w:tcPr>
          <w:p w:rsidR="00197601" w:rsidRPr="00B61251" w:rsidRDefault="00197601" w:rsidP="0079332B">
            <w:pPr>
              <w:pStyle w:val="Tabletext"/>
              <w:keepNext/>
              <w:jc w:val="center"/>
              <w:rPr>
                <w:szCs w:val="20"/>
              </w:rPr>
            </w:pPr>
            <w:r w:rsidRPr="00B61251">
              <w:rPr>
                <w:szCs w:val="20"/>
              </w:rPr>
              <w:t>2.175</w:t>
            </w:r>
          </w:p>
        </w:tc>
        <w:tc>
          <w:tcPr>
            <w:tcW w:w="1274" w:type="pct"/>
            <w:vAlign w:val="center"/>
          </w:tcPr>
          <w:p w:rsidR="00197601" w:rsidRPr="00B61251" w:rsidRDefault="00197601" w:rsidP="0079332B">
            <w:pPr>
              <w:pStyle w:val="Tabletext"/>
              <w:keepNext/>
              <w:jc w:val="center"/>
              <w:rPr>
                <w:szCs w:val="20"/>
              </w:rPr>
            </w:pPr>
            <w:r w:rsidRPr="00B61251">
              <w:rPr>
                <w:szCs w:val="20"/>
              </w:rPr>
              <w:t>1.390</w:t>
            </w:r>
          </w:p>
        </w:tc>
        <w:tc>
          <w:tcPr>
            <w:tcW w:w="838" w:type="pct"/>
            <w:vAlign w:val="center"/>
          </w:tcPr>
          <w:p w:rsidR="00197601" w:rsidRPr="00B61251" w:rsidRDefault="00197601" w:rsidP="0079332B">
            <w:pPr>
              <w:pStyle w:val="Tabletext"/>
              <w:keepNext/>
              <w:jc w:val="center"/>
              <w:rPr>
                <w:szCs w:val="20"/>
              </w:rPr>
            </w:pPr>
            <w:r w:rsidRPr="00B61251">
              <w:rPr>
                <w:szCs w:val="20"/>
              </w:rPr>
              <w:t>0.785</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QALYs</w:t>
            </w:r>
          </w:p>
        </w:tc>
        <w:tc>
          <w:tcPr>
            <w:tcW w:w="1359" w:type="pct"/>
            <w:vAlign w:val="center"/>
          </w:tcPr>
          <w:p w:rsidR="00197601" w:rsidRPr="00B61251" w:rsidRDefault="00197601" w:rsidP="0079332B">
            <w:pPr>
              <w:pStyle w:val="Tabletext"/>
              <w:keepNext/>
              <w:jc w:val="center"/>
              <w:rPr>
                <w:szCs w:val="20"/>
              </w:rPr>
            </w:pPr>
            <w:r w:rsidRPr="00B61251">
              <w:rPr>
                <w:szCs w:val="20"/>
              </w:rPr>
              <w:t>1.549</w:t>
            </w:r>
          </w:p>
        </w:tc>
        <w:tc>
          <w:tcPr>
            <w:tcW w:w="1274" w:type="pct"/>
            <w:vAlign w:val="center"/>
          </w:tcPr>
          <w:p w:rsidR="00197601" w:rsidRPr="00B61251" w:rsidRDefault="00197601" w:rsidP="0079332B">
            <w:pPr>
              <w:pStyle w:val="Tabletext"/>
              <w:keepNext/>
              <w:jc w:val="center"/>
              <w:rPr>
                <w:szCs w:val="20"/>
              </w:rPr>
            </w:pPr>
            <w:r w:rsidRPr="00B61251">
              <w:rPr>
                <w:szCs w:val="20"/>
              </w:rPr>
              <w:t>0.984</w:t>
            </w:r>
          </w:p>
        </w:tc>
        <w:tc>
          <w:tcPr>
            <w:tcW w:w="838" w:type="pct"/>
            <w:vAlign w:val="center"/>
          </w:tcPr>
          <w:p w:rsidR="00197601" w:rsidRPr="00B61251" w:rsidRDefault="00197601" w:rsidP="0079332B">
            <w:pPr>
              <w:pStyle w:val="Tabletext"/>
              <w:keepNext/>
              <w:jc w:val="center"/>
              <w:rPr>
                <w:szCs w:val="20"/>
              </w:rPr>
            </w:pPr>
            <w:r w:rsidRPr="00B61251">
              <w:rPr>
                <w:szCs w:val="20"/>
              </w:rPr>
              <w:t>0.565</w:t>
            </w:r>
          </w:p>
        </w:tc>
      </w:tr>
      <w:tr w:rsidR="00197601" w:rsidRPr="00B61251" w:rsidTr="00CF755B">
        <w:tc>
          <w:tcPr>
            <w:tcW w:w="4162" w:type="pct"/>
            <w:gridSpan w:val="3"/>
            <w:vAlign w:val="center"/>
          </w:tcPr>
          <w:p w:rsidR="00197601" w:rsidRPr="00B61251" w:rsidRDefault="00197601" w:rsidP="0079332B">
            <w:pPr>
              <w:pStyle w:val="Tabletext"/>
              <w:keepNext/>
              <w:rPr>
                <w:szCs w:val="20"/>
              </w:rPr>
            </w:pPr>
            <w:r w:rsidRPr="00B61251">
              <w:rPr>
                <w:szCs w:val="20"/>
              </w:rPr>
              <w:t>Incremental cost/extra LYG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4162" w:type="pct"/>
            <w:gridSpan w:val="3"/>
            <w:vAlign w:val="center"/>
          </w:tcPr>
          <w:p w:rsidR="00197601" w:rsidRPr="00B61251" w:rsidRDefault="00197601" w:rsidP="0079332B">
            <w:pPr>
              <w:pStyle w:val="Tabletext"/>
              <w:keepNext/>
              <w:rPr>
                <w:szCs w:val="20"/>
              </w:rPr>
            </w:pPr>
            <w:r w:rsidRPr="00B61251">
              <w:rPr>
                <w:szCs w:val="20"/>
              </w:rPr>
              <w:t>Incremental cost/extra QALY gained</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5000" w:type="pct"/>
            <w:gridSpan w:val="4"/>
            <w:vAlign w:val="center"/>
          </w:tcPr>
          <w:p w:rsidR="00197601" w:rsidRPr="00B61251" w:rsidRDefault="00197601" w:rsidP="0079332B">
            <w:pPr>
              <w:pStyle w:val="Tabletext"/>
              <w:keepNext/>
              <w:rPr>
                <w:b/>
                <w:snapToGrid w:val="0"/>
                <w:szCs w:val="20"/>
              </w:rPr>
            </w:pPr>
            <w:r w:rsidRPr="00B61251">
              <w:rPr>
                <w:b/>
                <w:snapToGrid w:val="0"/>
                <w:szCs w:val="20"/>
              </w:rPr>
              <w:t>Step 6: inclusion of the end of life costs</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Costs</w:t>
            </w:r>
          </w:p>
        </w:tc>
        <w:tc>
          <w:tcPr>
            <w:tcW w:w="1359"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1274"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c>
          <w:tcPr>
            <w:tcW w:w="838" w:type="pct"/>
            <w:vAlign w:val="center"/>
          </w:tcPr>
          <w:p w:rsidR="00197601" w:rsidRPr="00B61251" w:rsidRDefault="00197601" w:rsidP="0079332B">
            <w:pPr>
              <w:pStyle w:val="Tabletext"/>
              <w:keepNext/>
              <w:jc w:val="center"/>
              <w:rPr>
                <w:szCs w:val="20"/>
              </w:rPr>
            </w:pPr>
            <w:r w:rsidRPr="00B61251">
              <w:rPr>
                <w:szCs w:val="20"/>
              </w:rPr>
              <w:t>$</w:t>
            </w:r>
            <w:r w:rsidR="00DD5455">
              <w:rPr>
                <w:noProof/>
                <w:color w:val="000000"/>
                <w:szCs w:val="20"/>
                <w:highlight w:val="black"/>
              </w:rPr>
              <w:t>''''''''''''''''</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LYG</w:t>
            </w:r>
          </w:p>
        </w:tc>
        <w:tc>
          <w:tcPr>
            <w:tcW w:w="1359" w:type="pct"/>
            <w:vAlign w:val="center"/>
          </w:tcPr>
          <w:p w:rsidR="00197601" w:rsidRPr="00B61251" w:rsidRDefault="00197601" w:rsidP="0079332B">
            <w:pPr>
              <w:pStyle w:val="Tabletext"/>
              <w:keepNext/>
              <w:jc w:val="center"/>
              <w:rPr>
                <w:szCs w:val="20"/>
              </w:rPr>
            </w:pPr>
            <w:r w:rsidRPr="00B61251">
              <w:rPr>
                <w:szCs w:val="20"/>
              </w:rPr>
              <w:t>2.175</w:t>
            </w:r>
          </w:p>
        </w:tc>
        <w:tc>
          <w:tcPr>
            <w:tcW w:w="1274" w:type="pct"/>
            <w:vAlign w:val="center"/>
          </w:tcPr>
          <w:p w:rsidR="00197601" w:rsidRPr="00B61251" w:rsidRDefault="00197601" w:rsidP="0079332B">
            <w:pPr>
              <w:pStyle w:val="Tabletext"/>
              <w:keepNext/>
              <w:jc w:val="center"/>
              <w:rPr>
                <w:szCs w:val="20"/>
              </w:rPr>
            </w:pPr>
            <w:r w:rsidRPr="00B61251">
              <w:rPr>
                <w:szCs w:val="20"/>
              </w:rPr>
              <w:t>1.390</w:t>
            </w:r>
          </w:p>
        </w:tc>
        <w:tc>
          <w:tcPr>
            <w:tcW w:w="838" w:type="pct"/>
            <w:vAlign w:val="center"/>
          </w:tcPr>
          <w:p w:rsidR="00197601" w:rsidRPr="00B61251" w:rsidRDefault="00197601" w:rsidP="0079332B">
            <w:pPr>
              <w:pStyle w:val="Tabletext"/>
              <w:keepNext/>
              <w:jc w:val="center"/>
              <w:rPr>
                <w:szCs w:val="20"/>
              </w:rPr>
            </w:pPr>
            <w:r w:rsidRPr="00B61251">
              <w:rPr>
                <w:szCs w:val="20"/>
              </w:rPr>
              <w:t>0.785</w:t>
            </w:r>
          </w:p>
        </w:tc>
      </w:tr>
      <w:tr w:rsidR="00197601" w:rsidRPr="00B61251" w:rsidTr="00CF755B">
        <w:tc>
          <w:tcPr>
            <w:tcW w:w="1529" w:type="pct"/>
            <w:vAlign w:val="center"/>
          </w:tcPr>
          <w:p w:rsidR="00197601" w:rsidRPr="00B61251" w:rsidRDefault="00197601" w:rsidP="0079332B">
            <w:pPr>
              <w:pStyle w:val="Tabletext"/>
              <w:keepNext/>
              <w:rPr>
                <w:szCs w:val="20"/>
              </w:rPr>
            </w:pPr>
            <w:r w:rsidRPr="00B61251">
              <w:rPr>
                <w:szCs w:val="20"/>
              </w:rPr>
              <w:t>QALYs</w:t>
            </w:r>
          </w:p>
        </w:tc>
        <w:tc>
          <w:tcPr>
            <w:tcW w:w="1359" w:type="pct"/>
            <w:vAlign w:val="center"/>
          </w:tcPr>
          <w:p w:rsidR="00197601" w:rsidRPr="00B61251" w:rsidRDefault="00197601" w:rsidP="0079332B">
            <w:pPr>
              <w:pStyle w:val="Tabletext"/>
              <w:keepNext/>
              <w:jc w:val="center"/>
              <w:rPr>
                <w:szCs w:val="20"/>
              </w:rPr>
            </w:pPr>
            <w:r w:rsidRPr="00B61251">
              <w:rPr>
                <w:szCs w:val="20"/>
              </w:rPr>
              <w:t>1.549</w:t>
            </w:r>
          </w:p>
        </w:tc>
        <w:tc>
          <w:tcPr>
            <w:tcW w:w="1274" w:type="pct"/>
            <w:vAlign w:val="center"/>
          </w:tcPr>
          <w:p w:rsidR="00197601" w:rsidRPr="00B61251" w:rsidRDefault="00197601" w:rsidP="0079332B">
            <w:pPr>
              <w:pStyle w:val="Tabletext"/>
              <w:keepNext/>
              <w:jc w:val="center"/>
              <w:rPr>
                <w:szCs w:val="20"/>
              </w:rPr>
            </w:pPr>
            <w:r w:rsidRPr="00B61251">
              <w:rPr>
                <w:szCs w:val="20"/>
              </w:rPr>
              <w:t>0.984</w:t>
            </w:r>
          </w:p>
        </w:tc>
        <w:tc>
          <w:tcPr>
            <w:tcW w:w="838" w:type="pct"/>
            <w:vAlign w:val="center"/>
          </w:tcPr>
          <w:p w:rsidR="00197601" w:rsidRPr="00B61251" w:rsidRDefault="00197601" w:rsidP="0079332B">
            <w:pPr>
              <w:pStyle w:val="Tabletext"/>
              <w:keepNext/>
              <w:jc w:val="center"/>
              <w:rPr>
                <w:szCs w:val="20"/>
              </w:rPr>
            </w:pPr>
            <w:r w:rsidRPr="00B61251">
              <w:rPr>
                <w:szCs w:val="20"/>
              </w:rPr>
              <w:t>0.565</w:t>
            </w:r>
          </w:p>
        </w:tc>
      </w:tr>
      <w:tr w:rsidR="00197601" w:rsidRPr="00B61251" w:rsidTr="00CF755B">
        <w:tc>
          <w:tcPr>
            <w:tcW w:w="4162" w:type="pct"/>
            <w:gridSpan w:val="3"/>
            <w:vAlign w:val="center"/>
          </w:tcPr>
          <w:p w:rsidR="00197601" w:rsidRPr="00B61251" w:rsidRDefault="00197601" w:rsidP="0079332B">
            <w:pPr>
              <w:pStyle w:val="TableFooter"/>
              <w:keepNext/>
              <w:widowControl/>
              <w:rPr>
                <w:sz w:val="20"/>
                <w:szCs w:val="20"/>
              </w:rPr>
            </w:pPr>
            <w:r w:rsidRPr="00B61251">
              <w:rPr>
                <w:sz w:val="20"/>
                <w:szCs w:val="20"/>
              </w:rPr>
              <w:t>Incremental cost/extra LYG gained</w:t>
            </w:r>
          </w:p>
        </w:tc>
        <w:tc>
          <w:tcPr>
            <w:tcW w:w="838" w:type="pct"/>
            <w:vAlign w:val="center"/>
          </w:tcPr>
          <w:p w:rsidR="00197601" w:rsidRPr="00B61251" w:rsidRDefault="00197601" w:rsidP="0079332B">
            <w:pPr>
              <w:pStyle w:val="TableFooter"/>
              <w:keepNext/>
              <w:widowControl/>
              <w:jc w:val="center"/>
              <w:rPr>
                <w:sz w:val="20"/>
                <w:szCs w:val="20"/>
              </w:rPr>
            </w:pPr>
            <w:r w:rsidRPr="00B61251">
              <w:rPr>
                <w:sz w:val="20"/>
                <w:szCs w:val="20"/>
              </w:rPr>
              <w:t>$</w:t>
            </w:r>
            <w:r w:rsidR="00DD5455">
              <w:rPr>
                <w:noProof/>
                <w:color w:val="000000"/>
                <w:sz w:val="20"/>
                <w:szCs w:val="20"/>
                <w:highlight w:val="black"/>
              </w:rPr>
              <w:t>'''''''''''''''</w:t>
            </w:r>
          </w:p>
        </w:tc>
      </w:tr>
      <w:tr w:rsidR="00197601" w:rsidRPr="00B61251" w:rsidTr="00CF755B">
        <w:tc>
          <w:tcPr>
            <w:tcW w:w="4162" w:type="pct"/>
            <w:gridSpan w:val="3"/>
            <w:vAlign w:val="center"/>
          </w:tcPr>
          <w:p w:rsidR="00197601" w:rsidRPr="00B61251" w:rsidRDefault="00197601" w:rsidP="0079332B">
            <w:pPr>
              <w:pStyle w:val="TableFooter"/>
              <w:keepNext/>
              <w:widowControl/>
              <w:rPr>
                <w:b/>
                <w:sz w:val="20"/>
                <w:szCs w:val="20"/>
              </w:rPr>
            </w:pPr>
            <w:r w:rsidRPr="00B61251">
              <w:rPr>
                <w:b/>
                <w:sz w:val="20"/>
                <w:szCs w:val="20"/>
              </w:rPr>
              <w:t>Incremental cost/extra QALY gained (base case)</w:t>
            </w:r>
          </w:p>
        </w:tc>
        <w:tc>
          <w:tcPr>
            <w:tcW w:w="838" w:type="pct"/>
            <w:vAlign w:val="center"/>
          </w:tcPr>
          <w:p w:rsidR="00197601" w:rsidRPr="00B61251" w:rsidRDefault="00197601" w:rsidP="0079332B">
            <w:pPr>
              <w:pStyle w:val="TableFooter"/>
              <w:keepNext/>
              <w:widowControl/>
              <w:jc w:val="center"/>
              <w:rPr>
                <w:b/>
                <w:sz w:val="20"/>
                <w:szCs w:val="20"/>
              </w:rPr>
            </w:pPr>
            <w:r w:rsidRPr="00B61251">
              <w:rPr>
                <w:b/>
                <w:sz w:val="20"/>
                <w:szCs w:val="20"/>
              </w:rPr>
              <w:t>$</w:t>
            </w:r>
            <w:r w:rsidR="00DD5455">
              <w:rPr>
                <w:b/>
                <w:noProof/>
                <w:color w:val="000000"/>
                <w:sz w:val="20"/>
                <w:szCs w:val="20"/>
                <w:highlight w:val="black"/>
              </w:rPr>
              <w:t>'''''''''''''</w:t>
            </w:r>
          </w:p>
        </w:tc>
      </w:tr>
    </w:tbl>
    <w:p w:rsidR="00197601" w:rsidRPr="00B61251" w:rsidRDefault="00197601" w:rsidP="0079332B">
      <w:pPr>
        <w:pStyle w:val="TableFooter"/>
        <w:keepNext/>
        <w:widowControl/>
      </w:pPr>
      <w:r w:rsidRPr="00B61251">
        <w:t>ATEZO = atezolizumab; BEV = bevacizumab; PDC = platinum doublet chemotherapy; MRU = medical resource use; LYG = life year gained; QALY = quality-adjusted life year; AE = adverse event; TTD = time to treatment discontinuation; PFS = progression free survival; OS = overall survival</w:t>
      </w:r>
    </w:p>
    <w:p w:rsidR="00197601" w:rsidRPr="00B61251" w:rsidRDefault="00197601" w:rsidP="0079332B">
      <w:pPr>
        <w:pStyle w:val="TableFooter"/>
        <w:widowControl/>
      </w:pPr>
      <w:r w:rsidRPr="00B61251">
        <w:t>Source: compiled during the evaluation based on Economic Evaluation.xlsx, worksheet “Result Table” by changing the variable I37 and M37 in the worksheet “Treatment costs” to “=IF(step&lt;1,0,rebate_atezo)” and “=IF(step&lt;1,0,rebate_bev), and setting the cost of subsequent therapy E51 and H51 in the worksheet “Result Table” to zero from Step 1 to Step 4. .</w:t>
      </w:r>
    </w:p>
    <w:p w:rsidR="00FE2356" w:rsidRPr="00263693" w:rsidRDefault="00FE2356" w:rsidP="00CB1952">
      <w:pPr>
        <w:widowControl/>
        <w:spacing w:before="120" w:after="120"/>
      </w:pPr>
      <w:r w:rsidRPr="00263693">
        <w:t xml:space="preserve">The redacted table show ICERs in the range of $15,000/QALY - $200,000/QALY. </w:t>
      </w:r>
    </w:p>
    <w:p w:rsidR="00197601" w:rsidRPr="00B61251" w:rsidRDefault="00197601" w:rsidP="00CB1952">
      <w:pPr>
        <w:pStyle w:val="ListParagraph"/>
        <w:widowControl/>
        <w:numPr>
          <w:ilvl w:val="1"/>
          <w:numId w:val="1"/>
        </w:numPr>
        <w:spacing w:before="120" w:after="120"/>
      </w:pPr>
      <w:r w:rsidRPr="00B61251">
        <w:t>The results of the revised stepped analyses indicated that two steps had the most impact on the final ICER: extension of time horizon to 7.5 years and inclusion of the costs of subsequ</w:t>
      </w:r>
      <w:r w:rsidR="00987C9D">
        <w:t>ent therapies post-progression.</w:t>
      </w:r>
    </w:p>
    <w:p w:rsidR="00197601" w:rsidRPr="00B61251" w:rsidRDefault="00197601" w:rsidP="00CB1952">
      <w:pPr>
        <w:pStyle w:val="ListParagraph"/>
        <w:widowControl/>
        <w:numPr>
          <w:ilvl w:val="1"/>
          <w:numId w:val="1"/>
        </w:numPr>
        <w:spacing w:before="120" w:after="120"/>
      </w:pPr>
      <w:r w:rsidRPr="00B61251">
        <w:t>The key sensitivity analyses presented in the submission and performed during the evaluation for the ITT population are summarised below.</w:t>
      </w:r>
    </w:p>
    <w:p w:rsidR="00197601" w:rsidRPr="00B61251" w:rsidRDefault="00197601" w:rsidP="0079332B">
      <w:pPr>
        <w:pStyle w:val="Caption"/>
        <w:keepNext/>
        <w:widowControl/>
      </w:pPr>
      <w:r w:rsidRPr="00B61251">
        <w:lastRenderedPageBreak/>
        <w:t xml:space="preserve">Table </w:t>
      </w:r>
      <w:r w:rsidR="00744BB1" w:rsidRPr="00B61251">
        <w:t>12</w:t>
      </w:r>
      <w:r w:rsidRPr="00B61251">
        <w:t xml:space="preserve">: Results of key sensitivity analyses for the ITT population </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s of key sensitivity analyses for the ITT population "/>
      </w:tblPr>
      <w:tblGrid>
        <w:gridCol w:w="5414"/>
        <w:gridCol w:w="1511"/>
        <w:gridCol w:w="1246"/>
        <w:gridCol w:w="1132"/>
      </w:tblGrid>
      <w:tr w:rsidR="00197601" w:rsidRPr="00B61251" w:rsidTr="00CF755B">
        <w:trPr>
          <w:tblHeader/>
        </w:trPr>
        <w:tc>
          <w:tcPr>
            <w:tcW w:w="5414" w:type="dxa"/>
          </w:tcPr>
          <w:p w:rsidR="00197601" w:rsidRPr="00B61251" w:rsidRDefault="00197601" w:rsidP="0079332B">
            <w:pPr>
              <w:pStyle w:val="Tabletext"/>
              <w:tabs>
                <w:tab w:val="left" w:pos="142"/>
              </w:tabs>
              <w:rPr>
                <w:b/>
              </w:rPr>
            </w:pPr>
            <w:r w:rsidRPr="00B61251">
              <w:rPr>
                <w:b/>
              </w:rPr>
              <w:t>Analyses</w:t>
            </w:r>
          </w:p>
        </w:tc>
        <w:tc>
          <w:tcPr>
            <w:tcW w:w="1511" w:type="dxa"/>
          </w:tcPr>
          <w:p w:rsidR="00197601" w:rsidRPr="00B61251" w:rsidRDefault="00197601" w:rsidP="0079332B">
            <w:pPr>
              <w:pStyle w:val="Tabletext"/>
              <w:jc w:val="center"/>
              <w:rPr>
                <w:b/>
              </w:rPr>
            </w:pPr>
            <w:r w:rsidRPr="00B61251">
              <w:rPr>
                <w:b/>
              </w:rPr>
              <w:t>Incremental cost</w:t>
            </w:r>
          </w:p>
        </w:tc>
        <w:tc>
          <w:tcPr>
            <w:tcW w:w="1246" w:type="dxa"/>
          </w:tcPr>
          <w:p w:rsidR="00197601" w:rsidRPr="00B61251" w:rsidRDefault="00197601" w:rsidP="0079332B">
            <w:pPr>
              <w:pStyle w:val="Tabletext"/>
              <w:jc w:val="center"/>
              <w:rPr>
                <w:b/>
              </w:rPr>
            </w:pPr>
            <w:r w:rsidRPr="00B61251">
              <w:rPr>
                <w:b/>
              </w:rPr>
              <w:t>Incremental QALY</w:t>
            </w:r>
          </w:p>
        </w:tc>
        <w:tc>
          <w:tcPr>
            <w:tcW w:w="1132" w:type="dxa"/>
          </w:tcPr>
          <w:p w:rsidR="00197601" w:rsidRPr="00B61251" w:rsidRDefault="00197601" w:rsidP="0079332B">
            <w:pPr>
              <w:pStyle w:val="Tabletext"/>
              <w:jc w:val="center"/>
              <w:rPr>
                <w:b/>
              </w:rPr>
            </w:pPr>
            <w:r w:rsidRPr="00B61251">
              <w:rPr>
                <w:b/>
              </w:rPr>
              <w:t>ICER ($/QALY)</w:t>
            </w:r>
          </w:p>
        </w:tc>
      </w:tr>
      <w:tr w:rsidR="00197601" w:rsidRPr="00B61251" w:rsidTr="00CF755B">
        <w:tc>
          <w:tcPr>
            <w:tcW w:w="5414" w:type="dxa"/>
          </w:tcPr>
          <w:p w:rsidR="00197601" w:rsidRPr="00B61251" w:rsidRDefault="00197601" w:rsidP="0079332B">
            <w:pPr>
              <w:pStyle w:val="Tabletext"/>
              <w:tabs>
                <w:tab w:val="left" w:pos="142"/>
              </w:tabs>
              <w:rPr>
                <w:b/>
              </w:rPr>
            </w:pPr>
            <w:r w:rsidRPr="00B61251">
              <w:rPr>
                <w:b/>
              </w:rPr>
              <w:t>Base case</w:t>
            </w:r>
          </w:p>
        </w:tc>
        <w:tc>
          <w:tcPr>
            <w:tcW w:w="1511" w:type="dxa"/>
          </w:tcPr>
          <w:p w:rsidR="00197601" w:rsidRPr="00B61251" w:rsidRDefault="00197601" w:rsidP="0079332B">
            <w:pPr>
              <w:pStyle w:val="Tabletext"/>
              <w:jc w:val="center"/>
              <w:rPr>
                <w:b/>
              </w:rPr>
            </w:pPr>
            <w:r w:rsidRPr="00B61251">
              <w:rPr>
                <w:b/>
              </w:rPr>
              <w:t>$</w:t>
            </w:r>
            <w:r w:rsidR="00DD5455">
              <w:rPr>
                <w:b/>
                <w:noProof/>
                <w:color w:val="000000"/>
                <w:highlight w:val="black"/>
              </w:rPr>
              <w:t>''''''''''''</w:t>
            </w:r>
          </w:p>
        </w:tc>
        <w:tc>
          <w:tcPr>
            <w:tcW w:w="1246" w:type="dxa"/>
          </w:tcPr>
          <w:p w:rsidR="00197601" w:rsidRPr="00B61251" w:rsidRDefault="00197601" w:rsidP="0079332B">
            <w:pPr>
              <w:pStyle w:val="Tabletext"/>
              <w:jc w:val="center"/>
              <w:rPr>
                <w:b/>
              </w:rPr>
            </w:pPr>
            <w:r w:rsidRPr="00B61251">
              <w:rPr>
                <w:b/>
              </w:rPr>
              <w:t>0.565</w:t>
            </w:r>
          </w:p>
        </w:tc>
        <w:tc>
          <w:tcPr>
            <w:tcW w:w="1132" w:type="dxa"/>
          </w:tcPr>
          <w:p w:rsidR="00197601" w:rsidRPr="00B61251" w:rsidRDefault="00197601" w:rsidP="0079332B">
            <w:pPr>
              <w:pStyle w:val="Tabletext"/>
              <w:jc w:val="center"/>
              <w:rPr>
                <w:b/>
              </w:rPr>
            </w:pPr>
            <w:r w:rsidRPr="00B61251">
              <w:rPr>
                <w:b/>
              </w:rPr>
              <w:t>$</w:t>
            </w:r>
            <w:r w:rsidR="00DD5455">
              <w:rPr>
                <w:b/>
                <w:noProof/>
                <w:color w:val="000000"/>
                <w:highlight w:val="black"/>
              </w:rPr>
              <w:t>''''''''''''</w:t>
            </w:r>
          </w:p>
        </w:tc>
      </w:tr>
      <w:tr w:rsidR="00197601" w:rsidRPr="00B61251" w:rsidTr="00CF755B">
        <w:tc>
          <w:tcPr>
            <w:tcW w:w="5414" w:type="dxa"/>
          </w:tcPr>
          <w:p w:rsidR="00197601" w:rsidRPr="00B61251" w:rsidRDefault="00197601" w:rsidP="0079332B">
            <w:pPr>
              <w:pStyle w:val="Tabletext"/>
              <w:tabs>
                <w:tab w:val="left" w:pos="142"/>
              </w:tabs>
            </w:pPr>
            <w:r w:rsidRPr="00B61251">
              <w:t xml:space="preserve">The proportion of progressed patients in the comparator arm who received subsequent immunotherapy (base case </w:t>
            </w:r>
            <w:r w:rsidR="00DD5455">
              <w:rPr>
                <w:noProof/>
                <w:color w:val="000000"/>
                <w:highlight w:val="black"/>
              </w:rPr>
              <w:t>''''''</w:t>
            </w:r>
            <w:r w:rsidRPr="00B61251">
              <w:t>%)</w:t>
            </w:r>
          </w:p>
          <w:p w:rsidR="00197601" w:rsidRPr="00B61251" w:rsidRDefault="00197601" w:rsidP="0079332B">
            <w:pPr>
              <w:pStyle w:val="Tabletext"/>
              <w:tabs>
                <w:tab w:val="left" w:pos="142"/>
              </w:tabs>
            </w:pPr>
            <w:r w:rsidRPr="00B61251">
              <w:tab/>
            </w:r>
            <w:r w:rsidR="007D6B0D" w:rsidRPr="00B61251">
              <w:t>3</w:t>
            </w:r>
            <w:r w:rsidRPr="00B61251">
              <w:t>5%</w:t>
            </w:r>
            <w:r w:rsidR="007D6B0D" w:rsidRPr="00B61251">
              <w:t>*</w:t>
            </w:r>
          </w:p>
          <w:p w:rsidR="00A97FDC" w:rsidRPr="00B61251" w:rsidRDefault="00197601" w:rsidP="0079332B">
            <w:pPr>
              <w:pStyle w:val="Tabletext"/>
              <w:tabs>
                <w:tab w:val="left" w:pos="142"/>
              </w:tabs>
            </w:pPr>
            <w:r w:rsidRPr="00B61251">
              <w:tab/>
              <w:t>80%</w:t>
            </w:r>
          </w:p>
        </w:tc>
        <w:tc>
          <w:tcPr>
            <w:tcW w:w="1511" w:type="dxa"/>
          </w:tcPr>
          <w:p w:rsidR="00197601" w:rsidRPr="00B61251" w:rsidRDefault="00197601" w:rsidP="0079332B">
            <w:pPr>
              <w:pStyle w:val="Tabletext"/>
              <w:jc w:val="center"/>
            </w:pPr>
          </w:p>
          <w:p w:rsidR="00197601" w:rsidRPr="00B61251" w:rsidRDefault="00197601" w:rsidP="0079332B">
            <w:pPr>
              <w:pStyle w:val="Tabletext"/>
              <w:jc w:val="center"/>
            </w:pPr>
          </w:p>
          <w:p w:rsidR="00C808F6" w:rsidRPr="00B61251" w:rsidRDefault="007D6B0D"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pPr>
            <w:r w:rsidRPr="00B61251">
              <w:t>$</w:t>
            </w:r>
            <w:r w:rsidR="00DD5455">
              <w:rPr>
                <w:noProof/>
                <w:color w:val="000000"/>
                <w:highlight w:val="black"/>
              </w:rPr>
              <w:t>''''''''''''''''</w:t>
            </w:r>
          </w:p>
        </w:tc>
        <w:tc>
          <w:tcPr>
            <w:tcW w:w="1246" w:type="dxa"/>
          </w:tcPr>
          <w:p w:rsidR="00197601" w:rsidRPr="00B61251" w:rsidRDefault="00197601" w:rsidP="0079332B">
            <w:pPr>
              <w:pStyle w:val="Tabletext"/>
              <w:jc w:val="center"/>
            </w:pPr>
          </w:p>
          <w:p w:rsidR="00197601" w:rsidRPr="00B61251" w:rsidRDefault="00197601" w:rsidP="0079332B">
            <w:pPr>
              <w:pStyle w:val="Tabletext"/>
              <w:jc w:val="center"/>
            </w:pPr>
          </w:p>
          <w:p w:rsidR="00197601" w:rsidRPr="00B61251" w:rsidRDefault="00197601" w:rsidP="0079332B">
            <w:pPr>
              <w:pStyle w:val="Tabletext"/>
              <w:jc w:val="center"/>
            </w:pPr>
            <w:r w:rsidRPr="00B61251">
              <w:t>0.565</w:t>
            </w:r>
          </w:p>
          <w:p w:rsidR="00197601" w:rsidRPr="00B61251" w:rsidRDefault="00197601" w:rsidP="0079332B">
            <w:pPr>
              <w:pStyle w:val="Tabletext"/>
              <w:jc w:val="center"/>
            </w:pPr>
            <w:r w:rsidRPr="00B61251">
              <w:t>0.565</w:t>
            </w:r>
          </w:p>
        </w:tc>
        <w:tc>
          <w:tcPr>
            <w:tcW w:w="1132" w:type="dxa"/>
          </w:tcPr>
          <w:p w:rsidR="00197601" w:rsidRPr="00B61251" w:rsidRDefault="00197601" w:rsidP="0079332B">
            <w:pPr>
              <w:pStyle w:val="Tabletext"/>
              <w:jc w:val="center"/>
            </w:pPr>
          </w:p>
          <w:p w:rsidR="00197601" w:rsidRPr="00B61251" w:rsidRDefault="00197601" w:rsidP="0079332B">
            <w:pPr>
              <w:pStyle w:val="Tabletext"/>
              <w:jc w:val="center"/>
            </w:pPr>
          </w:p>
          <w:p w:rsidR="002470F9" w:rsidRPr="00B61251" w:rsidRDefault="007D6B0D"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pPr>
            <w:r w:rsidRPr="00B61251">
              <w:t>$</w:t>
            </w:r>
            <w:r w:rsidR="00DD5455">
              <w:rPr>
                <w:noProof/>
                <w:color w:val="000000"/>
                <w:highlight w:val="black"/>
              </w:rPr>
              <w:t>'''''''''''''''</w:t>
            </w:r>
          </w:p>
        </w:tc>
      </w:tr>
      <w:tr w:rsidR="00197601" w:rsidRPr="00B61251" w:rsidTr="00CF755B">
        <w:tc>
          <w:tcPr>
            <w:tcW w:w="5414" w:type="dxa"/>
          </w:tcPr>
          <w:p w:rsidR="00197601" w:rsidRPr="00B61251" w:rsidRDefault="00197601" w:rsidP="0079332B">
            <w:pPr>
              <w:pStyle w:val="Tabletext"/>
              <w:tabs>
                <w:tab w:val="left" w:pos="142"/>
              </w:tabs>
            </w:pPr>
            <w:r w:rsidRPr="00B61251">
              <w:t>Time horizon (base case 7.5 years)</w:t>
            </w:r>
          </w:p>
          <w:p w:rsidR="00197601" w:rsidRPr="00B61251" w:rsidRDefault="00197601" w:rsidP="0079332B">
            <w:pPr>
              <w:pStyle w:val="Tabletext"/>
              <w:tabs>
                <w:tab w:val="left" w:pos="142"/>
              </w:tabs>
            </w:pPr>
            <w:r w:rsidRPr="00B61251">
              <w:tab/>
              <w:t>3 years</w:t>
            </w:r>
          </w:p>
          <w:p w:rsidR="00197601" w:rsidRPr="00B61251" w:rsidRDefault="00197601" w:rsidP="0079332B">
            <w:pPr>
              <w:pStyle w:val="Tabletext"/>
              <w:tabs>
                <w:tab w:val="left" w:pos="142"/>
              </w:tabs>
            </w:pPr>
            <w:r w:rsidRPr="00B61251">
              <w:tab/>
              <w:t>5 years</w:t>
            </w:r>
          </w:p>
          <w:p w:rsidR="00197601" w:rsidRPr="00B61251" w:rsidRDefault="00197601" w:rsidP="0079332B">
            <w:pPr>
              <w:pStyle w:val="Tabletext"/>
              <w:tabs>
                <w:tab w:val="left" w:pos="142"/>
              </w:tabs>
            </w:pPr>
            <w:r w:rsidRPr="00B61251">
              <w:tab/>
              <w:t>10 years</w:t>
            </w:r>
          </w:p>
        </w:tc>
        <w:tc>
          <w:tcPr>
            <w:tcW w:w="1511" w:type="dxa"/>
          </w:tcPr>
          <w:p w:rsidR="00197601" w:rsidRPr="00B61251" w:rsidRDefault="00197601" w:rsidP="0079332B">
            <w:pPr>
              <w:pStyle w:val="Tabletext"/>
              <w:jc w:val="center"/>
            </w:pPr>
          </w:p>
          <w:p w:rsidR="00197601" w:rsidRPr="00B61251" w:rsidRDefault="00197601"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pPr>
            <w:r w:rsidRPr="00B61251">
              <w:t>$</w:t>
            </w:r>
            <w:r w:rsidR="00DD5455">
              <w:rPr>
                <w:noProof/>
                <w:color w:val="000000"/>
                <w:highlight w:val="black"/>
              </w:rPr>
              <w:t>''''''''''''''''</w:t>
            </w:r>
          </w:p>
        </w:tc>
        <w:tc>
          <w:tcPr>
            <w:tcW w:w="1246" w:type="dxa"/>
          </w:tcPr>
          <w:p w:rsidR="00197601" w:rsidRPr="00B61251" w:rsidRDefault="00197601" w:rsidP="0079332B">
            <w:pPr>
              <w:pStyle w:val="Tabletext"/>
              <w:jc w:val="center"/>
            </w:pPr>
          </w:p>
          <w:p w:rsidR="00197601" w:rsidRPr="00B61251" w:rsidRDefault="00197601" w:rsidP="0079332B">
            <w:pPr>
              <w:pStyle w:val="Tabletext"/>
              <w:jc w:val="center"/>
            </w:pPr>
            <w:r w:rsidRPr="00B61251">
              <w:t>0.317</w:t>
            </w:r>
          </w:p>
          <w:p w:rsidR="00197601" w:rsidRPr="00B61251" w:rsidRDefault="00197601" w:rsidP="0079332B">
            <w:pPr>
              <w:pStyle w:val="Tabletext"/>
              <w:jc w:val="center"/>
            </w:pPr>
            <w:r w:rsidRPr="00B61251">
              <w:t>0.476</w:t>
            </w:r>
          </w:p>
          <w:p w:rsidR="00197601" w:rsidRPr="00B61251" w:rsidRDefault="00197601" w:rsidP="0079332B">
            <w:pPr>
              <w:pStyle w:val="Tabletext"/>
              <w:jc w:val="center"/>
            </w:pPr>
            <w:r w:rsidRPr="00B61251">
              <w:t>0.596</w:t>
            </w:r>
          </w:p>
        </w:tc>
        <w:tc>
          <w:tcPr>
            <w:tcW w:w="1132" w:type="dxa"/>
          </w:tcPr>
          <w:p w:rsidR="00197601" w:rsidRPr="00B61251" w:rsidRDefault="00197601" w:rsidP="0079332B">
            <w:pPr>
              <w:pStyle w:val="Tabletext"/>
              <w:jc w:val="center"/>
            </w:pPr>
          </w:p>
          <w:p w:rsidR="00197601" w:rsidRPr="00B61251" w:rsidRDefault="00197601"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pPr>
            <w:r w:rsidRPr="00B61251">
              <w:t>$</w:t>
            </w:r>
            <w:r w:rsidR="00DD5455">
              <w:rPr>
                <w:noProof/>
                <w:color w:val="000000"/>
                <w:highlight w:val="black"/>
              </w:rPr>
              <w:t>'''''''''''''''</w:t>
            </w:r>
          </w:p>
        </w:tc>
      </w:tr>
      <w:tr w:rsidR="00197601" w:rsidRPr="00B61251" w:rsidTr="00CF755B">
        <w:tc>
          <w:tcPr>
            <w:tcW w:w="5414" w:type="dxa"/>
          </w:tcPr>
          <w:p w:rsidR="00197601" w:rsidRPr="00B61251" w:rsidRDefault="00197601" w:rsidP="0079332B">
            <w:pPr>
              <w:pStyle w:val="Tabletext"/>
              <w:tabs>
                <w:tab w:val="left" w:pos="142"/>
              </w:tabs>
            </w:pPr>
            <w:r w:rsidRPr="00B61251">
              <w:t>Extrapolation for OS for both arms (base case exponential extrapolation)</w:t>
            </w:r>
          </w:p>
          <w:p w:rsidR="00197601" w:rsidRPr="00B61251" w:rsidRDefault="00197601" w:rsidP="0079332B">
            <w:pPr>
              <w:pStyle w:val="Tabletext"/>
              <w:tabs>
                <w:tab w:val="left" w:pos="142"/>
              </w:tabs>
            </w:pPr>
            <w:r w:rsidRPr="00B61251">
              <w:tab/>
              <w:t>Gamma extrapolation</w:t>
            </w:r>
          </w:p>
          <w:p w:rsidR="00197601" w:rsidRPr="00B61251" w:rsidRDefault="00197601" w:rsidP="0079332B">
            <w:pPr>
              <w:pStyle w:val="Tabletext"/>
              <w:tabs>
                <w:tab w:val="left" w:pos="142"/>
              </w:tabs>
            </w:pPr>
            <w:r w:rsidRPr="00B61251">
              <w:tab/>
              <w:t>Gompertz extrapolation</w:t>
            </w:r>
          </w:p>
          <w:p w:rsidR="00197601" w:rsidRPr="00B61251" w:rsidRDefault="00197601" w:rsidP="0079332B">
            <w:pPr>
              <w:pStyle w:val="Tabletext"/>
              <w:tabs>
                <w:tab w:val="left" w:pos="142"/>
              </w:tabs>
            </w:pPr>
            <w:r w:rsidRPr="00B61251">
              <w:tab/>
              <w:t>Weibull extrapolation</w:t>
            </w:r>
          </w:p>
        </w:tc>
        <w:tc>
          <w:tcPr>
            <w:tcW w:w="1511" w:type="dxa"/>
          </w:tcPr>
          <w:p w:rsidR="00197601" w:rsidRPr="00B61251" w:rsidRDefault="00197601" w:rsidP="0079332B">
            <w:pPr>
              <w:pStyle w:val="Tabletext"/>
              <w:jc w:val="center"/>
            </w:pPr>
          </w:p>
          <w:p w:rsidR="00197601" w:rsidRPr="00B61251" w:rsidRDefault="00197601" w:rsidP="0079332B">
            <w:pPr>
              <w:pStyle w:val="Tabletext"/>
              <w:jc w:val="center"/>
            </w:pPr>
          </w:p>
          <w:p w:rsidR="00197601" w:rsidRPr="00B61251" w:rsidRDefault="00197601"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rPr>
                <w:i/>
              </w:rPr>
            </w:pPr>
            <w:r w:rsidRPr="00B61251">
              <w:rPr>
                <w:i/>
              </w:rPr>
              <w:t>$</w:t>
            </w:r>
            <w:r w:rsidR="00DD5455">
              <w:rPr>
                <w:i/>
                <w:noProof/>
                <w:color w:val="000000"/>
                <w:highlight w:val="black"/>
              </w:rPr>
              <w:t>'''''''''''''''''</w:t>
            </w:r>
          </w:p>
        </w:tc>
        <w:tc>
          <w:tcPr>
            <w:tcW w:w="1246" w:type="dxa"/>
          </w:tcPr>
          <w:p w:rsidR="00197601" w:rsidRPr="00B61251" w:rsidRDefault="00197601" w:rsidP="0079332B">
            <w:pPr>
              <w:pStyle w:val="Tabletext"/>
              <w:jc w:val="center"/>
              <w:rPr>
                <w:i/>
              </w:rPr>
            </w:pPr>
          </w:p>
          <w:p w:rsidR="00197601" w:rsidRPr="00B61251" w:rsidRDefault="00197601" w:rsidP="0079332B">
            <w:pPr>
              <w:pStyle w:val="Tabletext"/>
              <w:jc w:val="center"/>
              <w:rPr>
                <w:i/>
              </w:rPr>
            </w:pPr>
          </w:p>
          <w:p w:rsidR="00197601" w:rsidRPr="00B61251" w:rsidRDefault="00197601" w:rsidP="0079332B">
            <w:pPr>
              <w:pStyle w:val="Tabletext"/>
              <w:jc w:val="center"/>
            </w:pPr>
            <w:r w:rsidRPr="00B61251">
              <w:t>0.391</w:t>
            </w:r>
          </w:p>
          <w:p w:rsidR="00197601" w:rsidRPr="00B61251" w:rsidRDefault="00197601" w:rsidP="0079332B">
            <w:pPr>
              <w:pStyle w:val="Tabletext"/>
              <w:jc w:val="center"/>
            </w:pPr>
            <w:r w:rsidRPr="00B61251">
              <w:t>0.423</w:t>
            </w:r>
          </w:p>
          <w:p w:rsidR="00197601" w:rsidRPr="00B61251" w:rsidRDefault="00197601" w:rsidP="0079332B">
            <w:pPr>
              <w:pStyle w:val="Tabletext"/>
              <w:jc w:val="center"/>
              <w:rPr>
                <w:i/>
              </w:rPr>
            </w:pPr>
            <w:r w:rsidRPr="00B61251">
              <w:t>0.545</w:t>
            </w:r>
          </w:p>
        </w:tc>
        <w:tc>
          <w:tcPr>
            <w:tcW w:w="1132" w:type="dxa"/>
          </w:tcPr>
          <w:p w:rsidR="00197601" w:rsidRPr="00B61251" w:rsidRDefault="00197601" w:rsidP="0079332B">
            <w:pPr>
              <w:pStyle w:val="Tabletext"/>
              <w:jc w:val="center"/>
            </w:pPr>
          </w:p>
          <w:p w:rsidR="00197601" w:rsidRPr="00B61251" w:rsidRDefault="00197601" w:rsidP="0079332B">
            <w:pPr>
              <w:pStyle w:val="Tabletext"/>
              <w:jc w:val="center"/>
            </w:pPr>
          </w:p>
          <w:p w:rsidR="00197601" w:rsidRPr="00B61251" w:rsidRDefault="00197601"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pPr>
            <w:r w:rsidRPr="00B61251">
              <w:t>$</w:t>
            </w:r>
            <w:r w:rsidR="00DD5455">
              <w:rPr>
                <w:noProof/>
                <w:color w:val="000000"/>
                <w:highlight w:val="black"/>
              </w:rPr>
              <w:t>''''''''''''''''</w:t>
            </w:r>
          </w:p>
          <w:p w:rsidR="00197601" w:rsidRPr="00B61251" w:rsidRDefault="00197601" w:rsidP="0079332B">
            <w:pPr>
              <w:pStyle w:val="Tabletext"/>
              <w:jc w:val="center"/>
              <w:rPr>
                <w:i/>
              </w:rPr>
            </w:pPr>
            <w:r w:rsidRPr="00B61251">
              <w:t>$</w:t>
            </w:r>
            <w:r w:rsidR="00DD5455">
              <w:rPr>
                <w:noProof/>
                <w:color w:val="000000"/>
                <w:highlight w:val="black"/>
              </w:rPr>
              <w:t>'''''''''''''''''</w:t>
            </w:r>
          </w:p>
        </w:tc>
      </w:tr>
      <w:tr w:rsidR="00197601" w:rsidRPr="00B61251" w:rsidTr="00CF755B">
        <w:tc>
          <w:tcPr>
            <w:tcW w:w="5414" w:type="dxa"/>
          </w:tcPr>
          <w:p w:rsidR="001B5E4B" w:rsidRPr="00263693" w:rsidRDefault="001B5E4B" w:rsidP="001B5E4B">
            <w:pPr>
              <w:pStyle w:val="Tabletext"/>
              <w:tabs>
                <w:tab w:val="left" w:pos="142"/>
              </w:tabs>
            </w:pPr>
            <w:r w:rsidRPr="00B61251">
              <w:t xml:space="preserve">HRs of PFS and OS for BEV + PDC vs </w:t>
            </w:r>
            <w:r w:rsidRPr="001B345B">
              <w:t>PDC (</w:t>
            </w:r>
            <w:r w:rsidRPr="00263693">
              <w:t>base case 0.52 and 0.77 respectively)</w:t>
            </w:r>
          </w:p>
          <w:p w:rsidR="00197601" w:rsidRPr="00B61251" w:rsidRDefault="001B5E4B" w:rsidP="0079332B">
            <w:pPr>
              <w:pStyle w:val="Tabletext"/>
              <w:tabs>
                <w:tab w:val="left" w:pos="142"/>
              </w:tabs>
            </w:pPr>
            <w:r w:rsidRPr="00263693">
              <w:t>0.73 for PFS and 0.88 for OS (point estimates using all trials)</w:t>
            </w:r>
          </w:p>
        </w:tc>
        <w:tc>
          <w:tcPr>
            <w:tcW w:w="1511" w:type="dxa"/>
          </w:tcPr>
          <w:p w:rsidR="00197601" w:rsidRPr="00B61251" w:rsidRDefault="00197601" w:rsidP="0079332B">
            <w:pPr>
              <w:pStyle w:val="Tabletext"/>
              <w:jc w:val="center"/>
            </w:pPr>
          </w:p>
          <w:p w:rsidR="00A97FDC" w:rsidRPr="00B61251" w:rsidRDefault="00A97FDC" w:rsidP="0079332B">
            <w:pPr>
              <w:pStyle w:val="Tabletext"/>
              <w:jc w:val="center"/>
            </w:pPr>
          </w:p>
          <w:p w:rsidR="00197601" w:rsidRPr="00B61251" w:rsidRDefault="00A97FDC" w:rsidP="0079332B">
            <w:pPr>
              <w:pStyle w:val="Tabletext"/>
              <w:jc w:val="center"/>
              <w:rPr>
                <w:i/>
              </w:rPr>
            </w:pPr>
            <w:r w:rsidRPr="00B61251">
              <w:t>$</w:t>
            </w:r>
            <w:r w:rsidR="00DD5455">
              <w:rPr>
                <w:noProof/>
                <w:color w:val="000000"/>
                <w:highlight w:val="black"/>
              </w:rPr>
              <w:t>''''''''''''''''</w:t>
            </w:r>
          </w:p>
        </w:tc>
        <w:tc>
          <w:tcPr>
            <w:tcW w:w="1246" w:type="dxa"/>
          </w:tcPr>
          <w:p w:rsidR="00197601" w:rsidRPr="00B61251" w:rsidRDefault="00197601" w:rsidP="0079332B">
            <w:pPr>
              <w:pStyle w:val="Tabletext"/>
              <w:jc w:val="center"/>
            </w:pPr>
          </w:p>
          <w:p w:rsidR="00A97FDC" w:rsidRPr="00B61251" w:rsidRDefault="00A97FDC" w:rsidP="0079332B">
            <w:pPr>
              <w:pStyle w:val="Tabletext"/>
              <w:jc w:val="center"/>
            </w:pPr>
          </w:p>
          <w:p w:rsidR="00197601" w:rsidRPr="00B61251" w:rsidRDefault="00A97FDC" w:rsidP="0079332B">
            <w:pPr>
              <w:pStyle w:val="Tabletext"/>
              <w:jc w:val="center"/>
              <w:rPr>
                <w:i/>
              </w:rPr>
            </w:pPr>
            <w:r w:rsidRPr="00B61251">
              <w:t>0.442</w:t>
            </w:r>
          </w:p>
        </w:tc>
        <w:tc>
          <w:tcPr>
            <w:tcW w:w="1132" w:type="dxa"/>
          </w:tcPr>
          <w:p w:rsidR="00197601" w:rsidRPr="00B61251" w:rsidRDefault="00197601" w:rsidP="0079332B">
            <w:pPr>
              <w:pStyle w:val="Tabletext"/>
              <w:jc w:val="center"/>
            </w:pPr>
          </w:p>
          <w:p w:rsidR="00A97FDC" w:rsidRPr="00B61251" w:rsidRDefault="00A97FDC" w:rsidP="0079332B">
            <w:pPr>
              <w:pStyle w:val="Tabletext"/>
            </w:pPr>
          </w:p>
          <w:p w:rsidR="00197601" w:rsidRPr="00B61251" w:rsidRDefault="00A97FDC" w:rsidP="0079332B">
            <w:pPr>
              <w:pStyle w:val="Tabletext"/>
              <w:jc w:val="center"/>
              <w:rPr>
                <w:i/>
              </w:rPr>
            </w:pPr>
            <w:r w:rsidRPr="00B61251">
              <w:t>$</w:t>
            </w:r>
            <w:r w:rsidR="00DD5455">
              <w:rPr>
                <w:noProof/>
                <w:color w:val="000000"/>
                <w:highlight w:val="black"/>
              </w:rPr>
              <w:t>''''''''''''''''</w:t>
            </w:r>
          </w:p>
        </w:tc>
      </w:tr>
    </w:tbl>
    <w:p w:rsidR="00197601" w:rsidRPr="00B61251" w:rsidRDefault="00197601" w:rsidP="0079332B">
      <w:pPr>
        <w:pStyle w:val="TableFooter"/>
        <w:widowControl/>
      </w:pPr>
      <w:r w:rsidRPr="00B61251">
        <w:t>QALY = quality adjusted life year; ICER = incremental cost effectiveness ratio; HR = hazard ratio; PFS = progression free survival; OS = overall survival; BEV = bevacizumab; PDC = platinum doublet chemotherapy; CI = confidence interval.</w:t>
      </w:r>
    </w:p>
    <w:p w:rsidR="00197601" w:rsidRPr="00B61251" w:rsidRDefault="00197601" w:rsidP="0079332B">
      <w:pPr>
        <w:pStyle w:val="TableFooter"/>
        <w:widowControl/>
      </w:pPr>
      <w:r w:rsidRPr="00B61251">
        <w:t xml:space="preserve">* </w:t>
      </w:r>
      <w:r w:rsidR="00C661CC" w:rsidRPr="00B61251">
        <w:t>Reflects the p</w:t>
      </w:r>
      <w:r w:rsidR="007D6B0D" w:rsidRPr="00B61251">
        <w:t xml:space="preserve">roportion of patients in bevacizumab + CP arm of IMpower 150 that received immunotherapy </w:t>
      </w:r>
    </w:p>
    <w:p w:rsidR="00197601" w:rsidRPr="00B61251" w:rsidRDefault="00197601" w:rsidP="0079332B">
      <w:pPr>
        <w:pStyle w:val="TableFooter"/>
        <w:widowControl/>
        <w:rPr>
          <w:sz w:val="20"/>
        </w:rPr>
      </w:pPr>
      <w:r w:rsidRPr="00B61251">
        <w:t xml:space="preserve">Source: Compiled during the evaluation using data from Economic Evaluation.xlsx </w:t>
      </w:r>
    </w:p>
    <w:p w:rsidR="00FE2356" w:rsidRPr="00263693" w:rsidRDefault="00FE2356" w:rsidP="00CB1952">
      <w:pPr>
        <w:widowControl/>
        <w:spacing w:before="120" w:after="120"/>
      </w:pPr>
      <w:r w:rsidRPr="00263693">
        <w:t xml:space="preserve">The redacted table show ICERs in the range of $45,000/QALY - $105,000/QALY. </w:t>
      </w:r>
    </w:p>
    <w:p w:rsidR="00197601" w:rsidRPr="00B61251" w:rsidRDefault="00197601" w:rsidP="00CB1952">
      <w:pPr>
        <w:pStyle w:val="ListParagraph"/>
        <w:widowControl/>
        <w:numPr>
          <w:ilvl w:val="1"/>
          <w:numId w:val="1"/>
        </w:numPr>
        <w:spacing w:before="120" w:after="120"/>
      </w:pPr>
      <w:r w:rsidRPr="00B61251">
        <w:t>The model was sensitive to the treatment effect of atezolizumab + bevacizumab + PDC relative to</w:t>
      </w:r>
      <w:r w:rsidR="000D5AE2" w:rsidRPr="00B61251">
        <w:t xml:space="preserve"> PDC. </w:t>
      </w:r>
      <w:r w:rsidR="00270C66" w:rsidRPr="00B61251">
        <w:t xml:space="preserve">The evaluation noted that the application of the meta-analysed HRs for bevacizumab + CP versus CP, from Sandler 2006 and Zhou 2015, to the survival curves of the bevacizumab + CP arm in IMpower150 may not reflect the benefit of PDC, given the substantial transitivity concerns among IMpower150, Sandler 2006 and Zhou 2015. </w:t>
      </w:r>
      <w:r w:rsidRPr="00B61251">
        <w:t xml:space="preserve">When meta-analysing all the potentially relevant comparator trials to estimate the HRs for bevacizumab + PDC versus PDC, the ICER </w:t>
      </w:r>
      <w:r w:rsidR="006C2352" w:rsidRPr="00B61251">
        <w:t>increased to $</w:t>
      </w:r>
      <w:r w:rsidR="00D81706">
        <w:t>45,000 - $75,000</w:t>
      </w:r>
      <w:r w:rsidR="006C2352" w:rsidRPr="00B61251">
        <w:t xml:space="preserve"> </w:t>
      </w:r>
      <w:r w:rsidR="00CA36C0" w:rsidRPr="00B61251">
        <w:t>per</w:t>
      </w:r>
      <w:r w:rsidR="006C2352" w:rsidRPr="00B61251">
        <w:t xml:space="preserve"> QALY </w:t>
      </w:r>
      <w:r w:rsidRPr="00B61251">
        <w:t>for the ITT population.</w:t>
      </w:r>
    </w:p>
    <w:p w:rsidR="00197601" w:rsidRPr="00B61251" w:rsidRDefault="00197601" w:rsidP="00CB1952">
      <w:pPr>
        <w:pStyle w:val="ListParagraph"/>
        <w:widowControl/>
        <w:numPr>
          <w:ilvl w:val="1"/>
          <w:numId w:val="1"/>
        </w:numPr>
        <w:spacing w:before="120" w:after="120"/>
      </w:pPr>
      <w:r w:rsidRPr="00B61251">
        <w:t xml:space="preserve">The model was also sensitive to the proportion of progressed patients in the comparator arm who received post-progression immunotherapies. When proportions </w:t>
      </w:r>
      <w:r w:rsidR="007D6B0D" w:rsidRPr="00B61251">
        <w:t xml:space="preserve">were changed </w:t>
      </w:r>
      <w:r w:rsidRPr="00B61251">
        <w:t>(</w:t>
      </w:r>
      <w:r w:rsidR="00C661CC" w:rsidRPr="00B61251">
        <w:t>3</w:t>
      </w:r>
      <w:r w:rsidRPr="00B61251">
        <w:t>5% and 80% versus the base cas</w:t>
      </w:r>
      <w:r w:rsidRPr="001B345B">
        <w:t xml:space="preserve">e of </w:t>
      </w:r>
      <w:r w:rsidR="00DD5455">
        <w:rPr>
          <w:noProof/>
          <w:color w:val="000000"/>
          <w:highlight w:val="black"/>
        </w:rPr>
        <w:t>''''''</w:t>
      </w:r>
      <w:r w:rsidRPr="001B345B">
        <w:t>%) in the sensitivity analyses, the ICER ranged from $</w:t>
      </w:r>
      <w:r w:rsidR="00D81706" w:rsidRPr="001B345B">
        <w:t>15,000</w:t>
      </w:r>
      <w:r w:rsidRPr="001B345B">
        <w:t>/QALY to $</w:t>
      </w:r>
      <w:r w:rsidR="00D81706" w:rsidRPr="001B345B">
        <w:t>105,000</w:t>
      </w:r>
      <w:r w:rsidRPr="001B345B">
        <w:t xml:space="preserve">/QALY. </w:t>
      </w:r>
      <w:r w:rsidR="004E2814" w:rsidRPr="001B345B">
        <w:t>T</w:t>
      </w:r>
      <w:r w:rsidRPr="001B345B">
        <w:t xml:space="preserve">he health benefit from the comparator arm did not change with the proportion of patients receiving post-progression immunotherapies. </w:t>
      </w:r>
      <w:r w:rsidR="00B74854" w:rsidRPr="001B345B">
        <w:t xml:space="preserve">The ESC noted that 35.5% of all patients in the bevacizumab + CP treatment arm received immunotherapy </w:t>
      </w:r>
      <w:r w:rsidR="000D5AE2" w:rsidRPr="001B345B">
        <w:t>post-progression</w:t>
      </w:r>
      <w:r w:rsidR="0093742B" w:rsidRPr="001B345B">
        <w:t xml:space="preserve">. </w:t>
      </w:r>
      <w:r w:rsidR="00B74854" w:rsidRPr="001B345B">
        <w:t xml:space="preserve">The ESC considered the use of </w:t>
      </w:r>
      <w:r w:rsidR="00DD5455">
        <w:rPr>
          <w:noProof/>
          <w:color w:val="000000"/>
          <w:highlight w:val="black"/>
        </w:rPr>
        <w:t>'''''</w:t>
      </w:r>
      <w:r w:rsidR="00B74854" w:rsidRPr="001B345B">
        <w:t>% was</w:t>
      </w:r>
      <w:r w:rsidR="00B74854" w:rsidRPr="00B61251">
        <w:t xml:space="preserve"> more likely to reflect clinical practice but also noted OS in the model was not adjusted to account for the increased use of immunotherapy</w:t>
      </w:r>
      <w:r w:rsidR="00987C9D">
        <w:t>.</w:t>
      </w:r>
    </w:p>
    <w:p w:rsidR="000209BA" w:rsidRPr="00B61251" w:rsidRDefault="00744BB1" w:rsidP="00CB1952">
      <w:pPr>
        <w:pStyle w:val="ListParagraph"/>
        <w:widowControl/>
        <w:numPr>
          <w:ilvl w:val="1"/>
          <w:numId w:val="1"/>
        </w:numPr>
        <w:spacing w:before="120" w:after="120"/>
      </w:pPr>
      <w:r w:rsidRPr="00B61251">
        <w:t>T</w:t>
      </w:r>
      <w:r w:rsidR="004D08C7" w:rsidRPr="00B61251">
        <w:t xml:space="preserve">he </w:t>
      </w:r>
      <w:r w:rsidR="007D6B0D" w:rsidRPr="00B61251">
        <w:t xml:space="preserve">ESC considered </w:t>
      </w:r>
      <w:r w:rsidR="004D08C7" w:rsidRPr="00B61251">
        <w:t xml:space="preserve">the </w:t>
      </w:r>
      <w:r w:rsidR="007D6B0D" w:rsidRPr="00B61251">
        <w:t xml:space="preserve">base case </w:t>
      </w:r>
      <w:r w:rsidR="004D08C7" w:rsidRPr="00B61251">
        <w:t xml:space="preserve">model should converge OS at </w:t>
      </w:r>
      <w:r w:rsidR="007D6B0D" w:rsidRPr="00B61251">
        <w:t>7.5 years</w:t>
      </w:r>
      <w:r w:rsidR="004D08C7" w:rsidRPr="00B61251">
        <w:t>, commencing at 5 years</w:t>
      </w:r>
      <w:r w:rsidR="00C808F6" w:rsidRPr="00B61251">
        <w:t xml:space="preserve"> to be consistent with the first-line pembrolizumab monotherapy model that was considered acceptable to the PBAC</w:t>
      </w:r>
      <w:r w:rsidR="007D6B0D" w:rsidRPr="00B61251">
        <w:t xml:space="preserve">. </w:t>
      </w:r>
      <w:r w:rsidR="00E60D35" w:rsidRPr="00B61251">
        <w:t xml:space="preserve">The ESC noted the ICER applying convergence </w:t>
      </w:r>
      <w:r w:rsidR="00A9365E" w:rsidRPr="00B61251">
        <w:t xml:space="preserve">in this way </w:t>
      </w:r>
      <w:r w:rsidR="00CA7639">
        <w:t>wa</w:t>
      </w:r>
      <w:r w:rsidR="00E60D35" w:rsidRPr="00B61251">
        <w:t>s $</w:t>
      </w:r>
      <w:r w:rsidR="00D81706">
        <w:t>45,000 - $75,000</w:t>
      </w:r>
      <w:r w:rsidR="000209BA" w:rsidRPr="00B61251">
        <w:t xml:space="preserve"> at the submission’s proposed price</w:t>
      </w:r>
      <w:r w:rsidR="00E60D35" w:rsidRPr="00B61251">
        <w:t>.</w:t>
      </w:r>
    </w:p>
    <w:p w:rsidR="0076740E" w:rsidRPr="00B61251" w:rsidRDefault="000209BA" w:rsidP="00CB1952">
      <w:pPr>
        <w:pStyle w:val="ListParagraph"/>
        <w:widowControl/>
        <w:numPr>
          <w:ilvl w:val="1"/>
          <w:numId w:val="1"/>
        </w:numPr>
        <w:spacing w:before="120" w:after="120"/>
        <w:rPr>
          <w:szCs w:val="24"/>
        </w:rPr>
      </w:pPr>
      <w:r w:rsidRPr="00B61251">
        <w:lastRenderedPageBreak/>
        <w:t xml:space="preserve">The PBAC noted the sponsor had offered </w:t>
      </w:r>
      <w:r w:rsidRPr="001B345B">
        <w:t xml:space="preserve">a </w:t>
      </w:r>
      <w:r w:rsidR="00DD5455">
        <w:rPr>
          <w:noProof/>
          <w:color w:val="000000"/>
          <w:highlight w:val="black"/>
        </w:rPr>
        <w:t>''''''</w:t>
      </w:r>
      <w:r w:rsidRPr="001B345B">
        <w:t>%</w:t>
      </w:r>
      <w:r w:rsidRPr="00B61251">
        <w:t xml:space="preserve"> discount on the submission’s proposed price and this reduced the ICER calculated by the ESC to </w:t>
      </w:r>
      <w:r w:rsidRPr="00B61251">
        <w:rPr>
          <w:rFonts w:cs="Calibri"/>
          <w:bCs/>
          <w:color w:val="000000"/>
          <w:szCs w:val="24"/>
          <w:lang w:eastAsia="zh-CN"/>
        </w:rPr>
        <w:t>$</w:t>
      </w:r>
      <w:r w:rsidR="00D81706">
        <w:rPr>
          <w:rFonts w:cs="Calibri"/>
          <w:bCs/>
          <w:color w:val="000000"/>
          <w:szCs w:val="24"/>
          <w:lang w:eastAsia="zh-CN"/>
        </w:rPr>
        <w:t>45,000 - $75,000</w:t>
      </w:r>
      <w:r w:rsidR="0076740E" w:rsidRPr="00B61251">
        <w:rPr>
          <w:szCs w:val="24"/>
        </w:rPr>
        <w:t>.</w:t>
      </w:r>
      <w:r w:rsidR="00102AE0">
        <w:rPr>
          <w:szCs w:val="24"/>
        </w:rPr>
        <w:t xml:space="preserve"> </w:t>
      </w:r>
      <w:r w:rsidR="008A03F9">
        <w:rPr>
          <w:szCs w:val="24"/>
        </w:rPr>
        <w:t xml:space="preserve"> </w:t>
      </w:r>
    </w:p>
    <w:p w:rsidR="0076740E" w:rsidRPr="00987C9D" w:rsidRDefault="0076740E" w:rsidP="00CB1952">
      <w:pPr>
        <w:widowControl/>
        <w:spacing w:before="120" w:after="120"/>
        <w:rPr>
          <w:szCs w:val="24"/>
        </w:rPr>
      </w:pPr>
      <w:r w:rsidRPr="00B61251">
        <w:rPr>
          <w:szCs w:val="24"/>
          <w:u w:val="single"/>
        </w:rPr>
        <w:t>Cost minimisation versus pembrolizumab</w:t>
      </w:r>
    </w:p>
    <w:p w:rsidR="0076740E" w:rsidRPr="00B61251" w:rsidRDefault="0076740E" w:rsidP="00CB1952">
      <w:pPr>
        <w:pStyle w:val="ListParagraph"/>
        <w:widowControl/>
        <w:numPr>
          <w:ilvl w:val="1"/>
          <w:numId w:val="1"/>
        </w:numPr>
        <w:spacing w:before="120" w:after="120"/>
        <w:rPr>
          <w:szCs w:val="24"/>
        </w:rPr>
      </w:pPr>
      <w:r w:rsidRPr="00B61251">
        <w:rPr>
          <w:szCs w:val="24"/>
        </w:rPr>
        <w:t>A comparison of the cost of a treatment cycle of atezolizumab</w:t>
      </w:r>
      <w:r w:rsidR="00223BBF" w:rsidRPr="00B61251">
        <w:rPr>
          <w:szCs w:val="24"/>
        </w:rPr>
        <w:t xml:space="preserve"> </w:t>
      </w:r>
      <w:r w:rsidRPr="00B61251">
        <w:rPr>
          <w:szCs w:val="24"/>
        </w:rPr>
        <w:t>+</w:t>
      </w:r>
      <w:r w:rsidR="00223BBF" w:rsidRPr="00B61251">
        <w:rPr>
          <w:szCs w:val="24"/>
        </w:rPr>
        <w:t xml:space="preserve"> </w:t>
      </w:r>
      <w:r w:rsidRPr="00B61251">
        <w:rPr>
          <w:szCs w:val="24"/>
        </w:rPr>
        <w:t xml:space="preserve">bevacizumab versus pembrolizumab is included in </w:t>
      </w:r>
      <w:r w:rsidR="00744BB1" w:rsidRPr="00B61251">
        <w:t>Table 13</w:t>
      </w:r>
      <w:r w:rsidRPr="00B61251">
        <w:rPr>
          <w:szCs w:val="24"/>
        </w:rPr>
        <w:t>. The cost of PDC is not included as patients who progress on pembrolizumab will likely receive treatment with chemotherapy.</w:t>
      </w:r>
    </w:p>
    <w:p w:rsidR="008352B7" w:rsidRPr="008352B7" w:rsidRDefault="008352B7" w:rsidP="0079332B">
      <w:pPr>
        <w:widowControl/>
        <w:spacing w:after="120"/>
        <w:jc w:val="center"/>
        <w:rPr>
          <w:b/>
          <w:szCs w:val="24"/>
          <w:u w:val="single"/>
        </w:rPr>
      </w:pPr>
      <w:bookmarkStart w:id="22" w:name="_Ref4505350"/>
      <w:r w:rsidRPr="008352B7">
        <w:rPr>
          <w:b/>
          <w:szCs w:val="24"/>
          <w:u w:val="single"/>
        </w:rPr>
        <w:t>Committee-In-Confidence information</w:t>
      </w:r>
    </w:p>
    <w:p w:rsidR="0076740E" w:rsidRPr="00B61251" w:rsidRDefault="00744BB1" w:rsidP="0079332B">
      <w:pPr>
        <w:pStyle w:val="Caption"/>
        <w:keepNext/>
        <w:widowControl/>
      </w:pPr>
      <w:r w:rsidRPr="00B61251">
        <w:t>Table 13</w:t>
      </w:r>
      <w:bookmarkEnd w:id="22"/>
      <w:r w:rsidR="008352B7">
        <w:t>:</w:t>
      </w:r>
      <w:r w:rsidRPr="00B61251">
        <w:t xml:space="preserve"> </w:t>
      </w:r>
      <w:r w:rsidR="0076740E" w:rsidRPr="00B61251">
        <w:t>Cost per</w:t>
      </w:r>
      <w:r w:rsidR="00E41CC0" w:rsidRPr="00B61251">
        <w:t xml:space="preserve"> treatment cycle</w:t>
      </w:r>
      <w:r w:rsidR="0076740E" w:rsidRPr="00B61251">
        <w:t xml:space="preserve"> of atezolizumab+bevacizumab versus pembrolizumab</w:t>
      </w:r>
    </w:p>
    <w:tbl>
      <w:tblPr>
        <w:tblStyle w:val="TableGrid"/>
        <w:tblW w:w="0" w:type="auto"/>
        <w:tblLook w:val="04A0" w:firstRow="1" w:lastRow="0" w:firstColumn="1" w:lastColumn="0" w:noHBand="0" w:noVBand="1"/>
        <w:tblCaption w:val="Cost per treatment cycle of atezolizumab+bevacizumab versus pembrolizumab"/>
      </w:tblPr>
      <w:tblGrid>
        <w:gridCol w:w="2263"/>
        <w:gridCol w:w="2079"/>
        <w:gridCol w:w="2079"/>
        <w:gridCol w:w="2079"/>
      </w:tblGrid>
      <w:tr w:rsidR="00E41CC0" w:rsidRPr="00B61251" w:rsidTr="00FE178E">
        <w:trPr>
          <w:tblHeader/>
        </w:trPr>
        <w:tc>
          <w:tcPr>
            <w:tcW w:w="2263" w:type="dxa"/>
          </w:tcPr>
          <w:p w:rsidR="00E41CC0" w:rsidRPr="00B61251" w:rsidRDefault="00E41CC0" w:rsidP="0079332B">
            <w:pPr>
              <w:widowControl/>
              <w:rPr>
                <w:rFonts w:ascii="Arial Narrow" w:hAnsi="Arial Narrow"/>
                <w:sz w:val="20"/>
                <w:szCs w:val="20"/>
              </w:rPr>
            </w:pPr>
          </w:p>
        </w:tc>
        <w:tc>
          <w:tcPr>
            <w:tcW w:w="2079" w:type="dxa"/>
          </w:tcPr>
          <w:p w:rsidR="00E41CC0" w:rsidRPr="00CA7639" w:rsidRDefault="00E41CC0" w:rsidP="0079332B">
            <w:pPr>
              <w:widowControl/>
              <w:jc w:val="center"/>
              <w:rPr>
                <w:rFonts w:ascii="Arial Narrow" w:hAnsi="Arial Narrow"/>
                <w:b/>
                <w:sz w:val="20"/>
                <w:szCs w:val="20"/>
              </w:rPr>
            </w:pPr>
            <w:r w:rsidRPr="00CA7639">
              <w:rPr>
                <w:rFonts w:ascii="Arial Narrow" w:hAnsi="Arial Narrow"/>
                <w:b/>
                <w:sz w:val="20"/>
                <w:szCs w:val="20"/>
              </w:rPr>
              <w:t xml:space="preserve">Pembrolizumab </w:t>
            </w:r>
            <w:r w:rsidR="001D790C">
              <w:rPr>
                <w:rFonts w:ascii="Arial Narrow" w:hAnsi="Arial Narrow"/>
                <w:b/>
                <w:noProof/>
                <w:color w:val="000000"/>
                <w:sz w:val="20"/>
                <w:szCs w:val="20"/>
                <w:highlight w:val="black"/>
              </w:rPr>
              <w:t>''''''''''''''''</w:t>
            </w:r>
          </w:p>
        </w:tc>
        <w:tc>
          <w:tcPr>
            <w:tcW w:w="2079" w:type="dxa"/>
          </w:tcPr>
          <w:p w:rsidR="00E41CC0" w:rsidRPr="00B61251" w:rsidRDefault="00E41CC0" w:rsidP="0079332B">
            <w:pPr>
              <w:widowControl/>
              <w:jc w:val="center"/>
              <w:rPr>
                <w:rFonts w:ascii="Arial Narrow" w:hAnsi="Arial Narrow"/>
                <w:b/>
                <w:sz w:val="20"/>
                <w:szCs w:val="20"/>
              </w:rPr>
            </w:pPr>
            <w:r w:rsidRPr="00B61251">
              <w:rPr>
                <w:rFonts w:ascii="Arial Narrow" w:hAnsi="Arial Narrow"/>
                <w:b/>
                <w:sz w:val="20"/>
                <w:szCs w:val="20"/>
              </w:rPr>
              <w:t xml:space="preserve">Pembrolizumab </w:t>
            </w:r>
            <w:r w:rsidR="001D790C">
              <w:rPr>
                <w:rFonts w:ascii="Arial Narrow" w:hAnsi="Arial Narrow"/>
                <w:b/>
                <w:noProof/>
                <w:color w:val="000000"/>
                <w:sz w:val="20"/>
                <w:szCs w:val="20"/>
                <w:highlight w:val="black"/>
              </w:rPr>
              <w:t>''''''''''''''''''''''''</w:t>
            </w:r>
          </w:p>
        </w:tc>
        <w:tc>
          <w:tcPr>
            <w:tcW w:w="2079" w:type="dxa"/>
          </w:tcPr>
          <w:p w:rsidR="00E41CC0" w:rsidRPr="00B61251" w:rsidRDefault="00E41CC0" w:rsidP="0079332B">
            <w:pPr>
              <w:widowControl/>
              <w:jc w:val="center"/>
              <w:rPr>
                <w:rFonts w:ascii="Arial Narrow" w:hAnsi="Arial Narrow"/>
                <w:b/>
                <w:sz w:val="20"/>
                <w:szCs w:val="20"/>
              </w:rPr>
            </w:pPr>
            <w:r w:rsidRPr="00B61251">
              <w:rPr>
                <w:rFonts w:ascii="Arial Narrow" w:hAnsi="Arial Narrow"/>
                <w:b/>
                <w:sz w:val="20"/>
                <w:szCs w:val="20"/>
              </w:rPr>
              <w:t>Atezolizumab + bevacizumab</w:t>
            </w:r>
          </w:p>
        </w:tc>
      </w:tr>
      <w:tr w:rsidR="00E41CC0" w:rsidRPr="00B61251" w:rsidTr="00E41CC0">
        <w:tc>
          <w:tcPr>
            <w:tcW w:w="2263" w:type="dxa"/>
          </w:tcPr>
          <w:p w:rsidR="00E41CC0" w:rsidRPr="00B61251" w:rsidRDefault="00E41CC0" w:rsidP="0079332B">
            <w:pPr>
              <w:widowControl/>
              <w:rPr>
                <w:rFonts w:ascii="Arial Narrow" w:hAnsi="Arial Narrow"/>
                <w:sz w:val="20"/>
                <w:szCs w:val="20"/>
              </w:rPr>
            </w:pPr>
            <w:r w:rsidRPr="00B61251">
              <w:rPr>
                <w:rFonts w:ascii="Arial Narrow" w:hAnsi="Arial Narrow"/>
                <w:sz w:val="20"/>
                <w:szCs w:val="20"/>
              </w:rPr>
              <w:t>AEMP per treatment cycle</w:t>
            </w:r>
            <w:r w:rsidRPr="00B61251">
              <w:rPr>
                <w:rFonts w:ascii="Arial Narrow" w:hAnsi="Arial Narrow"/>
                <w:sz w:val="20"/>
                <w:szCs w:val="20"/>
                <w:vertAlign w:val="superscript"/>
              </w:rPr>
              <w:t>1</w:t>
            </w:r>
          </w:p>
        </w:tc>
        <w:tc>
          <w:tcPr>
            <w:tcW w:w="2079" w:type="dxa"/>
          </w:tcPr>
          <w:p w:rsidR="00E41CC0" w:rsidRPr="001D790C" w:rsidRDefault="001D790C" w:rsidP="0079332B">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079" w:type="dxa"/>
          </w:tcPr>
          <w:p w:rsidR="00E41CC0" w:rsidRPr="001D790C" w:rsidRDefault="001D790C" w:rsidP="0079332B">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079" w:type="dxa"/>
          </w:tcPr>
          <w:p w:rsidR="00E41CC0" w:rsidRPr="00B61251" w:rsidRDefault="001C2623" w:rsidP="0079332B">
            <w:pPr>
              <w:widowControl/>
              <w:jc w:val="center"/>
              <w:rPr>
                <w:rFonts w:ascii="Arial Narrow" w:hAnsi="Arial Narrow"/>
                <w:sz w:val="20"/>
                <w:szCs w:val="20"/>
              </w:rPr>
            </w:pPr>
            <w:r w:rsidRPr="00B61251">
              <w:rPr>
                <w:rFonts w:ascii="Arial Narrow" w:hAnsi="Arial Narrow"/>
                <w:sz w:val="20"/>
                <w:szCs w:val="20"/>
              </w:rPr>
              <w:t>$</w:t>
            </w:r>
            <w:r w:rsidR="00DD5455">
              <w:rPr>
                <w:rFonts w:ascii="Arial Narrow" w:hAnsi="Arial Narrow"/>
                <w:noProof/>
                <w:color w:val="000000"/>
                <w:sz w:val="20"/>
                <w:szCs w:val="20"/>
                <w:highlight w:val="black"/>
              </w:rPr>
              <w:t>''''''''''''''''''''</w:t>
            </w:r>
            <w:r w:rsidR="00790E8F" w:rsidRPr="00B61251">
              <w:rPr>
                <w:rFonts w:ascii="Arial Narrow" w:hAnsi="Arial Narrow"/>
                <w:sz w:val="20"/>
                <w:szCs w:val="20"/>
                <w:vertAlign w:val="superscript"/>
              </w:rPr>
              <w:t>2</w:t>
            </w:r>
          </w:p>
        </w:tc>
      </w:tr>
      <w:tr w:rsidR="00E41CC0" w:rsidRPr="00B61251" w:rsidTr="00E41CC0">
        <w:tc>
          <w:tcPr>
            <w:tcW w:w="2263" w:type="dxa"/>
          </w:tcPr>
          <w:p w:rsidR="00790E8F" w:rsidRPr="00B61251" w:rsidRDefault="00E41CC0" w:rsidP="0079332B">
            <w:pPr>
              <w:widowControl/>
              <w:rPr>
                <w:rFonts w:ascii="Arial Narrow" w:hAnsi="Arial Narrow"/>
                <w:sz w:val="20"/>
                <w:szCs w:val="20"/>
              </w:rPr>
            </w:pPr>
            <w:r w:rsidRPr="00B61251">
              <w:rPr>
                <w:rFonts w:ascii="Arial Narrow" w:hAnsi="Arial Narrow"/>
                <w:sz w:val="20"/>
                <w:szCs w:val="20"/>
              </w:rPr>
              <w:t>DPMQ per treatment cycle</w:t>
            </w:r>
          </w:p>
        </w:tc>
        <w:tc>
          <w:tcPr>
            <w:tcW w:w="2079" w:type="dxa"/>
          </w:tcPr>
          <w:p w:rsidR="00E41CC0" w:rsidRPr="00CA7639" w:rsidRDefault="00E41CC0" w:rsidP="0079332B">
            <w:pPr>
              <w:widowControl/>
              <w:rPr>
                <w:rFonts w:ascii="Arial Narrow" w:hAnsi="Arial Narrow"/>
                <w:sz w:val="20"/>
                <w:szCs w:val="20"/>
              </w:rPr>
            </w:pPr>
          </w:p>
        </w:tc>
        <w:tc>
          <w:tcPr>
            <w:tcW w:w="2079" w:type="dxa"/>
          </w:tcPr>
          <w:p w:rsidR="00E41CC0" w:rsidRPr="00B61251" w:rsidRDefault="00E41CC0" w:rsidP="0079332B">
            <w:pPr>
              <w:widowControl/>
              <w:jc w:val="center"/>
              <w:rPr>
                <w:rFonts w:ascii="Arial Narrow" w:hAnsi="Arial Narrow"/>
                <w:sz w:val="20"/>
                <w:szCs w:val="20"/>
                <w:highlight w:val="green"/>
              </w:rPr>
            </w:pPr>
          </w:p>
        </w:tc>
        <w:tc>
          <w:tcPr>
            <w:tcW w:w="2079" w:type="dxa"/>
          </w:tcPr>
          <w:p w:rsidR="00790E8F" w:rsidRPr="00B61251" w:rsidRDefault="00790E8F" w:rsidP="0079332B">
            <w:pPr>
              <w:widowControl/>
              <w:rPr>
                <w:rFonts w:ascii="Arial Narrow" w:hAnsi="Arial Narrow"/>
                <w:sz w:val="20"/>
                <w:szCs w:val="20"/>
              </w:rPr>
            </w:pPr>
          </w:p>
        </w:tc>
      </w:tr>
      <w:tr w:rsidR="00790E8F" w:rsidRPr="00B61251" w:rsidTr="00E41CC0">
        <w:tc>
          <w:tcPr>
            <w:tcW w:w="2263" w:type="dxa"/>
          </w:tcPr>
          <w:p w:rsidR="00790E8F" w:rsidRPr="00B61251" w:rsidRDefault="00790E8F" w:rsidP="0079332B">
            <w:pPr>
              <w:widowControl/>
              <w:ind w:left="316"/>
              <w:rPr>
                <w:rFonts w:ascii="Arial Narrow" w:hAnsi="Arial Narrow"/>
                <w:sz w:val="20"/>
                <w:szCs w:val="20"/>
              </w:rPr>
            </w:pPr>
            <w:r w:rsidRPr="00B61251">
              <w:rPr>
                <w:rFonts w:ascii="Arial Narrow" w:hAnsi="Arial Narrow"/>
                <w:sz w:val="20"/>
                <w:szCs w:val="20"/>
              </w:rPr>
              <w:t>Public hospital</w:t>
            </w:r>
          </w:p>
        </w:tc>
        <w:tc>
          <w:tcPr>
            <w:tcW w:w="2079" w:type="dxa"/>
          </w:tcPr>
          <w:p w:rsidR="00790E8F" w:rsidRPr="001D790C" w:rsidRDefault="001D790C" w:rsidP="0079332B">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079" w:type="dxa"/>
          </w:tcPr>
          <w:p w:rsidR="00790E8F" w:rsidRPr="001D790C" w:rsidRDefault="001D790C" w:rsidP="0079332B">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079" w:type="dxa"/>
          </w:tcPr>
          <w:p w:rsidR="00790E8F" w:rsidRPr="00B61251" w:rsidRDefault="006367C8" w:rsidP="0079332B">
            <w:pPr>
              <w:widowControl/>
              <w:jc w:val="center"/>
              <w:rPr>
                <w:rFonts w:ascii="Arial Narrow" w:hAnsi="Arial Narrow"/>
                <w:sz w:val="20"/>
                <w:szCs w:val="20"/>
              </w:rPr>
            </w:pPr>
            <w:r w:rsidRPr="00B61251">
              <w:rPr>
                <w:rFonts w:ascii="Arial Narrow" w:hAnsi="Arial Narrow"/>
                <w:sz w:val="20"/>
                <w:szCs w:val="20"/>
              </w:rPr>
              <w:t>$</w:t>
            </w:r>
            <w:r w:rsidR="00DD5455">
              <w:rPr>
                <w:rFonts w:ascii="Arial Narrow" w:hAnsi="Arial Narrow"/>
                <w:noProof/>
                <w:color w:val="000000"/>
                <w:sz w:val="20"/>
                <w:szCs w:val="20"/>
                <w:highlight w:val="black"/>
              </w:rPr>
              <w:t>''''''''''''''''''''</w:t>
            </w:r>
            <w:r w:rsidR="00790E8F" w:rsidRPr="00B61251">
              <w:rPr>
                <w:rFonts w:ascii="Arial Narrow" w:hAnsi="Arial Narrow"/>
                <w:sz w:val="20"/>
                <w:szCs w:val="20"/>
                <w:vertAlign w:val="superscript"/>
              </w:rPr>
              <w:t>3</w:t>
            </w:r>
          </w:p>
        </w:tc>
      </w:tr>
      <w:tr w:rsidR="00790E8F" w:rsidRPr="00B61251" w:rsidTr="00E41CC0">
        <w:tc>
          <w:tcPr>
            <w:tcW w:w="2263" w:type="dxa"/>
          </w:tcPr>
          <w:p w:rsidR="00790E8F" w:rsidRPr="00B61251" w:rsidRDefault="00790E8F" w:rsidP="0079332B">
            <w:pPr>
              <w:widowControl/>
              <w:ind w:left="316"/>
              <w:rPr>
                <w:rFonts w:ascii="Arial Narrow" w:hAnsi="Arial Narrow"/>
                <w:sz w:val="20"/>
                <w:szCs w:val="20"/>
              </w:rPr>
            </w:pPr>
            <w:r w:rsidRPr="00B61251">
              <w:rPr>
                <w:rFonts w:ascii="Arial Narrow" w:hAnsi="Arial Narrow"/>
                <w:sz w:val="20"/>
                <w:szCs w:val="20"/>
              </w:rPr>
              <w:t>Private hospital</w:t>
            </w:r>
          </w:p>
        </w:tc>
        <w:tc>
          <w:tcPr>
            <w:tcW w:w="2079" w:type="dxa"/>
          </w:tcPr>
          <w:p w:rsidR="00790E8F" w:rsidRPr="001D790C" w:rsidRDefault="001D790C" w:rsidP="0079332B">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079" w:type="dxa"/>
          </w:tcPr>
          <w:p w:rsidR="00790E8F" w:rsidRPr="001D790C" w:rsidRDefault="001D790C" w:rsidP="0079332B">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079" w:type="dxa"/>
          </w:tcPr>
          <w:p w:rsidR="00790E8F" w:rsidRPr="00B61251" w:rsidRDefault="006367C8" w:rsidP="0079332B">
            <w:pPr>
              <w:widowControl/>
              <w:jc w:val="center"/>
              <w:rPr>
                <w:rFonts w:ascii="Arial Narrow" w:hAnsi="Arial Narrow"/>
                <w:sz w:val="20"/>
                <w:szCs w:val="20"/>
              </w:rPr>
            </w:pPr>
            <w:r w:rsidRPr="00B61251">
              <w:rPr>
                <w:rFonts w:ascii="Arial Narrow" w:hAnsi="Arial Narrow"/>
                <w:sz w:val="20"/>
                <w:szCs w:val="20"/>
              </w:rPr>
              <w:t>$</w:t>
            </w:r>
            <w:r w:rsidR="00DD5455">
              <w:rPr>
                <w:rFonts w:ascii="Arial Narrow" w:hAnsi="Arial Narrow"/>
                <w:noProof/>
                <w:color w:val="000000"/>
                <w:sz w:val="20"/>
                <w:szCs w:val="20"/>
                <w:highlight w:val="black"/>
              </w:rPr>
              <w:t>'''''''''''''''''''''''</w:t>
            </w:r>
          </w:p>
        </w:tc>
      </w:tr>
      <w:tr w:rsidR="00790E8F" w:rsidRPr="00B61251" w:rsidTr="00E41CC0">
        <w:tc>
          <w:tcPr>
            <w:tcW w:w="2263" w:type="dxa"/>
          </w:tcPr>
          <w:p w:rsidR="00790E8F" w:rsidRPr="00B61251" w:rsidRDefault="00790E8F" w:rsidP="0079332B">
            <w:pPr>
              <w:widowControl/>
              <w:ind w:left="316"/>
              <w:rPr>
                <w:rFonts w:ascii="Arial Narrow" w:hAnsi="Arial Narrow"/>
                <w:sz w:val="20"/>
                <w:szCs w:val="20"/>
              </w:rPr>
            </w:pPr>
            <w:r w:rsidRPr="00B61251">
              <w:rPr>
                <w:rFonts w:ascii="Arial Narrow" w:hAnsi="Arial Narrow"/>
                <w:sz w:val="20"/>
                <w:szCs w:val="20"/>
              </w:rPr>
              <w:t>Weighted</w:t>
            </w:r>
            <w:r w:rsidRPr="00B61251">
              <w:rPr>
                <w:rFonts w:ascii="Arial Narrow" w:hAnsi="Arial Narrow"/>
                <w:sz w:val="20"/>
                <w:szCs w:val="20"/>
                <w:vertAlign w:val="superscript"/>
              </w:rPr>
              <w:t>4</w:t>
            </w:r>
          </w:p>
        </w:tc>
        <w:tc>
          <w:tcPr>
            <w:tcW w:w="2079" w:type="dxa"/>
          </w:tcPr>
          <w:p w:rsidR="00790E8F" w:rsidRPr="001D790C" w:rsidRDefault="001D790C" w:rsidP="0079332B">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079" w:type="dxa"/>
          </w:tcPr>
          <w:p w:rsidR="00790E8F" w:rsidRPr="001D790C" w:rsidRDefault="001D790C" w:rsidP="0079332B">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079" w:type="dxa"/>
          </w:tcPr>
          <w:p w:rsidR="00790E8F" w:rsidRPr="00B61251" w:rsidRDefault="006367C8" w:rsidP="0079332B">
            <w:pPr>
              <w:widowControl/>
              <w:jc w:val="center"/>
              <w:rPr>
                <w:rFonts w:ascii="Arial Narrow" w:hAnsi="Arial Narrow"/>
                <w:sz w:val="20"/>
                <w:szCs w:val="20"/>
              </w:rPr>
            </w:pPr>
            <w:r w:rsidRPr="00B61251">
              <w:rPr>
                <w:rFonts w:ascii="Arial Narrow" w:hAnsi="Arial Narrow"/>
                <w:sz w:val="20"/>
                <w:szCs w:val="20"/>
              </w:rPr>
              <w:t>$</w:t>
            </w:r>
            <w:r w:rsidR="00DD5455">
              <w:rPr>
                <w:rFonts w:ascii="Arial Narrow" w:hAnsi="Arial Narrow"/>
                <w:noProof/>
                <w:color w:val="000000"/>
                <w:sz w:val="20"/>
                <w:szCs w:val="20"/>
                <w:highlight w:val="black"/>
              </w:rPr>
              <w:t>'''''''''''''''''''''''</w:t>
            </w:r>
          </w:p>
        </w:tc>
      </w:tr>
    </w:tbl>
    <w:p w:rsidR="00FC0819" w:rsidRPr="00B61251" w:rsidRDefault="00FC0819" w:rsidP="0079332B">
      <w:pPr>
        <w:widowControl/>
        <w:rPr>
          <w:rFonts w:ascii="Arial Narrow" w:hAnsi="Arial Narrow"/>
          <w:sz w:val="16"/>
          <w:szCs w:val="20"/>
        </w:rPr>
      </w:pPr>
      <w:r w:rsidRPr="00B61251">
        <w:rPr>
          <w:rFonts w:ascii="Arial Narrow" w:hAnsi="Arial Narrow"/>
          <w:sz w:val="16"/>
          <w:szCs w:val="20"/>
        </w:rPr>
        <w:t>AEMP approved ex-manufacturer price; DPMQ dispensed price for maximum quantity</w:t>
      </w:r>
    </w:p>
    <w:p w:rsidR="0048067C" w:rsidRPr="00B61251" w:rsidRDefault="00E41CC0" w:rsidP="0079332B">
      <w:pPr>
        <w:pStyle w:val="ListParagraph"/>
        <w:widowControl/>
        <w:numPr>
          <w:ilvl w:val="0"/>
          <w:numId w:val="7"/>
        </w:numPr>
        <w:spacing w:after="0"/>
        <w:rPr>
          <w:rFonts w:ascii="Arial Narrow" w:hAnsi="Arial Narrow"/>
          <w:sz w:val="16"/>
          <w:szCs w:val="20"/>
        </w:rPr>
      </w:pPr>
      <w:r w:rsidRPr="00B61251">
        <w:rPr>
          <w:rFonts w:ascii="Arial Narrow" w:hAnsi="Arial Narrow"/>
          <w:sz w:val="16"/>
          <w:szCs w:val="20"/>
        </w:rPr>
        <w:t>Treatment cycle for pembrolizumab = 200 mg; for atezolizumab = 1,200 mg</w:t>
      </w:r>
    </w:p>
    <w:p w:rsidR="00790E8F" w:rsidRPr="00B61251" w:rsidRDefault="00790E8F" w:rsidP="0079332B">
      <w:pPr>
        <w:pStyle w:val="ListParagraph"/>
        <w:widowControl/>
        <w:numPr>
          <w:ilvl w:val="0"/>
          <w:numId w:val="7"/>
        </w:numPr>
        <w:spacing w:after="0"/>
        <w:rPr>
          <w:rFonts w:ascii="Arial Narrow" w:hAnsi="Arial Narrow"/>
          <w:sz w:val="16"/>
          <w:szCs w:val="20"/>
        </w:rPr>
      </w:pPr>
      <w:r w:rsidRPr="00B61251">
        <w:rPr>
          <w:rFonts w:ascii="Arial Narrow" w:hAnsi="Arial Narrow"/>
          <w:sz w:val="16"/>
          <w:szCs w:val="20"/>
        </w:rPr>
        <w:t xml:space="preserve">Assumes AEMP for bevacizumab </w:t>
      </w:r>
      <w:r w:rsidR="00106C88">
        <w:rPr>
          <w:rFonts w:ascii="Arial Narrow" w:hAnsi="Arial Narrow"/>
          <w:noProof/>
          <w:color w:val="000000"/>
          <w:sz w:val="16"/>
          <w:szCs w:val="20"/>
          <w:highlight w:val="black"/>
        </w:rPr>
        <w:t>'''' ''''''</w:t>
      </w:r>
    </w:p>
    <w:p w:rsidR="00790E8F" w:rsidRPr="00B61251" w:rsidRDefault="00790E8F" w:rsidP="0079332B">
      <w:pPr>
        <w:pStyle w:val="ListParagraph"/>
        <w:widowControl/>
        <w:numPr>
          <w:ilvl w:val="0"/>
          <w:numId w:val="7"/>
        </w:numPr>
        <w:spacing w:after="0"/>
        <w:rPr>
          <w:rFonts w:ascii="Arial Narrow" w:hAnsi="Arial Narrow"/>
          <w:sz w:val="16"/>
          <w:szCs w:val="20"/>
        </w:rPr>
      </w:pPr>
      <w:r w:rsidRPr="00B61251">
        <w:rPr>
          <w:rFonts w:ascii="Arial Narrow" w:hAnsi="Arial Narrow"/>
          <w:sz w:val="16"/>
          <w:szCs w:val="20"/>
        </w:rPr>
        <w:t xml:space="preserve">Includes mark-ups and dispensing fees </w:t>
      </w:r>
      <w:r w:rsidR="009A032C" w:rsidRPr="00B61251">
        <w:rPr>
          <w:rFonts w:ascii="Arial Narrow" w:hAnsi="Arial Narrow"/>
          <w:sz w:val="16"/>
          <w:szCs w:val="20"/>
        </w:rPr>
        <w:t xml:space="preserve">of </w:t>
      </w:r>
      <w:r w:rsidR="00837446" w:rsidRPr="00B61251">
        <w:rPr>
          <w:rFonts w:ascii="Arial Narrow" w:hAnsi="Arial Narrow"/>
          <w:sz w:val="16"/>
          <w:szCs w:val="20"/>
        </w:rPr>
        <w:t>$</w:t>
      </w:r>
      <w:r w:rsidR="00106C88">
        <w:rPr>
          <w:rFonts w:ascii="Arial Narrow" w:hAnsi="Arial Narrow"/>
          <w:noProof/>
          <w:color w:val="000000"/>
          <w:sz w:val="16"/>
          <w:szCs w:val="20"/>
          <w:highlight w:val="black"/>
        </w:rPr>
        <w:t>'''''''''''''</w:t>
      </w:r>
      <w:r w:rsidR="009A032C" w:rsidRPr="00B61251">
        <w:rPr>
          <w:rFonts w:ascii="Arial Narrow" w:hAnsi="Arial Narrow"/>
          <w:sz w:val="16"/>
          <w:szCs w:val="20"/>
        </w:rPr>
        <w:t xml:space="preserve"> (public) and </w:t>
      </w:r>
      <w:r w:rsidR="00837446" w:rsidRPr="00B61251">
        <w:rPr>
          <w:rFonts w:ascii="Arial Narrow" w:hAnsi="Arial Narrow"/>
          <w:sz w:val="16"/>
          <w:szCs w:val="20"/>
        </w:rPr>
        <w:t>$</w:t>
      </w:r>
      <w:r w:rsidR="00106C88">
        <w:rPr>
          <w:rFonts w:ascii="Arial Narrow" w:hAnsi="Arial Narrow"/>
          <w:noProof/>
          <w:color w:val="000000"/>
          <w:sz w:val="16"/>
          <w:szCs w:val="20"/>
          <w:highlight w:val="black"/>
        </w:rPr>
        <w:t>''''''''''''''''</w:t>
      </w:r>
      <w:r w:rsidR="009A032C" w:rsidRPr="00B61251">
        <w:rPr>
          <w:rFonts w:ascii="Arial Narrow" w:hAnsi="Arial Narrow"/>
          <w:sz w:val="16"/>
          <w:szCs w:val="20"/>
        </w:rPr>
        <w:t xml:space="preserve"> (private) </w:t>
      </w:r>
      <w:r w:rsidRPr="00B61251">
        <w:rPr>
          <w:rFonts w:ascii="Arial Narrow" w:hAnsi="Arial Narrow"/>
          <w:sz w:val="16"/>
          <w:szCs w:val="20"/>
        </w:rPr>
        <w:t>for bevacizumab</w:t>
      </w:r>
      <w:r w:rsidR="009A032C" w:rsidRPr="00B61251">
        <w:rPr>
          <w:rFonts w:ascii="Arial Narrow" w:hAnsi="Arial Narrow"/>
          <w:sz w:val="16"/>
          <w:szCs w:val="20"/>
        </w:rPr>
        <w:t xml:space="preserve"> </w:t>
      </w:r>
    </w:p>
    <w:p w:rsidR="00790E8F" w:rsidRPr="00B61251" w:rsidRDefault="00790E8F" w:rsidP="0079332B">
      <w:pPr>
        <w:pStyle w:val="ListParagraph"/>
        <w:widowControl/>
        <w:numPr>
          <w:ilvl w:val="0"/>
          <w:numId w:val="7"/>
        </w:numPr>
        <w:spacing w:after="0"/>
        <w:rPr>
          <w:rFonts w:ascii="Arial Narrow" w:hAnsi="Arial Narrow"/>
          <w:sz w:val="16"/>
          <w:szCs w:val="20"/>
        </w:rPr>
      </w:pPr>
      <w:r w:rsidRPr="00B61251">
        <w:rPr>
          <w:rFonts w:ascii="Arial Narrow" w:hAnsi="Arial Narrow"/>
          <w:sz w:val="16"/>
          <w:szCs w:val="16"/>
        </w:rPr>
        <w:t>Assumes public/private weightings as per atezolizumab + bevacizumab submission</w:t>
      </w:r>
      <w:r w:rsidR="009A032C" w:rsidRPr="00B61251">
        <w:rPr>
          <w:rFonts w:ascii="Arial Narrow" w:hAnsi="Arial Narrow"/>
          <w:sz w:val="16"/>
          <w:szCs w:val="16"/>
        </w:rPr>
        <w:t>:</w:t>
      </w:r>
      <w:r w:rsidR="00F3690A" w:rsidRPr="00B61251">
        <w:t xml:space="preserve"> </w:t>
      </w:r>
      <w:r w:rsidR="00F3690A" w:rsidRPr="00B61251">
        <w:rPr>
          <w:rFonts w:ascii="Arial Narrow" w:hAnsi="Arial Narrow"/>
          <w:sz w:val="16"/>
          <w:szCs w:val="16"/>
        </w:rPr>
        <w:t>32.6</w:t>
      </w:r>
      <w:r w:rsidR="009A032C" w:rsidRPr="00B61251">
        <w:rPr>
          <w:rFonts w:ascii="Arial Narrow" w:hAnsi="Arial Narrow"/>
          <w:sz w:val="16"/>
          <w:szCs w:val="16"/>
        </w:rPr>
        <w:t xml:space="preserve">% public, </w:t>
      </w:r>
      <w:r w:rsidR="00F3690A" w:rsidRPr="00B61251">
        <w:rPr>
          <w:rFonts w:ascii="Arial Narrow" w:hAnsi="Arial Narrow"/>
          <w:sz w:val="16"/>
          <w:szCs w:val="16"/>
        </w:rPr>
        <w:t>67.4</w:t>
      </w:r>
      <w:r w:rsidR="009A032C" w:rsidRPr="00B61251">
        <w:rPr>
          <w:rFonts w:ascii="Arial Narrow" w:hAnsi="Arial Narrow"/>
          <w:sz w:val="16"/>
          <w:szCs w:val="16"/>
        </w:rPr>
        <w:t>% private.</w:t>
      </w:r>
    </w:p>
    <w:p w:rsidR="0076740E" w:rsidRPr="00B61251" w:rsidRDefault="0076740E" w:rsidP="0079332B">
      <w:pPr>
        <w:widowControl/>
        <w:rPr>
          <w:szCs w:val="24"/>
        </w:rPr>
      </w:pPr>
    </w:p>
    <w:p w:rsidR="007B3D71" w:rsidRPr="001D790C" w:rsidRDefault="001D790C" w:rsidP="0079332B">
      <w:pPr>
        <w:pStyle w:val="ListParagraph"/>
        <w:widowControl/>
        <w:numPr>
          <w:ilvl w:val="1"/>
          <w:numId w:val="1"/>
        </w:numPr>
        <w:rPr>
          <w:szCs w:val="24"/>
          <w:highlight w:val="black"/>
        </w:rPr>
      </w:pPr>
      <w:r>
        <w:rPr>
          <w:rFonts w:asciiTheme="minorHAnsi" w:hAnsiTheme="minorHAnsi" w:cstheme="minorHAnsi"/>
          <w:noProof/>
          <w:color w:val="000000"/>
          <w:szCs w:val="24"/>
          <w:highlight w:val="black"/>
        </w:rPr>
        <w:t>'''''''' ''''''''''' '''''''''''' ''''''''' '''' '''''' ''''''''''''''''''' ''''''''''''''''''' '''''''''' '''''' '''''''''''''''''''''''' '''''' '''''''' '''''' ''''''''''''''''''' '''''''''' ''''' '''''''''''''''''''''' ''' ''''''''''''''''''''''''' '''''''' '''''''''''' '''' '''''' ''''''''''''''''' '''''''''''''''''''''''''''''' ''''''' ''''''' ''''''''''''''''''' ''''''''' ''''' ''''''''''''''''''''''''''''' ''''''''''''''''''''''''''''</w:t>
      </w:r>
      <w:r w:rsidR="00282874" w:rsidRPr="001D790C">
        <w:rPr>
          <w:rFonts w:asciiTheme="minorHAnsi" w:hAnsiTheme="minorHAnsi" w:cstheme="minorHAnsi"/>
          <w:szCs w:val="24"/>
          <w:highlight w:val="black"/>
        </w:rPr>
        <w:t xml:space="preserve"> </w:t>
      </w:r>
    </w:p>
    <w:p w:rsidR="008352B7" w:rsidRPr="008352B7" w:rsidRDefault="008352B7" w:rsidP="0079332B">
      <w:pPr>
        <w:widowControl/>
        <w:spacing w:after="120"/>
        <w:jc w:val="center"/>
        <w:rPr>
          <w:b/>
          <w:szCs w:val="24"/>
          <w:u w:val="single"/>
        </w:rPr>
      </w:pPr>
      <w:r w:rsidRPr="008352B7">
        <w:rPr>
          <w:b/>
          <w:szCs w:val="24"/>
          <w:u w:val="single"/>
        </w:rPr>
        <w:t>End Committee-in-Confidence information</w:t>
      </w:r>
    </w:p>
    <w:p w:rsidR="00197601" w:rsidRPr="00B61251" w:rsidRDefault="00197601" w:rsidP="00CB1952">
      <w:pPr>
        <w:pStyle w:val="Heading2"/>
        <w:widowControl/>
        <w:spacing w:before="120"/>
      </w:pPr>
      <w:bookmarkStart w:id="23" w:name="_Toc371170711"/>
      <w:bookmarkStart w:id="24" w:name="_Toc536010758"/>
      <w:r w:rsidRPr="00B61251">
        <w:t>Drug cost/patient/course</w:t>
      </w:r>
      <w:bookmarkEnd w:id="23"/>
      <w:bookmarkEnd w:id="24"/>
    </w:p>
    <w:p w:rsidR="00197601" w:rsidRPr="00B61251" w:rsidRDefault="000209BA" w:rsidP="00CB1952">
      <w:pPr>
        <w:pStyle w:val="ListParagraph"/>
        <w:widowControl/>
        <w:numPr>
          <w:ilvl w:val="1"/>
          <w:numId w:val="1"/>
        </w:numPr>
        <w:spacing w:before="120" w:after="120"/>
      </w:pPr>
      <w:r w:rsidRPr="00B61251">
        <w:t>At the price proposed in the submission, t</w:t>
      </w:r>
      <w:r w:rsidR="00197601" w:rsidRPr="00B61251">
        <w:t>he total treatment costs with atezolizumab + bevacizumab + CP were $</w:t>
      </w:r>
      <w:r w:rsidR="00DD5455">
        <w:rPr>
          <w:noProof/>
          <w:color w:val="000000"/>
          <w:highlight w:val="black"/>
        </w:rPr>
        <w:t>'''''''''''''</w:t>
      </w:r>
      <w:r w:rsidR="00197601" w:rsidRPr="00B61251">
        <w:t>, for a full treatment course, assuming an average patient of 72kg, mean body surface area of 1.82m</w:t>
      </w:r>
      <w:r w:rsidR="00197601" w:rsidRPr="00B61251">
        <w:rPr>
          <w:vertAlign w:val="superscript"/>
        </w:rPr>
        <w:t>2</w:t>
      </w:r>
      <w:r w:rsidR="00197601" w:rsidRPr="00B61251">
        <w:t xml:space="preserve">, and 32.6% treatments being in public setting versus 67.4% in private setting. </w:t>
      </w:r>
      <w:r w:rsidR="00F3690A" w:rsidRPr="00B61251">
        <w:t xml:space="preserve">Atezolizumab and bevacizumab were given for </w:t>
      </w:r>
      <w:r w:rsidR="00CB516E" w:rsidRPr="001B345B">
        <w:t>approximately</w:t>
      </w:r>
      <w:r w:rsidR="00CB516E" w:rsidRPr="001B345B">
        <w:rPr>
          <w:rFonts w:cs="Calibri"/>
          <w:color w:val="000000"/>
          <w:lang w:eastAsia="zh-CN"/>
        </w:rPr>
        <w:t xml:space="preserve"> </w:t>
      </w:r>
      <w:r w:rsidR="00DD5455">
        <w:rPr>
          <w:rFonts w:cs="Calibri"/>
          <w:noProof/>
          <w:color w:val="000000"/>
          <w:highlight w:val="black"/>
          <w:lang w:eastAsia="zh-CN"/>
        </w:rPr>
        <w:t>''''''''</w:t>
      </w:r>
      <w:r w:rsidR="00EA4D63" w:rsidRPr="001B345B">
        <w:rPr>
          <w:rFonts w:cs="Calibri"/>
          <w:color w:val="000000"/>
          <w:lang w:eastAsia="zh-CN"/>
        </w:rPr>
        <w:t xml:space="preserve"> weeks (</w:t>
      </w:r>
      <w:r w:rsidR="00DD5455">
        <w:rPr>
          <w:rFonts w:cs="Calibri"/>
          <w:noProof/>
          <w:color w:val="000000"/>
          <w:highlight w:val="black"/>
          <w:lang w:eastAsia="zh-CN"/>
        </w:rPr>
        <w:t>''''''''</w:t>
      </w:r>
      <w:r w:rsidR="00EA4D63" w:rsidRPr="001B345B">
        <w:rPr>
          <w:rFonts w:cs="Calibri"/>
          <w:color w:val="000000"/>
          <w:lang w:eastAsia="zh-CN"/>
        </w:rPr>
        <w:t xml:space="preserve"> months) </w:t>
      </w:r>
      <w:r w:rsidR="00EA4D63" w:rsidRPr="001B345B">
        <w:t xml:space="preserve">and </w:t>
      </w:r>
      <w:r w:rsidR="00DD5455">
        <w:rPr>
          <w:rFonts w:cs="Calibri"/>
          <w:noProof/>
          <w:color w:val="000000"/>
          <w:highlight w:val="black"/>
          <w:lang w:eastAsia="zh-CN"/>
        </w:rPr>
        <w:t>'''''''''</w:t>
      </w:r>
      <w:r w:rsidR="00EA4D63" w:rsidRPr="001B345B">
        <w:rPr>
          <w:rFonts w:cs="Calibri"/>
          <w:color w:val="000000"/>
          <w:lang w:eastAsia="zh-CN"/>
        </w:rPr>
        <w:t xml:space="preserve"> weeks (</w:t>
      </w:r>
      <w:r w:rsidR="00DD5455">
        <w:rPr>
          <w:rFonts w:cs="Calibri"/>
          <w:noProof/>
          <w:color w:val="000000"/>
          <w:highlight w:val="black"/>
          <w:lang w:eastAsia="zh-CN"/>
        </w:rPr>
        <w:t>''''''''</w:t>
      </w:r>
      <w:r w:rsidR="00EA4D63" w:rsidRPr="001B345B">
        <w:rPr>
          <w:rFonts w:cs="Calibri"/>
          <w:color w:val="000000"/>
          <w:lang w:eastAsia="zh-CN"/>
        </w:rPr>
        <w:t xml:space="preserve"> months)</w:t>
      </w:r>
      <w:r w:rsidR="00F3690A" w:rsidRPr="001B345B">
        <w:rPr>
          <w:rFonts w:cs="Calibri"/>
          <w:color w:val="000000"/>
          <w:lang w:eastAsia="zh-CN"/>
        </w:rPr>
        <w:t xml:space="preserve"> </w:t>
      </w:r>
      <w:r w:rsidR="00F3690A" w:rsidRPr="001B345B">
        <w:t>respectively, based on the extrapolated TTD curves in the base case model for the</w:t>
      </w:r>
      <w:r w:rsidR="00F3690A" w:rsidRPr="00B61251">
        <w:t xml:space="preserve"> ITT population, and CP was given for 6 cycles. </w:t>
      </w:r>
      <w:r w:rsidR="00197601" w:rsidRPr="00B61251">
        <w:t>Treatment with carboplatin and paclitaxel, under the same assumptions, cost $1,680.</w:t>
      </w:r>
      <w:r w:rsidR="00D273DC" w:rsidRPr="00B61251">
        <w:t xml:space="preserve"> </w:t>
      </w:r>
      <w:r w:rsidR="00823C3B" w:rsidRPr="00B61251">
        <w:rPr>
          <w:rFonts w:cs="Calibri"/>
          <w:color w:val="000000"/>
          <w:lang w:eastAsia="zh-CN"/>
        </w:rPr>
        <w:t xml:space="preserve">The </w:t>
      </w:r>
      <w:r w:rsidR="00606CB6" w:rsidRPr="00B61251">
        <w:t xml:space="preserve">Pre-PBAC Response stated the </w:t>
      </w:r>
      <w:r w:rsidR="00823C3B" w:rsidRPr="00B61251">
        <w:rPr>
          <w:rFonts w:cs="Calibri"/>
          <w:color w:val="000000"/>
          <w:lang w:eastAsia="zh-CN"/>
        </w:rPr>
        <w:t>cost per treatment course, incorporating</w:t>
      </w:r>
      <w:r w:rsidR="00606CB6" w:rsidRPr="00B61251">
        <w:rPr>
          <w:rFonts w:cs="Calibri"/>
          <w:color w:val="000000"/>
          <w:lang w:eastAsia="zh-CN"/>
        </w:rPr>
        <w:t xml:space="preserve"> </w:t>
      </w:r>
      <w:r w:rsidR="00823C3B" w:rsidRPr="00B61251">
        <w:rPr>
          <w:rFonts w:cs="Calibri"/>
          <w:color w:val="000000"/>
          <w:lang w:eastAsia="zh-CN"/>
        </w:rPr>
        <w:t>the revised price offer in the Pre-PBAC Response was $</w:t>
      </w:r>
      <w:r w:rsidR="00DD5455">
        <w:rPr>
          <w:rFonts w:cs="Calibri"/>
          <w:noProof/>
          <w:color w:val="000000"/>
          <w:highlight w:val="black"/>
          <w:lang w:eastAsia="zh-CN"/>
        </w:rPr>
        <w:t>''''''''''''''</w:t>
      </w:r>
      <w:r w:rsidR="00823C3B" w:rsidRPr="00B61251">
        <w:rPr>
          <w:rFonts w:cs="Calibri"/>
          <w:color w:val="000000"/>
          <w:lang w:eastAsia="zh-CN"/>
        </w:rPr>
        <w:t>, or $</w:t>
      </w:r>
      <w:r w:rsidR="00DD5455">
        <w:rPr>
          <w:rFonts w:cs="Calibri"/>
          <w:noProof/>
          <w:color w:val="000000"/>
          <w:highlight w:val="black"/>
          <w:lang w:eastAsia="zh-CN"/>
        </w:rPr>
        <w:t>''''''''''''''</w:t>
      </w:r>
      <w:r w:rsidR="00823C3B" w:rsidRPr="00B61251">
        <w:rPr>
          <w:rFonts w:cs="Calibri"/>
          <w:color w:val="000000"/>
          <w:lang w:eastAsia="zh-CN"/>
        </w:rPr>
        <w:t xml:space="preserve"> per year.</w:t>
      </w:r>
    </w:p>
    <w:p w:rsidR="000209BA" w:rsidRPr="00B61251" w:rsidRDefault="000209BA" w:rsidP="00CB1952">
      <w:pPr>
        <w:pStyle w:val="ListParagraph"/>
        <w:widowControl/>
        <w:numPr>
          <w:ilvl w:val="1"/>
          <w:numId w:val="1"/>
        </w:numPr>
        <w:spacing w:before="120" w:after="120"/>
      </w:pPr>
      <w:r w:rsidRPr="00B61251">
        <w:rPr>
          <w:rFonts w:cs="Calibri"/>
          <w:color w:val="000000"/>
          <w:lang w:eastAsia="zh-CN"/>
        </w:rPr>
        <w:t>The PBAC noted that the assumed duration of a treatme</w:t>
      </w:r>
      <w:r w:rsidR="007B3D71" w:rsidRPr="00B61251">
        <w:rPr>
          <w:rFonts w:cs="Calibri"/>
          <w:color w:val="000000"/>
          <w:lang w:eastAsia="zh-CN"/>
        </w:rPr>
        <w:t>nt course for atezolizuma</w:t>
      </w:r>
      <w:r w:rsidR="000245ED" w:rsidRPr="00B61251">
        <w:rPr>
          <w:rFonts w:cs="Calibri"/>
          <w:color w:val="000000"/>
          <w:lang w:eastAsia="zh-CN"/>
        </w:rPr>
        <w:t>b</w:t>
      </w:r>
      <w:r w:rsidRPr="00B61251">
        <w:rPr>
          <w:rFonts w:cs="Calibri"/>
          <w:color w:val="000000"/>
          <w:lang w:eastAsia="zh-CN"/>
        </w:rPr>
        <w:t xml:space="preserve"> </w:t>
      </w:r>
      <w:r w:rsidRPr="003910BF">
        <w:rPr>
          <w:rFonts w:cs="Calibri"/>
          <w:color w:val="000000"/>
          <w:lang w:eastAsia="zh-CN"/>
        </w:rPr>
        <w:t xml:space="preserve">was longer than for pembrolizumab </w:t>
      </w:r>
      <w:r w:rsidR="000245ED" w:rsidRPr="003910BF">
        <w:rPr>
          <w:rFonts w:cs="Calibri"/>
          <w:color w:val="000000"/>
          <w:lang w:eastAsia="zh-CN"/>
        </w:rPr>
        <w:t xml:space="preserve">in the </w:t>
      </w:r>
      <w:r w:rsidRPr="003910BF">
        <w:rPr>
          <w:rFonts w:cs="Calibri"/>
          <w:color w:val="000000"/>
          <w:lang w:eastAsia="zh-CN"/>
        </w:rPr>
        <w:t>monotherapy submission.</w:t>
      </w:r>
      <w:r w:rsidRPr="00B61251">
        <w:rPr>
          <w:rFonts w:cs="Calibri"/>
          <w:color w:val="000000"/>
          <w:lang w:eastAsia="zh-CN"/>
        </w:rPr>
        <w:t xml:space="preserve"> </w:t>
      </w:r>
      <w:r w:rsidR="003910BF">
        <w:rPr>
          <w:rFonts w:cs="Calibri"/>
          <w:color w:val="000000"/>
          <w:lang w:eastAsia="zh-CN"/>
        </w:rPr>
        <w:t xml:space="preserve">The PBAC noted that patients in IMpower150 received atezolizumab until loss of clinical benefit and bevacizumab until disease progression while in KEYNOTE-024 patients were treated until disease progression.  </w:t>
      </w:r>
      <w:r w:rsidRPr="00FB55F3">
        <w:rPr>
          <w:rFonts w:cs="Calibri"/>
          <w:color w:val="000000"/>
          <w:lang w:eastAsia="zh-CN"/>
        </w:rPr>
        <w:t xml:space="preserve">The PBAC </w:t>
      </w:r>
      <w:r w:rsidR="00A9365E" w:rsidRPr="00FB55F3">
        <w:rPr>
          <w:rFonts w:cs="Calibri"/>
          <w:color w:val="000000"/>
          <w:lang w:eastAsia="zh-CN"/>
        </w:rPr>
        <w:t xml:space="preserve">considered it unlikely </w:t>
      </w:r>
      <w:r w:rsidR="007B3D71" w:rsidRPr="00FB55F3">
        <w:rPr>
          <w:rFonts w:cs="Calibri"/>
          <w:color w:val="000000"/>
          <w:lang w:eastAsia="zh-CN"/>
        </w:rPr>
        <w:t xml:space="preserve">a </w:t>
      </w:r>
      <w:r w:rsidRPr="00FB55F3">
        <w:rPr>
          <w:rFonts w:cs="Calibri"/>
          <w:color w:val="000000"/>
          <w:lang w:eastAsia="zh-CN"/>
        </w:rPr>
        <w:t xml:space="preserve">difference </w:t>
      </w:r>
      <w:r w:rsidR="00FB55F3" w:rsidRPr="00FB55F3">
        <w:rPr>
          <w:rFonts w:cs="Calibri"/>
          <w:color w:val="000000"/>
          <w:lang w:eastAsia="zh-CN"/>
        </w:rPr>
        <w:t xml:space="preserve">in treatment duration </w:t>
      </w:r>
      <w:r w:rsidRPr="00FB55F3">
        <w:rPr>
          <w:rFonts w:cs="Calibri"/>
          <w:color w:val="000000"/>
          <w:lang w:eastAsia="zh-CN"/>
        </w:rPr>
        <w:t>would be observed in clinical practice</w:t>
      </w:r>
      <w:r w:rsidR="00A9365E" w:rsidRPr="00FB55F3">
        <w:rPr>
          <w:rFonts w:cs="Calibri"/>
          <w:color w:val="000000"/>
          <w:lang w:eastAsia="zh-CN"/>
        </w:rPr>
        <w:t xml:space="preserve">, particularly </w:t>
      </w:r>
      <w:r w:rsidR="003910BF" w:rsidRPr="00FB55F3">
        <w:rPr>
          <w:rFonts w:cs="Calibri"/>
          <w:color w:val="000000"/>
          <w:lang w:eastAsia="zh-CN"/>
        </w:rPr>
        <w:t xml:space="preserve">as </w:t>
      </w:r>
      <w:r w:rsidR="00FB55F3">
        <w:rPr>
          <w:rFonts w:cs="Calibri"/>
          <w:color w:val="000000"/>
          <w:lang w:eastAsia="zh-CN"/>
        </w:rPr>
        <w:t xml:space="preserve">the continuing </w:t>
      </w:r>
      <w:r w:rsidR="003910BF" w:rsidRPr="00FB55F3">
        <w:rPr>
          <w:rFonts w:cs="Calibri"/>
          <w:color w:val="000000"/>
          <w:lang w:eastAsia="zh-CN"/>
        </w:rPr>
        <w:t>criteria are similar</w:t>
      </w:r>
      <w:r w:rsidR="00FB55F3">
        <w:rPr>
          <w:rFonts w:cs="Calibri"/>
          <w:color w:val="000000"/>
          <w:lang w:eastAsia="zh-CN"/>
        </w:rPr>
        <w:t xml:space="preserve"> (patients must have ‘stable or responding disease’</w:t>
      </w:r>
      <w:r w:rsidR="005449E8">
        <w:rPr>
          <w:rFonts w:cs="Calibri"/>
          <w:color w:val="000000"/>
          <w:lang w:eastAsia="zh-CN"/>
        </w:rPr>
        <w:t xml:space="preserve">, which is a different way </w:t>
      </w:r>
      <w:r w:rsidR="005449E8">
        <w:rPr>
          <w:rFonts w:cs="Calibri"/>
          <w:color w:val="000000"/>
          <w:lang w:eastAsia="zh-CN"/>
        </w:rPr>
        <w:lastRenderedPageBreak/>
        <w:t>of saying “the patient must not have progressive disease”</w:t>
      </w:r>
      <w:r w:rsidR="00FB55F3">
        <w:rPr>
          <w:rFonts w:cs="Calibri"/>
          <w:color w:val="000000"/>
          <w:lang w:eastAsia="zh-CN"/>
        </w:rPr>
        <w:t>)</w:t>
      </w:r>
      <w:r w:rsidR="00FB55F3" w:rsidRPr="00FB55F3">
        <w:rPr>
          <w:rFonts w:cs="Calibri"/>
          <w:color w:val="000000"/>
          <w:lang w:eastAsia="zh-CN"/>
        </w:rPr>
        <w:t xml:space="preserve">. </w:t>
      </w:r>
      <w:r w:rsidR="003910BF" w:rsidRPr="00FB55F3">
        <w:rPr>
          <w:rFonts w:cs="Calibri"/>
          <w:color w:val="000000"/>
          <w:lang w:eastAsia="zh-CN"/>
        </w:rPr>
        <w:t xml:space="preserve"> </w:t>
      </w:r>
      <w:r w:rsidR="008A03F9" w:rsidRPr="00FB55F3">
        <w:rPr>
          <w:rFonts w:cs="Calibri"/>
          <w:color w:val="000000"/>
          <w:lang w:eastAsia="zh-CN"/>
        </w:rPr>
        <w:t>The PBAC noted</w:t>
      </w:r>
      <w:r w:rsidR="00CA7639">
        <w:rPr>
          <w:rFonts w:cs="Calibri"/>
          <w:color w:val="000000"/>
          <w:lang w:eastAsia="zh-CN"/>
        </w:rPr>
        <w:t xml:space="preserve"> </w:t>
      </w:r>
      <w:r w:rsidR="008A03F9" w:rsidRPr="00FB55F3">
        <w:rPr>
          <w:rFonts w:cs="Calibri"/>
          <w:color w:val="000000"/>
          <w:lang w:eastAsia="zh-CN"/>
        </w:rPr>
        <w:t xml:space="preserve">the cost of a course of treatment of </w:t>
      </w:r>
      <w:r w:rsidR="008A03F9" w:rsidRPr="00FB55F3">
        <w:t>atezolizumab + bevacizumab + CP will therefore be reduced from that presented in the pre-PBAC response</w:t>
      </w:r>
      <w:r w:rsidR="008A03F9">
        <w:t>.</w:t>
      </w:r>
    </w:p>
    <w:p w:rsidR="00B60939" w:rsidRPr="00B61251" w:rsidRDefault="00B60939" w:rsidP="00CB1952">
      <w:pPr>
        <w:pStyle w:val="Heading2"/>
        <w:widowControl/>
        <w:spacing w:before="120"/>
      </w:pPr>
      <w:bookmarkStart w:id="25" w:name="_Toc536010759"/>
      <w:r w:rsidRPr="00B61251">
        <w:t>Estimated PBS usage &amp; financial implications</w:t>
      </w:r>
      <w:bookmarkEnd w:id="25"/>
    </w:p>
    <w:p w:rsidR="0072416F" w:rsidRPr="00B61251" w:rsidRDefault="00C25D9C" w:rsidP="00CB1952">
      <w:pPr>
        <w:pStyle w:val="ListParagraph"/>
        <w:widowControl/>
        <w:numPr>
          <w:ilvl w:val="1"/>
          <w:numId w:val="1"/>
        </w:numPr>
        <w:spacing w:before="120" w:after="120"/>
      </w:pPr>
      <w:r w:rsidRPr="00B61251">
        <w:t xml:space="preserve">This submission </w:t>
      </w:r>
      <w:r w:rsidR="00B201A4" w:rsidRPr="00B61251">
        <w:t>w</w:t>
      </w:r>
      <w:r w:rsidR="00ED0494" w:rsidRPr="00B61251">
        <w:t>as not</w:t>
      </w:r>
      <w:r w:rsidR="00661E49" w:rsidRPr="00B61251">
        <w:t xml:space="preserve"> </w:t>
      </w:r>
      <w:r w:rsidRPr="00B61251">
        <w:t>considered by DUSC</w:t>
      </w:r>
      <w:r w:rsidR="00661E49" w:rsidRPr="00B61251">
        <w:rPr>
          <w:color w:val="000000" w:themeColor="text1"/>
        </w:rPr>
        <w:t xml:space="preserve">. </w:t>
      </w:r>
      <w:r w:rsidR="00661E49" w:rsidRPr="00B61251">
        <w:t>The submission used a combination of epidemiology and market share approaches to estimate the financial implications associated with the proposed listing of atezolizumab + bevacizumab</w:t>
      </w:r>
      <w:r w:rsidR="00A23632" w:rsidRPr="00B61251">
        <w:t>.</w:t>
      </w:r>
      <w:r w:rsidR="008372AF" w:rsidRPr="00B61251">
        <w:t xml:space="preserve"> </w:t>
      </w:r>
      <w:r w:rsidR="003C0ED2" w:rsidRPr="00B61251">
        <w:t>The estimation of the eligible population was based on Australian Institute of Health and Welfare lung cancer incidence data, epidemiological data from a retrospective survey of patients from the Victorian Cancer Registry</w:t>
      </w:r>
      <w:r w:rsidR="003C0ED2" w:rsidRPr="00B61251">
        <w:rPr>
          <w:vertAlign w:val="superscript"/>
        </w:rPr>
        <w:footnoteReference w:id="5"/>
      </w:r>
      <w:r w:rsidR="003C0ED2" w:rsidRPr="00B61251">
        <w:t>, PBAC and MSAC PSDs and DUSC reports.</w:t>
      </w:r>
    </w:p>
    <w:p w:rsidR="00697754" w:rsidRPr="00B61251" w:rsidRDefault="00697754" w:rsidP="00CB1952">
      <w:pPr>
        <w:pStyle w:val="ListParagraph"/>
        <w:widowControl/>
        <w:numPr>
          <w:ilvl w:val="1"/>
          <w:numId w:val="1"/>
        </w:numPr>
        <w:spacing w:before="120" w:after="120"/>
      </w:pPr>
      <w:r w:rsidRPr="00B61251">
        <w:t xml:space="preserve">The use of PDC in combination with atezolizumab + bevacizumab was assumed to be offset by the decrease in the use of </w:t>
      </w:r>
      <w:r w:rsidR="00E95C56">
        <w:t>PDC alone. This was reasonable.</w:t>
      </w:r>
    </w:p>
    <w:p w:rsidR="00697754" w:rsidRPr="00B61251" w:rsidRDefault="00697754" w:rsidP="00CB1952">
      <w:pPr>
        <w:pStyle w:val="ListParagraph"/>
        <w:widowControl/>
        <w:numPr>
          <w:ilvl w:val="1"/>
          <w:numId w:val="1"/>
        </w:numPr>
        <w:spacing w:before="120" w:after="120"/>
      </w:pPr>
      <w:r w:rsidRPr="00B61251">
        <w:t xml:space="preserve">The </w:t>
      </w:r>
      <w:r w:rsidR="00F1004A" w:rsidRPr="00B61251">
        <w:t>financial estimates</w:t>
      </w:r>
      <w:r w:rsidRPr="00B61251">
        <w:t xml:space="preserve"> inc</w:t>
      </w:r>
      <w:r w:rsidR="00F1004A" w:rsidRPr="00B61251">
        <w:t>orporated</w:t>
      </w:r>
      <w:r w:rsidRPr="00B61251">
        <w:t xml:space="preserve"> the expected increase in the use of later-line chemotherapy (PDC and pemetrexed</w:t>
      </w:r>
      <w:r w:rsidR="00F1004A" w:rsidRPr="00B61251">
        <w:t xml:space="preserve">) </w:t>
      </w:r>
      <w:r w:rsidRPr="00B61251">
        <w:t>following progression on atezolizumab + bevacizumab +</w:t>
      </w:r>
      <w:r w:rsidR="00561B9A" w:rsidRPr="00B61251">
        <w:t xml:space="preserve"> </w:t>
      </w:r>
      <w:r w:rsidRPr="00B61251">
        <w:t>PDC</w:t>
      </w:r>
      <w:r w:rsidR="00F1004A" w:rsidRPr="00B61251">
        <w:t>, and the decrease in post-progression therapies currently used following PDC (immunotherapy and docetaxel). The assumptions used in these estimates were consistent with those in the economic evaluation.</w:t>
      </w:r>
    </w:p>
    <w:p w:rsidR="00B201A4" w:rsidRPr="00B61251" w:rsidRDefault="008372AF" w:rsidP="00CB1952">
      <w:pPr>
        <w:pStyle w:val="ListParagraph"/>
        <w:widowControl/>
        <w:numPr>
          <w:ilvl w:val="1"/>
          <w:numId w:val="1"/>
        </w:numPr>
        <w:spacing w:before="120" w:after="120"/>
        <w:rPr>
          <w:color w:val="000000" w:themeColor="text1"/>
        </w:rPr>
      </w:pPr>
      <w:r w:rsidRPr="00B61251">
        <w:rPr>
          <w:color w:val="000000" w:themeColor="text1"/>
        </w:rPr>
        <w:t xml:space="preserve">The </w:t>
      </w:r>
      <w:r w:rsidR="005D7E1C" w:rsidRPr="00B61251">
        <w:rPr>
          <w:color w:val="000000" w:themeColor="text1"/>
        </w:rPr>
        <w:t xml:space="preserve">submission’s </w:t>
      </w:r>
      <w:r w:rsidRPr="00B61251">
        <w:rPr>
          <w:color w:val="000000" w:themeColor="text1"/>
        </w:rPr>
        <w:t>estimated financial imp</w:t>
      </w:r>
      <w:r w:rsidR="0067371D" w:rsidRPr="00B61251">
        <w:rPr>
          <w:color w:val="000000" w:themeColor="text1"/>
        </w:rPr>
        <w:t>lications</w:t>
      </w:r>
      <w:r w:rsidRPr="00B61251">
        <w:rPr>
          <w:color w:val="000000" w:themeColor="text1"/>
        </w:rPr>
        <w:t xml:space="preserve"> of listing atezolizumab + bevacizumab on the PBS for use in combination with PDC for the treatment of metastatic NSQ NSCLC, </w:t>
      </w:r>
      <w:r w:rsidR="0067371D" w:rsidRPr="00B61251">
        <w:rPr>
          <w:color w:val="000000" w:themeColor="text1"/>
        </w:rPr>
        <w:t>are</w:t>
      </w:r>
      <w:r w:rsidRPr="00B61251">
        <w:rPr>
          <w:color w:val="000000" w:themeColor="text1"/>
        </w:rPr>
        <w:t xml:space="preserve"> summarised in </w:t>
      </w:r>
      <w:r w:rsidR="00744BB1" w:rsidRPr="00B61251">
        <w:t>Table 14</w:t>
      </w:r>
      <w:r w:rsidR="002F71BB" w:rsidRPr="00B61251">
        <w:rPr>
          <w:color w:val="000000" w:themeColor="text1"/>
        </w:rPr>
        <w:t>.</w:t>
      </w:r>
    </w:p>
    <w:p w:rsidR="002F71BB" w:rsidRPr="00B61251" w:rsidRDefault="002F71BB" w:rsidP="0079332B">
      <w:pPr>
        <w:pStyle w:val="Caption"/>
        <w:keepNext/>
        <w:widowControl/>
      </w:pPr>
      <w:bookmarkStart w:id="26" w:name="_Ref533401114"/>
      <w:r w:rsidRPr="00B61251">
        <w:lastRenderedPageBreak/>
        <w:t xml:space="preserve">Table </w:t>
      </w:r>
      <w:r w:rsidR="007A780B" w:rsidRPr="00B61251">
        <w:t>14</w:t>
      </w:r>
      <w:bookmarkEnd w:id="26"/>
      <w:r w:rsidRPr="00B61251">
        <w:t>: Estimated use and financial implications</w:t>
      </w:r>
      <w:r w:rsidR="001248D2" w:rsidRPr="00B61251">
        <w:rPr>
          <w:vertAlign w:val="superscript"/>
        </w:rPr>
        <w:t>a</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a"/>
      </w:tblPr>
      <w:tblGrid>
        <w:gridCol w:w="2000"/>
        <w:gridCol w:w="1156"/>
        <w:gridCol w:w="1157"/>
        <w:gridCol w:w="1157"/>
        <w:gridCol w:w="1157"/>
        <w:gridCol w:w="1157"/>
        <w:gridCol w:w="1155"/>
      </w:tblGrid>
      <w:tr w:rsidR="00385A9D" w:rsidRPr="00B61251" w:rsidTr="00C87001">
        <w:trPr>
          <w:tblHeader/>
        </w:trPr>
        <w:tc>
          <w:tcPr>
            <w:tcW w:w="1119" w:type="pct"/>
            <w:shd w:val="clear" w:color="auto" w:fill="auto"/>
            <w:vAlign w:val="center"/>
          </w:tcPr>
          <w:p w:rsidR="00385A9D" w:rsidRPr="00B61251" w:rsidRDefault="00385A9D" w:rsidP="0079332B">
            <w:pPr>
              <w:pStyle w:val="Tabletext"/>
              <w:keepNext/>
            </w:pPr>
          </w:p>
        </w:tc>
        <w:tc>
          <w:tcPr>
            <w:tcW w:w="647" w:type="pct"/>
            <w:shd w:val="clear" w:color="auto" w:fill="auto"/>
            <w:vAlign w:val="center"/>
          </w:tcPr>
          <w:p w:rsidR="00385A9D" w:rsidRPr="00B61251" w:rsidRDefault="00385A9D" w:rsidP="0079332B">
            <w:pPr>
              <w:pStyle w:val="Tabletext"/>
              <w:keepNext/>
              <w:jc w:val="center"/>
              <w:rPr>
                <w:b/>
              </w:rPr>
            </w:pPr>
            <w:r w:rsidRPr="00B61251">
              <w:rPr>
                <w:b/>
              </w:rPr>
              <w:t>Year 1</w:t>
            </w:r>
          </w:p>
        </w:tc>
        <w:tc>
          <w:tcPr>
            <w:tcW w:w="647" w:type="pct"/>
            <w:shd w:val="clear" w:color="auto" w:fill="auto"/>
            <w:vAlign w:val="center"/>
          </w:tcPr>
          <w:p w:rsidR="00385A9D" w:rsidRPr="00B61251" w:rsidRDefault="00385A9D" w:rsidP="0079332B">
            <w:pPr>
              <w:pStyle w:val="Tabletext"/>
              <w:keepNext/>
              <w:jc w:val="center"/>
              <w:rPr>
                <w:b/>
              </w:rPr>
            </w:pPr>
            <w:r w:rsidRPr="00B61251">
              <w:rPr>
                <w:b/>
              </w:rPr>
              <w:t>Year 2</w:t>
            </w:r>
          </w:p>
        </w:tc>
        <w:tc>
          <w:tcPr>
            <w:tcW w:w="647" w:type="pct"/>
            <w:shd w:val="clear" w:color="auto" w:fill="auto"/>
            <w:vAlign w:val="center"/>
          </w:tcPr>
          <w:p w:rsidR="00385A9D" w:rsidRPr="00B61251" w:rsidRDefault="00385A9D" w:rsidP="0079332B">
            <w:pPr>
              <w:pStyle w:val="Tabletext"/>
              <w:keepNext/>
              <w:jc w:val="center"/>
              <w:rPr>
                <w:b/>
              </w:rPr>
            </w:pPr>
            <w:r w:rsidRPr="00B61251">
              <w:rPr>
                <w:b/>
              </w:rPr>
              <w:t>Year 3</w:t>
            </w:r>
          </w:p>
        </w:tc>
        <w:tc>
          <w:tcPr>
            <w:tcW w:w="647" w:type="pct"/>
            <w:shd w:val="clear" w:color="auto" w:fill="auto"/>
            <w:vAlign w:val="center"/>
          </w:tcPr>
          <w:p w:rsidR="00385A9D" w:rsidRPr="00B61251" w:rsidRDefault="00385A9D" w:rsidP="0079332B">
            <w:pPr>
              <w:pStyle w:val="Tabletext"/>
              <w:keepNext/>
              <w:jc w:val="center"/>
              <w:rPr>
                <w:b/>
              </w:rPr>
            </w:pPr>
            <w:r w:rsidRPr="00B61251">
              <w:rPr>
                <w:b/>
              </w:rPr>
              <w:t>Year 4</w:t>
            </w:r>
          </w:p>
        </w:tc>
        <w:tc>
          <w:tcPr>
            <w:tcW w:w="647" w:type="pct"/>
            <w:shd w:val="clear" w:color="auto" w:fill="auto"/>
            <w:vAlign w:val="center"/>
          </w:tcPr>
          <w:p w:rsidR="00385A9D" w:rsidRPr="00B61251" w:rsidRDefault="00385A9D" w:rsidP="0079332B">
            <w:pPr>
              <w:pStyle w:val="Tabletext"/>
              <w:keepNext/>
              <w:jc w:val="center"/>
              <w:rPr>
                <w:b/>
              </w:rPr>
            </w:pPr>
            <w:r w:rsidRPr="00B61251">
              <w:rPr>
                <w:b/>
              </w:rPr>
              <w:t>Year 5</w:t>
            </w:r>
          </w:p>
        </w:tc>
        <w:tc>
          <w:tcPr>
            <w:tcW w:w="646" w:type="pct"/>
          </w:tcPr>
          <w:p w:rsidR="00385A9D" w:rsidRPr="00B61251" w:rsidRDefault="00385A9D" w:rsidP="0079332B">
            <w:pPr>
              <w:pStyle w:val="Tabletext"/>
              <w:keepNext/>
              <w:jc w:val="center"/>
              <w:rPr>
                <w:b/>
              </w:rPr>
            </w:pPr>
            <w:r w:rsidRPr="00B61251">
              <w:rPr>
                <w:b/>
              </w:rPr>
              <w:t>Year 6</w:t>
            </w:r>
          </w:p>
        </w:tc>
      </w:tr>
      <w:tr w:rsidR="00385A9D" w:rsidRPr="00B61251" w:rsidTr="00C87001">
        <w:tc>
          <w:tcPr>
            <w:tcW w:w="5000" w:type="pct"/>
            <w:gridSpan w:val="7"/>
            <w:tcBorders>
              <w:bottom w:val="single" w:sz="4" w:space="0" w:color="auto"/>
            </w:tcBorders>
            <w:shd w:val="clear" w:color="auto" w:fill="auto"/>
            <w:vAlign w:val="center"/>
          </w:tcPr>
          <w:p w:rsidR="00385A9D" w:rsidRPr="00B61251" w:rsidRDefault="00385A9D" w:rsidP="0079332B">
            <w:pPr>
              <w:pStyle w:val="Tabletext"/>
              <w:keepNext/>
              <w:rPr>
                <w:b/>
                <w:bCs/>
                <w:color w:val="000000"/>
              </w:rPr>
            </w:pPr>
            <w:r w:rsidRPr="00B61251">
              <w:rPr>
                <w:b/>
                <w:bCs/>
                <w:color w:val="000000"/>
              </w:rPr>
              <w:t>Estimated extent of use</w:t>
            </w:r>
          </w:p>
        </w:tc>
      </w:tr>
      <w:tr w:rsidR="00C87001" w:rsidRPr="00B61251" w:rsidTr="00C87001">
        <w:tc>
          <w:tcPr>
            <w:tcW w:w="1119" w:type="pct"/>
            <w:tcBorders>
              <w:top w:val="nil"/>
              <w:bottom w:val="single" w:sz="4" w:space="0" w:color="auto"/>
            </w:tcBorders>
            <w:shd w:val="clear" w:color="auto" w:fill="auto"/>
            <w:vAlign w:val="center"/>
          </w:tcPr>
          <w:p w:rsidR="00C87001" w:rsidRPr="00B61251" w:rsidRDefault="001462B7" w:rsidP="0079332B">
            <w:pPr>
              <w:pStyle w:val="Tabletext"/>
              <w:keepNext/>
              <w:ind w:left="142"/>
              <w:rPr>
                <w:vertAlign w:val="superscript"/>
              </w:rPr>
            </w:pPr>
            <w:r w:rsidRPr="00B61251">
              <w:t>Number of patients treated</w:t>
            </w:r>
          </w:p>
        </w:tc>
        <w:tc>
          <w:tcPr>
            <w:tcW w:w="647" w:type="pct"/>
            <w:tcBorders>
              <w:top w:val="nil"/>
              <w:bottom w:val="single" w:sz="4" w:space="0" w:color="auto"/>
            </w:tcBorders>
            <w:shd w:val="clear" w:color="auto" w:fill="auto"/>
            <w:vAlign w:val="center"/>
          </w:tcPr>
          <w:p w:rsidR="00C87001" w:rsidRPr="00B61251" w:rsidRDefault="00DD5455" w:rsidP="0079332B">
            <w:pPr>
              <w:pStyle w:val="Tabletext"/>
              <w:keepNext/>
              <w:jc w:val="center"/>
              <w:rPr>
                <w:bCs/>
                <w:color w:val="000000"/>
              </w:rPr>
            </w:pPr>
            <w:r>
              <w:rPr>
                <w:noProof/>
                <w:color w:val="000000"/>
                <w:highlight w:val="black"/>
              </w:rPr>
              <w:t>'''''''''</w:t>
            </w:r>
            <w:r w:rsidR="0093742B" w:rsidRPr="00B61251">
              <w:rPr>
                <w:vertAlign w:val="superscript"/>
              </w:rPr>
              <w:t>b</w:t>
            </w:r>
          </w:p>
        </w:tc>
        <w:tc>
          <w:tcPr>
            <w:tcW w:w="647" w:type="pct"/>
            <w:tcBorders>
              <w:top w:val="nil"/>
              <w:bottom w:val="single" w:sz="4" w:space="0" w:color="auto"/>
            </w:tcBorders>
            <w:shd w:val="clear" w:color="auto" w:fill="auto"/>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c>
          <w:tcPr>
            <w:tcW w:w="647" w:type="pct"/>
            <w:tcBorders>
              <w:top w:val="nil"/>
              <w:bottom w:val="single" w:sz="4" w:space="0" w:color="auto"/>
            </w:tcBorders>
            <w:shd w:val="clear" w:color="auto" w:fill="auto"/>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c>
          <w:tcPr>
            <w:tcW w:w="646" w:type="pct"/>
            <w:tcBorders>
              <w:top w:val="nil"/>
              <w:bottom w:val="single" w:sz="4" w:space="0" w:color="auto"/>
            </w:tcBorders>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r>
      <w:tr w:rsidR="00C87001" w:rsidRPr="00B61251" w:rsidTr="00C87001">
        <w:tc>
          <w:tcPr>
            <w:tcW w:w="1119" w:type="pct"/>
            <w:tcBorders>
              <w:top w:val="nil"/>
            </w:tcBorders>
            <w:shd w:val="clear" w:color="auto" w:fill="auto"/>
            <w:vAlign w:val="center"/>
          </w:tcPr>
          <w:p w:rsidR="00C87001" w:rsidRPr="00B61251" w:rsidRDefault="001462B7" w:rsidP="0079332B">
            <w:pPr>
              <w:pStyle w:val="Tabletext"/>
              <w:keepNext/>
              <w:ind w:left="142"/>
            </w:pPr>
            <w:r w:rsidRPr="00B61251">
              <w:t>No. of scripts dispensed</w:t>
            </w:r>
          </w:p>
        </w:tc>
        <w:tc>
          <w:tcPr>
            <w:tcW w:w="647" w:type="pct"/>
            <w:tcBorders>
              <w:top w:val="nil"/>
            </w:tcBorders>
            <w:shd w:val="clear" w:color="auto" w:fill="auto"/>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c>
          <w:tcPr>
            <w:tcW w:w="647" w:type="pct"/>
            <w:tcBorders>
              <w:top w:val="nil"/>
            </w:tcBorders>
            <w:shd w:val="clear" w:color="auto" w:fill="auto"/>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c>
          <w:tcPr>
            <w:tcW w:w="647" w:type="pct"/>
            <w:tcBorders>
              <w:top w:val="nil"/>
            </w:tcBorders>
            <w:shd w:val="clear" w:color="auto" w:fill="auto"/>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c>
          <w:tcPr>
            <w:tcW w:w="647" w:type="pct"/>
            <w:tcBorders>
              <w:top w:val="nil"/>
            </w:tcBorders>
            <w:shd w:val="clear" w:color="auto" w:fill="auto"/>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c>
          <w:tcPr>
            <w:tcW w:w="647" w:type="pct"/>
            <w:tcBorders>
              <w:top w:val="nil"/>
            </w:tcBorders>
            <w:shd w:val="clear" w:color="auto" w:fill="auto"/>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c>
          <w:tcPr>
            <w:tcW w:w="646" w:type="pct"/>
            <w:tcBorders>
              <w:top w:val="nil"/>
            </w:tcBorders>
            <w:vAlign w:val="center"/>
          </w:tcPr>
          <w:p w:rsidR="00C87001" w:rsidRPr="00DD5455" w:rsidRDefault="00DD5455" w:rsidP="0079332B">
            <w:pPr>
              <w:pStyle w:val="Tabletext"/>
              <w:keepNext/>
              <w:jc w:val="center"/>
              <w:rPr>
                <w:bCs/>
                <w:color w:val="000000"/>
                <w:highlight w:val="black"/>
              </w:rPr>
            </w:pPr>
            <w:r>
              <w:rPr>
                <w:noProof/>
                <w:color w:val="000000"/>
                <w:highlight w:val="black"/>
              </w:rPr>
              <w:t>''''''''''''''''</w:t>
            </w:r>
          </w:p>
        </w:tc>
      </w:tr>
      <w:tr w:rsidR="00385A9D" w:rsidRPr="00B61251" w:rsidTr="00C87001">
        <w:tc>
          <w:tcPr>
            <w:tcW w:w="5000" w:type="pct"/>
            <w:gridSpan w:val="7"/>
            <w:tcBorders>
              <w:bottom w:val="single" w:sz="4" w:space="0" w:color="auto"/>
            </w:tcBorders>
            <w:shd w:val="clear" w:color="auto" w:fill="auto"/>
            <w:vAlign w:val="center"/>
          </w:tcPr>
          <w:p w:rsidR="00385A9D" w:rsidRPr="00B61251" w:rsidRDefault="00385A9D" w:rsidP="0079332B">
            <w:pPr>
              <w:pStyle w:val="Tabletext"/>
              <w:keepNext/>
              <w:rPr>
                <w:b/>
                <w:bCs/>
                <w:color w:val="000000"/>
              </w:rPr>
            </w:pPr>
            <w:r w:rsidRPr="00B61251">
              <w:rPr>
                <w:b/>
                <w:bCs/>
                <w:color w:val="000000"/>
              </w:rPr>
              <w:t>Estimated financial implica</w:t>
            </w:r>
            <w:r w:rsidR="00C87001" w:rsidRPr="00B61251">
              <w:rPr>
                <w:b/>
                <w:bCs/>
                <w:color w:val="000000"/>
              </w:rPr>
              <w:t>tions of atezolizumab + bevacizumab, proposed effective price</w:t>
            </w:r>
          </w:p>
        </w:tc>
      </w:tr>
      <w:tr w:rsidR="003433F4" w:rsidRPr="00B61251" w:rsidTr="00C87001">
        <w:tc>
          <w:tcPr>
            <w:tcW w:w="1119" w:type="pct"/>
            <w:tcBorders>
              <w:top w:val="nil"/>
              <w:bottom w:val="single" w:sz="4" w:space="0" w:color="auto"/>
            </w:tcBorders>
            <w:shd w:val="clear" w:color="auto" w:fill="auto"/>
            <w:vAlign w:val="center"/>
          </w:tcPr>
          <w:p w:rsidR="003433F4" w:rsidRPr="00B61251" w:rsidRDefault="001462B7" w:rsidP="0079332B">
            <w:pPr>
              <w:pStyle w:val="Tabletext"/>
              <w:keepNext/>
              <w:ind w:left="142"/>
              <w:rPr>
                <w:sz w:val="19"/>
                <w:szCs w:val="19"/>
              </w:rPr>
            </w:pPr>
            <w:r w:rsidRPr="00B61251">
              <w:rPr>
                <w:sz w:val="19"/>
                <w:szCs w:val="19"/>
              </w:rPr>
              <w:t>Cost to PBS/RPBS</w:t>
            </w:r>
          </w:p>
        </w:tc>
        <w:tc>
          <w:tcPr>
            <w:tcW w:w="647" w:type="pct"/>
            <w:tcBorders>
              <w:top w:val="nil"/>
              <w:bottom w:val="single" w:sz="4" w:space="0" w:color="auto"/>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6" w:type="pct"/>
            <w:tcBorders>
              <w:top w:val="nil"/>
              <w:bottom w:val="single" w:sz="4" w:space="0" w:color="auto"/>
            </w:tcBorders>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r>
      <w:tr w:rsidR="00C87001" w:rsidRPr="00B61251" w:rsidTr="00C87001">
        <w:tc>
          <w:tcPr>
            <w:tcW w:w="1119" w:type="pct"/>
            <w:tcBorders>
              <w:top w:val="nil"/>
              <w:bottom w:val="single" w:sz="4" w:space="0" w:color="auto"/>
            </w:tcBorders>
            <w:shd w:val="clear" w:color="auto" w:fill="auto"/>
            <w:vAlign w:val="center"/>
          </w:tcPr>
          <w:p w:rsidR="00C87001" w:rsidRPr="00B61251" w:rsidRDefault="001462B7" w:rsidP="0079332B">
            <w:pPr>
              <w:pStyle w:val="Tabletext"/>
              <w:keepNext/>
              <w:ind w:left="142"/>
              <w:rPr>
                <w:sz w:val="19"/>
                <w:szCs w:val="19"/>
              </w:rPr>
            </w:pPr>
            <w:r w:rsidRPr="00B61251">
              <w:rPr>
                <w:sz w:val="19"/>
                <w:szCs w:val="19"/>
              </w:rPr>
              <w:t>Copayments</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 xml:space="preserve"> $</w:t>
            </w:r>
            <w:r w:rsidR="00DD5455">
              <w:rPr>
                <w:noProof/>
                <w:color w:val="000000"/>
                <w:highlight w:val="black"/>
              </w:rPr>
              <w:t xml:space="preserve">''''''''''''''''' </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c>
          <w:tcPr>
            <w:tcW w:w="646" w:type="pct"/>
            <w:tcBorders>
              <w:top w:val="nil"/>
              <w:bottom w:val="single" w:sz="4" w:space="0" w:color="auto"/>
            </w:tcBorders>
            <w:vAlign w:val="center"/>
          </w:tcPr>
          <w:p w:rsidR="00C87001" w:rsidRPr="00B61251" w:rsidRDefault="00C8700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r>
      <w:tr w:rsidR="003433F4" w:rsidRPr="00B61251" w:rsidTr="00C87001">
        <w:tc>
          <w:tcPr>
            <w:tcW w:w="1119" w:type="pct"/>
            <w:tcBorders>
              <w:top w:val="nil"/>
            </w:tcBorders>
            <w:shd w:val="clear" w:color="auto" w:fill="auto"/>
            <w:vAlign w:val="center"/>
          </w:tcPr>
          <w:p w:rsidR="003433F4" w:rsidRPr="00B61251" w:rsidRDefault="001462B7" w:rsidP="0079332B">
            <w:pPr>
              <w:pStyle w:val="Tabletext"/>
              <w:keepNext/>
              <w:ind w:left="142"/>
              <w:rPr>
                <w:sz w:val="19"/>
                <w:szCs w:val="19"/>
              </w:rPr>
            </w:pPr>
            <w:r w:rsidRPr="00B61251">
              <w:rPr>
                <w:sz w:val="19"/>
                <w:szCs w:val="19"/>
              </w:rPr>
              <w:t>Cost to PBS/RPBS less copayments</w:t>
            </w:r>
          </w:p>
        </w:tc>
        <w:tc>
          <w:tcPr>
            <w:tcW w:w="647" w:type="pct"/>
            <w:tcBorders>
              <w:top w:val="nil"/>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tcBorders>
            <w:shd w:val="clear" w:color="auto" w:fill="auto"/>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6" w:type="pct"/>
            <w:tcBorders>
              <w:top w:val="nil"/>
            </w:tcBorders>
            <w:vAlign w:val="center"/>
          </w:tcPr>
          <w:p w:rsidR="003433F4" w:rsidRPr="00B61251" w:rsidRDefault="003433F4" w:rsidP="0079332B">
            <w:pPr>
              <w:pStyle w:val="Tabletext"/>
              <w:keepNext/>
              <w:jc w:val="center"/>
              <w:rPr>
                <w:bCs/>
                <w:color w:val="000000"/>
              </w:rPr>
            </w:pPr>
            <w:r w:rsidRPr="00B61251">
              <w:t>$</w:t>
            </w:r>
            <w:r w:rsidR="00DD5455">
              <w:rPr>
                <w:noProof/>
                <w:color w:val="000000"/>
                <w:highlight w:val="black"/>
              </w:rPr>
              <w:t>''''''''''''''''''''''''</w:t>
            </w:r>
            <w:r w:rsidRPr="00B61251">
              <w:t xml:space="preserve"> </w:t>
            </w:r>
          </w:p>
        </w:tc>
      </w:tr>
      <w:tr w:rsidR="00385A9D" w:rsidRPr="00B61251" w:rsidTr="00C87001">
        <w:tc>
          <w:tcPr>
            <w:tcW w:w="5000" w:type="pct"/>
            <w:gridSpan w:val="7"/>
            <w:tcBorders>
              <w:bottom w:val="single" w:sz="4" w:space="0" w:color="auto"/>
            </w:tcBorders>
            <w:shd w:val="clear" w:color="auto" w:fill="auto"/>
            <w:vAlign w:val="center"/>
          </w:tcPr>
          <w:p w:rsidR="00385A9D" w:rsidRPr="00B61251" w:rsidRDefault="00385A9D" w:rsidP="0079332B">
            <w:pPr>
              <w:pStyle w:val="Tabletext"/>
              <w:keepNext/>
              <w:rPr>
                <w:bCs/>
                <w:color w:val="000000"/>
              </w:rPr>
            </w:pPr>
            <w:r w:rsidRPr="00B61251">
              <w:rPr>
                <w:b/>
                <w:bCs/>
                <w:color w:val="000000"/>
              </w:rPr>
              <w:t xml:space="preserve">Estimated </w:t>
            </w:r>
            <w:r w:rsidR="00D502E3" w:rsidRPr="00B61251">
              <w:rPr>
                <w:b/>
                <w:bCs/>
                <w:color w:val="000000"/>
              </w:rPr>
              <w:t>financial implications for</w:t>
            </w:r>
            <w:r w:rsidR="00B022A6" w:rsidRPr="00B61251">
              <w:rPr>
                <w:b/>
                <w:bCs/>
                <w:color w:val="000000"/>
              </w:rPr>
              <w:t xml:space="preserve"> later-line immunotherapy, pemetrexed and docetaxel</w:t>
            </w:r>
          </w:p>
        </w:tc>
      </w:tr>
      <w:tr w:rsidR="00C87001" w:rsidRPr="00B61251" w:rsidTr="00C87001">
        <w:tc>
          <w:tcPr>
            <w:tcW w:w="1119" w:type="pct"/>
            <w:tcBorders>
              <w:top w:val="nil"/>
              <w:bottom w:val="single" w:sz="4" w:space="0" w:color="auto"/>
            </w:tcBorders>
            <w:shd w:val="clear" w:color="auto" w:fill="auto"/>
            <w:vAlign w:val="center"/>
          </w:tcPr>
          <w:p w:rsidR="00C87001" w:rsidRPr="00B61251" w:rsidRDefault="001462B7" w:rsidP="0079332B">
            <w:pPr>
              <w:pStyle w:val="Tabletext"/>
              <w:keepNext/>
              <w:ind w:left="142"/>
              <w:rPr>
                <w:sz w:val="19"/>
                <w:szCs w:val="19"/>
              </w:rPr>
            </w:pPr>
            <w:r w:rsidRPr="00B61251">
              <w:rPr>
                <w:sz w:val="19"/>
                <w:szCs w:val="19"/>
              </w:rPr>
              <w:t>Cost to PBS/RPBS</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6" w:type="pct"/>
            <w:tcBorders>
              <w:top w:val="nil"/>
              <w:bottom w:val="single" w:sz="4" w:space="0" w:color="auto"/>
            </w:tcBorders>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r>
      <w:tr w:rsidR="00C87001" w:rsidRPr="00B61251" w:rsidTr="00C87001">
        <w:tc>
          <w:tcPr>
            <w:tcW w:w="1119" w:type="pct"/>
            <w:tcBorders>
              <w:top w:val="nil"/>
              <w:bottom w:val="single" w:sz="4" w:space="0" w:color="auto"/>
            </w:tcBorders>
            <w:shd w:val="clear" w:color="auto" w:fill="auto"/>
            <w:vAlign w:val="center"/>
          </w:tcPr>
          <w:p w:rsidR="00C87001" w:rsidRPr="00B61251" w:rsidRDefault="001462B7" w:rsidP="0079332B">
            <w:pPr>
              <w:pStyle w:val="Tabletext"/>
              <w:keepNext/>
              <w:ind w:left="142"/>
              <w:rPr>
                <w:sz w:val="19"/>
                <w:szCs w:val="19"/>
              </w:rPr>
            </w:pPr>
            <w:r w:rsidRPr="00B61251">
              <w:rPr>
                <w:sz w:val="19"/>
                <w:szCs w:val="19"/>
              </w:rPr>
              <w:t>Copayments</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6" w:type="pct"/>
            <w:tcBorders>
              <w:top w:val="nil"/>
              <w:bottom w:val="single" w:sz="4" w:space="0" w:color="auto"/>
            </w:tcBorders>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r>
      <w:tr w:rsidR="00C87001" w:rsidRPr="00B61251" w:rsidTr="00C87001">
        <w:tc>
          <w:tcPr>
            <w:tcW w:w="1119" w:type="pct"/>
            <w:tcBorders>
              <w:top w:val="nil"/>
            </w:tcBorders>
            <w:shd w:val="clear" w:color="auto" w:fill="auto"/>
            <w:vAlign w:val="center"/>
          </w:tcPr>
          <w:p w:rsidR="00C87001" w:rsidRPr="00B61251" w:rsidRDefault="001462B7" w:rsidP="0079332B">
            <w:pPr>
              <w:pStyle w:val="Tabletext"/>
              <w:keepNext/>
              <w:ind w:left="142"/>
              <w:rPr>
                <w:sz w:val="19"/>
                <w:szCs w:val="19"/>
              </w:rPr>
            </w:pPr>
            <w:r w:rsidRPr="00B61251">
              <w:rPr>
                <w:sz w:val="19"/>
                <w:szCs w:val="19"/>
              </w:rPr>
              <w:t>Cost to PBS/RPBS less copayments</w:t>
            </w:r>
          </w:p>
        </w:tc>
        <w:tc>
          <w:tcPr>
            <w:tcW w:w="647" w:type="pct"/>
            <w:tcBorders>
              <w:top w:val="nil"/>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6" w:type="pct"/>
            <w:tcBorders>
              <w:top w:val="nil"/>
            </w:tcBorders>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r>
      <w:tr w:rsidR="00385A9D" w:rsidRPr="00B61251" w:rsidTr="00C87001">
        <w:tc>
          <w:tcPr>
            <w:tcW w:w="5000" w:type="pct"/>
            <w:gridSpan w:val="7"/>
            <w:tcBorders>
              <w:bottom w:val="single" w:sz="4" w:space="0" w:color="auto"/>
            </w:tcBorders>
            <w:shd w:val="clear" w:color="auto" w:fill="auto"/>
            <w:vAlign w:val="center"/>
          </w:tcPr>
          <w:p w:rsidR="00385A9D" w:rsidRPr="00B61251" w:rsidRDefault="00385A9D" w:rsidP="0079332B">
            <w:pPr>
              <w:pStyle w:val="Tabletext"/>
              <w:keepNext/>
              <w:rPr>
                <w:b/>
                <w:bCs/>
                <w:color w:val="000000"/>
              </w:rPr>
            </w:pPr>
            <w:r w:rsidRPr="00B61251">
              <w:rPr>
                <w:b/>
                <w:bCs/>
                <w:color w:val="000000"/>
              </w:rPr>
              <w:t>Net financial implications</w:t>
            </w:r>
            <w:r w:rsidRPr="00B61251">
              <w:rPr>
                <w:b/>
                <w:bCs/>
                <w:color w:val="4BACC6" w:themeColor="accent5"/>
              </w:rPr>
              <w:t xml:space="preserve"> </w:t>
            </w:r>
          </w:p>
        </w:tc>
      </w:tr>
      <w:tr w:rsidR="00C87001" w:rsidRPr="00B61251" w:rsidTr="00F45AE1">
        <w:tc>
          <w:tcPr>
            <w:tcW w:w="1119" w:type="pct"/>
            <w:tcBorders>
              <w:top w:val="nil"/>
              <w:bottom w:val="single" w:sz="4" w:space="0" w:color="auto"/>
            </w:tcBorders>
            <w:shd w:val="clear" w:color="auto" w:fill="auto"/>
            <w:vAlign w:val="center"/>
          </w:tcPr>
          <w:p w:rsidR="00C87001" w:rsidRPr="00B61251" w:rsidRDefault="001462B7" w:rsidP="0079332B">
            <w:pPr>
              <w:pStyle w:val="Tabletext"/>
              <w:keepNext/>
              <w:ind w:left="142"/>
              <w:rPr>
                <w:sz w:val="19"/>
                <w:szCs w:val="19"/>
              </w:rPr>
            </w:pPr>
            <w:r w:rsidRPr="00B61251">
              <w:rPr>
                <w:sz w:val="19"/>
                <w:szCs w:val="19"/>
              </w:rPr>
              <w:t>Net cost to PBS/RPBS</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7" w:type="pct"/>
            <w:tcBorders>
              <w:top w:val="nil"/>
              <w:bottom w:val="single" w:sz="4" w:space="0" w:color="auto"/>
            </w:tcBorders>
            <w:shd w:val="clear" w:color="auto" w:fill="auto"/>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c>
          <w:tcPr>
            <w:tcW w:w="646" w:type="pct"/>
            <w:tcBorders>
              <w:top w:val="nil"/>
              <w:bottom w:val="single" w:sz="4" w:space="0" w:color="auto"/>
            </w:tcBorders>
            <w:vAlign w:val="center"/>
          </w:tcPr>
          <w:p w:rsidR="00C87001" w:rsidRPr="00B61251" w:rsidRDefault="00C87001" w:rsidP="0079332B">
            <w:pPr>
              <w:pStyle w:val="Tabletext"/>
              <w:keepNext/>
              <w:jc w:val="center"/>
              <w:rPr>
                <w:bCs/>
                <w:color w:val="000000"/>
              </w:rPr>
            </w:pPr>
            <w:r w:rsidRPr="00B61251">
              <w:t>$</w:t>
            </w:r>
            <w:r w:rsidR="00DD5455">
              <w:rPr>
                <w:noProof/>
                <w:color w:val="000000"/>
                <w:highlight w:val="black"/>
              </w:rPr>
              <w:t>'''''''''''''''''''''''''''</w:t>
            </w:r>
          </w:p>
        </w:tc>
      </w:tr>
      <w:tr w:rsidR="00F45AE1" w:rsidRPr="00B61251" w:rsidTr="00F45AE1">
        <w:tc>
          <w:tcPr>
            <w:tcW w:w="1119" w:type="pct"/>
            <w:tcBorders>
              <w:top w:val="nil"/>
              <w:bottom w:val="single" w:sz="4" w:space="0" w:color="auto"/>
            </w:tcBorders>
            <w:shd w:val="clear" w:color="auto" w:fill="auto"/>
            <w:vAlign w:val="center"/>
          </w:tcPr>
          <w:p w:rsidR="00F45AE1" w:rsidRPr="00B61251" w:rsidRDefault="001462B7" w:rsidP="0079332B">
            <w:pPr>
              <w:pStyle w:val="Tabletext"/>
              <w:keepNext/>
              <w:ind w:left="142"/>
              <w:rPr>
                <w:sz w:val="19"/>
                <w:szCs w:val="19"/>
              </w:rPr>
            </w:pPr>
            <w:r w:rsidRPr="00B61251">
              <w:rPr>
                <w:sz w:val="19"/>
                <w:szCs w:val="19"/>
              </w:rPr>
              <w:t>Net cost to MBS</w:t>
            </w:r>
          </w:p>
        </w:tc>
        <w:tc>
          <w:tcPr>
            <w:tcW w:w="647" w:type="pct"/>
            <w:tcBorders>
              <w:top w:val="nil"/>
              <w:bottom w:val="single" w:sz="4" w:space="0" w:color="auto"/>
            </w:tcBorders>
            <w:shd w:val="clear" w:color="auto" w:fill="auto"/>
          </w:tcPr>
          <w:p w:rsidR="00F45AE1" w:rsidRPr="00B61251" w:rsidRDefault="00F45AE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tcPr>
          <w:p w:rsidR="00F45AE1" w:rsidRPr="00B61251" w:rsidRDefault="00F45AE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tcPr>
          <w:p w:rsidR="00F45AE1" w:rsidRPr="00B61251" w:rsidRDefault="00F45AE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tcPr>
          <w:p w:rsidR="00F45AE1" w:rsidRPr="00B61251" w:rsidRDefault="00F45AE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c>
          <w:tcPr>
            <w:tcW w:w="647" w:type="pct"/>
            <w:tcBorders>
              <w:top w:val="nil"/>
              <w:bottom w:val="single" w:sz="4" w:space="0" w:color="auto"/>
            </w:tcBorders>
            <w:shd w:val="clear" w:color="auto" w:fill="auto"/>
          </w:tcPr>
          <w:p w:rsidR="00F45AE1" w:rsidRPr="00B61251" w:rsidRDefault="003433F4" w:rsidP="0079332B">
            <w:pPr>
              <w:pStyle w:val="Tabletext"/>
              <w:keepNext/>
              <w:jc w:val="center"/>
              <w:rPr>
                <w:bCs/>
                <w:color w:val="000000"/>
              </w:rPr>
            </w:pPr>
            <w:r w:rsidRPr="00B61251">
              <w:t>$</w:t>
            </w:r>
            <w:r w:rsidR="00DD5455">
              <w:rPr>
                <w:noProof/>
                <w:color w:val="000000"/>
                <w:highlight w:val="black"/>
              </w:rPr>
              <w:t>'''''''''''''''''''''''''</w:t>
            </w:r>
            <w:r w:rsidR="00F45AE1" w:rsidRPr="00B61251">
              <w:t xml:space="preserve"> </w:t>
            </w:r>
          </w:p>
        </w:tc>
        <w:tc>
          <w:tcPr>
            <w:tcW w:w="646" w:type="pct"/>
            <w:tcBorders>
              <w:top w:val="nil"/>
              <w:bottom w:val="single" w:sz="4" w:space="0" w:color="auto"/>
            </w:tcBorders>
          </w:tcPr>
          <w:p w:rsidR="00F45AE1" w:rsidRPr="00B61251" w:rsidRDefault="00F45AE1" w:rsidP="0079332B">
            <w:pPr>
              <w:pStyle w:val="Tabletext"/>
              <w:keepNext/>
              <w:jc w:val="center"/>
              <w:rPr>
                <w:bCs/>
                <w:color w:val="000000"/>
              </w:rPr>
            </w:pPr>
            <w:r w:rsidRPr="00B61251">
              <w:t xml:space="preserve"> $</w:t>
            </w:r>
            <w:r w:rsidR="00DD5455">
              <w:rPr>
                <w:noProof/>
                <w:color w:val="000000"/>
                <w:highlight w:val="black"/>
              </w:rPr>
              <w:t>''''''''''''''''''''''</w:t>
            </w:r>
            <w:r w:rsidRPr="00B61251">
              <w:t xml:space="preserve"> </w:t>
            </w:r>
          </w:p>
        </w:tc>
      </w:tr>
      <w:tr w:rsidR="00F45AE1" w:rsidRPr="00B61251" w:rsidTr="00DA4C9A">
        <w:tc>
          <w:tcPr>
            <w:tcW w:w="1119" w:type="pct"/>
            <w:tcBorders>
              <w:top w:val="nil"/>
            </w:tcBorders>
            <w:shd w:val="clear" w:color="auto" w:fill="auto"/>
            <w:vAlign w:val="center"/>
          </w:tcPr>
          <w:p w:rsidR="00F45AE1" w:rsidRPr="00B61251" w:rsidRDefault="001462B7" w:rsidP="0079332B">
            <w:pPr>
              <w:pStyle w:val="Tabletext"/>
              <w:keepNext/>
              <w:ind w:left="142"/>
              <w:rPr>
                <w:sz w:val="19"/>
                <w:szCs w:val="19"/>
              </w:rPr>
            </w:pPr>
            <w:r w:rsidRPr="00B61251">
              <w:rPr>
                <w:sz w:val="19"/>
                <w:szCs w:val="19"/>
              </w:rPr>
              <w:t>Net cost to PBS/RPBS/MBS</w:t>
            </w:r>
          </w:p>
        </w:tc>
        <w:tc>
          <w:tcPr>
            <w:tcW w:w="647" w:type="pct"/>
            <w:tcBorders>
              <w:top w:val="nil"/>
            </w:tcBorders>
            <w:shd w:val="clear" w:color="auto" w:fill="auto"/>
            <w:vAlign w:val="center"/>
          </w:tcPr>
          <w:p w:rsidR="00F45AE1" w:rsidRPr="00B61251" w:rsidRDefault="00F45AE1"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tcBorders>
            <w:shd w:val="clear" w:color="auto" w:fill="auto"/>
            <w:vAlign w:val="center"/>
          </w:tcPr>
          <w:p w:rsidR="00F45AE1" w:rsidRPr="00B61251" w:rsidRDefault="00F45AE1"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tcBorders>
            <w:shd w:val="clear" w:color="auto" w:fill="auto"/>
            <w:vAlign w:val="center"/>
          </w:tcPr>
          <w:p w:rsidR="00F45AE1" w:rsidRPr="00B61251" w:rsidRDefault="00F45AE1"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tcBorders>
            <w:shd w:val="clear" w:color="auto" w:fill="auto"/>
            <w:vAlign w:val="center"/>
          </w:tcPr>
          <w:p w:rsidR="00F45AE1" w:rsidRPr="00B61251" w:rsidRDefault="00F45AE1"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7" w:type="pct"/>
            <w:tcBorders>
              <w:top w:val="nil"/>
            </w:tcBorders>
            <w:shd w:val="clear" w:color="auto" w:fill="auto"/>
            <w:vAlign w:val="center"/>
          </w:tcPr>
          <w:p w:rsidR="00F45AE1" w:rsidRPr="00B61251" w:rsidRDefault="00F45AE1" w:rsidP="0079332B">
            <w:pPr>
              <w:pStyle w:val="Tabletext"/>
              <w:keepNext/>
              <w:jc w:val="center"/>
              <w:rPr>
                <w:bCs/>
                <w:color w:val="000000"/>
              </w:rPr>
            </w:pPr>
            <w:r w:rsidRPr="00B61251">
              <w:t>$</w:t>
            </w:r>
            <w:r w:rsidR="00DD5455">
              <w:rPr>
                <w:noProof/>
                <w:color w:val="000000"/>
                <w:highlight w:val="black"/>
              </w:rPr>
              <w:t>'''''''''''''''''''''''</w:t>
            </w:r>
            <w:r w:rsidRPr="00B61251">
              <w:t xml:space="preserve"> </w:t>
            </w:r>
          </w:p>
        </w:tc>
        <w:tc>
          <w:tcPr>
            <w:tcW w:w="646" w:type="pct"/>
            <w:tcBorders>
              <w:top w:val="nil"/>
            </w:tcBorders>
            <w:vAlign w:val="center"/>
          </w:tcPr>
          <w:p w:rsidR="00F45AE1" w:rsidRPr="00B61251" w:rsidRDefault="00F45AE1" w:rsidP="0079332B">
            <w:pPr>
              <w:pStyle w:val="Tabletext"/>
              <w:keepNext/>
              <w:jc w:val="center"/>
              <w:rPr>
                <w:bCs/>
                <w:color w:val="000000"/>
              </w:rPr>
            </w:pPr>
            <w:r w:rsidRPr="00B61251">
              <w:t>$</w:t>
            </w:r>
            <w:r w:rsidR="00DD5455">
              <w:rPr>
                <w:noProof/>
                <w:color w:val="000000"/>
                <w:highlight w:val="black"/>
              </w:rPr>
              <w:t>'''''''''''''''''''''''''''''</w:t>
            </w:r>
            <w:r w:rsidRPr="00B61251">
              <w:t xml:space="preserve"> </w:t>
            </w:r>
          </w:p>
        </w:tc>
      </w:tr>
    </w:tbl>
    <w:p w:rsidR="00C87001" w:rsidRPr="00B61251" w:rsidRDefault="00E466F3" w:rsidP="0079332B">
      <w:pPr>
        <w:pStyle w:val="TableFooter"/>
        <w:widowControl/>
        <w:tabs>
          <w:tab w:val="left" w:pos="142"/>
        </w:tabs>
        <w:ind w:left="142" w:hanging="142"/>
      </w:pPr>
      <w:r w:rsidRPr="00B61251">
        <w:rPr>
          <w:vertAlign w:val="superscript"/>
        </w:rPr>
        <w:t>a</w:t>
      </w:r>
      <w:r w:rsidR="00C87001" w:rsidRPr="00B61251">
        <w:t xml:space="preserve"> A </w:t>
      </w:r>
      <w:r w:rsidR="00FE205A" w:rsidRPr="00B61251">
        <w:t xml:space="preserve">minor </w:t>
      </w:r>
      <w:r w:rsidR="00C87001" w:rsidRPr="00B61251">
        <w:t>calculation error in determination of the number of Stage IV ALK+ non-squamous NSCLC patients</w:t>
      </w:r>
      <w:r w:rsidR="00FE205A" w:rsidRPr="00B61251">
        <w:t xml:space="preserve"> was corrected during the evaluation.</w:t>
      </w:r>
      <w:r w:rsidR="001248D2" w:rsidRPr="00B61251">
        <w:t xml:space="preserve"> </w:t>
      </w:r>
      <w:r w:rsidR="00A15E11" w:rsidRPr="00B61251">
        <w:t>The corrected estimates are presented</w:t>
      </w:r>
      <w:r w:rsidR="00683D83" w:rsidRPr="00B61251">
        <w:t xml:space="preserve">. </w:t>
      </w:r>
      <w:r w:rsidR="00A15E11" w:rsidRPr="00B61251">
        <w:t>The PSCR (p4) agreed with the correction of the stage IV (metastatic) non-squamous NSCLC ALK patients</w:t>
      </w:r>
    </w:p>
    <w:p w:rsidR="009A7674" w:rsidRPr="00B61251" w:rsidRDefault="0093742B" w:rsidP="0079332B">
      <w:pPr>
        <w:pStyle w:val="TableFooter"/>
        <w:widowControl/>
        <w:tabs>
          <w:tab w:val="left" w:pos="142"/>
        </w:tabs>
        <w:ind w:left="142" w:hanging="142"/>
      </w:pPr>
      <w:r w:rsidRPr="00B61251">
        <w:rPr>
          <w:vertAlign w:val="superscript"/>
        </w:rPr>
        <w:t>b</w:t>
      </w:r>
      <w:r w:rsidRPr="00B61251">
        <w:t xml:space="preserve"> </w:t>
      </w:r>
      <w:r w:rsidR="009A7674" w:rsidRPr="00B61251">
        <w:t xml:space="preserve">Includes </w:t>
      </w:r>
      <w:r w:rsidR="00DD5455">
        <w:rPr>
          <w:noProof/>
          <w:color w:val="000000"/>
          <w:highlight w:val="black"/>
        </w:rPr>
        <w:t>''''''''''</w:t>
      </w:r>
      <w:r w:rsidR="009A7674" w:rsidRPr="00B61251">
        <w:t xml:space="preserve"> grandfathered patients</w:t>
      </w:r>
    </w:p>
    <w:p w:rsidR="00385A9D" w:rsidRPr="00B61251" w:rsidRDefault="00385A9D" w:rsidP="0079332B">
      <w:pPr>
        <w:pStyle w:val="TableFooter"/>
        <w:widowControl/>
        <w:rPr>
          <w:rStyle w:val="CommentReference"/>
        </w:rPr>
      </w:pPr>
      <w:r w:rsidRPr="00B61251">
        <w:t>Source:</w:t>
      </w:r>
      <w:r w:rsidR="00EB564D" w:rsidRPr="00B61251">
        <w:t xml:space="preserve"> Table 4.16, p245; Table 4.28 p251, Table 4.29 p252, Table 4.45 p263, Table 4.54 p268 and Table 4.55 p269</w:t>
      </w:r>
      <w:r w:rsidRPr="00B61251">
        <w:t xml:space="preserve"> </w:t>
      </w:r>
      <w:r w:rsidR="00EB564D" w:rsidRPr="00B61251">
        <w:t>of the submission; Excel workbook ‘Section 4 workbook’, supplied with the submission.</w:t>
      </w:r>
    </w:p>
    <w:p w:rsidR="008349FF" w:rsidRPr="00B61251" w:rsidRDefault="008349FF" w:rsidP="00CB1952">
      <w:pPr>
        <w:pStyle w:val="ListParagraph"/>
        <w:widowControl/>
        <w:numPr>
          <w:ilvl w:val="1"/>
          <w:numId w:val="1"/>
        </w:numPr>
        <w:spacing w:before="120" w:after="120"/>
      </w:pPr>
      <w:r w:rsidRPr="00B61251">
        <w:t xml:space="preserve">Patients with either activating mutations of the EGFR gene or an ALK gene rearrangement represented approximately </w:t>
      </w:r>
      <w:r w:rsidR="00DD5455">
        <w:rPr>
          <w:noProof/>
          <w:color w:val="000000"/>
          <w:highlight w:val="black"/>
        </w:rPr>
        <w:t>'''''</w:t>
      </w:r>
      <w:r w:rsidRPr="00D4214A">
        <w:t>% of</w:t>
      </w:r>
      <w:r w:rsidRPr="00B61251">
        <w:t xml:space="preserve"> the </w:t>
      </w:r>
      <w:r w:rsidR="000245ED" w:rsidRPr="00B61251">
        <w:t>submission</w:t>
      </w:r>
      <w:r w:rsidR="002740BA" w:rsidRPr="00B61251">
        <w:t>’s</w:t>
      </w:r>
      <w:r w:rsidR="000245ED" w:rsidRPr="00B61251">
        <w:t xml:space="preserve"> </w:t>
      </w:r>
      <w:r w:rsidRPr="00B61251">
        <w:t>estimated number of patients to be treated with at</w:t>
      </w:r>
      <w:r w:rsidR="00E95C56">
        <w:t>ezolizumab + bevacizumab + PDC.</w:t>
      </w:r>
    </w:p>
    <w:p w:rsidR="00576972" w:rsidRPr="00B61251" w:rsidRDefault="009A7674" w:rsidP="00CB1952">
      <w:pPr>
        <w:pStyle w:val="ListParagraph"/>
        <w:widowControl/>
        <w:numPr>
          <w:ilvl w:val="1"/>
          <w:numId w:val="1"/>
        </w:numPr>
        <w:spacing w:before="120" w:after="120"/>
      </w:pPr>
      <w:r w:rsidRPr="00B61251">
        <w:t>Univariate sensitivity analyses indicated that the financial implications to the PBS/RPBS were sensitive to the proportion of NSCLC patients with metastatic disease and the uptake of at</w:t>
      </w:r>
      <w:r w:rsidR="00E95C56">
        <w:t>ezolizumab + bevacizumab + PDC.</w:t>
      </w:r>
    </w:p>
    <w:p w:rsidR="003D6819" w:rsidRPr="00B61251" w:rsidRDefault="00A25A0C" w:rsidP="00CB1952">
      <w:pPr>
        <w:pStyle w:val="ListParagraph"/>
        <w:widowControl/>
        <w:numPr>
          <w:ilvl w:val="1"/>
          <w:numId w:val="1"/>
        </w:numPr>
        <w:spacing w:before="120" w:after="120"/>
      </w:pPr>
      <w:r w:rsidRPr="00B61251">
        <w:t xml:space="preserve">The revised financial implications related to the revised rebate proposed in the Pre-PBAC Response maintained the estimated number of patients in year 6 at </w:t>
      </w:r>
      <w:r w:rsidR="00CE5722">
        <w:rPr>
          <w:rFonts w:asciiTheme="minorHAnsi" w:hAnsiTheme="minorHAnsi"/>
          <w:bCs/>
        </w:rPr>
        <w:t>less than 10,000</w:t>
      </w:r>
      <w:r w:rsidR="00CE5722" w:rsidRPr="00B61251">
        <w:rPr>
          <w:rFonts w:asciiTheme="minorHAnsi" w:hAnsiTheme="minorHAnsi"/>
          <w:bCs/>
        </w:rPr>
        <w:t xml:space="preserve"> </w:t>
      </w:r>
      <w:r w:rsidRPr="00B61251">
        <w:rPr>
          <w:rFonts w:asciiTheme="minorHAnsi" w:hAnsiTheme="minorHAnsi"/>
          <w:bCs/>
        </w:rPr>
        <w:t xml:space="preserve">patients </w:t>
      </w:r>
      <w:r w:rsidR="003D6819" w:rsidRPr="00B61251">
        <w:rPr>
          <w:rFonts w:asciiTheme="minorHAnsi" w:hAnsiTheme="minorHAnsi"/>
          <w:bCs/>
        </w:rPr>
        <w:t xml:space="preserve">and </w:t>
      </w:r>
      <w:r w:rsidRPr="00B61251">
        <w:rPr>
          <w:rFonts w:asciiTheme="minorHAnsi" w:hAnsiTheme="minorHAnsi"/>
          <w:bCs/>
        </w:rPr>
        <w:t xml:space="preserve">reduced </w:t>
      </w:r>
      <w:r w:rsidR="003D6819" w:rsidRPr="00B61251">
        <w:rPr>
          <w:rFonts w:asciiTheme="minorHAnsi" w:hAnsiTheme="minorHAnsi"/>
          <w:bCs/>
        </w:rPr>
        <w:t>the net cost to the PBS</w:t>
      </w:r>
      <w:r w:rsidR="00317734" w:rsidRPr="00B61251">
        <w:rPr>
          <w:rFonts w:asciiTheme="minorHAnsi" w:hAnsiTheme="minorHAnsi"/>
          <w:bCs/>
        </w:rPr>
        <w:t>/RPBS</w:t>
      </w:r>
      <w:r w:rsidR="003D6819" w:rsidRPr="00B61251">
        <w:rPr>
          <w:rFonts w:asciiTheme="minorHAnsi" w:hAnsiTheme="minorHAnsi"/>
          <w:bCs/>
        </w:rPr>
        <w:t xml:space="preserve"> </w:t>
      </w:r>
      <w:r w:rsidR="00E95C56">
        <w:rPr>
          <w:rFonts w:asciiTheme="minorHAnsi" w:hAnsiTheme="minorHAnsi"/>
          <w:bCs/>
        </w:rPr>
        <w:t xml:space="preserve">in year 6 </w:t>
      </w:r>
      <w:r w:rsidRPr="00B61251">
        <w:rPr>
          <w:rFonts w:asciiTheme="minorHAnsi" w:hAnsiTheme="minorHAnsi"/>
          <w:bCs/>
        </w:rPr>
        <w:t>from</w:t>
      </w:r>
      <w:r w:rsidR="003D6819" w:rsidRPr="00B61251">
        <w:rPr>
          <w:rFonts w:asciiTheme="minorHAnsi" w:hAnsiTheme="minorHAnsi"/>
          <w:bCs/>
        </w:rPr>
        <w:t xml:space="preserve"> $</w:t>
      </w:r>
      <w:r w:rsidR="00CE5722">
        <w:t>30 -$60</w:t>
      </w:r>
      <w:r w:rsidR="00AE2672" w:rsidRPr="00B61251">
        <w:t xml:space="preserve"> million</w:t>
      </w:r>
      <w:r w:rsidRPr="00B61251">
        <w:t xml:space="preserve"> to $</w:t>
      </w:r>
      <w:r w:rsidR="00CE5722">
        <w:t>20 - $30</w:t>
      </w:r>
      <w:r w:rsidRPr="00B61251">
        <w:t xml:space="preserve"> million</w:t>
      </w:r>
      <w:r w:rsidR="00AE2672" w:rsidRPr="00B61251">
        <w:t>.</w:t>
      </w:r>
      <w:r w:rsidR="007C6C7C" w:rsidRPr="00B61251">
        <w:t xml:space="preserve"> </w:t>
      </w:r>
      <w:r w:rsidR="00B61251">
        <w:t>O</w:t>
      </w:r>
      <w:r w:rsidR="007C6C7C" w:rsidRPr="00B61251">
        <w:t xml:space="preserve">verall, </w:t>
      </w:r>
      <w:r w:rsidRPr="00B61251">
        <w:t>the estimated</w:t>
      </w:r>
      <w:r w:rsidR="007C6C7C" w:rsidRPr="00B61251">
        <w:t xml:space="preserve"> net cost </w:t>
      </w:r>
      <w:r w:rsidR="00317734" w:rsidRPr="00B61251">
        <w:t>to the PBS/RPBS</w:t>
      </w:r>
      <w:r w:rsidR="00007784">
        <w:t xml:space="preserve"> reduced</w:t>
      </w:r>
      <w:r w:rsidRPr="00B61251">
        <w:t xml:space="preserve"> to</w:t>
      </w:r>
      <w:r w:rsidR="00CE5722">
        <w:t xml:space="preserve"> more than</w:t>
      </w:r>
      <w:r w:rsidRPr="00B61251">
        <w:t xml:space="preserve"> $</w:t>
      </w:r>
      <w:r w:rsidR="00CE5722">
        <w:t>100</w:t>
      </w:r>
      <w:r w:rsidRPr="00B61251">
        <w:t xml:space="preserve"> million over six years.</w:t>
      </w:r>
    </w:p>
    <w:p w:rsidR="00382085" w:rsidRPr="00007784" w:rsidRDefault="007B78C9" w:rsidP="00CB1952">
      <w:pPr>
        <w:pStyle w:val="ListParagraph"/>
        <w:widowControl/>
        <w:numPr>
          <w:ilvl w:val="1"/>
          <w:numId w:val="1"/>
        </w:numPr>
        <w:spacing w:before="120" w:after="120"/>
      </w:pPr>
      <w:r w:rsidRPr="00B61251">
        <w:t xml:space="preserve">The PBAC considered the </w:t>
      </w:r>
      <w:r w:rsidR="00007784">
        <w:t xml:space="preserve">predicted </w:t>
      </w:r>
      <w:r w:rsidRPr="00B61251">
        <w:t xml:space="preserve">low rate of uptake in EGFR/ALK </w:t>
      </w:r>
      <w:r w:rsidR="002740BA" w:rsidRPr="00B61251">
        <w:t>negative</w:t>
      </w:r>
      <w:r w:rsidRPr="00B61251">
        <w:t xml:space="preserve"> patients to be particularly uncertain, but noted that this uncertainty could be </w:t>
      </w:r>
      <w:r w:rsidRPr="00007784">
        <w:t>managed by including this listing in the current immunotherapy NSCLC deed</w:t>
      </w:r>
      <w:r w:rsidR="00911BBE" w:rsidRPr="00007784">
        <w:t xml:space="preserve"> and cap arrangements</w:t>
      </w:r>
      <w:r w:rsidRPr="00007784">
        <w:t>.</w:t>
      </w:r>
    </w:p>
    <w:p w:rsidR="002740BA" w:rsidRPr="00007784" w:rsidRDefault="007B78C9" w:rsidP="00CB1952">
      <w:pPr>
        <w:pStyle w:val="ListParagraph"/>
        <w:widowControl/>
        <w:numPr>
          <w:ilvl w:val="1"/>
          <w:numId w:val="1"/>
        </w:numPr>
        <w:spacing w:before="120" w:after="120"/>
      </w:pPr>
      <w:r w:rsidRPr="00007784">
        <w:t>The</w:t>
      </w:r>
      <w:r w:rsidR="00911BBE" w:rsidRPr="00007784">
        <w:t xml:space="preserve"> PBAC considered the</w:t>
      </w:r>
      <w:r w:rsidRPr="00007784">
        <w:t xml:space="preserve"> assumed in</w:t>
      </w:r>
      <w:r w:rsidR="00911BBE" w:rsidRPr="00007784">
        <w:t>crease in the number of patients treated</w:t>
      </w:r>
      <w:r w:rsidR="00220FAC" w:rsidRPr="00007784">
        <w:t xml:space="preserve"> </w:t>
      </w:r>
      <w:r w:rsidR="00911BBE" w:rsidRPr="00007784">
        <w:t xml:space="preserve">in the </w:t>
      </w:r>
      <w:r w:rsidR="00220FAC" w:rsidRPr="00007784">
        <w:t xml:space="preserve">first </w:t>
      </w:r>
      <w:r w:rsidR="00911BBE" w:rsidRPr="00007784">
        <w:t>line setting compared to the</w:t>
      </w:r>
      <w:r w:rsidRPr="00007784">
        <w:t xml:space="preserve"> </w:t>
      </w:r>
      <w:r w:rsidR="00220FAC" w:rsidRPr="00007784">
        <w:t>second</w:t>
      </w:r>
      <w:r w:rsidR="0093742B" w:rsidRPr="00007784">
        <w:t xml:space="preserve"> </w:t>
      </w:r>
      <w:r w:rsidRPr="00007784">
        <w:t xml:space="preserve">line </w:t>
      </w:r>
      <w:r w:rsidR="00911BBE" w:rsidRPr="00007784">
        <w:t xml:space="preserve">setting </w:t>
      </w:r>
      <w:r w:rsidRPr="00007784">
        <w:t xml:space="preserve">should be consistent with its recommendation from July 2018 for pembrolizumab, adjusted to incorporate the EGFR/ALK mutation positive population (estimated to be 16% of NSCLC patients). In other words, the majority of patients who will be treated under the proposed listing </w:t>
      </w:r>
      <w:r w:rsidRPr="00007784">
        <w:lastRenderedPageBreak/>
        <w:t>will already be eligible for treatment under one of the current immunotherapy listings</w:t>
      </w:r>
      <w:r w:rsidR="002740BA" w:rsidRPr="00007784">
        <w:t>. The PBAC therefore considered the financial impact of listing as calculated by the submission to be an overestimate.</w:t>
      </w:r>
    </w:p>
    <w:p w:rsidR="00576972" w:rsidRPr="00B61251" w:rsidRDefault="00576972" w:rsidP="00CB1952">
      <w:pPr>
        <w:pStyle w:val="Heading2"/>
        <w:keepNext/>
        <w:widowControl/>
        <w:spacing w:before="120"/>
      </w:pPr>
      <w:bookmarkStart w:id="27" w:name="_Toc536010760"/>
      <w:r w:rsidRPr="00007784">
        <w:t>Financial Management – Risk Sharing Arrangements</w:t>
      </w:r>
      <w:bookmarkEnd w:id="27"/>
    </w:p>
    <w:p w:rsidR="00002F9F" w:rsidRPr="00B61251" w:rsidRDefault="00056C32" w:rsidP="00CB1952">
      <w:pPr>
        <w:pStyle w:val="ListParagraph"/>
        <w:keepNext/>
        <w:widowControl/>
        <w:numPr>
          <w:ilvl w:val="1"/>
          <w:numId w:val="1"/>
        </w:numPr>
        <w:spacing w:before="120" w:after="120"/>
      </w:pPr>
      <w:r w:rsidRPr="00B61251">
        <w:t xml:space="preserve">The submission stated that the sponsor expressed its willingness to enter a confidential </w:t>
      </w:r>
      <w:r w:rsidR="00317734" w:rsidRPr="00B61251">
        <w:t>r</w:t>
      </w:r>
      <w:r w:rsidRPr="00B61251">
        <w:t>isk-sharing arrangement</w:t>
      </w:r>
      <w:r w:rsidR="00930D08" w:rsidRPr="00B61251">
        <w:t xml:space="preserve"> (RSA)</w:t>
      </w:r>
      <w:r w:rsidRPr="00B61251">
        <w:t xml:space="preserve"> with the </w:t>
      </w:r>
      <w:r w:rsidR="00B61251" w:rsidRPr="00B61251">
        <w:t>Commonwealth</w:t>
      </w:r>
      <w:r w:rsidR="00B61251">
        <w:t xml:space="preserve">. </w:t>
      </w:r>
      <w:r w:rsidR="00220FAC" w:rsidRPr="00B61251">
        <w:t>The pre-PBAC response state</w:t>
      </w:r>
      <w:r w:rsidR="00CA7639">
        <w:t>d</w:t>
      </w:r>
      <w:r w:rsidR="00220FAC" w:rsidRPr="00B61251">
        <w:t xml:space="preserve"> the sponsor is willing to manage the financial </w:t>
      </w:r>
      <w:r w:rsidR="00B61251" w:rsidRPr="00B61251">
        <w:t>uncertainty through</w:t>
      </w:r>
      <w:r w:rsidR="00220FAC" w:rsidRPr="00B61251">
        <w:t xml:space="preserve"> the existing immunotherapy NSCLC expenditure caps if the expected net cost to the PBS/ RPBS is added to the existing cap.</w:t>
      </w:r>
    </w:p>
    <w:p w:rsidR="00E47FE8" w:rsidRPr="00B61251" w:rsidRDefault="003D6819" w:rsidP="00CB1952">
      <w:pPr>
        <w:pStyle w:val="ListParagraph"/>
        <w:keepNext/>
        <w:widowControl/>
        <w:numPr>
          <w:ilvl w:val="1"/>
          <w:numId w:val="1"/>
        </w:numPr>
        <w:spacing w:before="120" w:after="120"/>
      </w:pPr>
      <w:r w:rsidRPr="00B61251">
        <w:t xml:space="preserve">The PBAC considered that the uncertainty regarding </w:t>
      </w:r>
      <w:r w:rsidR="00930D08" w:rsidRPr="00B61251">
        <w:t>uptake rates and financial impact</w:t>
      </w:r>
      <w:r w:rsidRPr="00B61251">
        <w:t xml:space="preserve"> </w:t>
      </w:r>
      <w:r w:rsidR="00E47FE8" w:rsidRPr="00B61251">
        <w:t xml:space="preserve">should </w:t>
      </w:r>
      <w:r w:rsidR="00930D08" w:rsidRPr="00B61251">
        <w:t>be managed</w:t>
      </w:r>
      <w:r w:rsidRPr="00B61251">
        <w:t xml:space="preserve"> </w:t>
      </w:r>
      <w:r w:rsidR="00E47FE8" w:rsidRPr="00B61251">
        <w:t>by including the atezolizumab first line listing in the current RSA for immunotherapies in NSCLC</w:t>
      </w:r>
      <w:r w:rsidR="00B61251">
        <w:t>.</w:t>
      </w:r>
    </w:p>
    <w:p w:rsidR="00E47FE8" w:rsidRPr="00B61251" w:rsidRDefault="00E47FE8" w:rsidP="00CB1952">
      <w:pPr>
        <w:pStyle w:val="ListParagraph"/>
        <w:keepNext/>
        <w:widowControl/>
        <w:numPr>
          <w:ilvl w:val="1"/>
          <w:numId w:val="1"/>
        </w:numPr>
        <w:spacing w:before="120" w:after="120"/>
      </w:pPr>
      <w:r w:rsidRPr="00B61251">
        <w:t xml:space="preserve">The PBAC noted the </w:t>
      </w:r>
      <w:r w:rsidR="00911BBE" w:rsidRPr="00B61251">
        <w:t xml:space="preserve">current and projected </w:t>
      </w:r>
      <w:r w:rsidRPr="00B61251">
        <w:t xml:space="preserve">caps in </w:t>
      </w:r>
      <w:r w:rsidR="000F693C" w:rsidRPr="00B61251">
        <w:t xml:space="preserve">the </w:t>
      </w:r>
      <w:r w:rsidRPr="00B61251">
        <w:t xml:space="preserve">immunotherapy </w:t>
      </w:r>
      <w:r w:rsidR="000F693C" w:rsidRPr="00B61251">
        <w:t xml:space="preserve">expenditure caps for </w:t>
      </w:r>
      <w:r w:rsidRPr="00B61251">
        <w:t xml:space="preserve">NSCLC </w:t>
      </w:r>
      <w:r w:rsidRPr="00CA7639">
        <w:rPr>
          <w:rFonts w:asciiTheme="minorHAnsi" w:hAnsiTheme="minorHAnsi" w:cstheme="minorHAnsi"/>
          <w:szCs w:val="24"/>
        </w:rPr>
        <w:t>(</w:t>
      </w:r>
      <w:r w:rsidR="00D17020" w:rsidRPr="00CA7639">
        <w:rPr>
          <w:rFonts w:asciiTheme="minorHAnsi" w:hAnsiTheme="minorHAnsi" w:cstheme="minorHAnsi"/>
          <w:bCs/>
          <w:szCs w:val="24"/>
        </w:rPr>
        <w:t>Table 15</w:t>
      </w:r>
      <w:r w:rsidRPr="00CA7639">
        <w:rPr>
          <w:rFonts w:asciiTheme="minorHAnsi" w:hAnsiTheme="minorHAnsi" w:cstheme="minorHAnsi"/>
          <w:szCs w:val="24"/>
        </w:rPr>
        <w:t>)</w:t>
      </w:r>
      <w:r w:rsidR="00E95C56" w:rsidRPr="00CA7639">
        <w:rPr>
          <w:rFonts w:asciiTheme="minorHAnsi" w:hAnsiTheme="minorHAnsi" w:cstheme="minorHAnsi"/>
          <w:szCs w:val="24"/>
        </w:rPr>
        <w:t>.</w:t>
      </w:r>
    </w:p>
    <w:p w:rsidR="00911BBE" w:rsidRPr="00B61251" w:rsidRDefault="00D17020" w:rsidP="0079332B">
      <w:pPr>
        <w:pStyle w:val="ListParagraph"/>
        <w:keepNext/>
        <w:widowControl/>
        <w:spacing w:after="0"/>
        <w:rPr>
          <w:rFonts w:ascii="Arial Narrow" w:hAnsi="Arial Narrow"/>
          <w:b/>
          <w:bCs/>
          <w:sz w:val="20"/>
          <w:szCs w:val="18"/>
        </w:rPr>
      </w:pPr>
      <w:bookmarkStart w:id="28" w:name="_Ref4506391"/>
      <w:r w:rsidRPr="00B61251">
        <w:rPr>
          <w:rFonts w:ascii="Arial Narrow" w:hAnsi="Arial Narrow"/>
          <w:b/>
          <w:bCs/>
          <w:sz w:val="20"/>
          <w:szCs w:val="18"/>
        </w:rPr>
        <w:t>Table 15</w:t>
      </w:r>
      <w:bookmarkEnd w:id="28"/>
      <w:r w:rsidRPr="00B61251">
        <w:rPr>
          <w:rFonts w:ascii="Arial Narrow" w:hAnsi="Arial Narrow"/>
          <w:b/>
          <w:bCs/>
          <w:sz w:val="20"/>
          <w:szCs w:val="18"/>
        </w:rPr>
        <w:t>:</w:t>
      </w:r>
      <w:r w:rsidR="000F693C" w:rsidRPr="00B61251">
        <w:rPr>
          <w:rFonts w:ascii="Arial Narrow" w:hAnsi="Arial Narrow"/>
          <w:b/>
          <w:bCs/>
          <w:sz w:val="20"/>
          <w:szCs w:val="18"/>
        </w:rPr>
        <w:t xml:space="preserve"> </w:t>
      </w:r>
      <w:r w:rsidR="00E47FE8" w:rsidRPr="00B61251">
        <w:rPr>
          <w:rFonts w:ascii="Arial Narrow" w:hAnsi="Arial Narrow"/>
          <w:b/>
          <w:bCs/>
          <w:sz w:val="20"/>
          <w:szCs w:val="18"/>
        </w:rPr>
        <w:t>Current</w:t>
      </w:r>
      <w:r w:rsidR="000F693C" w:rsidRPr="00B61251">
        <w:rPr>
          <w:rFonts w:ascii="Arial Narrow" w:hAnsi="Arial Narrow"/>
          <w:b/>
          <w:bCs/>
          <w:sz w:val="20"/>
          <w:szCs w:val="18"/>
        </w:rPr>
        <w:t xml:space="preserve"> cancer</w:t>
      </w:r>
      <w:r w:rsidR="00E47FE8" w:rsidRPr="00B61251">
        <w:rPr>
          <w:rFonts w:ascii="Arial Narrow" w:hAnsi="Arial Narrow"/>
          <w:b/>
          <w:bCs/>
          <w:sz w:val="20"/>
          <w:szCs w:val="18"/>
        </w:rPr>
        <w:t xml:space="preserve"> </w:t>
      </w:r>
      <w:r w:rsidR="00911BBE" w:rsidRPr="00B61251">
        <w:rPr>
          <w:rFonts w:ascii="Arial Narrow" w:hAnsi="Arial Narrow"/>
          <w:b/>
          <w:bCs/>
          <w:sz w:val="20"/>
          <w:szCs w:val="18"/>
        </w:rPr>
        <w:t xml:space="preserve">immunotherapy </w:t>
      </w:r>
      <w:r w:rsidR="000F693C" w:rsidRPr="00B61251">
        <w:rPr>
          <w:rFonts w:ascii="Arial Narrow" w:hAnsi="Arial Narrow"/>
          <w:b/>
          <w:bCs/>
          <w:sz w:val="20"/>
          <w:szCs w:val="18"/>
        </w:rPr>
        <w:t xml:space="preserve">expenditure </w:t>
      </w:r>
      <w:r w:rsidR="00E47FE8" w:rsidRPr="00B61251">
        <w:rPr>
          <w:rFonts w:ascii="Arial Narrow" w:hAnsi="Arial Narrow"/>
          <w:b/>
          <w:bCs/>
          <w:sz w:val="20"/>
          <w:szCs w:val="18"/>
        </w:rPr>
        <w:t xml:space="preserve">caps </w:t>
      </w:r>
      <w:r w:rsidR="000F693C" w:rsidRPr="00B61251">
        <w:rPr>
          <w:rFonts w:ascii="Arial Narrow" w:hAnsi="Arial Narrow"/>
          <w:b/>
          <w:bCs/>
          <w:sz w:val="20"/>
          <w:szCs w:val="18"/>
        </w:rPr>
        <w:t>for NSCLC</w:t>
      </w:r>
    </w:p>
    <w:tbl>
      <w:tblPr>
        <w:tblStyle w:val="TableGrid"/>
        <w:tblW w:w="0" w:type="auto"/>
        <w:tblInd w:w="720" w:type="dxa"/>
        <w:tblLook w:val="04A0" w:firstRow="1" w:lastRow="0" w:firstColumn="1" w:lastColumn="0" w:noHBand="0" w:noVBand="1"/>
        <w:tblCaption w:val="Current cancer immunotherapy expenditure caps for NSCLC"/>
      </w:tblPr>
      <w:tblGrid>
        <w:gridCol w:w="922"/>
        <w:gridCol w:w="1220"/>
        <w:gridCol w:w="1220"/>
        <w:gridCol w:w="1283"/>
        <w:gridCol w:w="1220"/>
        <w:gridCol w:w="1212"/>
        <w:gridCol w:w="1220"/>
      </w:tblGrid>
      <w:tr w:rsidR="000F693C" w:rsidRPr="00B61251" w:rsidTr="00FE178E">
        <w:trPr>
          <w:tblHeader/>
        </w:trPr>
        <w:tc>
          <w:tcPr>
            <w:tcW w:w="5857" w:type="dxa"/>
            <w:gridSpan w:val="5"/>
          </w:tcPr>
          <w:p w:rsidR="000F693C" w:rsidRPr="00B61251" w:rsidRDefault="000F693C" w:rsidP="0079332B">
            <w:pPr>
              <w:pStyle w:val="ListParagraph"/>
              <w:keepNext/>
              <w:widowControl/>
              <w:ind w:left="0"/>
              <w:rPr>
                <w:rFonts w:ascii="Arial Narrow" w:hAnsi="Arial Narrow"/>
                <w:b/>
                <w:bCs/>
                <w:sz w:val="20"/>
                <w:szCs w:val="20"/>
              </w:rPr>
            </w:pPr>
            <w:r w:rsidRPr="00B61251">
              <w:rPr>
                <w:rFonts w:ascii="Arial Narrow" w:hAnsi="Arial Narrow"/>
                <w:b/>
                <w:bCs/>
                <w:sz w:val="20"/>
                <w:szCs w:val="20"/>
              </w:rPr>
              <w:t>Current caps</w:t>
            </w:r>
          </w:p>
        </w:tc>
        <w:tc>
          <w:tcPr>
            <w:tcW w:w="2440" w:type="dxa"/>
            <w:gridSpan w:val="2"/>
          </w:tcPr>
          <w:p w:rsidR="000F693C" w:rsidRPr="00B61251" w:rsidRDefault="000F693C" w:rsidP="0079332B">
            <w:pPr>
              <w:pStyle w:val="ListParagraph"/>
              <w:keepNext/>
              <w:widowControl/>
              <w:ind w:left="0"/>
              <w:rPr>
                <w:rFonts w:ascii="Arial Narrow" w:hAnsi="Arial Narrow"/>
                <w:b/>
                <w:bCs/>
                <w:sz w:val="20"/>
                <w:szCs w:val="20"/>
              </w:rPr>
            </w:pPr>
            <w:r w:rsidRPr="00B61251">
              <w:rPr>
                <w:rFonts w:ascii="Arial Narrow" w:hAnsi="Arial Narrow"/>
                <w:b/>
                <w:bCs/>
                <w:sz w:val="20"/>
                <w:szCs w:val="20"/>
              </w:rPr>
              <w:t>Projected</w:t>
            </w:r>
            <w:r w:rsidR="007B68DB" w:rsidRPr="007B68DB">
              <w:rPr>
                <w:rFonts w:ascii="Arial Narrow" w:hAnsi="Arial Narrow"/>
                <w:b/>
                <w:bCs/>
                <w:sz w:val="20"/>
                <w:szCs w:val="20"/>
                <w:vertAlign w:val="superscript"/>
              </w:rPr>
              <w:t>1</w:t>
            </w:r>
          </w:p>
        </w:tc>
      </w:tr>
      <w:tr w:rsidR="00D17020" w:rsidRPr="00B61251" w:rsidTr="000F693C">
        <w:tc>
          <w:tcPr>
            <w:tcW w:w="977" w:type="dxa"/>
          </w:tcPr>
          <w:p w:rsidR="00D17020" w:rsidRPr="00007784" w:rsidRDefault="000F693C" w:rsidP="0079332B">
            <w:pPr>
              <w:pStyle w:val="ListParagraph"/>
              <w:keepNext/>
              <w:widowControl/>
              <w:ind w:left="0"/>
              <w:rPr>
                <w:rFonts w:ascii="Arial Narrow" w:hAnsi="Arial Narrow"/>
                <w:bCs/>
                <w:sz w:val="20"/>
                <w:szCs w:val="20"/>
              </w:rPr>
            </w:pPr>
            <w:r w:rsidRPr="00007784">
              <w:rPr>
                <w:rFonts w:ascii="Arial Narrow" w:hAnsi="Arial Narrow"/>
                <w:bCs/>
                <w:sz w:val="20"/>
                <w:szCs w:val="20"/>
              </w:rPr>
              <w:t>Year 1</w:t>
            </w:r>
          </w:p>
        </w:tc>
        <w:tc>
          <w:tcPr>
            <w:tcW w:w="1220" w:type="dxa"/>
            <w:vAlign w:val="bottom"/>
          </w:tcPr>
          <w:p w:rsidR="00D17020" w:rsidRPr="00B61251" w:rsidRDefault="00D17020" w:rsidP="0079332B">
            <w:pPr>
              <w:pStyle w:val="ListParagraph"/>
              <w:keepNext/>
              <w:widowControl/>
              <w:ind w:left="0"/>
              <w:rPr>
                <w:rFonts w:ascii="Arial Narrow" w:hAnsi="Arial Narrow"/>
                <w:b/>
                <w:bCs/>
                <w:sz w:val="20"/>
                <w:szCs w:val="20"/>
              </w:rPr>
            </w:pPr>
            <w:r w:rsidRPr="00B61251">
              <w:rPr>
                <w:rFonts w:ascii="Arial Narrow" w:hAnsi="Arial Narrow"/>
                <w:snapToGrid/>
                <w:color w:val="000000"/>
                <w:sz w:val="20"/>
                <w:szCs w:val="20"/>
                <w:lang w:eastAsia="en-AU"/>
              </w:rPr>
              <w:t>Year 2</w:t>
            </w:r>
          </w:p>
        </w:tc>
        <w:tc>
          <w:tcPr>
            <w:tcW w:w="1220" w:type="dxa"/>
            <w:vAlign w:val="bottom"/>
          </w:tcPr>
          <w:p w:rsidR="00D17020" w:rsidRPr="00B61251" w:rsidRDefault="00D17020" w:rsidP="0079332B">
            <w:pPr>
              <w:pStyle w:val="ListParagraph"/>
              <w:keepNext/>
              <w:widowControl/>
              <w:ind w:left="0"/>
              <w:rPr>
                <w:rFonts w:ascii="Arial Narrow" w:hAnsi="Arial Narrow"/>
                <w:b/>
                <w:bCs/>
                <w:sz w:val="20"/>
                <w:szCs w:val="20"/>
              </w:rPr>
            </w:pPr>
            <w:r w:rsidRPr="00B61251">
              <w:rPr>
                <w:rFonts w:ascii="Arial Narrow" w:hAnsi="Arial Narrow"/>
                <w:snapToGrid/>
                <w:color w:val="000000"/>
                <w:sz w:val="20"/>
                <w:szCs w:val="20"/>
                <w:lang w:eastAsia="en-AU"/>
              </w:rPr>
              <w:t>Year 3</w:t>
            </w:r>
          </w:p>
        </w:tc>
        <w:tc>
          <w:tcPr>
            <w:tcW w:w="1220" w:type="dxa"/>
            <w:vAlign w:val="bottom"/>
          </w:tcPr>
          <w:p w:rsidR="00D17020" w:rsidRPr="00B61251" w:rsidRDefault="00D17020" w:rsidP="0079332B">
            <w:pPr>
              <w:pStyle w:val="ListParagraph"/>
              <w:keepNext/>
              <w:widowControl/>
              <w:ind w:left="0"/>
              <w:rPr>
                <w:rFonts w:ascii="Arial Narrow" w:hAnsi="Arial Narrow"/>
                <w:b/>
                <w:bCs/>
                <w:sz w:val="20"/>
                <w:szCs w:val="20"/>
              </w:rPr>
            </w:pPr>
            <w:r w:rsidRPr="00B61251">
              <w:rPr>
                <w:rFonts w:ascii="Arial Narrow" w:hAnsi="Arial Narrow"/>
                <w:snapToGrid/>
                <w:color w:val="000000"/>
                <w:sz w:val="20"/>
                <w:szCs w:val="20"/>
                <w:lang w:eastAsia="en-AU"/>
              </w:rPr>
              <w:t>Year 4</w:t>
            </w:r>
          </w:p>
        </w:tc>
        <w:tc>
          <w:tcPr>
            <w:tcW w:w="1220" w:type="dxa"/>
            <w:vAlign w:val="bottom"/>
          </w:tcPr>
          <w:p w:rsidR="00D17020" w:rsidRPr="00B61251" w:rsidRDefault="00D17020" w:rsidP="0079332B">
            <w:pPr>
              <w:pStyle w:val="ListParagraph"/>
              <w:keepNext/>
              <w:widowControl/>
              <w:ind w:left="0"/>
              <w:rPr>
                <w:rFonts w:ascii="Arial Narrow" w:hAnsi="Arial Narrow"/>
                <w:b/>
                <w:bCs/>
                <w:sz w:val="20"/>
                <w:szCs w:val="20"/>
              </w:rPr>
            </w:pPr>
            <w:r w:rsidRPr="00B61251">
              <w:rPr>
                <w:rFonts w:ascii="Arial Narrow" w:hAnsi="Arial Narrow"/>
                <w:snapToGrid/>
                <w:color w:val="000000"/>
                <w:sz w:val="20"/>
                <w:szCs w:val="20"/>
                <w:lang w:eastAsia="en-AU"/>
              </w:rPr>
              <w:t>Year 5</w:t>
            </w:r>
          </w:p>
        </w:tc>
        <w:tc>
          <w:tcPr>
            <w:tcW w:w="1220" w:type="dxa"/>
            <w:vAlign w:val="bottom"/>
          </w:tcPr>
          <w:p w:rsidR="00D17020" w:rsidRPr="00B61251" w:rsidRDefault="00D17020" w:rsidP="0079332B">
            <w:pPr>
              <w:pStyle w:val="ListParagraph"/>
              <w:keepNext/>
              <w:widowControl/>
              <w:ind w:left="0"/>
              <w:rPr>
                <w:rFonts w:ascii="Arial Narrow" w:hAnsi="Arial Narrow"/>
                <w:b/>
                <w:bCs/>
                <w:sz w:val="20"/>
                <w:szCs w:val="20"/>
              </w:rPr>
            </w:pPr>
            <w:r w:rsidRPr="00B61251">
              <w:rPr>
                <w:rFonts w:ascii="Arial Narrow" w:hAnsi="Arial Narrow"/>
                <w:snapToGrid/>
                <w:color w:val="000000"/>
                <w:sz w:val="20"/>
                <w:szCs w:val="20"/>
                <w:lang w:eastAsia="en-AU"/>
              </w:rPr>
              <w:t>Year 6</w:t>
            </w:r>
          </w:p>
        </w:tc>
        <w:tc>
          <w:tcPr>
            <w:tcW w:w="1220" w:type="dxa"/>
            <w:vAlign w:val="bottom"/>
          </w:tcPr>
          <w:p w:rsidR="00D17020" w:rsidRPr="00B61251" w:rsidRDefault="00D17020" w:rsidP="0079332B">
            <w:pPr>
              <w:pStyle w:val="ListParagraph"/>
              <w:keepNext/>
              <w:widowControl/>
              <w:ind w:left="0"/>
              <w:rPr>
                <w:rFonts w:ascii="Arial Narrow" w:hAnsi="Arial Narrow"/>
                <w:b/>
                <w:bCs/>
                <w:sz w:val="20"/>
                <w:szCs w:val="20"/>
              </w:rPr>
            </w:pPr>
            <w:r w:rsidRPr="00B61251">
              <w:rPr>
                <w:rFonts w:ascii="Arial Narrow" w:hAnsi="Arial Narrow"/>
                <w:snapToGrid/>
                <w:color w:val="000000"/>
                <w:sz w:val="20"/>
                <w:szCs w:val="20"/>
                <w:lang w:eastAsia="en-AU"/>
              </w:rPr>
              <w:t>Year 7</w:t>
            </w:r>
          </w:p>
        </w:tc>
      </w:tr>
      <w:tr w:rsidR="00D17020" w:rsidRPr="00B61251" w:rsidTr="00D17020">
        <w:tc>
          <w:tcPr>
            <w:tcW w:w="977" w:type="dxa"/>
          </w:tcPr>
          <w:p w:rsidR="00D17020" w:rsidRPr="00007784" w:rsidRDefault="008A03F9" w:rsidP="0079332B">
            <w:pPr>
              <w:pStyle w:val="ListParagraph"/>
              <w:keepNext/>
              <w:widowControl/>
              <w:ind w:left="0"/>
              <w:rPr>
                <w:rFonts w:ascii="Arial Narrow" w:hAnsi="Arial Narrow"/>
                <w:bCs/>
                <w:sz w:val="20"/>
                <w:szCs w:val="20"/>
              </w:rPr>
            </w:pPr>
            <w:r w:rsidRPr="00007784">
              <w:rPr>
                <w:rFonts w:ascii="Arial Narrow" w:hAnsi="Arial Narrow"/>
                <w:bCs/>
                <w:sz w:val="20"/>
                <w:szCs w:val="20"/>
              </w:rPr>
              <w:t>N/A</w:t>
            </w:r>
            <w:r w:rsidR="007B68DB" w:rsidRPr="00007784">
              <w:rPr>
                <w:rFonts w:ascii="Arial Narrow" w:hAnsi="Arial Narrow"/>
                <w:bCs/>
                <w:sz w:val="20"/>
                <w:szCs w:val="20"/>
                <w:vertAlign w:val="superscript"/>
              </w:rPr>
              <w:t>2</w:t>
            </w:r>
          </w:p>
        </w:tc>
        <w:tc>
          <w:tcPr>
            <w:tcW w:w="1220" w:type="dxa"/>
            <w:vAlign w:val="bottom"/>
          </w:tcPr>
          <w:p w:rsidR="00D17020" w:rsidRPr="00B61251" w:rsidRDefault="00D17020" w:rsidP="0079332B">
            <w:pPr>
              <w:pStyle w:val="ListParagraph"/>
              <w:keepNext/>
              <w:widowControl/>
              <w:ind w:left="0"/>
              <w:rPr>
                <w:rFonts w:ascii="Arial Narrow" w:hAnsi="Arial Narrow"/>
                <w:snapToGrid/>
                <w:color w:val="000000"/>
                <w:sz w:val="20"/>
                <w:szCs w:val="20"/>
                <w:lang w:eastAsia="en-AU"/>
              </w:rPr>
            </w:pPr>
            <w:r w:rsidRPr="00B61251">
              <w:rPr>
                <w:rFonts w:ascii="Arial Narrow" w:hAnsi="Arial Narrow"/>
                <w:snapToGrid/>
                <w:color w:val="000000"/>
                <w:sz w:val="20"/>
                <w:szCs w:val="20"/>
                <w:lang w:eastAsia="en-AU"/>
              </w:rPr>
              <w:t>$</w:t>
            </w:r>
            <w:r w:rsidR="00DD5455">
              <w:rPr>
                <w:rFonts w:ascii="Arial Narrow" w:hAnsi="Arial Narrow"/>
                <w:noProof/>
                <w:snapToGrid/>
                <w:color w:val="000000"/>
                <w:sz w:val="20"/>
                <w:szCs w:val="20"/>
                <w:highlight w:val="black"/>
                <w:lang w:eastAsia="en-AU"/>
              </w:rPr>
              <w:t>'''''''''''''''''''''''''''''</w:t>
            </w:r>
          </w:p>
        </w:tc>
        <w:tc>
          <w:tcPr>
            <w:tcW w:w="1220" w:type="dxa"/>
            <w:vAlign w:val="bottom"/>
          </w:tcPr>
          <w:p w:rsidR="00D17020" w:rsidRPr="00B61251" w:rsidRDefault="00D17020" w:rsidP="0079332B">
            <w:pPr>
              <w:pStyle w:val="ListParagraph"/>
              <w:keepNext/>
              <w:widowControl/>
              <w:ind w:left="0"/>
              <w:rPr>
                <w:rFonts w:ascii="Arial Narrow" w:hAnsi="Arial Narrow"/>
                <w:snapToGrid/>
                <w:color w:val="000000"/>
                <w:sz w:val="20"/>
                <w:szCs w:val="20"/>
                <w:lang w:eastAsia="en-AU"/>
              </w:rPr>
            </w:pPr>
            <w:r w:rsidRPr="00B61251">
              <w:rPr>
                <w:rFonts w:ascii="Arial Narrow" w:hAnsi="Arial Narrow"/>
                <w:snapToGrid/>
                <w:color w:val="000000"/>
                <w:sz w:val="20"/>
                <w:szCs w:val="20"/>
                <w:lang w:eastAsia="en-AU"/>
              </w:rPr>
              <w:t>$</w:t>
            </w:r>
            <w:r w:rsidR="00DD5455">
              <w:rPr>
                <w:rFonts w:ascii="Arial Narrow" w:hAnsi="Arial Narrow"/>
                <w:noProof/>
                <w:snapToGrid/>
                <w:color w:val="000000"/>
                <w:sz w:val="20"/>
                <w:szCs w:val="20"/>
                <w:highlight w:val="black"/>
                <w:lang w:eastAsia="en-AU"/>
              </w:rPr>
              <w:t>'''''''''''''''''''''''''''''</w:t>
            </w:r>
          </w:p>
        </w:tc>
        <w:tc>
          <w:tcPr>
            <w:tcW w:w="1220" w:type="dxa"/>
            <w:vAlign w:val="bottom"/>
          </w:tcPr>
          <w:p w:rsidR="00D17020" w:rsidRPr="00B61251" w:rsidRDefault="00D17020" w:rsidP="0079332B">
            <w:pPr>
              <w:pStyle w:val="ListParagraph"/>
              <w:keepNext/>
              <w:widowControl/>
              <w:ind w:left="0"/>
              <w:rPr>
                <w:rFonts w:ascii="Arial Narrow" w:hAnsi="Arial Narrow"/>
                <w:snapToGrid/>
                <w:color w:val="000000"/>
                <w:sz w:val="20"/>
                <w:szCs w:val="20"/>
                <w:lang w:eastAsia="en-AU"/>
              </w:rPr>
            </w:pPr>
            <w:r w:rsidRPr="00B61251">
              <w:rPr>
                <w:rFonts w:ascii="Arial Narrow" w:hAnsi="Arial Narrow"/>
                <w:snapToGrid/>
                <w:color w:val="000000"/>
                <w:sz w:val="20"/>
                <w:szCs w:val="20"/>
                <w:lang w:eastAsia="en-AU"/>
              </w:rPr>
              <w:t>$</w:t>
            </w:r>
            <w:r w:rsidR="00DD5455">
              <w:rPr>
                <w:rFonts w:ascii="Arial Narrow" w:hAnsi="Arial Narrow"/>
                <w:noProof/>
                <w:snapToGrid/>
                <w:color w:val="000000"/>
                <w:sz w:val="20"/>
                <w:szCs w:val="20"/>
                <w:highlight w:val="black"/>
                <w:lang w:eastAsia="en-AU"/>
              </w:rPr>
              <w:t>'''''''''''''''''''''''''''''''</w:t>
            </w:r>
          </w:p>
        </w:tc>
        <w:tc>
          <w:tcPr>
            <w:tcW w:w="1220" w:type="dxa"/>
            <w:vAlign w:val="bottom"/>
          </w:tcPr>
          <w:p w:rsidR="00D17020" w:rsidRPr="00B61251" w:rsidRDefault="00D17020" w:rsidP="0079332B">
            <w:pPr>
              <w:pStyle w:val="ListParagraph"/>
              <w:keepNext/>
              <w:widowControl/>
              <w:ind w:left="0"/>
              <w:rPr>
                <w:rFonts w:ascii="Arial Narrow" w:hAnsi="Arial Narrow"/>
                <w:snapToGrid/>
                <w:color w:val="000000"/>
                <w:sz w:val="20"/>
                <w:szCs w:val="20"/>
                <w:lang w:eastAsia="en-AU"/>
              </w:rPr>
            </w:pPr>
            <w:r w:rsidRPr="00B61251">
              <w:rPr>
                <w:rFonts w:ascii="Arial Narrow" w:hAnsi="Arial Narrow"/>
                <w:snapToGrid/>
                <w:color w:val="000000"/>
                <w:sz w:val="20"/>
                <w:szCs w:val="20"/>
                <w:lang w:eastAsia="en-AU"/>
              </w:rPr>
              <w:t>$</w:t>
            </w:r>
            <w:r w:rsidR="00DD5455">
              <w:rPr>
                <w:rFonts w:ascii="Arial Narrow" w:hAnsi="Arial Narrow"/>
                <w:noProof/>
                <w:snapToGrid/>
                <w:color w:val="000000"/>
                <w:sz w:val="20"/>
                <w:szCs w:val="20"/>
                <w:highlight w:val="black"/>
                <w:lang w:eastAsia="en-AU"/>
              </w:rPr>
              <w:t>'''''''''''''''''''''''''''''</w:t>
            </w:r>
          </w:p>
        </w:tc>
        <w:tc>
          <w:tcPr>
            <w:tcW w:w="1220" w:type="dxa"/>
            <w:vAlign w:val="bottom"/>
          </w:tcPr>
          <w:p w:rsidR="00D17020" w:rsidRPr="00B61251" w:rsidRDefault="00D17020" w:rsidP="0079332B">
            <w:pPr>
              <w:pStyle w:val="ListParagraph"/>
              <w:keepNext/>
              <w:widowControl/>
              <w:ind w:left="0"/>
              <w:rPr>
                <w:rFonts w:ascii="Arial Narrow" w:hAnsi="Arial Narrow"/>
                <w:snapToGrid/>
                <w:color w:val="000000"/>
                <w:sz w:val="20"/>
                <w:szCs w:val="20"/>
                <w:lang w:eastAsia="en-AU"/>
              </w:rPr>
            </w:pPr>
            <w:r w:rsidRPr="00B61251">
              <w:rPr>
                <w:rFonts w:ascii="Arial Narrow" w:hAnsi="Arial Narrow"/>
                <w:snapToGrid/>
                <w:color w:val="000000"/>
                <w:sz w:val="20"/>
                <w:szCs w:val="20"/>
                <w:lang w:eastAsia="en-AU"/>
              </w:rPr>
              <w:t>$</w:t>
            </w:r>
            <w:r w:rsidR="00DD5455">
              <w:rPr>
                <w:rFonts w:ascii="Arial Narrow" w:hAnsi="Arial Narrow"/>
                <w:noProof/>
                <w:snapToGrid/>
                <w:color w:val="000000"/>
                <w:sz w:val="20"/>
                <w:szCs w:val="20"/>
                <w:highlight w:val="black"/>
                <w:lang w:eastAsia="en-AU"/>
              </w:rPr>
              <w:t>'''''''''''''''''''''''''''</w:t>
            </w:r>
          </w:p>
        </w:tc>
        <w:tc>
          <w:tcPr>
            <w:tcW w:w="1220" w:type="dxa"/>
            <w:vAlign w:val="bottom"/>
          </w:tcPr>
          <w:p w:rsidR="00D17020" w:rsidRPr="00B61251" w:rsidRDefault="00D17020" w:rsidP="0079332B">
            <w:pPr>
              <w:pStyle w:val="ListParagraph"/>
              <w:keepNext/>
              <w:widowControl/>
              <w:ind w:left="0"/>
              <w:rPr>
                <w:rFonts w:ascii="Arial Narrow" w:hAnsi="Arial Narrow"/>
                <w:snapToGrid/>
                <w:color w:val="000000"/>
                <w:sz w:val="20"/>
                <w:szCs w:val="20"/>
                <w:lang w:eastAsia="en-AU"/>
              </w:rPr>
            </w:pPr>
            <w:r w:rsidRPr="00B61251">
              <w:rPr>
                <w:rFonts w:ascii="Arial Narrow" w:hAnsi="Arial Narrow"/>
                <w:snapToGrid/>
                <w:color w:val="000000"/>
                <w:sz w:val="20"/>
                <w:szCs w:val="20"/>
                <w:lang w:eastAsia="en-AU"/>
              </w:rPr>
              <w:t>$</w:t>
            </w:r>
            <w:r w:rsidR="00DD5455">
              <w:rPr>
                <w:rFonts w:ascii="Arial Narrow" w:hAnsi="Arial Narrow"/>
                <w:noProof/>
                <w:snapToGrid/>
                <w:color w:val="000000"/>
                <w:sz w:val="20"/>
                <w:szCs w:val="20"/>
                <w:highlight w:val="black"/>
                <w:lang w:eastAsia="en-AU"/>
              </w:rPr>
              <w:t>'''''''''''''''''''''''''''''</w:t>
            </w:r>
          </w:p>
        </w:tc>
      </w:tr>
    </w:tbl>
    <w:p w:rsidR="00E47FE8" w:rsidRDefault="007B68DB" w:rsidP="0079332B">
      <w:pPr>
        <w:pStyle w:val="ListParagraph"/>
        <w:keepNext/>
        <w:widowControl/>
        <w:spacing w:after="0"/>
        <w:rPr>
          <w:rFonts w:ascii="Arial Narrow" w:hAnsi="Arial Narrow"/>
          <w:sz w:val="16"/>
          <w:szCs w:val="16"/>
        </w:rPr>
      </w:pPr>
      <w:r>
        <w:rPr>
          <w:rFonts w:ascii="Arial Narrow" w:hAnsi="Arial Narrow"/>
          <w:sz w:val="16"/>
          <w:szCs w:val="16"/>
        </w:rPr>
        <w:t>1. P</w:t>
      </w:r>
      <w:r w:rsidR="00911BBE" w:rsidRPr="00B61251">
        <w:rPr>
          <w:rFonts w:ascii="Arial Narrow" w:hAnsi="Arial Narrow"/>
          <w:sz w:val="16"/>
          <w:szCs w:val="16"/>
        </w:rPr>
        <w:t>rojected caps assume 1.5% population growth</w:t>
      </w:r>
    </w:p>
    <w:p w:rsidR="007B68DB" w:rsidRPr="00B61251" w:rsidRDefault="007B68DB" w:rsidP="0079332B">
      <w:pPr>
        <w:pStyle w:val="ListParagraph"/>
        <w:keepNext/>
        <w:widowControl/>
        <w:spacing w:after="0"/>
        <w:rPr>
          <w:rFonts w:ascii="Arial Narrow" w:hAnsi="Arial Narrow"/>
          <w:sz w:val="16"/>
          <w:szCs w:val="16"/>
        </w:rPr>
      </w:pPr>
      <w:r>
        <w:rPr>
          <w:rFonts w:ascii="Arial Narrow" w:hAnsi="Arial Narrow"/>
          <w:sz w:val="16"/>
          <w:szCs w:val="16"/>
        </w:rPr>
        <w:t xml:space="preserve">2. </w:t>
      </w:r>
      <w:r w:rsidRPr="007B68DB">
        <w:rPr>
          <w:rFonts w:ascii="Arial Narrow" w:hAnsi="Arial Narrow"/>
          <w:sz w:val="16"/>
          <w:szCs w:val="16"/>
        </w:rPr>
        <w:t>Year 1 cap has not been included as year 1 of deed has been completed and as it does not encompass all current listing</w:t>
      </w:r>
    </w:p>
    <w:p w:rsidR="00911BBE" w:rsidRDefault="00911BBE" w:rsidP="0079332B">
      <w:pPr>
        <w:pStyle w:val="ListParagraph"/>
        <w:keepNext/>
        <w:widowControl/>
        <w:spacing w:after="0"/>
        <w:rPr>
          <w:rFonts w:ascii="Arial Narrow" w:hAnsi="Arial Narrow"/>
          <w:sz w:val="16"/>
          <w:szCs w:val="16"/>
        </w:rPr>
      </w:pPr>
      <w:r w:rsidRPr="00B61251">
        <w:rPr>
          <w:rFonts w:ascii="Arial Narrow" w:hAnsi="Arial Narrow"/>
          <w:sz w:val="16"/>
          <w:szCs w:val="16"/>
        </w:rPr>
        <w:t>Source: current</w:t>
      </w:r>
      <w:r w:rsidR="000F693C" w:rsidRPr="00B61251">
        <w:rPr>
          <w:rFonts w:ascii="Arial Narrow" w:hAnsi="Arial Narrow"/>
          <w:sz w:val="16"/>
          <w:szCs w:val="16"/>
        </w:rPr>
        <w:t xml:space="preserve"> cancer immunotherapy </w:t>
      </w:r>
      <w:r w:rsidRPr="00B61251">
        <w:rPr>
          <w:rFonts w:ascii="Arial Narrow" w:hAnsi="Arial Narrow"/>
          <w:sz w:val="16"/>
          <w:szCs w:val="16"/>
        </w:rPr>
        <w:t xml:space="preserve">RSA </w:t>
      </w:r>
      <w:r w:rsidR="00B61251" w:rsidRPr="00B61251">
        <w:rPr>
          <w:rFonts w:ascii="Arial Narrow" w:hAnsi="Arial Narrow"/>
          <w:sz w:val="16"/>
          <w:szCs w:val="16"/>
        </w:rPr>
        <w:t>for NSCLC</w:t>
      </w:r>
    </w:p>
    <w:p w:rsidR="008352B7" w:rsidRDefault="008352B7" w:rsidP="0079332B">
      <w:pPr>
        <w:pStyle w:val="ListParagraph"/>
        <w:keepNext/>
        <w:widowControl/>
        <w:spacing w:after="0"/>
        <w:rPr>
          <w:rFonts w:ascii="Arial Narrow" w:hAnsi="Arial Narrow"/>
          <w:sz w:val="16"/>
          <w:szCs w:val="16"/>
        </w:rPr>
      </w:pPr>
    </w:p>
    <w:p w:rsidR="00911BBE" w:rsidRPr="008352B7" w:rsidRDefault="008352B7" w:rsidP="0079332B">
      <w:pPr>
        <w:widowControl/>
        <w:spacing w:after="120"/>
        <w:jc w:val="center"/>
        <w:rPr>
          <w:b/>
          <w:szCs w:val="24"/>
          <w:u w:val="single"/>
        </w:rPr>
      </w:pPr>
      <w:r w:rsidRPr="008352B7">
        <w:rPr>
          <w:b/>
          <w:szCs w:val="24"/>
          <w:u w:val="single"/>
        </w:rPr>
        <w:t>Committee-In-Confidence information</w:t>
      </w:r>
    </w:p>
    <w:p w:rsidR="001D5CC4" w:rsidRPr="001D790C" w:rsidRDefault="001D790C" w:rsidP="0079332B">
      <w:pPr>
        <w:pStyle w:val="ListParagraph"/>
        <w:keepNext/>
        <w:widowControl/>
        <w:numPr>
          <w:ilvl w:val="1"/>
          <w:numId w:val="1"/>
        </w:numPr>
        <w:rPr>
          <w:highlight w:val="black"/>
        </w:rPr>
      </w:pPr>
      <w:r>
        <w:rPr>
          <w:noProof/>
          <w:color w:val="000000"/>
          <w:highlight w:val="black"/>
        </w:rPr>
        <w:t>''''''' ''''''''''' '''''''''''' '''''' ''''''''''''''''''''''''''' ''''''''''''' '''''''' ''''''' '''''''' ''' ''''''' ''''''''' ''' ''''''''' '''''''''' '''''''''' '''''''' '''' ''''''''''' '''''''''' '''' ''' ''''''''''' '''' '''''' ''''''''''''''''''''''' '''''''' ''''''' ''''''''''''''''' '''' '''''' ''''''' ''''''''''''''''''''''''''''''''' ''''''''''' ''''' '''''' ''''''' ''''' '''''''''''' '''''''' '''''' '''''' ''''''''''' '''''''''''' '''''''''''''' '''''''''''''''' '''' ''''''''' ''''''''''''</w:t>
      </w:r>
      <w:r w:rsidR="00FA4183" w:rsidRPr="001D790C">
        <w:rPr>
          <w:highlight w:val="black"/>
        </w:rPr>
        <w:t xml:space="preserve"> </w:t>
      </w:r>
    </w:p>
    <w:p w:rsidR="008352B7" w:rsidRPr="008352B7" w:rsidRDefault="008352B7" w:rsidP="0079332B">
      <w:pPr>
        <w:widowControl/>
        <w:spacing w:after="120"/>
        <w:jc w:val="center"/>
        <w:rPr>
          <w:b/>
          <w:szCs w:val="24"/>
          <w:u w:val="single"/>
        </w:rPr>
      </w:pPr>
      <w:r>
        <w:rPr>
          <w:b/>
          <w:szCs w:val="24"/>
          <w:u w:val="single"/>
        </w:rPr>
        <w:t>End C</w:t>
      </w:r>
      <w:r w:rsidRPr="008352B7">
        <w:rPr>
          <w:b/>
          <w:szCs w:val="24"/>
          <w:u w:val="single"/>
        </w:rPr>
        <w:t>ommittee-In-Confidence information</w:t>
      </w:r>
    </w:p>
    <w:p w:rsidR="003D6819" w:rsidRPr="00B61251" w:rsidRDefault="00E47FE8" w:rsidP="00CB1952">
      <w:pPr>
        <w:pStyle w:val="ListParagraph"/>
        <w:keepNext/>
        <w:widowControl/>
        <w:numPr>
          <w:ilvl w:val="1"/>
          <w:numId w:val="1"/>
        </w:numPr>
        <w:spacing w:before="120" w:after="120"/>
      </w:pPr>
      <w:r w:rsidRPr="00B61251">
        <w:t xml:space="preserve">The PBAC further noted the Department’s advice that current expenditure for immunotherapies in NSCLC is </w:t>
      </w:r>
      <w:r w:rsidR="002740BA" w:rsidRPr="00B61251">
        <w:t>3</w:t>
      </w:r>
      <w:r w:rsidR="006C2006">
        <w:t>0%-</w:t>
      </w:r>
      <w:r w:rsidR="002740BA" w:rsidRPr="00B61251">
        <w:t xml:space="preserve">40% </w:t>
      </w:r>
      <w:r w:rsidRPr="00B61251">
        <w:t>lower than envisaged when these caps were established</w:t>
      </w:r>
      <w:r w:rsidR="00883F0D" w:rsidRPr="00B61251">
        <w:t xml:space="preserve">, and agreed </w:t>
      </w:r>
      <w:r w:rsidR="000F693C" w:rsidRPr="00B61251">
        <w:t xml:space="preserve">with the Department </w:t>
      </w:r>
      <w:r w:rsidR="00883F0D" w:rsidRPr="00B61251">
        <w:t xml:space="preserve">it is reasonable to conclude the expected expenditure for atezolizumab could </w:t>
      </w:r>
      <w:r w:rsidR="00D30FB9" w:rsidRPr="00B61251">
        <w:t xml:space="preserve">likely </w:t>
      </w:r>
      <w:r w:rsidR="00883F0D" w:rsidRPr="00B61251">
        <w:t>be accommodated within these caps.</w:t>
      </w:r>
    </w:p>
    <w:p w:rsidR="00952886" w:rsidRPr="00B61251" w:rsidRDefault="00952886" w:rsidP="00CB1952">
      <w:pPr>
        <w:pStyle w:val="ListParagraph"/>
        <w:widowControl/>
        <w:spacing w:before="120" w:after="120"/>
        <w:ind w:left="709"/>
        <w:rPr>
          <w:rFonts w:asciiTheme="minorHAnsi" w:hAnsiTheme="minorHAnsi"/>
          <w:i/>
        </w:rPr>
      </w:pPr>
      <w:r w:rsidRPr="00B61251">
        <w:rPr>
          <w:rFonts w:asciiTheme="minorHAnsi" w:hAnsiTheme="minorHAnsi"/>
          <w:i/>
        </w:rPr>
        <w:t>For more detail on PBAC’s view, see section 7 PBAC outcome.</w:t>
      </w:r>
    </w:p>
    <w:p w:rsidR="005B12C9" w:rsidRPr="004D3B19" w:rsidRDefault="005B12C9" w:rsidP="00CB1952">
      <w:pPr>
        <w:pStyle w:val="PBACHeading1"/>
        <w:keepNext/>
        <w:spacing w:before="120"/>
      </w:pPr>
      <w:r w:rsidRPr="004D3B19">
        <w:t>PBAC Outcome</w:t>
      </w:r>
    </w:p>
    <w:p w:rsidR="007D7562" w:rsidRPr="00F77E7A" w:rsidRDefault="00D6243F" w:rsidP="00CB1952">
      <w:pPr>
        <w:widowControl/>
        <w:numPr>
          <w:ilvl w:val="1"/>
          <w:numId w:val="1"/>
        </w:numPr>
        <w:spacing w:before="120" w:after="120"/>
        <w:rPr>
          <w:rFonts w:asciiTheme="minorHAnsi" w:hAnsiTheme="minorHAnsi"/>
          <w:bCs/>
          <w:szCs w:val="24"/>
        </w:rPr>
      </w:pPr>
      <w:r w:rsidRPr="00B61251">
        <w:t>The</w:t>
      </w:r>
      <w:r w:rsidRPr="00B61251">
        <w:rPr>
          <w:rFonts w:asciiTheme="minorHAnsi" w:hAnsiTheme="minorHAnsi"/>
          <w:bCs/>
        </w:rPr>
        <w:t xml:space="preserve"> PBAC recommended the </w:t>
      </w:r>
      <w:r w:rsidR="004274CD" w:rsidRPr="006D767C">
        <w:rPr>
          <w:bCs/>
        </w:rPr>
        <w:t xml:space="preserve">Section 100 (Efficient Funding of Chemotherapy - Public and Private Hospital) Authority Required (STREAMLINED) </w:t>
      </w:r>
      <w:r w:rsidRPr="00B61251">
        <w:rPr>
          <w:rFonts w:asciiTheme="minorHAnsi" w:hAnsiTheme="minorHAnsi"/>
          <w:bCs/>
        </w:rPr>
        <w:t xml:space="preserve">listing of </w:t>
      </w:r>
      <w:r w:rsidRPr="00B61251">
        <w:t xml:space="preserve">atezolizumab and bevacizumab in combination with platinum doublet chemotherapy (PDC), for the first line treatment of patients with stage IV metastatic non-squamous (NSQ) non-small </w:t>
      </w:r>
      <w:r w:rsidRPr="00B61251">
        <w:lastRenderedPageBreak/>
        <w:t>cell lung cancer (NSCLC)</w:t>
      </w:r>
      <w:r w:rsidR="007D7562">
        <w:t xml:space="preserve"> on the basis that it should</w:t>
      </w:r>
      <w:r w:rsidRPr="00B61251">
        <w:rPr>
          <w:rFonts w:asciiTheme="minorHAnsi" w:hAnsiTheme="minorHAnsi"/>
          <w:bCs/>
        </w:rPr>
        <w:t xml:space="preserve"> be available only under special arrangements under the Section 100 </w:t>
      </w:r>
      <w:r w:rsidRPr="00B61251">
        <w:rPr>
          <w:rFonts w:cs="Times New Roman"/>
          <w:snapToGrid/>
          <w:szCs w:val="24"/>
          <w:lang w:eastAsia="en-AU"/>
        </w:rPr>
        <w:t>(Efficient Funding of Chemotherapy) Program</w:t>
      </w:r>
      <w:r w:rsidRPr="00B61251">
        <w:rPr>
          <w:rFonts w:asciiTheme="minorHAnsi" w:hAnsiTheme="minorHAnsi"/>
          <w:bCs/>
        </w:rPr>
        <w:t xml:space="preserve">. </w:t>
      </w:r>
      <w:r w:rsidR="007D7562" w:rsidRPr="00F77E7A">
        <w:rPr>
          <w:rFonts w:asciiTheme="minorHAnsi" w:hAnsiTheme="minorHAnsi"/>
          <w:bCs/>
          <w:szCs w:val="24"/>
        </w:rPr>
        <w:t>The PBAC recommended the special arrangements and circumstances described in the tables in section 8 below.</w:t>
      </w:r>
    </w:p>
    <w:p w:rsidR="005B12C9" w:rsidRPr="00B61251" w:rsidRDefault="005B12C9"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w:t>
      </w:r>
      <w:r w:rsidR="00064496" w:rsidRPr="00B61251">
        <w:rPr>
          <w:rFonts w:asciiTheme="minorHAnsi" w:hAnsiTheme="minorHAnsi"/>
          <w:bCs/>
        </w:rPr>
        <w:t>wa</w:t>
      </w:r>
      <w:r w:rsidRPr="00B61251">
        <w:rPr>
          <w:rFonts w:asciiTheme="minorHAnsi" w:hAnsiTheme="minorHAnsi"/>
          <w:bCs/>
        </w:rPr>
        <w:t xml:space="preserve">s satisfied that </w:t>
      </w:r>
      <w:r w:rsidR="00A350F9" w:rsidRPr="00B61251">
        <w:t>atezolizumab + bevacizumab</w:t>
      </w:r>
      <w:r w:rsidR="00236CF2" w:rsidRPr="00B61251">
        <w:t xml:space="preserve"> in combination with PDC</w:t>
      </w:r>
      <w:r w:rsidR="00A350F9" w:rsidRPr="00B61251" w:rsidDel="00A350F9">
        <w:rPr>
          <w:rFonts w:asciiTheme="minorHAnsi" w:hAnsiTheme="minorHAnsi"/>
          <w:bCs/>
        </w:rPr>
        <w:t xml:space="preserve"> </w:t>
      </w:r>
      <w:r w:rsidRPr="00B61251">
        <w:rPr>
          <w:rFonts w:asciiTheme="minorHAnsi" w:hAnsiTheme="minorHAnsi"/>
          <w:bCs/>
        </w:rPr>
        <w:t>provides, for some patients, a significant im</w:t>
      </w:r>
      <w:r w:rsidR="00003733" w:rsidRPr="00B61251">
        <w:rPr>
          <w:rFonts w:asciiTheme="minorHAnsi" w:hAnsiTheme="minorHAnsi"/>
          <w:bCs/>
        </w:rPr>
        <w:t>p</w:t>
      </w:r>
      <w:r w:rsidRPr="00B61251">
        <w:rPr>
          <w:rFonts w:asciiTheme="minorHAnsi" w:hAnsiTheme="minorHAnsi"/>
          <w:bCs/>
        </w:rPr>
        <w:t xml:space="preserve">rovement in efficacy over </w:t>
      </w:r>
      <w:r w:rsidR="00064496" w:rsidRPr="00B61251">
        <w:rPr>
          <w:rFonts w:asciiTheme="minorHAnsi" w:hAnsiTheme="minorHAnsi"/>
          <w:bCs/>
        </w:rPr>
        <w:t>PDC</w:t>
      </w:r>
      <w:r w:rsidR="00806218" w:rsidRPr="00B61251">
        <w:rPr>
          <w:rFonts w:asciiTheme="minorHAnsi" w:hAnsiTheme="minorHAnsi"/>
          <w:bCs/>
        </w:rPr>
        <w:t xml:space="preserve">, or, for patients with PDL1 TPS </w:t>
      </w:r>
      <w:r w:rsidR="00806218" w:rsidRPr="00B61251">
        <w:rPr>
          <w:rFonts w:asciiTheme="minorHAnsi" w:hAnsiTheme="minorHAnsi" w:cstheme="minorHAnsi"/>
          <w:bCs/>
        </w:rPr>
        <w:t>≥</w:t>
      </w:r>
      <w:r w:rsidR="00806218" w:rsidRPr="00B61251">
        <w:rPr>
          <w:rFonts w:asciiTheme="minorHAnsi" w:hAnsiTheme="minorHAnsi"/>
          <w:bCs/>
        </w:rPr>
        <w:t xml:space="preserve"> 50%</w:t>
      </w:r>
      <w:r w:rsidR="00E915DD" w:rsidRPr="00B61251">
        <w:rPr>
          <w:rFonts w:asciiTheme="minorHAnsi" w:hAnsiTheme="minorHAnsi"/>
          <w:bCs/>
        </w:rPr>
        <w:t xml:space="preserve">, EGFR/ALK negative, </w:t>
      </w:r>
      <w:r w:rsidR="00806218" w:rsidRPr="00B61251">
        <w:rPr>
          <w:rFonts w:asciiTheme="minorHAnsi" w:hAnsiTheme="minorHAnsi"/>
          <w:bCs/>
        </w:rPr>
        <w:t>NSQ disease</w:t>
      </w:r>
      <w:r w:rsidR="00E915DD" w:rsidRPr="00B61251">
        <w:rPr>
          <w:rFonts w:asciiTheme="minorHAnsi" w:hAnsiTheme="minorHAnsi"/>
          <w:bCs/>
        </w:rPr>
        <w:t>, that atezolizumab + bevacizumab in combination with PDC will deliver similar clinical outcomes to pembrolizumab followed by chemotherapy.</w:t>
      </w:r>
    </w:p>
    <w:p w:rsidR="006F4090" w:rsidRPr="00B61251" w:rsidRDefault="0052117E"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recommended the </w:t>
      </w:r>
      <w:r w:rsidR="00064496" w:rsidRPr="00B61251">
        <w:rPr>
          <w:rFonts w:asciiTheme="minorHAnsi" w:hAnsiTheme="minorHAnsi"/>
          <w:bCs/>
        </w:rPr>
        <w:t xml:space="preserve">listing and </w:t>
      </w:r>
      <w:r w:rsidRPr="00B61251">
        <w:rPr>
          <w:rFonts w:asciiTheme="minorHAnsi" w:hAnsiTheme="minorHAnsi"/>
          <w:bCs/>
        </w:rPr>
        <w:t>restrictions proposed in the submission with amendments proposed by the secretariat to reflect the need for stable or responding disease for continuing treatment, or the need for progressive disease following treatment with TKIs</w:t>
      </w:r>
      <w:r w:rsidR="00EA160E" w:rsidRPr="00B61251">
        <w:rPr>
          <w:rFonts w:asciiTheme="minorHAnsi" w:hAnsiTheme="minorHAnsi"/>
          <w:bCs/>
        </w:rPr>
        <w:t xml:space="preserve"> </w:t>
      </w:r>
      <w:r w:rsidR="00A177D2" w:rsidRPr="00B61251">
        <w:rPr>
          <w:rFonts w:asciiTheme="minorHAnsi" w:hAnsiTheme="minorHAnsi"/>
          <w:bCs/>
        </w:rPr>
        <w:t>in the EGFR mutant/ALK positive population</w:t>
      </w:r>
      <w:r w:rsidRPr="00B61251">
        <w:rPr>
          <w:rFonts w:asciiTheme="minorHAnsi" w:hAnsiTheme="minorHAnsi"/>
          <w:bCs/>
        </w:rPr>
        <w:t xml:space="preserve">. </w:t>
      </w:r>
      <w:r w:rsidR="006F4090" w:rsidRPr="00B61251">
        <w:rPr>
          <w:rFonts w:asciiTheme="minorHAnsi" w:hAnsiTheme="minorHAnsi"/>
          <w:bCs/>
        </w:rPr>
        <w:t>The PBAC recommended the inclusion of a grandfathering restriction as proposed by the submission, with the secretariat suggested changes.</w:t>
      </w:r>
      <w:r w:rsidR="00E915DD" w:rsidRPr="00B61251">
        <w:rPr>
          <w:rFonts w:asciiTheme="minorHAnsi" w:hAnsiTheme="minorHAnsi"/>
          <w:bCs/>
        </w:rPr>
        <w:t xml:space="preserve"> The PBAC noted the </w:t>
      </w:r>
      <w:r w:rsidR="00353F11" w:rsidRPr="00B61251">
        <w:rPr>
          <w:rFonts w:asciiTheme="minorHAnsi" w:hAnsiTheme="minorHAnsi"/>
          <w:bCs/>
        </w:rPr>
        <w:t>PSCR indicated that</w:t>
      </w:r>
      <w:r w:rsidR="00E915DD" w:rsidRPr="00B61251">
        <w:rPr>
          <w:rFonts w:asciiTheme="minorHAnsi" w:hAnsiTheme="minorHAnsi"/>
          <w:bCs/>
        </w:rPr>
        <w:t xml:space="preserve"> </w:t>
      </w:r>
      <w:r w:rsidR="00DD5455">
        <w:rPr>
          <w:rFonts w:asciiTheme="minorHAnsi" w:hAnsiTheme="minorHAnsi"/>
          <w:bCs/>
          <w:noProof/>
          <w:color w:val="000000"/>
          <w:highlight w:val="black"/>
        </w:rPr>
        <w:t>'''''</w:t>
      </w:r>
      <w:r w:rsidR="00353F11" w:rsidRPr="00B61251">
        <w:rPr>
          <w:rFonts w:asciiTheme="minorHAnsi" w:hAnsiTheme="minorHAnsi"/>
          <w:bCs/>
        </w:rPr>
        <w:t xml:space="preserve"> p</w:t>
      </w:r>
      <w:r w:rsidR="00E915DD" w:rsidRPr="00B61251">
        <w:rPr>
          <w:rFonts w:asciiTheme="minorHAnsi" w:hAnsiTheme="minorHAnsi"/>
          <w:bCs/>
        </w:rPr>
        <w:t xml:space="preserve">atients </w:t>
      </w:r>
      <w:r w:rsidR="00353F11" w:rsidRPr="00B61251">
        <w:rPr>
          <w:rFonts w:asciiTheme="minorHAnsi" w:hAnsiTheme="minorHAnsi"/>
          <w:bCs/>
        </w:rPr>
        <w:t>were receiving treatment through a sponsor program</w:t>
      </w:r>
      <w:r w:rsidR="002740BA" w:rsidRPr="00B61251">
        <w:rPr>
          <w:rFonts w:asciiTheme="minorHAnsi" w:hAnsiTheme="minorHAnsi"/>
          <w:bCs/>
        </w:rPr>
        <w:t xml:space="preserve"> and would need grandfathering onto PBS subsidy</w:t>
      </w:r>
      <w:r w:rsidR="00E95C56">
        <w:rPr>
          <w:rFonts w:asciiTheme="minorHAnsi" w:hAnsiTheme="minorHAnsi"/>
          <w:bCs/>
        </w:rPr>
        <w:t>.</w:t>
      </w:r>
    </w:p>
    <w:p w:rsidR="00D6243F" w:rsidRPr="00B61251" w:rsidRDefault="008E28BE"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considered that </w:t>
      </w:r>
      <w:r w:rsidR="00E915DD" w:rsidRPr="00B61251">
        <w:rPr>
          <w:rFonts w:asciiTheme="minorHAnsi" w:hAnsiTheme="minorHAnsi"/>
          <w:bCs/>
        </w:rPr>
        <w:t xml:space="preserve">identifying </w:t>
      </w:r>
      <w:r w:rsidRPr="00B61251">
        <w:rPr>
          <w:rFonts w:asciiTheme="minorHAnsi" w:hAnsiTheme="minorHAnsi"/>
          <w:bCs/>
        </w:rPr>
        <w:t xml:space="preserve">the place </w:t>
      </w:r>
      <w:r w:rsidR="00E915DD" w:rsidRPr="00B61251">
        <w:rPr>
          <w:rFonts w:asciiTheme="minorHAnsi" w:hAnsiTheme="minorHAnsi"/>
          <w:bCs/>
        </w:rPr>
        <w:t>of</w:t>
      </w:r>
      <w:r w:rsidR="0071699D" w:rsidRPr="00B61251">
        <w:rPr>
          <w:rFonts w:asciiTheme="minorHAnsi" w:hAnsiTheme="minorHAnsi"/>
          <w:bCs/>
        </w:rPr>
        <w:t xml:space="preserve"> atezolizumab </w:t>
      </w:r>
      <w:r w:rsidR="00E915DD" w:rsidRPr="00B61251">
        <w:rPr>
          <w:rFonts w:asciiTheme="minorHAnsi" w:hAnsiTheme="minorHAnsi"/>
          <w:bCs/>
        </w:rPr>
        <w:t xml:space="preserve">with </w:t>
      </w:r>
      <w:r w:rsidR="0071699D" w:rsidRPr="00B61251">
        <w:rPr>
          <w:rFonts w:asciiTheme="minorHAnsi" w:hAnsiTheme="minorHAnsi"/>
          <w:bCs/>
        </w:rPr>
        <w:t xml:space="preserve">bevacizumab </w:t>
      </w:r>
      <w:r w:rsidRPr="00B61251">
        <w:rPr>
          <w:rFonts w:asciiTheme="minorHAnsi" w:hAnsiTheme="minorHAnsi"/>
          <w:bCs/>
        </w:rPr>
        <w:t xml:space="preserve">within </w:t>
      </w:r>
      <w:r w:rsidR="00AD2703" w:rsidRPr="00B61251">
        <w:rPr>
          <w:rFonts w:asciiTheme="minorHAnsi" w:hAnsiTheme="minorHAnsi"/>
          <w:bCs/>
        </w:rPr>
        <w:t xml:space="preserve">the </w:t>
      </w:r>
      <w:r w:rsidRPr="00B61251">
        <w:rPr>
          <w:rFonts w:asciiTheme="minorHAnsi" w:hAnsiTheme="minorHAnsi"/>
          <w:bCs/>
        </w:rPr>
        <w:t xml:space="preserve">current treatment </w:t>
      </w:r>
      <w:r w:rsidR="00AD2703" w:rsidRPr="00B61251">
        <w:rPr>
          <w:rFonts w:asciiTheme="minorHAnsi" w:hAnsiTheme="minorHAnsi"/>
          <w:bCs/>
        </w:rPr>
        <w:t xml:space="preserve">algorithm </w:t>
      </w:r>
      <w:r w:rsidRPr="00B61251">
        <w:rPr>
          <w:rFonts w:asciiTheme="minorHAnsi" w:hAnsiTheme="minorHAnsi"/>
          <w:bCs/>
        </w:rPr>
        <w:t>for NS</w:t>
      </w:r>
      <w:r w:rsidR="005D31BE" w:rsidRPr="00B61251">
        <w:rPr>
          <w:rFonts w:asciiTheme="minorHAnsi" w:hAnsiTheme="minorHAnsi"/>
          <w:bCs/>
        </w:rPr>
        <w:t>Q</w:t>
      </w:r>
      <w:r w:rsidRPr="00B61251">
        <w:rPr>
          <w:rFonts w:asciiTheme="minorHAnsi" w:hAnsiTheme="minorHAnsi"/>
          <w:bCs/>
        </w:rPr>
        <w:t xml:space="preserve"> NSCLC was complex</w:t>
      </w:r>
      <w:r w:rsidR="00236CF2" w:rsidRPr="00B61251">
        <w:rPr>
          <w:rFonts w:asciiTheme="minorHAnsi" w:hAnsiTheme="minorHAnsi"/>
          <w:bCs/>
        </w:rPr>
        <w:t xml:space="preserve"> </w:t>
      </w:r>
      <w:r w:rsidR="006318C8" w:rsidRPr="00B61251">
        <w:rPr>
          <w:rFonts w:asciiTheme="minorHAnsi" w:hAnsiTheme="minorHAnsi"/>
          <w:bCs/>
        </w:rPr>
        <w:t xml:space="preserve">and </w:t>
      </w:r>
      <w:r w:rsidR="00AD7A53" w:rsidRPr="00B61251">
        <w:rPr>
          <w:rFonts w:asciiTheme="minorHAnsi" w:hAnsiTheme="minorHAnsi"/>
          <w:bCs/>
        </w:rPr>
        <w:t>changing</w:t>
      </w:r>
      <w:r w:rsidR="006318C8" w:rsidRPr="00B61251">
        <w:rPr>
          <w:rFonts w:asciiTheme="minorHAnsi" w:hAnsiTheme="minorHAnsi"/>
          <w:bCs/>
        </w:rPr>
        <w:t xml:space="preserve"> </w:t>
      </w:r>
      <w:r w:rsidR="00AD2703" w:rsidRPr="00B61251">
        <w:rPr>
          <w:rFonts w:asciiTheme="minorHAnsi" w:hAnsiTheme="minorHAnsi"/>
          <w:bCs/>
        </w:rPr>
        <w:t xml:space="preserve">rapidly with the availability of newer treatment options. </w:t>
      </w:r>
      <w:r w:rsidR="006318C8" w:rsidRPr="00B61251">
        <w:rPr>
          <w:rFonts w:asciiTheme="minorHAnsi" w:hAnsiTheme="minorHAnsi"/>
          <w:bCs/>
        </w:rPr>
        <w:t>However, t</w:t>
      </w:r>
      <w:r w:rsidR="00DA3F73" w:rsidRPr="00B61251">
        <w:rPr>
          <w:rFonts w:asciiTheme="minorHAnsi" w:hAnsiTheme="minorHAnsi"/>
          <w:bCs/>
        </w:rPr>
        <w:t xml:space="preserve">he PBAC </w:t>
      </w:r>
      <w:r w:rsidR="00DA3F73" w:rsidRPr="00B61251">
        <w:rPr>
          <w:rFonts w:cs="Times New Roman"/>
          <w:snapToGrid/>
          <w:szCs w:val="24"/>
          <w:lang w:eastAsia="en-AU"/>
        </w:rPr>
        <w:t>considered that there was a high clinical need</w:t>
      </w:r>
      <w:r w:rsidR="005D31BE" w:rsidRPr="00B61251">
        <w:rPr>
          <w:rFonts w:cs="Times New Roman"/>
          <w:snapToGrid/>
          <w:szCs w:val="24"/>
          <w:lang w:eastAsia="en-AU"/>
        </w:rPr>
        <w:t xml:space="preserve"> for </w:t>
      </w:r>
      <w:r w:rsidR="00B36A85" w:rsidRPr="00B61251">
        <w:rPr>
          <w:rFonts w:cs="Times New Roman"/>
          <w:snapToGrid/>
          <w:szCs w:val="24"/>
          <w:lang w:eastAsia="en-AU"/>
        </w:rPr>
        <w:t xml:space="preserve">new </w:t>
      </w:r>
      <w:r w:rsidR="005D31BE" w:rsidRPr="00B61251">
        <w:rPr>
          <w:rFonts w:cs="Times New Roman"/>
          <w:snapToGrid/>
          <w:szCs w:val="24"/>
          <w:lang w:eastAsia="en-AU"/>
        </w:rPr>
        <w:t>treatment options</w:t>
      </w:r>
      <w:r w:rsidR="00E915DD" w:rsidRPr="00B61251">
        <w:rPr>
          <w:rFonts w:cs="Times New Roman"/>
          <w:snapToGrid/>
          <w:szCs w:val="24"/>
          <w:lang w:eastAsia="en-AU"/>
        </w:rPr>
        <w:t xml:space="preserve"> for this patient group</w:t>
      </w:r>
      <w:r w:rsidR="00DA3F73" w:rsidRPr="00B61251">
        <w:rPr>
          <w:rFonts w:cs="Times New Roman"/>
          <w:snapToGrid/>
          <w:szCs w:val="24"/>
          <w:lang w:eastAsia="en-AU"/>
        </w:rPr>
        <w:t>, particularly in the EGFR mutant/ALK positive subgroup post TKI therapy</w:t>
      </w:r>
      <w:r w:rsidR="00DA3F73" w:rsidRPr="00B61251">
        <w:rPr>
          <w:rFonts w:asciiTheme="minorHAnsi" w:hAnsiTheme="minorHAnsi"/>
          <w:bCs/>
        </w:rPr>
        <w:t xml:space="preserve"> population</w:t>
      </w:r>
      <w:r w:rsidR="00B36A85" w:rsidRPr="00B61251">
        <w:rPr>
          <w:rFonts w:asciiTheme="minorHAnsi" w:hAnsiTheme="minorHAnsi"/>
          <w:bCs/>
        </w:rPr>
        <w:t>,</w:t>
      </w:r>
      <w:r w:rsidR="00DA3F73" w:rsidRPr="00B61251">
        <w:rPr>
          <w:rFonts w:asciiTheme="minorHAnsi" w:hAnsiTheme="minorHAnsi"/>
          <w:bCs/>
        </w:rPr>
        <w:t xml:space="preserve"> </w:t>
      </w:r>
      <w:r w:rsidRPr="00B61251">
        <w:rPr>
          <w:rFonts w:asciiTheme="minorHAnsi" w:hAnsiTheme="minorHAnsi"/>
          <w:bCs/>
        </w:rPr>
        <w:t>which was estimated to be the population with highest uptake in the submission.</w:t>
      </w:r>
    </w:p>
    <w:p w:rsidR="00B06EAD" w:rsidRPr="00B61251" w:rsidRDefault="008E28BE"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considered that the appropriate main comparator for the submission was PDC followed by </w:t>
      </w:r>
      <w:r w:rsidR="00A12224" w:rsidRPr="00B61251">
        <w:rPr>
          <w:rFonts w:asciiTheme="minorHAnsi" w:hAnsiTheme="minorHAnsi"/>
          <w:bCs/>
        </w:rPr>
        <w:t xml:space="preserve">PD-(L)1 </w:t>
      </w:r>
      <w:r w:rsidRPr="00B61251">
        <w:rPr>
          <w:rFonts w:asciiTheme="minorHAnsi" w:hAnsiTheme="minorHAnsi"/>
          <w:bCs/>
        </w:rPr>
        <w:t>therapy, as this is the therapy most likely to be replaced in practice</w:t>
      </w:r>
      <w:r w:rsidR="00E915DD" w:rsidRPr="00B61251">
        <w:rPr>
          <w:rFonts w:asciiTheme="minorHAnsi" w:hAnsiTheme="minorHAnsi"/>
          <w:bCs/>
        </w:rPr>
        <w:t xml:space="preserve"> for patients with a PD</w:t>
      </w:r>
      <w:r w:rsidR="00103A06" w:rsidRPr="00B61251">
        <w:rPr>
          <w:rFonts w:asciiTheme="minorHAnsi" w:hAnsiTheme="minorHAnsi"/>
          <w:bCs/>
        </w:rPr>
        <w:t>-</w:t>
      </w:r>
      <w:r w:rsidR="00E915DD" w:rsidRPr="00B61251">
        <w:rPr>
          <w:rFonts w:asciiTheme="minorHAnsi" w:hAnsiTheme="minorHAnsi"/>
          <w:bCs/>
        </w:rPr>
        <w:t>L1 TPS &lt; 50%</w:t>
      </w:r>
      <w:r w:rsidRPr="00B61251">
        <w:rPr>
          <w:rFonts w:asciiTheme="minorHAnsi" w:hAnsiTheme="minorHAnsi"/>
          <w:bCs/>
        </w:rPr>
        <w:t>.</w:t>
      </w:r>
      <w:r w:rsidR="006E76A8" w:rsidRPr="00B61251">
        <w:rPr>
          <w:rFonts w:cs="Calibri"/>
          <w:snapToGrid/>
          <w:szCs w:val="24"/>
          <w:lang w:eastAsia="en-AU"/>
        </w:rPr>
        <w:t xml:space="preserve"> The PBAC considered that for the EGFR mutant/ALK positive population</w:t>
      </w:r>
      <w:r w:rsidR="00B36A85" w:rsidRPr="00B61251">
        <w:rPr>
          <w:rFonts w:cs="Calibri"/>
          <w:snapToGrid/>
          <w:szCs w:val="24"/>
          <w:lang w:eastAsia="en-AU"/>
        </w:rPr>
        <w:t>,</w:t>
      </w:r>
      <w:r w:rsidR="006E76A8" w:rsidRPr="00B61251">
        <w:rPr>
          <w:rFonts w:cs="Calibri"/>
          <w:snapToGrid/>
          <w:szCs w:val="24"/>
          <w:lang w:eastAsia="en-AU"/>
        </w:rPr>
        <w:t xml:space="preserve"> nivolumab and atezolizumab can be used in patients who have progressed on or after treatment with targeted therapies and </w:t>
      </w:r>
      <w:r w:rsidR="00B36A85" w:rsidRPr="00B61251">
        <w:rPr>
          <w:rFonts w:cs="Calibri"/>
          <w:snapToGrid/>
          <w:szCs w:val="24"/>
          <w:lang w:eastAsia="en-AU"/>
        </w:rPr>
        <w:t xml:space="preserve">therefore </w:t>
      </w:r>
      <w:r w:rsidR="006E76A8" w:rsidRPr="00B61251">
        <w:rPr>
          <w:rFonts w:cs="Calibri"/>
          <w:snapToGrid/>
          <w:szCs w:val="24"/>
          <w:lang w:eastAsia="en-AU"/>
        </w:rPr>
        <w:t xml:space="preserve">use of PDC followed by PD-(L)1 was also an appropriate comparator in this population. </w:t>
      </w:r>
      <w:r w:rsidRPr="00B61251">
        <w:rPr>
          <w:rFonts w:asciiTheme="minorHAnsi" w:hAnsiTheme="minorHAnsi"/>
          <w:bCs/>
        </w:rPr>
        <w:t>The PBAC</w:t>
      </w:r>
      <w:r w:rsidR="00103A06" w:rsidRPr="00B61251">
        <w:rPr>
          <w:rFonts w:asciiTheme="minorHAnsi" w:hAnsiTheme="minorHAnsi"/>
          <w:bCs/>
        </w:rPr>
        <w:t xml:space="preserve"> considered</w:t>
      </w:r>
      <w:r w:rsidRPr="00B61251">
        <w:rPr>
          <w:rFonts w:asciiTheme="minorHAnsi" w:hAnsiTheme="minorHAnsi"/>
          <w:bCs/>
        </w:rPr>
        <w:t xml:space="preserve"> </w:t>
      </w:r>
      <w:r w:rsidR="00E915DD" w:rsidRPr="00B61251">
        <w:rPr>
          <w:rFonts w:asciiTheme="minorHAnsi" w:hAnsiTheme="minorHAnsi"/>
          <w:bCs/>
        </w:rPr>
        <w:t>p</w:t>
      </w:r>
      <w:r w:rsidR="00325072" w:rsidRPr="00B61251">
        <w:rPr>
          <w:rFonts w:asciiTheme="minorHAnsi" w:hAnsiTheme="minorHAnsi"/>
          <w:bCs/>
        </w:rPr>
        <w:t>embrolizumab monotherapy</w:t>
      </w:r>
      <w:r w:rsidR="0071699D" w:rsidRPr="00B61251">
        <w:rPr>
          <w:rFonts w:asciiTheme="minorHAnsi" w:hAnsiTheme="minorHAnsi"/>
          <w:bCs/>
        </w:rPr>
        <w:t xml:space="preserve"> followed by</w:t>
      </w:r>
      <w:r w:rsidR="00325072" w:rsidRPr="00B61251">
        <w:rPr>
          <w:rFonts w:asciiTheme="minorHAnsi" w:hAnsiTheme="minorHAnsi"/>
          <w:bCs/>
        </w:rPr>
        <w:t xml:space="preserve"> PDC </w:t>
      </w:r>
      <w:r w:rsidR="00E915DD" w:rsidRPr="00B61251">
        <w:rPr>
          <w:rFonts w:asciiTheme="minorHAnsi" w:hAnsiTheme="minorHAnsi"/>
          <w:bCs/>
        </w:rPr>
        <w:t xml:space="preserve">was an appropriate comparator </w:t>
      </w:r>
      <w:r w:rsidR="00A44C4B" w:rsidRPr="00B61251">
        <w:rPr>
          <w:rFonts w:asciiTheme="minorHAnsi" w:hAnsiTheme="minorHAnsi"/>
          <w:bCs/>
        </w:rPr>
        <w:t>for the EGFR wild</w:t>
      </w:r>
      <w:r w:rsidR="00AD7A53" w:rsidRPr="00B61251">
        <w:rPr>
          <w:rFonts w:asciiTheme="minorHAnsi" w:hAnsiTheme="minorHAnsi"/>
          <w:bCs/>
        </w:rPr>
        <w:t xml:space="preserve"> type/ALK negative PD-L1 </w:t>
      </w:r>
      <w:r w:rsidR="00AD7A53" w:rsidRPr="00B61251">
        <w:rPr>
          <w:rFonts w:asciiTheme="minorHAnsi" w:hAnsiTheme="minorHAnsi" w:cstheme="minorHAnsi"/>
          <w:bCs/>
        </w:rPr>
        <w:t>≥</w:t>
      </w:r>
      <w:r w:rsidR="00AD7A53" w:rsidRPr="00B61251">
        <w:rPr>
          <w:rFonts w:asciiTheme="minorHAnsi" w:hAnsiTheme="minorHAnsi"/>
          <w:bCs/>
        </w:rPr>
        <w:t xml:space="preserve">50% </w:t>
      </w:r>
      <w:r w:rsidR="00E915DD" w:rsidRPr="00B61251">
        <w:rPr>
          <w:rFonts w:asciiTheme="minorHAnsi" w:hAnsiTheme="minorHAnsi"/>
          <w:bCs/>
        </w:rPr>
        <w:t>NSQ</w:t>
      </w:r>
      <w:r w:rsidR="00103A06" w:rsidRPr="00B61251">
        <w:rPr>
          <w:rFonts w:asciiTheme="minorHAnsi" w:hAnsiTheme="minorHAnsi"/>
          <w:bCs/>
        </w:rPr>
        <w:t xml:space="preserve"> </w:t>
      </w:r>
      <w:r w:rsidRPr="00B61251">
        <w:rPr>
          <w:rFonts w:asciiTheme="minorHAnsi" w:hAnsiTheme="minorHAnsi"/>
          <w:bCs/>
        </w:rPr>
        <w:t>population</w:t>
      </w:r>
      <w:r w:rsidR="00B06EAD" w:rsidRPr="00B61251">
        <w:rPr>
          <w:rFonts w:asciiTheme="minorHAnsi" w:hAnsiTheme="minorHAnsi"/>
          <w:bCs/>
        </w:rPr>
        <w:t>.</w:t>
      </w:r>
    </w:p>
    <w:p w:rsidR="0052117E" w:rsidRPr="00B61251" w:rsidRDefault="00AC663B" w:rsidP="00CB1952">
      <w:pPr>
        <w:widowControl/>
        <w:numPr>
          <w:ilvl w:val="1"/>
          <w:numId w:val="1"/>
        </w:numPr>
        <w:spacing w:before="120" w:after="120"/>
        <w:rPr>
          <w:rFonts w:asciiTheme="minorHAnsi" w:hAnsiTheme="minorHAnsi"/>
          <w:bCs/>
        </w:rPr>
      </w:pPr>
      <w:r w:rsidRPr="00B61251">
        <w:rPr>
          <w:rFonts w:asciiTheme="minorHAnsi" w:hAnsiTheme="minorHAnsi"/>
          <w:bCs/>
        </w:rPr>
        <w:t>T</w:t>
      </w:r>
      <w:r w:rsidR="0052117E" w:rsidRPr="00B61251">
        <w:rPr>
          <w:rFonts w:asciiTheme="minorHAnsi" w:hAnsiTheme="minorHAnsi"/>
          <w:bCs/>
        </w:rPr>
        <w:t xml:space="preserve">he PBAC </w:t>
      </w:r>
      <w:r w:rsidRPr="00B61251">
        <w:rPr>
          <w:rFonts w:asciiTheme="minorHAnsi" w:hAnsiTheme="minorHAnsi"/>
          <w:bCs/>
        </w:rPr>
        <w:t xml:space="preserve">noted the submission did not include relevant trials using PDC combinations </w:t>
      </w:r>
      <w:r w:rsidR="00103A06" w:rsidRPr="00B61251">
        <w:rPr>
          <w:rFonts w:asciiTheme="minorHAnsi" w:hAnsiTheme="minorHAnsi"/>
          <w:bCs/>
        </w:rPr>
        <w:t xml:space="preserve">other </w:t>
      </w:r>
      <w:r w:rsidRPr="00B61251">
        <w:rPr>
          <w:rFonts w:asciiTheme="minorHAnsi" w:hAnsiTheme="minorHAnsi"/>
          <w:bCs/>
        </w:rPr>
        <w:t>than CP</w:t>
      </w:r>
      <w:r w:rsidR="00064496" w:rsidRPr="00B61251">
        <w:rPr>
          <w:rFonts w:asciiTheme="minorHAnsi" w:hAnsiTheme="minorHAnsi"/>
          <w:bCs/>
        </w:rPr>
        <w:t>. The PBAC considered the use of CP as a surrogate for all PDC to be reasonable,</w:t>
      </w:r>
      <w:r w:rsidR="00B36A85" w:rsidRPr="00B61251">
        <w:rPr>
          <w:rFonts w:asciiTheme="minorHAnsi" w:hAnsiTheme="minorHAnsi"/>
          <w:bCs/>
        </w:rPr>
        <w:t xml:space="preserve"> however </w:t>
      </w:r>
      <w:r w:rsidR="00FA5A3C">
        <w:rPr>
          <w:rFonts w:asciiTheme="minorHAnsi" w:hAnsiTheme="minorHAnsi"/>
          <w:bCs/>
        </w:rPr>
        <w:t>noted</w:t>
      </w:r>
      <w:r w:rsidR="00064496" w:rsidRPr="00B61251">
        <w:rPr>
          <w:rFonts w:asciiTheme="minorHAnsi" w:hAnsiTheme="minorHAnsi"/>
          <w:bCs/>
        </w:rPr>
        <w:t xml:space="preserve"> that the submission </w:t>
      </w:r>
      <w:r w:rsidR="00103A06" w:rsidRPr="00B61251">
        <w:rPr>
          <w:rFonts w:asciiTheme="minorHAnsi" w:hAnsiTheme="minorHAnsi"/>
          <w:bCs/>
        </w:rPr>
        <w:t>sh</w:t>
      </w:r>
      <w:r w:rsidR="00064496" w:rsidRPr="00B61251">
        <w:rPr>
          <w:rFonts w:asciiTheme="minorHAnsi" w:hAnsiTheme="minorHAnsi"/>
          <w:bCs/>
        </w:rPr>
        <w:t>ould more appropriately have included all trials using PDC as a comparator arm, not solely those using CP.</w:t>
      </w:r>
      <w:r w:rsidR="009710A0" w:rsidRPr="00B61251">
        <w:rPr>
          <w:rFonts w:asciiTheme="minorHAnsi" w:hAnsiTheme="minorHAnsi"/>
          <w:bCs/>
        </w:rPr>
        <w:t xml:space="preserve"> The PBAC noted that although still favourable, the HR </w:t>
      </w:r>
      <w:r w:rsidR="004274CD">
        <w:rPr>
          <w:rFonts w:asciiTheme="minorHAnsi" w:hAnsiTheme="minorHAnsi"/>
          <w:bCs/>
        </w:rPr>
        <w:t xml:space="preserve">was higher, suggesting a smaller effect on OS, </w:t>
      </w:r>
      <w:r w:rsidR="009710A0" w:rsidRPr="00B61251">
        <w:rPr>
          <w:rFonts w:asciiTheme="minorHAnsi" w:hAnsiTheme="minorHAnsi"/>
          <w:bCs/>
        </w:rPr>
        <w:t>with the inclusion of all PDC trials.</w:t>
      </w:r>
    </w:p>
    <w:p w:rsidR="0081457D" w:rsidRPr="00B61251" w:rsidRDefault="008E51EA"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noted the IMpower150 study comparing atezolizumab + bevacizumab + CP to bevacizumab + CP found a median overall survival (OS) benefit of 4.9 months with a </w:t>
      </w:r>
      <w:r w:rsidR="005B2896" w:rsidRPr="00B61251">
        <w:rPr>
          <w:rFonts w:asciiTheme="minorHAnsi" w:hAnsiTheme="minorHAnsi"/>
          <w:bCs/>
        </w:rPr>
        <w:t>hazard ratio (</w:t>
      </w:r>
      <w:r w:rsidRPr="00B61251">
        <w:rPr>
          <w:rFonts w:asciiTheme="minorHAnsi" w:hAnsiTheme="minorHAnsi"/>
          <w:bCs/>
        </w:rPr>
        <w:t>HR</w:t>
      </w:r>
      <w:r w:rsidR="005B2896" w:rsidRPr="00B61251">
        <w:rPr>
          <w:rFonts w:asciiTheme="minorHAnsi" w:hAnsiTheme="minorHAnsi"/>
          <w:bCs/>
        </w:rPr>
        <w:t>)</w:t>
      </w:r>
      <w:r w:rsidRPr="00B61251">
        <w:rPr>
          <w:rFonts w:asciiTheme="minorHAnsi" w:hAnsiTheme="minorHAnsi"/>
          <w:bCs/>
        </w:rPr>
        <w:t xml:space="preserve"> of 0.76.</w:t>
      </w:r>
      <w:r w:rsidR="00C66F27" w:rsidRPr="00B61251">
        <w:rPr>
          <w:rFonts w:asciiTheme="minorHAnsi" w:hAnsiTheme="minorHAnsi"/>
          <w:bCs/>
        </w:rPr>
        <w:t xml:space="preserve"> </w:t>
      </w:r>
      <w:r w:rsidRPr="00B61251">
        <w:rPr>
          <w:rFonts w:asciiTheme="minorHAnsi" w:hAnsiTheme="minorHAnsi"/>
          <w:bCs/>
        </w:rPr>
        <w:t xml:space="preserve">The PBAC noted that the ESC identified that the assumption </w:t>
      </w:r>
      <w:r w:rsidRPr="00B61251">
        <w:rPr>
          <w:rFonts w:asciiTheme="minorHAnsi" w:hAnsiTheme="minorHAnsi"/>
          <w:bCs/>
        </w:rPr>
        <w:lastRenderedPageBreak/>
        <w:t xml:space="preserve">of proportional hazards may not be valid given the survival curves for the treatments do not separate until 8 months and </w:t>
      </w:r>
      <w:r w:rsidR="00B97771" w:rsidRPr="00B61251">
        <w:rPr>
          <w:rFonts w:asciiTheme="minorHAnsi" w:hAnsiTheme="minorHAnsi"/>
          <w:bCs/>
        </w:rPr>
        <w:t xml:space="preserve">considered </w:t>
      </w:r>
      <w:r w:rsidRPr="00B61251">
        <w:rPr>
          <w:rFonts w:asciiTheme="minorHAnsi" w:hAnsiTheme="minorHAnsi"/>
          <w:bCs/>
        </w:rPr>
        <w:t xml:space="preserve">the HR should be interpreted with caution. The PBAC noted a median PFS benefit of 1.6 months and also noted that </w:t>
      </w:r>
      <w:r w:rsidR="009D5CC4" w:rsidRPr="00B61251">
        <w:rPr>
          <w:rFonts w:asciiTheme="minorHAnsi" w:hAnsiTheme="minorHAnsi"/>
          <w:bCs/>
        </w:rPr>
        <w:t xml:space="preserve">PFS is often not reliable for </w:t>
      </w:r>
      <w:r w:rsidR="0093742B" w:rsidRPr="00B61251">
        <w:rPr>
          <w:rFonts w:asciiTheme="minorHAnsi" w:hAnsiTheme="minorHAnsi"/>
          <w:bCs/>
        </w:rPr>
        <w:t>i</w:t>
      </w:r>
      <w:r w:rsidR="00103A06" w:rsidRPr="00B61251">
        <w:rPr>
          <w:rFonts w:asciiTheme="minorHAnsi" w:hAnsiTheme="minorHAnsi"/>
          <w:bCs/>
        </w:rPr>
        <w:t>mmunotherapy</w:t>
      </w:r>
      <w:r w:rsidR="009D5CC4" w:rsidRPr="00B61251">
        <w:rPr>
          <w:rFonts w:asciiTheme="minorHAnsi" w:hAnsiTheme="minorHAnsi"/>
          <w:bCs/>
        </w:rPr>
        <w:t xml:space="preserve"> drugs such as PD-(L)1 inhibitors due to tumour flare and that OS data is considered a more reliable measure of </w:t>
      </w:r>
      <w:r w:rsidR="006C2006">
        <w:rPr>
          <w:rFonts w:asciiTheme="minorHAnsi" w:hAnsiTheme="minorHAnsi"/>
          <w:bCs/>
        </w:rPr>
        <w:t>benefit.</w:t>
      </w:r>
    </w:p>
    <w:p w:rsidR="008C1523" w:rsidRPr="00B61251" w:rsidRDefault="008C1523" w:rsidP="00CB1952">
      <w:pPr>
        <w:widowControl/>
        <w:numPr>
          <w:ilvl w:val="1"/>
          <w:numId w:val="1"/>
        </w:numPr>
        <w:spacing w:before="120" w:after="120"/>
        <w:rPr>
          <w:rFonts w:asciiTheme="minorHAnsi" w:hAnsiTheme="minorHAnsi"/>
          <w:bCs/>
        </w:rPr>
      </w:pPr>
      <w:r w:rsidRPr="00B61251">
        <w:rPr>
          <w:rFonts w:asciiTheme="minorHAnsi" w:hAnsiTheme="minorHAnsi"/>
          <w:bCs/>
        </w:rPr>
        <w:t>The PBAC noted that although the evidence was limited for the EGFR mutation/ALK positive population, there was evidence of a benefit in this group.</w:t>
      </w:r>
    </w:p>
    <w:p w:rsidR="00816369" w:rsidRPr="00B61251" w:rsidRDefault="00E35E65" w:rsidP="00CB1952">
      <w:pPr>
        <w:widowControl/>
        <w:numPr>
          <w:ilvl w:val="1"/>
          <w:numId w:val="1"/>
        </w:numPr>
        <w:spacing w:before="120" w:after="120"/>
        <w:rPr>
          <w:rFonts w:asciiTheme="minorHAnsi" w:hAnsiTheme="minorHAnsi"/>
          <w:bCs/>
        </w:rPr>
      </w:pPr>
      <w:r w:rsidRPr="00B61251">
        <w:rPr>
          <w:rFonts w:asciiTheme="minorHAnsi" w:hAnsiTheme="minorHAnsi"/>
          <w:bCs/>
        </w:rPr>
        <w:t>The PBAC</w:t>
      </w:r>
      <w:r w:rsidR="005F5F03" w:rsidRPr="00B61251">
        <w:rPr>
          <w:rFonts w:asciiTheme="minorHAnsi" w:hAnsiTheme="minorHAnsi"/>
          <w:bCs/>
        </w:rPr>
        <w:t xml:space="preserve"> considered</w:t>
      </w:r>
      <w:r w:rsidR="002D369C" w:rsidRPr="00B61251">
        <w:rPr>
          <w:rFonts w:asciiTheme="minorHAnsi" w:hAnsiTheme="minorHAnsi"/>
          <w:bCs/>
        </w:rPr>
        <w:t xml:space="preserve"> the I</w:t>
      </w:r>
      <w:r w:rsidR="008E51EA" w:rsidRPr="00B61251">
        <w:rPr>
          <w:rFonts w:asciiTheme="minorHAnsi" w:hAnsiTheme="minorHAnsi"/>
          <w:bCs/>
        </w:rPr>
        <w:t>T</w:t>
      </w:r>
      <w:r w:rsidR="002D369C" w:rsidRPr="00B61251">
        <w:rPr>
          <w:rFonts w:asciiTheme="minorHAnsi" w:hAnsiTheme="minorHAnsi"/>
          <w:bCs/>
        </w:rPr>
        <w:t>C</w:t>
      </w:r>
      <w:r w:rsidR="000256E2" w:rsidRPr="00B61251">
        <w:rPr>
          <w:rFonts w:asciiTheme="minorHAnsi" w:hAnsiTheme="minorHAnsi"/>
          <w:bCs/>
        </w:rPr>
        <w:t>s presented in the submission</w:t>
      </w:r>
      <w:r w:rsidR="002D369C" w:rsidRPr="00B61251">
        <w:rPr>
          <w:rFonts w:asciiTheme="minorHAnsi" w:hAnsiTheme="minorHAnsi"/>
          <w:bCs/>
        </w:rPr>
        <w:t xml:space="preserve"> supported </w:t>
      </w:r>
      <w:r w:rsidR="00B715D3" w:rsidRPr="00B61251">
        <w:rPr>
          <w:rFonts w:asciiTheme="minorHAnsi" w:hAnsiTheme="minorHAnsi"/>
          <w:bCs/>
        </w:rPr>
        <w:t xml:space="preserve">a </w:t>
      </w:r>
      <w:r w:rsidR="00C81910" w:rsidRPr="00B61251">
        <w:rPr>
          <w:rFonts w:asciiTheme="minorHAnsi" w:hAnsiTheme="minorHAnsi"/>
          <w:bCs/>
        </w:rPr>
        <w:t xml:space="preserve">PFS </w:t>
      </w:r>
      <w:r w:rsidR="00B715D3" w:rsidRPr="00B61251">
        <w:rPr>
          <w:rFonts w:asciiTheme="minorHAnsi" w:hAnsiTheme="minorHAnsi"/>
          <w:bCs/>
        </w:rPr>
        <w:t xml:space="preserve">and OS </w:t>
      </w:r>
      <w:r w:rsidR="00C81910" w:rsidRPr="00B61251">
        <w:rPr>
          <w:rFonts w:asciiTheme="minorHAnsi" w:hAnsiTheme="minorHAnsi"/>
          <w:bCs/>
        </w:rPr>
        <w:t>benefi</w:t>
      </w:r>
      <w:r w:rsidR="00B715D3" w:rsidRPr="00B61251">
        <w:rPr>
          <w:rFonts w:asciiTheme="minorHAnsi" w:hAnsiTheme="minorHAnsi"/>
          <w:bCs/>
        </w:rPr>
        <w:t xml:space="preserve">t for </w:t>
      </w:r>
      <w:r w:rsidR="002D369C" w:rsidRPr="00B61251">
        <w:rPr>
          <w:rFonts w:asciiTheme="minorHAnsi" w:hAnsiTheme="minorHAnsi"/>
          <w:bCs/>
        </w:rPr>
        <w:t>atezolizumab + bevacizumab + PDC</w:t>
      </w:r>
      <w:r w:rsidR="007B64E1" w:rsidRPr="00B61251">
        <w:rPr>
          <w:rFonts w:asciiTheme="minorHAnsi" w:hAnsiTheme="minorHAnsi"/>
          <w:bCs/>
        </w:rPr>
        <w:t xml:space="preserve"> vs PDC</w:t>
      </w:r>
      <w:r w:rsidR="0081457D" w:rsidRPr="00B61251">
        <w:rPr>
          <w:rFonts w:asciiTheme="minorHAnsi" w:hAnsiTheme="minorHAnsi"/>
          <w:bCs/>
        </w:rPr>
        <w:t xml:space="preserve"> for the </w:t>
      </w:r>
      <w:r w:rsidR="0081457D" w:rsidRPr="00B61251">
        <w:t>EGFR wildtype/ALK negative and the EGFR mutant/ALK positive population,</w:t>
      </w:r>
      <w:r w:rsidR="002D369C" w:rsidRPr="00B61251">
        <w:rPr>
          <w:rFonts w:asciiTheme="minorHAnsi" w:hAnsiTheme="minorHAnsi"/>
          <w:bCs/>
        </w:rPr>
        <w:t xml:space="preserve"> however </w:t>
      </w:r>
      <w:r w:rsidR="00AF0051" w:rsidRPr="00B61251">
        <w:rPr>
          <w:rFonts w:asciiTheme="minorHAnsi" w:hAnsiTheme="minorHAnsi"/>
          <w:bCs/>
        </w:rPr>
        <w:t xml:space="preserve">considered that </w:t>
      </w:r>
      <w:r w:rsidR="000256E2" w:rsidRPr="00B61251">
        <w:rPr>
          <w:rFonts w:asciiTheme="minorHAnsi" w:hAnsiTheme="minorHAnsi"/>
          <w:bCs/>
        </w:rPr>
        <w:t>the results were uncertain due to transitivity issues</w:t>
      </w:r>
      <w:r w:rsidR="00003733" w:rsidRPr="00B61251">
        <w:rPr>
          <w:rFonts w:asciiTheme="minorHAnsi" w:hAnsiTheme="minorHAnsi"/>
          <w:bCs/>
        </w:rPr>
        <w:t xml:space="preserve"> and, in the case of the EGFR mutant/ALK positive group, the small subgroup studied</w:t>
      </w:r>
      <w:r w:rsidR="008C1523" w:rsidRPr="00B61251">
        <w:rPr>
          <w:rFonts w:asciiTheme="minorHAnsi" w:hAnsiTheme="minorHAnsi"/>
          <w:bCs/>
        </w:rPr>
        <w:t>.</w:t>
      </w:r>
    </w:p>
    <w:p w:rsidR="00524BD1" w:rsidRPr="00B61251" w:rsidRDefault="00F6771D"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considered </w:t>
      </w:r>
      <w:r w:rsidR="00E4476C" w:rsidRPr="00B61251">
        <w:rPr>
          <w:rFonts w:asciiTheme="minorHAnsi" w:hAnsiTheme="minorHAnsi"/>
          <w:bCs/>
        </w:rPr>
        <w:t xml:space="preserve">the </w:t>
      </w:r>
      <w:r w:rsidR="00DF2240" w:rsidRPr="00B61251">
        <w:rPr>
          <w:rFonts w:asciiTheme="minorHAnsi" w:hAnsiTheme="minorHAnsi"/>
          <w:bCs/>
        </w:rPr>
        <w:t>IMp</w:t>
      </w:r>
      <w:r w:rsidR="00D83D76" w:rsidRPr="00B61251">
        <w:rPr>
          <w:rFonts w:asciiTheme="minorHAnsi" w:hAnsiTheme="minorHAnsi"/>
          <w:bCs/>
        </w:rPr>
        <w:t xml:space="preserve">ower150 </w:t>
      </w:r>
      <w:r w:rsidR="0022253F" w:rsidRPr="00B61251">
        <w:rPr>
          <w:rFonts w:asciiTheme="minorHAnsi" w:hAnsiTheme="minorHAnsi"/>
          <w:bCs/>
        </w:rPr>
        <w:t xml:space="preserve">study </w:t>
      </w:r>
      <w:r w:rsidR="00D83D76" w:rsidRPr="00B61251">
        <w:rPr>
          <w:rFonts w:asciiTheme="minorHAnsi" w:hAnsiTheme="minorHAnsi"/>
          <w:bCs/>
        </w:rPr>
        <w:t xml:space="preserve">demonstrated the </w:t>
      </w:r>
      <w:r w:rsidR="00E4476C" w:rsidRPr="00B61251">
        <w:rPr>
          <w:rFonts w:asciiTheme="minorHAnsi" w:hAnsiTheme="minorHAnsi"/>
          <w:bCs/>
        </w:rPr>
        <w:t xml:space="preserve">magnitude </w:t>
      </w:r>
      <w:r w:rsidRPr="00B61251">
        <w:rPr>
          <w:rFonts w:asciiTheme="minorHAnsi" w:hAnsiTheme="minorHAnsi"/>
          <w:bCs/>
        </w:rPr>
        <w:t xml:space="preserve">of </w:t>
      </w:r>
      <w:r w:rsidR="003B17FC" w:rsidRPr="00B61251">
        <w:rPr>
          <w:rFonts w:asciiTheme="minorHAnsi" w:hAnsiTheme="minorHAnsi"/>
          <w:bCs/>
        </w:rPr>
        <w:t xml:space="preserve">additional </w:t>
      </w:r>
      <w:r w:rsidRPr="00B61251">
        <w:rPr>
          <w:rFonts w:asciiTheme="minorHAnsi" w:hAnsiTheme="minorHAnsi"/>
          <w:bCs/>
        </w:rPr>
        <w:t xml:space="preserve">benefit </w:t>
      </w:r>
      <w:r w:rsidR="005F5F03" w:rsidRPr="00B61251">
        <w:rPr>
          <w:rFonts w:asciiTheme="minorHAnsi" w:hAnsiTheme="minorHAnsi"/>
          <w:bCs/>
        </w:rPr>
        <w:t>for atezolizumab + bevacizumab +</w:t>
      </w:r>
      <w:r w:rsidR="00B21C5B" w:rsidRPr="00B61251">
        <w:rPr>
          <w:rFonts w:asciiTheme="minorHAnsi" w:hAnsiTheme="minorHAnsi"/>
          <w:bCs/>
        </w:rPr>
        <w:t xml:space="preserve"> CP</w:t>
      </w:r>
      <w:r w:rsidR="005F5F03" w:rsidRPr="00B61251">
        <w:rPr>
          <w:rFonts w:asciiTheme="minorHAnsi" w:hAnsiTheme="minorHAnsi"/>
          <w:bCs/>
        </w:rPr>
        <w:t xml:space="preserve"> </w:t>
      </w:r>
      <w:r w:rsidR="003B17FC" w:rsidRPr="00B61251">
        <w:rPr>
          <w:rFonts w:asciiTheme="minorHAnsi" w:hAnsiTheme="minorHAnsi"/>
          <w:bCs/>
        </w:rPr>
        <w:t xml:space="preserve">(quadruple therapy) </w:t>
      </w:r>
      <w:r w:rsidR="00E4476C" w:rsidRPr="00B61251">
        <w:rPr>
          <w:rFonts w:asciiTheme="minorHAnsi" w:hAnsiTheme="minorHAnsi"/>
          <w:bCs/>
        </w:rPr>
        <w:t>compared to atezolizumab +</w:t>
      </w:r>
      <w:r w:rsidR="00B21C5B" w:rsidRPr="00B61251">
        <w:rPr>
          <w:rFonts w:asciiTheme="minorHAnsi" w:hAnsiTheme="minorHAnsi"/>
          <w:bCs/>
        </w:rPr>
        <w:t xml:space="preserve"> CP</w:t>
      </w:r>
      <w:r w:rsidR="005F5F03" w:rsidRPr="00B61251">
        <w:rPr>
          <w:rFonts w:asciiTheme="minorHAnsi" w:hAnsiTheme="minorHAnsi"/>
          <w:bCs/>
        </w:rPr>
        <w:t xml:space="preserve"> </w:t>
      </w:r>
      <w:r w:rsidR="003B17FC" w:rsidRPr="00B61251">
        <w:rPr>
          <w:rFonts w:asciiTheme="minorHAnsi" w:hAnsiTheme="minorHAnsi"/>
          <w:bCs/>
        </w:rPr>
        <w:t xml:space="preserve">(triple therapy) </w:t>
      </w:r>
      <w:r w:rsidR="005F5F03" w:rsidRPr="00B61251">
        <w:rPr>
          <w:rFonts w:asciiTheme="minorHAnsi" w:hAnsiTheme="minorHAnsi"/>
          <w:bCs/>
        </w:rPr>
        <w:t>was small</w:t>
      </w:r>
      <w:r w:rsidR="00D83D76" w:rsidRPr="00B61251">
        <w:rPr>
          <w:rFonts w:asciiTheme="minorHAnsi" w:hAnsiTheme="minorHAnsi"/>
          <w:bCs/>
        </w:rPr>
        <w:t xml:space="preserve"> </w:t>
      </w:r>
      <w:r w:rsidR="00B35FDC" w:rsidRPr="00B61251">
        <w:rPr>
          <w:rFonts w:asciiTheme="minorHAnsi" w:hAnsiTheme="minorHAnsi"/>
          <w:bCs/>
        </w:rPr>
        <w:t>and the</w:t>
      </w:r>
      <w:r w:rsidRPr="00B61251">
        <w:rPr>
          <w:rFonts w:asciiTheme="minorHAnsi" w:hAnsiTheme="minorHAnsi"/>
          <w:bCs/>
        </w:rPr>
        <w:t>re were</w:t>
      </w:r>
      <w:r w:rsidR="00B35FDC" w:rsidRPr="00B61251">
        <w:rPr>
          <w:rFonts w:asciiTheme="minorHAnsi" w:hAnsiTheme="minorHAnsi"/>
          <w:bCs/>
        </w:rPr>
        <w:t xml:space="preserve"> additional toxicities associated with th</w:t>
      </w:r>
      <w:r w:rsidR="0022253F" w:rsidRPr="00B61251">
        <w:rPr>
          <w:rFonts w:asciiTheme="minorHAnsi" w:hAnsiTheme="minorHAnsi"/>
          <w:bCs/>
        </w:rPr>
        <w:t>e</w:t>
      </w:r>
      <w:r w:rsidR="00B35FDC" w:rsidRPr="00B61251">
        <w:rPr>
          <w:rFonts w:asciiTheme="minorHAnsi" w:hAnsiTheme="minorHAnsi"/>
          <w:bCs/>
        </w:rPr>
        <w:t xml:space="preserve"> </w:t>
      </w:r>
      <w:r w:rsidR="00B21C5B" w:rsidRPr="00B61251">
        <w:rPr>
          <w:rFonts w:asciiTheme="minorHAnsi" w:hAnsiTheme="minorHAnsi"/>
          <w:bCs/>
        </w:rPr>
        <w:t xml:space="preserve">addition of </w:t>
      </w:r>
      <w:r w:rsidR="003C2B01" w:rsidRPr="00B61251">
        <w:rPr>
          <w:rFonts w:asciiTheme="minorHAnsi" w:hAnsiTheme="minorHAnsi"/>
          <w:bCs/>
        </w:rPr>
        <w:t>bevacizumab</w:t>
      </w:r>
      <w:r w:rsidR="00E4476C" w:rsidRPr="00B61251">
        <w:rPr>
          <w:rFonts w:asciiTheme="minorHAnsi" w:hAnsiTheme="minorHAnsi"/>
          <w:bCs/>
        </w:rPr>
        <w:t>.</w:t>
      </w:r>
      <w:r w:rsidR="0094729B" w:rsidRPr="00B61251">
        <w:rPr>
          <w:rFonts w:asciiTheme="minorHAnsi" w:hAnsiTheme="minorHAnsi"/>
          <w:bCs/>
        </w:rPr>
        <w:t xml:space="preserve"> </w:t>
      </w:r>
      <w:r w:rsidR="0022253F" w:rsidRPr="00B61251">
        <w:rPr>
          <w:rFonts w:asciiTheme="minorHAnsi" w:hAnsiTheme="minorHAnsi"/>
          <w:bCs/>
        </w:rPr>
        <w:t>However, t</w:t>
      </w:r>
      <w:r w:rsidR="00D83D76" w:rsidRPr="00B61251">
        <w:rPr>
          <w:rFonts w:asciiTheme="minorHAnsi" w:hAnsiTheme="minorHAnsi"/>
          <w:bCs/>
        </w:rPr>
        <w:t xml:space="preserve">he PBAC noted the TGA Delegate had only recommended approval for atezolizumab in combination with bevacizumab. </w:t>
      </w:r>
      <w:r w:rsidR="0022253F" w:rsidRPr="00B61251">
        <w:rPr>
          <w:rFonts w:asciiTheme="minorHAnsi" w:hAnsiTheme="minorHAnsi"/>
          <w:bCs/>
        </w:rPr>
        <w:t xml:space="preserve">The PBAC considered that the incremental value of the inclusion of bevacizumab remained uncertain and </w:t>
      </w:r>
      <w:r w:rsidR="003B17FC" w:rsidRPr="00B61251">
        <w:rPr>
          <w:rFonts w:asciiTheme="minorHAnsi" w:hAnsiTheme="minorHAnsi"/>
          <w:bCs/>
        </w:rPr>
        <w:t xml:space="preserve">indicated it will </w:t>
      </w:r>
      <w:r w:rsidR="0022253F" w:rsidRPr="00B61251">
        <w:rPr>
          <w:rFonts w:asciiTheme="minorHAnsi" w:hAnsiTheme="minorHAnsi"/>
          <w:bCs/>
        </w:rPr>
        <w:t xml:space="preserve">review further data from </w:t>
      </w:r>
      <w:r w:rsidR="003B17FC" w:rsidRPr="00B61251">
        <w:rPr>
          <w:rFonts w:asciiTheme="minorHAnsi" w:hAnsiTheme="minorHAnsi"/>
          <w:bCs/>
        </w:rPr>
        <w:t xml:space="preserve">ongoing clinical trials, including </w:t>
      </w:r>
      <w:r w:rsidR="0022253F" w:rsidRPr="00B61251">
        <w:rPr>
          <w:rFonts w:asciiTheme="minorHAnsi" w:hAnsiTheme="minorHAnsi"/>
          <w:bCs/>
        </w:rPr>
        <w:t>IMpower132</w:t>
      </w:r>
      <w:r w:rsidR="003B17FC" w:rsidRPr="00B61251">
        <w:rPr>
          <w:rFonts w:asciiTheme="minorHAnsi" w:hAnsiTheme="minorHAnsi"/>
          <w:bCs/>
        </w:rPr>
        <w:t xml:space="preserve"> when available, to determine the appropriateness of the quadruple </w:t>
      </w:r>
      <w:r w:rsidR="00980EE3" w:rsidRPr="00B61251">
        <w:rPr>
          <w:rFonts w:asciiTheme="minorHAnsi" w:hAnsiTheme="minorHAnsi"/>
          <w:bCs/>
        </w:rPr>
        <w:t xml:space="preserve">therapy </w:t>
      </w:r>
      <w:r w:rsidR="003B17FC" w:rsidRPr="00B61251">
        <w:rPr>
          <w:rFonts w:asciiTheme="minorHAnsi" w:hAnsiTheme="minorHAnsi"/>
          <w:bCs/>
        </w:rPr>
        <w:t xml:space="preserve">versus </w:t>
      </w:r>
      <w:r w:rsidR="00980EE3" w:rsidRPr="00B61251">
        <w:rPr>
          <w:rFonts w:asciiTheme="minorHAnsi" w:hAnsiTheme="minorHAnsi"/>
          <w:bCs/>
        </w:rPr>
        <w:t xml:space="preserve">a </w:t>
      </w:r>
      <w:r w:rsidR="003B17FC" w:rsidRPr="00B61251">
        <w:rPr>
          <w:rFonts w:asciiTheme="minorHAnsi" w:hAnsiTheme="minorHAnsi"/>
          <w:bCs/>
        </w:rPr>
        <w:t>triple therapy listing</w:t>
      </w:r>
      <w:r w:rsidR="006C2006">
        <w:rPr>
          <w:rFonts w:asciiTheme="minorHAnsi" w:hAnsiTheme="minorHAnsi"/>
          <w:bCs/>
        </w:rPr>
        <w:t xml:space="preserve"> that excludes bevacizumab</w:t>
      </w:r>
      <w:r w:rsidR="00980EE3" w:rsidRPr="00B61251">
        <w:rPr>
          <w:rFonts w:asciiTheme="minorHAnsi" w:hAnsiTheme="minorHAnsi"/>
          <w:bCs/>
        </w:rPr>
        <w:t>.</w:t>
      </w:r>
      <w:r w:rsidR="00007784">
        <w:rPr>
          <w:rFonts w:asciiTheme="minorHAnsi" w:hAnsiTheme="minorHAnsi"/>
          <w:bCs/>
        </w:rPr>
        <w:t xml:space="preserve"> </w:t>
      </w:r>
      <w:r w:rsidR="00007784">
        <w:rPr>
          <w:rFonts w:asciiTheme="minorHAnsi" w:hAnsiTheme="minorHAnsi"/>
          <w:bCs/>
          <w:lang w:val="en-GB"/>
        </w:rPr>
        <w:t>The PBAC did not consider the change from a quadruple therapy listing to a triple therapy listing would substantially change uptake of atezolizumab in the first-line setting.</w:t>
      </w:r>
    </w:p>
    <w:p w:rsidR="00524BD1" w:rsidRPr="00B61251" w:rsidRDefault="009A0382" w:rsidP="00CB1952">
      <w:pPr>
        <w:widowControl/>
        <w:numPr>
          <w:ilvl w:val="1"/>
          <w:numId w:val="1"/>
        </w:numPr>
        <w:spacing w:before="120" w:after="120"/>
        <w:rPr>
          <w:rFonts w:asciiTheme="minorHAnsi" w:hAnsiTheme="minorHAnsi"/>
          <w:bCs/>
        </w:rPr>
      </w:pPr>
      <w:r w:rsidRPr="00B61251">
        <w:t>The PBAC considered the claim that atezolizumab + bevacizumab + PDC has non-inferior effectiveness and inferior safety compared with pembrolizumab monotherapy in patients with EGFR wild type/ALK negative NSQ NSCLC with high PD-L1 expression to be uncertain but reasonable, and</w:t>
      </w:r>
      <w:r w:rsidR="009710A0" w:rsidRPr="00B61251">
        <w:t xml:space="preserve"> noted </w:t>
      </w:r>
      <w:r w:rsidRPr="00B61251">
        <w:rPr>
          <w:rFonts w:asciiTheme="minorHAnsi" w:hAnsiTheme="minorHAnsi"/>
          <w:szCs w:val="20"/>
        </w:rPr>
        <w:t xml:space="preserve">that </w:t>
      </w:r>
      <w:r w:rsidR="00B36A85" w:rsidRPr="00B61251">
        <w:rPr>
          <w:rFonts w:asciiTheme="minorHAnsi" w:hAnsiTheme="minorHAnsi"/>
          <w:szCs w:val="20"/>
        </w:rPr>
        <w:t>th</w:t>
      </w:r>
      <w:r w:rsidRPr="00B61251">
        <w:rPr>
          <w:rFonts w:asciiTheme="minorHAnsi" w:hAnsiTheme="minorHAnsi"/>
          <w:szCs w:val="20"/>
        </w:rPr>
        <w:t xml:space="preserve">e toxicities were likely </w:t>
      </w:r>
      <w:r w:rsidR="009710A0" w:rsidRPr="00B61251">
        <w:rPr>
          <w:rFonts w:asciiTheme="minorHAnsi" w:hAnsiTheme="minorHAnsi"/>
          <w:szCs w:val="20"/>
        </w:rPr>
        <w:t xml:space="preserve">to be </w:t>
      </w:r>
      <w:r w:rsidRPr="00B61251">
        <w:rPr>
          <w:rFonts w:asciiTheme="minorHAnsi" w:hAnsiTheme="minorHAnsi"/>
          <w:szCs w:val="20"/>
        </w:rPr>
        <w:t>manageable in practice.</w:t>
      </w:r>
    </w:p>
    <w:p w:rsidR="00B21C5B" w:rsidRPr="00B61251" w:rsidRDefault="00A10FB3"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w:t>
      </w:r>
      <w:r w:rsidR="001E055B" w:rsidRPr="00B61251">
        <w:rPr>
          <w:rFonts w:asciiTheme="minorHAnsi" w:hAnsiTheme="minorHAnsi"/>
          <w:bCs/>
        </w:rPr>
        <w:t>agreed with the ESC</w:t>
      </w:r>
      <w:r w:rsidR="00E25366" w:rsidRPr="00B61251">
        <w:rPr>
          <w:rFonts w:asciiTheme="minorHAnsi" w:hAnsiTheme="minorHAnsi"/>
          <w:bCs/>
        </w:rPr>
        <w:t xml:space="preserve"> </w:t>
      </w:r>
      <w:r w:rsidRPr="00B61251">
        <w:rPr>
          <w:rFonts w:asciiTheme="minorHAnsi" w:hAnsiTheme="minorHAnsi"/>
          <w:bCs/>
        </w:rPr>
        <w:t xml:space="preserve">that </w:t>
      </w:r>
      <w:r w:rsidR="00E25366" w:rsidRPr="00B61251">
        <w:rPr>
          <w:rFonts w:asciiTheme="minorHAnsi" w:hAnsiTheme="minorHAnsi"/>
          <w:bCs/>
        </w:rPr>
        <w:t xml:space="preserve">the survival curves in the economic model should </w:t>
      </w:r>
      <w:r w:rsidR="00E8214F" w:rsidRPr="00B61251">
        <w:rPr>
          <w:rFonts w:asciiTheme="minorHAnsi" w:hAnsiTheme="minorHAnsi"/>
          <w:bCs/>
        </w:rPr>
        <w:t>converg</w:t>
      </w:r>
      <w:r w:rsidR="00E25366" w:rsidRPr="00B61251">
        <w:rPr>
          <w:rFonts w:asciiTheme="minorHAnsi" w:hAnsiTheme="minorHAnsi"/>
          <w:bCs/>
        </w:rPr>
        <w:t>e at 7.5 years</w:t>
      </w:r>
      <w:r w:rsidR="006C2006">
        <w:rPr>
          <w:rFonts w:asciiTheme="minorHAnsi" w:hAnsiTheme="minorHAnsi"/>
          <w:bCs/>
        </w:rPr>
        <w:t>, with convergence</w:t>
      </w:r>
      <w:r w:rsidR="00E25366" w:rsidRPr="00B61251">
        <w:rPr>
          <w:rFonts w:asciiTheme="minorHAnsi" w:hAnsiTheme="minorHAnsi"/>
          <w:bCs/>
        </w:rPr>
        <w:t xml:space="preserve"> </w:t>
      </w:r>
      <w:r w:rsidR="00B06EAD" w:rsidRPr="00B61251">
        <w:rPr>
          <w:rFonts w:asciiTheme="minorHAnsi" w:hAnsiTheme="minorHAnsi"/>
          <w:bCs/>
        </w:rPr>
        <w:t>commencing at 5 years</w:t>
      </w:r>
      <w:r w:rsidR="00E25366" w:rsidRPr="00B61251">
        <w:rPr>
          <w:rFonts w:asciiTheme="minorHAnsi" w:hAnsiTheme="minorHAnsi"/>
          <w:bCs/>
        </w:rPr>
        <w:t>.</w:t>
      </w:r>
      <w:r w:rsidR="00B06EAD" w:rsidRPr="00B61251">
        <w:rPr>
          <w:rFonts w:asciiTheme="minorHAnsi" w:hAnsiTheme="minorHAnsi"/>
          <w:bCs/>
        </w:rPr>
        <w:t xml:space="preserve"> </w:t>
      </w:r>
      <w:r w:rsidR="00B35FDC" w:rsidRPr="00B61251">
        <w:rPr>
          <w:rFonts w:asciiTheme="minorHAnsi" w:hAnsiTheme="minorHAnsi"/>
          <w:bCs/>
        </w:rPr>
        <w:t xml:space="preserve">The PBAC noted the key </w:t>
      </w:r>
      <w:r w:rsidR="006C2DC8" w:rsidRPr="00B61251">
        <w:rPr>
          <w:rFonts w:asciiTheme="minorHAnsi" w:hAnsiTheme="minorHAnsi"/>
          <w:bCs/>
        </w:rPr>
        <w:t xml:space="preserve">uncertainties </w:t>
      </w:r>
      <w:r w:rsidR="00B35FDC" w:rsidRPr="00B61251">
        <w:rPr>
          <w:rFonts w:asciiTheme="minorHAnsi" w:hAnsiTheme="minorHAnsi"/>
          <w:bCs/>
        </w:rPr>
        <w:t>in the model</w:t>
      </w:r>
      <w:r w:rsidR="006C2DC8" w:rsidRPr="00B61251">
        <w:rPr>
          <w:rFonts w:asciiTheme="minorHAnsi" w:hAnsiTheme="minorHAnsi"/>
          <w:bCs/>
        </w:rPr>
        <w:t xml:space="preserve"> were the </w:t>
      </w:r>
      <w:r w:rsidR="00B35FDC" w:rsidRPr="00B61251">
        <w:rPr>
          <w:rFonts w:asciiTheme="minorHAnsi" w:hAnsiTheme="minorHAnsi"/>
          <w:bCs/>
        </w:rPr>
        <w:t>treatment effec</w:t>
      </w:r>
      <w:r w:rsidR="005034F7" w:rsidRPr="00B61251">
        <w:rPr>
          <w:rFonts w:asciiTheme="minorHAnsi" w:hAnsiTheme="minorHAnsi"/>
          <w:bCs/>
        </w:rPr>
        <w:t>t</w:t>
      </w:r>
      <w:r w:rsidR="009B0B33" w:rsidRPr="00B61251">
        <w:rPr>
          <w:rFonts w:asciiTheme="minorHAnsi" w:hAnsiTheme="minorHAnsi"/>
          <w:bCs/>
        </w:rPr>
        <w:t xml:space="preserve"> and </w:t>
      </w:r>
      <w:r w:rsidR="006C2DC8" w:rsidRPr="00B61251">
        <w:rPr>
          <w:rFonts w:asciiTheme="minorHAnsi" w:hAnsiTheme="minorHAnsi"/>
          <w:bCs/>
        </w:rPr>
        <w:t xml:space="preserve">the </w:t>
      </w:r>
      <w:r w:rsidR="002A6990" w:rsidRPr="00B61251">
        <w:rPr>
          <w:rFonts w:asciiTheme="minorHAnsi" w:hAnsiTheme="minorHAnsi"/>
          <w:bCs/>
        </w:rPr>
        <w:t xml:space="preserve">uncertain impact of changing the </w:t>
      </w:r>
      <w:r w:rsidR="006C2DC8" w:rsidRPr="00B61251">
        <w:rPr>
          <w:rFonts w:asciiTheme="minorHAnsi" w:hAnsiTheme="minorHAnsi"/>
          <w:bCs/>
        </w:rPr>
        <w:t>proportion</w:t>
      </w:r>
      <w:r w:rsidR="002A6990" w:rsidRPr="00B61251">
        <w:rPr>
          <w:rFonts w:asciiTheme="minorHAnsi" w:hAnsiTheme="minorHAnsi"/>
          <w:bCs/>
        </w:rPr>
        <w:t xml:space="preserve"> </w:t>
      </w:r>
      <w:r w:rsidR="006C2DC8" w:rsidRPr="00B61251">
        <w:rPr>
          <w:rFonts w:asciiTheme="minorHAnsi" w:hAnsiTheme="minorHAnsi"/>
          <w:bCs/>
        </w:rPr>
        <w:t>of</w:t>
      </w:r>
      <w:r w:rsidR="002A6990" w:rsidRPr="00B61251">
        <w:rPr>
          <w:rFonts w:asciiTheme="minorHAnsi" w:hAnsiTheme="minorHAnsi"/>
          <w:bCs/>
        </w:rPr>
        <w:t xml:space="preserve"> use of </w:t>
      </w:r>
      <w:r w:rsidR="005034F7" w:rsidRPr="00B61251">
        <w:rPr>
          <w:rFonts w:asciiTheme="minorHAnsi" w:hAnsiTheme="minorHAnsi"/>
          <w:bCs/>
        </w:rPr>
        <w:t>subsequent PD-(L)1 inhibitors</w:t>
      </w:r>
      <w:r w:rsidR="00B35FDC" w:rsidRPr="00B61251">
        <w:rPr>
          <w:rFonts w:asciiTheme="minorHAnsi" w:hAnsiTheme="minorHAnsi"/>
          <w:bCs/>
        </w:rPr>
        <w:t xml:space="preserve"> post-progression</w:t>
      </w:r>
      <w:r w:rsidR="009B0B33" w:rsidRPr="00B61251">
        <w:rPr>
          <w:rFonts w:asciiTheme="minorHAnsi" w:hAnsiTheme="minorHAnsi"/>
          <w:bCs/>
        </w:rPr>
        <w:t>.</w:t>
      </w:r>
    </w:p>
    <w:p w:rsidR="005B12C9" w:rsidRPr="00B61251" w:rsidRDefault="006460B4" w:rsidP="00CB1952">
      <w:pPr>
        <w:widowControl/>
        <w:numPr>
          <w:ilvl w:val="1"/>
          <w:numId w:val="1"/>
        </w:numPr>
        <w:spacing w:before="120" w:after="120"/>
        <w:rPr>
          <w:rFonts w:asciiTheme="minorHAnsi" w:hAnsiTheme="minorHAnsi"/>
          <w:bCs/>
        </w:rPr>
      </w:pPr>
      <w:r w:rsidRPr="00B61251">
        <w:rPr>
          <w:rFonts w:asciiTheme="minorHAnsi" w:hAnsiTheme="minorHAnsi"/>
          <w:bCs/>
        </w:rPr>
        <w:t>The PBAC noted the Pre-PBAC Response offer</w:t>
      </w:r>
      <w:r w:rsidR="00B21C5B" w:rsidRPr="00B61251">
        <w:rPr>
          <w:rFonts w:asciiTheme="minorHAnsi" w:hAnsiTheme="minorHAnsi"/>
          <w:bCs/>
        </w:rPr>
        <w:t>ed</w:t>
      </w:r>
      <w:r w:rsidRPr="00B61251">
        <w:rPr>
          <w:rFonts w:asciiTheme="minorHAnsi" w:hAnsiTheme="minorHAnsi"/>
          <w:bCs/>
        </w:rPr>
        <w:t xml:space="preserve"> </w:t>
      </w:r>
      <w:r w:rsidR="00EE5A3B" w:rsidRPr="00B61251">
        <w:rPr>
          <w:rFonts w:asciiTheme="minorHAnsi" w:hAnsiTheme="minorHAnsi"/>
          <w:bCs/>
        </w:rPr>
        <w:t>an</w:t>
      </w:r>
      <w:r w:rsidR="00B21C5B" w:rsidRPr="00B61251">
        <w:rPr>
          <w:rFonts w:asciiTheme="minorHAnsi" w:hAnsiTheme="minorHAnsi"/>
          <w:bCs/>
        </w:rPr>
        <w:t xml:space="preserve"> </w:t>
      </w:r>
      <w:r w:rsidRPr="00B61251">
        <w:rPr>
          <w:rFonts w:asciiTheme="minorHAnsi" w:hAnsiTheme="minorHAnsi"/>
          <w:bCs/>
        </w:rPr>
        <w:t xml:space="preserve">additional </w:t>
      </w:r>
      <w:r w:rsidR="00DD5455">
        <w:rPr>
          <w:rFonts w:asciiTheme="minorHAnsi" w:hAnsiTheme="minorHAnsi"/>
          <w:bCs/>
          <w:noProof/>
          <w:color w:val="000000"/>
          <w:highlight w:val="black"/>
        </w:rPr>
        <w:t>''''''</w:t>
      </w:r>
      <w:r w:rsidRPr="00B61251">
        <w:rPr>
          <w:rFonts w:asciiTheme="minorHAnsi" w:hAnsiTheme="minorHAnsi"/>
          <w:bCs/>
        </w:rPr>
        <w:t xml:space="preserve">% </w:t>
      </w:r>
      <w:r w:rsidR="00871366">
        <w:rPr>
          <w:rFonts w:asciiTheme="minorHAnsi" w:hAnsiTheme="minorHAnsi"/>
          <w:bCs/>
        </w:rPr>
        <w:t>rebate</w:t>
      </w:r>
      <w:r w:rsidR="00871366" w:rsidRPr="00B61251">
        <w:rPr>
          <w:rFonts w:asciiTheme="minorHAnsi" w:hAnsiTheme="minorHAnsi"/>
          <w:bCs/>
        </w:rPr>
        <w:t xml:space="preserve"> </w:t>
      </w:r>
      <w:r w:rsidRPr="00B61251">
        <w:rPr>
          <w:rFonts w:asciiTheme="minorHAnsi" w:hAnsiTheme="minorHAnsi"/>
          <w:bCs/>
        </w:rPr>
        <w:t xml:space="preserve">for atezolizumab </w:t>
      </w:r>
      <w:r w:rsidR="00EE5A3B" w:rsidRPr="00B61251">
        <w:rPr>
          <w:rFonts w:asciiTheme="minorHAnsi" w:hAnsiTheme="minorHAnsi"/>
          <w:bCs/>
        </w:rPr>
        <w:t xml:space="preserve">when used in combination with </w:t>
      </w:r>
      <w:r w:rsidRPr="00B61251">
        <w:rPr>
          <w:rFonts w:asciiTheme="minorHAnsi" w:hAnsiTheme="minorHAnsi"/>
          <w:bCs/>
        </w:rPr>
        <w:t>bevacizumab + PDC</w:t>
      </w:r>
      <w:r w:rsidR="00B06EAD" w:rsidRPr="00B61251">
        <w:rPr>
          <w:rFonts w:asciiTheme="minorHAnsi" w:hAnsiTheme="minorHAnsi"/>
          <w:bCs/>
        </w:rPr>
        <w:t xml:space="preserve"> resulting in an ICER of $</w:t>
      </w:r>
      <w:r w:rsidR="00F12C84">
        <w:rPr>
          <w:rFonts w:asciiTheme="minorHAnsi" w:hAnsiTheme="minorHAnsi"/>
          <w:bCs/>
        </w:rPr>
        <w:t>45,000 - $75,000</w:t>
      </w:r>
      <w:r w:rsidR="00B06EAD" w:rsidRPr="00B61251">
        <w:rPr>
          <w:rFonts w:asciiTheme="minorHAnsi" w:hAnsiTheme="minorHAnsi"/>
          <w:bCs/>
        </w:rPr>
        <w:t xml:space="preserve"> per QALY</w:t>
      </w:r>
      <w:r w:rsidR="00A7630C">
        <w:rPr>
          <w:rFonts w:asciiTheme="minorHAnsi" w:hAnsiTheme="minorHAnsi"/>
          <w:bCs/>
        </w:rPr>
        <w:t xml:space="preserve"> in the cost-effectiveness analysis</w:t>
      </w:r>
      <w:r w:rsidR="00B06EAD" w:rsidRPr="00B61251">
        <w:rPr>
          <w:rFonts w:asciiTheme="minorHAnsi" w:hAnsiTheme="minorHAnsi"/>
          <w:bCs/>
        </w:rPr>
        <w:t>.</w:t>
      </w:r>
      <w:r w:rsidRPr="00B61251">
        <w:rPr>
          <w:rFonts w:asciiTheme="minorHAnsi" w:hAnsiTheme="minorHAnsi"/>
          <w:bCs/>
        </w:rPr>
        <w:t xml:space="preserve"> </w:t>
      </w:r>
      <w:r w:rsidR="00E4476C" w:rsidRPr="00B61251">
        <w:rPr>
          <w:rFonts w:asciiTheme="minorHAnsi" w:hAnsiTheme="minorHAnsi"/>
          <w:bCs/>
        </w:rPr>
        <w:t>On balance, the PBAC considered that</w:t>
      </w:r>
      <w:r w:rsidR="00D65270" w:rsidRPr="00B61251">
        <w:rPr>
          <w:rFonts w:asciiTheme="minorHAnsi" w:hAnsiTheme="minorHAnsi"/>
          <w:bCs/>
        </w:rPr>
        <w:t>,</w:t>
      </w:r>
      <w:r w:rsidR="00E4476C" w:rsidRPr="00B61251">
        <w:rPr>
          <w:rFonts w:asciiTheme="minorHAnsi" w:hAnsiTheme="minorHAnsi"/>
          <w:bCs/>
        </w:rPr>
        <w:t xml:space="preserve"> </w:t>
      </w:r>
      <w:r w:rsidR="00B36A85" w:rsidRPr="00B61251">
        <w:rPr>
          <w:rFonts w:asciiTheme="minorHAnsi" w:hAnsiTheme="minorHAnsi"/>
          <w:bCs/>
        </w:rPr>
        <w:t>al</w:t>
      </w:r>
      <w:r w:rsidR="00C33C66" w:rsidRPr="00B61251">
        <w:rPr>
          <w:rFonts w:asciiTheme="minorHAnsi" w:hAnsiTheme="minorHAnsi"/>
          <w:bCs/>
        </w:rPr>
        <w:t>though uncertain</w:t>
      </w:r>
      <w:r w:rsidR="00B06EAD" w:rsidRPr="00B61251">
        <w:rPr>
          <w:rFonts w:asciiTheme="minorHAnsi" w:hAnsiTheme="minorHAnsi"/>
          <w:bCs/>
        </w:rPr>
        <w:t>, this</w:t>
      </w:r>
      <w:r w:rsidR="00E4476C" w:rsidRPr="00B61251">
        <w:rPr>
          <w:rFonts w:asciiTheme="minorHAnsi" w:hAnsiTheme="minorHAnsi"/>
          <w:bCs/>
        </w:rPr>
        <w:t xml:space="preserve"> ICER</w:t>
      </w:r>
      <w:r w:rsidR="00E8214F" w:rsidRPr="00B61251">
        <w:rPr>
          <w:rFonts w:asciiTheme="minorHAnsi" w:hAnsiTheme="minorHAnsi"/>
          <w:bCs/>
        </w:rPr>
        <w:t xml:space="preserve"> </w:t>
      </w:r>
      <w:r w:rsidR="00C33C66" w:rsidRPr="00B61251">
        <w:rPr>
          <w:rFonts w:asciiTheme="minorHAnsi" w:hAnsiTheme="minorHAnsi"/>
          <w:bCs/>
        </w:rPr>
        <w:t>was</w:t>
      </w:r>
      <w:r w:rsidR="00B35FDC" w:rsidRPr="00B61251">
        <w:rPr>
          <w:rFonts w:asciiTheme="minorHAnsi" w:hAnsiTheme="minorHAnsi"/>
          <w:bCs/>
        </w:rPr>
        <w:t xml:space="preserve"> reasonable </w:t>
      </w:r>
      <w:r w:rsidRPr="00B61251">
        <w:rPr>
          <w:rFonts w:asciiTheme="minorHAnsi" w:hAnsiTheme="minorHAnsi"/>
          <w:bCs/>
        </w:rPr>
        <w:t xml:space="preserve">and </w:t>
      </w:r>
      <w:r w:rsidR="00B06EAD" w:rsidRPr="00B61251">
        <w:rPr>
          <w:rFonts w:asciiTheme="minorHAnsi" w:hAnsiTheme="minorHAnsi"/>
          <w:bCs/>
        </w:rPr>
        <w:t xml:space="preserve">was </w:t>
      </w:r>
      <w:r w:rsidRPr="00B61251">
        <w:rPr>
          <w:rFonts w:asciiTheme="minorHAnsi" w:hAnsiTheme="minorHAnsi"/>
          <w:bCs/>
        </w:rPr>
        <w:t xml:space="preserve">consistent with previous considerations of similar </w:t>
      </w:r>
      <w:r w:rsidR="001E055B" w:rsidRPr="00B61251">
        <w:rPr>
          <w:rFonts w:asciiTheme="minorHAnsi" w:hAnsiTheme="minorHAnsi"/>
          <w:bCs/>
        </w:rPr>
        <w:t xml:space="preserve">NSCLC </w:t>
      </w:r>
      <w:r w:rsidRPr="00B61251">
        <w:rPr>
          <w:rFonts w:asciiTheme="minorHAnsi" w:hAnsiTheme="minorHAnsi"/>
          <w:bCs/>
        </w:rPr>
        <w:t>listings</w:t>
      </w:r>
      <w:r w:rsidR="00B61251">
        <w:rPr>
          <w:rFonts w:asciiTheme="minorHAnsi" w:hAnsiTheme="minorHAnsi"/>
          <w:bCs/>
        </w:rPr>
        <w:t xml:space="preserve">. </w:t>
      </w:r>
      <w:r w:rsidR="002A1446" w:rsidRPr="00B61251">
        <w:rPr>
          <w:rFonts w:asciiTheme="minorHAnsi" w:hAnsiTheme="minorHAnsi"/>
          <w:bCs/>
        </w:rPr>
        <w:t xml:space="preserve">The Committee </w:t>
      </w:r>
      <w:r w:rsidR="00A7630C">
        <w:rPr>
          <w:rFonts w:asciiTheme="minorHAnsi" w:hAnsiTheme="minorHAnsi"/>
          <w:bCs/>
        </w:rPr>
        <w:t xml:space="preserve">also considered </w:t>
      </w:r>
      <w:r w:rsidR="002A1446" w:rsidRPr="00B61251">
        <w:rPr>
          <w:rFonts w:asciiTheme="minorHAnsi" w:hAnsiTheme="minorHAnsi"/>
          <w:bCs/>
        </w:rPr>
        <w:t xml:space="preserve">that on balance the cost-effectiveness of atezolizumab </w:t>
      </w:r>
      <w:r w:rsidR="00271469">
        <w:rPr>
          <w:rFonts w:asciiTheme="minorHAnsi" w:hAnsiTheme="minorHAnsi"/>
          <w:bCs/>
        </w:rPr>
        <w:t>+</w:t>
      </w:r>
      <w:r w:rsidR="002A1446" w:rsidRPr="00B61251">
        <w:rPr>
          <w:rFonts w:asciiTheme="minorHAnsi" w:hAnsiTheme="minorHAnsi"/>
          <w:bCs/>
        </w:rPr>
        <w:t xml:space="preserve"> bevacizumab + PDC is likely to be similar across the patient populations proposed in the submission</w:t>
      </w:r>
      <w:r w:rsidR="00B61251">
        <w:rPr>
          <w:rFonts w:asciiTheme="minorHAnsi" w:hAnsiTheme="minorHAnsi"/>
          <w:bCs/>
        </w:rPr>
        <w:t>. T</w:t>
      </w:r>
      <w:r w:rsidR="002A1446" w:rsidRPr="00B61251">
        <w:rPr>
          <w:rFonts w:asciiTheme="minorHAnsi" w:hAnsiTheme="minorHAnsi"/>
          <w:bCs/>
        </w:rPr>
        <w:t xml:space="preserve">herefore </w:t>
      </w:r>
      <w:r w:rsidR="00B61251">
        <w:rPr>
          <w:rFonts w:asciiTheme="minorHAnsi" w:hAnsiTheme="minorHAnsi"/>
          <w:bCs/>
        </w:rPr>
        <w:t xml:space="preserve">the PBAC </w:t>
      </w:r>
      <w:r w:rsidR="002A1446" w:rsidRPr="00B61251">
        <w:rPr>
          <w:rFonts w:asciiTheme="minorHAnsi" w:hAnsiTheme="minorHAnsi"/>
          <w:bCs/>
        </w:rPr>
        <w:t xml:space="preserve">was of the view that the cost of treatment </w:t>
      </w:r>
      <w:r w:rsidR="00F177B2">
        <w:rPr>
          <w:rFonts w:asciiTheme="minorHAnsi" w:hAnsiTheme="minorHAnsi"/>
          <w:bCs/>
        </w:rPr>
        <w:t xml:space="preserve">with </w:t>
      </w:r>
      <w:r w:rsidR="00A7630C">
        <w:rPr>
          <w:rFonts w:asciiTheme="minorHAnsi" w:hAnsiTheme="minorHAnsi"/>
          <w:bCs/>
        </w:rPr>
        <w:t xml:space="preserve">the </w:t>
      </w:r>
      <w:r w:rsidR="002A1446" w:rsidRPr="00B61251">
        <w:rPr>
          <w:rFonts w:asciiTheme="minorHAnsi" w:hAnsiTheme="minorHAnsi"/>
          <w:bCs/>
        </w:rPr>
        <w:t>atezolizumab</w:t>
      </w:r>
      <w:r w:rsidR="00F177B2">
        <w:rPr>
          <w:rFonts w:asciiTheme="minorHAnsi" w:hAnsiTheme="minorHAnsi"/>
          <w:bCs/>
        </w:rPr>
        <w:t xml:space="preserve"> </w:t>
      </w:r>
      <w:r w:rsidR="00A7630C">
        <w:rPr>
          <w:rFonts w:asciiTheme="minorHAnsi" w:hAnsiTheme="minorHAnsi"/>
          <w:bCs/>
        </w:rPr>
        <w:t>+</w:t>
      </w:r>
      <w:r w:rsidR="002A1446" w:rsidRPr="00B61251">
        <w:rPr>
          <w:rFonts w:asciiTheme="minorHAnsi" w:hAnsiTheme="minorHAnsi"/>
          <w:bCs/>
        </w:rPr>
        <w:t xml:space="preserve"> bevacizumab </w:t>
      </w:r>
      <w:r w:rsidR="00A7630C">
        <w:rPr>
          <w:rFonts w:asciiTheme="minorHAnsi" w:hAnsiTheme="minorHAnsi"/>
          <w:bCs/>
        </w:rPr>
        <w:lastRenderedPageBreak/>
        <w:t>components of the quadruple therapy</w:t>
      </w:r>
      <w:r w:rsidR="002A1446" w:rsidRPr="00B61251">
        <w:rPr>
          <w:rFonts w:asciiTheme="minorHAnsi" w:hAnsiTheme="minorHAnsi"/>
          <w:bCs/>
        </w:rPr>
        <w:t xml:space="preserve"> should </w:t>
      </w:r>
      <w:r w:rsidR="00F177B2">
        <w:rPr>
          <w:rFonts w:asciiTheme="minorHAnsi" w:hAnsiTheme="minorHAnsi"/>
          <w:bCs/>
        </w:rPr>
        <w:t xml:space="preserve">not </w:t>
      </w:r>
      <w:r w:rsidR="002A1446" w:rsidRPr="00B61251">
        <w:rPr>
          <w:rFonts w:asciiTheme="minorHAnsi" w:hAnsiTheme="minorHAnsi"/>
          <w:bCs/>
        </w:rPr>
        <w:t xml:space="preserve">exceed the cost of </w:t>
      </w:r>
      <w:r w:rsidR="002A1446" w:rsidRPr="00B61251">
        <w:t xml:space="preserve">pembrolizumab monotherapy for any patient group receiving treatment for </w:t>
      </w:r>
      <w:r w:rsidR="00F177B2">
        <w:t>s</w:t>
      </w:r>
      <w:r w:rsidR="002A1446" w:rsidRPr="00B61251">
        <w:t>tage IV metastatic non-squamous (NSQ) non-small cell lung cancer (NSCLC).</w:t>
      </w:r>
    </w:p>
    <w:p w:rsidR="00865181" w:rsidRPr="00B61251" w:rsidRDefault="00125B19" w:rsidP="00CB1952">
      <w:pPr>
        <w:widowControl/>
        <w:numPr>
          <w:ilvl w:val="1"/>
          <w:numId w:val="1"/>
        </w:numPr>
        <w:spacing w:before="120" w:after="120"/>
        <w:rPr>
          <w:rFonts w:asciiTheme="minorHAnsi" w:hAnsiTheme="minorHAnsi"/>
          <w:bCs/>
        </w:rPr>
      </w:pPr>
      <w:r w:rsidRPr="00B61251">
        <w:rPr>
          <w:rFonts w:asciiTheme="minorHAnsi" w:hAnsiTheme="minorHAnsi"/>
          <w:bCs/>
        </w:rPr>
        <w:t>The PBAC considered that</w:t>
      </w:r>
      <w:r w:rsidR="002E53F8" w:rsidRPr="00B61251">
        <w:rPr>
          <w:rFonts w:asciiTheme="minorHAnsi" w:hAnsiTheme="minorHAnsi"/>
          <w:bCs/>
        </w:rPr>
        <w:t xml:space="preserve"> the </w:t>
      </w:r>
      <w:r w:rsidR="006460B4" w:rsidRPr="00B61251">
        <w:rPr>
          <w:rFonts w:asciiTheme="minorHAnsi" w:hAnsiTheme="minorHAnsi"/>
          <w:bCs/>
        </w:rPr>
        <w:t xml:space="preserve">number of eligible patients </w:t>
      </w:r>
      <w:r w:rsidR="009A0382" w:rsidRPr="00B61251">
        <w:rPr>
          <w:rFonts w:asciiTheme="minorHAnsi" w:hAnsiTheme="minorHAnsi"/>
          <w:bCs/>
        </w:rPr>
        <w:t xml:space="preserve">should be </w:t>
      </w:r>
      <w:r w:rsidR="006460B4" w:rsidRPr="00B61251">
        <w:rPr>
          <w:rFonts w:asciiTheme="minorHAnsi" w:hAnsiTheme="minorHAnsi"/>
          <w:bCs/>
        </w:rPr>
        <w:t>aligned with previous understanding of this population</w:t>
      </w:r>
      <w:r w:rsidR="00D65270" w:rsidRPr="00B61251">
        <w:rPr>
          <w:rFonts w:asciiTheme="minorHAnsi" w:hAnsiTheme="minorHAnsi"/>
          <w:bCs/>
        </w:rPr>
        <w:t>, h</w:t>
      </w:r>
      <w:r w:rsidR="006460B4" w:rsidRPr="00B61251">
        <w:rPr>
          <w:rFonts w:asciiTheme="minorHAnsi" w:hAnsiTheme="minorHAnsi"/>
          <w:bCs/>
        </w:rPr>
        <w:t>owever</w:t>
      </w:r>
      <w:r w:rsidR="00D65270" w:rsidRPr="00B61251">
        <w:rPr>
          <w:rFonts w:asciiTheme="minorHAnsi" w:hAnsiTheme="minorHAnsi"/>
          <w:bCs/>
        </w:rPr>
        <w:t xml:space="preserve"> </w:t>
      </w:r>
      <w:r w:rsidR="00B36A85" w:rsidRPr="00B61251">
        <w:rPr>
          <w:rFonts w:asciiTheme="minorHAnsi" w:hAnsiTheme="minorHAnsi"/>
          <w:bCs/>
        </w:rPr>
        <w:t>considered</w:t>
      </w:r>
      <w:r w:rsidR="006460B4" w:rsidRPr="00B61251">
        <w:rPr>
          <w:rFonts w:asciiTheme="minorHAnsi" w:hAnsiTheme="minorHAnsi"/>
          <w:bCs/>
        </w:rPr>
        <w:t xml:space="preserve"> the proposed uptake </w:t>
      </w:r>
      <w:r w:rsidR="009A0382" w:rsidRPr="00B61251">
        <w:rPr>
          <w:rFonts w:asciiTheme="minorHAnsi" w:hAnsiTheme="minorHAnsi"/>
          <w:bCs/>
        </w:rPr>
        <w:t xml:space="preserve">in the submission </w:t>
      </w:r>
      <w:r w:rsidR="006460B4" w:rsidRPr="00B61251">
        <w:rPr>
          <w:rFonts w:asciiTheme="minorHAnsi" w:hAnsiTheme="minorHAnsi"/>
          <w:bCs/>
        </w:rPr>
        <w:t>highly uncertain</w:t>
      </w:r>
      <w:r w:rsidR="00B61251">
        <w:rPr>
          <w:rFonts w:asciiTheme="minorHAnsi" w:hAnsiTheme="minorHAnsi"/>
          <w:bCs/>
        </w:rPr>
        <w:t xml:space="preserve">. </w:t>
      </w:r>
      <w:r w:rsidR="00B36A85" w:rsidRPr="00B61251">
        <w:rPr>
          <w:rFonts w:asciiTheme="minorHAnsi" w:hAnsiTheme="minorHAnsi"/>
          <w:bCs/>
        </w:rPr>
        <w:t>In particular</w:t>
      </w:r>
      <w:r w:rsidR="006460B4" w:rsidRPr="00B61251">
        <w:rPr>
          <w:rFonts w:asciiTheme="minorHAnsi" w:hAnsiTheme="minorHAnsi"/>
          <w:bCs/>
        </w:rPr>
        <w:t xml:space="preserve">, </w:t>
      </w:r>
      <w:r w:rsidR="001E055B" w:rsidRPr="00B61251">
        <w:rPr>
          <w:rFonts w:asciiTheme="minorHAnsi" w:hAnsiTheme="minorHAnsi"/>
          <w:bCs/>
        </w:rPr>
        <w:t xml:space="preserve">the PBAC considered that </w:t>
      </w:r>
      <w:r w:rsidRPr="00B61251">
        <w:rPr>
          <w:rFonts w:asciiTheme="minorHAnsi" w:hAnsiTheme="minorHAnsi"/>
          <w:bCs/>
        </w:rPr>
        <w:t xml:space="preserve">estimates </w:t>
      </w:r>
      <w:r w:rsidR="009A0382" w:rsidRPr="00B61251">
        <w:rPr>
          <w:rFonts w:asciiTheme="minorHAnsi" w:hAnsiTheme="minorHAnsi"/>
          <w:bCs/>
        </w:rPr>
        <w:t xml:space="preserve">of </w:t>
      </w:r>
      <w:r w:rsidR="009A0382" w:rsidRPr="00D4214A">
        <w:rPr>
          <w:rFonts w:asciiTheme="minorHAnsi" w:hAnsiTheme="minorHAnsi"/>
          <w:bCs/>
        </w:rPr>
        <w:t xml:space="preserve">uptake </w:t>
      </w:r>
      <w:r w:rsidR="00E04B86" w:rsidRPr="00D4214A">
        <w:rPr>
          <w:rFonts w:asciiTheme="minorHAnsi" w:hAnsiTheme="minorHAnsi"/>
          <w:bCs/>
        </w:rPr>
        <w:t xml:space="preserve">by </w:t>
      </w:r>
      <w:r w:rsidR="00DD5455">
        <w:rPr>
          <w:rFonts w:asciiTheme="minorHAnsi" w:hAnsiTheme="minorHAnsi"/>
          <w:bCs/>
          <w:noProof/>
          <w:color w:val="000000"/>
          <w:highlight w:val="black"/>
        </w:rPr>
        <w:t>'''</w:t>
      </w:r>
      <w:r w:rsidR="00E04B86" w:rsidRPr="00D4214A">
        <w:rPr>
          <w:rFonts w:asciiTheme="minorHAnsi" w:hAnsiTheme="minorHAnsi"/>
          <w:bCs/>
        </w:rPr>
        <w:t xml:space="preserve">% by the PD-L1 </w:t>
      </w:r>
      <w:r w:rsidR="00E04B86" w:rsidRPr="00D4214A">
        <w:rPr>
          <w:rFonts w:asciiTheme="minorHAnsi" w:hAnsiTheme="minorHAnsi" w:cstheme="minorHAnsi"/>
          <w:bCs/>
        </w:rPr>
        <w:t>≥</w:t>
      </w:r>
      <w:r w:rsidR="00E04B86" w:rsidRPr="00D4214A">
        <w:rPr>
          <w:rFonts w:asciiTheme="minorHAnsi" w:hAnsiTheme="minorHAnsi"/>
          <w:bCs/>
        </w:rPr>
        <w:t xml:space="preserve">50% subgroup and </w:t>
      </w:r>
      <w:r w:rsidR="00DD5455">
        <w:rPr>
          <w:rFonts w:asciiTheme="minorHAnsi" w:hAnsiTheme="minorHAnsi"/>
          <w:bCs/>
          <w:noProof/>
          <w:color w:val="000000"/>
          <w:highlight w:val="black"/>
        </w:rPr>
        <w:t>''''''</w:t>
      </w:r>
      <w:r w:rsidR="00E04B86" w:rsidRPr="00D4214A">
        <w:rPr>
          <w:rFonts w:asciiTheme="minorHAnsi" w:hAnsiTheme="minorHAnsi"/>
          <w:bCs/>
        </w:rPr>
        <w:t xml:space="preserve">% </w:t>
      </w:r>
      <w:r w:rsidR="002E53F8" w:rsidRPr="00D4214A">
        <w:rPr>
          <w:rFonts w:asciiTheme="minorHAnsi" w:hAnsiTheme="minorHAnsi"/>
          <w:bCs/>
        </w:rPr>
        <w:t>in the broader EGFR wild</w:t>
      </w:r>
      <w:r w:rsidR="00B35FDC" w:rsidRPr="00D4214A">
        <w:rPr>
          <w:rFonts w:asciiTheme="minorHAnsi" w:hAnsiTheme="minorHAnsi"/>
          <w:bCs/>
        </w:rPr>
        <w:t xml:space="preserve"> </w:t>
      </w:r>
      <w:r w:rsidR="002E53F8" w:rsidRPr="00D4214A">
        <w:rPr>
          <w:rFonts w:asciiTheme="minorHAnsi" w:hAnsiTheme="minorHAnsi"/>
          <w:bCs/>
        </w:rPr>
        <w:t xml:space="preserve">type/ALK negative population </w:t>
      </w:r>
      <w:r w:rsidRPr="00D4214A">
        <w:rPr>
          <w:rFonts w:asciiTheme="minorHAnsi" w:hAnsiTheme="minorHAnsi"/>
          <w:bCs/>
        </w:rPr>
        <w:t>were likely underestimates</w:t>
      </w:r>
      <w:r w:rsidR="009A0382" w:rsidRPr="00B61251">
        <w:rPr>
          <w:rFonts w:asciiTheme="minorHAnsi" w:hAnsiTheme="minorHAnsi"/>
          <w:bCs/>
        </w:rPr>
        <w:t>.</w:t>
      </w:r>
      <w:r w:rsidRPr="00B61251">
        <w:rPr>
          <w:rFonts w:asciiTheme="minorHAnsi" w:hAnsiTheme="minorHAnsi"/>
          <w:bCs/>
        </w:rPr>
        <w:t xml:space="preserve"> </w:t>
      </w:r>
      <w:r w:rsidR="009A0382" w:rsidRPr="00B61251">
        <w:rPr>
          <w:rFonts w:asciiTheme="minorHAnsi" w:hAnsiTheme="minorHAnsi"/>
          <w:bCs/>
        </w:rPr>
        <w:t xml:space="preserve">The </w:t>
      </w:r>
      <w:r w:rsidRPr="00B61251">
        <w:rPr>
          <w:rFonts w:asciiTheme="minorHAnsi" w:hAnsiTheme="minorHAnsi"/>
          <w:bCs/>
        </w:rPr>
        <w:t>estimate</w:t>
      </w:r>
      <w:r w:rsidR="006C2006">
        <w:rPr>
          <w:rFonts w:asciiTheme="minorHAnsi" w:hAnsiTheme="minorHAnsi"/>
          <w:bCs/>
        </w:rPr>
        <w:t>s of</w:t>
      </w:r>
      <w:r w:rsidRPr="00B61251">
        <w:rPr>
          <w:rFonts w:asciiTheme="minorHAnsi" w:hAnsiTheme="minorHAnsi"/>
          <w:bCs/>
        </w:rPr>
        <w:t xml:space="preserve"> use in the EGFR mutant/ALK positive population were reasonable.</w:t>
      </w:r>
    </w:p>
    <w:p w:rsidR="001E055B" w:rsidRPr="00B61251" w:rsidRDefault="001E055B"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w:t>
      </w:r>
      <w:r w:rsidRPr="00B61251">
        <w:rPr>
          <w:rFonts w:asciiTheme="minorHAnsi" w:hAnsiTheme="minorHAnsi"/>
          <w:szCs w:val="24"/>
        </w:rPr>
        <w:t>considered that the residual uncertainty around uptake and financial impact would need to be managed within the</w:t>
      </w:r>
      <w:r w:rsidR="002A1446" w:rsidRPr="00B61251">
        <w:rPr>
          <w:rFonts w:asciiTheme="minorHAnsi" w:hAnsiTheme="minorHAnsi"/>
          <w:szCs w:val="24"/>
        </w:rPr>
        <w:t xml:space="preserve"> current</w:t>
      </w:r>
      <w:r w:rsidRPr="00B61251">
        <w:rPr>
          <w:rFonts w:asciiTheme="minorHAnsi" w:hAnsiTheme="minorHAnsi"/>
          <w:szCs w:val="24"/>
        </w:rPr>
        <w:t xml:space="preserve"> risk share</w:t>
      </w:r>
      <w:r w:rsidR="00B97771" w:rsidRPr="00B61251">
        <w:rPr>
          <w:rFonts w:asciiTheme="minorHAnsi" w:hAnsiTheme="minorHAnsi"/>
          <w:szCs w:val="24"/>
        </w:rPr>
        <w:t xml:space="preserve"> arrangement</w:t>
      </w:r>
      <w:r w:rsidRPr="00B61251">
        <w:rPr>
          <w:rFonts w:asciiTheme="minorHAnsi" w:hAnsiTheme="minorHAnsi"/>
          <w:szCs w:val="24"/>
        </w:rPr>
        <w:t xml:space="preserve"> and expenditure caps in place for </w:t>
      </w:r>
      <w:r w:rsidR="009A0382" w:rsidRPr="00B61251">
        <w:rPr>
          <w:rFonts w:asciiTheme="minorHAnsi" w:hAnsiTheme="minorHAnsi"/>
          <w:szCs w:val="24"/>
        </w:rPr>
        <w:t>immunotherapy medicines for NSCLC</w:t>
      </w:r>
      <w:r w:rsidR="00B61251">
        <w:rPr>
          <w:rFonts w:asciiTheme="minorHAnsi" w:hAnsiTheme="minorHAnsi"/>
          <w:szCs w:val="24"/>
        </w:rPr>
        <w:t xml:space="preserve">. </w:t>
      </w:r>
      <w:r w:rsidR="00D30FB9" w:rsidRPr="00B61251">
        <w:rPr>
          <w:rFonts w:asciiTheme="minorHAnsi" w:hAnsiTheme="minorHAnsi"/>
          <w:szCs w:val="24"/>
        </w:rPr>
        <w:t>The Committee considered that the mode</w:t>
      </w:r>
      <w:r w:rsidR="00271469">
        <w:rPr>
          <w:rFonts w:asciiTheme="minorHAnsi" w:hAnsiTheme="minorHAnsi"/>
          <w:szCs w:val="24"/>
        </w:rPr>
        <w:t>st</w:t>
      </w:r>
      <w:r w:rsidR="00D30FB9" w:rsidRPr="00B61251">
        <w:rPr>
          <w:rFonts w:asciiTheme="minorHAnsi" w:hAnsiTheme="minorHAnsi"/>
          <w:szCs w:val="24"/>
        </w:rPr>
        <w:t xml:space="preserve"> increase in patient numbers likely to result from this listing was unlikely to require a revision of the RSA for NSCLC as current expenditure is </w:t>
      </w:r>
      <w:r w:rsidR="00814884" w:rsidRPr="00B61251">
        <w:rPr>
          <w:rFonts w:asciiTheme="minorHAnsi" w:hAnsiTheme="minorHAnsi"/>
          <w:szCs w:val="24"/>
        </w:rPr>
        <w:t>tracking 30</w:t>
      </w:r>
      <w:r w:rsidR="006C2006">
        <w:rPr>
          <w:rFonts w:asciiTheme="minorHAnsi" w:hAnsiTheme="minorHAnsi"/>
          <w:szCs w:val="24"/>
        </w:rPr>
        <w:t>%</w:t>
      </w:r>
      <w:r w:rsidR="00D30FB9" w:rsidRPr="00B61251">
        <w:t>-40% lower than envisaged when these caps were established.</w:t>
      </w:r>
    </w:p>
    <w:p w:rsidR="005B12C9" w:rsidRPr="00B61251" w:rsidRDefault="005B12C9"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advised that </w:t>
      </w:r>
      <w:r w:rsidR="00F66976" w:rsidRPr="00B61251">
        <w:rPr>
          <w:rFonts w:asciiTheme="minorHAnsi" w:hAnsiTheme="minorHAnsi"/>
          <w:bCs/>
        </w:rPr>
        <w:t xml:space="preserve">atezolizumab + bevacizumab </w:t>
      </w:r>
      <w:r w:rsidRPr="00B61251">
        <w:rPr>
          <w:rFonts w:asciiTheme="minorHAnsi" w:hAnsiTheme="minorHAnsi"/>
          <w:bCs/>
        </w:rPr>
        <w:t>is not suitable for prescribing by nurse practitioners</w:t>
      </w:r>
      <w:r w:rsidR="00B61251">
        <w:rPr>
          <w:rFonts w:asciiTheme="minorHAnsi" w:hAnsiTheme="minorHAnsi"/>
          <w:bCs/>
        </w:rPr>
        <w:t>.</w:t>
      </w:r>
    </w:p>
    <w:p w:rsidR="005B12C9" w:rsidRPr="00B61251" w:rsidRDefault="005B12C9" w:rsidP="00CB1952">
      <w:pPr>
        <w:widowControl/>
        <w:numPr>
          <w:ilvl w:val="1"/>
          <w:numId w:val="1"/>
        </w:numPr>
        <w:spacing w:before="120" w:after="120"/>
        <w:rPr>
          <w:rFonts w:asciiTheme="minorHAnsi" w:hAnsiTheme="minorHAnsi"/>
          <w:bCs/>
        </w:rPr>
      </w:pPr>
      <w:r w:rsidRPr="00B61251">
        <w:rPr>
          <w:rFonts w:asciiTheme="minorHAnsi" w:hAnsiTheme="minorHAnsi"/>
          <w:bCs/>
        </w:rPr>
        <w:t>The PBAC recommended that the Early Supply Rule should not apply</w:t>
      </w:r>
      <w:r w:rsidR="001E055B" w:rsidRPr="00B61251">
        <w:rPr>
          <w:rFonts w:asciiTheme="minorHAnsi" w:hAnsiTheme="minorHAnsi"/>
          <w:bCs/>
        </w:rPr>
        <w:t xml:space="preserve"> as this is a Section 100 listing</w:t>
      </w:r>
      <w:r w:rsidR="006C2006">
        <w:rPr>
          <w:rFonts w:asciiTheme="minorHAnsi" w:hAnsiTheme="minorHAnsi"/>
          <w:bCs/>
        </w:rPr>
        <w:t>.</w:t>
      </w:r>
    </w:p>
    <w:p w:rsidR="000E4857" w:rsidRPr="00B61251" w:rsidRDefault="005B12C9"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w:t>
      </w:r>
      <w:r w:rsidR="00CB47DC" w:rsidRPr="00B61251">
        <w:rPr>
          <w:rFonts w:asciiTheme="minorHAnsi" w:hAnsiTheme="minorHAnsi"/>
          <w:bCs/>
        </w:rPr>
        <w:t>recalled its advice to the Minister in late 2018, recommending examination of the potential for a broad PBS subsidy listing for PD-(L)1 inhibitors for NSCLC, as substantial evidence and experience is now available for four PD-(L)1 medicines in this setting</w:t>
      </w:r>
      <w:r w:rsidR="00CB47DC" w:rsidRPr="00B61251">
        <w:rPr>
          <w:rStyle w:val="FootnoteReference"/>
          <w:rFonts w:asciiTheme="minorHAnsi" w:hAnsiTheme="minorHAnsi"/>
          <w:bCs/>
        </w:rPr>
        <w:footnoteReference w:id="6"/>
      </w:r>
      <w:r w:rsidR="00CB47DC" w:rsidRPr="00B61251">
        <w:rPr>
          <w:rFonts w:asciiTheme="minorHAnsi" w:hAnsiTheme="minorHAnsi"/>
          <w:bCs/>
        </w:rPr>
        <w:t>.</w:t>
      </w:r>
    </w:p>
    <w:p w:rsidR="005B12C9" w:rsidRPr="00B61251" w:rsidRDefault="000E4857" w:rsidP="00CB1952">
      <w:pPr>
        <w:widowControl/>
        <w:numPr>
          <w:ilvl w:val="1"/>
          <w:numId w:val="1"/>
        </w:numPr>
        <w:spacing w:before="120" w:after="120"/>
        <w:rPr>
          <w:rFonts w:asciiTheme="minorHAnsi" w:hAnsiTheme="minorHAnsi"/>
          <w:bCs/>
        </w:rPr>
      </w:pPr>
      <w:r w:rsidRPr="00B61251">
        <w:rPr>
          <w:rFonts w:asciiTheme="minorHAnsi" w:hAnsiTheme="minorHAnsi"/>
          <w:bCs/>
        </w:rPr>
        <w:t xml:space="preserve">The PBAC noted that this </w:t>
      </w:r>
      <w:r w:rsidR="006F4090" w:rsidRPr="00B61251">
        <w:rPr>
          <w:rFonts w:asciiTheme="minorHAnsi" w:hAnsiTheme="minorHAnsi"/>
          <w:bCs/>
        </w:rPr>
        <w:t>is</w:t>
      </w:r>
      <w:r w:rsidR="006C2006">
        <w:rPr>
          <w:rFonts w:asciiTheme="minorHAnsi" w:hAnsiTheme="minorHAnsi"/>
          <w:bCs/>
        </w:rPr>
        <w:t xml:space="preserve"> a complex restriction.</w:t>
      </w:r>
    </w:p>
    <w:p w:rsidR="00A350F9" w:rsidRPr="00B61251" w:rsidRDefault="005B12C9" w:rsidP="00CB1952">
      <w:pPr>
        <w:widowControl/>
        <w:numPr>
          <w:ilvl w:val="1"/>
          <w:numId w:val="1"/>
        </w:numPr>
        <w:spacing w:before="120" w:after="120"/>
        <w:rPr>
          <w:rFonts w:asciiTheme="minorHAnsi" w:hAnsiTheme="minorHAnsi"/>
          <w:bCs/>
        </w:rPr>
      </w:pPr>
      <w:r w:rsidRPr="00B61251">
        <w:rPr>
          <w:rFonts w:asciiTheme="minorHAnsi" w:hAnsiTheme="minorHAnsi"/>
          <w:bCs/>
        </w:rPr>
        <w:t>The PBAC noted that this submission is not eligible for an Independent Review</w:t>
      </w:r>
      <w:r w:rsidR="000E4857" w:rsidRPr="00B61251">
        <w:rPr>
          <w:rFonts w:asciiTheme="minorHAnsi" w:hAnsiTheme="minorHAnsi"/>
          <w:bCs/>
        </w:rPr>
        <w:t xml:space="preserve"> as it ha</w:t>
      </w:r>
      <w:r w:rsidR="00A350F9" w:rsidRPr="00B61251">
        <w:rPr>
          <w:rFonts w:asciiTheme="minorHAnsi" w:hAnsiTheme="minorHAnsi"/>
          <w:bCs/>
        </w:rPr>
        <w:t xml:space="preserve">s </w:t>
      </w:r>
      <w:r w:rsidR="000E4857" w:rsidRPr="00B61251">
        <w:rPr>
          <w:rFonts w:asciiTheme="minorHAnsi" w:hAnsiTheme="minorHAnsi"/>
          <w:bCs/>
        </w:rPr>
        <w:t xml:space="preserve">received </w:t>
      </w:r>
      <w:r w:rsidR="00A350F9" w:rsidRPr="00B61251">
        <w:rPr>
          <w:rFonts w:asciiTheme="minorHAnsi" w:hAnsiTheme="minorHAnsi"/>
          <w:bCs/>
        </w:rPr>
        <w:t>a positive recommendation.</w:t>
      </w:r>
    </w:p>
    <w:p w:rsidR="005B12C9" w:rsidRPr="00B61251" w:rsidRDefault="005B12C9" w:rsidP="00CB1952">
      <w:pPr>
        <w:widowControl/>
        <w:spacing w:before="120" w:after="120"/>
        <w:rPr>
          <w:rFonts w:asciiTheme="minorHAnsi" w:hAnsiTheme="minorHAnsi"/>
          <w:b/>
          <w:bCs/>
        </w:rPr>
      </w:pPr>
      <w:r w:rsidRPr="00B61251">
        <w:rPr>
          <w:rFonts w:asciiTheme="minorHAnsi" w:hAnsiTheme="minorHAnsi"/>
          <w:b/>
          <w:bCs/>
        </w:rPr>
        <w:t>Outcome:</w:t>
      </w:r>
    </w:p>
    <w:p w:rsidR="003E5902" w:rsidRPr="003E5902" w:rsidRDefault="006C2006" w:rsidP="00CB1952">
      <w:pPr>
        <w:widowControl/>
        <w:spacing w:before="120" w:after="120"/>
        <w:rPr>
          <w:rFonts w:asciiTheme="minorHAnsi" w:hAnsiTheme="minorHAnsi"/>
          <w:bCs/>
        </w:rPr>
      </w:pPr>
      <w:r>
        <w:rPr>
          <w:rFonts w:asciiTheme="minorHAnsi" w:hAnsiTheme="minorHAnsi"/>
          <w:bCs/>
        </w:rPr>
        <w:t>Recommended</w:t>
      </w:r>
    </w:p>
    <w:p w:rsidR="005B12C9" w:rsidRPr="004D3B19" w:rsidRDefault="005B12C9" w:rsidP="0079332B">
      <w:pPr>
        <w:pStyle w:val="PBACHeading1"/>
        <w:keepNext/>
      </w:pPr>
      <w:r w:rsidRPr="004D3B19">
        <w:lastRenderedPageBreak/>
        <w:t>Recommended listing</w:t>
      </w:r>
    </w:p>
    <w:p w:rsidR="00CE35F7" w:rsidRPr="00B61251" w:rsidRDefault="005B12C9" w:rsidP="0079332B">
      <w:pPr>
        <w:keepNext/>
        <w:widowControl/>
        <w:numPr>
          <w:ilvl w:val="1"/>
          <w:numId w:val="1"/>
        </w:numPr>
        <w:spacing w:after="120"/>
        <w:rPr>
          <w:rFonts w:asciiTheme="minorHAnsi" w:hAnsiTheme="minorHAnsi"/>
          <w:bCs/>
        </w:rPr>
      </w:pPr>
      <w:r w:rsidRPr="00B61251">
        <w:rPr>
          <w:rFonts w:asciiTheme="minorHAnsi" w:hAnsiTheme="minorHAnsi"/>
          <w:bCs/>
        </w:rPr>
        <w:t>Add new item</w:t>
      </w:r>
      <w:r w:rsidR="001A177E" w:rsidRPr="00B61251">
        <w:rPr>
          <w:rFonts w:asciiTheme="minorHAnsi" w:hAnsiTheme="minorHAnsi"/>
          <w:bCs/>
        </w:rPr>
        <w:t>s</w:t>
      </w:r>
      <w:r w:rsidRPr="00B61251">
        <w:rPr>
          <w:rFonts w:asciiTheme="minorHAnsi" w:hAnsiTheme="minorHAnsi"/>
          <w:bCs/>
        </w:rPr>
        <w:t>:</w:t>
      </w:r>
    </w:p>
    <w:tbl>
      <w:tblPr>
        <w:tblW w:w="9214" w:type="dxa"/>
        <w:tblInd w:w="108" w:type="dxa"/>
        <w:tblLook w:val="0000" w:firstRow="0" w:lastRow="0" w:firstColumn="0" w:lastColumn="0" w:noHBand="0" w:noVBand="0"/>
      </w:tblPr>
      <w:tblGrid>
        <w:gridCol w:w="2835"/>
        <w:gridCol w:w="6379"/>
      </w:tblGrid>
      <w:tr w:rsidR="007D1024" w:rsidRPr="00B61251" w:rsidTr="00C944ED">
        <w:trPr>
          <w:cantSplit/>
          <w:trHeight w:val="360"/>
        </w:trPr>
        <w:tc>
          <w:tcPr>
            <w:tcW w:w="9214" w:type="dxa"/>
            <w:gridSpan w:val="2"/>
            <w:tcBorders>
              <w:bottom w:val="single" w:sz="4" w:space="0" w:color="auto"/>
            </w:tcBorders>
          </w:tcPr>
          <w:p w:rsidR="001A177E" w:rsidRPr="00B61251" w:rsidRDefault="00871366" w:rsidP="0079332B">
            <w:pPr>
              <w:widowControl/>
              <w:spacing w:after="120"/>
              <w:rPr>
                <w:b/>
              </w:rPr>
            </w:pPr>
            <w:r>
              <w:rPr>
                <w:b/>
              </w:rPr>
              <w:t>A</w:t>
            </w:r>
            <w:r w:rsidR="00CE35F7">
              <w:rPr>
                <w:b/>
              </w:rPr>
              <w:t>tezolizumab</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478"/>
              <w:gridCol w:w="1533"/>
              <w:gridCol w:w="1256"/>
              <w:gridCol w:w="3731"/>
            </w:tblGrid>
            <w:tr w:rsidR="001A177E" w:rsidRPr="00B61251" w:rsidTr="00C944ED">
              <w:trPr>
                <w:tblHeader/>
              </w:trPr>
              <w:tc>
                <w:tcPr>
                  <w:tcW w:w="1377" w:type="pct"/>
                </w:tcPr>
                <w:p w:rsidR="001A177E" w:rsidRPr="00B61251" w:rsidRDefault="001A177E" w:rsidP="0079332B">
                  <w:pPr>
                    <w:widowControl/>
                    <w:jc w:val="left"/>
                    <w:rPr>
                      <w:rFonts w:ascii="Arial Narrow" w:hAnsi="Arial Narrow"/>
                      <w:b/>
                      <w:sz w:val="20"/>
                      <w:szCs w:val="20"/>
                    </w:rPr>
                  </w:pPr>
                  <w:r w:rsidRPr="00B61251">
                    <w:rPr>
                      <w:rFonts w:ascii="Arial Narrow" w:hAnsi="Arial Narrow"/>
                      <w:b/>
                      <w:sz w:val="20"/>
                      <w:szCs w:val="20"/>
                    </w:rPr>
                    <w:t>Name, restriction, manner of administration, form</w:t>
                  </w:r>
                </w:p>
              </w:tc>
              <w:tc>
                <w:tcPr>
                  <w:tcW w:w="852" w:type="pct"/>
                </w:tcPr>
                <w:p w:rsidR="001A177E" w:rsidRPr="00B61251" w:rsidRDefault="001A177E" w:rsidP="0079332B">
                  <w:pPr>
                    <w:widowControl/>
                    <w:jc w:val="center"/>
                    <w:rPr>
                      <w:rFonts w:ascii="Arial Narrow" w:hAnsi="Arial Narrow"/>
                      <w:b/>
                      <w:sz w:val="20"/>
                      <w:szCs w:val="20"/>
                    </w:rPr>
                  </w:pPr>
                  <w:r w:rsidRPr="00B61251">
                    <w:rPr>
                      <w:rFonts w:ascii="Arial Narrow" w:hAnsi="Arial Narrow"/>
                      <w:b/>
                      <w:sz w:val="20"/>
                      <w:szCs w:val="20"/>
                    </w:rPr>
                    <w:t>Maximum amount</w:t>
                  </w:r>
                </w:p>
              </w:tc>
              <w:tc>
                <w:tcPr>
                  <w:tcW w:w="698" w:type="pct"/>
                </w:tcPr>
                <w:p w:rsidR="001A177E" w:rsidRPr="00B61251" w:rsidRDefault="001A177E" w:rsidP="0079332B">
                  <w:pPr>
                    <w:widowControl/>
                    <w:jc w:val="center"/>
                    <w:rPr>
                      <w:rFonts w:ascii="Arial Narrow" w:hAnsi="Arial Narrow"/>
                      <w:b/>
                      <w:sz w:val="20"/>
                      <w:szCs w:val="20"/>
                    </w:rPr>
                  </w:pPr>
                  <w:r w:rsidRPr="00B61251">
                    <w:rPr>
                      <w:rFonts w:ascii="Arial Narrow" w:hAnsi="Arial Narrow"/>
                      <w:b/>
                      <w:sz w:val="20"/>
                      <w:szCs w:val="20"/>
                    </w:rPr>
                    <w:t>No. of repeats</w:t>
                  </w:r>
                </w:p>
              </w:tc>
              <w:tc>
                <w:tcPr>
                  <w:tcW w:w="2074" w:type="pct"/>
                </w:tcPr>
                <w:p w:rsidR="001A177E" w:rsidRPr="00B61251" w:rsidRDefault="001A177E" w:rsidP="0079332B">
                  <w:pPr>
                    <w:widowControl/>
                    <w:jc w:val="center"/>
                    <w:rPr>
                      <w:rFonts w:ascii="Arial Narrow" w:hAnsi="Arial Narrow"/>
                      <w:b/>
                      <w:sz w:val="20"/>
                      <w:szCs w:val="20"/>
                    </w:rPr>
                  </w:pPr>
                  <w:r w:rsidRPr="00B61251">
                    <w:rPr>
                      <w:rFonts w:ascii="Arial Narrow" w:hAnsi="Arial Narrow"/>
                      <w:b/>
                      <w:sz w:val="20"/>
                      <w:szCs w:val="20"/>
                    </w:rPr>
                    <w:t>Proprietary name and manufacturer</w:t>
                  </w:r>
                </w:p>
              </w:tc>
            </w:tr>
            <w:tr w:rsidR="001A177E" w:rsidRPr="00B61251" w:rsidTr="00C944ED">
              <w:tc>
                <w:tcPr>
                  <w:tcW w:w="1377" w:type="pct"/>
                </w:tcPr>
                <w:p w:rsidR="001A177E" w:rsidRPr="00B61251" w:rsidRDefault="001A177E" w:rsidP="0079332B">
                  <w:pPr>
                    <w:pStyle w:val="Tabletext"/>
                  </w:pPr>
                  <w:r w:rsidRPr="00B61251">
                    <w:t>ATEZOLIZUMAB</w:t>
                  </w:r>
                </w:p>
                <w:p w:rsidR="001A177E" w:rsidRPr="00B61251" w:rsidRDefault="001A177E" w:rsidP="0079332B">
                  <w:pPr>
                    <w:pStyle w:val="Tabletext"/>
                  </w:pPr>
                  <w:r w:rsidRPr="00B61251">
                    <w:t>1,200 mg/20 mL injection, 1 x 20 mL vial</w:t>
                  </w:r>
                </w:p>
              </w:tc>
              <w:tc>
                <w:tcPr>
                  <w:tcW w:w="852" w:type="pct"/>
                </w:tcPr>
                <w:p w:rsidR="001A177E" w:rsidRPr="00B61251" w:rsidRDefault="001A177E" w:rsidP="0079332B">
                  <w:pPr>
                    <w:pStyle w:val="Tabletext"/>
                    <w:jc w:val="center"/>
                  </w:pPr>
                  <w:r w:rsidRPr="00B61251">
                    <w:t>1,200 mg</w:t>
                  </w:r>
                </w:p>
              </w:tc>
              <w:tc>
                <w:tcPr>
                  <w:tcW w:w="698" w:type="pct"/>
                </w:tcPr>
                <w:p w:rsidR="001A177E" w:rsidRPr="00B61251" w:rsidRDefault="001A177E" w:rsidP="0079332B">
                  <w:pPr>
                    <w:pStyle w:val="Tabletext"/>
                    <w:jc w:val="center"/>
                  </w:pPr>
                  <w:r w:rsidRPr="00B61251">
                    <w:t>Initial: 5</w:t>
                  </w:r>
                </w:p>
                <w:p w:rsidR="001A177E" w:rsidRPr="00B61251" w:rsidRDefault="001A177E" w:rsidP="0079332B">
                  <w:pPr>
                    <w:pStyle w:val="Tabletext"/>
                    <w:jc w:val="center"/>
                  </w:pPr>
                  <w:r w:rsidRPr="00B61251">
                    <w:t>Continuing:7</w:t>
                  </w:r>
                </w:p>
              </w:tc>
              <w:tc>
                <w:tcPr>
                  <w:tcW w:w="2074" w:type="pct"/>
                </w:tcPr>
                <w:p w:rsidR="001A177E" w:rsidRPr="00B61251" w:rsidRDefault="001A177E" w:rsidP="0079332B">
                  <w:pPr>
                    <w:pStyle w:val="Tabletext"/>
                    <w:jc w:val="center"/>
                  </w:pPr>
                  <w:r w:rsidRPr="00B61251">
                    <w:t>Tecentriq</w:t>
                  </w:r>
                </w:p>
                <w:p w:rsidR="001A177E" w:rsidRPr="00B61251" w:rsidRDefault="001A177E" w:rsidP="0079332B">
                  <w:pPr>
                    <w:pStyle w:val="Tabletext"/>
                    <w:jc w:val="center"/>
                  </w:pPr>
                  <w:r w:rsidRPr="00B61251">
                    <w:t>Roche Products Pty Ltd</w:t>
                  </w:r>
                </w:p>
              </w:tc>
            </w:tr>
          </w:tbl>
          <w:p w:rsidR="001A177E" w:rsidRPr="00B61251" w:rsidRDefault="001A177E" w:rsidP="0079332B">
            <w:pPr>
              <w:keepNext/>
              <w:widowControl/>
              <w:tabs>
                <w:tab w:val="left" w:pos="1276"/>
              </w:tabs>
              <w:spacing w:before="240" w:after="40"/>
              <w:ind w:left="1276" w:hanging="1276"/>
              <w:rPr>
                <w:rFonts w:eastAsia="SimSun" w:cs="Times New Roman"/>
                <w:b/>
                <w:bCs/>
                <w:snapToGrid/>
                <w:sz w:val="22"/>
                <w:lang w:eastAsia="zh-CN"/>
              </w:rPr>
            </w:pPr>
            <w:r w:rsidRPr="00B61251">
              <w:rPr>
                <w:rFonts w:eastAsia="SimSun" w:cs="Times New Roman"/>
                <w:b/>
                <w:bCs/>
                <w:snapToGrid/>
                <w:sz w:val="22"/>
                <w:lang w:eastAsia="zh-CN"/>
              </w:rPr>
              <w:t>atezolizumab - initial treatment for EGFR wild type/ALK negative patients</w:t>
            </w:r>
          </w:p>
          <w:p w:rsidR="007D1024" w:rsidRPr="00B61251" w:rsidRDefault="007D1024" w:rsidP="0079332B">
            <w:pPr>
              <w:widowControl/>
              <w:rPr>
                <w:snapToGrid/>
                <w:sz w:val="20"/>
                <w:szCs w:val="20"/>
                <w:lang w:eastAsia="en-AU"/>
              </w:rPr>
            </w:pP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 xml:space="preserve">Category / </w:t>
            </w:r>
          </w:p>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Program</w:t>
            </w: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Section 100 – Efficient funding of Chemotherapy</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Private Hospital/Private Clinic Authority Required (STREAMLINED)</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Public Hospital Authority Required (STREAMLINED)</w:t>
            </w: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Prescriber type:</w:t>
            </w:r>
          </w:p>
          <w:p w:rsidR="007D1024" w:rsidRPr="0079332B" w:rsidRDefault="007D1024" w:rsidP="0079332B">
            <w:pPr>
              <w:widowControl/>
              <w:rPr>
                <w:rFonts w:ascii="Arial Narrow" w:hAnsi="Arial Narrow" w:cs="Calibri"/>
                <w:b/>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Dental  </w:t>
            </w: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Medical Practitioners  </w:t>
            </w: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Nurse practitioners  </w:t>
            </w: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Optometrists</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Midwives</w:t>
            </w: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 xml:space="preserve">Stage IV (metastatic) </w:t>
            </w: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Non-small cell lung cancer (NSCLC)</w:t>
            </w: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Stage IV (metastatic) NSCLC</w:t>
            </w: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Treatment phase:</w:t>
            </w: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Initial treatment</w:t>
            </w: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Restriction Level / Method:</w:t>
            </w:r>
          </w:p>
          <w:p w:rsidR="007D1024" w:rsidRPr="0079332B" w:rsidRDefault="007D1024" w:rsidP="0079332B">
            <w:pPr>
              <w:widowControl/>
              <w:jc w:val="left"/>
              <w:rPr>
                <w:rFonts w:ascii="Arial Narrow" w:hAnsi="Arial Narrow" w:cs="Calibri"/>
                <w:i/>
                <w:snapToGrid/>
                <w:sz w:val="20"/>
                <w:szCs w:val="20"/>
                <w:highlight w:val="yellow"/>
                <w:lang w:eastAsia="en-AU"/>
              </w:rPr>
            </w:pPr>
          </w:p>
          <w:p w:rsidR="007D1024" w:rsidRPr="0079332B" w:rsidRDefault="007D1024" w:rsidP="0079332B">
            <w:pPr>
              <w:widowControl/>
              <w:jc w:val="left"/>
              <w:rPr>
                <w:rFonts w:ascii="Arial Narrow" w:hAnsi="Arial Narrow" w:cs="Calibri"/>
                <w:i/>
                <w:snapToGrid/>
                <w:sz w:val="20"/>
                <w:szCs w:val="20"/>
                <w:lang w:eastAsia="en-AU"/>
              </w:rPr>
            </w:pPr>
          </w:p>
          <w:p w:rsidR="007D1024" w:rsidRPr="0079332B" w:rsidRDefault="007D1024" w:rsidP="0079332B">
            <w:pPr>
              <w:widowControl/>
              <w:jc w:val="left"/>
              <w:rPr>
                <w:rFonts w:ascii="Arial Narrow" w:hAnsi="Arial Narrow"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Restricted benefit</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In Writing</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Telephone</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Emergency</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Electronic</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Streamlined</w:t>
            </w: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b/>
                <w:snapToGrid/>
                <w:sz w:val="20"/>
                <w:szCs w:val="20"/>
                <w:lang w:eastAsia="en-AU"/>
              </w:rPr>
              <w:t>Treatment criteria:</w:t>
            </w: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rPr>
              <w:t>Patient must be undergoing combination treatment with bevacizumab and platinum-doublet chemotherapy.</w:t>
            </w: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Clinical criteria:</w:t>
            </w:r>
          </w:p>
          <w:p w:rsidR="007D1024" w:rsidRPr="0079332B" w:rsidRDefault="007D1024" w:rsidP="0079332B">
            <w:pPr>
              <w:widowControl/>
              <w:rPr>
                <w:rFonts w:ascii="Arial Narrow" w:hAnsi="Arial Narrow" w:cs="Calibri"/>
                <w:i/>
                <w:snapToGrid/>
                <w:sz w:val="20"/>
                <w:szCs w:val="20"/>
                <w:lang w:eastAsia="en-AU"/>
              </w:rPr>
            </w:pPr>
          </w:p>
          <w:p w:rsidR="007D1024" w:rsidRPr="0079332B" w:rsidRDefault="007D1024" w:rsidP="0079332B">
            <w:pPr>
              <w:widowControl/>
              <w:rPr>
                <w:rFonts w:ascii="Arial Narrow" w:hAnsi="Arial Narrow" w:cs="Calibr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The condition must be non-squamous type non-small cell lung cancer (NSCLC), </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Patient must not have been treated for this condition in the metastatic setting,</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Patient must have a WHO performance status of 0 or 1, </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The condition must not have evidence of an activating epidermal growth factor receptor (EGFR) gene mutation or an anaplastic lymphoma kinase (ALK) gene rearrangement in tumour material</w:t>
            </w:r>
            <w:r w:rsidRPr="0079332B">
              <w:rPr>
                <w:rFonts w:ascii="Arial Narrow" w:eastAsia="Calibri" w:hAnsi="Arial Narrow" w:cs="Calibri"/>
                <w:i/>
                <w:snapToGrid/>
                <w:sz w:val="20"/>
                <w:szCs w:val="20"/>
              </w:rPr>
              <w:t xml:space="preserve">. </w:t>
            </w:r>
          </w:p>
        </w:tc>
      </w:tr>
      <w:tr w:rsidR="007D1024" w:rsidRPr="00B61251" w:rsidTr="00C944ED">
        <w:trPr>
          <w:cantSplit/>
          <w:trHeight w:val="360"/>
        </w:trPr>
        <w:tc>
          <w:tcPr>
            <w:tcW w:w="2835"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Administrative Advice</w:t>
            </w:r>
          </w:p>
          <w:p w:rsidR="007D1024" w:rsidRPr="0079332B" w:rsidRDefault="007D1024" w:rsidP="0079332B">
            <w:pPr>
              <w:widowControl/>
              <w:rPr>
                <w:rFonts w:ascii="Arial Narrow" w:hAnsi="Arial Narrow" w:cs="Calibri"/>
                <w:i/>
                <w:snapToGrid/>
                <w:sz w:val="20"/>
                <w:szCs w:val="20"/>
                <w:lang w:eastAsia="en-AU"/>
              </w:rPr>
            </w:pPr>
          </w:p>
          <w:p w:rsidR="007D1024" w:rsidRPr="0079332B" w:rsidRDefault="007D1024" w:rsidP="0079332B">
            <w:pPr>
              <w:widowControl/>
              <w:rPr>
                <w:rFonts w:ascii="Arial Narrow" w:hAnsi="Arial Narrow" w:cs="Calibri"/>
                <w:i/>
                <w:snapToGrid/>
                <w:sz w:val="20"/>
                <w:szCs w:val="20"/>
                <w:lang w:eastAsia="en-AU"/>
              </w:rPr>
            </w:pPr>
          </w:p>
        </w:tc>
        <w:tc>
          <w:tcPr>
            <w:tcW w:w="6379" w:type="dxa"/>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No increase in the maximum number of repeats may be authorised.</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rsidR="007D1024" w:rsidRPr="0079332B" w:rsidRDefault="007D1024" w:rsidP="0079332B">
            <w:pPr>
              <w:widowControl/>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Special pricing arrangements apply.</w:t>
            </w:r>
          </w:p>
        </w:tc>
      </w:tr>
    </w:tbl>
    <w:p w:rsidR="007D1024" w:rsidRPr="00B61251" w:rsidRDefault="007D1024" w:rsidP="0079332B">
      <w:pPr>
        <w:keepNext/>
        <w:widowControl/>
        <w:tabs>
          <w:tab w:val="left" w:pos="1276"/>
        </w:tabs>
        <w:spacing w:before="240" w:after="40"/>
        <w:ind w:left="1276" w:hanging="1276"/>
        <w:rPr>
          <w:rFonts w:eastAsia="SimSun" w:cs="Times New Roman"/>
          <w:b/>
          <w:bCs/>
          <w:snapToGrid/>
          <w:sz w:val="22"/>
          <w:lang w:eastAsia="zh-CN"/>
        </w:rPr>
      </w:pPr>
      <w:r w:rsidRPr="00B61251">
        <w:rPr>
          <w:rFonts w:eastAsia="SimSun" w:cs="Times New Roman"/>
          <w:b/>
          <w:bCs/>
          <w:snapToGrid/>
          <w:sz w:val="22"/>
          <w:lang w:eastAsia="zh-CN"/>
        </w:rPr>
        <w:lastRenderedPageBreak/>
        <w:t>atezolizumab - initial treatment for EGFR mutant/ALK positive patients</w:t>
      </w:r>
    </w:p>
    <w:tbl>
      <w:tblPr>
        <w:tblW w:w="5000" w:type="pct"/>
        <w:tblLook w:val="0000" w:firstRow="0" w:lastRow="0" w:firstColumn="0" w:lastColumn="0" w:noHBand="0" w:noVBand="0"/>
      </w:tblPr>
      <w:tblGrid>
        <w:gridCol w:w="2777"/>
        <w:gridCol w:w="6250"/>
      </w:tblGrid>
      <w:tr w:rsidR="007D1024" w:rsidRPr="00B61251" w:rsidTr="00C944ED">
        <w:trPr>
          <w:cantSplit/>
          <w:trHeight w:val="360"/>
        </w:trPr>
        <w:tc>
          <w:tcPr>
            <w:tcW w:w="5000" w:type="pct"/>
            <w:gridSpan w:val="2"/>
            <w:tcBorders>
              <w:bottom w:val="single" w:sz="4" w:space="0" w:color="auto"/>
            </w:tcBorders>
          </w:tcPr>
          <w:p w:rsidR="007D1024" w:rsidRPr="00B61251" w:rsidRDefault="007D1024" w:rsidP="0079332B">
            <w:pPr>
              <w:widowControl/>
              <w:rPr>
                <w:snapToGrid/>
                <w:sz w:val="20"/>
                <w:szCs w:val="20"/>
                <w:lang w:eastAsia="en-AU"/>
              </w:rPr>
            </w:pP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 xml:space="preserve">Category / </w:t>
            </w:r>
          </w:p>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Program</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Section 100 – Efficient funding of Chemotherapy</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Private Hospital/Private Clinic Authority Required (STREAMLINED)</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Public Hospital Authority Required (STREAMLINED)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Prescriber type:</w:t>
            </w:r>
          </w:p>
          <w:p w:rsidR="007D1024" w:rsidRPr="0079332B" w:rsidRDefault="007D1024" w:rsidP="0079332B">
            <w:pPr>
              <w:widowControl/>
              <w:rPr>
                <w:rFonts w:ascii="Arial Narrow" w:hAnsi="Arial Narrow" w:cs="Calibri"/>
                <w:b/>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Dental  </w:t>
            </w: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Medical Practitioners  </w:t>
            </w: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Nurse practitioners  </w:t>
            </w: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Optometrists</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Midwives</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Severity:</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 xml:space="preserve">Stage IV (metastatic) </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Condition: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Non-small cell lung cancer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PBS Indication: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Stage IV (metastatic)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Treatment phase:</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Initial treatment</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Restriction Level / Method:</w:t>
            </w:r>
          </w:p>
          <w:p w:rsidR="007D1024" w:rsidRPr="0079332B" w:rsidRDefault="007D1024" w:rsidP="0079332B">
            <w:pPr>
              <w:widowControl/>
              <w:jc w:val="left"/>
              <w:rPr>
                <w:rFonts w:ascii="Arial Narrow" w:hAnsi="Arial Narrow" w:cs="Calibri"/>
                <w:i/>
                <w:snapToGrid/>
                <w:sz w:val="20"/>
                <w:szCs w:val="20"/>
                <w:highlight w:val="yellow"/>
                <w:lang w:eastAsia="en-AU"/>
              </w:rPr>
            </w:pPr>
          </w:p>
          <w:p w:rsidR="007D1024" w:rsidRPr="0079332B" w:rsidRDefault="007D1024" w:rsidP="0079332B">
            <w:pPr>
              <w:widowControl/>
              <w:jc w:val="left"/>
              <w:rPr>
                <w:rFonts w:ascii="Arial Narrow" w:hAnsi="Arial Narrow" w:cs="Calibri"/>
                <w:i/>
                <w:snapToGrid/>
                <w:sz w:val="20"/>
                <w:szCs w:val="20"/>
                <w:lang w:eastAsia="en-AU"/>
              </w:rPr>
            </w:pPr>
          </w:p>
          <w:p w:rsidR="007D1024" w:rsidRPr="0079332B" w:rsidRDefault="007D1024" w:rsidP="0079332B">
            <w:pPr>
              <w:widowControl/>
              <w:jc w:val="left"/>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Restricted benefit</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In Writing</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Telephone</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Emergency</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Electronic</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Treatment criteria:</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Patient must be undergoing combination treatment with bevacizumab and platinum-doublet chemotherapy. </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Clinical criteria:</w:t>
            </w:r>
          </w:p>
          <w:p w:rsidR="007D1024" w:rsidRPr="0079332B" w:rsidRDefault="007D1024" w:rsidP="0079332B">
            <w:pPr>
              <w:widowControl/>
              <w:rPr>
                <w:rFonts w:ascii="Arial Narrow" w:hAnsi="Arial Narrow" w:cs="Calibr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The condition must be non-squamous type non-small cell lung cancer (NSCLC), </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Patient must have a WHO performance status of 0 or 1, </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Patient must have evidence of an activating epidermal growth factor receptor (EGFR) gene mutation or of an anaplastic lymphoma kinase (ALK) gene rearrangement in tumour material,</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Patient must have progressive disease following treatment</w:t>
            </w:r>
            <w:r w:rsidRPr="0079332B">
              <w:rPr>
                <w:rFonts w:ascii="Arial Narrow" w:eastAsia="Calibri" w:hAnsi="Arial Narrow" w:cs="Calibri"/>
                <w:i/>
                <w:snapToGrid/>
                <w:sz w:val="20"/>
                <w:szCs w:val="20"/>
              </w:rPr>
              <w:t xml:space="preserve"> </w:t>
            </w:r>
            <w:r w:rsidRPr="0079332B">
              <w:rPr>
                <w:rFonts w:ascii="Arial Narrow" w:eastAsia="Calibri" w:hAnsi="Arial Narrow" w:cs="Calibri"/>
                <w:snapToGrid/>
                <w:sz w:val="20"/>
                <w:szCs w:val="20"/>
              </w:rPr>
              <w:t xml:space="preserve">with </w:t>
            </w:r>
            <w:r w:rsidRPr="0079332B">
              <w:rPr>
                <w:rFonts w:ascii="Arial Narrow" w:eastAsia="Calibri" w:hAnsi="Arial Narrow" w:cs="Calibri"/>
                <w:strike/>
                <w:snapToGrid/>
                <w:sz w:val="20"/>
                <w:szCs w:val="20"/>
              </w:rPr>
              <w:t>an</w:t>
            </w:r>
            <w:r w:rsidRPr="0079332B">
              <w:rPr>
                <w:rFonts w:ascii="Arial Narrow" w:eastAsia="Calibri" w:hAnsi="Arial Narrow" w:cs="Calibri"/>
                <w:snapToGrid/>
                <w:sz w:val="20"/>
                <w:szCs w:val="20"/>
              </w:rPr>
              <w:t xml:space="preserve"> epidermal growth factor receptor</w:t>
            </w:r>
            <w:r w:rsidRPr="0079332B">
              <w:rPr>
                <w:rFonts w:ascii="Arial Narrow" w:eastAsia="Calibri" w:hAnsi="Arial Narrow" w:cs="Calibri"/>
                <w:i/>
                <w:snapToGrid/>
                <w:sz w:val="20"/>
                <w:szCs w:val="20"/>
              </w:rPr>
              <w:t>s</w:t>
            </w:r>
            <w:r w:rsidRPr="0079332B">
              <w:rPr>
                <w:rFonts w:ascii="Arial Narrow" w:eastAsia="Calibri" w:hAnsi="Arial Narrow" w:cs="Calibri"/>
                <w:snapToGrid/>
                <w:sz w:val="20"/>
                <w:szCs w:val="20"/>
              </w:rPr>
              <w:t xml:space="preserve"> (EGFR) OR anaplastic lymphoma kinase (ALK) tyrosine kinase inhibitor</w:t>
            </w:r>
            <w:r w:rsidRPr="0079332B">
              <w:rPr>
                <w:rFonts w:ascii="Arial Narrow" w:eastAsia="Calibri" w:hAnsi="Arial Narrow" w:cs="Calibri"/>
                <w:i/>
                <w:snapToGrid/>
                <w:sz w:val="20"/>
                <w:szCs w:val="20"/>
              </w:rPr>
              <w:t>s</w:t>
            </w:r>
            <w:r w:rsidRPr="0079332B">
              <w:rPr>
                <w:rFonts w:ascii="Arial Narrow" w:eastAsia="Calibri" w:hAnsi="Arial Narrow" w:cs="Calibri"/>
                <w:snapToGrid/>
                <w:sz w:val="20"/>
                <w:szCs w:val="20"/>
              </w:rPr>
              <w:t xml:space="preserve"> (TKI),</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Patient must not have received prior treatment with a programmed cell death-1 (PD-1) inhibitor or a programmed cell death ligand-1 (PD-L1) inhibitor for this condition.</w:t>
            </w:r>
          </w:p>
        </w:tc>
      </w:tr>
      <w:tr w:rsidR="007D1024" w:rsidRPr="00B61251" w:rsidTr="00C944ED">
        <w:trPr>
          <w:cantSplit/>
          <w:trHeight w:val="1804"/>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Administrative Advice</w:t>
            </w:r>
          </w:p>
          <w:p w:rsidR="007D1024" w:rsidRPr="0079332B" w:rsidRDefault="007D1024" w:rsidP="0079332B">
            <w:pPr>
              <w:widowControl/>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No increase in the maximum number of repeats may be authorised.</w:t>
            </w:r>
          </w:p>
          <w:p w:rsidR="007D1024" w:rsidRPr="0079332B" w:rsidRDefault="007D1024" w:rsidP="0079332B">
            <w:pPr>
              <w:widowControl/>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hAnsi="Arial Narrow" w:cs="Calibri"/>
                <w:b/>
                <w:snapToGrid/>
                <w:sz w:val="20"/>
                <w:szCs w:val="20"/>
                <w:lang w:eastAsia="en-AU"/>
              </w:rPr>
            </w:pPr>
            <w:r w:rsidRPr="0079332B">
              <w:rPr>
                <w:rFonts w:ascii="Arial Narrow" w:eastAsia="Calibri" w:hAnsi="Arial Narrow" w:cs="Calibri"/>
                <w:snapToGrid/>
                <w:sz w:val="20"/>
                <w:szCs w:val="20"/>
                <w:lang w:eastAsia="en-AU"/>
              </w:rPr>
              <w:t>Special pricing arrangements apply.</w:t>
            </w:r>
          </w:p>
        </w:tc>
      </w:tr>
    </w:tbl>
    <w:p w:rsidR="007D1024" w:rsidRPr="00B61251" w:rsidRDefault="00CD6B3B" w:rsidP="0079332B">
      <w:pPr>
        <w:keepNext/>
        <w:widowControl/>
        <w:tabs>
          <w:tab w:val="left" w:pos="1276"/>
        </w:tabs>
        <w:spacing w:before="240" w:after="40"/>
        <w:ind w:left="1276" w:hanging="1276"/>
        <w:rPr>
          <w:rFonts w:eastAsia="SimSun" w:cs="Times New Roman"/>
          <w:b/>
          <w:bCs/>
          <w:snapToGrid/>
          <w:sz w:val="22"/>
          <w:lang w:eastAsia="zh-CN"/>
        </w:rPr>
      </w:pPr>
      <w:r>
        <w:rPr>
          <w:rFonts w:eastAsia="SimSun" w:cs="Times New Roman"/>
          <w:b/>
          <w:bCs/>
          <w:snapToGrid/>
          <w:sz w:val="22"/>
          <w:lang w:eastAsia="zh-CN"/>
        </w:rPr>
        <w:t>atezolizumab</w:t>
      </w:r>
      <w:r w:rsidRPr="00B61251">
        <w:rPr>
          <w:rFonts w:eastAsia="SimSun" w:cs="Times New Roman"/>
          <w:b/>
          <w:bCs/>
          <w:snapToGrid/>
          <w:sz w:val="22"/>
          <w:lang w:eastAsia="zh-CN"/>
        </w:rPr>
        <w:t xml:space="preserve"> - </w:t>
      </w:r>
      <w:r w:rsidR="007D1024" w:rsidRPr="00B61251">
        <w:rPr>
          <w:rFonts w:eastAsia="SimSun" w:cs="Times New Roman"/>
          <w:b/>
          <w:bCs/>
          <w:snapToGrid/>
          <w:sz w:val="22"/>
          <w:lang w:eastAsia="zh-CN"/>
        </w:rPr>
        <w:t>treatment continuation</w:t>
      </w:r>
    </w:p>
    <w:p w:rsidR="007D1024" w:rsidRPr="00CD6B3B" w:rsidRDefault="007D1024" w:rsidP="00C944ED">
      <w:pPr>
        <w:rPr>
          <w:snapToGrid/>
          <w:lang w:eastAsia="zh-CN"/>
        </w:rPr>
      </w:pPr>
    </w:p>
    <w:tbl>
      <w:tblPr>
        <w:tblW w:w="5000" w:type="pct"/>
        <w:tblLook w:val="0000" w:firstRow="0" w:lastRow="0" w:firstColumn="0" w:lastColumn="0" w:noHBand="0" w:noVBand="0"/>
      </w:tblPr>
      <w:tblGrid>
        <w:gridCol w:w="3172"/>
        <w:gridCol w:w="5845"/>
      </w:tblGrid>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eastAsia="Calibri" w:hAnsi="Arial Narrow" w:cs="Calibri"/>
                <w:b/>
                <w:snapToGrid/>
                <w:sz w:val="20"/>
                <w:szCs w:val="20"/>
                <w:lang w:eastAsia="en-AU"/>
              </w:rPr>
              <w:t>Category / Program:</w:t>
            </w: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Section 100 – Efficient Funding of Chemotherapy</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Private Hospital/Private Clinic Authority Required (STREAMLINED)</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Public Hospital Authority Required (STREAMLINED)</w:t>
            </w:r>
          </w:p>
        </w:tc>
      </w:tr>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eastAsia="Calibri" w:hAnsi="Arial Narrow" w:cs="Calibri"/>
                <w:b/>
                <w:snapToGrid/>
                <w:sz w:val="20"/>
                <w:szCs w:val="20"/>
                <w:lang w:eastAsia="en-AU"/>
              </w:rPr>
              <w:t>Prescriber type:</w:t>
            </w: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Medical Practitioners</w:t>
            </w:r>
          </w:p>
        </w:tc>
      </w:tr>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eastAsia="Calibri" w:hAnsi="Arial Narrow" w:cs="Calibri"/>
                <w:b/>
                <w:snapToGrid/>
                <w:sz w:val="20"/>
                <w:szCs w:val="20"/>
                <w:lang w:eastAsia="en-AU"/>
              </w:rPr>
              <w:lastRenderedPageBreak/>
              <w:t>Severity:</w:t>
            </w: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i/>
                <w:snapToGrid/>
                <w:sz w:val="20"/>
                <w:szCs w:val="20"/>
                <w:lang w:eastAsia="en-AU"/>
              </w:rPr>
            </w:pPr>
            <w:r w:rsidRPr="0079332B">
              <w:rPr>
                <w:rFonts w:ascii="Arial Narrow" w:eastAsia="Calibri" w:hAnsi="Arial Narrow" w:cs="Calibri"/>
                <w:snapToGrid/>
                <w:sz w:val="20"/>
                <w:szCs w:val="20"/>
                <w:lang w:eastAsia="en-AU"/>
              </w:rPr>
              <w:t xml:space="preserve">Stage IV (metastatic) </w:t>
            </w:r>
          </w:p>
        </w:tc>
      </w:tr>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eastAsia="Calibri" w:hAnsi="Arial Narrow" w:cs="Calibri"/>
                <w:b/>
                <w:snapToGrid/>
                <w:sz w:val="20"/>
                <w:szCs w:val="20"/>
                <w:lang w:eastAsia="en-AU"/>
              </w:rPr>
              <w:t>Condition:</w:t>
            </w: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i/>
                <w:snapToGrid/>
                <w:sz w:val="20"/>
                <w:szCs w:val="20"/>
                <w:lang w:eastAsia="en-AU"/>
              </w:rPr>
            </w:pPr>
            <w:r w:rsidRPr="0079332B">
              <w:rPr>
                <w:rFonts w:ascii="Arial Narrow" w:hAnsi="Arial Narrow" w:cs="Calibri"/>
                <w:snapToGrid/>
                <w:sz w:val="20"/>
                <w:szCs w:val="20"/>
                <w:lang w:eastAsia="en-AU"/>
              </w:rPr>
              <w:t>Non-small cell lung cancer (NSCLC)</w:t>
            </w:r>
          </w:p>
        </w:tc>
      </w:tr>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eastAsia="Calibri" w:hAnsi="Arial Narrow" w:cs="Calibri"/>
                <w:b/>
                <w:snapToGrid/>
                <w:sz w:val="20"/>
                <w:szCs w:val="20"/>
                <w:lang w:eastAsia="en-AU"/>
              </w:rPr>
              <w:t xml:space="preserve">PBS Indication: </w:t>
            </w: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i/>
                <w:snapToGrid/>
                <w:sz w:val="20"/>
                <w:szCs w:val="20"/>
                <w:lang w:eastAsia="en-AU"/>
              </w:rPr>
            </w:pPr>
            <w:r w:rsidRPr="0079332B">
              <w:rPr>
                <w:rFonts w:ascii="Arial Narrow" w:eastAsia="Calibri" w:hAnsi="Arial Narrow" w:cs="Calibri"/>
                <w:snapToGrid/>
                <w:sz w:val="20"/>
                <w:szCs w:val="20"/>
                <w:lang w:eastAsia="en-AU"/>
              </w:rPr>
              <w:t>Stage IV (metastatic) NSCLC</w:t>
            </w:r>
          </w:p>
        </w:tc>
      </w:tr>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eastAsia="Calibri" w:hAnsi="Arial Narrow" w:cs="Calibri"/>
                <w:b/>
                <w:snapToGrid/>
                <w:sz w:val="20"/>
                <w:szCs w:val="20"/>
                <w:lang w:eastAsia="en-AU"/>
              </w:rPr>
              <w:t>Treatment phase:</w:t>
            </w: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Continuing treatment</w:t>
            </w:r>
          </w:p>
        </w:tc>
      </w:tr>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eastAsia="Calibri" w:hAnsi="Arial Narrow" w:cs="Calibri"/>
                <w:b/>
                <w:snapToGrid/>
                <w:sz w:val="20"/>
                <w:szCs w:val="20"/>
                <w:lang w:eastAsia="en-AU"/>
              </w:rPr>
              <w:t>Restriction Level / Method:</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eastAsia="Calibri" w:hAnsi="Arial Narrow" w:cs="Calibri"/>
                <w:snapToGrid/>
                <w:sz w:val="20"/>
                <w:szCs w:val="20"/>
                <w:lang w:eastAsia="en-AU"/>
              </w:rPr>
              <w:instrText xml:space="preserve"> FORMCHECKBOX </w:instrText>
            </w:r>
            <w:r w:rsidR="00106C88">
              <w:rPr>
                <w:rFonts w:ascii="Arial Narrow" w:eastAsia="Calibri" w:hAnsi="Arial Narrow" w:cs="Calibri"/>
                <w:snapToGrid/>
                <w:sz w:val="20"/>
                <w:szCs w:val="20"/>
                <w:lang w:eastAsia="en-AU"/>
              </w:rPr>
            </w:r>
            <w:r w:rsidR="00106C88">
              <w:rPr>
                <w:rFonts w:ascii="Arial Narrow" w:eastAsia="Calibri" w:hAnsi="Arial Narrow" w:cs="Calibri"/>
                <w:snapToGrid/>
                <w:sz w:val="20"/>
                <w:szCs w:val="20"/>
                <w:lang w:eastAsia="en-AU"/>
              </w:rPr>
              <w:fldChar w:fldCharType="separate"/>
            </w:r>
            <w:r w:rsidRPr="0079332B">
              <w:rPr>
                <w:rFonts w:ascii="Arial Narrow" w:eastAsia="Calibri" w:hAnsi="Arial Narrow" w:cs="Calibri"/>
                <w:snapToGrid/>
                <w:sz w:val="20"/>
                <w:szCs w:val="20"/>
                <w:lang w:eastAsia="en-AU"/>
              </w:rPr>
              <w:fldChar w:fldCharType="end"/>
            </w:r>
            <w:r w:rsidRPr="0079332B">
              <w:rPr>
                <w:rFonts w:ascii="Arial Narrow" w:eastAsia="Calibri" w:hAnsi="Arial Narrow" w:cs="Calibri"/>
                <w:snapToGrid/>
                <w:sz w:val="20"/>
                <w:szCs w:val="20"/>
                <w:lang w:eastAsia="en-AU"/>
              </w:rPr>
              <w:t>Restricted benefit</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eastAsia="Calibri" w:hAnsi="Arial Narrow" w:cs="Calibri"/>
                <w:snapToGrid/>
                <w:sz w:val="20"/>
                <w:szCs w:val="20"/>
                <w:lang w:eastAsia="en-AU"/>
              </w:rPr>
              <w:instrText xml:space="preserve"> FORMCHECKBOX </w:instrText>
            </w:r>
            <w:r w:rsidR="00106C88">
              <w:rPr>
                <w:rFonts w:ascii="Arial Narrow" w:eastAsia="Calibri" w:hAnsi="Arial Narrow" w:cs="Calibri"/>
                <w:snapToGrid/>
                <w:sz w:val="20"/>
                <w:szCs w:val="20"/>
                <w:lang w:eastAsia="en-AU"/>
              </w:rPr>
            </w:r>
            <w:r w:rsidR="00106C88">
              <w:rPr>
                <w:rFonts w:ascii="Arial Narrow" w:eastAsia="Calibri" w:hAnsi="Arial Narrow" w:cs="Calibri"/>
                <w:snapToGrid/>
                <w:sz w:val="20"/>
                <w:szCs w:val="20"/>
                <w:lang w:eastAsia="en-AU"/>
              </w:rPr>
              <w:fldChar w:fldCharType="separate"/>
            </w:r>
            <w:r w:rsidRPr="0079332B">
              <w:rPr>
                <w:rFonts w:ascii="Arial Narrow" w:eastAsia="Calibri" w:hAnsi="Arial Narrow" w:cs="Calibri"/>
                <w:snapToGrid/>
                <w:sz w:val="20"/>
                <w:szCs w:val="20"/>
                <w:lang w:eastAsia="en-AU"/>
              </w:rPr>
              <w:fldChar w:fldCharType="end"/>
            </w:r>
            <w:r w:rsidRPr="0079332B">
              <w:rPr>
                <w:rFonts w:ascii="Arial Narrow" w:eastAsia="Calibri" w:hAnsi="Arial Narrow" w:cs="Calibri"/>
                <w:snapToGrid/>
                <w:sz w:val="20"/>
                <w:szCs w:val="20"/>
                <w:lang w:eastAsia="en-AU"/>
              </w:rPr>
              <w:t>Authority Required - In Writing</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eastAsia="Calibri" w:hAnsi="Arial Narrow" w:cs="Calibri"/>
                <w:snapToGrid/>
                <w:sz w:val="20"/>
                <w:szCs w:val="20"/>
                <w:lang w:eastAsia="en-AU"/>
              </w:rPr>
              <w:instrText xml:space="preserve"> FORMCHECKBOX </w:instrText>
            </w:r>
            <w:r w:rsidR="00106C88">
              <w:rPr>
                <w:rFonts w:ascii="Arial Narrow" w:eastAsia="Calibri" w:hAnsi="Arial Narrow" w:cs="Calibri"/>
                <w:snapToGrid/>
                <w:sz w:val="20"/>
                <w:szCs w:val="20"/>
                <w:lang w:eastAsia="en-AU"/>
              </w:rPr>
            </w:r>
            <w:r w:rsidR="00106C88">
              <w:rPr>
                <w:rFonts w:ascii="Arial Narrow" w:eastAsia="Calibri" w:hAnsi="Arial Narrow" w:cs="Calibri"/>
                <w:snapToGrid/>
                <w:sz w:val="20"/>
                <w:szCs w:val="20"/>
                <w:lang w:eastAsia="en-AU"/>
              </w:rPr>
              <w:fldChar w:fldCharType="separate"/>
            </w:r>
            <w:r w:rsidRPr="0079332B">
              <w:rPr>
                <w:rFonts w:ascii="Arial Narrow" w:eastAsia="Calibri" w:hAnsi="Arial Narrow" w:cs="Calibri"/>
                <w:snapToGrid/>
                <w:sz w:val="20"/>
                <w:szCs w:val="20"/>
                <w:lang w:eastAsia="en-AU"/>
              </w:rPr>
              <w:fldChar w:fldCharType="end"/>
            </w:r>
            <w:r w:rsidRPr="0079332B">
              <w:rPr>
                <w:rFonts w:ascii="Arial Narrow" w:eastAsia="Calibri" w:hAnsi="Arial Narrow" w:cs="Calibri"/>
                <w:snapToGrid/>
                <w:sz w:val="20"/>
                <w:szCs w:val="20"/>
                <w:lang w:eastAsia="en-AU"/>
              </w:rPr>
              <w:t>Authority Required - Telephone</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eastAsia="Calibri" w:hAnsi="Arial Narrow" w:cs="Calibri"/>
                <w:snapToGrid/>
                <w:sz w:val="20"/>
                <w:szCs w:val="20"/>
                <w:lang w:eastAsia="en-AU"/>
              </w:rPr>
              <w:instrText xml:space="preserve"> FORMCHECKBOX </w:instrText>
            </w:r>
            <w:r w:rsidR="00106C88">
              <w:rPr>
                <w:rFonts w:ascii="Arial Narrow" w:eastAsia="Calibri" w:hAnsi="Arial Narrow" w:cs="Calibri"/>
                <w:snapToGrid/>
                <w:sz w:val="20"/>
                <w:szCs w:val="20"/>
                <w:lang w:eastAsia="en-AU"/>
              </w:rPr>
            </w:r>
            <w:r w:rsidR="00106C88">
              <w:rPr>
                <w:rFonts w:ascii="Arial Narrow" w:eastAsia="Calibri" w:hAnsi="Arial Narrow" w:cs="Calibri"/>
                <w:snapToGrid/>
                <w:sz w:val="20"/>
                <w:szCs w:val="20"/>
                <w:lang w:eastAsia="en-AU"/>
              </w:rPr>
              <w:fldChar w:fldCharType="separate"/>
            </w:r>
            <w:r w:rsidRPr="0079332B">
              <w:rPr>
                <w:rFonts w:ascii="Arial Narrow" w:eastAsia="Calibri" w:hAnsi="Arial Narrow" w:cs="Calibri"/>
                <w:snapToGrid/>
                <w:sz w:val="20"/>
                <w:szCs w:val="20"/>
                <w:lang w:eastAsia="en-AU"/>
              </w:rPr>
              <w:fldChar w:fldCharType="end"/>
            </w:r>
            <w:r w:rsidRPr="0079332B">
              <w:rPr>
                <w:rFonts w:ascii="Arial Narrow" w:eastAsia="Calibri" w:hAnsi="Arial Narrow" w:cs="Calibri"/>
                <w:snapToGrid/>
                <w:sz w:val="20"/>
                <w:szCs w:val="20"/>
                <w:lang w:eastAsia="en-AU"/>
              </w:rPr>
              <w:t>Authority Required – Emergency</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eastAsia="Calibri" w:hAnsi="Arial Narrow" w:cs="Calibri"/>
                <w:snapToGrid/>
                <w:sz w:val="20"/>
                <w:szCs w:val="20"/>
                <w:lang w:eastAsia="en-AU"/>
              </w:rPr>
              <w:instrText xml:space="preserve"> FORMCHECKBOX </w:instrText>
            </w:r>
            <w:r w:rsidR="00106C88">
              <w:rPr>
                <w:rFonts w:ascii="Arial Narrow" w:eastAsia="Calibri" w:hAnsi="Arial Narrow" w:cs="Calibri"/>
                <w:snapToGrid/>
                <w:sz w:val="20"/>
                <w:szCs w:val="20"/>
                <w:lang w:eastAsia="en-AU"/>
              </w:rPr>
            </w:r>
            <w:r w:rsidR="00106C88">
              <w:rPr>
                <w:rFonts w:ascii="Arial Narrow" w:eastAsia="Calibri" w:hAnsi="Arial Narrow" w:cs="Calibri"/>
                <w:snapToGrid/>
                <w:sz w:val="20"/>
                <w:szCs w:val="20"/>
                <w:lang w:eastAsia="en-AU"/>
              </w:rPr>
              <w:fldChar w:fldCharType="separate"/>
            </w:r>
            <w:r w:rsidRPr="0079332B">
              <w:rPr>
                <w:rFonts w:ascii="Arial Narrow" w:eastAsia="Calibri" w:hAnsi="Arial Narrow" w:cs="Calibri"/>
                <w:snapToGrid/>
                <w:sz w:val="20"/>
                <w:szCs w:val="20"/>
                <w:lang w:eastAsia="en-AU"/>
              </w:rPr>
              <w:fldChar w:fldCharType="end"/>
            </w:r>
            <w:r w:rsidRPr="0079332B">
              <w:rPr>
                <w:rFonts w:ascii="Arial Narrow" w:eastAsia="Calibri" w:hAnsi="Arial Narrow" w:cs="Calibri"/>
                <w:snapToGrid/>
                <w:sz w:val="20"/>
                <w:szCs w:val="20"/>
                <w:lang w:eastAsia="en-AU"/>
              </w:rPr>
              <w:t>Authority Required - Electronic</w:t>
            </w:r>
          </w:p>
          <w:p w:rsidR="007D1024" w:rsidRPr="0079332B" w:rsidRDefault="007D1024" w:rsidP="0079332B">
            <w:pPr>
              <w:widowControl/>
              <w:spacing w:before="20" w:after="20"/>
              <w:jc w:val="left"/>
              <w:rPr>
                <w:rFonts w:ascii="Arial Narrow" w:eastAsia="Calibri" w:hAnsi="Arial Narrow" w:cs="Calibri"/>
                <w:i/>
                <w:snapToGrid/>
                <w:sz w:val="20"/>
                <w:szCs w:val="20"/>
                <w:lang w:eastAsia="en-AU"/>
              </w:rPr>
            </w:pPr>
            <w:r w:rsidRPr="0079332B">
              <w:rPr>
                <w:rFonts w:ascii="Arial Narrow" w:eastAsia="Calibri"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eastAsia="Calibri" w:hAnsi="Arial Narrow" w:cs="Calibri"/>
                <w:snapToGrid/>
                <w:sz w:val="20"/>
                <w:szCs w:val="20"/>
                <w:lang w:eastAsia="en-AU"/>
              </w:rPr>
              <w:instrText xml:space="preserve"> FORMCHECKBOX </w:instrText>
            </w:r>
            <w:r w:rsidR="00106C88">
              <w:rPr>
                <w:rFonts w:ascii="Arial Narrow" w:eastAsia="Calibri" w:hAnsi="Arial Narrow" w:cs="Calibri"/>
                <w:snapToGrid/>
                <w:sz w:val="20"/>
                <w:szCs w:val="20"/>
                <w:lang w:eastAsia="en-AU"/>
              </w:rPr>
            </w:r>
            <w:r w:rsidR="00106C88">
              <w:rPr>
                <w:rFonts w:ascii="Arial Narrow" w:eastAsia="Calibri" w:hAnsi="Arial Narrow" w:cs="Calibri"/>
                <w:snapToGrid/>
                <w:sz w:val="20"/>
                <w:szCs w:val="20"/>
                <w:lang w:eastAsia="en-AU"/>
              </w:rPr>
              <w:fldChar w:fldCharType="separate"/>
            </w:r>
            <w:r w:rsidRPr="0079332B">
              <w:rPr>
                <w:rFonts w:ascii="Arial Narrow" w:eastAsia="Calibri" w:hAnsi="Arial Narrow" w:cs="Calibri"/>
                <w:snapToGrid/>
                <w:sz w:val="20"/>
                <w:szCs w:val="20"/>
                <w:lang w:eastAsia="en-AU"/>
              </w:rPr>
              <w:fldChar w:fldCharType="end"/>
            </w:r>
            <w:r w:rsidRPr="0079332B">
              <w:rPr>
                <w:rFonts w:ascii="Arial Narrow" w:eastAsia="Calibri" w:hAnsi="Arial Narrow" w:cs="Calibri"/>
                <w:snapToGrid/>
                <w:sz w:val="20"/>
                <w:szCs w:val="20"/>
                <w:lang w:eastAsia="en-AU"/>
              </w:rPr>
              <w:t>Streamlined</w:t>
            </w:r>
          </w:p>
        </w:tc>
      </w:tr>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hAnsi="Arial Narrow" w:cs="Calibri"/>
                <w:b/>
                <w:snapToGrid/>
                <w:sz w:val="20"/>
                <w:szCs w:val="20"/>
                <w:lang w:eastAsia="en-AU"/>
              </w:rPr>
              <w:t>Treatment criteria:</w:t>
            </w: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Patient must be undergoing combination treatment with bevacizumab until disease progression, </w:t>
            </w:r>
            <w:r w:rsidRPr="0079332B">
              <w:rPr>
                <w:rFonts w:ascii="Arial Narrow" w:hAnsi="Arial Narrow" w:cs="Calibri"/>
                <w:snapToGrid/>
                <w:sz w:val="20"/>
                <w:szCs w:val="20"/>
                <w:lang w:eastAsia="en-AU"/>
              </w:rPr>
              <w:t>unless not tolerated</w:t>
            </w:r>
            <w:r w:rsidRPr="0079332B">
              <w:rPr>
                <w:rFonts w:ascii="Arial Narrow" w:eastAsia="Calibri" w:hAnsi="Arial Narrow" w:cs="Calibri"/>
                <w:snapToGrid/>
                <w:sz w:val="20"/>
                <w:szCs w:val="20"/>
              </w:rPr>
              <w:t xml:space="preserve">. </w:t>
            </w:r>
          </w:p>
        </w:tc>
      </w:tr>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eastAsia="Calibri" w:hAnsi="Arial Narrow" w:cs="Calibri"/>
                <w:b/>
                <w:snapToGrid/>
                <w:sz w:val="20"/>
                <w:szCs w:val="20"/>
                <w:lang w:eastAsia="en-AU"/>
              </w:rPr>
              <w:t>Clinical criteria:</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 xml:space="preserve">Patient must have previously received PBS-subsidised treatment with this drug in this line of treatment,  </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AND</w:t>
            </w:r>
          </w:p>
          <w:p w:rsidR="007D1024" w:rsidRPr="0079332B" w:rsidRDefault="007D1024" w:rsidP="0079332B">
            <w:pPr>
              <w:widowControl/>
              <w:spacing w:before="20" w:after="20"/>
              <w:jc w:val="left"/>
              <w:rPr>
                <w:rFonts w:ascii="Arial Narrow" w:hAnsi="Arial Narrow" w:cs="Calibri"/>
                <w:snapToGrid/>
                <w:sz w:val="20"/>
                <w:szCs w:val="20"/>
                <w:lang w:eastAsia="zh-CN"/>
              </w:rPr>
            </w:pPr>
            <w:r w:rsidRPr="0079332B">
              <w:rPr>
                <w:rFonts w:ascii="Arial Narrow" w:eastAsia="Calibri" w:hAnsi="Arial Narrow" w:cs="Calibri"/>
                <w:snapToGrid/>
                <w:sz w:val="20"/>
                <w:szCs w:val="20"/>
                <w:lang w:eastAsia="en-AU"/>
              </w:rPr>
              <w:t>Patient must have stable or responding disease.</w:t>
            </w:r>
          </w:p>
        </w:tc>
      </w:tr>
      <w:tr w:rsidR="007D1024" w:rsidRPr="00B61251" w:rsidTr="00814342">
        <w:trPr>
          <w:cantSplit/>
          <w:trHeight w:val="360"/>
        </w:trPr>
        <w:tc>
          <w:tcPr>
            <w:tcW w:w="1759" w:type="pct"/>
            <w:tcBorders>
              <w:top w:val="single" w:sz="4" w:space="0" w:color="auto"/>
              <w:left w:val="single" w:sz="4" w:space="0" w:color="auto"/>
              <w:bottom w:val="single" w:sz="4" w:space="0" w:color="auto"/>
              <w:right w:val="single" w:sz="4" w:space="0" w:color="auto"/>
            </w:tcBorders>
            <w:vAlign w:val="center"/>
          </w:tcPr>
          <w:p w:rsidR="007D1024" w:rsidRPr="0079332B" w:rsidRDefault="007D1024" w:rsidP="0079332B">
            <w:pPr>
              <w:widowControl/>
              <w:spacing w:before="20" w:after="20"/>
              <w:jc w:val="left"/>
              <w:rPr>
                <w:rFonts w:ascii="Arial Narrow" w:eastAsia="Calibri" w:hAnsi="Arial Narrow" w:cs="Calibri"/>
                <w:b/>
                <w:snapToGrid/>
                <w:sz w:val="20"/>
                <w:szCs w:val="20"/>
                <w:lang w:eastAsia="en-AU"/>
              </w:rPr>
            </w:pPr>
            <w:r w:rsidRPr="0079332B">
              <w:rPr>
                <w:rFonts w:ascii="Arial Narrow" w:eastAsia="Calibri" w:hAnsi="Arial Narrow" w:cs="Calibri"/>
                <w:b/>
                <w:snapToGrid/>
                <w:sz w:val="20"/>
                <w:szCs w:val="20"/>
                <w:lang w:eastAsia="en-AU"/>
              </w:rPr>
              <w:t>Administrative Advice</w:t>
            </w:r>
          </w:p>
          <w:p w:rsidR="007D1024" w:rsidRPr="0079332B" w:rsidRDefault="007D1024" w:rsidP="0079332B">
            <w:pPr>
              <w:widowControl/>
              <w:spacing w:before="20" w:after="20"/>
              <w:jc w:val="left"/>
              <w:rPr>
                <w:rFonts w:ascii="Arial Narrow" w:eastAsia="Calibri" w:hAnsi="Arial Narrow" w:cs="Calibri"/>
                <w:i/>
                <w:snapToGrid/>
                <w:sz w:val="20"/>
                <w:szCs w:val="20"/>
                <w:lang w:eastAsia="en-AU"/>
              </w:rPr>
            </w:pPr>
          </w:p>
        </w:tc>
        <w:tc>
          <w:tcPr>
            <w:tcW w:w="3241"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No increase in the maximum number of repeats may be authorised.</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Special pricing arrangements apply.</w:t>
            </w:r>
          </w:p>
        </w:tc>
      </w:tr>
    </w:tbl>
    <w:p w:rsidR="007D1024" w:rsidRPr="00CD6B3B" w:rsidRDefault="007D1024" w:rsidP="0079332B">
      <w:pPr>
        <w:widowControl/>
        <w:jc w:val="left"/>
        <w:rPr>
          <w:rFonts w:ascii="Times New Roman" w:hAnsi="Times New Roman" w:cs="Times New Roman"/>
          <w:snapToGrid/>
          <w:szCs w:val="24"/>
          <w:lang w:eastAsia="en-AU"/>
        </w:rPr>
      </w:pPr>
    </w:p>
    <w:p w:rsidR="009156C4" w:rsidRPr="00B61251" w:rsidRDefault="00CD6B3B" w:rsidP="0079332B">
      <w:pPr>
        <w:widowControl/>
        <w:spacing w:after="120"/>
        <w:rPr>
          <w:b/>
        </w:rPr>
      </w:pPr>
      <w:r>
        <w:rPr>
          <w:b/>
        </w:rPr>
        <w:t>b</w:t>
      </w:r>
      <w:r w:rsidR="00CE35F7">
        <w:rPr>
          <w:b/>
        </w:rPr>
        <w:t>evacizumab</w:t>
      </w:r>
    </w:p>
    <w:tbl>
      <w:tblPr>
        <w:tblW w:w="9214" w:type="dxa"/>
        <w:tblBorders>
          <w:top w:val="single" w:sz="4" w:space="0" w:color="auto"/>
          <w:bottom w:val="single" w:sz="4" w:space="0" w:color="auto"/>
          <w:insideH w:val="single" w:sz="4" w:space="0" w:color="auto"/>
        </w:tblBorders>
        <w:tblLook w:val="04A0" w:firstRow="1" w:lastRow="0" w:firstColumn="1" w:lastColumn="0" w:noHBand="0" w:noVBand="1"/>
      </w:tblPr>
      <w:tblGrid>
        <w:gridCol w:w="2518"/>
        <w:gridCol w:w="1559"/>
        <w:gridCol w:w="1276"/>
        <w:gridCol w:w="3861"/>
      </w:tblGrid>
      <w:tr w:rsidR="009156C4" w:rsidRPr="00B61251" w:rsidTr="00E44EC8">
        <w:trPr>
          <w:tblHeader/>
        </w:trPr>
        <w:tc>
          <w:tcPr>
            <w:tcW w:w="2518" w:type="dxa"/>
          </w:tcPr>
          <w:p w:rsidR="009156C4" w:rsidRPr="00B61251" w:rsidRDefault="009156C4" w:rsidP="0079332B">
            <w:pPr>
              <w:widowControl/>
              <w:jc w:val="left"/>
              <w:rPr>
                <w:rFonts w:ascii="Arial Narrow" w:hAnsi="Arial Narrow"/>
                <w:b/>
                <w:sz w:val="20"/>
                <w:szCs w:val="20"/>
              </w:rPr>
            </w:pPr>
            <w:r w:rsidRPr="00B61251">
              <w:rPr>
                <w:rFonts w:ascii="Arial Narrow" w:hAnsi="Arial Narrow"/>
                <w:b/>
                <w:sz w:val="20"/>
                <w:szCs w:val="20"/>
              </w:rPr>
              <w:t>Name, restriction, manner of administration, form</w:t>
            </w:r>
          </w:p>
        </w:tc>
        <w:tc>
          <w:tcPr>
            <w:tcW w:w="1559" w:type="dxa"/>
          </w:tcPr>
          <w:p w:rsidR="009156C4" w:rsidRPr="00B61251" w:rsidRDefault="009156C4" w:rsidP="0079332B">
            <w:pPr>
              <w:widowControl/>
              <w:jc w:val="center"/>
              <w:rPr>
                <w:rFonts w:ascii="Arial Narrow" w:hAnsi="Arial Narrow"/>
                <w:b/>
                <w:sz w:val="20"/>
                <w:szCs w:val="20"/>
              </w:rPr>
            </w:pPr>
            <w:r w:rsidRPr="00B61251">
              <w:rPr>
                <w:rFonts w:ascii="Arial Narrow" w:hAnsi="Arial Narrow"/>
                <w:b/>
                <w:sz w:val="20"/>
                <w:szCs w:val="20"/>
              </w:rPr>
              <w:t>Maximum amount</w:t>
            </w:r>
          </w:p>
        </w:tc>
        <w:tc>
          <w:tcPr>
            <w:tcW w:w="1276" w:type="dxa"/>
          </w:tcPr>
          <w:p w:rsidR="009156C4" w:rsidRPr="00B61251" w:rsidRDefault="009156C4" w:rsidP="0079332B">
            <w:pPr>
              <w:widowControl/>
              <w:jc w:val="center"/>
              <w:rPr>
                <w:rFonts w:ascii="Arial Narrow" w:hAnsi="Arial Narrow"/>
                <w:b/>
                <w:sz w:val="20"/>
                <w:szCs w:val="20"/>
              </w:rPr>
            </w:pPr>
            <w:r w:rsidRPr="00B61251">
              <w:rPr>
                <w:rFonts w:ascii="Arial Narrow" w:hAnsi="Arial Narrow"/>
                <w:b/>
                <w:sz w:val="20"/>
                <w:szCs w:val="20"/>
              </w:rPr>
              <w:t>No. of repeats</w:t>
            </w:r>
          </w:p>
        </w:tc>
        <w:tc>
          <w:tcPr>
            <w:tcW w:w="3861" w:type="dxa"/>
          </w:tcPr>
          <w:p w:rsidR="009156C4" w:rsidRPr="00B61251" w:rsidRDefault="009156C4" w:rsidP="0079332B">
            <w:pPr>
              <w:widowControl/>
              <w:rPr>
                <w:rFonts w:ascii="Arial Narrow" w:hAnsi="Arial Narrow"/>
                <w:b/>
                <w:sz w:val="20"/>
                <w:szCs w:val="20"/>
              </w:rPr>
            </w:pPr>
            <w:r w:rsidRPr="00B61251">
              <w:rPr>
                <w:rFonts w:ascii="Arial Narrow" w:hAnsi="Arial Narrow"/>
                <w:b/>
                <w:sz w:val="20"/>
                <w:szCs w:val="20"/>
              </w:rPr>
              <w:t>Proprietary name and manufacturer</w:t>
            </w:r>
          </w:p>
        </w:tc>
      </w:tr>
      <w:tr w:rsidR="009156C4" w:rsidRPr="00B61251" w:rsidTr="00E44EC8">
        <w:tc>
          <w:tcPr>
            <w:tcW w:w="2518" w:type="dxa"/>
          </w:tcPr>
          <w:p w:rsidR="009156C4" w:rsidRPr="00B61251" w:rsidRDefault="009156C4" w:rsidP="0079332B">
            <w:pPr>
              <w:pStyle w:val="Tabletext"/>
            </w:pPr>
            <w:r w:rsidRPr="00B61251">
              <w:t>BEVACIZUMAB</w:t>
            </w:r>
          </w:p>
          <w:p w:rsidR="009156C4" w:rsidRPr="00B61251" w:rsidRDefault="009156C4" w:rsidP="0079332B">
            <w:pPr>
              <w:pStyle w:val="Tabletext"/>
            </w:pPr>
            <w:r w:rsidRPr="00B61251">
              <w:t>100 mg/4 mL injection</w:t>
            </w:r>
          </w:p>
          <w:p w:rsidR="009156C4" w:rsidRPr="00B61251" w:rsidRDefault="009156C4" w:rsidP="0079332B">
            <w:pPr>
              <w:pStyle w:val="Tabletext"/>
            </w:pPr>
            <w:r w:rsidRPr="00B61251">
              <w:t>400 mg/16 mL injection</w:t>
            </w:r>
          </w:p>
        </w:tc>
        <w:tc>
          <w:tcPr>
            <w:tcW w:w="1559" w:type="dxa"/>
          </w:tcPr>
          <w:p w:rsidR="009156C4" w:rsidRPr="00B61251" w:rsidRDefault="009156C4" w:rsidP="0079332B">
            <w:pPr>
              <w:pStyle w:val="Tabletext"/>
              <w:jc w:val="center"/>
            </w:pPr>
            <w:r w:rsidRPr="00B61251">
              <w:t>1,800 mg</w:t>
            </w:r>
          </w:p>
          <w:p w:rsidR="009156C4" w:rsidRPr="00B61251" w:rsidRDefault="009156C4" w:rsidP="0079332B">
            <w:pPr>
              <w:pStyle w:val="Tabletext"/>
              <w:jc w:val="center"/>
            </w:pPr>
          </w:p>
          <w:p w:rsidR="009156C4" w:rsidRPr="00B61251" w:rsidRDefault="009156C4" w:rsidP="0079332B">
            <w:pPr>
              <w:pStyle w:val="Tabletext"/>
              <w:jc w:val="center"/>
            </w:pPr>
            <w:r w:rsidRPr="00B61251">
              <w:t>2 x 100 mg vials,</w:t>
            </w:r>
          </w:p>
          <w:p w:rsidR="009156C4" w:rsidRPr="00B61251" w:rsidRDefault="009156C4" w:rsidP="0079332B">
            <w:pPr>
              <w:pStyle w:val="Tabletext"/>
              <w:jc w:val="center"/>
            </w:pPr>
            <w:r w:rsidRPr="00B61251">
              <w:t>4 x 400 mg vials</w:t>
            </w:r>
          </w:p>
        </w:tc>
        <w:tc>
          <w:tcPr>
            <w:tcW w:w="1276" w:type="dxa"/>
          </w:tcPr>
          <w:p w:rsidR="009156C4" w:rsidRPr="00B61251" w:rsidRDefault="009156C4" w:rsidP="0079332B">
            <w:pPr>
              <w:pStyle w:val="Tabletext"/>
              <w:jc w:val="center"/>
            </w:pPr>
            <w:r w:rsidRPr="00B61251">
              <w:t>Initial: 5</w:t>
            </w:r>
          </w:p>
          <w:p w:rsidR="009156C4" w:rsidRPr="00B61251" w:rsidRDefault="009156C4" w:rsidP="0079332B">
            <w:pPr>
              <w:pStyle w:val="Tabletext"/>
              <w:jc w:val="center"/>
            </w:pPr>
            <w:r w:rsidRPr="00B61251">
              <w:t>Continuing:7</w:t>
            </w:r>
          </w:p>
        </w:tc>
        <w:tc>
          <w:tcPr>
            <w:tcW w:w="3861" w:type="dxa"/>
          </w:tcPr>
          <w:p w:rsidR="009156C4" w:rsidRPr="00B61251" w:rsidRDefault="009156C4" w:rsidP="0079332B">
            <w:pPr>
              <w:pStyle w:val="Tabletext"/>
              <w:jc w:val="center"/>
            </w:pPr>
            <w:r w:rsidRPr="00B61251">
              <w:t>Avastin</w:t>
            </w:r>
          </w:p>
          <w:p w:rsidR="009156C4" w:rsidRPr="00B61251" w:rsidRDefault="009156C4" w:rsidP="0079332B">
            <w:pPr>
              <w:pStyle w:val="Tabletext"/>
              <w:jc w:val="center"/>
            </w:pPr>
            <w:r w:rsidRPr="00B61251">
              <w:t>Roche Products Pty Ltd</w:t>
            </w:r>
          </w:p>
        </w:tc>
      </w:tr>
    </w:tbl>
    <w:p w:rsidR="009156C4" w:rsidRPr="00CD6B3B" w:rsidRDefault="009156C4" w:rsidP="0079332B">
      <w:pPr>
        <w:widowControl/>
        <w:jc w:val="left"/>
        <w:rPr>
          <w:rFonts w:ascii="Times New Roman" w:hAnsi="Times New Roman" w:cs="Times New Roman"/>
          <w:snapToGrid/>
          <w:szCs w:val="24"/>
          <w:lang w:eastAsia="en-AU"/>
        </w:rPr>
      </w:pPr>
    </w:p>
    <w:p w:rsidR="007D1024" w:rsidRPr="00B61251" w:rsidRDefault="007D1024" w:rsidP="0079332B">
      <w:pPr>
        <w:widowControl/>
        <w:jc w:val="left"/>
        <w:rPr>
          <w:rFonts w:cs="Calibri"/>
          <w:b/>
          <w:snapToGrid/>
          <w:sz w:val="22"/>
          <w:lang w:eastAsia="en-AU"/>
        </w:rPr>
      </w:pPr>
      <w:r w:rsidRPr="00B61251">
        <w:rPr>
          <w:rFonts w:cs="Calibri"/>
          <w:b/>
          <w:snapToGrid/>
          <w:sz w:val="22"/>
          <w:lang w:eastAsia="en-AU"/>
        </w:rPr>
        <w:t>bevacizumab - initial treatment for EGFR wild type/ALK negative patients</w:t>
      </w:r>
    </w:p>
    <w:tbl>
      <w:tblPr>
        <w:tblW w:w="5000" w:type="pct"/>
        <w:tblLook w:val="0000" w:firstRow="0" w:lastRow="0" w:firstColumn="0" w:lastColumn="0" w:noHBand="0" w:noVBand="0"/>
      </w:tblPr>
      <w:tblGrid>
        <w:gridCol w:w="2777"/>
        <w:gridCol w:w="6250"/>
      </w:tblGrid>
      <w:tr w:rsidR="007D1024" w:rsidRPr="00B61251" w:rsidTr="00C944ED">
        <w:trPr>
          <w:cantSplit/>
          <w:trHeight w:val="360"/>
        </w:trPr>
        <w:tc>
          <w:tcPr>
            <w:tcW w:w="5000" w:type="pct"/>
            <w:gridSpan w:val="2"/>
            <w:tcBorders>
              <w:bottom w:val="single" w:sz="4" w:space="0" w:color="auto"/>
            </w:tcBorders>
          </w:tcPr>
          <w:p w:rsidR="007D1024" w:rsidRPr="00B61251" w:rsidRDefault="007D1024" w:rsidP="0079332B">
            <w:pPr>
              <w:widowControl/>
              <w:rPr>
                <w:snapToGrid/>
                <w:sz w:val="20"/>
                <w:szCs w:val="20"/>
                <w:lang w:eastAsia="en-AU"/>
              </w:rPr>
            </w:pP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 xml:space="preserve">Category / </w:t>
            </w:r>
          </w:p>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Program</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Section 100 – Efficient funding of Chemotherapy</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Private Hospital/Private Clinic Authority Required (STREAMLINED)</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Public Hospital Authority Required (STREAMLINED)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Prescriber type:</w:t>
            </w:r>
          </w:p>
          <w:p w:rsidR="007D1024" w:rsidRPr="0079332B" w:rsidRDefault="007D1024" w:rsidP="0079332B">
            <w:pPr>
              <w:widowControl/>
              <w:rPr>
                <w:rFonts w:ascii="Arial Narrow" w:hAnsi="Arial Narrow" w:cs="Calibri"/>
                <w:b/>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Dental  </w:t>
            </w: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Medical Practitioners  </w:t>
            </w: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Nurse practitioners  </w:t>
            </w: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Optometrists</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Midwives</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Severity:</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 xml:space="preserve">Stage IV (metastatic) </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Condition: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Non-small cell lung cancer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PBS Indication: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Stage IV (metastatic)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Treatment phase:</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Initial treatment</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Restriction Level / Method:</w:t>
            </w:r>
          </w:p>
          <w:p w:rsidR="007D1024" w:rsidRPr="0079332B" w:rsidRDefault="007D1024" w:rsidP="0079332B">
            <w:pPr>
              <w:widowControl/>
              <w:jc w:val="left"/>
              <w:rPr>
                <w:rFonts w:ascii="Arial Narrow" w:hAnsi="Arial Narrow" w:cs="Calibri"/>
                <w:i/>
                <w:snapToGrid/>
                <w:sz w:val="20"/>
                <w:szCs w:val="20"/>
                <w:highlight w:val="yellow"/>
                <w:lang w:eastAsia="en-AU"/>
              </w:rPr>
            </w:pPr>
          </w:p>
          <w:p w:rsidR="007D1024" w:rsidRPr="0079332B" w:rsidRDefault="007D1024" w:rsidP="0079332B">
            <w:pPr>
              <w:widowControl/>
              <w:jc w:val="left"/>
              <w:rPr>
                <w:rFonts w:ascii="Arial Narrow" w:hAnsi="Arial Narrow" w:cs="Calibri"/>
                <w:i/>
                <w:snapToGrid/>
                <w:sz w:val="20"/>
                <w:szCs w:val="20"/>
                <w:lang w:eastAsia="en-AU"/>
              </w:rPr>
            </w:pPr>
          </w:p>
          <w:p w:rsidR="007D1024" w:rsidRPr="0079332B" w:rsidRDefault="007D1024" w:rsidP="0079332B">
            <w:pPr>
              <w:widowControl/>
              <w:jc w:val="left"/>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Restricted benefit</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In Writing</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Telephone</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Emergency</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Electronic</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b/>
                <w:snapToGrid/>
                <w:sz w:val="20"/>
                <w:szCs w:val="20"/>
                <w:lang w:eastAsia="en-AU"/>
              </w:rPr>
            </w:pPr>
            <w:r w:rsidRPr="0079332B">
              <w:rPr>
                <w:rFonts w:ascii="Arial Narrow" w:hAnsi="Arial Narrow" w:cs="Calibri"/>
                <w:b/>
                <w:snapToGrid/>
                <w:sz w:val="20"/>
                <w:szCs w:val="20"/>
                <w:lang w:eastAsia="en-AU"/>
              </w:rPr>
              <w:lastRenderedPageBreak/>
              <w:t>Treatment criteria:</w:t>
            </w:r>
          </w:p>
          <w:p w:rsidR="007D1024" w:rsidRPr="0079332B" w:rsidRDefault="007D1024" w:rsidP="0079332B">
            <w:pPr>
              <w:widowControl/>
              <w:jc w:val="left"/>
              <w:rPr>
                <w:rFonts w:ascii="Arial Narrow" w:hAnsi="Arial Narrow" w:cs="Calibr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Times New Roman"/>
                <w:snapToGrid/>
                <w:szCs w:val="24"/>
                <w:lang w:eastAsia="en-AU"/>
              </w:rPr>
            </w:pPr>
            <w:r w:rsidRPr="0079332B">
              <w:rPr>
                <w:rFonts w:ascii="Arial Narrow" w:eastAsia="Calibri" w:hAnsi="Arial Narrow" w:cs="Calibri"/>
                <w:snapToGrid/>
                <w:sz w:val="20"/>
                <w:szCs w:val="20"/>
              </w:rPr>
              <w:t xml:space="preserve">Patient must be undergoing combination treatment </w:t>
            </w:r>
            <w:r w:rsidRPr="0079332B">
              <w:rPr>
                <w:rFonts w:ascii="Arial Narrow" w:eastAsia="Calibri" w:hAnsi="Arial Narrow" w:cs="Calibri"/>
                <w:snapToGrid/>
                <w:sz w:val="20"/>
                <w:szCs w:val="20"/>
                <w:lang w:eastAsia="en-AU"/>
              </w:rPr>
              <w:t>with atezolizumab and platinum-doublet chemotherapy</w:t>
            </w:r>
            <w:r w:rsidR="00B61251" w:rsidRPr="0079332B">
              <w:rPr>
                <w:rFonts w:ascii="Arial Narrow" w:eastAsia="Calibri" w:hAnsi="Arial Narrow" w:cs="Calibri"/>
                <w:snapToGrid/>
                <w:sz w:val="20"/>
                <w:szCs w:val="20"/>
                <w:lang w:eastAsia="en-AU"/>
              </w:rPr>
              <w:t xml:space="preserve">. </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Clinical criteria:</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The condition must be non-squamous type non-small cell lung cancer (NSCLC), </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Patient must not have been treated for this condition in the metastatic setting,</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Patient must have a WHO performance status of 0 or 1, </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AND</w:t>
            </w:r>
          </w:p>
          <w:p w:rsidR="007D1024" w:rsidRPr="0079332B" w:rsidRDefault="007D1024" w:rsidP="0079332B">
            <w:pPr>
              <w:widowControl/>
              <w:rPr>
                <w:rFonts w:ascii="Arial Narrow" w:hAnsi="Arial Narrow" w:cs="Calibri"/>
                <w:snapToGrid/>
                <w:sz w:val="20"/>
                <w:szCs w:val="20"/>
                <w:lang w:eastAsia="en-AU"/>
              </w:rPr>
            </w:pPr>
            <w:r w:rsidRPr="0079332B">
              <w:rPr>
                <w:rFonts w:ascii="Arial Narrow" w:hAnsi="Arial Narrow" w:cs="Calibri"/>
                <w:snapToGrid/>
                <w:sz w:val="20"/>
                <w:szCs w:val="20"/>
                <w:lang w:eastAsia="en-AU"/>
              </w:rPr>
              <w:t>The condition must not have evidence of an activating epidermal growth factor receptor (EGFR) gene mutation or an anaplastic lymphoma kinase (ALK) gene rearrangement in tumour material</w:t>
            </w:r>
            <w:r w:rsidRPr="0079332B">
              <w:rPr>
                <w:rFonts w:ascii="Arial Narrow" w:hAnsi="Arial Narrow" w:cs="Calibri"/>
                <w:i/>
                <w:snapToGrid/>
                <w:sz w:val="20"/>
                <w:szCs w:val="20"/>
                <w:lang w:eastAsia="en-AU"/>
              </w:rPr>
              <w:t>.</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Administrative Advice</w:t>
            </w:r>
          </w:p>
          <w:p w:rsidR="007D1024" w:rsidRPr="0079332B" w:rsidRDefault="007D1024" w:rsidP="0079332B">
            <w:pPr>
              <w:widowControl/>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No increase in the maximum number of repeats may be authorised.</w:t>
            </w:r>
          </w:p>
          <w:p w:rsidR="007D1024" w:rsidRPr="0079332B" w:rsidRDefault="007D1024" w:rsidP="0079332B">
            <w:pPr>
              <w:widowControl/>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Special pricing arrangements apply.</w:t>
            </w:r>
          </w:p>
        </w:tc>
      </w:tr>
    </w:tbl>
    <w:p w:rsidR="007D1024" w:rsidRPr="00B61251" w:rsidRDefault="007D1024" w:rsidP="0079332B">
      <w:pPr>
        <w:keepNext/>
        <w:widowControl/>
        <w:tabs>
          <w:tab w:val="left" w:pos="1276"/>
        </w:tabs>
        <w:spacing w:before="240" w:after="40"/>
        <w:ind w:left="1276" w:hanging="1276"/>
        <w:rPr>
          <w:rFonts w:eastAsia="SimSun" w:cs="Times New Roman"/>
          <w:b/>
          <w:bCs/>
          <w:snapToGrid/>
          <w:sz w:val="22"/>
          <w:lang w:eastAsia="zh-CN"/>
        </w:rPr>
      </w:pPr>
      <w:r w:rsidRPr="00B61251">
        <w:rPr>
          <w:rFonts w:eastAsia="SimSun" w:cs="Times New Roman"/>
          <w:b/>
          <w:bCs/>
          <w:snapToGrid/>
          <w:sz w:val="22"/>
          <w:lang w:eastAsia="zh-CN"/>
        </w:rPr>
        <w:t>bevacizumab - ini</w:t>
      </w:r>
      <w:r w:rsidR="001A177E" w:rsidRPr="00B61251">
        <w:rPr>
          <w:rFonts w:eastAsia="SimSun" w:cs="Times New Roman"/>
          <w:b/>
          <w:bCs/>
          <w:snapToGrid/>
          <w:sz w:val="22"/>
          <w:lang w:eastAsia="zh-CN"/>
        </w:rPr>
        <w:t>tial treatment for EGFR mutant/</w:t>
      </w:r>
      <w:r w:rsidRPr="00B61251">
        <w:rPr>
          <w:rFonts w:eastAsia="SimSun" w:cs="Times New Roman"/>
          <w:b/>
          <w:bCs/>
          <w:snapToGrid/>
          <w:sz w:val="22"/>
          <w:lang w:eastAsia="zh-CN"/>
        </w:rPr>
        <w:t>ALK positive patients</w:t>
      </w:r>
    </w:p>
    <w:tbl>
      <w:tblPr>
        <w:tblW w:w="5000" w:type="pct"/>
        <w:tblLook w:val="0000" w:firstRow="0" w:lastRow="0" w:firstColumn="0" w:lastColumn="0" w:noHBand="0" w:noVBand="0"/>
      </w:tblPr>
      <w:tblGrid>
        <w:gridCol w:w="2777"/>
        <w:gridCol w:w="6250"/>
      </w:tblGrid>
      <w:tr w:rsidR="007D1024" w:rsidRPr="00B61251" w:rsidTr="00C944ED">
        <w:trPr>
          <w:cantSplit/>
          <w:trHeight w:val="360"/>
        </w:trPr>
        <w:tc>
          <w:tcPr>
            <w:tcW w:w="5000" w:type="pct"/>
            <w:gridSpan w:val="2"/>
            <w:tcBorders>
              <w:bottom w:val="single" w:sz="4" w:space="0" w:color="auto"/>
            </w:tcBorders>
          </w:tcPr>
          <w:p w:rsidR="007D1024" w:rsidRPr="00B61251" w:rsidRDefault="007D1024" w:rsidP="0079332B">
            <w:pPr>
              <w:widowControl/>
              <w:rPr>
                <w:snapToGrid/>
                <w:sz w:val="20"/>
                <w:szCs w:val="20"/>
                <w:lang w:eastAsia="en-AU"/>
              </w:rPr>
            </w:pP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 xml:space="preserve">Category / </w:t>
            </w:r>
          </w:p>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Program</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Section 100 – Efficient funding of Chemotherapy</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Private Hospital/Private Clinic Authority Required (STREAMLINED)</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Public Hospital Authority Required (STREAMLINED)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Prescriber type:</w:t>
            </w:r>
          </w:p>
          <w:p w:rsidR="007D1024" w:rsidRPr="0079332B" w:rsidRDefault="007D1024" w:rsidP="0079332B">
            <w:pPr>
              <w:widowControl/>
              <w:rPr>
                <w:rFonts w:ascii="Arial Narrow" w:hAnsi="Arial Narrow" w:cs="Calibri"/>
                <w:b/>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Dental  </w:t>
            </w: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Medical Practitioners  </w:t>
            </w: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Nurse practitioners  </w:t>
            </w: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Optometrists</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Midwives</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Severity:</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 xml:space="preserve">Stage IV (metastatic) </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Condition: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Non-small cell lung cancer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PBS Indication: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Stage IV (metastatic)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Treatment phase:</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Initial treatment</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Restriction Level / Method:</w:t>
            </w:r>
          </w:p>
          <w:p w:rsidR="007D1024" w:rsidRPr="0079332B" w:rsidRDefault="007D1024" w:rsidP="0079332B">
            <w:pPr>
              <w:widowControl/>
              <w:jc w:val="left"/>
              <w:rPr>
                <w:rFonts w:ascii="Arial Narrow" w:hAnsi="Arial Narrow" w:cs="Calibri"/>
                <w:i/>
                <w:snapToGrid/>
                <w:sz w:val="20"/>
                <w:szCs w:val="20"/>
                <w:highlight w:val="yellow"/>
                <w:lang w:eastAsia="en-AU"/>
              </w:rPr>
            </w:pPr>
          </w:p>
          <w:p w:rsidR="007D1024" w:rsidRPr="0079332B" w:rsidRDefault="007D1024" w:rsidP="0079332B">
            <w:pPr>
              <w:widowControl/>
              <w:jc w:val="left"/>
              <w:rPr>
                <w:rFonts w:ascii="Arial Narrow" w:hAnsi="Arial Narrow" w:cs="Calibri"/>
                <w:i/>
                <w:snapToGrid/>
                <w:sz w:val="20"/>
                <w:szCs w:val="20"/>
                <w:lang w:eastAsia="en-AU"/>
              </w:rPr>
            </w:pPr>
          </w:p>
          <w:p w:rsidR="007D1024" w:rsidRPr="0079332B" w:rsidRDefault="007D1024" w:rsidP="0079332B">
            <w:pPr>
              <w:widowControl/>
              <w:jc w:val="left"/>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Restricted benefit</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In Writing</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Telephone</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Emergency</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Electronic</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Treatment criteria:</w:t>
            </w:r>
          </w:p>
          <w:p w:rsidR="007D1024" w:rsidRPr="0079332B" w:rsidRDefault="007D1024" w:rsidP="0079332B">
            <w:pPr>
              <w:widowControl/>
              <w:jc w:val="left"/>
              <w:rPr>
                <w:rFonts w:ascii="Arial Narrow" w:hAnsi="Arial Narrow" w:cs="Calibr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Patient must be undergoing combination treatment with atezolizumab and platinum-doublet chemotherapy.</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Clinical criteria:</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The condition must be non-squamous type non-small cell lung cancer (NSCLC), </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Patient must have a WHO performance status of 0 or 1, </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AND</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 xml:space="preserve"> Patient must have evidence of an activating epidermal growth factor receptor (EGFR) gene or of an anaplastic lymphoma kinase (ALK) gene rearrangement in tumour material,</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Patient must have progressive disease following treatment</w:t>
            </w:r>
            <w:r w:rsidRPr="0079332B">
              <w:rPr>
                <w:rFonts w:ascii="Arial Narrow" w:eastAsia="Calibri" w:hAnsi="Arial Narrow" w:cs="Calibri"/>
                <w:i/>
                <w:snapToGrid/>
                <w:sz w:val="20"/>
                <w:szCs w:val="20"/>
              </w:rPr>
              <w:t xml:space="preserve"> </w:t>
            </w:r>
            <w:r w:rsidRPr="0079332B">
              <w:rPr>
                <w:rFonts w:ascii="Arial Narrow" w:eastAsia="Calibri" w:hAnsi="Arial Narrow" w:cs="Calibri"/>
                <w:snapToGrid/>
                <w:sz w:val="20"/>
                <w:szCs w:val="20"/>
              </w:rPr>
              <w:t>with epidermal growth factor receptor</w:t>
            </w:r>
            <w:r w:rsidRPr="0079332B">
              <w:rPr>
                <w:rFonts w:ascii="Arial Narrow" w:eastAsia="Calibri" w:hAnsi="Arial Narrow" w:cs="Calibri"/>
                <w:i/>
                <w:snapToGrid/>
                <w:sz w:val="20"/>
                <w:szCs w:val="20"/>
              </w:rPr>
              <w:t>s</w:t>
            </w:r>
            <w:r w:rsidRPr="0079332B">
              <w:rPr>
                <w:rFonts w:ascii="Arial Narrow" w:eastAsia="Calibri" w:hAnsi="Arial Narrow" w:cs="Calibri"/>
                <w:snapToGrid/>
                <w:sz w:val="20"/>
                <w:szCs w:val="20"/>
              </w:rPr>
              <w:t xml:space="preserve"> (EGFR) OR anaplastic lymphoma kinase (ALK) tyrosine kinase inhibitor</w:t>
            </w:r>
            <w:r w:rsidRPr="0079332B">
              <w:rPr>
                <w:rFonts w:ascii="Arial Narrow" w:eastAsia="Calibri" w:hAnsi="Arial Narrow" w:cs="Calibri"/>
                <w:i/>
                <w:snapToGrid/>
                <w:sz w:val="20"/>
                <w:szCs w:val="20"/>
              </w:rPr>
              <w:t>s</w:t>
            </w:r>
            <w:r w:rsidRPr="0079332B">
              <w:rPr>
                <w:rFonts w:ascii="Arial Narrow" w:eastAsia="Calibri" w:hAnsi="Arial Narrow" w:cs="Calibri"/>
                <w:snapToGrid/>
                <w:sz w:val="20"/>
                <w:szCs w:val="20"/>
              </w:rPr>
              <w:t xml:space="preserve"> (TKI),</w:t>
            </w:r>
          </w:p>
          <w:p w:rsidR="007D1024" w:rsidRPr="0079332B" w:rsidRDefault="007D1024" w:rsidP="0079332B">
            <w:pPr>
              <w:widowControl/>
              <w:spacing w:before="20" w:after="20"/>
              <w:rPr>
                <w:rFonts w:ascii="Arial Narrow" w:eastAsia="Calibri" w:hAnsi="Arial Narrow" w:cs="Calibri"/>
                <w:snapToGrid/>
                <w:sz w:val="20"/>
                <w:szCs w:val="20"/>
              </w:rPr>
            </w:pPr>
            <w:r w:rsidRPr="0079332B">
              <w:rPr>
                <w:rFonts w:ascii="Arial Narrow" w:eastAsia="Calibri" w:hAnsi="Arial Narrow" w:cs="Calibri"/>
                <w:snapToGrid/>
                <w:sz w:val="20"/>
                <w:szCs w:val="20"/>
              </w:rPr>
              <w:t>AND</w:t>
            </w:r>
          </w:p>
          <w:p w:rsidR="007D1024" w:rsidRPr="0079332B" w:rsidRDefault="007D1024" w:rsidP="0079332B">
            <w:pPr>
              <w:widowControl/>
              <w:rPr>
                <w:rFonts w:ascii="Arial Narrow" w:hAnsi="Arial Narrow" w:cs="Calibri"/>
                <w:snapToGrid/>
                <w:sz w:val="20"/>
                <w:szCs w:val="20"/>
                <w:lang w:eastAsia="en-AU"/>
              </w:rPr>
            </w:pPr>
            <w:r w:rsidRPr="0079332B">
              <w:rPr>
                <w:rFonts w:ascii="Arial Narrow" w:hAnsi="Arial Narrow" w:cs="Calibri"/>
                <w:snapToGrid/>
                <w:sz w:val="20"/>
                <w:szCs w:val="20"/>
                <w:lang w:eastAsia="en-AU"/>
              </w:rPr>
              <w:t>Patient must not have received prior treatment with a programmed cell death-1 (PD-1) inhibitor or a programmed cell death ligand-1 (PD-L1) inhibitor for this condition.</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lastRenderedPageBreak/>
              <w:t>Administrative Advice</w:t>
            </w:r>
          </w:p>
          <w:p w:rsidR="007D1024" w:rsidRPr="0079332B" w:rsidRDefault="007D1024" w:rsidP="0079332B">
            <w:pPr>
              <w:widowControl/>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No increase in the maximum number of repeats may be authorised.</w:t>
            </w:r>
          </w:p>
          <w:p w:rsidR="007D1024" w:rsidRPr="0079332B" w:rsidRDefault="007D1024" w:rsidP="0079332B">
            <w:pPr>
              <w:widowControl/>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Special pricing arrangements apply.</w:t>
            </w:r>
          </w:p>
        </w:tc>
      </w:tr>
    </w:tbl>
    <w:p w:rsidR="007D1024" w:rsidRPr="00B61251" w:rsidRDefault="00CD6B3B" w:rsidP="0079332B">
      <w:pPr>
        <w:keepNext/>
        <w:widowControl/>
        <w:tabs>
          <w:tab w:val="left" w:pos="1276"/>
        </w:tabs>
        <w:spacing w:before="240" w:after="40"/>
        <w:ind w:left="1276" w:hanging="1276"/>
        <w:rPr>
          <w:rFonts w:eastAsia="SimSun" w:cs="Times New Roman"/>
          <w:b/>
          <w:bCs/>
          <w:snapToGrid/>
          <w:sz w:val="22"/>
          <w:highlight w:val="yellow"/>
          <w:lang w:eastAsia="zh-CN"/>
        </w:rPr>
      </w:pPr>
      <w:r>
        <w:rPr>
          <w:rFonts w:eastAsia="SimSun" w:cs="Times New Roman"/>
          <w:b/>
          <w:bCs/>
          <w:snapToGrid/>
          <w:sz w:val="22"/>
          <w:lang w:eastAsia="zh-CN"/>
        </w:rPr>
        <w:t>bevacizumab</w:t>
      </w:r>
      <w:r w:rsidRPr="00B61251">
        <w:rPr>
          <w:rFonts w:eastAsia="SimSun" w:cs="Times New Roman"/>
          <w:b/>
          <w:bCs/>
          <w:snapToGrid/>
          <w:sz w:val="22"/>
          <w:lang w:eastAsia="zh-CN"/>
        </w:rPr>
        <w:t xml:space="preserve"> - </w:t>
      </w:r>
      <w:r w:rsidR="007D1024" w:rsidRPr="00B61251">
        <w:rPr>
          <w:rFonts w:eastAsia="SimSun" w:cs="Times New Roman"/>
          <w:b/>
          <w:bCs/>
          <w:snapToGrid/>
          <w:sz w:val="22"/>
          <w:lang w:eastAsia="zh-CN"/>
        </w:rPr>
        <w:t>treatment continuation</w:t>
      </w:r>
    </w:p>
    <w:tbl>
      <w:tblPr>
        <w:tblW w:w="5000" w:type="pct"/>
        <w:tblLook w:val="0000" w:firstRow="0" w:lastRow="0" w:firstColumn="0" w:lastColumn="0" w:noHBand="0" w:noVBand="0"/>
      </w:tblPr>
      <w:tblGrid>
        <w:gridCol w:w="2777"/>
        <w:gridCol w:w="6250"/>
      </w:tblGrid>
      <w:tr w:rsidR="007D1024" w:rsidRPr="00B61251" w:rsidTr="00C944ED">
        <w:trPr>
          <w:cantSplit/>
          <w:trHeight w:val="360"/>
        </w:trPr>
        <w:tc>
          <w:tcPr>
            <w:tcW w:w="5000" w:type="pct"/>
            <w:gridSpan w:val="2"/>
            <w:tcBorders>
              <w:bottom w:val="single" w:sz="4" w:space="0" w:color="auto"/>
            </w:tcBorders>
          </w:tcPr>
          <w:p w:rsidR="007D1024" w:rsidRPr="00B61251" w:rsidRDefault="007D1024" w:rsidP="0079332B">
            <w:pPr>
              <w:widowControl/>
              <w:rPr>
                <w:snapToGrid/>
                <w:sz w:val="20"/>
                <w:szCs w:val="20"/>
                <w:lang w:eastAsia="en-AU"/>
              </w:rPr>
            </w:pP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 xml:space="preserve">Category / </w:t>
            </w:r>
          </w:p>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Program</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Section 100 – Efficient funding of Chemotherapy</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Private Hospital/Private Clinic Authority Required (STREAMLINED)</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Public Hospital Authority Required (STREAMLINED)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Prescriber type:</w:t>
            </w:r>
          </w:p>
          <w:p w:rsidR="007D1024" w:rsidRPr="0079332B" w:rsidRDefault="007D1024" w:rsidP="0079332B">
            <w:pPr>
              <w:widowControl/>
              <w:rPr>
                <w:rFonts w:ascii="Arial Narrow" w:hAnsi="Arial Narrow" w:cs="Calibri"/>
                <w:b/>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Dental  </w:t>
            </w: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Medical Practitioners  </w:t>
            </w: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Nurse practitioners  </w:t>
            </w: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Optometrists</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Midwives</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Severity:</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 xml:space="preserve">Stage IV (metastatic) </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Condition: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Non-small cell lung cancer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PBS Indication: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Stage IV (metastatic)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Treatment phase:</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Continuing treatment</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Restriction Level / Method:</w:t>
            </w:r>
          </w:p>
          <w:p w:rsidR="007D1024" w:rsidRPr="0079332B" w:rsidRDefault="007D1024" w:rsidP="0079332B">
            <w:pPr>
              <w:widowControl/>
              <w:jc w:val="left"/>
              <w:rPr>
                <w:rFonts w:ascii="Arial Narrow" w:hAnsi="Arial Narrow" w:cs="Calibri"/>
                <w:i/>
                <w:snapToGrid/>
                <w:sz w:val="20"/>
                <w:szCs w:val="20"/>
                <w:highlight w:val="yellow"/>
                <w:lang w:eastAsia="en-AU"/>
              </w:rPr>
            </w:pPr>
          </w:p>
          <w:p w:rsidR="007D1024" w:rsidRPr="0079332B" w:rsidRDefault="007D1024" w:rsidP="0079332B">
            <w:pPr>
              <w:widowControl/>
              <w:jc w:val="left"/>
              <w:rPr>
                <w:rFonts w:ascii="Arial Narrow" w:hAnsi="Arial Narrow" w:cs="Calibri"/>
                <w:i/>
                <w:snapToGrid/>
                <w:sz w:val="20"/>
                <w:szCs w:val="20"/>
                <w:lang w:eastAsia="en-AU"/>
              </w:rPr>
            </w:pPr>
          </w:p>
          <w:p w:rsidR="007D1024" w:rsidRPr="0079332B" w:rsidRDefault="007D1024" w:rsidP="0079332B">
            <w:pPr>
              <w:widowControl/>
              <w:jc w:val="left"/>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Restricted benefit</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In Writing</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Telephone</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Emergency</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Electronic</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Treatment criteria:</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eastAsia="Calibri" w:hAnsi="Arial Narrow" w:cs="Calibri"/>
                <w:snapToGrid/>
                <w:sz w:val="20"/>
                <w:szCs w:val="20"/>
              </w:rPr>
            </w:pPr>
            <w:r w:rsidRPr="0079332B">
              <w:rPr>
                <w:rFonts w:ascii="Arial Narrow" w:eastAsia="Calibri" w:hAnsi="Arial Narrow" w:cs="Calibri"/>
                <w:snapToGrid/>
                <w:sz w:val="20"/>
                <w:szCs w:val="20"/>
              </w:rPr>
              <w:t xml:space="preserve">Patient must be undergoing combination treatment with atezolizumab until disease progression </w:t>
            </w:r>
            <w:r w:rsidRPr="0079332B">
              <w:rPr>
                <w:rFonts w:ascii="Arial Narrow" w:hAnsi="Arial Narrow" w:cs="Calibri"/>
                <w:snapToGrid/>
                <w:sz w:val="20"/>
                <w:szCs w:val="20"/>
                <w:lang w:eastAsia="en-AU"/>
              </w:rPr>
              <w:t>unless not tolerated</w:t>
            </w:r>
            <w:r w:rsidRPr="0079332B">
              <w:rPr>
                <w:rFonts w:ascii="Arial Narrow" w:eastAsia="Calibri" w:hAnsi="Arial Narrow" w:cs="Calibri"/>
                <w:snapToGrid/>
                <w:sz w:val="20"/>
                <w:szCs w:val="20"/>
              </w:rPr>
              <w:t>.</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Clinical criteria:</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The condition must be non-squamous type non-small cell lung cancer (NSCLC),</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AND</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Patient must have previously received PBS-subsidised treatment with this drug for this condition,</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AND</w:t>
            </w:r>
          </w:p>
          <w:p w:rsidR="007D1024" w:rsidRPr="0079332B" w:rsidRDefault="007D1024" w:rsidP="0079332B">
            <w:pPr>
              <w:widowControl/>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Patient must not have disease progression while receiving PBS-subsidised treatment with this drug for this condition.</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Administrative Advice</w:t>
            </w:r>
          </w:p>
          <w:p w:rsidR="007D1024" w:rsidRPr="0079332B" w:rsidRDefault="007D1024" w:rsidP="0079332B">
            <w:pPr>
              <w:widowControl/>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No increase in the maximum number of repeats may be authorised.</w:t>
            </w:r>
          </w:p>
          <w:p w:rsidR="007D1024" w:rsidRPr="0079332B" w:rsidRDefault="007D1024" w:rsidP="0079332B">
            <w:pPr>
              <w:widowControl/>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Special pricing arrangements apply.</w:t>
            </w:r>
          </w:p>
        </w:tc>
      </w:tr>
    </w:tbl>
    <w:p w:rsidR="007D1024" w:rsidRPr="00CD6B3B" w:rsidRDefault="007D1024" w:rsidP="0079332B">
      <w:pPr>
        <w:widowControl/>
        <w:jc w:val="left"/>
        <w:rPr>
          <w:rFonts w:ascii="Times New Roman" w:hAnsi="Times New Roman" w:cs="Times New Roman"/>
          <w:snapToGrid/>
          <w:szCs w:val="24"/>
          <w:lang w:eastAsia="zh-CN"/>
        </w:rPr>
      </w:pPr>
    </w:p>
    <w:p w:rsidR="001A177E" w:rsidRPr="00B61251" w:rsidRDefault="00CD6B3B" w:rsidP="0079332B">
      <w:pPr>
        <w:widowControl/>
        <w:rPr>
          <w:rFonts w:cs="Calibri"/>
          <w:b/>
          <w:snapToGrid/>
          <w:sz w:val="22"/>
          <w:lang w:eastAsia="en-AU"/>
        </w:rPr>
      </w:pPr>
      <w:r>
        <w:rPr>
          <w:b/>
        </w:rPr>
        <w:t>atezolizumab and b</w:t>
      </w:r>
      <w:r w:rsidR="001A177E" w:rsidRPr="00B61251">
        <w:rPr>
          <w:b/>
        </w:rPr>
        <w:t>evacizumab</w:t>
      </w:r>
    </w:p>
    <w:p w:rsidR="007D1024" w:rsidRPr="00B61251" w:rsidRDefault="007D1024" w:rsidP="0079332B">
      <w:pPr>
        <w:widowControl/>
        <w:rPr>
          <w:rFonts w:cs="Calibri"/>
          <w:b/>
          <w:snapToGrid/>
          <w:sz w:val="22"/>
          <w:lang w:eastAsia="en-AU"/>
        </w:rPr>
      </w:pPr>
      <w:r w:rsidRPr="00B61251">
        <w:rPr>
          <w:rFonts w:cs="Calibri"/>
          <w:b/>
          <w:snapToGrid/>
          <w:sz w:val="22"/>
          <w:lang w:eastAsia="en-AU"/>
        </w:rPr>
        <w:t>Grandfathering restriction</w:t>
      </w:r>
    </w:p>
    <w:tbl>
      <w:tblPr>
        <w:tblW w:w="5000" w:type="pct"/>
        <w:tblLook w:val="0000" w:firstRow="0" w:lastRow="0" w:firstColumn="0" w:lastColumn="0" w:noHBand="0" w:noVBand="0"/>
      </w:tblPr>
      <w:tblGrid>
        <w:gridCol w:w="2777"/>
        <w:gridCol w:w="6250"/>
      </w:tblGrid>
      <w:tr w:rsidR="007D1024" w:rsidRPr="00B61251" w:rsidTr="00C944ED">
        <w:trPr>
          <w:cantSplit/>
          <w:trHeight w:val="360"/>
        </w:trPr>
        <w:tc>
          <w:tcPr>
            <w:tcW w:w="5000" w:type="pct"/>
            <w:gridSpan w:val="2"/>
            <w:tcBorders>
              <w:bottom w:val="single" w:sz="4" w:space="0" w:color="auto"/>
            </w:tcBorders>
          </w:tcPr>
          <w:p w:rsidR="007D1024" w:rsidRPr="00B61251" w:rsidRDefault="007D1024" w:rsidP="0079332B">
            <w:pPr>
              <w:widowControl/>
              <w:rPr>
                <w:snapToGrid/>
                <w:sz w:val="20"/>
                <w:szCs w:val="20"/>
                <w:lang w:eastAsia="en-AU"/>
              </w:rPr>
            </w:pP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 xml:space="preserve">Category / </w:t>
            </w:r>
          </w:p>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Program</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Section 100 – Efficient Funding of Chemotherapy</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Private Hospital/Private Clinic Authority Required (STREAMLINED)</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Public Hospital Authority Required (STREAMLINED)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Prescriber type:</w:t>
            </w:r>
          </w:p>
          <w:p w:rsidR="007D1024" w:rsidRPr="0079332B" w:rsidRDefault="007D1024" w:rsidP="0079332B">
            <w:pPr>
              <w:widowControl/>
              <w:rPr>
                <w:rFonts w:ascii="Arial Narrow" w:hAnsi="Arial Narrow" w:cs="Calibri"/>
                <w:b/>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Dental  </w:t>
            </w:r>
            <w:r w:rsidRPr="0079332B">
              <w:rPr>
                <w:rFonts w:ascii="Arial Narrow" w:hAnsi="Arial Narrow" w:cs="Calibri"/>
                <w:snapToGrid/>
                <w:sz w:val="20"/>
                <w:szCs w:val="20"/>
                <w:lang w:eastAsia="en-AU"/>
              </w:rPr>
              <w:fldChar w:fldCharType="begin">
                <w:ffData>
                  <w:name w:val=""/>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Medical Practitioners  </w:t>
            </w: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 xml:space="preserve">Nurse practitioners  </w:t>
            </w: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Optometrists</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Midwives</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Severity:</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Stage IV (metastatic)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Condition: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t>Non-small cell lung cancer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PBS Indication:</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Stage IV (metastatic) NSCLC</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i/>
                <w:snapToGrid/>
                <w:sz w:val="20"/>
                <w:szCs w:val="20"/>
                <w:lang w:eastAsia="en-AU"/>
              </w:rPr>
            </w:pPr>
            <w:r w:rsidRPr="0079332B">
              <w:rPr>
                <w:rFonts w:ascii="Arial Narrow" w:hAnsi="Arial Narrow" w:cs="Calibri"/>
                <w:b/>
                <w:snapToGrid/>
                <w:sz w:val="20"/>
                <w:szCs w:val="20"/>
                <w:lang w:eastAsia="en-AU"/>
              </w:rPr>
              <w:t>Treatment phase:</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Grandfathering treatment</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lastRenderedPageBreak/>
              <w:t>Restriction Level / Method:</w:t>
            </w:r>
          </w:p>
          <w:p w:rsidR="007D1024" w:rsidRPr="0079332B" w:rsidRDefault="007D1024" w:rsidP="0079332B">
            <w:pPr>
              <w:widowControl/>
              <w:jc w:val="left"/>
              <w:rPr>
                <w:rFonts w:ascii="Arial Narrow" w:hAnsi="Arial Narrow" w:cs="Calibri"/>
                <w:i/>
                <w:snapToGrid/>
                <w:sz w:val="20"/>
                <w:szCs w:val="20"/>
                <w:highlight w:val="yellow"/>
                <w:lang w:eastAsia="en-AU"/>
              </w:rPr>
            </w:pPr>
          </w:p>
          <w:p w:rsidR="007D1024" w:rsidRPr="0079332B" w:rsidRDefault="007D1024" w:rsidP="0079332B">
            <w:pPr>
              <w:widowControl/>
              <w:jc w:val="left"/>
              <w:rPr>
                <w:rFonts w:ascii="Arial Narrow" w:hAnsi="Arial Narrow" w:cs="Calibri"/>
                <w:i/>
                <w:snapToGrid/>
                <w:sz w:val="20"/>
                <w:szCs w:val="20"/>
                <w:lang w:eastAsia="en-AU"/>
              </w:rPr>
            </w:pPr>
          </w:p>
          <w:p w:rsidR="007D1024" w:rsidRPr="0079332B" w:rsidRDefault="007D1024" w:rsidP="0079332B">
            <w:pPr>
              <w:widowControl/>
              <w:jc w:val="left"/>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1"/>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Restricted benefit</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In Writing</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3"/>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Telephone</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Emergency</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0"/>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Authority Required - Electronic</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hAnsi="Arial Narrow" w:cs="Calibri"/>
                <w:snapToGrid/>
                <w:sz w:val="20"/>
                <w:szCs w:val="20"/>
                <w:lang w:eastAsia="en-AU"/>
              </w:rPr>
              <w:fldChar w:fldCharType="begin">
                <w:ffData>
                  <w:name w:val="Check5"/>
                  <w:enabled/>
                  <w:calcOnExit w:val="0"/>
                  <w:checkBox>
                    <w:sizeAuto/>
                    <w:default w:val="1"/>
                  </w:checkBox>
                </w:ffData>
              </w:fldChar>
            </w:r>
            <w:r w:rsidRPr="0079332B">
              <w:rPr>
                <w:rFonts w:ascii="Arial Narrow" w:hAnsi="Arial Narrow" w:cs="Calibri"/>
                <w:snapToGrid/>
                <w:sz w:val="20"/>
                <w:szCs w:val="20"/>
                <w:lang w:eastAsia="en-AU"/>
              </w:rPr>
              <w:instrText xml:space="preserve"> FORMCHECKBOX </w:instrText>
            </w:r>
            <w:r w:rsidR="00106C88">
              <w:rPr>
                <w:rFonts w:ascii="Arial Narrow" w:hAnsi="Arial Narrow" w:cs="Calibri"/>
                <w:snapToGrid/>
                <w:sz w:val="20"/>
                <w:szCs w:val="20"/>
                <w:lang w:eastAsia="en-AU"/>
              </w:rPr>
            </w:r>
            <w:r w:rsidR="00106C88">
              <w:rPr>
                <w:rFonts w:ascii="Arial Narrow" w:hAnsi="Arial Narrow" w:cs="Calibri"/>
                <w:snapToGrid/>
                <w:sz w:val="20"/>
                <w:szCs w:val="20"/>
                <w:lang w:eastAsia="en-AU"/>
              </w:rPr>
              <w:fldChar w:fldCharType="separate"/>
            </w:r>
            <w:r w:rsidRPr="0079332B">
              <w:rPr>
                <w:rFonts w:ascii="Arial Narrow" w:hAnsi="Arial Narrow" w:cs="Calibri"/>
                <w:snapToGrid/>
                <w:sz w:val="20"/>
                <w:szCs w:val="20"/>
                <w:lang w:eastAsia="en-AU"/>
              </w:rPr>
              <w:fldChar w:fldCharType="end"/>
            </w:r>
            <w:r w:rsidRPr="0079332B">
              <w:rPr>
                <w:rFonts w:ascii="Arial Narrow" w:hAnsi="Arial Narrow" w:cs="Calibri"/>
                <w:snapToGrid/>
                <w:sz w:val="20"/>
                <w:szCs w:val="20"/>
                <w:lang w:eastAsia="en-AU"/>
              </w:rPr>
              <w:t>Streamlined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Treatment criteria:</w:t>
            </w: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rPr>
              <w:t>Patient must be undergoing combination treatment with bevacizumab and atezolizumab until disease progression unless not tolerated.</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Clinical criteria:</w:t>
            </w:r>
          </w:p>
          <w:p w:rsidR="007D1024" w:rsidRPr="0079332B" w:rsidRDefault="007D1024" w:rsidP="0079332B">
            <w:pPr>
              <w:widowControl/>
              <w:rPr>
                <w:rFonts w:ascii="Arial Narrow" w:hAnsi="Arial Narrow" w:cs="Calibr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 xml:space="preserve">The condition must be non-squamous type non-small cell lung cancer (NSCLC), </w:t>
            </w:r>
          </w:p>
          <w:p w:rsidR="007D1024" w:rsidRPr="0079332B" w:rsidRDefault="007D1024" w:rsidP="0079332B">
            <w:pPr>
              <w:widowControl/>
              <w:spacing w:before="20" w:after="20"/>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AND</w:t>
            </w:r>
          </w:p>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Patient must have previously received treatment with these drugs</w:t>
            </w:r>
            <w:r w:rsidRPr="0079332B">
              <w:rPr>
                <w:rFonts w:ascii="Arial Narrow" w:eastAsia="Calibri" w:hAnsi="Arial Narrow" w:cs="Calibri"/>
                <w:i/>
                <w:snapToGrid/>
                <w:sz w:val="20"/>
                <w:szCs w:val="20"/>
                <w:lang w:eastAsia="en-AU"/>
              </w:rPr>
              <w:t xml:space="preserve"> f</w:t>
            </w:r>
            <w:r w:rsidRPr="0079332B">
              <w:rPr>
                <w:rFonts w:ascii="Arial Narrow" w:eastAsia="Calibri" w:hAnsi="Arial Narrow" w:cs="Calibri"/>
                <w:snapToGrid/>
                <w:sz w:val="20"/>
                <w:szCs w:val="20"/>
                <w:lang w:eastAsia="en-AU"/>
              </w:rPr>
              <w:t>or this condition prior to [PBS listing date],</w:t>
            </w:r>
          </w:p>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AND</w:t>
            </w:r>
          </w:p>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Patient must have stable or responding disease,</w:t>
            </w:r>
          </w:p>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AND</w:t>
            </w:r>
          </w:p>
          <w:p w:rsidR="007D1024" w:rsidRPr="0079332B" w:rsidRDefault="007D1024" w:rsidP="0079332B">
            <w:pPr>
              <w:widowControl/>
              <w:jc w:val="left"/>
              <w:rPr>
                <w:rFonts w:ascii="Arial Narrow" w:hAnsi="Arial Narrow" w:cs="Calibri"/>
                <w:snapToGrid/>
                <w:sz w:val="20"/>
                <w:szCs w:val="20"/>
                <w:lang w:eastAsia="en-AU"/>
              </w:rPr>
            </w:pPr>
            <w:r w:rsidRPr="0079332B">
              <w:rPr>
                <w:rFonts w:ascii="Arial Narrow" w:eastAsia="Calibri" w:hAnsi="Arial Narrow" w:cs="Calibri"/>
                <w:snapToGrid/>
                <w:sz w:val="20"/>
                <w:szCs w:val="20"/>
                <w:lang w:eastAsia="en-AU"/>
              </w:rPr>
              <w:t xml:space="preserve">Patient must have a </w:t>
            </w:r>
            <w:r w:rsidRPr="0079332B">
              <w:rPr>
                <w:rFonts w:ascii="Arial Narrow" w:hAnsi="Arial Narrow" w:cs="Calibri"/>
                <w:snapToGrid/>
                <w:sz w:val="20"/>
                <w:szCs w:val="20"/>
                <w:lang w:eastAsia="en-AU"/>
              </w:rPr>
              <w:t>WHO performance status of 0 or</w:t>
            </w:r>
            <w:r w:rsidRPr="0079332B">
              <w:rPr>
                <w:rFonts w:ascii="Arial Narrow" w:eastAsia="Calibri" w:hAnsi="Arial Narrow" w:cs="Calibri"/>
                <w:snapToGrid/>
                <w:sz w:val="20"/>
                <w:szCs w:val="20"/>
                <w:lang w:eastAsia="en-AU"/>
              </w:rPr>
              <w:t xml:space="preserve"> 1.</w:t>
            </w:r>
          </w:p>
        </w:tc>
      </w:tr>
      <w:tr w:rsidR="007D1024" w:rsidRPr="00B61251" w:rsidTr="00C944ED">
        <w:trPr>
          <w:cantSplit/>
          <w:trHeight w:val="360"/>
        </w:trPr>
        <w:tc>
          <w:tcPr>
            <w:tcW w:w="1538"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rPr>
                <w:rFonts w:ascii="Arial Narrow" w:hAnsi="Arial Narrow" w:cs="Calibri"/>
                <w:b/>
                <w:snapToGrid/>
                <w:sz w:val="20"/>
                <w:szCs w:val="20"/>
                <w:lang w:eastAsia="en-AU"/>
              </w:rPr>
            </w:pPr>
            <w:r w:rsidRPr="0079332B">
              <w:rPr>
                <w:rFonts w:ascii="Arial Narrow" w:hAnsi="Arial Narrow" w:cs="Calibri"/>
                <w:b/>
                <w:snapToGrid/>
                <w:sz w:val="20"/>
                <w:szCs w:val="20"/>
                <w:lang w:eastAsia="en-AU"/>
              </w:rPr>
              <w:t>Administrative Advice</w:t>
            </w:r>
          </w:p>
          <w:p w:rsidR="007D1024" w:rsidRPr="0079332B" w:rsidRDefault="007D1024" w:rsidP="0079332B">
            <w:pPr>
              <w:widowControl/>
              <w:rPr>
                <w:rFonts w:ascii="Arial Narrow" w:hAnsi="Arial Narrow" w:cs="Calibri"/>
                <w:i/>
                <w:snapToGrid/>
                <w:sz w:val="20"/>
                <w:szCs w:val="20"/>
                <w:lang w:eastAsia="en-AU"/>
              </w:rPr>
            </w:pPr>
          </w:p>
        </w:tc>
        <w:tc>
          <w:tcPr>
            <w:tcW w:w="3462" w:type="pct"/>
            <w:tcBorders>
              <w:top w:val="single" w:sz="4" w:space="0" w:color="auto"/>
              <w:left w:val="single" w:sz="4" w:space="0" w:color="auto"/>
              <w:bottom w:val="single" w:sz="4" w:space="0" w:color="auto"/>
              <w:right w:val="single" w:sz="4" w:space="0" w:color="auto"/>
            </w:tcBorders>
          </w:tcPr>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No increase in the maximum number of repeats may be authorised.</w:t>
            </w:r>
          </w:p>
          <w:p w:rsidR="007D1024" w:rsidRPr="0079332B" w:rsidRDefault="007D1024" w:rsidP="0079332B">
            <w:pPr>
              <w:widowControl/>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eastAsia="Calibri" w:hAnsi="Arial Narrow" w:cs="Calibri"/>
                <w:snapToGrid/>
                <w:sz w:val="20"/>
                <w:szCs w:val="20"/>
                <w:lang w:eastAsia="en-AU"/>
              </w:rPr>
            </w:pPr>
            <w:r w:rsidRPr="0079332B">
              <w:rPr>
                <w:rFonts w:ascii="Arial Narrow" w:eastAsia="Calibri" w:hAnsi="Arial Narrow" w:cs="Calibri"/>
                <w:snapToGrid/>
                <w:sz w:val="20"/>
                <w:szCs w:val="20"/>
                <w:lang w:eastAsia="en-AU"/>
              </w:rPr>
              <w:t>A patient may qualify for PBS-subsidised treatment under this restriction once only. For continuing PBS-subsidised treatment, a Grandfathered patient must qualify under the Continuing treatment criteria.</w:t>
            </w:r>
          </w:p>
          <w:p w:rsidR="007D1024" w:rsidRPr="0079332B" w:rsidRDefault="007D1024" w:rsidP="0079332B">
            <w:pPr>
              <w:widowControl/>
              <w:jc w:val="left"/>
              <w:rPr>
                <w:rFonts w:ascii="Arial Narrow" w:eastAsia="Calibri" w:hAnsi="Arial Narrow" w:cs="Calibri"/>
                <w:snapToGrid/>
                <w:sz w:val="20"/>
                <w:szCs w:val="20"/>
                <w:lang w:eastAsia="en-AU"/>
              </w:rPr>
            </w:pPr>
          </w:p>
          <w:p w:rsidR="007D1024" w:rsidRPr="0079332B" w:rsidRDefault="007D1024" w:rsidP="0079332B">
            <w:pPr>
              <w:widowControl/>
              <w:jc w:val="left"/>
              <w:rPr>
                <w:rFonts w:ascii="Arial Narrow" w:hAnsi="Arial Narrow" w:cs="Calibri"/>
                <w:b/>
                <w:snapToGrid/>
                <w:sz w:val="20"/>
                <w:szCs w:val="20"/>
                <w:lang w:eastAsia="en-AU"/>
              </w:rPr>
            </w:pPr>
            <w:r w:rsidRPr="0079332B">
              <w:rPr>
                <w:rFonts w:ascii="Arial Narrow" w:eastAsia="Calibri" w:hAnsi="Arial Narrow" w:cs="Calibri"/>
                <w:snapToGrid/>
                <w:sz w:val="20"/>
                <w:szCs w:val="20"/>
                <w:lang w:eastAsia="en-AU"/>
              </w:rPr>
              <w:t>Special pricing arrangements apply.</w:t>
            </w:r>
          </w:p>
        </w:tc>
      </w:tr>
    </w:tbl>
    <w:p w:rsidR="00C944ED" w:rsidRPr="00C944ED" w:rsidRDefault="00C944ED" w:rsidP="00CB1952">
      <w:pPr>
        <w:pStyle w:val="PBACHeading1"/>
        <w:keepNext/>
        <w:spacing w:before="120"/>
      </w:pPr>
      <w:r w:rsidRPr="00C944ED">
        <w:t>Context for Decision</w:t>
      </w:r>
    </w:p>
    <w:p w:rsidR="00C944ED" w:rsidRPr="009035C9" w:rsidRDefault="00C944ED" w:rsidP="009035C9">
      <w:pPr>
        <w:widowControl/>
        <w:spacing w:after="120"/>
        <w:ind w:left="720"/>
        <w:rPr>
          <w:rFonts w:asciiTheme="minorHAnsi" w:hAnsiTheme="minorHAnsi"/>
          <w:bCs/>
        </w:rPr>
      </w:pPr>
      <w:r w:rsidRPr="009035C9">
        <w:rPr>
          <w:rFonts w:asciiTheme="minorHAnsi" w:hAnsiTheme="minorHAnsi"/>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944ED" w:rsidRPr="00C944ED" w:rsidRDefault="00C944ED" w:rsidP="00CB1952">
      <w:pPr>
        <w:pStyle w:val="PBACHeading1"/>
        <w:keepNext/>
        <w:spacing w:before="120"/>
      </w:pPr>
      <w:r w:rsidRPr="00C944ED">
        <w:t>Sponsor’s Comment</w:t>
      </w:r>
    </w:p>
    <w:p w:rsidR="00C944ED" w:rsidRPr="009035C9" w:rsidRDefault="00E04B86" w:rsidP="009035C9">
      <w:pPr>
        <w:widowControl/>
        <w:spacing w:after="120"/>
        <w:ind w:left="720"/>
        <w:rPr>
          <w:rFonts w:asciiTheme="minorHAnsi" w:hAnsiTheme="minorHAnsi"/>
          <w:bCs/>
        </w:rPr>
      </w:pPr>
      <w:r w:rsidRPr="009035C9">
        <w:rPr>
          <w:rFonts w:asciiTheme="minorHAnsi" w:hAnsiTheme="minorHAnsi"/>
          <w:bCs/>
        </w:rPr>
        <w:t>Roche welcomes the PBAC’s decision to recommend atezolizumab and bevacizumab, for use in combination, for the treatment of patients with metastatic non-squamous non small cell lung cancer (NSCLC). Roche are working with the Department of Health towards a PBS listing at the earliest opportunity.</w:t>
      </w:r>
    </w:p>
    <w:p w:rsidR="00A65B21" w:rsidRPr="00B61251" w:rsidRDefault="00A65B21" w:rsidP="0079332B">
      <w:pPr>
        <w:widowControl/>
        <w:rPr>
          <w:rFonts w:asciiTheme="minorHAnsi" w:hAnsiTheme="minorHAnsi" w:cstheme="minorHAnsi"/>
        </w:rPr>
      </w:pPr>
    </w:p>
    <w:p w:rsidR="00A65B21" w:rsidRPr="00B61251" w:rsidRDefault="00A65B21" w:rsidP="0079332B">
      <w:pPr>
        <w:widowControl/>
        <w:rPr>
          <w:snapToGrid/>
          <w:sz w:val="22"/>
          <w:lang w:eastAsia="en-AU"/>
        </w:rPr>
      </w:pPr>
    </w:p>
    <w:sectPr w:rsidR="00A65B21" w:rsidRPr="00B61251" w:rsidSect="0085588D">
      <w:headerReference w:type="default" r:id="rId11"/>
      <w:footerReference w:type="default" r:id="rId12"/>
      <w:footnotePr>
        <w:numFmt w:val="chicago"/>
      </w:footnotePr>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BD50A" w16cid:durableId="204B5E98"/>
  <w16cid:commentId w16cid:paraId="3DB3DCD7" w16cid:durableId="204B62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88" w:rsidRDefault="00106C88" w:rsidP="00124A51">
      <w:r>
        <w:separator/>
      </w:r>
    </w:p>
    <w:p w:rsidR="00106C88" w:rsidRDefault="00106C88"/>
  </w:endnote>
  <w:endnote w:type="continuationSeparator" w:id="0">
    <w:p w:rsidR="00106C88" w:rsidRDefault="00106C88" w:rsidP="00124A51">
      <w:r>
        <w:continuationSeparator/>
      </w:r>
    </w:p>
    <w:p w:rsidR="00106C88" w:rsidRDefault="00106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mago">
    <w:altName w:val="Times New Roman"/>
    <w:charset w:val="00"/>
    <w:family w:val="auto"/>
    <w:pitch w:val="variable"/>
    <w:sig w:usb0="A00002AF" w:usb1="5000205B" w:usb2="00000000" w:usb3="00000000" w:csb0="0000019F" w:csb1="00000000"/>
  </w:font>
  <w:font w:name="CourierNew">
    <w:altName w:val="Courier New"/>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19620"/>
      <w:docPartObj>
        <w:docPartGallery w:val="Page Numbers (Bottom of Page)"/>
        <w:docPartUnique/>
      </w:docPartObj>
    </w:sdtPr>
    <w:sdtEndPr>
      <w:rPr>
        <w:b/>
        <w:noProof/>
      </w:rPr>
    </w:sdtEndPr>
    <w:sdtContent>
      <w:p w:rsidR="00A67E51" w:rsidRDefault="00A67E51" w:rsidP="003E5902">
        <w:pPr>
          <w:pStyle w:val="Footer"/>
          <w:jc w:val="center"/>
        </w:pPr>
      </w:p>
      <w:p w:rsidR="00A67E51" w:rsidRPr="003E5902" w:rsidRDefault="00A67E51" w:rsidP="003E5902">
        <w:pPr>
          <w:pStyle w:val="Footer"/>
          <w:jc w:val="center"/>
          <w:rPr>
            <w:b/>
          </w:rPr>
        </w:pPr>
        <w:r w:rsidRPr="003E5902">
          <w:rPr>
            <w:b/>
          </w:rPr>
          <w:fldChar w:fldCharType="begin"/>
        </w:r>
        <w:r w:rsidRPr="003E5902">
          <w:rPr>
            <w:b/>
          </w:rPr>
          <w:instrText xml:space="preserve"> PAGE   \* MERGEFORMAT </w:instrText>
        </w:r>
        <w:r w:rsidRPr="003E5902">
          <w:rPr>
            <w:b/>
          </w:rPr>
          <w:fldChar w:fldCharType="separate"/>
        </w:r>
        <w:r w:rsidR="00106C88">
          <w:rPr>
            <w:b/>
            <w:noProof/>
          </w:rPr>
          <w:t>1</w:t>
        </w:r>
        <w:r w:rsidRPr="003E5902">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88" w:rsidRDefault="00106C88" w:rsidP="00124A51">
      <w:r>
        <w:separator/>
      </w:r>
    </w:p>
    <w:p w:rsidR="00106C88" w:rsidRDefault="00106C88"/>
  </w:footnote>
  <w:footnote w:type="continuationSeparator" w:id="0">
    <w:p w:rsidR="00106C88" w:rsidRDefault="00106C88" w:rsidP="00124A51">
      <w:r>
        <w:continuationSeparator/>
      </w:r>
    </w:p>
    <w:p w:rsidR="00106C88" w:rsidRDefault="00106C88"/>
  </w:footnote>
  <w:footnote w:id="1">
    <w:p w:rsidR="00A67E51" w:rsidRDefault="00A67E51">
      <w:pPr>
        <w:pStyle w:val="FootnoteText"/>
      </w:pPr>
      <w:r w:rsidRPr="008B19D5">
        <w:rPr>
          <w:rStyle w:val="FootnoteReference"/>
        </w:rPr>
        <w:footnoteRef/>
      </w:r>
      <w:r w:rsidRPr="008B19D5">
        <w:t xml:space="preserve"> </w:t>
      </w:r>
      <w:r w:rsidRPr="008B19D5">
        <w:rPr>
          <w:rFonts w:asciiTheme="minorHAnsi" w:hAnsiTheme="minorHAnsi"/>
          <w:bCs/>
          <w:sz w:val="16"/>
        </w:rPr>
        <w:t>Cherny NI, Dafni U, Bogaerts J, et al: ESMO- Magnitude of Clinical Benefit Scale version 1.1. Annals of Oncology 28:2340-2366, 2017</w:t>
      </w:r>
    </w:p>
  </w:footnote>
  <w:footnote w:id="2">
    <w:p w:rsidR="00A67E51" w:rsidRDefault="00A67E51">
      <w:pPr>
        <w:pStyle w:val="FootnoteText"/>
      </w:pPr>
      <w:r>
        <w:rPr>
          <w:rStyle w:val="FootnoteReference"/>
        </w:rPr>
        <w:footnoteRef/>
      </w:r>
      <w:r>
        <w:t xml:space="preserve"> The ITT-WT population in IMpower150 excluded patients with known sensitising EGFR mutations or ALK translocations; randomisation was not stratified by EGFR/ALK mutation status.</w:t>
      </w:r>
      <w:r w:rsidRPr="00BE4936">
        <w:t xml:space="preserve"> </w:t>
      </w:r>
      <w:r>
        <w:t>There was considerable risk of attrition bias in Zinner 2015.</w:t>
      </w:r>
    </w:p>
  </w:footnote>
  <w:footnote w:id="3">
    <w:p w:rsidR="00A67E51" w:rsidRDefault="00A67E51" w:rsidP="000756C6">
      <w:pPr>
        <w:pStyle w:val="FootnoteText"/>
      </w:pPr>
      <w:r>
        <w:rPr>
          <w:rStyle w:val="FootnoteReference"/>
        </w:rPr>
        <w:footnoteRef/>
      </w:r>
      <w:r>
        <w:t xml:space="preserve"> Improvement in median OS of 3.25-4 months over current median OS, with an associated hazard ratio of 0.76-0.8. </w:t>
      </w:r>
      <w:r w:rsidRPr="00686034">
        <w:t>Ellis LM, Bernstein DS</w:t>
      </w:r>
      <w:r w:rsidRPr="00686034">
        <w:rPr>
          <w:i/>
        </w:rPr>
        <w:t>, et al.</w:t>
      </w:r>
      <w:r w:rsidRPr="00686034">
        <w:t xml:space="preserve"> American Society of Clinical Oncology perspective: Raising the bar for clinical trials by defining clinically meaningful outcomes. </w:t>
      </w:r>
      <w:r w:rsidRPr="00686034">
        <w:rPr>
          <w:i/>
        </w:rPr>
        <w:t>J Clin Oncol</w:t>
      </w:r>
      <w:r w:rsidRPr="00686034">
        <w:t>. 2014; 32 (12):1277-80.</w:t>
      </w:r>
    </w:p>
  </w:footnote>
  <w:footnote w:id="4">
    <w:p w:rsidR="00A67E51" w:rsidRDefault="00A67E51">
      <w:pPr>
        <w:pStyle w:val="FootnoteText"/>
      </w:pPr>
      <w:r>
        <w:rPr>
          <w:rStyle w:val="FootnoteReference"/>
        </w:rPr>
        <w:footnoteRef/>
      </w:r>
      <w:r>
        <w:t xml:space="preserve"> </w:t>
      </w:r>
      <w:r w:rsidRPr="00DC0411">
        <w:rPr>
          <w:snapToGrid/>
          <w:lang w:eastAsia="en-AU"/>
        </w:rPr>
        <w:t>pa</w:t>
      </w:r>
      <w:r>
        <w:rPr>
          <w:snapToGrid/>
          <w:lang w:eastAsia="en-AU"/>
        </w:rPr>
        <w:t>ragraph 5.6, Item 4</w:t>
      </w:r>
      <w:r w:rsidRPr="00DC0411">
        <w:rPr>
          <w:snapToGrid/>
          <w:lang w:eastAsia="en-AU"/>
        </w:rPr>
        <w:t>.07, Pembrolizumab PSD,</w:t>
      </w:r>
      <w:r>
        <w:rPr>
          <w:snapToGrid/>
          <w:lang w:eastAsia="en-AU"/>
        </w:rPr>
        <w:t xml:space="preserve"> March 2018</w:t>
      </w:r>
      <w:r w:rsidRPr="00DC0411">
        <w:rPr>
          <w:snapToGrid/>
          <w:lang w:eastAsia="en-AU"/>
        </w:rPr>
        <w:t xml:space="preserve"> PBAC meeting</w:t>
      </w:r>
    </w:p>
  </w:footnote>
  <w:footnote w:id="5">
    <w:p w:rsidR="00A67E51" w:rsidRDefault="00A67E51" w:rsidP="003C0ED2">
      <w:pPr>
        <w:pStyle w:val="FootnoteText"/>
      </w:pPr>
      <w:r>
        <w:rPr>
          <w:rStyle w:val="FootnoteReference"/>
        </w:rPr>
        <w:footnoteRef/>
      </w:r>
      <w:r>
        <w:t xml:space="preserve"> </w:t>
      </w:r>
      <w:r w:rsidRPr="00DA4C9A">
        <w:t>Mitchell PL, Thursfield VJ</w:t>
      </w:r>
      <w:r w:rsidRPr="00DA4C9A">
        <w:rPr>
          <w:i/>
        </w:rPr>
        <w:t>, et al.</w:t>
      </w:r>
      <w:r w:rsidRPr="00DA4C9A">
        <w:t xml:space="preserve"> Lung cancer in Victoria: are we making progress? </w:t>
      </w:r>
      <w:r w:rsidRPr="00DA4C9A">
        <w:rPr>
          <w:i/>
        </w:rPr>
        <w:t>Med J Aust</w:t>
      </w:r>
      <w:r w:rsidRPr="00DA4C9A">
        <w:t>. 2013; 199 (10):674-9.</w:t>
      </w:r>
    </w:p>
  </w:footnote>
  <w:footnote w:id="6">
    <w:p w:rsidR="00A67E51" w:rsidRDefault="00A67E51">
      <w:pPr>
        <w:pStyle w:val="FootnoteText"/>
      </w:pPr>
      <w:r>
        <w:rPr>
          <w:rStyle w:val="FootnoteReference"/>
        </w:rPr>
        <w:footnoteRef/>
      </w:r>
      <w:r>
        <w:t xml:space="preserve"> Public Summary Document, Pembrolizumab, November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51" w:rsidRPr="00C944ED" w:rsidRDefault="00A67E51" w:rsidP="00C944ED">
    <w:pPr>
      <w:widowControl/>
      <w:tabs>
        <w:tab w:val="center" w:pos="4513"/>
        <w:tab w:val="right" w:pos="9026"/>
      </w:tabs>
      <w:jc w:val="center"/>
      <w:rPr>
        <w:rFonts w:asciiTheme="minorHAnsi" w:eastAsiaTheme="minorHAnsi" w:hAnsiTheme="minorHAnsi" w:cstheme="minorHAnsi"/>
        <w:i/>
        <w:snapToGrid/>
        <w:color w:val="808080"/>
      </w:rPr>
    </w:pPr>
    <w:r w:rsidRPr="00C944ED">
      <w:rPr>
        <w:rFonts w:asciiTheme="minorHAnsi" w:eastAsiaTheme="minorHAnsi" w:hAnsiTheme="minorHAnsi" w:cstheme="minorHAnsi"/>
        <w:i/>
        <w:snapToGrid/>
        <w:color w:val="808080"/>
      </w:rPr>
      <w:t>Publ</w:t>
    </w:r>
    <w:r>
      <w:rPr>
        <w:rFonts w:asciiTheme="minorHAnsi" w:eastAsiaTheme="minorHAnsi" w:hAnsiTheme="minorHAnsi" w:cstheme="minorHAnsi"/>
        <w:i/>
        <w:snapToGrid/>
        <w:color w:val="808080"/>
      </w:rPr>
      <w:t>ic Summary Document – March 2019</w:t>
    </w:r>
    <w:r w:rsidRPr="00C944ED">
      <w:rPr>
        <w:rFonts w:asciiTheme="minorHAnsi" w:eastAsiaTheme="minorHAnsi" w:hAnsiTheme="minorHAnsi" w:cstheme="minorHAnsi"/>
        <w:i/>
        <w:snapToGrid/>
        <w:color w:val="808080"/>
      </w:rPr>
      <w:t xml:space="preserve"> PBAC Meeting</w:t>
    </w:r>
  </w:p>
  <w:p w:rsidR="00A67E51" w:rsidRDefault="00A67E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DC4C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FD792B"/>
    <w:multiLevelType w:val="hybridMultilevel"/>
    <w:tmpl w:val="7C52BC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0B6BFA"/>
    <w:multiLevelType w:val="hybridMultilevel"/>
    <w:tmpl w:val="455AE8B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15:restartNumberingAfterBreak="0">
    <w:nsid w:val="14507FBC"/>
    <w:multiLevelType w:val="hybridMultilevel"/>
    <w:tmpl w:val="74D0D71E"/>
    <w:lvl w:ilvl="0" w:tplc="518E4860">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442297"/>
    <w:multiLevelType w:val="hybridMultilevel"/>
    <w:tmpl w:val="01208602"/>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37FB4"/>
    <w:multiLevelType w:val="hybridMultilevel"/>
    <w:tmpl w:val="DE7602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A786FFB"/>
    <w:multiLevelType w:val="hybridMultilevel"/>
    <w:tmpl w:val="2496E9F8"/>
    <w:lvl w:ilvl="0" w:tplc="F5AC938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84D033C"/>
    <w:multiLevelType w:val="multilevel"/>
    <w:tmpl w:val="3014006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3"/>
  </w:num>
  <w:num w:numId="4">
    <w:abstractNumId w:val="2"/>
  </w:num>
  <w:num w:numId="5">
    <w:abstractNumId w:val="5"/>
  </w:num>
  <w:num w:numId="6">
    <w:abstractNumId w:val="0"/>
  </w:num>
  <w:num w:numId="7">
    <w:abstractNumId w:val="1"/>
  </w:num>
  <w:num w:numId="8">
    <w:abstractNumId w:val="6"/>
  </w:num>
  <w:num w:numId="9">
    <w:abstractNumId w:val="7"/>
  </w:num>
  <w:num w:numId="10">
    <w:abstractNumId w:val="7"/>
  </w:num>
  <w:num w:numId="11">
    <w:abstractNumId w:val="7"/>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0"/>
  <w:activeWritingStyle w:appName="MSWord" w:lang="en-GB" w:vendorID="64" w:dllVersion="6" w:nlCheck="1" w:checkStyle="0"/>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131078" w:nlCheck="1" w:checkStyle="1"/>
  <w:activeWritingStyle w:appName="MSWord" w:lang="en-GB" w:vendorID="64" w:dllVersion="131078" w:nlCheck="1" w:checkStyle="1"/>
  <w:doNotTrackFormatting/>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wwdsffmttv52errrmxz526af5dftrv9spv&quot;&gt;Atezolizumab&lt;record-ids&gt;&lt;item&gt;1&lt;/item&gt;&lt;item&gt;2&lt;/item&gt;&lt;item&gt;5&lt;/item&gt;&lt;item&gt;6&lt;/item&gt;&lt;item&gt;8&lt;/item&gt;&lt;item&gt;9&lt;/item&gt;&lt;item&gt;10&lt;/item&gt;&lt;item&gt;11&lt;/item&gt;&lt;item&gt;14&lt;/item&gt;&lt;item&gt;17&lt;/item&gt;&lt;item&gt;18&lt;/item&gt;&lt;item&gt;21&lt;/item&gt;&lt;item&gt;22&lt;/item&gt;&lt;item&gt;26&lt;/item&gt;&lt;item&gt;29&lt;/item&gt;&lt;item&gt;31&lt;/item&gt;&lt;item&gt;32&lt;/item&gt;&lt;item&gt;117&lt;/item&gt;&lt;item&gt;118&lt;/item&gt;&lt;item&gt;162&lt;/item&gt;&lt;item&gt;163&lt;/item&gt;&lt;item&gt;164&lt;/item&gt;&lt;item&gt;167&lt;/item&gt;&lt;item&gt;168&lt;/item&gt;&lt;item&gt;170&lt;/item&gt;&lt;item&gt;171&lt;/item&gt;&lt;item&gt;174&lt;/item&gt;&lt;item&gt;175&lt;/item&gt;&lt;item&gt;176&lt;/item&gt;&lt;item&gt;177&lt;/item&gt;&lt;item&gt;178&lt;/item&gt;&lt;item&gt;180&lt;/item&gt;&lt;/record-ids&gt;&lt;/item&gt;&lt;/Libraries&gt;"/>
  </w:docVars>
  <w:rsids>
    <w:rsidRoot w:val="00E65E79"/>
    <w:rsid w:val="00000790"/>
    <w:rsid w:val="00001019"/>
    <w:rsid w:val="00001022"/>
    <w:rsid w:val="0000110B"/>
    <w:rsid w:val="00002F9F"/>
    <w:rsid w:val="0000310A"/>
    <w:rsid w:val="00003499"/>
    <w:rsid w:val="00003733"/>
    <w:rsid w:val="000039B7"/>
    <w:rsid w:val="00004F86"/>
    <w:rsid w:val="00005765"/>
    <w:rsid w:val="0000723C"/>
    <w:rsid w:val="000076FC"/>
    <w:rsid w:val="00007784"/>
    <w:rsid w:val="00007956"/>
    <w:rsid w:val="00007D93"/>
    <w:rsid w:val="00007EAD"/>
    <w:rsid w:val="0001030C"/>
    <w:rsid w:val="0001155B"/>
    <w:rsid w:val="00011782"/>
    <w:rsid w:val="00012101"/>
    <w:rsid w:val="00012A42"/>
    <w:rsid w:val="00013247"/>
    <w:rsid w:val="00013256"/>
    <w:rsid w:val="000142A3"/>
    <w:rsid w:val="00014897"/>
    <w:rsid w:val="000149B2"/>
    <w:rsid w:val="00014B62"/>
    <w:rsid w:val="000155ED"/>
    <w:rsid w:val="00015886"/>
    <w:rsid w:val="00015C08"/>
    <w:rsid w:val="00015DC7"/>
    <w:rsid w:val="000162EF"/>
    <w:rsid w:val="00017562"/>
    <w:rsid w:val="00020179"/>
    <w:rsid w:val="000209BA"/>
    <w:rsid w:val="00021193"/>
    <w:rsid w:val="00021DDB"/>
    <w:rsid w:val="0002225F"/>
    <w:rsid w:val="00023763"/>
    <w:rsid w:val="00023A18"/>
    <w:rsid w:val="000245ED"/>
    <w:rsid w:val="00024B61"/>
    <w:rsid w:val="00024C3D"/>
    <w:rsid w:val="00024DBF"/>
    <w:rsid w:val="00025109"/>
    <w:rsid w:val="00025467"/>
    <w:rsid w:val="000256E2"/>
    <w:rsid w:val="000258AF"/>
    <w:rsid w:val="00025D7C"/>
    <w:rsid w:val="00026509"/>
    <w:rsid w:val="00027040"/>
    <w:rsid w:val="00027225"/>
    <w:rsid w:val="00027290"/>
    <w:rsid w:val="00027A77"/>
    <w:rsid w:val="00030302"/>
    <w:rsid w:val="00031105"/>
    <w:rsid w:val="00032615"/>
    <w:rsid w:val="00032886"/>
    <w:rsid w:val="00033863"/>
    <w:rsid w:val="00033A22"/>
    <w:rsid w:val="000359A0"/>
    <w:rsid w:val="00035DC0"/>
    <w:rsid w:val="00035FCB"/>
    <w:rsid w:val="00036829"/>
    <w:rsid w:val="0004071F"/>
    <w:rsid w:val="00040764"/>
    <w:rsid w:val="000407EB"/>
    <w:rsid w:val="00040895"/>
    <w:rsid w:val="00041689"/>
    <w:rsid w:val="00041CA4"/>
    <w:rsid w:val="000421DD"/>
    <w:rsid w:val="000426D9"/>
    <w:rsid w:val="00043A45"/>
    <w:rsid w:val="00043C37"/>
    <w:rsid w:val="00044D4C"/>
    <w:rsid w:val="00045017"/>
    <w:rsid w:val="00045A2B"/>
    <w:rsid w:val="000465E0"/>
    <w:rsid w:val="0004698F"/>
    <w:rsid w:val="00047470"/>
    <w:rsid w:val="00047A12"/>
    <w:rsid w:val="000503DC"/>
    <w:rsid w:val="000504EC"/>
    <w:rsid w:val="00050A8D"/>
    <w:rsid w:val="00050C95"/>
    <w:rsid w:val="00051FC1"/>
    <w:rsid w:val="000521E4"/>
    <w:rsid w:val="000523B6"/>
    <w:rsid w:val="00053112"/>
    <w:rsid w:val="00053945"/>
    <w:rsid w:val="000539D0"/>
    <w:rsid w:val="0005445F"/>
    <w:rsid w:val="00054621"/>
    <w:rsid w:val="000546D7"/>
    <w:rsid w:val="00054A2A"/>
    <w:rsid w:val="00055040"/>
    <w:rsid w:val="000553A9"/>
    <w:rsid w:val="0005597C"/>
    <w:rsid w:val="0005690B"/>
    <w:rsid w:val="00056C32"/>
    <w:rsid w:val="00060331"/>
    <w:rsid w:val="000618E7"/>
    <w:rsid w:val="00062A57"/>
    <w:rsid w:val="00062D2C"/>
    <w:rsid w:val="00063245"/>
    <w:rsid w:val="00064496"/>
    <w:rsid w:val="00064ABD"/>
    <w:rsid w:val="000650BC"/>
    <w:rsid w:val="000653E1"/>
    <w:rsid w:val="000654C1"/>
    <w:rsid w:val="00066360"/>
    <w:rsid w:val="0006680D"/>
    <w:rsid w:val="00066F2E"/>
    <w:rsid w:val="000673FD"/>
    <w:rsid w:val="00067EED"/>
    <w:rsid w:val="0007003E"/>
    <w:rsid w:val="00070B38"/>
    <w:rsid w:val="00071248"/>
    <w:rsid w:val="00071466"/>
    <w:rsid w:val="00071C68"/>
    <w:rsid w:val="000720B9"/>
    <w:rsid w:val="00072A10"/>
    <w:rsid w:val="00072C2F"/>
    <w:rsid w:val="000737F7"/>
    <w:rsid w:val="0007384D"/>
    <w:rsid w:val="000748E5"/>
    <w:rsid w:val="00074DCA"/>
    <w:rsid w:val="00074E6B"/>
    <w:rsid w:val="00074E76"/>
    <w:rsid w:val="000756C6"/>
    <w:rsid w:val="00075C07"/>
    <w:rsid w:val="00075DDD"/>
    <w:rsid w:val="0007633D"/>
    <w:rsid w:val="0007672F"/>
    <w:rsid w:val="00076865"/>
    <w:rsid w:val="00076C50"/>
    <w:rsid w:val="00076D0D"/>
    <w:rsid w:val="00077351"/>
    <w:rsid w:val="000774F0"/>
    <w:rsid w:val="00080909"/>
    <w:rsid w:val="00080CD0"/>
    <w:rsid w:val="000812CA"/>
    <w:rsid w:val="0008132E"/>
    <w:rsid w:val="000818C8"/>
    <w:rsid w:val="0008247B"/>
    <w:rsid w:val="0008258D"/>
    <w:rsid w:val="0008366A"/>
    <w:rsid w:val="00083E99"/>
    <w:rsid w:val="00084978"/>
    <w:rsid w:val="00085044"/>
    <w:rsid w:val="000856C5"/>
    <w:rsid w:val="000857AC"/>
    <w:rsid w:val="00085809"/>
    <w:rsid w:val="0008689D"/>
    <w:rsid w:val="000904AC"/>
    <w:rsid w:val="00090C7E"/>
    <w:rsid w:val="00091064"/>
    <w:rsid w:val="0009160F"/>
    <w:rsid w:val="00092600"/>
    <w:rsid w:val="0009262B"/>
    <w:rsid w:val="00093310"/>
    <w:rsid w:val="0009433D"/>
    <w:rsid w:val="0009438D"/>
    <w:rsid w:val="0009445C"/>
    <w:rsid w:val="00094668"/>
    <w:rsid w:val="00094FD4"/>
    <w:rsid w:val="00095FE5"/>
    <w:rsid w:val="00096284"/>
    <w:rsid w:val="000975AF"/>
    <w:rsid w:val="000A0A42"/>
    <w:rsid w:val="000A0FAB"/>
    <w:rsid w:val="000A23D9"/>
    <w:rsid w:val="000A2477"/>
    <w:rsid w:val="000A25D2"/>
    <w:rsid w:val="000A54BC"/>
    <w:rsid w:val="000A5E35"/>
    <w:rsid w:val="000A6527"/>
    <w:rsid w:val="000A6835"/>
    <w:rsid w:val="000A711A"/>
    <w:rsid w:val="000A7D08"/>
    <w:rsid w:val="000B0670"/>
    <w:rsid w:val="000B07AC"/>
    <w:rsid w:val="000B0E75"/>
    <w:rsid w:val="000B0F85"/>
    <w:rsid w:val="000B1505"/>
    <w:rsid w:val="000B1886"/>
    <w:rsid w:val="000B1EDB"/>
    <w:rsid w:val="000B1F0D"/>
    <w:rsid w:val="000B22DE"/>
    <w:rsid w:val="000B2D22"/>
    <w:rsid w:val="000B5CBC"/>
    <w:rsid w:val="000B6CAC"/>
    <w:rsid w:val="000B7612"/>
    <w:rsid w:val="000C017D"/>
    <w:rsid w:val="000C05F2"/>
    <w:rsid w:val="000C087C"/>
    <w:rsid w:val="000C0BFC"/>
    <w:rsid w:val="000C2A57"/>
    <w:rsid w:val="000C303B"/>
    <w:rsid w:val="000C3801"/>
    <w:rsid w:val="000C3D0E"/>
    <w:rsid w:val="000C3DF9"/>
    <w:rsid w:val="000C4A4F"/>
    <w:rsid w:val="000C4E88"/>
    <w:rsid w:val="000C587C"/>
    <w:rsid w:val="000C5B82"/>
    <w:rsid w:val="000C5CAF"/>
    <w:rsid w:val="000C6713"/>
    <w:rsid w:val="000C6D7A"/>
    <w:rsid w:val="000C77C2"/>
    <w:rsid w:val="000D0040"/>
    <w:rsid w:val="000D0188"/>
    <w:rsid w:val="000D022B"/>
    <w:rsid w:val="000D17A1"/>
    <w:rsid w:val="000D1BFC"/>
    <w:rsid w:val="000D281A"/>
    <w:rsid w:val="000D326A"/>
    <w:rsid w:val="000D51FB"/>
    <w:rsid w:val="000D53E2"/>
    <w:rsid w:val="000D56DB"/>
    <w:rsid w:val="000D5AE2"/>
    <w:rsid w:val="000E066E"/>
    <w:rsid w:val="000E0E78"/>
    <w:rsid w:val="000E135D"/>
    <w:rsid w:val="000E15B7"/>
    <w:rsid w:val="000E2752"/>
    <w:rsid w:val="000E2810"/>
    <w:rsid w:val="000E28C3"/>
    <w:rsid w:val="000E2A34"/>
    <w:rsid w:val="000E3985"/>
    <w:rsid w:val="000E3D20"/>
    <w:rsid w:val="000E43C0"/>
    <w:rsid w:val="000E4857"/>
    <w:rsid w:val="000E4ED5"/>
    <w:rsid w:val="000E50A0"/>
    <w:rsid w:val="000E6C39"/>
    <w:rsid w:val="000E7585"/>
    <w:rsid w:val="000E7622"/>
    <w:rsid w:val="000F00BA"/>
    <w:rsid w:val="000F073D"/>
    <w:rsid w:val="000F079F"/>
    <w:rsid w:val="000F226D"/>
    <w:rsid w:val="000F23A8"/>
    <w:rsid w:val="000F24D1"/>
    <w:rsid w:val="000F2687"/>
    <w:rsid w:val="000F26EB"/>
    <w:rsid w:val="000F2D23"/>
    <w:rsid w:val="000F2D8B"/>
    <w:rsid w:val="000F2E36"/>
    <w:rsid w:val="000F316A"/>
    <w:rsid w:val="000F3C74"/>
    <w:rsid w:val="000F4BB8"/>
    <w:rsid w:val="000F4CEA"/>
    <w:rsid w:val="000F5FCA"/>
    <w:rsid w:val="000F63D2"/>
    <w:rsid w:val="000F6585"/>
    <w:rsid w:val="000F6700"/>
    <w:rsid w:val="000F693C"/>
    <w:rsid w:val="000F6F7B"/>
    <w:rsid w:val="000F7127"/>
    <w:rsid w:val="00100F8A"/>
    <w:rsid w:val="00101538"/>
    <w:rsid w:val="00101B65"/>
    <w:rsid w:val="00102A42"/>
    <w:rsid w:val="00102AE0"/>
    <w:rsid w:val="00103742"/>
    <w:rsid w:val="00103744"/>
    <w:rsid w:val="00103A06"/>
    <w:rsid w:val="00104177"/>
    <w:rsid w:val="00104290"/>
    <w:rsid w:val="00104D71"/>
    <w:rsid w:val="00104FA8"/>
    <w:rsid w:val="00104FD5"/>
    <w:rsid w:val="00105AE2"/>
    <w:rsid w:val="00106B80"/>
    <w:rsid w:val="00106C88"/>
    <w:rsid w:val="00106D14"/>
    <w:rsid w:val="0010705C"/>
    <w:rsid w:val="00107902"/>
    <w:rsid w:val="0011032E"/>
    <w:rsid w:val="001104AD"/>
    <w:rsid w:val="00110644"/>
    <w:rsid w:val="0011129A"/>
    <w:rsid w:val="001113DC"/>
    <w:rsid w:val="0011215F"/>
    <w:rsid w:val="00112C92"/>
    <w:rsid w:val="00112FE6"/>
    <w:rsid w:val="0011348B"/>
    <w:rsid w:val="00113C73"/>
    <w:rsid w:val="00115470"/>
    <w:rsid w:val="00115982"/>
    <w:rsid w:val="00115AB1"/>
    <w:rsid w:val="00115ED9"/>
    <w:rsid w:val="00116608"/>
    <w:rsid w:val="00116C53"/>
    <w:rsid w:val="001179A6"/>
    <w:rsid w:val="00117EF7"/>
    <w:rsid w:val="00120367"/>
    <w:rsid w:val="00120B54"/>
    <w:rsid w:val="00121799"/>
    <w:rsid w:val="0012191E"/>
    <w:rsid w:val="00121B9C"/>
    <w:rsid w:val="001222FC"/>
    <w:rsid w:val="00122C8B"/>
    <w:rsid w:val="001248D2"/>
    <w:rsid w:val="00124A51"/>
    <w:rsid w:val="00125196"/>
    <w:rsid w:val="0012541A"/>
    <w:rsid w:val="001255E1"/>
    <w:rsid w:val="00125B19"/>
    <w:rsid w:val="00125C1A"/>
    <w:rsid w:val="00126467"/>
    <w:rsid w:val="001265A0"/>
    <w:rsid w:val="00126621"/>
    <w:rsid w:val="0012675B"/>
    <w:rsid w:val="001273B3"/>
    <w:rsid w:val="001301E9"/>
    <w:rsid w:val="001302DA"/>
    <w:rsid w:val="001308DC"/>
    <w:rsid w:val="00131A7C"/>
    <w:rsid w:val="00131C99"/>
    <w:rsid w:val="00131D82"/>
    <w:rsid w:val="00132030"/>
    <w:rsid w:val="00133D36"/>
    <w:rsid w:val="00133EBA"/>
    <w:rsid w:val="00135666"/>
    <w:rsid w:val="00135D2B"/>
    <w:rsid w:val="001362CE"/>
    <w:rsid w:val="00136F5A"/>
    <w:rsid w:val="00137645"/>
    <w:rsid w:val="00137DD7"/>
    <w:rsid w:val="0014015A"/>
    <w:rsid w:val="00140274"/>
    <w:rsid w:val="00140E99"/>
    <w:rsid w:val="00141085"/>
    <w:rsid w:val="0014117D"/>
    <w:rsid w:val="0014157F"/>
    <w:rsid w:val="00141B06"/>
    <w:rsid w:val="00141C10"/>
    <w:rsid w:val="00142235"/>
    <w:rsid w:val="001426EE"/>
    <w:rsid w:val="001438E4"/>
    <w:rsid w:val="001442A1"/>
    <w:rsid w:val="001444FC"/>
    <w:rsid w:val="001447D0"/>
    <w:rsid w:val="0014509B"/>
    <w:rsid w:val="001453D4"/>
    <w:rsid w:val="00145540"/>
    <w:rsid w:val="00145601"/>
    <w:rsid w:val="001456B0"/>
    <w:rsid w:val="00145877"/>
    <w:rsid w:val="00145A98"/>
    <w:rsid w:val="001462B7"/>
    <w:rsid w:val="00146453"/>
    <w:rsid w:val="00147041"/>
    <w:rsid w:val="001479F0"/>
    <w:rsid w:val="00151295"/>
    <w:rsid w:val="00151570"/>
    <w:rsid w:val="001519A5"/>
    <w:rsid w:val="00152B93"/>
    <w:rsid w:val="00153683"/>
    <w:rsid w:val="0015376D"/>
    <w:rsid w:val="001544FE"/>
    <w:rsid w:val="001551EC"/>
    <w:rsid w:val="0015569C"/>
    <w:rsid w:val="00155983"/>
    <w:rsid w:val="001559F4"/>
    <w:rsid w:val="0015712A"/>
    <w:rsid w:val="00157130"/>
    <w:rsid w:val="001576B1"/>
    <w:rsid w:val="001600ED"/>
    <w:rsid w:val="00160237"/>
    <w:rsid w:val="00160A4C"/>
    <w:rsid w:val="00160EEC"/>
    <w:rsid w:val="0016148E"/>
    <w:rsid w:val="00161700"/>
    <w:rsid w:val="00162913"/>
    <w:rsid w:val="00162DE7"/>
    <w:rsid w:val="00163786"/>
    <w:rsid w:val="001637CE"/>
    <w:rsid w:val="00163EFF"/>
    <w:rsid w:val="001655EB"/>
    <w:rsid w:val="00165775"/>
    <w:rsid w:val="00165DBB"/>
    <w:rsid w:val="001661FB"/>
    <w:rsid w:val="00166358"/>
    <w:rsid w:val="00166587"/>
    <w:rsid w:val="00171278"/>
    <w:rsid w:val="00171689"/>
    <w:rsid w:val="00171818"/>
    <w:rsid w:val="001718C1"/>
    <w:rsid w:val="00173565"/>
    <w:rsid w:val="0017371D"/>
    <w:rsid w:val="00173945"/>
    <w:rsid w:val="00173A76"/>
    <w:rsid w:val="00173B07"/>
    <w:rsid w:val="00173E28"/>
    <w:rsid w:val="0017481A"/>
    <w:rsid w:val="00174C83"/>
    <w:rsid w:val="00175786"/>
    <w:rsid w:val="00175EC3"/>
    <w:rsid w:val="00176E85"/>
    <w:rsid w:val="00180379"/>
    <w:rsid w:val="00180473"/>
    <w:rsid w:val="0018093D"/>
    <w:rsid w:val="00181D9C"/>
    <w:rsid w:val="00182086"/>
    <w:rsid w:val="00182880"/>
    <w:rsid w:val="00183A2E"/>
    <w:rsid w:val="00184915"/>
    <w:rsid w:val="00184AC9"/>
    <w:rsid w:val="00184CB0"/>
    <w:rsid w:val="00184CD9"/>
    <w:rsid w:val="00184DBB"/>
    <w:rsid w:val="001857E3"/>
    <w:rsid w:val="0018601F"/>
    <w:rsid w:val="00186DAA"/>
    <w:rsid w:val="0018743D"/>
    <w:rsid w:val="0018752F"/>
    <w:rsid w:val="00187A09"/>
    <w:rsid w:val="001908BB"/>
    <w:rsid w:val="00190B60"/>
    <w:rsid w:val="00191431"/>
    <w:rsid w:val="00191666"/>
    <w:rsid w:val="001945C5"/>
    <w:rsid w:val="00194721"/>
    <w:rsid w:val="00194A48"/>
    <w:rsid w:val="00194DA7"/>
    <w:rsid w:val="00194F58"/>
    <w:rsid w:val="00195222"/>
    <w:rsid w:val="00195E2C"/>
    <w:rsid w:val="001975D8"/>
    <w:rsid w:val="00197601"/>
    <w:rsid w:val="001A00C6"/>
    <w:rsid w:val="001A0B5A"/>
    <w:rsid w:val="001A125D"/>
    <w:rsid w:val="001A177E"/>
    <w:rsid w:val="001A1A26"/>
    <w:rsid w:val="001A1F33"/>
    <w:rsid w:val="001A2829"/>
    <w:rsid w:val="001A2EBB"/>
    <w:rsid w:val="001A43FA"/>
    <w:rsid w:val="001A4B51"/>
    <w:rsid w:val="001A4C82"/>
    <w:rsid w:val="001A4F39"/>
    <w:rsid w:val="001A59FB"/>
    <w:rsid w:val="001A6354"/>
    <w:rsid w:val="001A6BFA"/>
    <w:rsid w:val="001A6F7C"/>
    <w:rsid w:val="001A75C3"/>
    <w:rsid w:val="001A7AE8"/>
    <w:rsid w:val="001A7DAA"/>
    <w:rsid w:val="001A7E56"/>
    <w:rsid w:val="001B0385"/>
    <w:rsid w:val="001B0A3D"/>
    <w:rsid w:val="001B1563"/>
    <w:rsid w:val="001B1D24"/>
    <w:rsid w:val="001B1FD3"/>
    <w:rsid w:val="001B204E"/>
    <w:rsid w:val="001B2492"/>
    <w:rsid w:val="001B2493"/>
    <w:rsid w:val="001B2E3B"/>
    <w:rsid w:val="001B3443"/>
    <w:rsid w:val="001B345B"/>
    <w:rsid w:val="001B37F8"/>
    <w:rsid w:val="001B3B66"/>
    <w:rsid w:val="001B407B"/>
    <w:rsid w:val="001B4934"/>
    <w:rsid w:val="001B497D"/>
    <w:rsid w:val="001B4C82"/>
    <w:rsid w:val="001B4D20"/>
    <w:rsid w:val="001B55D5"/>
    <w:rsid w:val="001B5645"/>
    <w:rsid w:val="001B5E4B"/>
    <w:rsid w:val="001B5ED6"/>
    <w:rsid w:val="001B6CCA"/>
    <w:rsid w:val="001B75F8"/>
    <w:rsid w:val="001B7F50"/>
    <w:rsid w:val="001C10D5"/>
    <w:rsid w:val="001C2623"/>
    <w:rsid w:val="001C277E"/>
    <w:rsid w:val="001C2936"/>
    <w:rsid w:val="001C2A9B"/>
    <w:rsid w:val="001C2B50"/>
    <w:rsid w:val="001C328C"/>
    <w:rsid w:val="001C4299"/>
    <w:rsid w:val="001C4B5F"/>
    <w:rsid w:val="001C558B"/>
    <w:rsid w:val="001C56F6"/>
    <w:rsid w:val="001C57FD"/>
    <w:rsid w:val="001C5F94"/>
    <w:rsid w:val="001C63A9"/>
    <w:rsid w:val="001C6E66"/>
    <w:rsid w:val="001C7A3F"/>
    <w:rsid w:val="001D03BA"/>
    <w:rsid w:val="001D0B4C"/>
    <w:rsid w:val="001D0CD3"/>
    <w:rsid w:val="001D1006"/>
    <w:rsid w:val="001D1306"/>
    <w:rsid w:val="001D346E"/>
    <w:rsid w:val="001D3512"/>
    <w:rsid w:val="001D3DAA"/>
    <w:rsid w:val="001D43BB"/>
    <w:rsid w:val="001D54C7"/>
    <w:rsid w:val="001D5A56"/>
    <w:rsid w:val="001D5CC4"/>
    <w:rsid w:val="001D627B"/>
    <w:rsid w:val="001D67CA"/>
    <w:rsid w:val="001D790C"/>
    <w:rsid w:val="001E055B"/>
    <w:rsid w:val="001E10A4"/>
    <w:rsid w:val="001E10F6"/>
    <w:rsid w:val="001E1D98"/>
    <w:rsid w:val="001E1FE0"/>
    <w:rsid w:val="001E238E"/>
    <w:rsid w:val="001E2483"/>
    <w:rsid w:val="001E2B1E"/>
    <w:rsid w:val="001E30D4"/>
    <w:rsid w:val="001E5046"/>
    <w:rsid w:val="001E52EB"/>
    <w:rsid w:val="001E551F"/>
    <w:rsid w:val="001E5A8D"/>
    <w:rsid w:val="001E60A9"/>
    <w:rsid w:val="001E6196"/>
    <w:rsid w:val="001E61D2"/>
    <w:rsid w:val="001E632E"/>
    <w:rsid w:val="001E6963"/>
    <w:rsid w:val="001E6D7E"/>
    <w:rsid w:val="001E740C"/>
    <w:rsid w:val="001E745F"/>
    <w:rsid w:val="001E76DA"/>
    <w:rsid w:val="001F04A0"/>
    <w:rsid w:val="001F0BF9"/>
    <w:rsid w:val="001F11C1"/>
    <w:rsid w:val="001F1235"/>
    <w:rsid w:val="001F15E0"/>
    <w:rsid w:val="001F16D8"/>
    <w:rsid w:val="001F1CB3"/>
    <w:rsid w:val="001F32B7"/>
    <w:rsid w:val="001F3336"/>
    <w:rsid w:val="001F38B5"/>
    <w:rsid w:val="001F473F"/>
    <w:rsid w:val="001F4754"/>
    <w:rsid w:val="001F4900"/>
    <w:rsid w:val="001F511E"/>
    <w:rsid w:val="001F7361"/>
    <w:rsid w:val="001F7558"/>
    <w:rsid w:val="001F7676"/>
    <w:rsid w:val="00200E07"/>
    <w:rsid w:val="002011B0"/>
    <w:rsid w:val="002026F1"/>
    <w:rsid w:val="00202D48"/>
    <w:rsid w:val="00203181"/>
    <w:rsid w:val="00203783"/>
    <w:rsid w:val="0020385F"/>
    <w:rsid w:val="002043A0"/>
    <w:rsid w:val="002049C0"/>
    <w:rsid w:val="00204D49"/>
    <w:rsid w:val="002065C9"/>
    <w:rsid w:val="002066FE"/>
    <w:rsid w:val="00207021"/>
    <w:rsid w:val="0020732F"/>
    <w:rsid w:val="00207D00"/>
    <w:rsid w:val="00210549"/>
    <w:rsid w:val="002105C1"/>
    <w:rsid w:val="00210C53"/>
    <w:rsid w:val="0021108C"/>
    <w:rsid w:val="0021139F"/>
    <w:rsid w:val="002117A1"/>
    <w:rsid w:val="00212724"/>
    <w:rsid w:val="00212E54"/>
    <w:rsid w:val="00215379"/>
    <w:rsid w:val="00215C6E"/>
    <w:rsid w:val="00215D07"/>
    <w:rsid w:val="002168C4"/>
    <w:rsid w:val="002169C3"/>
    <w:rsid w:val="00220458"/>
    <w:rsid w:val="002209DF"/>
    <w:rsid w:val="00220A6E"/>
    <w:rsid w:val="00220D7F"/>
    <w:rsid w:val="00220FAC"/>
    <w:rsid w:val="0022253F"/>
    <w:rsid w:val="00222686"/>
    <w:rsid w:val="002229AC"/>
    <w:rsid w:val="00222AE5"/>
    <w:rsid w:val="00222FB1"/>
    <w:rsid w:val="00223990"/>
    <w:rsid w:val="00223B49"/>
    <w:rsid w:val="00223BBF"/>
    <w:rsid w:val="00224079"/>
    <w:rsid w:val="00224116"/>
    <w:rsid w:val="00224DD4"/>
    <w:rsid w:val="00224EA2"/>
    <w:rsid w:val="0022564C"/>
    <w:rsid w:val="002279F4"/>
    <w:rsid w:val="00227EC4"/>
    <w:rsid w:val="002309CC"/>
    <w:rsid w:val="00231A8A"/>
    <w:rsid w:val="00231DDE"/>
    <w:rsid w:val="00231E70"/>
    <w:rsid w:val="0023209F"/>
    <w:rsid w:val="00232C0B"/>
    <w:rsid w:val="00233575"/>
    <w:rsid w:val="0023369E"/>
    <w:rsid w:val="002344F9"/>
    <w:rsid w:val="0023460B"/>
    <w:rsid w:val="00234CF8"/>
    <w:rsid w:val="00235371"/>
    <w:rsid w:val="002356C4"/>
    <w:rsid w:val="0023629D"/>
    <w:rsid w:val="00236CF2"/>
    <w:rsid w:val="00237255"/>
    <w:rsid w:val="00237D8E"/>
    <w:rsid w:val="00237F9C"/>
    <w:rsid w:val="00241E3B"/>
    <w:rsid w:val="002423C9"/>
    <w:rsid w:val="002424AF"/>
    <w:rsid w:val="00243213"/>
    <w:rsid w:val="002439DC"/>
    <w:rsid w:val="002447CB"/>
    <w:rsid w:val="00244DC8"/>
    <w:rsid w:val="00244DFA"/>
    <w:rsid w:val="002456B7"/>
    <w:rsid w:val="002458BA"/>
    <w:rsid w:val="00245912"/>
    <w:rsid w:val="00245B8E"/>
    <w:rsid w:val="00245BEA"/>
    <w:rsid w:val="00245D76"/>
    <w:rsid w:val="00245F74"/>
    <w:rsid w:val="0024636C"/>
    <w:rsid w:val="00246662"/>
    <w:rsid w:val="00246E1A"/>
    <w:rsid w:val="002470F9"/>
    <w:rsid w:val="00247925"/>
    <w:rsid w:val="0025032E"/>
    <w:rsid w:val="00250760"/>
    <w:rsid w:val="00250DF0"/>
    <w:rsid w:val="00250ED4"/>
    <w:rsid w:val="00251552"/>
    <w:rsid w:val="002522E7"/>
    <w:rsid w:val="0025432E"/>
    <w:rsid w:val="00254DCF"/>
    <w:rsid w:val="00254E1C"/>
    <w:rsid w:val="0025534B"/>
    <w:rsid w:val="002554DD"/>
    <w:rsid w:val="00255A08"/>
    <w:rsid w:val="00255BB7"/>
    <w:rsid w:val="00256707"/>
    <w:rsid w:val="00256E84"/>
    <w:rsid w:val="002571B5"/>
    <w:rsid w:val="00257541"/>
    <w:rsid w:val="00257747"/>
    <w:rsid w:val="0025779A"/>
    <w:rsid w:val="0026175A"/>
    <w:rsid w:val="002620C7"/>
    <w:rsid w:val="00262A1A"/>
    <w:rsid w:val="00262A87"/>
    <w:rsid w:val="00262B30"/>
    <w:rsid w:val="00262D3B"/>
    <w:rsid w:val="00262E36"/>
    <w:rsid w:val="00263693"/>
    <w:rsid w:val="002640C7"/>
    <w:rsid w:val="00264D26"/>
    <w:rsid w:val="00265017"/>
    <w:rsid w:val="00266956"/>
    <w:rsid w:val="00266D73"/>
    <w:rsid w:val="00267642"/>
    <w:rsid w:val="002676E4"/>
    <w:rsid w:val="00267AEA"/>
    <w:rsid w:val="002700E6"/>
    <w:rsid w:val="00270C5C"/>
    <w:rsid w:val="00270C66"/>
    <w:rsid w:val="00270C79"/>
    <w:rsid w:val="00271469"/>
    <w:rsid w:val="00271553"/>
    <w:rsid w:val="00271B82"/>
    <w:rsid w:val="0027294B"/>
    <w:rsid w:val="00272D29"/>
    <w:rsid w:val="002731F3"/>
    <w:rsid w:val="00273224"/>
    <w:rsid w:val="002733F0"/>
    <w:rsid w:val="00273DB6"/>
    <w:rsid w:val="002740BA"/>
    <w:rsid w:val="002744CB"/>
    <w:rsid w:val="00274EDA"/>
    <w:rsid w:val="0027566C"/>
    <w:rsid w:val="00275C5A"/>
    <w:rsid w:val="00276025"/>
    <w:rsid w:val="00276158"/>
    <w:rsid w:val="00277678"/>
    <w:rsid w:val="00280690"/>
    <w:rsid w:val="00280725"/>
    <w:rsid w:val="00280935"/>
    <w:rsid w:val="00280F56"/>
    <w:rsid w:val="00281014"/>
    <w:rsid w:val="002813C0"/>
    <w:rsid w:val="00282874"/>
    <w:rsid w:val="002830C3"/>
    <w:rsid w:val="00285AA1"/>
    <w:rsid w:val="00285BA3"/>
    <w:rsid w:val="002861D3"/>
    <w:rsid w:val="00286244"/>
    <w:rsid w:val="00286319"/>
    <w:rsid w:val="00286897"/>
    <w:rsid w:val="0028710A"/>
    <w:rsid w:val="00287920"/>
    <w:rsid w:val="002903F3"/>
    <w:rsid w:val="00290BE4"/>
    <w:rsid w:val="00291A30"/>
    <w:rsid w:val="00292F93"/>
    <w:rsid w:val="00293A55"/>
    <w:rsid w:val="00293F35"/>
    <w:rsid w:val="0029545B"/>
    <w:rsid w:val="00296200"/>
    <w:rsid w:val="00296955"/>
    <w:rsid w:val="00296A23"/>
    <w:rsid w:val="00296B99"/>
    <w:rsid w:val="00297396"/>
    <w:rsid w:val="002974FD"/>
    <w:rsid w:val="00297F99"/>
    <w:rsid w:val="002A1446"/>
    <w:rsid w:val="002A14AB"/>
    <w:rsid w:val="002A26D2"/>
    <w:rsid w:val="002A2F50"/>
    <w:rsid w:val="002A4B59"/>
    <w:rsid w:val="002A5A8A"/>
    <w:rsid w:val="002A5F00"/>
    <w:rsid w:val="002A6990"/>
    <w:rsid w:val="002A6F80"/>
    <w:rsid w:val="002A7123"/>
    <w:rsid w:val="002A7436"/>
    <w:rsid w:val="002B09A4"/>
    <w:rsid w:val="002B13CE"/>
    <w:rsid w:val="002B13E3"/>
    <w:rsid w:val="002B17F2"/>
    <w:rsid w:val="002B1C1F"/>
    <w:rsid w:val="002B2C7F"/>
    <w:rsid w:val="002B3187"/>
    <w:rsid w:val="002B432F"/>
    <w:rsid w:val="002B49D8"/>
    <w:rsid w:val="002B62B3"/>
    <w:rsid w:val="002B6754"/>
    <w:rsid w:val="002B6CCE"/>
    <w:rsid w:val="002B6D74"/>
    <w:rsid w:val="002C0053"/>
    <w:rsid w:val="002C043E"/>
    <w:rsid w:val="002C04B3"/>
    <w:rsid w:val="002C0876"/>
    <w:rsid w:val="002C09EC"/>
    <w:rsid w:val="002C0A6E"/>
    <w:rsid w:val="002C1149"/>
    <w:rsid w:val="002C1170"/>
    <w:rsid w:val="002C12CF"/>
    <w:rsid w:val="002C2510"/>
    <w:rsid w:val="002C2775"/>
    <w:rsid w:val="002C27C1"/>
    <w:rsid w:val="002C2D92"/>
    <w:rsid w:val="002C2F42"/>
    <w:rsid w:val="002C33C3"/>
    <w:rsid w:val="002C39B5"/>
    <w:rsid w:val="002C445D"/>
    <w:rsid w:val="002C4A8C"/>
    <w:rsid w:val="002C4EEE"/>
    <w:rsid w:val="002C5099"/>
    <w:rsid w:val="002C5889"/>
    <w:rsid w:val="002C6192"/>
    <w:rsid w:val="002C6ACD"/>
    <w:rsid w:val="002C6AF8"/>
    <w:rsid w:val="002C6B92"/>
    <w:rsid w:val="002C71CE"/>
    <w:rsid w:val="002C7B61"/>
    <w:rsid w:val="002D0237"/>
    <w:rsid w:val="002D2DB7"/>
    <w:rsid w:val="002D2F35"/>
    <w:rsid w:val="002D369C"/>
    <w:rsid w:val="002D3949"/>
    <w:rsid w:val="002D39F0"/>
    <w:rsid w:val="002D44E3"/>
    <w:rsid w:val="002D577C"/>
    <w:rsid w:val="002D5E22"/>
    <w:rsid w:val="002D676D"/>
    <w:rsid w:val="002E0F45"/>
    <w:rsid w:val="002E15B9"/>
    <w:rsid w:val="002E2158"/>
    <w:rsid w:val="002E2508"/>
    <w:rsid w:val="002E3A9C"/>
    <w:rsid w:val="002E53F8"/>
    <w:rsid w:val="002E75DD"/>
    <w:rsid w:val="002E7722"/>
    <w:rsid w:val="002F0272"/>
    <w:rsid w:val="002F07BA"/>
    <w:rsid w:val="002F08B6"/>
    <w:rsid w:val="002F0DA9"/>
    <w:rsid w:val="002F138C"/>
    <w:rsid w:val="002F165D"/>
    <w:rsid w:val="002F2225"/>
    <w:rsid w:val="002F275A"/>
    <w:rsid w:val="002F2856"/>
    <w:rsid w:val="002F3149"/>
    <w:rsid w:val="002F3AD4"/>
    <w:rsid w:val="002F45BA"/>
    <w:rsid w:val="002F571E"/>
    <w:rsid w:val="002F642A"/>
    <w:rsid w:val="002F643C"/>
    <w:rsid w:val="002F71BB"/>
    <w:rsid w:val="002F71C0"/>
    <w:rsid w:val="00300332"/>
    <w:rsid w:val="00300387"/>
    <w:rsid w:val="0030054D"/>
    <w:rsid w:val="00301017"/>
    <w:rsid w:val="0030155F"/>
    <w:rsid w:val="003036F8"/>
    <w:rsid w:val="003041BA"/>
    <w:rsid w:val="003041C2"/>
    <w:rsid w:val="003044B5"/>
    <w:rsid w:val="00304925"/>
    <w:rsid w:val="0030584A"/>
    <w:rsid w:val="0030587B"/>
    <w:rsid w:val="003059D9"/>
    <w:rsid w:val="003063C1"/>
    <w:rsid w:val="003068F2"/>
    <w:rsid w:val="00306D98"/>
    <w:rsid w:val="0030786C"/>
    <w:rsid w:val="003078FC"/>
    <w:rsid w:val="00307B46"/>
    <w:rsid w:val="0031031A"/>
    <w:rsid w:val="0031048E"/>
    <w:rsid w:val="00310981"/>
    <w:rsid w:val="00310DCF"/>
    <w:rsid w:val="00311308"/>
    <w:rsid w:val="003130D3"/>
    <w:rsid w:val="00314D82"/>
    <w:rsid w:val="00315470"/>
    <w:rsid w:val="00315498"/>
    <w:rsid w:val="00315861"/>
    <w:rsid w:val="00315CD0"/>
    <w:rsid w:val="00315FD3"/>
    <w:rsid w:val="003172BA"/>
    <w:rsid w:val="00317734"/>
    <w:rsid w:val="00320322"/>
    <w:rsid w:val="00320652"/>
    <w:rsid w:val="00321503"/>
    <w:rsid w:val="00321835"/>
    <w:rsid w:val="00322107"/>
    <w:rsid w:val="00322846"/>
    <w:rsid w:val="003229E7"/>
    <w:rsid w:val="00322DE0"/>
    <w:rsid w:val="0032318E"/>
    <w:rsid w:val="00323577"/>
    <w:rsid w:val="00323814"/>
    <w:rsid w:val="00323DB1"/>
    <w:rsid w:val="003247DC"/>
    <w:rsid w:val="00325072"/>
    <w:rsid w:val="0032530B"/>
    <w:rsid w:val="003260E1"/>
    <w:rsid w:val="0032649D"/>
    <w:rsid w:val="00326DA7"/>
    <w:rsid w:val="003270E4"/>
    <w:rsid w:val="003276F6"/>
    <w:rsid w:val="0032786F"/>
    <w:rsid w:val="0033015C"/>
    <w:rsid w:val="003306CF"/>
    <w:rsid w:val="003307C0"/>
    <w:rsid w:val="00330F5C"/>
    <w:rsid w:val="00331B7A"/>
    <w:rsid w:val="0033267F"/>
    <w:rsid w:val="00333494"/>
    <w:rsid w:val="003356CF"/>
    <w:rsid w:val="003357A6"/>
    <w:rsid w:val="003366C9"/>
    <w:rsid w:val="003371B0"/>
    <w:rsid w:val="00337BBD"/>
    <w:rsid w:val="00337E77"/>
    <w:rsid w:val="00340070"/>
    <w:rsid w:val="00340DF1"/>
    <w:rsid w:val="003426E4"/>
    <w:rsid w:val="00343194"/>
    <w:rsid w:val="003433F4"/>
    <w:rsid w:val="0034465C"/>
    <w:rsid w:val="0034626F"/>
    <w:rsid w:val="003469EE"/>
    <w:rsid w:val="00346F91"/>
    <w:rsid w:val="0034760C"/>
    <w:rsid w:val="00347FC3"/>
    <w:rsid w:val="0035083F"/>
    <w:rsid w:val="003508AC"/>
    <w:rsid w:val="00350A6E"/>
    <w:rsid w:val="00351545"/>
    <w:rsid w:val="003517F9"/>
    <w:rsid w:val="0035201B"/>
    <w:rsid w:val="00353A19"/>
    <w:rsid w:val="00353A98"/>
    <w:rsid w:val="00353F11"/>
    <w:rsid w:val="00354AC1"/>
    <w:rsid w:val="00354CC2"/>
    <w:rsid w:val="0035589B"/>
    <w:rsid w:val="00355EC1"/>
    <w:rsid w:val="0035620E"/>
    <w:rsid w:val="00356CFB"/>
    <w:rsid w:val="00357A4B"/>
    <w:rsid w:val="003610B3"/>
    <w:rsid w:val="003624C4"/>
    <w:rsid w:val="00363DBB"/>
    <w:rsid w:val="00364262"/>
    <w:rsid w:val="0036473C"/>
    <w:rsid w:val="00364919"/>
    <w:rsid w:val="00364AE4"/>
    <w:rsid w:val="003654AC"/>
    <w:rsid w:val="0036592B"/>
    <w:rsid w:val="00365FF4"/>
    <w:rsid w:val="00366C9B"/>
    <w:rsid w:val="00366EF7"/>
    <w:rsid w:val="0036774B"/>
    <w:rsid w:val="003703B9"/>
    <w:rsid w:val="003704CE"/>
    <w:rsid w:val="003708C8"/>
    <w:rsid w:val="00370A48"/>
    <w:rsid w:val="00370D6A"/>
    <w:rsid w:val="00370F6F"/>
    <w:rsid w:val="003710CF"/>
    <w:rsid w:val="003719B4"/>
    <w:rsid w:val="00371C46"/>
    <w:rsid w:val="00372C02"/>
    <w:rsid w:val="0037358A"/>
    <w:rsid w:val="003736AB"/>
    <w:rsid w:val="003736FB"/>
    <w:rsid w:val="003740E2"/>
    <w:rsid w:val="00374218"/>
    <w:rsid w:val="003750F6"/>
    <w:rsid w:val="003760FC"/>
    <w:rsid w:val="003761D8"/>
    <w:rsid w:val="0037766C"/>
    <w:rsid w:val="00377E5C"/>
    <w:rsid w:val="003803AF"/>
    <w:rsid w:val="00380C49"/>
    <w:rsid w:val="003810C7"/>
    <w:rsid w:val="0038168C"/>
    <w:rsid w:val="00382056"/>
    <w:rsid w:val="00382085"/>
    <w:rsid w:val="003820B4"/>
    <w:rsid w:val="0038271C"/>
    <w:rsid w:val="003830CA"/>
    <w:rsid w:val="0038345A"/>
    <w:rsid w:val="0038365C"/>
    <w:rsid w:val="0038369B"/>
    <w:rsid w:val="003836DD"/>
    <w:rsid w:val="00383808"/>
    <w:rsid w:val="0038384A"/>
    <w:rsid w:val="00383B78"/>
    <w:rsid w:val="003856C0"/>
    <w:rsid w:val="00385707"/>
    <w:rsid w:val="00385A9D"/>
    <w:rsid w:val="00385E59"/>
    <w:rsid w:val="00385E62"/>
    <w:rsid w:val="00386CB1"/>
    <w:rsid w:val="00386E77"/>
    <w:rsid w:val="00386EF0"/>
    <w:rsid w:val="00387330"/>
    <w:rsid w:val="003902B1"/>
    <w:rsid w:val="003910BF"/>
    <w:rsid w:val="003911E0"/>
    <w:rsid w:val="00391815"/>
    <w:rsid w:val="00391CC3"/>
    <w:rsid w:val="0039212A"/>
    <w:rsid w:val="0039297D"/>
    <w:rsid w:val="00392F8E"/>
    <w:rsid w:val="003934D9"/>
    <w:rsid w:val="003953EB"/>
    <w:rsid w:val="00396290"/>
    <w:rsid w:val="00396896"/>
    <w:rsid w:val="00396AB6"/>
    <w:rsid w:val="00396FD0"/>
    <w:rsid w:val="003970A8"/>
    <w:rsid w:val="003A030A"/>
    <w:rsid w:val="003A0E12"/>
    <w:rsid w:val="003A164F"/>
    <w:rsid w:val="003A1671"/>
    <w:rsid w:val="003A1A7A"/>
    <w:rsid w:val="003A1A81"/>
    <w:rsid w:val="003A2392"/>
    <w:rsid w:val="003A2831"/>
    <w:rsid w:val="003A3712"/>
    <w:rsid w:val="003A3E85"/>
    <w:rsid w:val="003A3ED1"/>
    <w:rsid w:val="003A42BA"/>
    <w:rsid w:val="003A4910"/>
    <w:rsid w:val="003A4B04"/>
    <w:rsid w:val="003A72DA"/>
    <w:rsid w:val="003A7ED0"/>
    <w:rsid w:val="003B034F"/>
    <w:rsid w:val="003B0A24"/>
    <w:rsid w:val="003B0D94"/>
    <w:rsid w:val="003B17FC"/>
    <w:rsid w:val="003B1E93"/>
    <w:rsid w:val="003B1EA9"/>
    <w:rsid w:val="003B23B9"/>
    <w:rsid w:val="003B3509"/>
    <w:rsid w:val="003B4F2D"/>
    <w:rsid w:val="003B5B61"/>
    <w:rsid w:val="003B5EA8"/>
    <w:rsid w:val="003B646B"/>
    <w:rsid w:val="003B673A"/>
    <w:rsid w:val="003B7B06"/>
    <w:rsid w:val="003B7C06"/>
    <w:rsid w:val="003B7F31"/>
    <w:rsid w:val="003C0031"/>
    <w:rsid w:val="003C0176"/>
    <w:rsid w:val="003C062D"/>
    <w:rsid w:val="003C080C"/>
    <w:rsid w:val="003C0ED2"/>
    <w:rsid w:val="003C1654"/>
    <w:rsid w:val="003C2B01"/>
    <w:rsid w:val="003C3F8E"/>
    <w:rsid w:val="003C4908"/>
    <w:rsid w:val="003C5116"/>
    <w:rsid w:val="003C6B09"/>
    <w:rsid w:val="003C6C21"/>
    <w:rsid w:val="003C7001"/>
    <w:rsid w:val="003C7561"/>
    <w:rsid w:val="003C7D19"/>
    <w:rsid w:val="003D026D"/>
    <w:rsid w:val="003D0441"/>
    <w:rsid w:val="003D1828"/>
    <w:rsid w:val="003D1D24"/>
    <w:rsid w:val="003D1DE4"/>
    <w:rsid w:val="003D2422"/>
    <w:rsid w:val="003D3145"/>
    <w:rsid w:val="003D33E8"/>
    <w:rsid w:val="003D33F2"/>
    <w:rsid w:val="003D399D"/>
    <w:rsid w:val="003D39A1"/>
    <w:rsid w:val="003D3FBF"/>
    <w:rsid w:val="003D41FA"/>
    <w:rsid w:val="003D43CF"/>
    <w:rsid w:val="003D45D2"/>
    <w:rsid w:val="003D4A30"/>
    <w:rsid w:val="003D64A6"/>
    <w:rsid w:val="003D6819"/>
    <w:rsid w:val="003D76E5"/>
    <w:rsid w:val="003D79BB"/>
    <w:rsid w:val="003D7C98"/>
    <w:rsid w:val="003E0215"/>
    <w:rsid w:val="003E0543"/>
    <w:rsid w:val="003E18AB"/>
    <w:rsid w:val="003E3211"/>
    <w:rsid w:val="003E3C31"/>
    <w:rsid w:val="003E42AA"/>
    <w:rsid w:val="003E5902"/>
    <w:rsid w:val="003E5C12"/>
    <w:rsid w:val="003E5D8E"/>
    <w:rsid w:val="003E6CA5"/>
    <w:rsid w:val="003E6CAC"/>
    <w:rsid w:val="003E6D62"/>
    <w:rsid w:val="003F1E06"/>
    <w:rsid w:val="003F1FEC"/>
    <w:rsid w:val="003F31EF"/>
    <w:rsid w:val="003F380B"/>
    <w:rsid w:val="003F4156"/>
    <w:rsid w:val="003F4190"/>
    <w:rsid w:val="003F4441"/>
    <w:rsid w:val="003F47D3"/>
    <w:rsid w:val="003F4B78"/>
    <w:rsid w:val="003F517C"/>
    <w:rsid w:val="003F5837"/>
    <w:rsid w:val="003F5C60"/>
    <w:rsid w:val="003F6893"/>
    <w:rsid w:val="003F6F89"/>
    <w:rsid w:val="004005BE"/>
    <w:rsid w:val="0040086B"/>
    <w:rsid w:val="00400B29"/>
    <w:rsid w:val="00400EFF"/>
    <w:rsid w:val="004011A6"/>
    <w:rsid w:val="00401463"/>
    <w:rsid w:val="00401F74"/>
    <w:rsid w:val="0040233B"/>
    <w:rsid w:val="00402673"/>
    <w:rsid w:val="004029E9"/>
    <w:rsid w:val="00402E5D"/>
    <w:rsid w:val="0040504B"/>
    <w:rsid w:val="00405186"/>
    <w:rsid w:val="004057F2"/>
    <w:rsid w:val="004067C9"/>
    <w:rsid w:val="004072C6"/>
    <w:rsid w:val="0040761D"/>
    <w:rsid w:val="00407AB5"/>
    <w:rsid w:val="00410708"/>
    <w:rsid w:val="00410D46"/>
    <w:rsid w:val="00410EC7"/>
    <w:rsid w:val="004115EB"/>
    <w:rsid w:val="004116A3"/>
    <w:rsid w:val="0041199D"/>
    <w:rsid w:val="00411B39"/>
    <w:rsid w:val="00411D38"/>
    <w:rsid w:val="00411FAF"/>
    <w:rsid w:val="004122E4"/>
    <w:rsid w:val="004127FC"/>
    <w:rsid w:val="00413054"/>
    <w:rsid w:val="0041314B"/>
    <w:rsid w:val="00413A1E"/>
    <w:rsid w:val="00414217"/>
    <w:rsid w:val="00414476"/>
    <w:rsid w:val="00414C2E"/>
    <w:rsid w:val="004151CF"/>
    <w:rsid w:val="00415A54"/>
    <w:rsid w:val="00415B3C"/>
    <w:rsid w:val="00415F1B"/>
    <w:rsid w:val="00416364"/>
    <w:rsid w:val="00416732"/>
    <w:rsid w:val="004176A0"/>
    <w:rsid w:val="004179D3"/>
    <w:rsid w:val="00417DD6"/>
    <w:rsid w:val="00417FCF"/>
    <w:rsid w:val="0042096E"/>
    <w:rsid w:val="00420AA6"/>
    <w:rsid w:val="00420B9F"/>
    <w:rsid w:val="00421874"/>
    <w:rsid w:val="00422260"/>
    <w:rsid w:val="0042401B"/>
    <w:rsid w:val="0042413F"/>
    <w:rsid w:val="004242CA"/>
    <w:rsid w:val="0042514F"/>
    <w:rsid w:val="0042538B"/>
    <w:rsid w:val="004256AC"/>
    <w:rsid w:val="00425DCE"/>
    <w:rsid w:val="0042620E"/>
    <w:rsid w:val="00426B7C"/>
    <w:rsid w:val="00426B82"/>
    <w:rsid w:val="0042731E"/>
    <w:rsid w:val="004274CD"/>
    <w:rsid w:val="00427C27"/>
    <w:rsid w:val="00427E6E"/>
    <w:rsid w:val="00430338"/>
    <w:rsid w:val="00430BFB"/>
    <w:rsid w:val="00430EE7"/>
    <w:rsid w:val="004319F8"/>
    <w:rsid w:val="00431E55"/>
    <w:rsid w:val="00431F93"/>
    <w:rsid w:val="004321F6"/>
    <w:rsid w:val="00433044"/>
    <w:rsid w:val="00433049"/>
    <w:rsid w:val="004336B7"/>
    <w:rsid w:val="00433A58"/>
    <w:rsid w:val="004374CF"/>
    <w:rsid w:val="004375B9"/>
    <w:rsid w:val="0043790B"/>
    <w:rsid w:val="00437E03"/>
    <w:rsid w:val="00441EC3"/>
    <w:rsid w:val="00442261"/>
    <w:rsid w:val="004427D4"/>
    <w:rsid w:val="004428D0"/>
    <w:rsid w:val="00443069"/>
    <w:rsid w:val="00443366"/>
    <w:rsid w:val="004435E8"/>
    <w:rsid w:val="004436EA"/>
    <w:rsid w:val="004436FE"/>
    <w:rsid w:val="00443FBF"/>
    <w:rsid w:val="004443A7"/>
    <w:rsid w:val="0044442C"/>
    <w:rsid w:val="004444BE"/>
    <w:rsid w:val="00444E11"/>
    <w:rsid w:val="00445941"/>
    <w:rsid w:val="00445A7A"/>
    <w:rsid w:val="004464EB"/>
    <w:rsid w:val="00446536"/>
    <w:rsid w:val="00446A46"/>
    <w:rsid w:val="00446A6A"/>
    <w:rsid w:val="00446B68"/>
    <w:rsid w:val="00447D26"/>
    <w:rsid w:val="00447E71"/>
    <w:rsid w:val="00451D10"/>
    <w:rsid w:val="00451F26"/>
    <w:rsid w:val="00453313"/>
    <w:rsid w:val="0045446A"/>
    <w:rsid w:val="00454C80"/>
    <w:rsid w:val="00455BB4"/>
    <w:rsid w:val="00455D45"/>
    <w:rsid w:val="004561DB"/>
    <w:rsid w:val="00456AF0"/>
    <w:rsid w:val="00457339"/>
    <w:rsid w:val="0045774D"/>
    <w:rsid w:val="00461DA8"/>
    <w:rsid w:val="004628FB"/>
    <w:rsid w:val="00462A09"/>
    <w:rsid w:val="004637B0"/>
    <w:rsid w:val="00463E51"/>
    <w:rsid w:val="004640FD"/>
    <w:rsid w:val="00464236"/>
    <w:rsid w:val="00464595"/>
    <w:rsid w:val="00464D0C"/>
    <w:rsid w:val="00466C2D"/>
    <w:rsid w:val="00466EB0"/>
    <w:rsid w:val="00470369"/>
    <w:rsid w:val="00470B6C"/>
    <w:rsid w:val="004711B6"/>
    <w:rsid w:val="0047146F"/>
    <w:rsid w:val="004718E4"/>
    <w:rsid w:val="00472071"/>
    <w:rsid w:val="00472817"/>
    <w:rsid w:val="00472A79"/>
    <w:rsid w:val="00472F15"/>
    <w:rsid w:val="00473878"/>
    <w:rsid w:val="00473F19"/>
    <w:rsid w:val="00474541"/>
    <w:rsid w:val="00475E22"/>
    <w:rsid w:val="00476699"/>
    <w:rsid w:val="00476DDB"/>
    <w:rsid w:val="0048067C"/>
    <w:rsid w:val="004806C1"/>
    <w:rsid w:val="0048088E"/>
    <w:rsid w:val="004808C7"/>
    <w:rsid w:val="004825F6"/>
    <w:rsid w:val="00482720"/>
    <w:rsid w:val="004835E7"/>
    <w:rsid w:val="004839B1"/>
    <w:rsid w:val="00483B52"/>
    <w:rsid w:val="00483BC8"/>
    <w:rsid w:val="004848BE"/>
    <w:rsid w:val="00484A7A"/>
    <w:rsid w:val="00485777"/>
    <w:rsid w:val="0048591C"/>
    <w:rsid w:val="0048630F"/>
    <w:rsid w:val="004867E2"/>
    <w:rsid w:val="00487D9F"/>
    <w:rsid w:val="004911C8"/>
    <w:rsid w:val="00491B3A"/>
    <w:rsid w:val="00491BE6"/>
    <w:rsid w:val="00491F0A"/>
    <w:rsid w:val="00492174"/>
    <w:rsid w:val="00492CFD"/>
    <w:rsid w:val="00492ED4"/>
    <w:rsid w:val="004931F3"/>
    <w:rsid w:val="0049357C"/>
    <w:rsid w:val="00494DD5"/>
    <w:rsid w:val="0049530F"/>
    <w:rsid w:val="004962D2"/>
    <w:rsid w:val="00496593"/>
    <w:rsid w:val="004971A0"/>
    <w:rsid w:val="004A03BD"/>
    <w:rsid w:val="004A070E"/>
    <w:rsid w:val="004A0DA1"/>
    <w:rsid w:val="004A10B1"/>
    <w:rsid w:val="004A1364"/>
    <w:rsid w:val="004A13CE"/>
    <w:rsid w:val="004A16AB"/>
    <w:rsid w:val="004A26B3"/>
    <w:rsid w:val="004A2C4C"/>
    <w:rsid w:val="004A2DBD"/>
    <w:rsid w:val="004A2F2B"/>
    <w:rsid w:val="004A3133"/>
    <w:rsid w:val="004A338C"/>
    <w:rsid w:val="004A379A"/>
    <w:rsid w:val="004A3F8D"/>
    <w:rsid w:val="004A4D9A"/>
    <w:rsid w:val="004A52E9"/>
    <w:rsid w:val="004A548E"/>
    <w:rsid w:val="004A5C9E"/>
    <w:rsid w:val="004A5F97"/>
    <w:rsid w:val="004A6195"/>
    <w:rsid w:val="004A64CA"/>
    <w:rsid w:val="004A6597"/>
    <w:rsid w:val="004A66EA"/>
    <w:rsid w:val="004A7848"/>
    <w:rsid w:val="004A7F87"/>
    <w:rsid w:val="004B0765"/>
    <w:rsid w:val="004B0823"/>
    <w:rsid w:val="004B1CB4"/>
    <w:rsid w:val="004B200B"/>
    <w:rsid w:val="004B2F18"/>
    <w:rsid w:val="004B359D"/>
    <w:rsid w:val="004B3DDB"/>
    <w:rsid w:val="004B43E4"/>
    <w:rsid w:val="004B44FD"/>
    <w:rsid w:val="004B5363"/>
    <w:rsid w:val="004B5CFC"/>
    <w:rsid w:val="004B60D9"/>
    <w:rsid w:val="004B72AC"/>
    <w:rsid w:val="004B7322"/>
    <w:rsid w:val="004B774D"/>
    <w:rsid w:val="004B79DA"/>
    <w:rsid w:val="004C105C"/>
    <w:rsid w:val="004C1E71"/>
    <w:rsid w:val="004C293F"/>
    <w:rsid w:val="004C3F70"/>
    <w:rsid w:val="004C4AE7"/>
    <w:rsid w:val="004C4AED"/>
    <w:rsid w:val="004C5BF2"/>
    <w:rsid w:val="004C6E1C"/>
    <w:rsid w:val="004C75C6"/>
    <w:rsid w:val="004C7D70"/>
    <w:rsid w:val="004D08C7"/>
    <w:rsid w:val="004D1533"/>
    <w:rsid w:val="004D2BC0"/>
    <w:rsid w:val="004D2C2D"/>
    <w:rsid w:val="004D2C5C"/>
    <w:rsid w:val="004D2E5B"/>
    <w:rsid w:val="004D348A"/>
    <w:rsid w:val="004D3B19"/>
    <w:rsid w:val="004D44AF"/>
    <w:rsid w:val="004D466B"/>
    <w:rsid w:val="004D5148"/>
    <w:rsid w:val="004D5921"/>
    <w:rsid w:val="004D5E25"/>
    <w:rsid w:val="004D611B"/>
    <w:rsid w:val="004D7227"/>
    <w:rsid w:val="004D7AA2"/>
    <w:rsid w:val="004E0334"/>
    <w:rsid w:val="004E0882"/>
    <w:rsid w:val="004E0B2E"/>
    <w:rsid w:val="004E0E7F"/>
    <w:rsid w:val="004E0EB8"/>
    <w:rsid w:val="004E17A0"/>
    <w:rsid w:val="004E1B3F"/>
    <w:rsid w:val="004E21DF"/>
    <w:rsid w:val="004E2814"/>
    <w:rsid w:val="004E2ADC"/>
    <w:rsid w:val="004E2D1F"/>
    <w:rsid w:val="004E3A16"/>
    <w:rsid w:val="004E4315"/>
    <w:rsid w:val="004E43B2"/>
    <w:rsid w:val="004E4DBC"/>
    <w:rsid w:val="004E55EF"/>
    <w:rsid w:val="004E5D35"/>
    <w:rsid w:val="004E5D5F"/>
    <w:rsid w:val="004E6432"/>
    <w:rsid w:val="004E6EE1"/>
    <w:rsid w:val="004E760E"/>
    <w:rsid w:val="004E780D"/>
    <w:rsid w:val="004E7872"/>
    <w:rsid w:val="004F0154"/>
    <w:rsid w:val="004F135E"/>
    <w:rsid w:val="004F1D02"/>
    <w:rsid w:val="004F212B"/>
    <w:rsid w:val="004F254B"/>
    <w:rsid w:val="004F2679"/>
    <w:rsid w:val="004F2F21"/>
    <w:rsid w:val="004F3711"/>
    <w:rsid w:val="004F4FA3"/>
    <w:rsid w:val="004F4FEC"/>
    <w:rsid w:val="004F516D"/>
    <w:rsid w:val="004F5350"/>
    <w:rsid w:val="004F6913"/>
    <w:rsid w:val="004F6A65"/>
    <w:rsid w:val="004F7865"/>
    <w:rsid w:val="005008E5"/>
    <w:rsid w:val="0050219B"/>
    <w:rsid w:val="00502838"/>
    <w:rsid w:val="00502992"/>
    <w:rsid w:val="00502DA2"/>
    <w:rsid w:val="00502F49"/>
    <w:rsid w:val="005034F7"/>
    <w:rsid w:val="00503AC2"/>
    <w:rsid w:val="00503F17"/>
    <w:rsid w:val="00504992"/>
    <w:rsid w:val="005052D1"/>
    <w:rsid w:val="005057A6"/>
    <w:rsid w:val="00505E7D"/>
    <w:rsid w:val="00505FC2"/>
    <w:rsid w:val="00506928"/>
    <w:rsid w:val="00507B73"/>
    <w:rsid w:val="00510ACA"/>
    <w:rsid w:val="00510B39"/>
    <w:rsid w:val="00511164"/>
    <w:rsid w:val="00512298"/>
    <w:rsid w:val="005125E5"/>
    <w:rsid w:val="00512E0A"/>
    <w:rsid w:val="005130E9"/>
    <w:rsid w:val="0051328A"/>
    <w:rsid w:val="005142C4"/>
    <w:rsid w:val="00514B7E"/>
    <w:rsid w:val="00514FCB"/>
    <w:rsid w:val="00515058"/>
    <w:rsid w:val="005150C2"/>
    <w:rsid w:val="005152B5"/>
    <w:rsid w:val="005153E1"/>
    <w:rsid w:val="005155BD"/>
    <w:rsid w:val="00515BE9"/>
    <w:rsid w:val="00515CA1"/>
    <w:rsid w:val="00517929"/>
    <w:rsid w:val="00517C1B"/>
    <w:rsid w:val="00517FFE"/>
    <w:rsid w:val="0052117E"/>
    <w:rsid w:val="00521319"/>
    <w:rsid w:val="00522A47"/>
    <w:rsid w:val="00522BC8"/>
    <w:rsid w:val="0052315B"/>
    <w:rsid w:val="00523C28"/>
    <w:rsid w:val="005242E7"/>
    <w:rsid w:val="00524A85"/>
    <w:rsid w:val="00524BD1"/>
    <w:rsid w:val="00524E93"/>
    <w:rsid w:val="00525A11"/>
    <w:rsid w:val="005266E8"/>
    <w:rsid w:val="005267D5"/>
    <w:rsid w:val="00526DF7"/>
    <w:rsid w:val="00527D10"/>
    <w:rsid w:val="005301CD"/>
    <w:rsid w:val="0053043B"/>
    <w:rsid w:val="00530E4D"/>
    <w:rsid w:val="0053159F"/>
    <w:rsid w:val="00531B95"/>
    <w:rsid w:val="00532667"/>
    <w:rsid w:val="00532A36"/>
    <w:rsid w:val="005332C4"/>
    <w:rsid w:val="00533F8A"/>
    <w:rsid w:val="005345A3"/>
    <w:rsid w:val="00534966"/>
    <w:rsid w:val="00536076"/>
    <w:rsid w:val="00536C52"/>
    <w:rsid w:val="00536F42"/>
    <w:rsid w:val="00537104"/>
    <w:rsid w:val="00537182"/>
    <w:rsid w:val="005376E1"/>
    <w:rsid w:val="005411D9"/>
    <w:rsid w:val="00541746"/>
    <w:rsid w:val="00541793"/>
    <w:rsid w:val="00542743"/>
    <w:rsid w:val="00542BAD"/>
    <w:rsid w:val="00542C2D"/>
    <w:rsid w:val="00542D8F"/>
    <w:rsid w:val="005434DA"/>
    <w:rsid w:val="00543E5C"/>
    <w:rsid w:val="00544152"/>
    <w:rsid w:val="005443BB"/>
    <w:rsid w:val="005449E8"/>
    <w:rsid w:val="00545432"/>
    <w:rsid w:val="00545E71"/>
    <w:rsid w:val="00546784"/>
    <w:rsid w:val="00546E06"/>
    <w:rsid w:val="0054705E"/>
    <w:rsid w:val="0054754E"/>
    <w:rsid w:val="00547A41"/>
    <w:rsid w:val="00550321"/>
    <w:rsid w:val="00551625"/>
    <w:rsid w:val="0055165B"/>
    <w:rsid w:val="005517C6"/>
    <w:rsid w:val="00551985"/>
    <w:rsid w:val="00551AA4"/>
    <w:rsid w:val="0055289C"/>
    <w:rsid w:val="00552BD3"/>
    <w:rsid w:val="0055461A"/>
    <w:rsid w:val="00554A0E"/>
    <w:rsid w:val="00554CE0"/>
    <w:rsid w:val="00555109"/>
    <w:rsid w:val="005551A0"/>
    <w:rsid w:val="0055548E"/>
    <w:rsid w:val="005555A6"/>
    <w:rsid w:val="00555886"/>
    <w:rsid w:val="0055591F"/>
    <w:rsid w:val="00555DD3"/>
    <w:rsid w:val="005562D4"/>
    <w:rsid w:val="00556698"/>
    <w:rsid w:val="00556A87"/>
    <w:rsid w:val="00557F06"/>
    <w:rsid w:val="00560491"/>
    <w:rsid w:val="005607EB"/>
    <w:rsid w:val="00560FAE"/>
    <w:rsid w:val="005613BC"/>
    <w:rsid w:val="00561B9A"/>
    <w:rsid w:val="00561C46"/>
    <w:rsid w:val="00564878"/>
    <w:rsid w:val="005659E8"/>
    <w:rsid w:val="005662F2"/>
    <w:rsid w:val="00566966"/>
    <w:rsid w:val="0056696F"/>
    <w:rsid w:val="005675CC"/>
    <w:rsid w:val="00567A6D"/>
    <w:rsid w:val="005701B1"/>
    <w:rsid w:val="005704AF"/>
    <w:rsid w:val="00571582"/>
    <w:rsid w:val="005720AF"/>
    <w:rsid w:val="00572269"/>
    <w:rsid w:val="0057244A"/>
    <w:rsid w:val="0057291F"/>
    <w:rsid w:val="00572D35"/>
    <w:rsid w:val="00573AA7"/>
    <w:rsid w:val="00573DE0"/>
    <w:rsid w:val="00573F16"/>
    <w:rsid w:val="005744BA"/>
    <w:rsid w:val="005746F4"/>
    <w:rsid w:val="00574BEE"/>
    <w:rsid w:val="00574F7E"/>
    <w:rsid w:val="00575D8D"/>
    <w:rsid w:val="00576972"/>
    <w:rsid w:val="0057789C"/>
    <w:rsid w:val="00577C81"/>
    <w:rsid w:val="00580433"/>
    <w:rsid w:val="005810CF"/>
    <w:rsid w:val="0058143D"/>
    <w:rsid w:val="005814FD"/>
    <w:rsid w:val="00582FE7"/>
    <w:rsid w:val="00583699"/>
    <w:rsid w:val="00583AE7"/>
    <w:rsid w:val="00583DD4"/>
    <w:rsid w:val="005849A0"/>
    <w:rsid w:val="00584E59"/>
    <w:rsid w:val="00584EAE"/>
    <w:rsid w:val="00585827"/>
    <w:rsid w:val="005858C8"/>
    <w:rsid w:val="005859F0"/>
    <w:rsid w:val="00585CDD"/>
    <w:rsid w:val="00586099"/>
    <w:rsid w:val="005863B5"/>
    <w:rsid w:val="0058642F"/>
    <w:rsid w:val="00586C8A"/>
    <w:rsid w:val="00587058"/>
    <w:rsid w:val="00590038"/>
    <w:rsid w:val="00590CED"/>
    <w:rsid w:val="00591957"/>
    <w:rsid w:val="00591CE6"/>
    <w:rsid w:val="005926AD"/>
    <w:rsid w:val="0059304C"/>
    <w:rsid w:val="0059379F"/>
    <w:rsid w:val="00594F59"/>
    <w:rsid w:val="00595088"/>
    <w:rsid w:val="0059534E"/>
    <w:rsid w:val="00595513"/>
    <w:rsid w:val="0059693A"/>
    <w:rsid w:val="00596B8C"/>
    <w:rsid w:val="00597749"/>
    <w:rsid w:val="00597BF9"/>
    <w:rsid w:val="005A06FB"/>
    <w:rsid w:val="005A2046"/>
    <w:rsid w:val="005A31E9"/>
    <w:rsid w:val="005A3589"/>
    <w:rsid w:val="005A373D"/>
    <w:rsid w:val="005A3C7C"/>
    <w:rsid w:val="005A3EC9"/>
    <w:rsid w:val="005A3FA3"/>
    <w:rsid w:val="005A43FF"/>
    <w:rsid w:val="005A52D2"/>
    <w:rsid w:val="005B0826"/>
    <w:rsid w:val="005B0F9C"/>
    <w:rsid w:val="005B12C9"/>
    <w:rsid w:val="005B1E93"/>
    <w:rsid w:val="005B219D"/>
    <w:rsid w:val="005B285C"/>
    <w:rsid w:val="005B2896"/>
    <w:rsid w:val="005B2F55"/>
    <w:rsid w:val="005B32CF"/>
    <w:rsid w:val="005B4008"/>
    <w:rsid w:val="005B499B"/>
    <w:rsid w:val="005B513E"/>
    <w:rsid w:val="005B5857"/>
    <w:rsid w:val="005B62BF"/>
    <w:rsid w:val="005B6445"/>
    <w:rsid w:val="005B73D5"/>
    <w:rsid w:val="005B743A"/>
    <w:rsid w:val="005B78A0"/>
    <w:rsid w:val="005B7947"/>
    <w:rsid w:val="005C0CDB"/>
    <w:rsid w:val="005C1517"/>
    <w:rsid w:val="005C1B83"/>
    <w:rsid w:val="005C2D51"/>
    <w:rsid w:val="005C2D55"/>
    <w:rsid w:val="005C334F"/>
    <w:rsid w:val="005C346B"/>
    <w:rsid w:val="005C3A1A"/>
    <w:rsid w:val="005C42B6"/>
    <w:rsid w:val="005C433B"/>
    <w:rsid w:val="005C5626"/>
    <w:rsid w:val="005C56F2"/>
    <w:rsid w:val="005C5A4A"/>
    <w:rsid w:val="005C5CE0"/>
    <w:rsid w:val="005C5F14"/>
    <w:rsid w:val="005C761F"/>
    <w:rsid w:val="005D044D"/>
    <w:rsid w:val="005D0ABD"/>
    <w:rsid w:val="005D124F"/>
    <w:rsid w:val="005D18AD"/>
    <w:rsid w:val="005D1C8D"/>
    <w:rsid w:val="005D1E18"/>
    <w:rsid w:val="005D2292"/>
    <w:rsid w:val="005D26B4"/>
    <w:rsid w:val="005D2CE0"/>
    <w:rsid w:val="005D31BE"/>
    <w:rsid w:val="005D3D3D"/>
    <w:rsid w:val="005D4196"/>
    <w:rsid w:val="005D45F7"/>
    <w:rsid w:val="005D4752"/>
    <w:rsid w:val="005D4FD2"/>
    <w:rsid w:val="005D5DE8"/>
    <w:rsid w:val="005D75D8"/>
    <w:rsid w:val="005D7BE5"/>
    <w:rsid w:val="005D7D6F"/>
    <w:rsid w:val="005D7E1C"/>
    <w:rsid w:val="005E1D46"/>
    <w:rsid w:val="005E2EAC"/>
    <w:rsid w:val="005E2EAE"/>
    <w:rsid w:val="005E32DC"/>
    <w:rsid w:val="005E3A08"/>
    <w:rsid w:val="005E3C31"/>
    <w:rsid w:val="005E3DA2"/>
    <w:rsid w:val="005E48F5"/>
    <w:rsid w:val="005E5867"/>
    <w:rsid w:val="005E5992"/>
    <w:rsid w:val="005E608C"/>
    <w:rsid w:val="005E6CBC"/>
    <w:rsid w:val="005E6DA8"/>
    <w:rsid w:val="005E734D"/>
    <w:rsid w:val="005E73C0"/>
    <w:rsid w:val="005F083B"/>
    <w:rsid w:val="005F19BC"/>
    <w:rsid w:val="005F2706"/>
    <w:rsid w:val="005F2BB2"/>
    <w:rsid w:val="005F2BC2"/>
    <w:rsid w:val="005F3AF5"/>
    <w:rsid w:val="005F4903"/>
    <w:rsid w:val="005F51AD"/>
    <w:rsid w:val="005F56EA"/>
    <w:rsid w:val="005F5F03"/>
    <w:rsid w:val="005F6072"/>
    <w:rsid w:val="005F64E7"/>
    <w:rsid w:val="005F6A8F"/>
    <w:rsid w:val="005F716D"/>
    <w:rsid w:val="005F76BE"/>
    <w:rsid w:val="005F799A"/>
    <w:rsid w:val="005F7DCD"/>
    <w:rsid w:val="005F7E3A"/>
    <w:rsid w:val="005F7E90"/>
    <w:rsid w:val="00600F3A"/>
    <w:rsid w:val="00601284"/>
    <w:rsid w:val="00601D01"/>
    <w:rsid w:val="00603DB9"/>
    <w:rsid w:val="006045E2"/>
    <w:rsid w:val="00604F35"/>
    <w:rsid w:val="00605E74"/>
    <w:rsid w:val="006064A8"/>
    <w:rsid w:val="00606CB6"/>
    <w:rsid w:val="006075F8"/>
    <w:rsid w:val="00607669"/>
    <w:rsid w:val="00607AFD"/>
    <w:rsid w:val="00610497"/>
    <w:rsid w:val="00611BCD"/>
    <w:rsid w:val="006120AE"/>
    <w:rsid w:val="00612D82"/>
    <w:rsid w:val="00612E69"/>
    <w:rsid w:val="00612F97"/>
    <w:rsid w:val="0061345D"/>
    <w:rsid w:val="0061361A"/>
    <w:rsid w:val="00613CEE"/>
    <w:rsid w:val="00614E6C"/>
    <w:rsid w:val="006154A7"/>
    <w:rsid w:val="00615740"/>
    <w:rsid w:val="006167C3"/>
    <w:rsid w:val="00616802"/>
    <w:rsid w:val="00616B4A"/>
    <w:rsid w:val="00617E12"/>
    <w:rsid w:val="00621477"/>
    <w:rsid w:val="006217D5"/>
    <w:rsid w:val="00621F4C"/>
    <w:rsid w:val="00621FCA"/>
    <w:rsid w:val="00622260"/>
    <w:rsid w:val="00622998"/>
    <w:rsid w:val="006229B9"/>
    <w:rsid w:val="00622C07"/>
    <w:rsid w:val="00622D74"/>
    <w:rsid w:val="0062308B"/>
    <w:rsid w:val="0062346F"/>
    <w:rsid w:val="00623D0A"/>
    <w:rsid w:val="006241C6"/>
    <w:rsid w:val="00624AC0"/>
    <w:rsid w:val="00625785"/>
    <w:rsid w:val="006259FB"/>
    <w:rsid w:val="00625E1E"/>
    <w:rsid w:val="00626018"/>
    <w:rsid w:val="00626E43"/>
    <w:rsid w:val="00627491"/>
    <w:rsid w:val="00627DB0"/>
    <w:rsid w:val="00627FFE"/>
    <w:rsid w:val="006300A5"/>
    <w:rsid w:val="0063158F"/>
    <w:rsid w:val="006318C8"/>
    <w:rsid w:val="00631D6B"/>
    <w:rsid w:val="00632DAF"/>
    <w:rsid w:val="00632E4A"/>
    <w:rsid w:val="006330A1"/>
    <w:rsid w:val="006333B8"/>
    <w:rsid w:val="00633C77"/>
    <w:rsid w:val="00634383"/>
    <w:rsid w:val="00634384"/>
    <w:rsid w:val="0063479F"/>
    <w:rsid w:val="006348FC"/>
    <w:rsid w:val="006353F0"/>
    <w:rsid w:val="00635A7B"/>
    <w:rsid w:val="00636234"/>
    <w:rsid w:val="006364A1"/>
    <w:rsid w:val="006367C8"/>
    <w:rsid w:val="00636E09"/>
    <w:rsid w:val="00637554"/>
    <w:rsid w:val="00637BFD"/>
    <w:rsid w:val="006405A6"/>
    <w:rsid w:val="0064099B"/>
    <w:rsid w:val="006419F4"/>
    <w:rsid w:val="00641C4E"/>
    <w:rsid w:val="00643E19"/>
    <w:rsid w:val="00645821"/>
    <w:rsid w:val="0064583A"/>
    <w:rsid w:val="00645DC1"/>
    <w:rsid w:val="006460B4"/>
    <w:rsid w:val="006462A8"/>
    <w:rsid w:val="006471CC"/>
    <w:rsid w:val="0065005D"/>
    <w:rsid w:val="00650641"/>
    <w:rsid w:val="0065079F"/>
    <w:rsid w:val="00651AD2"/>
    <w:rsid w:val="00652546"/>
    <w:rsid w:val="00652ABF"/>
    <w:rsid w:val="0065357D"/>
    <w:rsid w:val="0065379F"/>
    <w:rsid w:val="006539E0"/>
    <w:rsid w:val="00653AAE"/>
    <w:rsid w:val="00653BDC"/>
    <w:rsid w:val="00654640"/>
    <w:rsid w:val="006553CC"/>
    <w:rsid w:val="00655D51"/>
    <w:rsid w:val="006567F0"/>
    <w:rsid w:val="00657676"/>
    <w:rsid w:val="006577A6"/>
    <w:rsid w:val="006577E1"/>
    <w:rsid w:val="00660FA9"/>
    <w:rsid w:val="00661010"/>
    <w:rsid w:val="00661C6B"/>
    <w:rsid w:val="00661E49"/>
    <w:rsid w:val="006624A6"/>
    <w:rsid w:val="00662663"/>
    <w:rsid w:val="0066294E"/>
    <w:rsid w:val="0066340B"/>
    <w:rsid w:val="00663706"/>
    <w:rsid w:val="00663D3E"/>
    <w:rsid w:val="00663F79"/>
    <w:rsid w:val="006641BA"/>
    <w:rsid w:val="00665973"/>
    <w:rsid w:val="00666AF5"/>
    <w:rsid w:val="006678AD"/>
    <w:rsid w:val="0067080D"/>
    <w:rsid w:val="00670AF3"/>
    <w:rsid w:val="00670EA5"/>
    <w:rsid w:val="006715D6"/>
    <w:rsid w:val="00672134"/>
    <w:rsid w:val="0067322D"/>
    <w:rsid w:val="0067371D"/>
    <w:rsid w:val="00674813"/>
    <w:rsid w:val="006748F2"/>
    <w:rsid w:val="00674C6D"/>
    <w:rsid w:val="00674E42"/>
    <w:rsid w:val="0067605C"/>
    <w:rsid w:val="006765D8"/>
    <w:rsid w:val="006778C2"/>
    <w:rsid w:val="00677DEF"/>
    <w:rsid w:val="006807D6"/>
    <w:rsid w:val="006808A1"/>
    <w:rsid w:val="00682112"/>
    <w:rsid w:val="00683587"/>
    <w:rsid w:val="006836A2"/>
    <w:rsid w:val="00683D83"/>
    <w:rsid w:val="006845D3"/>
    <w:rsid w:val="00685B77"/>
    <w:rsid w:val="00685D70"/>
    <w:rsid w:val="00685F8D"/>
    <w:rsid w:val="00686034"/>
    <w:rsid w:val="0068672B"/>
    <w:rsid w:val="00686957"/>
    <w:rsid w:val="006872BA"/>
    <w:rsid w:val="006902C7"/>
    <w:rsid w:val="0069030F"/>
    <w:rsid w:val="00690EDB"/>
    <w:rsid w:val="0069163A"/>
    <w:rsid w:val="00691648"/>
    <w:rsid w:val="006917D7"/>
    <w:rsid w:val="00692C10"/>
    <w:rsid w:val="00693340"/>
    <w:rsid w:val="006942DA"/>
    <w:rsid w:val="00694F44"/>
    <w:rsid w:val="00695013"/>
    <w:rsid w:val="00695C13"/>
    <w:rsid w:val="00697754"/>
    <w:rsid w:val="0069788A"/>
    <w:rsid w:val="006A11FD"/>
    <w:rsid w:val="006A18F3"/>
    <w:rsid w:val="006A2BA2"/>
    <w:rsid w:val="006A305E"/>
    <w:rsid w:val="006A37BB"/>
    <w:rsid w:val="006A3983"/>
    <w:rsid w:val="006A5F66"/>
    <w:rsid w:val="006A663E"/>
    <w:rsid w:val="006A6E26"/>
    <w:rsid w:val="006A7842"/>
    <w:rsid w:val="006A7D9E"/>
    <w:rsid w:val="006A7DB8"/>
    <w:rsid w:val="006A7E5F"/>
    <w:rsid w:val="006B01B5"/>
    <w:rsid w:val="006B1066"/>
    <w:rsid w:val="006B16A6"/>
    <w:rsid w:val="006B1732"/>
    <w:rsid w:val="006B1761"/>
    <w:rsid w:val="006B1D4F"/>
    <w:rsid w:val="006B1F10"/>
    <w:rsid w:val="006B20F5"/>
    <w:rsid w:val="006B2528"/>
    <w:rsid w:val="006B261B"/>
    <w:rsid w:val="006B2C90"/>
    <w:rsid w:val="006B4E30"/>
    <w:rsid w:val="006B5540"/>
    <w:rsid w:val="006B61C1"/>
    <w:rsid w:val="006B61DC"/>
    <w:rsid w:val="006B651D"/>
    <w:rsid w:val="006B65C7"/>
    <w:rsid w:val="006B6DD0"/>
    <w:rsid w:val="006C06F5"/>
    <w:rsid w:val="006C0F8C"/>
    <w:rsid w:val="006C1B39"/>
    <w:rsid w:val="006C2006"/>
    <w:rsid w:val="006C2352"/>
    <w:rsid w:val="006C2A8E"/>
    <w:rsid w:val="006C2DC8"/>
    <w:rsid w:val="006C2DE8"/>
    <w:rsid w:val="006C345A"/>
    <w:rsid w:val="006C3C45"/>
    <w:rsid w:val="006C4963"/>
    <w:rsid w:val="006C4C54"/>
    <w:rsid w:val="006C5338"/>
    <w:rsid w:val="006C5383"/>
    <w:rsid w:val="006C556C"/>
    <w:rsid w:val="006C60CB"/>
    <w:rsid w:val="006C6356"/>
    <w:rsid w:val="006C6C68"/>
    <w:rsid w:val="006D1945"/>
    <w:rsid w:val="006D1DE9"/>
    <w:rsid w:val="006D2C1A"/>
    <w:rsid w:val="006D2EDE"/>
    <w:rsid w:val="006D2F1C"/>
    <w:rsid w:val="006D3C7D"/>
    <w:rsid w:val="006D40EE"/>
    <w:rsid w:val="006D4258"/>
    <w:rsid w:val="006D49E1"/>
    <w:rsid w:val="006D4F83"/>
    <w:rsid w:val="006D5D5F"/>
    <w:rsid w:val="006D635B"/>
    <w:rsid w:val="006D673F"/>
    <w:rsid w:val="006D67B3"/>
    <w:rsid w:val="006D67D3"/>
    <w:rsid w:val="006D6F05"/>
    <w:rsid w:val="006D7D4B"/>
    <w:rsid w:val="006D7D74"/>
    <w:rsid w:val="006E0107"/>
    <w:rsid w:val="006E0316"/>
    <w:rsid w:val="006E044B"/>
    <w:rsid w:val="006E08A4"/>
    <w:rsid w:val="006E217B"/>
    <w:rsid w:val="006E22AD"/>
    <w:rsid w:val="006E373D"/>
    <w:rsid w:val="006E38A6"/>
    <w:rsid w:val="006E5031"/>
    <w:rsid w:val="006E5356"/>
    <w:rsid w:val="006E5515"/>
    <w:rsid w:val="006E5C79"/>
    <w:rsid w:val="006E641F"/>
    <w:rsid w:val="006E765E"/>
    <w:rsid w:val="006E76A8"/>
    <w:rsid w:val="006E77D0"/>
    <w:rsid w:val="006E7B21"/>
    <w:rsid w:val="006F0005"/>
    <w:rsid w:val="006F004F"/>
    <w:rsid w:val="006F0DD0"/>
    <w:rsid w:val="006F1AB1"/>
    <w:rsid w:val="006F306C"/>
    <w:rsid w:val="006F4090"/>
    <w:rsid w:val="006F489C"/>
    <w:rsid w:val="006F4A01"/>
    <w:rsid w:val="006F63A5"/>
    <w:rsid w:val="006F6638"/>
    <w:rsid w:val="006F6967"/>
    <w:rsid w:val="006F7214"/>
    <w:rsid w:val="006F7F4E"/>
    <w:rsid w:val="00700F3D"/>
    <w:rsid w:val="00701008"/>
    <w:rsid w:val="0070142B"/>
    <w:rsid w:val="0070217E"/>
    <w:rsid w:val="007021AC"/>
    <w:rsid w:val="0070224B"/>
    <w:rsid w:val="0070276E"/>
    <w:rsid w:val="00702CE1"/>
    <w:rsid w:val="00702F8F"/>
    <w:rsid w:val="00703816"/>
    <w:rsid w:val="0070390A"/>
    <w:rsid w:val="007049B8"/>
    <w:rsid w:val="00704FE6"/>
    <w:rsid w:val="007056B9"/>
    <w:rsid w:val="007078A2"/>
    <w:rsid w:val="00707930"/>
    <w:rsid w:val="00710092"/>
    <w:rsid w:val="00710196"/>
    <w:rsid w:val="0071087B"/>
    <w:rsid w:val="00711A36"/>
    <w:rsid w:val="00711F24"/>
    <w:rsid w:val="00713497"/>
    <w:rsid w:val="0071529C"/>
    <w:rsid w:val="00715BFF"/>
    <w:rsid w:val="00715F1B"/>
    <w:rsid w:val="0071623E"/>
    <w:rsid w:val="0071699D"/>
    <w:rsid w:val="00717102"/>
    <w:rsid w:val="007172AD"/>
    <w:rsid w:val="00717BA6"/>
    <w:rsid w:val="00717C6F"/>
    <w:rsid w:val="00720E8D"/>
    <w:rsid w:val="00721CCE"/>
    <w:rsid w:val="00722287"/>
    <w:rsid w:val="00722A8E"/>
    <w:rsid w:val="00722B1B"/>
    <w:rsid w:val="00722B71"/>
    <w:rsid w:val="00722F9A"/>
    <w:rsid w:val="007235CF"/>
    <w:rsid w:val="00723A04"/>
    <w:rsid w:val="00723BCD"/>
    <w:rsid w:val="0072416F"/>
    <w:rsid w:val="00724796"/>
    <w:rsid w:val="00724D1A"/>
    <w:rsid w:val="007250A3"/>
    <w:rsid w:val="007256E1"/>
    <w:rsid w:val="00725E4F"/>
    <w:rsid w:val="00726AD7"/>
    <w:rsid w:val="00726B52"/>
    <w:rsid w:val="00727C94"/>
    <w:rsid w:val="00727F2D"/>
    <w:rsid w:val="0073036C"/>
    <w:rsid w:val="00730D57"/>
    <w:rsid w:val="007313DE"/>
    <w:rsid w:val="00731C3C"/>
    <w:rsid w:val="00731EAE"/>
    <w:rsid w:val="007334EF"/>
    <w:rsid w:val="00733809"/>
    <w:rsid w:val="00733C91"/>
    <w:rsid w:val="007347AB"/>
    <w:rsid w:val="007347F2"/>
    <w:rsid w:val="00735033"/>
    <w:rsid w:val="00735328"/>
    <w:rsid w:val="00735D70"/>
    <w:rsid w:val="00736126"/>
    <w:rsid w:val="0073685B"/>
    <w:rsid w:val="007378B3"/>
    <w:rsid w:val="00737AE0"/>
    <w:rsid w:val="00740211"/>
    <w:rsid w:val="007428A1"/>
    <w:rsid w:val="00743535"/>
    <w:rsid w:val="00743A17"/>
    <w:rsid w:val="00743E55"/>
    <w:rsid w:val="00743FDC"/>
    <w:rsid w:val="00744862"/>
    <w:rsid w:val="00744BB1"/>
    <w:rsid w:val="00744F77"/>
    <w:rsid w:val="007450DB"/>
    <w:rsid w:val="00745162"/>
    <w:rsid w:val="00745D55"/>
    <w:rsid w:val="00745E37"/>
    <w:rsid w:val="00747389"/>
    <w:rsid w:val="00747BE0"/>
    <w:rsid w:val="00747C95"/>
    <w:rsid w:val="007508E4"/>
    <w:rsid w:val="00750C01"/>
    <w:rsid w:val="00750C31"/>
    <w:rsid w:val="00750EC9"/>
    <w:rsid w:val="0075100D"/>
    <w:rsid w:val="00752142"/>
    <w:rsid w:val="007523B8"/>
    <w:rsid w:val="007523F9"/>
    <w:rsid w:val="00752428"/>
    <w:rsid w:val="00753284"/>
    <w:rsid w:val="007537C3"/>
    <w:rsid w:val="0075456D"/>
    <w:rsid w:val="007549F5"/>
    <w:rsid w:val="00754F16"/>
    <w:rsid w:val="007565E7"/>
    <w:rsid w:val="007567A4"/>
    <w:rsid w:val="00756D2A"/>
    <w:rsid w:val="007573E8"/>
    <w:rsid w:val="00757949"/>
    <w:rsid w:val="007605AF"/>
    <w:rsid w:val="00760C4E"/>
    <w:rsid w:val="0076178D"/>
    <w:rsid w:val="00761D3E"/>
    <w:rsid w:val="00761F9E"/>
    <w:rsid w:val="00762F08"/>
    <w:rsid w:val="007636BB"/>
    <w:rsid w:val="00763B34"/>
    <w:rsid w:val="0076406C"/>
    <w:rsid w:val="0076427E"/>
    <w:rsid w:val="00765471"/>
    <w:rsid w:val="00765B1A"/>
    <w:rsid w:val="007672EB"/>
    <w:rsid w:val="0076740E"/>
    <w:rsid w:val="00771426"/>
    <w:rsid w:val="00773536"/>
    <w:rsid w:val="007736D5"/>
    <w:rsid w:val="00774F86"/>
    <w:rsid w:val="00774FAC"/>
    <w:rsid w:val="00775535"/>
    <w:rsid w:val="007772EC"/>
    <w:rsid w:val="007776D2"/>
    <w:rsid w:val="00777E57"/>
    <w:rsid w:val="00780500"/>
    <w:rsid w:val="00780CCD"/>
    <w:rsid w:val="00781131"/>
    <w:rsid w:val="00781E8A"/>
    <w:rsid w:val="00782606"/>
    <w:rsid w:val="0078381D"/>
    <w:rsid w:val="00783A2E"/>
    <w:rsid w:val="00783BFD"/>
    <w:rsid w:val="007843F2"/>
    <w:rsid w:val="0078445C"/>
    <w:rsid w:val="007848DE"/>
    <w:rsid w:val="007849CA"/>
    <w:rsid w:val="00786150"/>
    <w:rsid w:val="007873CB"/>
    <w:rsid w:val="007878F8"/>
    <w:rsid w:val="00787BF8"/>
    <w:rsid w:val="00787DEE"/>
    <w:rsid w:val="00790E8F"/>
    <w:rsid w:val="00791956"/>
    <w:rsid w:val="00792205"/>
    <w:rsid w:val="0079225C"/>
    <w:rsid w:val="00792804"/>
    <w:rsid w:val="00792E0C"/>
    <w:rsid w:val="0079332B"/>
    <w:rsid w:val="00796C1A"/>
    <w:rsid w:val="007972ED"/>
    <w:rsid w:val="007977C9"/>
    <w:rsid w:val="00797C74"/>
    <w:rsid w:val="007A0582"/>
    <w:rsid w:val="007A0A12"/>
    <w:rsid w:val="007A132D"/>
    <w:rsid w:val="007A15BB"/>
    <w:rsid w:val="007A1C6C"/>
    <w:rsid w:val="007A47A7"/>
    <w:rsid w:val="007A4E5A"/>
    <w:rsid w:val="007A5099"/>
    <w:rsid w:val="007A5C9C"/>
    <w:rsid w:val="007A780B"/>
    <w:rsid w:val="007A7A2F"/>
    <w:rsid w:val="007B0AB0"/>
    <w:rsid w:val="007B0D68"/>
    <w:rsid w:val="007B1313"/>
    <w:rsid w:val="007B146E"/>
    <w:rsid w:val="007B2420"/>
    <w:rsid w:val="007B251D"/>
    <w:rsid w:val="007B25C7"/>
    <w:rsid w:val="007B2806"/>
    <w:rsid w:val="007B2C87"/>
    <w:rsid w:val="007B2CE9"/>
    <w:rsid w:val="007B2E78"/>
    <w:rsid w:val="007B3A15"/>
    <w:rsid w:val="007B3D71"/>
    <w:rsid w:val="007B3FDA"/>
    <w:rsid w:val="007B4383"/>
    <w:rsid w:val="007B4937"/>
    <w:rsid w:val="007B4E29"/>
    <w:rsid w:val="007B4F58"/>
    <w:rsid w:val="007B528D"/>
    <w:rsid w:val="007B60FE"/>
    <w:rsid w:val="007B64E1"/>
    <w:rsid w:val="007B68DB"/>
    <w:rsid w:val="007B6CA5"/>
    <w:rsid w:val="007B77D1"/>
    <w:rsid w:val="007B7806"/>
    <w:rsid w:val="007B78C9"/>
    <w:rsid w:val="007C1AC3"/>
    <w:rsid w:val="007C1CD9"/>
    <w:rsid w:val="007C2D48"/>
    <w:rsid w:val="007C3025"/>
    <w:rsid w:val="007C31BE"/>
    <w:rsid w:val="007C3276"/>
    <w:rsid w:val="007C361D"/>
    <w:rsid w:val="007C3C7A"/>
    <w:rsid w:val="007C4122"/>
    <w:rsid w:val="007C4B84"/>
    <w:rsid w:val="007C627B"/>
    <w:rsid w:val="007C6286"/>
    <w:rsid w:val="007C63DB"/>
    <w:rsid w:val="007C64FF"/>
    <w:rsid w:val="007C6C7C"/>
    <w:rsid w:val="007C6D8C"/>
    <w:rsid w:val="007C7B59"/>
    <w:rsid w:val="007C7EFF"/>
    <w:rsid w:val="007D004F"/>
    <w:rsid w:val="007D03C3"/>
    <w:rsid w:val="007D0635"/>
    <w:rsid w:val="007D0B38"/>
    <w:rsid w:val="007D0D81"/>
    <w:rsid w:val="007D1024"/>
    <w:rsid w:val="007D1F63"/>
    <w:rsid w:val="007D26C0"/>
    <w:rsid w:val="007D3445"/>
    <w:rsid w:val="007D40E0"/>
    <w:rsid w:val="007D5380"/>
    <w:rsid w:val="007D5440"/>
    <w:rsid w:val="007D5BCF"/>
    <w:rsid w:val="007D5E43"/>
    <w:rsid w:val="007D6B0D"/>
    <w:rsid w:val="007D6BEB"/>
    <w:rsid w:val="007D7562"/>
    <w:rsid w:val="007D7661"/>
    <w:rsid w:val="007D783D"/>
    <w:rsid w:val="007E056A"/>
    <w:rsid w:val="007E1DB5"/>
    <w:rsid w:val="007E21A1"/>
    <w:rsid w:val="007E2F98"/>
    <w:rsid w:val="007E34CD"/>
    <w:rsid w:val="007E3D88"/>
    <w:rsid w:val="007E47B1"/>
    <w:rsid w:val="007E562F"/>
    <w:rsid w:val="007E5B49"/>
    <w:rsid w:val="007E5BC7"/>
    <w:rsid w:val="007E5E2B"/>
    <w:rsid w:val="007E64A6"/>
    <w:rsid w:val="007E6863"/>
    <w:rsid w:val="007E690D"/>
    <w:rsid w:val="007F0969"/>
    <w:rsid w:val="007F1017"/>
    <w:rsid w:val="007F1C3A"/>
    <w:rsid w:val="007F2821"/>
    <w:rsid w:val="007F2EFF"/>
    <w:rsid w:val="007F38F2"/>
    <w:rsid w:val="007F4A3F"/>
    <w:rsid w:val="007F4A61"/>
    <w:rsid w:val="007F519F"/>
    <w:rsid w:val="007F5274"/>
    <w:rsid w:val="007F54BB"/>
    <w:rsid w:val="007F5B55"/>
    <w:rsid w:val="007F61C2"/>
    <w:rsid w:val="007F6BAB"/>
    <w:rsid w:val="007F7CCC"/>
    <w:rsid w:val="0080040C"/>
    <w:rsid w:val="00800712"/>
    <w:rsid w:val="00800776"/>
    <w:rsid w:val="00800E4E"/>
    <w:rsid w:val="00803117"/>
    <w:rsid w:val="008032E5"/>
    <w:rsid w:val="008033C4"/>
    <w:rsid w:val="00803875"/>
    <w:rsid w:val="00803F41"/>
    <w:rsid w:val="008048E8"/>
    <w:rsid w:val="00805142"/>
    <w:rsid w:val="00805B2C"/>
    <w:rsid w:val="00806218"/>
    <w:rsid w:val="00806C99"/>
    <w:rsid w:val="00806CB2"/>
    <w:rsid w:val="008074A2"/>
    <w:rsid w:val="00807A25"/>
    <w:rsid w:val="00807A8B"/>
    <w:rsid w:val="00811383"/>
    <w:rsid w:val="00812149"/>
    <w:rsid w:val="00812CAC"/>
    <w:rsid w:val="00812D25"/>
    <w:rsid w:val="00812E20"/>
    <w:rsid w:val="008136DB"/>
    <w:rsid w:val="00814336"/>
    <w:rsid w:val="00814342"/>
    <w:rsid w:val="0081457D"/>
    <w:rsid w:val="0081458F"/>
    <w:rsid w:val="008145AA"/>
    <w:rsid w:val="00814884"/>
    <w:rsid w:val="0081494E"/>
    <w:rsid w:val="0081498A"/>
    <w:rsid w:val="00815C32"/>
    <w:rsid w:val="00815DFE"/>
    <w:rsid w:val="008162F7"/>
    <w:rsid w:val="00816369"/>
    <w:rsid w:val="00816607"/>
    <w:rsid w:val="008166EF"/>
    <w:rsid w:val="008169FB"/>
    <w:rsid w:val="00816F1D"/>
    <w:rsid w:val="008171C0"/>
    <w:rsid w:val="00817458"/>
    <w:rsid w:val="00817466"/>
    <w:rsid w:val="008174D5"/>
    <w:rsid w:val="00817980"/>
    <w:rsid w:val="00820F12"/>
    <w:rsid w:val="008217CF"/>
    <w:rsid w:val="008224F0"/>
    <w:rsid w:val="00822EA8"/>
    <w:rsid w:val="00823C3B"/>
    <w:rsid w:val="00825358"/>
    <w:rsid w:val="00825751"/>
    <w:rsid w:val="008264EB"/>
    <w:rsid w:val="008269E4"/>
    <w:rsid w:val="00827AAB"/>
    <w:rsid w:val="00830B45"/>
    <w:rsid w:val="00830E7D"/>
    <w:rsid w:val="00832021"/>
    <w:rsid w:val="008320BC"/>
    <w:rsid w:val="00832592"/>
    <w:rsid w:val="00832719"/>
    <w:rsid w:val="00832E70"/>
    <w:rsid w:val="0083301F"/>
    <w:rsid w:val="00833411"/>
    <w:rsid w:val="00833B05"/>
    <w:rsid w:val="008349FF"/>
    <w:rsid w:val="008352B7"/>
    <w:rsid w:val="008358DE"/>
    <w:rsid w:val="0083607A"/>
    <w:rsid w:val="008362B4"/>
    <w:rsid w:val="008366AE"/>
    <w:rsid w:val="00836908"/>
    <w:rsid w:val="00836DFC"/>
    <w:rsid w:val="008372AF"/>
    <w:rsid w:val="00837446"/>
    <w:rsid w:val="008375C7"/>
    <w:rsid w:val="00840207"/>
    <w:rsid w:val="00840515"/>
    <w:rsid w:val="00840CA2"/>
    <w:rsid w:val="00840FBF"/>
    <w:rsid w:val="008418D3"/>
    <w:rsid w:val="0084321E"/>
    <w:rsid w:val="0084374F"/>
    <w:rsid w:val="00843F35"/>
    <w:rsid w:val="00844791"/>
    <w:rsid w:val="0084586A"/>
    <w:rsid w:val="00845A4F"/>
    <w:rsid w:val="0084636A"/>
    <w:rsid w:val="008464FD"/>
    <w:rsid w:val="008468F8"/>
    <w:rsid w:val="00846B7F"/>
    <w:rsid w:val="00847A76"/>
    <w:rsid w:val="00847D84"/>
    <w:rsid w:val="00847DF5"/>
    <w:rsid w:val="008504A2"/>
    <w:rsid w:val="00851435"/>
    <w:rsid w:val="00851C59"/>
    <w:rsid w:val="00852568"/>
    <w:rsid w:val="00852A01"/>
    <w:rsid w:val="0085309D"/>
    <w:rsid w:val="008533A2"/>
    <w:rsid w:val="00853B33"/>
    <w:rsid w:val="00853CAD"/>
    <w:rsid w:val="00853E77"/>
    <w:rsid w:val="008541FD"/>
    <w:rsid w:val="0085520D"/>
    <w:rsid w:val="008553D1"/>
    <w:rsid w:val="008555B3"/>
    <w:rsid w:val="00855721"/>
    <w:rsid w:val="0085588D"/>
    <w:rsid w:val="00856811"/>
    <w:rsid w:val="00856897"/>
    <w:rsid w:val="00856E9A"/>
    <w:rsid w:val="0086075D"/>
    <w:rsid w:val="00860788"/>
    <w:rsid w:val="00860BB6"/>
    <w:rsid w:val="00860E69"/>
    <w:rsid w:val="008614D3"/>
    <w:rsid w:val="00861DF7"/>
    <w:rsid w:val="00861FEB"/>
    <w:rsid w:val="008623BC"/>
    <w:rsid w:val="00862502"/>
    <w:rsid w:val="00862680"/>
    <w:rsid w:val="00862EC4"/>
    <w:rsid w:val="00863870"/>
    <w:rsid w:val="00863ACA"/>
    <w:rsid w:val="00864AE8"/>
    <w:rsid w:val="00865181"/>
    <w:rsid w:val="00865378"/>
    <w:rsid w:val="008660D4"/>
    <w:rsid w:val="008671E9"/>
    <w:rsid w:val="00867EAB"/>
    <w:rsid w:val="00870CCC"/>
    <w:rsid w:val="00871366"/>
    <w:rsid w:val="0087150D"/>
    <w:rsid w:val="00871578"/>
    <w:rsid w:val="00871932"/>
    <w:rsid w:val="00871FA9"/>
    <w:rsid w:val="008728E9"/>
    <w:rsid w:val="00872907"/>
    <w:rsid w:val="0087303A"/>
    <w:rsid w:val="00873AB0"/>
    <w:rsid w:val="00873F64"/>
    <w:rsid w:val="0087491A"/>
    <w:rsid w:val="00874975"/>
    <w:rsid w:val="008751CC"/>
    <w:rsid w:val="00876199"/>
    <w:rsid w:val="008771F4"/>
    <w:rsid w:val="00877303"/>
    <w:rsid w:val="008773BD"/>
    <w:rsid w:val="008773EE"/>
    <w:rsid w:val="0088080E"/>
    <w:rsid w:val="00880E77"/>
    <w:rsid w:val="00882853"/>
    <w:rsid w:val="00882874"/>
    <w:rsid w:val="00882F7A"/>
    <w:rsid w:val="00883787"/>
    <w:rsid w:val="00883F0D"/>
    <w:rsid w:val="00884881"/>
    <w:rsid w:val="0088490F"/>
    <w:rsid w:val="00885169"/>
    <w:rsid w:val="00885FD9"/>
    <w:rsid w:val="00886084"/>
    <w:rsid w:val="00886CD2"/>
    <w:rsid w:val="00886DA3"/>
    <w:rsid w:val="00887173"/>
    <w:rsid w:val="0089275B"/>
    <w:rsid w:val="00892A36"/>
    <w:rsid w:val="00892D1C"/>
    <w:rsid w:val="00893239"/>
    <w:rsid w:val="008932A0"/>
    <w:rsid w:val="00893BFF"/>
    <w:rsid w:val="00894489"/>
    <w:rsid w:val="00894593"/>
    <w:rsid w:val="00894D61"/>
    <w:rsid w:val="00894E2F"/>
    <w:rsid w:val="008956B8"/>
    <w:rsid w:val="008963A5"/>
    <w:rsid w:val="00897509"/>
    <w:rsid w:val="00897950"/>
    <w:rsid w:val="008A03F9"/>
    <w:rsid w:val="008A0CE1"/>
    <w:rsid w:val="008A1D9E"/>
    <w:rsid w:val="008A2197"/>
    <w:rsid w:val="008A3363"/>
    <w:rsid w:val="008A3371"/>
    <w:rsid w:val="008A3B53"/>
    <w:rsid w:val="008A3C3E"/>
    <w:rsid w:val="008A5702"/>
    <w:rsid w:val="008A5845"/>
    <w:rsid w:val="008A60C2"/>
    <w:rsid w:val="008A79DE"/>
    <w:rsid w:val="008B0B94"/>
    <w:rsid w:val="008B1757"/>
    <w:rsid w:val="008B19D5"/>
    <w:rsid w:val="008B1C0B"/>
    <w:rsid w:val="008B216B"/>
    <w:rsid w:val="008B3E3F"/>
    <w:rsid w:val="008B4F6B"/>
    <w:rsid w:val="008B5E7F"/>
    <w:rsid w:val="008B743D"/>
    <w:rsid w:val="008B7C5A"/>
    <w:rsid w:val="008B7D7E"/>
    <w:rsid w:val="008C02C3"/>
    <w:rsid w:val="008C0625"/>
    <w:rsid w:val="008C0F1A"/>
    <w:rsid w:val="008C1523"/>
    <w:rsid w:val="008C1CF6"/>
    <w:rsid w:val="008C1E11"/>
    <w:rsid w:val="008C2220"/>
    <w:rsid w:val="008C2796"/>
    <w:rsid w:val="008C3C64"/>
    <w:rsid w:val="008C419A"/>
    <w:rsid w:val="008C4FB0"/>
    <w:rsid w:val="008C503F"/>
    <w:rsid w:val="008C6423"/>
    <w:rsid w:val="008C7B19"/>
    <w:rsid w:val="008C7ECB"/>
    <w:rsid w:val="008D0285"/>
    <w:rsid w:val="008D0712"/>
    <w:rsid w:val="008D0E58"/>
    <w:rsid w:val="008D2378"/>
    <w:rsid w:val="008D30C2"/>
    <w:rsid w:val="008D4430"/>
    <w:rsid w:val="008D46D0"/>
    <w:rsid w:val="008D4755"/>
    <w:rsid w:val="008D4C3D"/>
    <w:rsid w:val="008D5114"/>
    <w:rsid w:val="008D561C"/>
    <w:rsid w:val="008D6AAE"/>
    <w:rsid w:val="008D6F40"/>
    <w:rsid w:val="008D77FB"/>
    <w:rsid w:val="008D784E"/>
    <w:rsid w:val="008D792B"/>
    <w:rsid w:val="008E0D3C"/>
    <w:rsid w:val="008E161F"/>
    <w:rsid w:val="008E1B9E"/>
    <w:rsid w:val="008E28BE"/>
    <w:rsid w:val="008E347B"/>
    <w:rsid w:val="008E39C7"/>
    <w:rsid w:val="008E4215"/>
    <w:rsid w:val="008E47EC"/>
    <w:rsid w:val="008E51EA"/>
    <w:rsid w:val="008E5341"/>
    <w:rsid w:val="008E55AB"/>
    <w:rsid w:val="008E6185"/>
    <w:rsid w:val="008E6523"/>
    <w:rsid w:val="008E6700"/>
    <w:rsid w:val="008E6B53"/>
    <w:rsid w:val="008E7344"/>
    <w:rsid w:val="008E782E"/>
    <w:rsid w:val="008E7953"/>
    <w:rsid w:val="008E7986"/>
    <w:rsid w:val="008F0600"/>
    <w:rsid w:val="008F067D"/>
    <w:rsid w:val="008F0B4A"/>
    <w:rsid w:val="008F0BB7"/>
    <w:rsid w:val="008F120A"/>
    <w:rsid w:val="008F1F2C"/>
    <w:rsid w:val="008F27E0"/>
    <w:rsid w:val="008F30F4"/>
    <w:rsid w:val="008F32B9"/>
    <w:rsid w:val="008F3B25"/>
    <w:rsid w:val="008F3E39"/>
    <w:rsid w:val="008F3F3C"/>
    <w:rsid w:val="008F4248"/>
    <w:rsid w:val="008F48EB"/>
    <w:rsid w:val="008F4F0B"/>
    <w:rsid w:val="008F5158"/>
    <w:rsid w:val="008F5711"/>
    <w:rsid w:val="008F59FF"/>
    <w:rsid w:val="008F7212"/>
    <w:rsid w:val="008F7A69"/>
    <w:rsid w:val="008F7FDB"/>
    <w:rsid w:val="00901627"/>
    <w:rsid w:val="00901E4A"/>
    <w:rsid w:val="00902D60"/>
    <w:rsid w:val="00902DED"/>
    <w:rsid w:val="009035C9"/>
    <w:rsid w:val="00903830"/>
    <w:rsid w:val="00903BB6"/>
    <w:rsid w:val="00903DF8"/>
    <w:rsid w:val="009046C2"/>
    <w:rsid w:val="009046C4"/>
    <w:rsid w:val="00904821"/>
    <w:rsid w:val="00904B96"/>
    <w:rsid w:val="009050CA"/>
    <w:rsid w:val="009052DC"/>
    <w:rsid w:val="0090566D"/>
    <w:rsid w:val="00905958"/>
    <w:rsid w:val="009059EA"/>
    <w:rsid w:val="009062A5"/>
    <w:rsid w:val="00906A0F"/>
    <w:rsid w:val="00906EE1"/>
    <w:rsid w:val="00907A45"/>
    <w:rsid w:val="00907B8F"/>
    <w:rsid w:val="00907EC7"/>
    <w:rsid w:val="00910112"/>
    <w:rsid w:val="00910425"/>
    <w:rsid w:val="009108A3"/>
    <w:rsid w:val="00910D9E"/>
    <w:rsid w:val="00911272"/>
    <w:rsid w:val="00911BBE"/>
    <w:rsid w:val="0091238D"/>
    <w:rsid w:val="00912CE5"/>
    <w:rsid w:val="009132E8"/>
    <w:rsid w:val="009135D6"/>
    <w:rsid w:val="00913ADC"/>
    <w:rsid w:val="00914C77"/>
    <w:rsid w:val="009150C2"/>
    <w:rsid w:val="00915373"/>
    <w:rsid w:val="009156C4"/>
    <w:rsid w:val="00915F19"/>
    <w:rsid w:val="009176D3"/>
    <w:rsid w:val="0092014B"/>
    <w:rsid w:val="00920424"/>
    <w:rsid w:val="009218A8"/>
    <w:rsid w:val="00921BAE"/>
    <w:rsid w:val="00923223"/>
    <w:rsid w:val="0092327D"/>
    <w:rsid w:val="0092369B"/>
    <w:rsid w:val="00923AA9"/>
    <w:rsid w:val="00925052"/>
    <w:rsid w:val="00925235"/>
    <w:rsid w:val="009254DC"/>
    <w:rsid w:val="009263F8"/>
    <w:rsid w:val="00926ABB"/>
    <w:rsid w:val="00926FD6"/>
    <w:rsid w:val="00927F09"/>
    <w:rsid w:val="00927FB6"/>
    <w:rsid w:val="0093014E"/>
    <w:rsid w:val="009308C3"/>
    <w:rsid w:val="00930B18"/>
    <w:rsid w:val="00930BFA"/>
    <w:rsid w:val="00930D08"/>
    <w:rsid w:val="009314B2"/>
    <w:rsid w:val="009318CE"/>
    <w:rsid w:val="00931D65"/>
    <w:rsid w:val="009327E9"/>
    <w:rsid w:val="00932860"/>
    <w:rsid w:val="00932BE5"/>
    <w:rsid w:val="009340BA"/>
    <w:rsid w:val="00934C97"/>
    <w:rsid w:val="00935075"/>
    <w:rsid w:val="009353B1"/>
    <w:rsid w:val="009359BF"/>
    <w:rsid w:val="00935D64"/>
    <w:rsid w:val="00936270"/>
    <w:rsid w:val="009368C6"/>
    <w:rsid w:val="00936BAC"/>
    <w:rsid w:val="0093742B"/>
    <w:rsid w:val="009423CB"/>
    <w:rsid w:val="00944101"/>
    <w:rsid w:val="009455A8"/>
    <w:rsid w:val="00945C8A"/>
    <w:rsid w:val="00946013"/>
    <w:rsid w:val="00946597"/>
    <w:rsid w:val="00946AFA"/>
    <w:rsid w:val="00946F88"/>
    <w:rsid w:val="0094729B"/>
    <w:rsid w:val="00947B03"/>
    <w:rsid w:val="009502FA"/>
    <w:rsid w:val="009510A2"/>
    <w:rsid w:val="00951402"/>
    <w:rsid w:val="009525D5"/>
    <w:rsid w:val="00952886"/>
    <w:rsid w:val="00953257"/>
    <w:rsid w:val="00953D6B"/>
    <w:rsid w:val="009545E5"/>
    <w:rsid w:val="0095486C"/>
    <w:rsid w:val="00954C87"/>
    <w:rsid w:val="0095531E"/>
    <w:rsid w:val="00955AA0"/>
    <w:rsid w:val="00956102"/>
    <w:rsid w:val="009569C0"/>
    <w:rsid w:val="00956B7C"/>
    <w:rsid w:val="00960451"/>
    <w:rsid w:val="00960AFF"/>
    <w:rsid w:val="00961641"/>
    <w:rsid w:val="009616F1"/>
    <w:rsid w:val="00961CF2"/>
    <w:rsid w:val="00962CB9"/>
    <w:rsid w:val="00962D45"/>
    <w:rsid w:val="00964312"/>
    <w:rsid w:val="00964733"/>
    <w:rsid w:val="00965B8A"/>
    <w:rsid w:val="00965F76"/>
    <w:rsid w:val="00966145"/>
    <w:rsid w:val="009661DF"/>
    <w:rsid w:val="00966B32"/>
    <w:rsid w:val="00966CC6"/>
    <w:rsid w:val="00967646"/>
    <w:rsid w:val="00967B9D"/>
    <w:rsid w:val="00967BDE"/>
    <w:rsid w:val="00970BAE"/>
    <w:rsid w:val="009710A0"/>
    <w:rsid w:val="00971635"/>
    <w:rsid w:val="009716A9"/>
    <w:rsid w:val="009717AC"/>
    <w:rsid w:val="00972F3A"/>
    <w:rsid w:val="0097302F"/>
    <w:rsid w:val="009735EC"/>
    <w:rsid w:val="00973AFC"/>
    <w:rsid w:val="00973C64"/>
    <w:rsid w:val="009741F5"/>
    <w:rsid w:val="00974A29"/>
    <w:rsid w:val="00974E56"/>
    <w:rsid w:val="00975859"/>
    <w:rsid w:val="00975A78"/>
    <w:rsid w:val="0097771F"/>
    <w:rsid w:val="00977EE9"/>
    <w:rsid w:val="009809C7"/>
    <w:rsid w:val="00980C6E"/>
    <w:rsid w:val="00980EE3"/>
    <w:rsid w:val="0098136D"/>
    <w:rsid w:val="00982C8E"/>
    <w:rsid w:val="00982DF9"/>
    <w:rsid w:val="00983102"/>
    <w:rsid w:val="00983408"/>
    <w:rsid w:val="00983B34"/>
    <w:rsid w:val="00983E57"/>
    <w:rsid w:val="00984067"/>
    <w:rsid w:val="00984C36"/>
    <w:rsid w:val="00985034"/>
    <w:rsid w:val="00985259"/>
    <w:rsid w:val="0098675D"/>
    <w:rsid w:val="00987042"/>
    <w:rsid w:val="009878F9"/>
    <w:rsid w:val="00987C8A"/>
    <w:rsid w:val="00987C9D"/>
    <w:rsid w:val="00990E58"/>
    <w:rsid w:val="00990EAF"/>
    <w:rsid w:val="00991D4B"/>
    <w:rsid w:val="00993C74"/>
    <w:rsid w:val="00993F21"/>
    <w:rsid w:val="00993FEA"/>
    <w:rsid w:val="00994839"/>
    <w:rsid w:val="00994D13"/>
    <w:rsid w:val="00996003"/>
    <w:rsid w:val="00996221"/>
    <w:rsid w:val="009962E3"/>
    <w:rsid w:val="00996B1A"/>
    <w:rsid w:val="009A032C"/>
    <w:rsid w:val="009A0382"/>
    <w:rsid w:val="009A0935"/>
    <w:rsid w:val="009A0AD2"/>
    <w:rsid w:val="009A12DB"/>
    <w:rsid w:val="009A1646"/>
    <w:rsid w:val="009A18D3"/>
    <w:rsid w:val="009A2C92"/>
    <w:rsid w:val="009A413C"/>
    <w:rsid w:val="009A44DD"/>
    <w:rsid w:val="009A4E00"/>
    <w:rsid w:val="009A6FED"/>
    <w:rsid w:val="009A70A4"/>
    <w:rsid w:val="009A73C6"/>
    <w:rsid w:val="009A766A"/>
    <w:rsid w:val="009A7674"/>
    <w:rsid w:val="009A7814"/>
    <w:rsid w:val="009A7F10"/>
    <w:rsid w:val="009B0318"/>
    <w:rsid w:val="009B0450"/>
    <w:rsid w:val="009B0B33"/>
    <w:rsid w:val="009B16DF"/>
    <w:rsid w:val="009B2585"/>
    <w:rsid w:val="009B258B"/>
    <w:rsid w:val="009B39D7"/>
    <w:rsid w:val="009B3E26"/>
    <w:rsid w:val="009B6200"/>
    <w:rsid w:val="009B6C0B"/>
    <w:rsid w:val="009B6C30"/>
    <w:rsid w:val="009B6EF4"/>
    <w:rsid w:val="009B7128"/>
    <w:rsid w:val="009B7491"/>
    <w:rsid w:val="009B74AD"/>
    <w:rsid w:val="009B7746"/>
    <w:rsid w:val="009B77C3"/>
    <w:rsid w:val="009C03C9"/>
    <w:rsid w:val="009C15D9"/>
    <w:rsid w:val="009C1641"/>
    <w:rsid w:val="009C1FDC"/>
    <w:rsid w:val="009C20CA"/>
    <w:rsid w:val="009C2200"/>
    <w:rsid w:val="009C2397"/>
    <w:rsid w:val="009C2D24"/>
    <w:rsid w:val="009C3515"/>
    <w:rsid w:val="009C4325"/>
    <w:rsid w:val="009C43E1"/>
    <w:rsid w:val="009C4BA7"/>
    <w:rsid w:val="009C4F3F"/>
    <w:rsid w:val="009C6CEA"/>
    <w:rsid w:val="009C7B85"/>
    <w:rsid w:val="009C7F0E"/>
    <w:rsid w:val="009D03E4"/>
    <w:rsid w:val="009D0541"/>
    <w:rsid w:val="009D07D5"/>
    <w:rsid w:val="009D0D5B"/>
    <w:rsid w:val="009D1038"/>
    <w:rsid w:val="009D2D5A"/>
    <w:rsid w:val="009D3F74"/>
    <w:rsid w:val="009D4693"/>
    <w:rsid w:val="009D48A6"/>
    <w:rsid w:val="009D50F4"/>
    <w:rsid w:val="009D559C"/>
    <w:rsid w:val="009D5B91"/>
    <w:rsid w:val="009D5CC4"/>
    <w:rsid w:val="009D666D"/>
    <w:rsid w:val="009D72AE"/>
    <w:rsid w:val="009D792E"/>
    <w:rsid w:val="009E007D"/>
    <w:rsid w:val="009E04BD"/>
    <w:rsid w:val="009E0DFE"/>
    <w:rsid w:val="009E1B16"/>
    <w:rsid w:val="009E2462"/>
    <w:rsid w:val="009E2654"/>
    <w:rsid w:val="009E4C07"/>
    <w:rsid w:val="009E53B4"/>
    <w:rsid w:val="009E5AE2"/>
    <w:rsid w:val="009E5C53"/>
    <w:rsid w:val="009E6AB4"/>
    <w:rsid w:val="009E70B7"/>
    <w:rsid w:val="009E7B44"/>
    <w:rsid w:val="009E7EF3"/>
    <w:rsid w:val="009F02BE"/>
    <w:rsid w:val="009F02EF"/>
    <w:rsid w:val="009F1460"/>
    <w:rsid w:val="009F15F6"/>
    <w:rsid w:val="009F1DC4"/>
    <w:rsid w:val="009F26E1"/>
    <w:rsid w:val="009F30B0"/>
    <w:rsid w:val="009F34E3"/>
    <w:rsid w:val="009F37A8"/>
    <w:rsid w:val="009F3A3A"/>
    <w:rsid w:val="009F4389"/>
    <w:rsid w:val="009F4A7D"/>
    <w:rsid w:val="009F4DBC"/>
    <w:rsid w:val="009F51FD"/>
    <w:rsid w:val="009F5D0B"/>
    <w:rsid w:val="00A0011C"/>
    <w:rsid w:val="00A01184"/>
    <w:rsid w:val="00A01511"/>
    <w:rsid w:val="00A018DB"/>
    <w:rsid w:val="00A02CA7"/>
    <w:rsid w:val="00A0346E"/>
    <w:rsid w:val="00A03681"/>
    <w:rsid w:val="00A03D43"/>
    <w:rsid w:val="00A04380"/>
    <w:rsid w:val="00A04A60"/>
    <w:rsid w:val="00A04A9F"/>
    <w:rsid w:val="00A04C6D"/>
    <w:rsid w:val="00A04ECD"/>
    <w:rsid w:val="00A06A72"/>
    <w:rsid w:val="00A06B44"/>
    <w:rsid w:val="00A071D9"/>
    <w:rsid w:val="00A07A59"/>
    <w:rsid w:val="00A07E4C"/>
    <w:rsid w:val="00A109B9"/>
    <w:rsid w:val="00A10FB3"/>
    <w:rsid w:val="00A1128F"/>
    <w:rsid w:val="00A1147D"/>
    <w:rsid w:val="00A11CD0"/>
    <w:rsid w:val="00A12224"/>
    <w:rsid w:val="00A12DB0"/>
    <w:rsid w:val="00A13037"/>
    <w:rsid w:val="00A1356A"/>
    <w:rsid w:val="00A13948"/>
    <w:rsid w:val="00A14044"/>
    <w:rsid w:val="00A15378"/>
    <w:rsid w:val="00A1555B"/>
    <w:rsid w:val="00A155C5"/>
    <w:rsid w:val="00A15E11"/>
    <w:rsid w:val="00A160E3"/>
    <w:rsid w:val="00A16AD8"/>
    <w:rsid w:val="00A16B31"/>
    <w:rsid w:val="00A177D2"/>
    <w:rsid w:val="00A17DC9"/>
    <w:rsid w:val="00A2108D"/>
    <w:rsid w:val="00A216FD"/>
    <w:rsid w:val="00A2184F"/>
    <w:rsid w:val="00A21B4B"/>
    <w:rsid w:val="00A21CF3"/>
    <w:rsid w:val="00A21D13"/>
    <w:rsid w:val="00A22226"/>
    <w:rsid w:val="00A224E2"/>
    <w:rsid w:val="00A23632"/>
    <w:rsid w:val="00A2572A"/>
    <w:rsid w:val="00A2580A"/>
    <w:rsid w:val="00A25A0C"/>
    <w:rsid w:val="00A2621B"/>
    <w:rsid w:val="00A268B3"/>
    <w:rsid w:val="00A2703A"/>
    <w:rsid w:val="00A27425"/>
    <w:rsid w:val="00A277A8"/>
    <w:rsid w:val="00A27AEC"/>
    <w:rsid w:val="00A309BB"/>
    <w:rsid w:val="00A310E7"/>
    <w:rsid w:val="00A31619"/>
    <w:rsid w:val="00A320DB"/>
    <w:rsid w:val="00A33BEB"/>
    <w:rsid w:val="00A3491B"/>
    <w:rsid w:val="00A350F9"/>
    <w:rsid w:val="00A3581D"/>
    <w:rsid w:val="00A35D16"/>
    <w:rsid w:val="00A35EAA"/>
    <w:rsid w:val="00A35ED4"/>
    <w:rsid w:val="00A36AFE"/>
    <w:rsid w:val="00A36C45"/>
    <w:rsid w:val="00A3730A"/>
    <w:rsid w:val="00A37AAF"/>
    <w:rsid w:val="00A37BCD"/>
    <w:rsid w:val="00A40219"/>
    <w:rsid w:val="00A40343"/>
    <w:rsid w:val="00A40691"/>
    <w:rsid w:val="00A42470"/>
    <w:rsid w:val="00A42912"/>
    <w:rsid w:val="00A433E2"/>
    <w:rsid w:val="00A439A3"/>
    <w:rsid w:val="00A43C59"/>
    <w:rsid w:val="00A4420A"/>
    <w:rsid w:val="00A44C4B"/>
    <w:rsid w:val="00A462C0"/>
    <w:rsid w:val="00A46D52"/>
    <w:rsid w:val="00A47F7C"/>
    <w:rsid w:val="00A50268"/>
    <w:rsid w:val="00A50ECD"/>
    <w:rsid w:val="00A51750"/>
    <w:rsid w:val="00A518F3"/>
    <w:rsid w:val="00A52729"/>
    <w:rsid w:val="00A527DD"/>
    <w:rsid w:val="00A528C7"/>
    <w:rsid w:val="00A52B16"/>
    <w:rsid w:val="00A53675"/>
    <w:rsid w:val="00A53964"/>
    <w:rsid w:val="00A53BF6"/>
    <w:rsid w:val="00A53D11"/>
    <w:rsid w:val="00A5430F"/>
    <w:rsid w:val="00A545E1"/>
    <w:rsid w:val="00A548AD"/>
    <w:rsid w:val="00A5573D"/>
    <w:rsid w:val="00A55B35"/>
    <w:rsid w:val="00A562A4"/>
    <w:rsid w:val="00A564D7"/>
    <w:rsid w:val="00A567FC"/>
    <w:rsid w:val="00A56B6A"/>
    <w:rsid w:val="00A56C40"/>
    <w:rsid w:val="00A5759F"/>
    <w:rsid w:val="00A578DC"/>
    <w:rsid w:val="00A57B3A"/>
    <w:rsid w:val="00A6028A"/>
    <w:rsid w:val="00A602B1"/>
    <w:rsid w:val="00A61DEC"/>
    <w:rsid w:val="00A629AA"/>
    <w:rsid w:val="00A64146"/>
    <w:rsid w:val="00A644B8"/>
    <w:rsid w:val="00A646F1"/>
    <w:rsid w:val="00A65B21"/>
    <w:rsid w:val="00A66EC4"/>
    <w:rsid w:val="00A6725B"/>
    <w:rsid w:val="00A67B85"/>
    <w:rsid w:val="00A67E51"/>
    <w:rsid w:val="00A701F5"/>
    <w:rsid w:val="00A70605"/>
    <w:rsid w:val="00A71CD2"/>
    <w:rsid w:val="00A72043"/>
    <w:rsid w:val="00A72729"/>
    <w:rsid w:val="00A73134"/>
    <w:rsid w:val="00A735CC"/>
    <w:rsid w:val="00A735E7"/>
    <w:rsid w:val="00A73A57"/>
    <w:rsid w:val="00A754A2"/>
    <w:rsid w:val="00A760B7"/>
    <w:rsid w:val="00A7630C"/>
    <w:rsid w:val="00A777B2"/>
    <w:rsid w:val="00A77CBC"/>
    <w:rsid w:val="00A77E07"/>
    <w:rsid w:val="00A80002"/>
    <w:rsid w:val="00A80732"/>
    <w:rsid w:val="00A80B27"/>
    <w:rsid w:val="00A81289"/>
    <w:rsid w:val="00A8155D"/>
    <w:rsid w:val="00A8170A"/>
    <w:rsid w:val="00A8232E"/>
    <w:rsid w:val="00A8253C"/>
    <w:rsid w:val="00A82FA9"/>
    <w:rsid w:val="00A831F1"/>
    <w:rsid w:val="00A833C0"/>
    <w:rsid w:val="00A838F7"/>
    <w:rsid w:val="00A84D0C"/>
    <w:rsid w:val="00A85F41"/>
    <w:rsid w:val="00A863B4"/>
    <w:rsid w:val="00A86811"/>
    <w:rsid w:val="00A86E8B"/>
    <w:rsid w:val="00A87164"/>
    <w:rsid w:val="00A8718A"/>
    <w:rsid w:val="00A90133"/>
    <w:rsid w:val="00A9174D"/>
    <w:rsid w:val="00A9205D"/>
    <w:rsid w:val="00A92B04"/>
    <w:rsid w:val="00A93072"/>
    <w:rsid w:val="00A9365E"/>
    <w:rsid w:val="00A936E1"/>
    <w:rsid w:val="00A93934"/>
    <w:rsid w:val="00A93953"/>
    <w:rsid w:val="00A93B5F"/>
    <w:rsid w:val="00A959B9"/>
    <w:rsid w:val="00A959D8"/>
    <w:rsid w:val="00A95A9F"/>
    <w:rsid w:val="00A96E16"/>
    <w:rsid w:val="00A97FDC"/>
    <w:rsid w:val="00AA0372"/>
    <w:rsid w:val="00AA113D"/>
    <w:rsid w:val="00AA1576"/>
    <w:rsid w:val="00AA21AE"/>
    <w:rsid w:val="00AA3890"/>
    <w:rsid w:val="00AA547B"/>
    <w:rsid w:val="00AA693D"/>
    <w:rsid w:val="00AA6C7D"/>
    <w:rsid w:val="00AA72D4"/>
    <w:rsid w:val="00AA7D8C"/>
    <w:rsid w:val="00AA7FD6"/>
    <w:rsid w:val="00AB042A"/>
    <w:rsid w:val="00AB0F61"/>
    <w:rsid w:val="00AB1679"/>
    <w:rsid w:val="00AB1877"/>
    <w:rsid w:val="00AB2D34"/>
    <w:rsid w:val="00AB3430"/>
    <w:rsid w:val="00AB3AF5"/>
    <w:rsid w:val="00AB3B4F"/>
    <w:rsid w:val="00AB3F28"/>
    <w:rsid w:val="00AB4060"/>
    <w:rsid w:val="00AB40E0"/>
    <w:rsid w:val="00AB414F"/>
    <w:rsid w:val="00AB43A8"/>
    <w:rsid w:val="00AB4AD1"/>
    <w:rsid w:val="00AB4D85"/>
    <w:rsid w:val="00AB52C4"/>
    <w:rsid w:val="00AB5580"/>
    <w:rsid w:val="00AB5CCE"/>
    <w:rsid w:val="00AB6C90"/>
    <w:rsid w:val="00AB7CFA"/>
    <w:rsid w:val="00AC0317"/>
    <w:rsid w:val="00AC0512"/>
    <w:rsid w:val="00AC2906"/>
    <w:rsid w:val="00AC393D"/>
    <w:rsid w:val="00AC3FC4"/>
    <w:rsid w:val="00AC543C"/>
    <w:rsid w:val="00AC5831"/>
    <w:rsid w:val="00AC5B48"/>
    <w:rsid w:val="00AC5C07"/>
    <w:rsid w:val="00AC612B"/>
    <w:rsid w:val="00AC663B"/>
    <w:rsid w:val="00AD03C0"/>
    <w:rsid w:val="00AD26AE"/>
    <w:rsid w:val="00AD2703"/>
    <w:rsid w:val="00AD2DF2"/>
    <w:rsid w:val="00AD5F46"/>
    <w:rsid w:val="00AD6502"/>
    <w:rsid w:val="00AD67ED"/>
    <w:rsid w:val="00AD6885"/>
    <w:rsid w:val="00AD7A53"/>
    <w:rsid w:val="00AE05A8"/>
    <w:rsid w:val="00AE0AA4"/>
    <w:rsid w:val="00AE0B89"/>
    <w:rsid w:val="00AE0C64"/>
    <w:rsid w:val="00AE0D0C"/>
    <w:rsid w:val="00AE110A"/>
    <w:rsid w:val="00AE1A90"/>
    <w:rsid w:val="00AE1B08"/>
    <w:rsid w:val="00AE1CB4"/>
    <w:rsid w:val="00AE20FA"/>
    <w:rsid w:val="00AE2672"/>
    <w:rsid w:val="00AE3235"/>
    <w:rsid w:val="00AE45F2"/>
    <w:rsid w:val="00AE55BA"/>
    <w:rsid w:val="00AE629F"/>
    <w:rsid w:val="00AE772A"/>
    <w:rsid w:val="00AE7B66"/>
    <w:rsid w:val="00AF0051"/>
    <w:rsid w:val="00AF0372"/>
    <w:rsid w:val="00AF0582"/>
    <w:rsid w:val="00AF06D1"/>
    <w:rsid w:val="00AF08C1"/>
    <w:rsid w:val="00AF0EE5"/>
    <w:rsid w:val="00AF1315"/>
    <w:rsid w:val="00AF178E"/>
    <w:rsid w:val="00AF19BF"/>
    <w:rsid w:val="00AF2C50"/>
    <w:rsid w:val="00AF2CE2"/>
    <w:rsid w:val="00AF2DC3"/>
    <w:rsid w:val="00AF3438"/>
    <w:rsid w:val="00AF3C4D"/>
    <w:rsid w:val="00AF401A"/>
    <w:rsid w:val="00AF4E31"/>
    <w:rsid w:val="00AF501E"/>
    <w:rsid w:val="00AF6992"/>
    <w:rsid w:val="00AF6D14"/>
    <w:rsid w:val="00AF7A3C"/>
    <w:rsid w:val="00AF7C4A"/>
    <w:rsid w:val="00B0031D"/>
    <w:rsid w:val="00B005C0"/>
    <w:rsid w:val="00B00B66"/>
    <w:rsid w:val="00B014E5"/>
    <w:rsid w:val="00B01873"/>
    <w:rsid w:val="00B022A6"/>
    <w:rsid w:val="00B029BE"/>
    <w:rsid w:val="00B0301B"/>
    <w:rsid w:val="00B033E5"/>
    <w:rsid w:val="00B03A63"/>
    <w:rsid w:val="00B03DD5"/>
    <w:rsid w:val="00B03E51"/>
    <w:rsid w:val="00B04201"/>
    <w:rsid w:val="00B04548"/>
    <w:rsid w:val="00B05CCA"/>
    <w:rsid w:val="00B05FD5"/>
    <w:rsid w:val="00B06EAD"/>
    <w:rsid w:val="00B1030B"/>
    <w:rsid w:val="00B104B0"/>
    <w:rsid w:val="00B1148E"/>
    <w:rsid w:val="00B11F6A"/>
    <w:rsid w:val="00B14199"/>
    <w:rsid w:val="00B14341"/>
    <w:rsid w:val="00B14769"/>
    <w:rsid w:val="00B14A29"/>
    <w:rsid w:val="00B152C0"/>
    <w:rsid w:val="00B1593B"/>
    <w:rsid w:val="00B15C8A"/>
    <w:rsid w:val="00B16DE7"/>
    <w:rsid w:val="00B170F9"/>
    <w:rsid w:val="00B200AE"/>
    <w:rsid w:val="00B201A4"/>
    <w:rsid w:val="00B203BF"/>
    <w:rsid w:val="00B2053A"/>
    <w:rsid w:val="00B20FFA"/>
    <w:rsid w:val="00B21138"/>
    <w:rsid w:val="00B213A6"/>
    <w:rsid w:val="00B215DF"/>
    <w:rsid w:val="00B21C5B"/>
    <w:rsid w:val="00B22350"/>
    <w:rsid w:val="00B22440"/>
    <w:rsid w:val="00B224CA"/>
    <w:rsid w:val="00B24DF6"/>
    <w:rsid w:val="00B24E0F"/>
    <w:rsid w:val="00B24FA7"/>
    <w:rsid w:val="00B250E0"/>
    <w:rsid w:val="00B2555A"/>
    <w:rsid w:val="00B262BD"/>
    <w:rsid w:val="00B262C7"/>
    <w:rsid w:val="00B263ED"/>
    <w:rsid w:val="00B2686C"/>
    <w:rsid w:val="00B26990"/>
    <w:rsid w:val="00B27E34"/>
    <w:rsid w:val="00B30352"/>
    <w:rsid w:val="00B30DC2"/>
    <w:rsid w:val="00B319C4"/>
    <w:rsid w:val="00B332A5"/>
    <w:rsid w:val="00B33486"/>
    <w:rsid w:val="00B335FD"/>
    <w:rsid w:val="00B33AAA"/>
    <w:rsid w:val="00B33DA3"/>
    <w:rsid w:val="00B340AC"/>
    <w:rsid w:val="00B34FE2"/>
    <w:rsid w:val="00B357D8"/>
    <w:rsid w:val="00B35C7B"/>
    <w:rsid w:val="00B35FDC"/>
    <w:rsid w:val="00B36A85"/>
    <w:rsid w:val="00B36E9C"/>
    <w:rsid w:val="00B36F99"/>
    <w:rsid w:val="00B370D9"/>
    <w:rsid w:val="00B37355"/>
    <w:rsid w:val="00B37A88"/>
    <w:rsid w:val="00B37BFC"/>
    <w:rsid w:val="00B37EBE"/>
    <w:rsid w:val="00B40212"/>
    <w:rsid w:val="00B40358"/>
    <w:rsid w:val="00B408CA"/>
    <w:rsid w:val="00B41349"/>
    <w:rsid w:val="00B41614"/>
    <w:rsid w:val="00B41879"/>
    <w:rsid w:val="00B421B9"/>
    <w:rsid w:val="00B423C3"/>
    <w:rsid w:val="00B42851"/>
    <w:rsid w:val="00B42BFA"/>
    <w:rsid w:val="00B42F80"/>
    <w:rsid w:val="00B43477"/>
    <w:rsid w:val="00B435CB"/>
    <w:rsid w:val="00B46238"/>
    <w:rsid w:val="00B46358"/>
    <w:rsid w:val="00B47AE9"/>
    <w:rsid w:val="00B50DB8"/>
    <w:rsid w:val="00B50F87"/>
    <w:rsid w:val="00B519DC"/>
    <w:rsid w:val="00B52F57"/>
    <w:rsid w:val="00B534CC"/>
    <w:rsid w:val="00B53654"/>
    <w:rsid w:val="00B53905"/>
    <w:rsid w:val="00B54B5B"/>
    <w:rsid w:val="00B54D34"/>
    <w:rsid w:val="00B54E54"/>
    <w:rsid w:val="00B5562E"/>
    <w:rsid w:val="00B56245"/>
    <w:rsid w:val="00B56A8C"/>
    <w:rsid w:val="00B57000"/>
    <w:rsid w:val="00B6032D"/>
    <w:rsid w:val="00B60939"/>
    <w:rsid w:val="00B60AFD"/>
    <w:rsid w:val="00B61251"/>
    <w:rsid w:val="00B62655"/>
    <w:rsid w:val="00B62715"/>
    <w:rsid w:val="00B636A2"/>
    <w:rsid w:val="00B638E9"/>
    <w:rsid w:val="00B64204"/>
    <w:rsid w:val="00B65E79"/>
    <w:rsid w:val="00B66191"/>
    <w:rsid w:val="00B661A3"/>
    <w:rsid w:val="00B70487"/>
    <w:rsid w:val="00B70BAF"/>
    <w:rsid w:val="00B71161"/>
    <w:rsid w:val="00B7116B"/>
    <w:rsid w:val="00B71228"/>
    <w:rsid w:val="00B715D3"/>
    <w:rsid w:val="00B72444"/>
    <w:rsid w:val="00B72B68"/>
    <w:rsid w:val="00B72BDF"/>
    <w:rsid w:val="00B74854"/>
    <w:rsid w:val="00B752D4"/>
    <w:rsid w:val="00B756B5"/>
    <w:rsid w:val="00B77303"/>
    <w:rsid w:val="00B776D0"/>
    <w:rsid w:val="00B776EC"/>
    <w:rsid w:val="00B777E0"/>
    <w:rsid w:val="00B8093D"/>
    <w:rsid w:val="00B809A4"/>
    <w:rsid w:val="00B80CB0"/>
    <w:rsid w:val="00B81103"/>
    <w:rsid w:val="00B81244"/>
    <w:rsid w:val="00B81627"/>
    <w:rsid w:val="00B818A4"/>
    <w:rsid w:val="00B83471"/>
    <w:rsid w:val="00B8351D"/>
    <w:rsid w:val="00B835F3"/>
    <w:rsid w:val="00B84117"/>
    <w:rsid w:val="00B8470E"/>
    <w:rsid w:val="00B84DDB"/>
    <w:rsid w:val="00B84F75"/>
    <w:rsid w:val="00B8576F"/>
    <w:rsid w:val="00B858FF"/>
    <w:rsid w:val="00B85AA2"/>
    <w:rsid w:val="00B862DC"/>
    <w:rsid w:val="00B8649C"/>
    <w:rsid w:val="00B86B72"/>
    <w:rsid w:val="00B87F0A"/>
    <w:rsid w:val="00B90179"/>
    <w:rsid w:val="00B90184"/>
    <w:rsid w:val="00B9032D"/>
    <w:rsid w:val="00B909DB"/>
    <w:rsid w:val="00B90A23"/>
    <w:rsid w:val="00B90ECB"/>
    <w:rsid w:val="00B910F3"/>
    <w:rsid w:val="00B92084"/>
    <w:rsid w:val="00B922A0"/>
    <w:rsid w:val="00B92D0B"/>
    <w:rsid w:val="00B93E00"/>
    <w:rsid w:val="00B944B6"/>
    <w:rsid w:val="00B94945"/>
    <w:rsid w:val="00B950B5"/>
    <w:rsid w:val="00B95218"/>
    <w:rsid w:val="00B961FF"/>
    <w:rsid w:val="00B96C2D"/>
    <w:rsid w:val="00B96F04"/>
    <w:rsid w:val="00B97095"/>
    <w:rsid w:val="00B97771"/>
    <w:rsid w:val="00B97BB6"/>
    <w:rsid w:val="00B97BD4"/>
    <w:rsid w:val="00BA123E"/>
    <w:rsid w:val="00BA16AC"/>
    <w:rsid w:val="00BA187A"/>
    <w:rsid w:val="00BA18D8"/>
    <w:rsid w:val="00BA23B4"/>
    <w:rsid w:val="00BA31A4"/>
    <w:rsid w:val="00BA322D"/>
    <w:rsid w:val="00BA4169"/>
    <w:rsid w:val="00BA62F9"/>
    <w:rsid w:val="00BA6A26"/>
    <w:rsid w:val="00BA7414"/>
    <w:rsid w:val="00BA793B"/>
    <w:rsid w:val="00BB0188"/>
    <w:rsid w:val="00BB0328"/>
    <w:rsid w:val="00BB035A"/>
    <w:rsid w:val="00BB0BDD"/>
    <w:rsid w:val="00BB10EE"/>
    <w:rsid w:val="00BB11E0"/>
    <w:rsid w:val="00BB187A"/>
    <w:rsid w:val="00BB1954"/>
    <w:rsid w:val="00BB19DF"/>
    <w:rsid w:val="00BB2A73"/>
    <w:rsid w:val="00BB412B"/>
    <w:rsid w:val="00BB4488"/>
    <w:rsid w:val="00BB4ACC"/>
    <w:rsid w:val="00BB5082"/>
    <w:rsid w:val="00BB5D8D"/>
    <w:rsid w:val="00BB6478"/>
    <w:rsid w:val="00BB668B"/>
    <w:rsid w:val="00BB6800"/>
    <w:rsid w:val="00BB6B35"/>
    <w:rsid w:val="00BB703E"/>
    <w:rsid w:val="00BB7405"/>
    <w:rsid w:val="00BB7584"/>
    <w:rsid w:val="00BC0E87"/>
    <w:rsid w:val="00BC1843"/>
    <w:rsid w:val="00BC19A7"/>
    <w:rsid w:val="00BC28BD"/>
    <w:rsid w:val="00BC3631"/>
    <w:rsid w:val="00BC533B"/>
    <w:rsid w:val="00BC5C5A"/>
    <w:rsid w:val="00BC6A12"/>
    <w:rsid w:val="00BC7618"/>
    <w:rsid w:val="00BD0216"/>
    <w:rsid w:val="00BD177F"/>
    <w:rsid w:val="00BD1D98"/>
    <w:rsid w:val="00BD1DFB"/>
    <w:rsid w:val="00BD268B"/>
    <w:rsid w:val="00BD397A"/>
    <w:rsid w:val="00BD5518"/>
    <w:rsid w:val="00BD5F45"/>
    <w:rsid w:val="00BD68A3"/>
    <w:rsid w:val="00BD6938"/>
    <w:rsid w:val="00BD6CF3"/>
    <w:rsid w:val="00BD76AD"/>
    <w:rsid w:val="00BE0D44"/>
    <w:rsid w:val="00BE1D05"/>
    <w:rsid w:val="00BE2180"/>
    <w:rsid w:val="00BE21F2"/>
    <w:rsid w:val="00BE26AC"/>
    <w:rsid w:val="00BE4275"/>
    <w:rsid w:val="00BE4936"/>
    <w:rsid w:val="00BE5545"/>
    <w:rsid w:val="00BE5A30"/>
    <w:rsid w:val="00BE5B09"/>
    <w:rsid w:val="00BE60AE"/>
    <w:rsid w:val="00BE62D0"/>
    <w:rsid w:val="00BE6CA2"/>
    <w:rsid w:val="00BE6F1D"/>
    <w:rsid w:val="00BE7472"/>
    <w:rsid w:val="00BF02C7"/>
    <w:rsid w:val="00BF0614"/>
    <w:rsid w:val="00BF0C4E"/>
    <w:rsid w:val="00BF0CD8"/>
    <w:rsid w:val="00BF0ED1"/>
    <w:rsid w:val="00BF0F95"/>
    <w:rsid w:val="00BF19E4"/>
    <w:rsid w:val="00BF2433"/>
    <w:rsid w:val="00BF3481"/>
    <w:rsid w:val="00BF37B9"/>
    <w:rsid w:val="00BF39EA"/>
    <w:rsid w:val="00BF3ABD"/>
    <w:rsid w:val="00BF4AE7"/>
    <w:rsid w:val="00BF4ECE"/>
    <w:rsid w:val="00BF52EE"/>
    <w:rsid w:val="00BF5D55"/>
    <w:rsid w:val="00BF61C9"/>
    <w:rsid w:val="00BF69C1"/>
    <w:rsid w:val="00BF6C94"/>
    <w:rsid w:val="00BF6F28"/>
    <w:rsid w:val="00C00424"/>
    <w:rsid w:val="00C011E7"/>
    <w:rsid w:val="00C01271"/>
    <w:rsid w:val="00C0199C"/>
    <w:rsid w:val="00C02BB0"/>
    <w:rsid w:val="00C02E2E"/>
    <w:rsid w:val="00C035C1"/>
    <w:rsid w:val="00C037EC"/>
    <w:rsid w:val="00C03AC8"/>
    <w:rsid w:val="00C050B6"/>
    <w:rsid w:val="00C0515B"/>
    <w:rsid w:val="00C05B06"/>
    <w:rsid w:val="00C06300"/>
    <w:rsid w:val="00C06BF2"/>
    <w:rsid w:val="00C06EBF"/>
    <w:rsid w:val="00C07A07"/>
    <w:rsid w:val="00C10143"/>
    <w:rsid w:val="00C118C8"/>
    <w:rsid w:val="00C12AD0"/>
    <w:rsid w:val="00C12C14"/>
    <w:rsid w:val="00C12DE9"/>
    <w:rsid w:val="00C12E0C"/>
    <w:rsid w:val="00C134A2"/>
    <w:rsid w:val="00C13A04"/>
    <w:rsid w:val="00C142C5"/>
    <w:rsid w:val="00C152FD"/>
    <w:rsid w:val="00C15492"/>
    <w:rsid w:val="00C156E1"/>
    <w:rsid w:val="00C15B7E"/>
    <w:rsid w:val="00C15D32"/>
    <w:rsid w:val="00C15DAB"/>
    <w:rsid w:val="00C1636E"/>
    <w:rsid w:val="00C16A99"/>
    <w:rsid w:val="00C17106"/>
    <w:rsid w:val="00C200AA"/>
    <w:rsid w:val="00C20581"/>
    <w:rsid w:val="00C20734"/>
    <w:rsid w:val="00C207E1"/>
    <w:rsid w:val="00C209BC"/>
    <w:rsid w:val="00C21254"/>
    <w:rsid w:val="00C22A8C"/>
    <w:rsid w:val="00C22E6A"/>
    <w:rsid w:val="00C237ED"/>
    <w:rsid w:val="00C241BC"/>
    <w:rsid w:val="00C24632"/>
    <w:rsid w:val="00C24D29"/>
    <w:rsid w:val="00C25107"/>
    <w:rsid w:val="00C25418"/>
    <w:rsid w:val="00C25D9C"/>
    <w:rsid w:val="00C26359"/>
    <w:rsid w:val="00C2652D"/>
    <w:rsid w:val="00C2778B"/>
    <w:rsid w:val="00C309B0"/>
    <w:rsid w:val="00C31649"/>
    <w:rsid w:val="00C3260F"/>
    <w:rsid w:val="00C33420"/>
    <w:rsid w:val="00C337B0"/>
    <w:rsid w:val="00C33825"/>
    <w:rsid w:val="00C33C66"/>
    <w:rsid w:val="00C33E01"/>
    <w:rsid w:val="00C348D9"/>
    <w:rsid w:val="00C35B5E"/>
    <w:rsid w:val="00C35B83"/>
    <w:rsid w:val="00C3626F"/>
    <w:rsid w:val="00C3795C"/>
    <w:rsid w:val="00C40385"/>
    <w:rsid w:val="00C40DB6"/>
    <w:rsid w:val="00C417E2"/>
    <w:rsid w:val="00C41951"/>
    <w:rsid w:val="00C41AF6"/>
    <w:rsid w:val="00C41FE3"/>
    <w:rsid w:val="00C42A27"/>
    <w:rsid w:val="00C42F54"/>
    <w:rsid w:val="00C43C6C"/>
    <w:rsid w:val="00C4418E"/>
    <w:rsid w:val="00C44B14"/>
    <w:rsid w:val="00C45057"/>
    <w:rsid w:val="00C45691"/>
    <w:rsid w:val="00C47429"/>
    <w:rsid w:val="00C475AA"/>
    <w:rsid w:val="00C47CA0"/>
    <w:rsid w:val="00C504A6"/>
    <w:rsid w:val="00C5176D"/>
    <w:rsid w:val="00C51CCF"/>
    <w:rsid w:val="00C539D2"/>
    <w:rsid w:val="00C54831"/>
    <w:rsid w:val="00C54B80"/>
    <w:rsid w:val="00C55980"/>
    <w:rsid w:val="00C55A65"/>
    <w:rsid w:val="00C56E55"/>
    <w:rsid w:val="00C5787E"/>
    <w:rsid w:val="00C578FE"/>
    <w:rsid w:val="00C60B4F"/>
    <w:rsid w:val="00C61997"/>
    <w:rsid w:val="00C6345D"/>
    <w:rsid w:val="00C63C35"/>
    <w:rsid w:val="00C6433B"/>
    <w:rsid w:val="00C64560"/>
    <w:rsid w:val="00C65576"/>
    <w:rsid w:val="00C66165"/>
    <w:rsid w:val="00C661CC"/>
    <w:rsid w:val="00C66872"/>
    <w:rsid w:val="00C66F27"/>
    <w:rsid w:val="00C671BD"/>
    <w:rsid w:val="00C673D7"/>
    <w:rsid w:val="00C67D3D"/>
    <w:rsid w:val="00C67FF0"/>
    <w:rsid w:val="00C70C6C"/>
    <w:rsid w:val="00C70E98"/>
    <w:rsid w:val="00C714CE"/>
    <w:rsid w:val="00C7151A"/>
    <w:rsid w:val="00C71614"/>
    <w:rsid w:val="00C71F60"/>
    <w:rsid w:val="00C72241"/>
    <w:rsid w:val="00C72344"/>
    <w:rsid w:val="00C73C5E"/>
    <w:rsid w:val="00C73D4D"/>
    <w:rsid w:val="00C74CD5"/>
    <w:rsid w:val="00C74E23"/>
    <w:rsid w:val="00C74E52"/>
    <w:rsid w:val="00C750C8"/>
    <w:rsid w:val="00C7523B"/>
    <w:rsid w:val="00C753DE"/>
    <w:rsid w:val="00C7560F"/>
    <w:rsid w:val="00C764CA"/>
    <w:rsid w:val="00C76795"/>
    <w:rsid w:val="00C7689E"/>
    <w:rsid w:val="00C7699E"/>
    <w:rsid w:val="00C76D68"/>
    <w:rsid w:val="00C76E1A"/>
    <w:rsid w:val="00C76FBD"/>
    <w:rsid w:val="00C77AA7"/>
    <w:rsid w:val="00C808F6"/>
    <w:rsid w:val="00C80A0E"/>
    <w:rsid w:val="00C80E7B"/>
    <w:rsid w:val="00C8125A"/>
    <w:rsid w:val="00C8148F"/>
    <w:rsid w:val="00C81910"/>
    <w:rsid w:val="00C82043"/>
    <w:rsid w:val="00C8213F"/>
    <w:rsid w:val="00C82190"/>
    <w:rsid w:val="00C82D19"/>
    <w:rsid w:val="00C83496"/>
    <w:rsid w:val="00C8395D"/>
    <w:rsid w:val="00C84998"/>
    <w:rsid w:val="00C84B48"/>
    <w:rsid w:val="00C84CD8"/>
    <w:rsid w:val="00C858F9"/>
    <w:rsid w:val="00C85B4E"/>
    <w:rsid w:val="00C86039"/>
    <w:rsid w:val="00C861A9"/>
    <w:rsid w:val="00C87001"/>
    <w:rsid w:val="00C872FC"/>
    <w:rsid w:val="00C8797A"/>
    <w:rsid w:val="00C87D25"/>
    <w:rsid w:val="00C900B8"/>
    <w:rsid w:val="00C90757"/>
    <w:rsid w:val="00C90AF3"/>
    <w:rsid w:val="00C90B8A"/>
    <w:rsid w:val="00C90C71"/>
    <w:rsid w:val="00C90EAD"/>
    <w:rsid w:val="00C92DC6"/>
    <w:rsid w:val="00C931CF"/>
    <w:rsid w:val="00C93389"/>
    <w:rsid w:val="00C936FD"/>
    <w:rsid w:val="00C938CF"/>
    <w:rsid w:val="00C94158"/>
    <w:rsid w:val="00C944ED"/>
    <w:rsid w:val="00C9499E"/>
    <w:rsid w:val="00C955D0"/>
    <w:rsid w:val="00C95F77"/>
    <w:rsid w:val="00C9624D"/>
    <w:rsid w:val="00C9653E"/>
    <w:rsid w:val="00C969DA"/>
    <w:rsid w:val="00C97F6C"/>
    <w:rsid w:val="00CA06DC"/>
    <w:rsid w:val="00CA1350"/>
    <w:rsid w:val="00CA2C77"/>
    <w:rsid w:val="00CA2CE7"/>
    <w:rsid w:val="00CA3389"/>
    <w:rsid w:val="00CA36AF"/>
    <w:rsid w:val="00CA36C0"/>
    <w:rsid w:val="00CA3C0B"/>
    <w:rsid w:val="00CA3C9C"/>
    <w:rsid w:val="00CA3E32"/>
    <w:rsid w:val="00CA4110"/>
    <w:rsid w:val="00CA4344"/>
    <w:rsid w:val="00CA444F"/>
    <w:rsid w:val="00CA4853"/>
    <w:rsid w:val="00CA5245"/>
    <w:rsid w:val="00CA5AA1"/>
    <w:rsid w:val="00CA5DF4"/>
    <w:rsid w:val="00CA6C1D"/>
    <w:rsid w:val="00CA71F4"/>
    <w:rsid w:val="00CA7639"/>
    <w:rsid w:val="00CA7B09"/>
    <w:rsid w:val="00CB08F9"/>
    <w:rsid w:val="00CB08FD"/>
    <w:rsid w:val="00CB0AB2"/>
    <w:rsid w:val="00CB16B9"/>
    <w:rsid w:val="00CB1952"/>
    <w:rsid w:val="00CB1C86"/>
    <w:rsid w:val="00CB2827"/>
    <w:rsid w:val="00CB2843"/>
    <w:rsid w:val="00CB2F2A"/>
    <w:rsid w:val="00CB2FA2"/>
    <w:rsid w:val="00CB3BC3"/>
    <w:rsid w:val="00CB47DC"/>
    <w:rsid w:val="00CB516E"/>
    <w:rsid w:val="00CB5756"/>
    <w:rsid w:val="00CB5B1A"/>
    <w:rsid w:val="00CB61FD"/>
    <w:rsid w:val="00CB65D9"/>
    <w:rsid w:val="00CB66DA"/>
    <w:rsid w:val="00CB69E7"/>
    <w:rsid w:val="00CB6B22"/>
    <w:rsid w:val="00CB7517"/>
    <w:rsid w:val="00CB7F5F"/>
    <w:rsid w:val="00CC1191"/>
    <w:rsid w:val="00CC160B"/>
    <w:rsid w:val="00CC16D0"/>
    <w:rsid w:val="00CC18FC"/>
    <w:rsid w:val="00CC1B39"/>
    <w:rsid w:val="00CC218E"/>
    <w:rsid w:val="00CC21DC"/>
    <w:rsid w:val="00CC2CDD"/>
    <w:rsid w:val="00CC34EE"/>
    <w:rsid w:val="00CC3A0A"/>
    <w:rsid w:val="00CC5AE4"/>
    <w:rsid w:val="00CC629B"/>
    <w:rsid w:val="00CC6707"/>
    <w:rsid w:val="00CC7B06"/>
    <w:rsid w:val="00CC7F03"/>
    <w:rsid w:val="00CD1F78"/>
    <w:rsid w:val="00CD22E1"/>
    <w:rsid w:val="00CD2860"/>
    <w:rsid w:val="00CD2C56"/>
    <w:rsid w:val="00CD2ECF"/>
    <w:rsid w:val="00CD32AC"/>
    <w:rsid w:val="00CD4033"/>
    <w:rsid w:val="00CD4362"/>
    <w:rsid w:val="00CD578C"/>
    <w:rsid w:val="00CD60F4"/>
    <w:rsid w:val="00CD6461"/>
    <w:rsid w:val="00CD6ADC"/>
    <w:rsid w:val="00CD6B3B"/>
    <w:rsid w:val="00CD7C10"/>
    <w:rsid w:val="00CD7FFA"/>
    <w:rsid w:val="00CE0419"/>
    <w:rsid w:val="00CE1128"/>
    <w:rsid w:val="00CE1202"/>
    <w:rsid w:val="00CE1839"/>
    <w:rsid w:val="00CE2809"/>
    <w:rsid w:val="00CE35F7"/>
    <w:rsid w:val="00CE362B"/>
    <w:rsid w:val="00CE367D"/>
    <w:rsid w:val="00CE493E"/>
    <w:rsid w:val="00CE4C24"/>
    <w:rsid w:val="00CE50D7"/>
    <w:rsid w:val="00CE5722"/>
    <w:rsid w:val="00CE6274"/>
    <w:rsid w:val="00CE6BBE"/>
    <w:rsid w:val="00CE7241"/>
    <w:rsid w:val="00CE77A7"/>
    <w:rsid w:val="00CE7D88"/>
    <w:rsid w:val="00CE7E4D"/>
    <w:rsid w:val="00CF1109"/>
    <w:rsid w:val="00CF204F"/>
    <w:rsid w:val="00CF2941"/>
    <w:rsid w:val="00CF2B8D"/>
    <w:rsid w:val="00CF2BD3"/>
    <w:rsid w:val="00CF456B"/>
    <w:rsid w:val="00CF4BED"/>
    <w:rsid w:val="00CF5167"/>
    <w:rsid w:val="00CF5A22"/>
    <w:rsid w:val="00CF755B"/>
    <w:rsid w:val="00D00019"/>
    <w:rsid w:val="00D00314"/>
    <w:rsid w:val="00D00DB7"/>
    <w:rsid w:val="00D01678"/>
    <w:rsid w:val="00D01A23"/>
    <w:rsid w:val="00D0262E"/>
    <w:rsid w:val="00D02DA7"/>
    <w:rsid w:val="00D049F0"/>
    <w:rsid w:val="00D054A1"/>
    <w:rsid w:val="00D07F44"/>
    <w:rsid w:val="00D10BB4"/>
    <w:rsid w:val="00D110BD"/>
    <w:rsid w:val="00D11537"/>
    <w:rsid w:val="00D11610"/>
    <w:rsid w:val="00D11A40"/>
    <w:rsid w:val="00D13675"/>
    <w:rsid w:val="00D141E1"/>
    <w:rsid w:val="00D14D9B"/>
    <w:rsid w:val="00D15A47"/>
    <w:rsid w:val="00D15E43"/>
    <w:rsid w:val="00D15E8A"/>
    <w:rsid w:val="00D16545"/>
    <w:rsid w:val="00D1667C"/>
    <w:rsid w:val="00D16F3A"/>
    <w:rsid w:val="00D17020"/>
    <w:rsid w:val="00D17D6C"/>
    <w:rsid w:val="00D17DEE"/>
    <w:rsid w:val="00D209C5"/>
    <w:rsid w:val="00D20B8C"/>
    <w:rsid w:val="00D22BEF"/>
    <w:rsid w:val="00D22CEB"/>
    <w:rsid w:val="00D22F39"/>
    <w:rsid w:val="00D23071"/>
    <w:rsid w:val="00D23E15"/>
    <w:rsid w:val="00D24C57"/>
    <w:rsid w:val="00D2501F"/>
    <w:rsid w:val="00D258EE"/>
    <w:rsid w:val="00D273DC"/>
    <w:rsid w:val="00D2754D"/>
    <w:rsid w:val="00D27B27"/>
    <w:rsid w:val="00D305EF"/>
    <w:rsid w:val="00D30FB9"/>
    <w:rsid w:val="00D3187D"/>
    <w:rsid w:val="00D318FB"/>
    <w:rsid w:val="00D31ADE"/>
    <w:rsid w:val="00D32AB3"/>
    <w:rsid w:val="00D33BE9"/>
    <w:rsid w:val="00D3407E"/>
    <w:rsid w:val="00D357FF"/>
    <w:rsid w:val="00D36C55"/>
    <w:rsid w:val="00D36CA2"/>
    <w:rsid w:val="00D37297"/>
    <w:rsid w:val="00D4038D"/>
    <w:rsid w:val="00D409C8"/>
    <w:rsid w:val="00D4214A"/>
    <w:rsid w:val="00D424C7"/>
    <w:rsid w:val="00D42FF2"/>
    <w:rsid w:val="00D430CE"/>
    <w:rsid w:val="00D43B2A"/>
    <w:rsid w:val="00D440B4"/>
    <w:rsid w:val="00D449FA"/>
    <w:rsid w:val="00D45E42"/>
    <w:rsid w:val="00D45FA7"/>
    <w:rsid w:val="00D46E00"/>
    <w:rsid w:val="00D46E7D"/>
    <w:rsid w:val="00D47575"/>
    <w:rsid w:val="00D502E3"/>
    <w:rsid w:val="00D5052C"/>
    <w:rsid w:val="00D511E3"/>
    <w:rsid w:val="00D51230"/>
    <w:rsid w:val="00D5249B"/>
    <w:rsid w:val="00D52AB6"/>
    <w:rsid w:val="00D53921"/>
    <w:rsid w:val="00D54D28"/>
    <w:rsid w:val="00D55C9D"/>
    <w:rsid w:val="00D5613C"/>
    <w:rsid w:val="00D567D6"/>
    <w:rsid w:val="00D56BA7"/>
    <w:rsid w:val="00D579ED"/>
    <w:rsid w:val="00D57C86"/>
    <w:rsid w:val="00D6126D"/>
    <w:rsid w:val="00D61687"/>
    <w:rsid w:val="00D6243F"/>
    <w:rsid w:val="00D62BFD"/>
    <w:rsid w:val="00D62CEB"/>
    <w:rsid w:val="00D65270"/>
    <w:rsid w:val="00D65301"/>
    <w:rsid w:val="00D65311"/>
    <w:rsid w:val="00D67815"/>
    <w:rsid w:val="00D70E2C"/>
    <w:rsid w:val="00D70F16"/>
    <w:rsid w:val="00D71269"/>
    <w:rsid w:val="00D73756"/>
    <w:rsid w:val="00D73871"/>
    <w:rsid w:val="00D76A44"/>
    <w:rsid w:val="00D775E5"/>
    <w:rsid w:val="00D776BD"/>
    <w:rsid w:val="00D815EF"/>
    <w:rsid w:val="00D81706"/>
    <w:rsid w:val="00D81DAB"/>
    <w:rsid w:val="00D83D76"/>
    <w:rsid w:val="00D84570"/>
    <w:rsid w:val="00D84FAA"/>
    <w:rsid w:val="00D8510A"/>
    <w:rsid w:val="00D854EE"/>
    <w:rsid w:val="00D85F2D"/>
    <w:rsid w:val="00D8652B"/>
    <w:rsid w:val="00D866E6"/>
    <w:rsid w:val="00D90163"/>
    <w:rsid w:val="00D90554"/>
    <w:rsid w:val="00D90974"/>
    <w:rsid w:val="00D90BE0"/>
    <w:rsid w:val="00D90BE3"/>
    <w:rsid w:val="00D90FE3"/>
    <w:rsid w:val="00D91923"/>
    <w:rsid w:val="00D91BFE"/>
    <w:rsid w:val="00D91CC0"/>
    <w:rsid w:val="00D91ECD"/>
    <w:rsid w:val="00D92690"/>
    <w:rsid w:val="00D93753"/>
    <w:rsid w:val="00D94E82"/>
    <w:rsid w:val="00D956D9"/>
    <w:rsid w:val="00D959EB"/>
    <w:rsid w:val="00D96754"/>
    <w:rsid w:val="00D96859"/>
    <w:rsid w:val="00DA0349"/>
    <w:rsid w:val="00DA06D1"/>
    <w:rsid w:val="00DA0821"/>
    <w:rsid w:val="00DA0AC5"/>
    <w:rsid w:val="00DA1236"/>
    <w:rsid w:val="00DA26C9"/>
    <w:rsid w:val="00DA3167"/>
    <w:rsid w:val="00DA3F73"/>
    <w:rsid w:val="00DA4214"/>
    <w:rsid w:val="00DA46F3"/>
    <w:rsid w:val="00DA49B0"/>
    <w:rsid w:val="00DA4C9A"/>
    <w:rsid w:val="00DA4DC3"/>
    <w:rsid w:val="00DA5143"/>
    <w:rsid w:val="00DA5998"/>
    <w:rsid w:val="00DA6022"/>
    <w:rsid w:val="00DA6102"/>
    <w:rsid w:val="00DA6375"/>
    <w:rsid w:val="00DA6DE4"/>
    <w:rsid w:val="00DA6E1C"/>
    <w:rsid w:val="00DA77A5"/>
    <w:rsid w:val="00DA77F8"/>
    <w:rsid w:val="00DB1773"/>
    <w:rsid w:val="00DB2491"/>
    <w:rsid w:val="00DB3D59"/>
    <w:rsid w:val="00DB484F"/>
    <w:rsid w:val="00DB65B8"/>
    <w:rsid w:val="00DB7686"/>
    <w:rsid w:val="00DB78AA"/>
    <w:rsid w:val="00DB7990"/>
    <w:rsid w:val="00DB7B62"/>
    <w:rsid w:val="00DB7E6B"/>
    <w:rsid w:val="00DC0411"/>
    <w:rsid w:val="00DC0412"/>
    <w:rsid w:val="00DC04F6"/>
    <w:rsid w:val="00DC0B1F"/>
    <w:rsid w:val="00DC123B"/>
    <w:rsid w:val="00DC15D5"/>
    <w:rsid w:val="00DC26FE"/>
    <w:rsid w:val="00DC2A21"/>
    <w:rsid w:val="00DC3C57"/>
    <w:rsid w:val="00DC3D87"/>
    <w:rsid w:val="00DC46A8"/>
    <w:rsid w:val="00DC502F"/>
    <w:rsid w:val="00DC5501"/>
    <w:rsid w:val="00DC56EF"/>
    <w:rsid w:val="00DC5BDB"/>
    <w:rsid w:val="00DC64DB"/>
    <w:rsid w:val="00DC6C5D"/>
    <w:rsid w:val="00DC7AA9"/>
    <w:rsid w:val="00DD03B8"/>
    <w:rsid w:val="00DD1E1D"/>
    <w:rsid w:val="00DD2111"/>
    <w:rsid w:val="00DD244F"/>
    <w:rsid w:val="00DD273C"/>
    <w:rsid w:val="00DD2922"/>
    <w:rsid w:val="00DD3726"/>
    <w:rsid w:val="00DD3F28"/>
    <w:rsid w:val="00DD43CB"/>
    <w:rsid w:val="00DD4537"/>
    <w:rsid w:val="00DD4A2E"/>
    <w:rsid w:val="00DD4DF9"/>
    <w:rsid w:val="00DD4E15"/>
    <w:rsid w:val="00DD5413"/>
    <w:rsid w:val="00DD5455"/>
    <w:rsid w:val="00DD5749"/>
    <w:rsid w:val="00DD5896"/>
    <w:rsid w:val="00DD5D23"/>
    <w:rsid w:val="00DD5D62"/>
    <w:rsid w:val="00DD7D8A"/>
    <w:rsid w:val="00DE0A96"/>
    <w:rsid w:val="00DE12FA"/>
    <w:rsid w:val="00DE1B9E"/>
    <w:rsid w:val="00DE22E2"/>
    <w:rsid w:val="00DE2613"/>
    <w:rsid w:val="00DE3138"/>
    <w:rsid w:val="00DE37F8"/>
    <w:rsid w:val="00DE3FEE"/>
    <w:rsid w:val="00DE4A29"/>
    <w:rsid w:val="00DE4CF0"/>
    <w:rsid w:val="00DE4FCB"/>
    <w:rsid w:val="00DE5A23"/>
    <w:rsid w:val="00DE5C2E"/>
    <w:rsid w:val="00DE6228"/>
    <w:rsid w:val="00DE7832"/>
    <w:rsid w:val="00DF0691"/>
    <w:rsid w:val="00DF090C"/>
    <w:rsid w:val="00DF0BA2"/>
    <w:rsid w:val="00DF0DEE"/>
    <w:rsid w:val="00DF0E5B"/>
    <w:rsid w:val="00DF0EA7"/>
    <w:rsid w:val="00DF18FC"/>
    <w:rsid w:val="00DF218A"/>
    <w:rsid w:val="00DF2240"/>
    <w:rsid w:val="00DF3C35"/>
    <w:rsid w:val="00DF41A7"/>
    <w:rsid w:val="00DF5013"/>
    <w:rsid w:val="00DF5351"/>
    <w:rsid w:val="00DF5D2B"/>
    <w:rsid w:val="00DF6FBA"/>
    <w:rsid w:val="00DF75DD"/>
    <w:rsid w:val="00DF7DE2"/>
    <w:rsid w:val="00E001CF"/>
    <w:rsid w:val="00E00E8E"/>
    <w:rsid w:val="00E01041"/>
    <w:rsid w:val="00E0105D"/>
    <w:rsid w:val="00E0152E"/>
    <w:rsid w:val="00E01624"/>
    <w:rsid w:val="00E01AC5"/>
    <w:rsid w:val="00E01EA7"/>
    <w:rsid w:val="00E0206B"/>
    <w:rsid w:val="00E034E0"/>
    <w:rsid w:val="00E04A0F"/>
    <w:rsid w:val="00E04B48"/>
    <w:rsid w:val="00E04B86"/>
    <w:rsid w:val="00E052A4"/>
    <w:rsid w:val="00E05630"/>
    <w:rsid w:val="00E05878"/>
    <w:rsid w:val="00E06213"/>
    <w:rsid w:val="00E062DB"/>
    <w:rsid w:val="00E064BF"/>
    <w:rsid w:val="00E064DE"/>
    <w:rsid w:val="00E06785"/>
    <w:rsid w:val="00E06CDA"/>
    <w:rsid w:val="00E06DBB"/>
    <w:rsid w:val="00E06DDC"/>
    <w:rsid w:val="00E06F01"/>
    <w:rsid w:val="00E07FA2"/>
    <w:rsid w:val="00E10149"/>
    <w:rsid w:val="00E111CA"/>
    <w:rsid w:val="00E115E8"/>
    <w:rsid w:val="00E11858"/>
    <w:rsid w:val="00E11AA8"/>
    <w:rsid w:val="00E1287F"/>
    <w:rsid w:val="00E13B7A"/>
    <w:rsid w:val="00E1403A"/>
    <w:rsid w:val="00E1425C"/>
    <w:rsid w:val="00E143FB"/>
    <w:rsid w:val="00E1524E"/>
    <w:rsid w:val="00E15693"/>
    <w:rsid w:val="00E15A0D"/>
    <w:rsid w:val="00E15EC9"/>
    <w:rsid w:val="00E16372"/>
    <w:rsid w:val="00E17E19"/>
    <w:rsid w:val="00E17EE1"/>
    <w:rsid w:val="00E2005E"/>
    <w:rsid w:val="00E20666"/>
    <w:rsid w:val="00E20C0A"/>
    <w:rsid w:val="00E20E4D"/>
    <w:rsid w:val="00E20ED6"/>
    <w:rsid w:val="00E21358"/>
    <w:rsid w:val="00E2148D"/>
    <w:rsid w:val="00E214DD"/>
    <w:rsid w:val="00E21DA4"/>
    <w:rsid w:val="00E2249B"/>
    <w:rsid w:val="00E226EE"/>
    <w:rsid w:val="00E22803"/>
    <w:rsid w:val="00E22A0D"/>
    <w:rsid w:val="00E22C16"/>
    <w:rsid w:val="00E22FB2"/>
    <w:rsid w:val="00E23896"/>
    <w:rsid w:val="00E23E65"/>
    <w:rsid w:val="00E24330"/>
    <w:rsid w:val="00E2523B"/>
    <w:rsid w:val="00E25366"/>
    <w:rsid w:val="00E2560F"/>
    <w:rsid w:val="00E266EE"/>
    <w:rsid w:val="00E26C61"/>
    <w:rsid w:val="00E2771E"/>
    <w:rsid w:val="00E27EF5"/>
    <w:rsid w:val="00E30002"/>
    <w:rsid w:val="00E3050C"/>
    <w:rsid w:val="00E33C6B"/>
    <w:rsid w:val="00E34948"/>
    <w:rsid w:val="00E35E65"/>
    <w:rsid w:val="00E370B8"/>
    <w:rsid w:val="00E37569"/>
    <w:rsid w:val="00E37D20"/>
    <w:rsid w:val="00E40D64"/>
    <w:rsid w:val="00E41607"/>
    <w:rsid w:val="00E41A4C"/>
    <w:rsid w:val="00E41A81"/>
    <w:rsid w:val="00E41CC0"/>
    <w:rsid w:val="00E41E30"/>
    <w:rsid w:val="00E43D70"/>
    <w:rsid w:val="00E43DC7"/>
    <w:rsid w:val="00E4476C"/>
    <w:rsid w:val="00E44EC8"/>
    <w:rsid w:val="00E452E7"/>
    <w:rsid w:val="00E456E3"/>
    <w:rsid w:val="00E466F3"/>
    <w:rsid w:val="00E4675D"/>
    <w:rsid w:val="00E468FC"/>
    <w:rsid w:val="00E47689"/>
    <w:rsid w:val="00E47B2C"/>
    <w:rsid w:val="00E47FE8"/>
    <w:rsid w:val="00E503DB"/>
    <w:rsid w:val="00E51560"/>
    <w:rsid w:val="00E530FB"/>
    <w:rsid w:val="00E53460"/>
    <w:rsid w:val="00E534C3"/>
    <w:rsid w:val="00E536FB"/>
    <w:rsid w:val="00E53C39"/>
    <w:rsid w:val="00E53E18"/>
    <w:rsid w:val="00E54347"/>
    <w:rsid w:val="00E55390"/>
    <w:rsid w:val="00E55424"/>
    <w:rsid w:val="00E5559D"/>
    <w:rsid w:val="00E55A5D"/>
    <w:rsid w:val="00E55ACA"/>
    <w:rsid w:val="00E55BB5"/>
    <w:rsid w:val="00E55F01"/>
    <w:rsid w:val="00E568EE"/>
    <w:rsid w:val="00E56BF4"/>
    <w:rsid w:val="00E60CCB"/>
    <w:rsid w:val="00E60D35"/>
    <w:rsid w:val="00E6128A"/>
    <w:rsid w:val="00E61AAB"/>
    <w:rsid w:val="00E6263E"/>
    <w:rsid w:val="00E62AD3"/>
    <w:rsid w:val="00E6365C"/>
    <w:rsid w:val="00E63772"/>
    <w:rsid w:val="00E6382F"/>
    <w:rsid w:val="00E6433F"/>
    <w:rsid w:val="00E6513C"/>
    <w:rsid w:val="00E65E79"/>
    <w:rsid w:val="00E66B96"/>
    <w:rsid w:val="00E66BA2"/>
    <w:rsid w:val="00E67184"/>
    <w:rsid w:val="00E671FD"/>
    <w:rsid w:val="00E67416"/>
    <w:rsid w:val="00E67422"/>
    <w:rsid w:val="00E67572"/>
    <w:rsid w:val="00E67635"/>
    <w:rsid w:val="00E67887"/>
    <w:rsid w:val="00E70B0D"/>
    <w:rsid w:val="00E70CC4"/>
    <w:rsid w:val="00E70D28"/>
    <w:rsid w:val="00E70DCC"/>
    <w:rsid w:val="00E7170C"/>
    <w:rsid w:val="00E7182F"/>
    <w:rsid w:val="00E718B6"/>
    <w:rsid w:val="00E71B52"/>
    <w:rsid w:val="00E71BF6"/>
    <w:rsid w:val="00E723BA"/>
    <w:rsid w:val="00E73403"/>
    <w:rsid w:val="00E73581"/>
    <w:rsid w:val="00E738B0"/>
    <w:rsid w:val="00E74217"/>
    <w:rsid w:val="00E743D3"/>
    <w:rsid w:val="00E7465A"/>
    <w:rsid w:val="00E76161"/>
    <w:rsid w:val="00E767DA"/>
    <w:rsid w:val="00E80306"/>
    <w:rsid w:val="00E80AD6"/>
    <w:rsid w:val="00E81C0F"/>
    <w:rsid w:val="00E81D52"/>
    <w:rsid w:val="00E8214F"/>
    <w:rsid w:val="00E82939"/>
    <w:rsid w:val="00E82CC6"/>
    <w:rsid w:val="00E833F7"/>
    <w:rsid w:val="00E83794"/>
    <w:rsid w:val="00E83BDF"/>
    <w:rsid w:val="00E8638E"/>
    <w:rsid w:val="00E86D85"/>
    <w:rsid w:val="00E874B7"/>
    <w:rsid w:val="00E87A1D"/>
    <w:rsid w:val="00E90122"/>
    <w:rsid w:val="00E903FC"/>
    <w:rsid w:val="00E9116B"/>
    <w:rsid w:val="00E912FF"/>
    <w:rsid w:val="00E915DD"/>
    <w:rsid w:val="00E9214F"/>
    <w:rsid w:val="00E92526"/>
    <w:rsid w:val="00E926A5"/>
    <w:rsid w:val="00E92DE8"/>
    <w:rsid w:val="00E93D71"/>
    <w:rsid w:val="00E94B6A"/>
    <w:rsid w:val="00E95538"/>
    <w:rsid w:val="00E95C56"/>
    <w:rsid w:val="00E96487"/>
    <w:rsid w:val="00E96733"/>
    <w:rsid w:val="00E97D3D"/>
    <w:rsid w:val="00EA160E"/>
    <w:rsid w:val="00EA17C3"/>
    <w:rsid w:val="00EA22C8"/>
    <w:rsid w:val="00EA2515"/>
    <w:rsid w:val="00EA2CAA"/>
    <w:rsid w:val="00EA2D28"/>
    <w:rsid w:val="00EA357B"/>
    <w:rsid w:val="00EA3864"/>
    <w:rsid w:val="00EA499F"/>
    <w:rsid w:val="00EA49BB"/>
    <w:rsid w:val="00EA4D63"/>
    <w:rsid w:val="00EA55E7"/>
    <w:rsid w:val="00EA5C98"/>
    <w:rsid w:val="00EA6DC2"/>
    <w:rsid w:val="00EA6E01"/>
    <w:rsid w:val="00EA6F84"/>
    <w:rsid w:val="00EB01AF"/>
    <w:rsid w:val="00EB04DA"/>
    <w:rsid w:val="00EB0F92"/>
    <w:rsid w:val="00EB15B6"/>
    <w:rsid w:val="00EB2459"/>
    <w:rsid w:val="00EB2495"/>
    <w:rsid w:val="00EB24BC"/>
    <w:rsid w:val="00EB3E0D"/>
    <w:rsid w:val="00EB4916"/>
    <w:rsid w:val="00EB4C12"/>
    <w:rsid w:val="00EB5456"/>
    <w:rsid w:val="00EB5525"/>
    <w:rsid w:val="00EB564D"/>
    <w:rsid w:val="00EB6870"/>
    <w:rsid w:val="00EB798F"/>
    <w:rsid w:val="00EC00C9"/>
    <w:rsid w:val="00EC062A"/>
    <w:rsid w:val="00EC0CEA"/>
    <w:rsid w:val="00EC0FFC"/>
    <w:rsid w:val="00EC137C"/>
    <w:rsid w:val="00EC1928"/>
    <w:rsid w:val="00EC2649"/>
    <w:rsid w:val="00EC33F5"/>
    <w:rsid w:val="00EC3748"/>
    <w:rsid w:val="00EC3BF8"/>
    <w:rsid w:val="00EC4889"/>
    <w:rsid w:val="00EC516A"/>
    <w:rsid w:val="00EC550D"/>
    <w:rsid w:val="00EC59B6"/>
    <w:rsid w:val="00EC6787"/>
    <w:rsid w:val="00EC6F74"/>
    <w:rsid w:val="00ED0494"/>
    <w:rsid w:val="00ED1499"/>
    <w:rsid w:val="00ED1E1B"/>
    <w:rsid w:val="00ED20DB"/>
    <w:rsid w:val="00ED2E0B"/>
    <w:rsid w:val="00ED4593"/>
    <w:rsid w:val="00ED55D8"/>
    <w:rsid w:val="00ED57EA"/>
    <w:rsid w:val="00ED708F"/>
    <w:rsid w:val="00ED7DF5"/>
    <w:rsid w:val="00EE0278"/>
    <w:rsid w:val="00EE07D3"/>
    <w:rsid w:val="00EE091B"/>
    <w:rsid w:val="00EE0F8F"/>
    <w:rsid w:val="00EE115F"/>
    <w:rsid w:val="00EE22AF"/>
    <w:rsid w:val="00EE2435"/>
    <w:rsid w:val="00EE27FE"/>
    <w:rsid w:val="00EE2E52"/>
    <w:rsid w:val="00EE2F8C"/>
    <w:rsid w:val="00EE3953"/>
    <w:rsid w:val="00EE3BEA"/>
    <w:rsid w:val="00EE4AA9"/>
    <w:rsid w:val="00EE4C82"/>
    <w:rsid w:val="00EE526E"/>
    <w:rsid w:val="00EE59DB"/>
    <w:rsid w:val="00EE5A3B"/>
    <w:rsid w:val="00EE6396"/>
    <w:rsid w:val="00EE70EB"/>
    <w:rsid w:val="00EE75DA"/>
    <w:rsid w:val="00EF0171"/>
    <w:rsid w:val="00EF02E8"/>
    <w:rsid w:val="00EF02EF"/>
    <w:rsid w:val="00EF0922"/>
    <w:rsid w:val="00EF116E"/>
    <w:rsid w:val="00EF120A"/>
    <w:rsid w:val="00EF12C4"/>
    <w:rsid w:val="00EF1B25"/>
    <w:rsid w:val="00EF20C4"/>
    <w:rsid w:val="00EF261D"/>
    <w:rsid w:val="00EF2D4D"/>
    <w:rsid w:val="00EF2F91"/>
    <w:rsid w:val="00EF3FBC"/>
    <w:rsid w:val="00EF4167"/>
    <w:rsid w:val="00EF4747"/>
    <w:rsid w:val="00EF4BF8"/>
    <w:rsid w:val="00EF572E"/>
    <w:rsid w:val="00EF72D2"/>
    <w:rsid w:val="00EF7337"/>
    <w:rsid w:val="00EF74B5"/>
    <w:rsid w:val="00F00116"/>
    <w:rsid w:val="00F0012D"/>
    <w:rsid w:val="00F00910"/>
    <w:rsid w:val="00F00E2C"/>
    <w:rsid w:val="00F01260"/>
    <w:rsid w:val="00F012A8"/>
    <w:rsid w:val="00F0160D"/>
    <w:rsid w:val="00F016CB"/>
    <w:rsid w:val="00F02253"/>
    <w:rsid w:val="00F03422"/>
    <w:rsid w:val="00F039EF"/>
    <w:rsid w:val="00F03C2E"/>
    <w:rsid w:val="00F03F3E"/>
    <w:rsid w:val="00F04719"/>
    <w:rsid w:val="00F04A66"/>
    <w:rsid w:val="00F05071"/>
    <w:rsid w:val="00F0516C"/>
    <w:rsid w:val="00F052F2"/>
    <w:rsid w:val="00F05D5B"/>
    <w:rsid w:val="00F05DF1"/>
    <w:rsid w:val="00F06202"/>
    <w:rsid w:val="00F067A2"/>
    <w:rsid w:val="00F075C1"/>
    <w:rsid w:val="00F07624"/>
    <w:rsid w:val="00F1004A"/>
    <w:rsid w:val="00F1098D"/>
    <w:rsid w:val="00F10E28"/>
    <w:rsid w:val="00F11128"/>
    <w:rsid w:val="00F11189"/>
    <w:rsid w:val="00F1263A"/>
    <w:rsid w:val="00F12C84"/>
    <w:rsid w:val="00F13B2D"/>
    <w:rsid w:val="00F13DF0"/>
    <w:rsid w:val="00F13E25"/>
    <w:rsid w:val="00F1413D"/>
    <w:rsid w:val="00F14F9E"/>
    <w:rsid w:val="00F1539A"/>
    <w:rsid w:val="00F15D93"/>
    <w:rsid w:val="00F16B54"/>
    <w:rsid w:val="00F177B2"/>
    <w:rsid w:val="00F2012B"/>
    <w:rsid w:val="00F2028C"/>
    <w:rsid w:val="00F21415"/>
    <w:rsid w:val="00F2150D"/>
    <w:rsid w:val="00F21945"/>
    <w:rsid w:val="00F22007"/>
    <w:rsid w:val="00F221D5"/>
    <w:rsid w:val="00F22683"/>
    <w:rsid w:val="00F22707"/>
    <w:rsid w:val="00F227CF"/>
    <w:rsid w:val="00F22968"/>
    <w:rsid w:val="00F233E4"/>
    <w:rsid w:val="00F23C65"/>
    <w:rsid w:val="00F24837"/>
    <w:rsid w:val="00F249F6"/>
    <w:rsid w:val="00F256D2"/>
    <w:rsid w:val="00F2575F"/>
    <w:rsid w:val="00F25A81"/>
    <w:rsid w:val="00F25AF5"/>
    <w:rsid w:val="00F25C74"/>
    <w:rsid w:val="00F26CF1"/>
    <w:rsid w:val="00F26F8B"/>
    <w:rsid w:val="00F27342"/>
    <w:rsid w:val="00F273D6"/>
    <w:rsid w:val="00F27565"/>
    <w:rsid w:val="00F304CD"/>
    <w:rsid w:val="00F3063C"/>
    <w:rsid w:val="00F310D4"/>
    <w:rsid w:val="00F31457"/>
    <w:rsid w:val="00F31C1E"/>
    <w:rsid w:val="00F31D5A"/>
    <w:rsid w:val="00F3251F"/>
    <w:rsid w:val="00F330CC"/>
    <w:rsid w:val="00F336E7"/>
    <w:rsid w:val="00F33DE9"/>
    <w:rsid w:val="00F34667"/>
    <w:rsid w:val="00F35012"/>
    <w:rsid w:val="00F352B6"/>
    <w:rsid w:val="00F3619A"/>
    <w:rsid w:val="00F363BB"/>
    <w:rsid w:val="00F3690A"/>
    <w:rsid w:val="00F36BD3"/>
    <w:rsid w:val="00F36FE3"/>
    <w:rsid w:val="00F375E7"/>
    <w:rsid w:val="00F40275"/>
    <w:rsid w:val="00F40AAA"/>
    <w:rsid w:val="00F40BA7"/>
    <w:rsid w:val="00F40C8F"/>
    <w:rsid w:val="00F413A2"/>
    <w:rsid w:val="00F42E9A"/>
    <w:rsid w:val="00F4567A"/>
    <w:rsid w:val="00F45A1B"/>
    <w:rsid w:val="00F45AE1"/>
    <w:rsid w:val="00F46CB6"/>
    <w:rsid w:val="00F46EC1"/>
    <w:rsid w:val="00F46F41"/>
    <w:rsid w:val="00F474B5"/>
    <w:rsid w:val="00F479E1"/>
    <w:rsid w:val="00F47DE8"/>
    <w:rsid w:val="00F50433"/>
    <w:rsid w:val="00F517F3"/>
    <w:rsid w:val="00F51BE5"/>
    <w:rsid w:val="00F535CE"/>
    <w:rsid w:val="00F542C1"/>
    <w:rsid w:val="00F553A8"/>
    <w:rsid w:val="00F5560F"/>
    <w:rsid w:val="00F55751"/>
    <w:rsid w:val="00F55E73"/>
    <w:rsid w:val="00F55EDA"/>
    <w:rsid w:val="00F56DFE"/>
    <w:rsid w:val="00F57559"/>
    <w:rsid w:val="00F57906"/>
    <w:rsid w:val="00F60092"/>
    <w:rsid w:val="00F60D9C"/>
    <w:rsid w:val="00F61472"/>
    <w:rsid w:val="00F61486"/>
    <w:rsid w:val="00F61FA9"/>
    <w:rsid w:val="00F621EF"/>
    <w:rsid w:val="00F62363"/>
    <w:rsid w:val="00F629C9"/>
    <w:rsid w:val="00F64F20"/>
    <w:rsid w:val="00F65F4B"/>
    <w:rsid w:val="00F65FEC"/>
    <w:rsid w:val="00F660A9"/>
    <w:rsid w:val="00F668B9"/>
    <w:rsid w:val="00F66976"/>
    <w:rsid w:val="00F671BF"/>
    <w:rsid w:val="00F6771D"/>
    <w:rsid w:val="00F67900"/>
    <w:rsid w:val="00F70434"/>
    <w:rsid w:val="00F70C9D"/>
    <w:rsid w:val="00F71158"/>
    <w:rsid w:val="00F71615"/>
    <w:rsid w:val="00F71739"/>
    <w:rsid w:val="00F7183C"/>
    <w:rsid w:val="00F71FA3"/>
    <w:rsid w:val="00F7248A"/>
    <w:rsid w:val="00F73881"/>
    <w:rsid w:val="00F7448F"/>
    <w:rsid w:val="00F744BD"/>
    <w:rsid w:val="00F74C87"/>
    <w:rsid w:val="00F74CD9"/>
    <w:rsid w:val="00F75F2A"/>
    <w:rsid w:val="00F7676B"/>
    <w:rsid w:val="00F767E9"/>
    <w:rsid w:val="00F80A7B"/>
    <w:rsid w:val="00F80E5D"/>
    <w:rsid w:val="00F8110D"/>
    <w:rsid w:val="00F81655"/>
    <w:rsid w:val="00F81A04"/>
    <w:rsid w:val="00F82F31"/>
    <w:rsid w:val="00F83297"/>
    <w:rsid w:val="00F8346D"/>
    <w:rsid w:val="00F83FC1"/>
    <w:rsid w:val="00F84456"/>
    <w:rsid w:val="00F84CFB"/>
    <w:rsid w:val="00F84D04"/>
    <w:rsid w:val="00F851CE"/>
    <w:rsid w:val="00F8586B"/>
    <w:rsid w:val="00F85992"/>
    <w:rsid w:val="00F86209"/>
    <w:rsid w:val="00F864C4"/>
    <w:rsid w:val="00F8692B"/>
    <w:rsid w:val="00F86ED7"/>
    <w:rsid w:val="00F870B6"/>
    <w:rsid w:val="00F9070A"/>
    <w:rsid w:val="00F90FB5"/>
    <w:rsid w:val="00F91219"/>
    <w:rsid w:val="00F91457"/>
    <w:rsid w:val="00F91EDC"/>
    <w:rsid w:val="00F93603"/>
    <w:rsid w:val="00F9477C"/>
    <w:rsid w:val="00F94832"/>
    <w:rsid w:val="00F949BE"/>
    <w:rsid w:val="00F94C2D"/>
    <w:rsid w:val="00F94C76"/>
    <w:rsid w:val="00F95FB6"/>
    <w:rsid w:val="00F960B5"/>
    <w:rsid w:val="00F9611B"/>
    <w:rsid w:val="00F97A78"/>
    <w:rsid w:val="00F97DCD"/>
    <w:rsid w:val="00F97DFE"/>
    <w:rsid w:val="00FA0B20"/>
    <w:rsid w:val="00FA0BD9"/>
    <w:rsid w:val="00FA170F"/>
    <w:rsid w:val="00FA227B"/>
    <w:rsid w:val="00FA24E7"/>
    <w:rsid w:val="00FA365D"/>
    <w:rsid w:val="00FA4183"/>
    <w:rsid w:val="00FA4248"/>
    <w:rsid w:val="00FA4E62"/>
    <w:rsid w:val="00FA5376"/>
    <w:rsid w:val="00FA5A3C"/>
    <w:rsid w:val="00FA5B00"/>
    <w:rsid w:val="00FA5C82"/>
    <w:rsid w:val="00FA5E9B"/>
    <w:rsid w:val="00FB010A"/>
    <w:rsid w:val="00FB09EB"/>
    <w:rsid w:val="00FB0CC2"/>
    <w:rsid w:val="00FB2FCB"/>
    <w:rsid w:val="00FB3DD4"/>
    <w:rsid w:val="00FB4970"/>
    <w:rsid w:val="00FB4A46"/>
    <w:rsid w:val="00FB55F3"/>
    <w:rsid w:val="00FB5CB9"/>
    <w:rsid w:val="00FB5F7A"/>
    <w:rsid w:val="00FB7894"/>
    <w:rsid w:val="00FB7BE9"/>
    <w:rsid w:val="00FC065B"/>
    <w:rsid w:val="00FC0819"/>
    <w:rsid w:val="00FC08B9"/>
    <w:rsid w:val="00FC1074"/>
    <w:rsid w:val="00FC1884"/>
    <w:rsid w:val="00FC1CE3"/>
    <w:rsid w:val="00FC3101"/>
    <w:rsid w:val="00FC35D0"/>
    <w:rsid w:val="00FC371D"/>
    <w:rsid w:val="00FC3AED"/>
    <w:rsid w:val="00FC3C17"/>
    <w:rsid w:val="00FC3E9E"/>
    <w:rsid w:val="00FC40BC"/>
    <w:rsid w:val="00FC49BA"/>
    <w:rsid w:val="00FC4BAD"/>
    <w:rsid w:val="00FC4FC3"/>
    <w:rsid w:val="00FC5CFA"/>
    <w:rsid w:val="00FC5F0B"/>
    <w:rsid w:val="00FC6353"/>
    <w:rsid w:val="00FC6432"/>
    <w:rsid w:val="00FC7A8C"/>
    <w:rsid w:val="00FD066F"/>
    <w:rsid w:val="00FD14A1"/>
    <w:rsid w:val="00FD20A9"/>
    <w:rsid w:val="00FD2100"/>
    <w:rsid w:val="00FD3D8A"/>
    <w:rsid w:val="00FD405B"/>
    <w:rsid w:val="00FD436C"/>
    <w:rsid w:val="00FD446D"/>
    <w:rsid w:val="00FD4539"/>
    <w:rsid w:val="00FD4775"/>
    <w:rsid w:val="00FD48DF"/>
    <w:rsid w:val="00FD51C0"/>
    <w:rsid w:val="00FD52FD"/>
    <w:rsid w:val="00FD5993"/>
    <w:rsid w:val="00FD5C4E"/>
    <w:rsid w:val="00FD6050"/>
    <w:rsid w:val="00FD6394"/>
    <w:rsid w:val="00FD6895"/>
    <w:rsid w:val="00FD734A"/>
    <w:rsid w:val="00FE02E1"/>
    <w:rsid w:val="00FE066B"/>
    <w:rsid w:val="00FE0A7D"/>
    <w:rsid w:val="00FE0E6C"/>
    <w:rsid w:val="00FE10E3"/>
    <w:rsid w:val="00FE178E"/>
    <w:rsid w:val="00FE205A"/>
    <w:rsid w:val="00FE20CC"/>
    <w:rsid w:val="00FE2356"/>
    <w:rsid w:val="00FE2CE5"/>
    <w:rsid w:val="00FE39E4"/>
    <w:rsid w:val="00FE4D49"/>
    <w:rsid w:val="00FE4F47"/>
    <w:rsid w:val="00FE654C"/>
    <w:rsid w:val="00FE6AB5"/>
    <w:rsid w:val="00FE6F9D"/>
    <w:rsid w:val="00FE70C3"/>
    <w:rsid w:val="00FF0DE1"/>
    <w:rsid w:val="00FF20B8"/>
    <w:rsid w:val="00FF32A0"/>
    <w:rsid w:val="00FF3DCF"/>
    <w:rsid w:val="00FF41F4"/>
    <w:rsid w:val="00FF492C"/>
    <w:rsid w:val="00FF4A21"/>
    <w:rsid w:val="00FF4ABD"/>
    <w:rsid w:val="00FF5399"/>
    <w:rsid w:val="00FF5AA3"/>
    <w:rsid w:val="00FF5AD8"/>
    <w:rsid w:val="00FF5B63"/>
    <w:rsid w:val="00FF5C84"/>
    <w:rsid w:val="00FF633B"/>
    <w:rsid w:val="00FF79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3E5902"/>
    <w:pPr>
      <w:spacing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E5902"/>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6577E1"/>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6577E1"/>
    <w:rPr>
      <w:rFonts w:ascii="Arial Narrow" w:hAnsi="Arial Narrow" w:cs="Arial"/>
      <w:b/>
      <w:bCs/>
      <w:snapToGrid w:val="0"/>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E5902"/>
    <w:pPr>
      <w:numPr>
        <w:numId w:val="1"/>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7605AF"/>
    <w:rPr>
      <w:sz w:val="20"/>
      <w:szCs w:val="20"/>
    </w:rPr>
  </w:style>
  <w:style w:type="character" w:customStyle="1" w:styleId="FootnoteTextChar">
    <w:name w:val="Footnote Text Char"/>
    <w:basedOn w:val="DefaultParagraphFont"/>
    <w:link w:val="FootnoteText"/>
    <w:semiHidden/>
    <w:rsid w:val="007605AF"/>
    <w:rPr>
      <w:rFonts w:ascii="Calibri" w:hAnsi="Calibri" w:cs="Arial"/>
      <w:snapToGrid w:val="0"/>
      <w:lang w:eastAsia="en-US"/>
    </w:rPr>
  </w:style>
  <w:style w:type="character" w:styleId="FootnoteReference">
    <w:name w:val="footnote reference"/>
    <w:basedOn w:val="DefaultParagraphFont"/>
    <w:semiHidden/>
    <w:unhideWhenUsed/>
    <w:rsid w:val="007605AF"/>
    <w:rPr>
      <w:vertAlign w:val="superscript"/>
    </w:rPr>
  </w:style>
  <w:style w:type="paragraph" w:customStyle="1" w:styleId="EndNoteBibliographyTitle">
    <w:name w:val="EndNote Bibliography Title"/>
    <w:basedOn w:val="Normal"/>
    <w:link w:val="EndNoteBibliographyTitleChar"/>
    <w:rsid w:val="00CD7C10"/>
    <w:pPr>
      <w:jc w:val="center"/>
    </w:pPr>
    <w:rPr>
      <w:rFonts w:cs="Calibri"/>
      <w:noProof/>
      <w:lang w:val="en-US"/>
    </w:rPr>
  </w:style>
  <w:style w:type="character" w:customStyle="1" w:styleId="EndNoteBibliographyTitleChar">
    <w:name w:val="EndNote Bibliography Title Char"/>
    <w:basedOn w:val="ListParagraphChar"/>
    <w:link w:val="EndNoteBibliographyTitle"/>
    <w:rsid w:val="00CD7C10"/>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sid w:val="00CD7C10"/>
    <w:rPr>
      <w:rFonts w:cs="Calibri"/>
      <w:noProof/>
      <w:lang w:val="en-US"/>
    </w:rPr>
  </w:style>
  <w:style w:type="character" w:customStyle="1" w:styleId="EndNoteBibliographyChar">
    <w:name w:val="EndNote Bibliography Char"/>
    <w:basedOn w:val="ListParagraphChar"/>
    <w:link w:val="EndNoteBibliography"/>
    <w:rsid w:val="00CD7C10"/>
    <w:rPr>
      <w:rFonts w:ascii="Calibri" w:hAnsi="Calibri" w:cs="Calibri"/>
      <w:noProof/>
      <w:snapToGrid w:val="0"/>
      <w:sz w:val="24"/>
      <w:szCs w:val="22"/>
      <w:lang w:val="en-US" w:eastAsia="en-US"/>
    </w:rPr>
  </w:style>
  <w:style w:type="paragraph" w:customStyle="1" w:styleId="TableText0">
    <w:name w:val="TableText"/>
    <w:basedOn w:val="Normal"/>
    <w:link w:val="TableTextChar0"/>
    <w:uiPriority w:val="3"/>
    <w:qFormat/>
    <w:rsid w:val="009502FA"/>
    <w:pPr>
      <w:keepNext/>
      <w:widowControl/>
      <w:spacing w:before="40" w:after="40"/>
      <w:jc w:val="left"/>
    </w:pPr>
    <w:rPr>
      <w:rFonts w:cstheme="minorHAnsi"/>
      <w:bCs/>
      <w:snapToGrid/>
      <w:sz w:val="20"/>
      <w:szCs w:val="20"/>
    </w:rPr>
  </w:style>
  <w:style w:type="character" w:customStyle="1" w:styleId="TableTextChar0">
    <w:name w:val="TableText Char"/>
    <w:basedOn w:val="DefaultParagraphFont"/>
    <w:link w:val="TableText0"/>
    <w:uiPriority w:val="3"/>
    <w:rsid w:val="009502FA"/>
    <w:rPr>
      <w:rFonts w:ascii="Calibri" w:hAnsi="Calibri" w:cstheme="minorHAnsi"/>
      <w:bCs/>
      <w:lang w:eastAsia="en-US"/>
    </w:rPr>
  </w:style>
  <w:style w:type="character" w:customStyle="1" w:styleId="Heading1Char">
    <w:name w:val="Heading 1 Char"/>
    <w:basedOn w:val="DefaultParagraphFont"/>
    <w:link w:val="Heading1"/>
    <w:rsid w:val="001B5645"/>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1B5645"/>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1B5645"/>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1B5645"/>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1B5645"/>
    <w:rPr>
      <w:rFonts w:ascii="Calibri" w:hAnsi="Calibri" w:cs="Arial"/>
      <w:b/>
      <w:bCs/>
      <w:i/>
      <w:snapToGrid w:val="0"/>
      <w:sz w:val="24"/>
      <w:szCs w:val="22"/>
      <w:lang w:eastAsia="en-US"/>
    </w:rPr>
  </w:style>
  <w:style w:type="paragraph" w:customStyle="1" w:styleId="TableText1">
    <w:name w:val="Table Text"/>
    <w:basedOn w:val="Normal"/>
    <w:link w:val="TableTextChar1"/>
    <w:rsid w:val="00050C95"/>
    <w:pPr>
      <w:widowControl/>
      <w:spacing w:before="20" w:after="20"/>
    </w:pPr>
    <w:rPr>
      <w:rFonts w:asciiTheme="minorHAnsi" w:eastAsiaTheme="minorHAnsi" w:hAnsiTheme="minorHAnsi" w:cstheme="minorBidi"/>
      <w:snapToGrid/>
      <w:sz w:val="20"/>
      <w:szCs w:val="20"/>
    </w:rPr>
  </w:style>
  <w:style w:type="paragraph" w:customStyle="1" w:styleId="TableHeadingRow">
    <w:name w:val="TableHeadingRow"/>
    <w:basedOn w:val="Normal"/>
    <w:uiPriority w:val="3"/>
    <w:qFormat/>
    <w:rsid w:val="0067322D"/>
    <w:pPr>
      <w:keepNext/>
      <w:widowControl/>
      <w:spacing w:before="20" w:after="20"/>
    </w:pPr>
    <w:rPr>
      <w:rFonts w:cstheme="minorHAnsi"/>
      <w:b/>
      <w:snapToGrid/>
      <w:sz w:val="20"/>
      <w:szCs w:val="20"/>
    </w:rPr>
  </w:style>
  <w:style w:type="paragraph" w:styleId="ListBullet">
    <w:name w:val="List Bullet"/>
    <w:basedOn w:val="Normal"/>
    <w:uiPriority w:val="4"/>
    <w:qFormat/>
    <w:rsid w:val="008F0BB7"/>
    <w:pPr>
      <w:widowControl/>
      <w:numPr>
        <w:numId w:val="6"/>
      </w:numPr>
      <w:spacing w:after="240" w:line="288" w:lineRule="auto"/>
      <w:contextualSpacing/>
    </w:pPr>
    <w:rPr>
      <w:rFonts w:eastAsiaTheme="minorEastAsia" w:cstheme="minorBidi"/>
      <w:snapToGrid/>
      <w:sz w:val="22"/>
      <w:lang w:val="en-US" w:eastAsia="zh-CN"/>
    </w:rPr>
  </w:style>
  <w:style w:type="table" w:customStyle="1" w:styleId="Summarybox13">
    <w:name w:val="Summary box13"/>
    <w:basedOn w:val="TableNormal"/>
    <w:next w:val="TableGrid"/>
    <w:uiPriority w:val="59"/>
    <w:rsid w:val="008F0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4">
    <w:name w:val="Summary box14"/>
    <w:basedOn w:val="TableNormal"/>
    <w:next w:val="TableGrid"/>
    <w:uiPriority w:val="59"/>
    <w:rsid w:val="008F0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5">
    <w:name w:val="Summary box15"/>
    <w:basedOn w:val="TableNormal"/>
    <w:next w:val="TableGrid"/>
    <w:uiPriority w:val="59"/>
    <w:rsid w:val="008F0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1">
    <w:name w:val="Table Text Char"/>
    <w:link w:val="TableText1"/>
    <w:rsid w:val="008F0BB7"/>
    <w:rPr>
      <w:rFonts w:asciiTheme="minorHAnsi" w:eastAsiaTheme="minorHAnsi" w:hAnsiTheme="minorHAnsi" w:cstheme="minorBidi"/>
      <w:lang w:eastAsia="en-US"/>
    </w:rPr>
  </w:style>
  <w:style w:type="paragraph" w:customStyle="1" w:styleId="ESParagraph">
    <w:name w:val="ESParagraph"/>
    <w:basedOn w:val="Normal"/>
    <w:link w:val="ESParagraphChar"/>
    <w:uiPriority w:val="21"/>
    <w:qFormat/>
    <w:rsid w:val="008F0BB7"/>
    <w:pPr>
      <w:widowControl/>
      <w:spacing w:before="120"/>
    </w:pPr>
    <w:rPr>
      <w:rFonts w:eastAsiaTheme="minorEastAsia" w:cstheme="minorBidi"/>
      <w:snapToGrid/>
      <w:sz w:val="22"/>
      <w:lang w:eastAsia="zh-CN"/>
    </w:rPr>
  </w:style>
  <w:style w:type="character" w:customStyle="1" w:styleId="ESParagraphChar">
    <w:name w:val="ESParagraph Char"/>
    <w:basedOn w:val="DefaultParagraphFont"/>
    <w:link w:val="ESParagraph"/>
    <w:uiPriority w:val="21"/>
    <w:rsid w:val="008F0BB7"/>
    <w:rPr>
      <w:rFonts w:ascii="Calibri" w:eastAsiaTheme="minorEastAsia" w:hAnsi="Calibri" w:cstheme="minorBidi"/>
      <w:sz w:val="22"/>
      <w:szCs w:val="22"/>
      <w:lang w:eastAsia="zh-CN"/>
    </w:rPr>
  </w:style>
  <w:style w:type="paragraph" w:customStyle="1" w:styleId="TableNotes">
    <w:name w:val="TableNotes"/>
    <w:basedOn w:val="Normal"/>
    <w:next w:val="Normal"/>
    <w:uiPriority w:val="3"/>
    <w:qFormat/>
    <w:rsid w:val="008F0BB7"/>
    <w:pPr>
      <w:widowControl/>
      <w:tabs>
        <w:tab w:val="left" w:pos="1134"/>
      </w:tabs>
      <w:ind w:left="1134" w:hanging="1134"/>
    </w:pPr>
    <w:rPr>
      <w:rFonts w:eastAsiaTheme="minorEastAsia" w:cstheme="minorBidi"/>
      <w:snapToGrid/>
      <w:sz w:val="18"/>
      <w:szCs w:val="18"/>
    </w:rPr>
  </w:style>
  <w:style w:type="table" w:customStyle="1" w:styleId="Summarybox1">
    <w:name w:val="Summary box1"/>
    <w:basedOn w:val="TableNormal"/>
    <w:next w:val="TableGrid"/>
    <w:uiPriority w:val="59"/>
    <w:rsid w:val="008F0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link w:val="TableHeadingChar"/>
    <w:qFormat/>
    <w:rsid w:val="008F0BB7"/>
    <w:pPr>
      <w:keepNext/>
      <w:widowControl/>
      <w:spacing w:after="60"/>
    </w:pPr>
    <w:rPr>
      <w:rFonts w:ascii="Arial Narrow" w:eastAsiaTheme="minorHAnsi" w:hAnsi="Arial Narrow" w:cstheme="minorBidi"/>
      <w:b/>
      <w:snapToGrid/>
      <w:sz w:val="20"/>
    </w:rPr>
  </w:style>
  <w:style w:type="character" w:customStyle="1" w:styleId="TableHeadingChar">
    <w:name w:val="Table Heading Char"/>
    <w:basedOn w:val="DefaultParagraphFont"/>
    <w:link w:val="TableHeading0"/>
    <w:locked/>
    <w:rsid w:val="008F0BB7"/>
    <w:rPr>
      <w:rFonts w:ascii="Arial Narrow" w:eastAsiaTheme="minorHAnsi" w:hAnsi="Arial Narrow" w:cstheme="minorBidi"/>
      <w:b/>
      <w:szCs w:val="22"/>
      <w:lang w:eastAsia="en-US"/>
    </w:rPr>
  </w:style>
  <w:style w:type="table" w:customStyle="1" w:styleId="Summarybox16">
    <w:name w:val="Summary box16"/>
    <w:basedOn w:val="TableNormal"/>
    <w:next w:val="TableGrid"/>
    <w:uiPriority w:val="59"/>
    <w:rsid w:val="008F0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8">
    <w:name w:val="Summary box18"/>
    <w:basedOn w:val="TableNormal"/>
    <w:next w:val="TableGrid"/>
    <w:uiPriority w:val="59"/>
    <w:rsid w:val="008F0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C1E11"/>
    <w:rPr>
      <w:rFonts w:ascii="Imago" w:eastAsiaTheme="minorEastAsia" w:hAnsi="Imago" w:cstheme="minorHAnsi"/>
      <w:color w:val="000000" w:themeColor="text1"/>
      <w:sz w:val="22"/>
      <w:szCs w:val="22"/>
      <w:lang w:val="en-US" w:eastAsia="en-US"/>
    </w:rPr>
    <w:tblPr>
      <w:tblStyleRowBandSize w:val="1"/>
      <w:tblStyleColBandSize w:val="1"/>
      <w:tblBorders>
        <w:top w:val="single" w:sz="8" w:space="0" w:color="0070C0"/>
        <w:left w:val="single" w:sz="8" w:space="0" w:color="0070C0"/>
        <w:bottom w:val="single" w:sz="8" w:space="0" w:color="0070C0"/>
        <w:right w:val="single" w:sz="8" w:space="0" w:color="0070C0"/>
      </w:tblBorders>
    </w:tblPr>
    <w:tcPr>
      <w:shd w:val="clear" w:color="auto" w:fill="FFFFFF" w:themeFill="background1"/>
    </w:tcPr>
    <w:tblStylePr w:type="firstRow">
      <w:pPr>
        <w:spacing w:before="0" w:after="0" w:line="240" w:lineRule="auto"/>
      </w:pPr>
      <w:rPr>
        <w:b/>
        <w:bCs/>
      </w:rPr>
      <w:tblPr/>
      <w:tcPr>
        <w:tcBorders>
          <w:top w:val="single" w:sz="8" w:space="0" w:color="0070C0"/>
          <w:left w:val="single" w:sz="8" w:space="0" w:color="0070C0"/>
          <w:bottom w:val="single" w:sz="8" w:space="0" w:color="0070C0"/>
          <w:right w:val="single" w:sz="8" w:space="0" w:color="0070C0"/>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0070C0"/>
          <w:left w:val="single" w:sz="8" w:space="0" w:color="0070C0"/>
          <w:bottom w:val="single" w:sz="8" w:space="0" w:color="0070C0"/>
          <w:right w:val="single" w:sz="8" w:space="0" w:color="0070C0"/>
          <w:insideH w:val="nil"/>
          <w:insideV w:val="nil"/>
        </w:tcBorders>
        <w:shd w:val="clear" w:color="auto" w:fill="FFFFFF" w:themeFill="background1"/>
      </w:tcPr>
    </w:tblStylePr>
    <w:tblStylePr w:type="firstCol">
      <w:rPr>
        <w:b w:val="0"/>
        <w:bCs/>
      </w:rPr>
    </w:tblStylePr>
    <w:tblStylePr w:type="lastCol">
      <w:rPr>
        <w:b/>
        <w:bCs/>
      </w:rPr>
    </w:tblStylePr>
    <w:tblStylePr w:type="band1Horz">
      <w:rPr>
        <w:b w:val="0"/>
      </w:rPr>
      <w:tblPr/>
      <w:tcPr>
        <w:shd w:val="clear" w:color="auto" w:fill="EEEEEE"/>
      </w:tcPr>
    </w:tblStylePr>
  </w:style>
  <w:style w:type="character" w:styleId="PlaceholderText">
    <w:name w:val="Placeholder Text"/>
    <w:basedOn w:val="DefaultParagraphFont"/>
    <w:uiPriority w:val="99"/>
    <w:semiHidden/>
    <w:rsid w:val="008062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9020">
      <w:bodyDiv w:val="1"/>
      <w:marLeft w:val="0"/>
      <w:marRight w:val="0"/>
      <w:marTop w:val="0"/>
      <w:marBottom w:val="0"/>
      <w:divBdr>
        <w:top w:val="none" w:sz="0" w:space="0" w:color="auto"/>
        <w:left w:val="none" w:sz="0" w:space="0" w:color="auto"/>
        <w:bottom w:val="none" w:sz="0" w:space="0" w:color="auto"/>
        <w:right w:val="none" w:sz="0" w:space="0" w:color="auto"/>
      </w:divBdr>
    </w:div>
    <w:div w:id="755859292">
      <w:bodyDiv w:val="1"/>
      <w:marLeft w:val="0"/>
      <w:marRight w:val="0"/>
      <w:marTop w:val="0"/>
      <w:marBottom w:val="0"/>
      <w:divBdr>
        <w:top w:val="none" w:sz="0" w:space="0" w:color="auto"/>
        <w:left w:val="none" w:sz="0" w:space="0" w:color="auto"/>
        <w:bottom w:val="none" w:sz="0" w:space="0" w:color="auto"/>
        <w:right w:val="none" w:sz="0" w:space="0" w:color="auto"/>
      </w:divBdr>
    </w:div>
    <w:div w:id="1043286967">
      <w:bodyDiv w:val="1"/>
      <w:marLeft w:val="0"/>
      <w:marRight w:val="0"/>
      <w:marTop w:val="0"/>
      <w:marBottom w:val="0"/>
      <w:divBdr>
        <w:top w:val="none" w:sz="0" w:space="0" w:color="auto"/>
        <w:left w:val="none" w:sz="0" w:space="0" w:color="auto"/>
        <w:bottom w:val="none" w:sz="0" w:space="0" w:color="auto"/>
        <w:right w:val="none" w:sz="0" w:space="0" w:color="auto"/>
      </w:divBdr>
      <w:divsChild>
        <w:div w:id="2092500560">
          <w:marLeft w:val="1080"/>
          <w:marRight w:val="0"/>
          <w:marTop w:val="100"/>
          <w:marBottom w:val="0"/>
          <w:divBdr>
            <w:top w:val="none" w:sz="0" w:space="0" w:color="auto"/>
            <w:left w:val="none" w:sz="0" w:space="0" w:color="auto"/>
            <w:bottom w:val="none" w:sz="0" w:space="0" w:color="auto"/>
            <w:right w:val="none" w:sz="0" w:space="0" w:color="auto"/>
          </w:divBdr>
        </w:div>
      </w:divsChild>
    </w:div>
    <w:div w:id="1153833431">
      <w:bodyDiv w:val="1"/>
      <w:marLeft w:val="0"/>
      <w:marRight w:val="0"/>
      <w:marTop w:val="0"/>
      <w:marBottom w:val="0"/>
      <w:divBdr>
        <w:top w:val="none" w:sz="0" w:space="0" w:color="auto"/>
        <w:left w:val="none" w:sz="0" w:space="0" w:color="auto"/>
        <w:bottom w:val="none" w:sz="0" w:space="0" w:color="auto"/>
        <w:right w:val="none" w:sz="0" w:space="0" w:color="auto"/>
      </w:divBdr>
      <w:divsChild>
        <w:div w:id="1674914037">
          <w:marLeft w:val="547"/>
          <w:marRight w:val="0"/>
          <w:marTop w:val="72"/>
          <w:marBottom w:val="0"/>
          <w:divBdr>
            <w:top w:val="none" w:sz="0" w:space="0" w:color="auto"/>
            <w:left w:val="none" w:sz="0" w:space="0" w:color="auto"/>
            <w:bottom w:val="none" w:sz="0" w:space="0" w:color="auto"/>
            <w:right w:val="none" w:sz="0" w:space="0" w:color="auto"/>
          </w:divBdr>
        </w:div>
      </w:divsChild>
    </w:div>
    <w:div w:id="1711956872">
      <w:bodyDiv w:val="1"/>
      <w:marLeft w:val="0"/>
      <w:marRight w:val="0"/>
      <w:marTop w:val="0"/>
      <w:marBottom w:val="0"/>
      <w:divBdr>
        <w:top w:val="none" w:sz="0" w:space="0" w:color="auto"/>
        <w:left w:val="none" w:sz="0" w:space="0" w:color="auto"/>
        <w:bottom w:val="none" w:sz="0" w:space="0" w:color="auto"/>
        <w:right w:val="none" w:sz="0" w:space="0" w:color="auto"/>
      </w:divBdr>
      <w:divsChild>
        <w:div w:id="1313094501">
          <w:marLeft w:val="1166"/>
          <w:marRight w:val="0"/>
          <w:marTop w:val="62"/>
          <w:marBottom w:val="0"/>
          <w:divBdr>
            <w:top w:val="none" w:sz="0" w:space="0" w:color="auto"/>
            <w:left w:val="none" w:sz="0" w:space="0" w:color="auto"/>
            <w:bottom w:val="none" w:sz="0" w:space="0" w:color="auto"/>
            <w:right w:val="none" w:sz="0" w:space="0" w:color="auto"/>
          </w:divBdr>
        </w:div>
        <w:div w:id="100882757">
          <w:marLeft w:val="1166"/>
          <w:marRight w:val="0"/>
          <w:marTop w:val="62"/>
          <w:marBottom w:val="0"/>
          <w:divBdr>
            <w:top w:val="none" w:sz="0" w:space="0" w:color="auto"/>
            <w:left w:val="none" w:sz="0" w:space="0" w:color="auto"/>
            <w:bottom w:val="none" w:sz="0" w:space="0" w:color="auto"/>
            <w:right w:val="none" w:sz="0" w:space="0" w:color="auto"/>
          </w:divBdr>
        </w:div>
        <w:div w:id="634871667">
          <w:marLeft w:val="1166"/>
          <w:marRight w:val="0"/>
          <w:marTop w:val="62"/>
          <w:marBottom w:val="0"/>
          <w:divBdr>
            <w:top w:val="none" w:sz="0" w:space="0" w:color="auto"/>
            <w:left w:val="none" w:sz="0" w:space="0" w:color="auto"/>
            <w:bottom w:val="none" w:sz="0" w:space="0" w:color="auto"/>
            <w:right w:val="none" w:sz="0" w:space="0" w:color="auto"/>
          </w:divBdr>
        </w:div>
      </w:divsChild>
    </w:div>
    <w:div w:id="1809012693">
      <w:bodyDiv w:val="1"/>
      <w:marLeft w:val="0"/>
      <w:marRight w:val="0"/>
      <w:marTop w:val="0"/>
      <w:marBottom w:val="0"/>
      <w:divBdr>
        <w:top w:val="none" w:sz="0" w:space="0" w:color="auto"/>
        <w:left w:val="none" w:sz="0" w:space="0" w:color="auto"/>
        <w:bottom w:val="none" w:sz="0" w:space="0" w:color="auto"/>
        <w:right w:val="none" w:sz="0" w:space="0" w:color="auto"/>
      </w:divBdr>
    </w:div>
    <w:div w:id="1856994055">
      <w:bodyDiv w:val="1"/>
      <w:marLeft w:val="0"/>
      <w:marRight w:val="0"/>
      <w:marTop w:val="0"/>
      <w:marBottom w:val="0"/>
      <w:divBdr>
        <w:top w:val="none" w:sz="0" w:space="0" w:color="auto"/>
        <w:left w:val="none" w:sz="0" w:space="0" w:color="auto"/>
        <w:bottom w:val="none" w:sz="0" w:space="0" w:color="auto"/>
        <w:right w:val="none" w:sz="0" w:space="0" w:color="auto"/>
      </w:divBdr>
      <w:divsChild>
        <w:div w:id="1344819445">
          <w:marLeft w:val="1166"/>
          <w:marRight w:val="0"/>
          <w:marTop w:val="62"/>
          <w:marBottom w:val="0"/>
          <w:divBdr>
            <w:top w:val="none" w:sz="0" w:space="0" w:color="auto"/>
            <w:left w:val="none" w:sz="0" w:space="0" w:color="auto"/>
            <w:bottom w:val="none" w:sz="0" w:space="0" w:color="auto"/>
            <w:right w:val="none" w:sz="0" w:space="0" w:color="auto"/>
          </w:divBdr>
        </w:div>
      </w:divsChild>
    </w:div>
    <w:div w:id="19794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79DB-0E63-49C9-B0EB-A2EEBEAE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13462</Words>
  <Characters>81247</Characters>
  <Application>Microsoft Office Word</Application>
  <DocSecurity>0</DocSecurity>
  <Lines>677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2019-07-26T05:08:00Z</dcterms:created>
  <dcterms:modified xsi:type="dcterms:W3CDTF">2019-07-26T05:09:00Z</dcterms:modified>
</cp:coreProperties>
</file>